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0"/>
        <w:ind w:firstLine="0"/>
        <w:jc w:val="center"/>
        <w:rPr>
          <w:rFonts w:hint="eastAsia" w:ascii="宋体" w:hAnsi="宋体" w:eastAsia="宋体" w:cs="宋体"/>
          <w:color w:val="auto"/>
          <w:sz w:val="72"/>
          <w:szCs w:val="72"/>
          <w:highlight w:val="none"/>
        </w:rPr>
      </w:pPr>
      <w:r>
        <w:rPr>
          <w:rFonts w:hint="eastAsia" w:ascii="宋体" w:hAnsi="宋体" w:eastAsia="宋体" w:cs="宋体"/>
          <w:b/>
          <w:bCs/>
          <w:color w:val="auto"/>
          <w:sz w:val="72"/>
          <w:szCs w:val="72"/>
          <w:highlight w:val="none"/>
        </w:rPr>
        <w:t xml:space="preserve">灌南县政府采购</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项目名称：江苏连云港化工产业园区地下水污染风险管控项目</w:t>
      </w:r>
      <w:r/>
    </w:p>
    <w:p>
      <w:pPr>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（非专门面向中小企业）</w:t>
      </w:r>
      <w:r/>
    </w:p>
    <w:p>
      <w:pPr>
        <w:ind w:firstLine="321"/>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项目编号：JSZC-320724-XZBM-G2026-0012 </w:t>
      </w:r>
      <w:r/>
    </w:p>
    <w:p>
      <w:pP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1285"/>
        <w:spacing w:before="240" w:after="24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采购人：江苏连云港化工产业园区管理委员会</w:t>
      </w:r>
      <w:r/>
    </w:p>
    <w:p>
      <w:pPr>
        <w:ind w:firstLine="1285"/>
        <w:spacing w:before="240" w:after="24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采购代理机构：江苏博茂项目管理有限公司</w:t>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2026年</w:t>
      </w:r>
      <w:r>
        <w:rPr>
          <w:rFonts w:hint="eastAsia" w:ascii="宋体" w:hAnsi="宋体" w:eastAsia="宋体" w:cs="宋体"/>
          <w:b/>
          <w:bCs/>
          <w:color w:val="auto"/>
          <w:sz w:val="32"/>
          <w:szCs w:val="24"/>
          <w:highlight w:val="none"/>
          <w:lang w:val="en-US" w:eastAsia="zh-CN"/>
        </w:rPr>
        <w:t xml:space="preserve">9</w:t>
      </w:r>
      <w:r>
        <w:rPr>
          <w:rFonts w:hint="eastAsia" w:ascii="宋体" w:hAnsi="宋体" w:eastAsia="宋体" w:cs="宋体"/>
          <w:b/>
          <w:bCs/>
          <w:color w:val="auto"/>
          <w:sz w:val="32"/>
          <w:szCs w:val="24"/>
          <w:highlight w:val="none"/>
        </w:rPr>
        <w:t xml:space="preserve">月</w:t>
      </w:r>
      <w:r/>
    </w:p>
    <w:sdt>
      <w:sdtPr>
        <w15:appearance w15:val="boundingBox"/>
        <w:id w:val="233056331"/>
        <w:docPartObj>
          <w:docPartGallery w:val="Table of Contents"/>
          <w:docPartUnique w:val="true"/>
        </w:docPartObj>
        <w:rPr>
          <w:rFonts w:hint="eastAsia" w:ascii="宋体" w:hAnsi="宋体" w:eastAsia="宋体" w:cs="宋体"/>
          <w:color w:val="auto"/>
          <w:sz w:val="32"/>
          <w:highlight w:val="none"/>
        </w:rPr>
      </w:sdtPr>
      <w:sdtContent>
        <w:p>
          <w:pPr>
            <w:jc w:val="center"/>
            <w:spacing w:before="120" w:after="120" w:line="360" w:lineRule="auto"/>
            <w:rPr>
              <w:rFonts w:hint="eastAsia" w:ascii="宋体" w:hAnsi="宋体" w:eastAsia="宋体" w:cs="宋体"/>
              <w:color w:val="auto"/>
              <w:sz w:val="24"/>
              <w:highlight w:val="none"/>
            </w:rPr>
          </w:pPr>
          <w:r>
            <w:rPr>
              <w:color w:val="auto"/>
              <w:highlight w:val="none"/>
            </w:rPr>
            <w:fldChar w:fldCharType="begin"/>
          </w:r>
          <w:r>
            <w:rPr>
              <w:rFonts w:hint="eastAsia" w:ascii="宋体" w:hAnsi="宋体" w:eastAsia="宋体" w:cs="宋体"/>
              <w:color w:val="auto"/>
              <w:sz w:val="24"/>
              <w:highlight w:val="none"/>
            </w:rPr>
            <w:instrText xml:space="preserve"> TOC \o "1-1" \u </w:instrText>
          </w:r>
          <w:r>
            <w:rPr>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bCs/>
              <w:color w:val="auto"/>
              <w:sz w:val="44"/>
              <w:szCs w:val="44"/>
              <w:highlight w:val="none"/>
            </w:rPr>
            <w:t xml:space="preserve">目  录</w:t>
          </w:r>
          <w:r/>
        </w:p>
        <w:p>
          <w:pPr>
            <w:pStyle w:val="979"/>
            <w:rPr>
              <w:rFonts w:hint="eastAsia" w:ascii="宋体" w:hAnsi="宋体" w:eastAsia="宋体" w:cs="宋体"/>
              <w:bCs/>
              <w:color w:val="auto"/>
              <w:sz w:val="28"/>
              <w:szCs w:val="44"/>
              <w:highlight w:val="none"/>
            </w:rPr>
          </w:pPr>
          <w:r>
            <w:rPr>
              <w:rFonts w:hint="eastAsia" w:ascii="宋体" w:hAnsi="宋体" w:eastAsia="宋体" w:cs="宋体"/>
              <w:bCs/>
              <w:color w:val="auto"/>
              <w:sz w:val="28"/>
              <w:szCs w:val="44"/>
              <w:highlight w:val="none"/>
            </w:rPr>
          </w:r>
          <w:r/>
        </w:p>
        <w:p>
          <w:pPr>
            <w:pStyle w:val="979"/>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第一章  投标邀请</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"__RefHeading___Toc162361610" \h </w:instrText>
          </w:r>
          <w:r>
            <w:rPr>
              <w:color w:val="auto"/>
              <w:highlight w:val="none"/>
            </w:rPr>
            <w:fldChar w:fldCharType="separate"/>
          </w:r>
          <w:r>
            <w:rPr>
              <w:rStyle w:val="1211"/>
              <w:rFonts w:hint="eastAsia" w:ascii="宋体" w:hAnsi="宋体" w:eastAsia="宋体" w:cs="宋体"/>
              <w:color w:val="auto"/>
              <w:sz w:val="28"/>
              <w:highlight w:val="none"/>
            </w:rPr>
            <w:t xml:space="preserve">1</w:t>
          </w:r>
          <w:r>
            <w:rPr>
              <w:rStyle w:val="1211"/>
              <w:rFonts w:hint="eastAsia" w:ascii="宋体" w:hAnsi="宋体" w:eastAsia="宋体" w:cs="宋体"/>
              <w:color w:val="auto"/>
              <w:sz w:val="28"/>
              <w:highlight w:val="none"/>
            </w:rPr>
            <w:fldChar w:fldCharType="end"/>
          </w:r>
          <w:r/>
        </w:p>
        <w:p>
          <w:pPr>
            <w:pStyle w:val="979"/>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"__RefHeading___Toc162361611" \h </w:instrText>
          </w:r>
          <w:r>
            <w:rPr>
              <w:color w:val="auto"/>
              <w:highlight w:val="none"/>
            </w:rPr>
            <w:fldChar w:fldCharType="separate"/>
          </w:r>
          <w:r>
            <w:rPr>
              <w:rStyle w:val="1211"/>
              <w:rFonts w:hint="eastAsia" w:ascii="宋体" w:hAnsi="宋体" w:eastAsia="宋体" w:cs="宋体"/>
              <w:color w:val="auto"/>
              <w:sz w:val="28"/>
              <w:highlight w:val="none"/>
            </w:rPr>
            <w:t xml:space="preserve">5</w:t>
          </w:r>
          <w:r>
            <w:rPr>
              <w:rStyle w:val="1211"/>
              <w:rFonts w:hint="eastAsia" w:ascii="宋体" w:hAnsi="宋体" w:eastAsia="宋体" w:cs="宋体"/>
              <w:color w:val="auto"/>
              <w:sz w:val="28"/>
              <w:highlight w:val="none"/>
            </w:rPr>
            <w:fldChar w:fldCharType="end"/>
          </w:r>
          <w:r/>
        </w:p>
        <w:p>
          <w:pPr>
            <w:pStyle w:val="979"/>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第三章  合同文本</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"__RefHeading___Toc162361612" \h </w:instrText>
          </w:r>
          <w:r>
            <w:rPr>
              <w:color w:val="auto"/>
              <w:highlight w:val="none"/>
            </w:rPr>
            <w:fldChar w:fldCharType="separate"/>
          </w:r>
          <w:r>
            <w:rPr>
              <w:rStyle w:val="1211"/>
              <w:rFonts w:hint="eastAsia" w:ascii="宋体" w:hAnsi="宋体" w:eastAsia="宋体" w:cs="宋体"/>
              <w:color w:val="auto"/>
              <w:sz w:val="28"/>
              <w:highlight w:val="none"/>
            </w:rPr>
            <w:t xml:space="preserve">21</w:t>
          </w:r>
          <w:r>
            <w:rPr>
              <w:rStyle w:val="1211"/>
              <w:rFonts w:hint="eastAsia" w:ascii="宋体" w:hAnsi="宋体" w:eastAsia="宋体" w:cs="宋体"/>
              <w:color w:val="auto"/>
              <w:sz w:val="28"/>
              <w:highlight w:val="none"/>
            </w:rPr>
            <w:fldChar w:fldCharType="end"/>
          </w:r>
          <w:r/>
        </w:p>
        <w:p>
          <w:pPr>
            <w:pStyle w:val="979"/>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第四章  采购需求</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"__RefHeading___Toc162361613" \h </w:instrText>
          </w:r>
          <w:r>
            <w:rPr>
              <w:color w:val="auto"/>
              <w:highlight w:val="none"/>
            </w:rPr>
            <w:fldChar w:fldCharType="separate"/>
          </w:r>
          <w:r>
            <w:rPr>
              <w:rStyle w:val="1211"/>
              <w:rFonts w:hint="eastAsia" w:ascii="宋体" w:hAnsi="宋体" w:eastAsia="宋体" w:cs="宋体"/>
              <w:color w:val="auto"/>
              <w:sz w:val="28"/>
              <w:highlight w:val="none"/>
            </w:rPr>
            <w:t xml:space="preserve">22</w:t>
          </w:r>
          <w:r>
            <w:rPr>
              <w:rStyle w:val="1211"/>
              <w:rFonts w:hint="eastAsia" w:ascii="宋体" w:hAnsi="宋体" w:eastAsia="宋体" w:cs="宋体"/>
              <w:color w:val="auto"/>
              <w:sz w:val="28"/>
              <w:highlight w:val="none"/>
            </w:rPr>
            <w:fldChar w:fldCharType="end"/>
          </w:r>
          <w:r/>
        </w:p>
        <w:p>
          <w:pPr>
            <w:pStyle w:val="979"/>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第五章  评标方法与评标标准</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"__RefHeading___Toc162361614" \h </w:instrText>
          </w:r>
          <w:r>
            <w:rPr>
              <w:color w:val="auto"/>
              <w:highlight w:val="none"/>
            </w:rPr>
            <w:fldChar w:fldCharType="separate"/>
          </w:r>
          <w:r>
            <w:rPr>
              <w:rStyle w:val="1211"/>
              <w:rFonts w:hint="eastAsia" w:ascii="宋体" w:hAnsi="宋体" w:eastAsia="宋体" w:cs="宋体"/>
              <w:color w:val="auto"/>
              <w:sz w:val="28"/>
              <w:highlight w:val="none"/>
            </w:rPr>
            <w:t xml:space="preserve">25</w:t>
          </w:r>
          <w:r>
            <w:rPr>
              <w:rStyle w:val="1211"/>
              <w:rFonts w:hint="eastAsia" w:ascii="宋体" w:hAnsi="宋体" w:eastAsia="宋体" w:cs="宋体"/>
              <w:color w:val="auto"/>
              <w:sz w:val="28"/>
              <w:highlight w:val="none"/>
            </w:rPr>
            <w:fldChar w:fldCharType="end"/>
          </w:r>
          <w:r/>
        </w:p>
        <w:p>
          <w:pPr>
            <w:pStyle w:val="979"/>
            <w:rPr>
              <w:rFonts w:hint="eastAsia" w:ascii="宋体" w:hAnsi="宋体" w:eastAsia="宋体" w:cs="宋体"/>
              <w:color w:val="auto"/>
              <w:highlight w:val="none"/>
            </w:rPr>
          </w:pPr>
          <w:r>
            <w:rPr>
              <w:rFonts w:hint="eastAsia" w:ascii="宋体" w:hAnsi="宋体" w:eastAsia="宋体" w:cs="宋体"/>
              <w:color w:val="auto"/>
              <w:sz w:val="28"/>
              <w:highlight w:val="none"/>
            </w:rPr>
            <w:t xml:space="preserve">第六章  投标文件格式</w:t>
          </w:r>
          <w:r>
            <w:rPr>
              <w:rFonts w:hint="eastAsia" w:ascii="宋体" w:hAnsi="宋体" w:eastAsia="宋体" w:cs="宋体"/>
              <w:color w:val="auto"/>
              <w:sz w:val="28"/>
              <w:highlight w:val="none"/>
            </w:rPr>
            <w:tab/>
          </w:r>
          <w:r>
            <w:rPr>
              <w:color w:val="auto"/>
              <w:highlight w:val="none"/>
            </w:rPr>
            <w:fldChar w:fldCharType="begin"/>
          </w:r>
          <w:r>
            <w:rPr>
              <w:color w:val="auto"/>
              <w:highlight w:val="none"/>
            </w:rPr>
            <w:instrText xml:space="preserve"> HYPERLINK \l "__RefHeading___Toc162361615" \h </w:instrText>
          </w:r>
          <w:r>
            <w:rPr>
              <w:color w:val="auto"/>
              <w:highlight w:val="none"/>
            </w:rPr>
            <w:fldChar w:fldCharType="separate"/>
          </w:r>
          <w:r>
            <w:rPr>
              <w:rStyle w:val="1211"/>
              <w:rFonts w:hint="eastAsia" w:ascii="宋体" w:hAnsi="宋体" w:eastAsia="宋体" w:cs="宋体"/>
              <w:color w:val="auto"/>
              <w:sz w:val="28"/>
              <w:highlight w:val="none"/>
            </w:rPr>
            <w:t xml:space="preserve">41</w:t>
          </w:r>
          <w:r>
            <w:rPr>
              <w:rStyle w:val="1211"/>
              <w:rFonts w:hint="eastAsia" w:ascii="宋体" w:hAnsi="宋体" w:eastAsia="宋体" w:cs="宋体"/>
              <w:color w:val="auto"/>
              <w:sz w:val="28"/>
              <w:highlight w:val="none"/>
            </w:rPr>
            <w:fldChar w:fldCharType="end"/>
          </w:r>
          <w:r>
            <w:rPr>
              <w:rStyle w:val="1211"/>
              <w:rFonts w:hint="eastAsia" w:ascii="宋体" w:hAnsi="宋体" w:eastAsia="宋体" w:cs="宋体"/>
              <w:color w:val="auto"/>
              <w:sz w:val="28"/>
              <w:highlight w:val="none"/>
            </w:rPr>
            <w:fldChar w:fldCharType="end"/>
          </w:r>
          <w:r/>
        </w:p>
      </w:sdtContent>
    </w:sdt>
    <w:p>
      <w:pPr>
        <w:jc w:val="left"/>
        <w:spacing w:line="360" w:lineRule="auto"/>
        <w:widowControl/>
        <w:rPr>
          <w:rFonts w:hint="eastAsia" w:ascii="宋体" w:hAnsi="宋体" w:eastAsia="宋体" w:cs="宋体"/>
          <w:color w:val="auto"/>
          <w:sz w:val="28"/>
          <w:highlight w:val="none"/>
        </w:rPr>
        <w:sectPr>
          <w:footerReference w:type="default" r:id="rId14"/>
          <w:footnotePr/>
          <w:endnotePr/>
          <w:type w:val="nextPage"/>
          <w:pgSz w:w="11906" w:h="16838" w:orient="portrait"/>
          <w:pgMar w:top="1134" w:right="1134" w:bottom="1134" w:left="1134" w:header="0" w:footer="992" w:gutter="0"/>
          <w:cols w:num="1" w:sep="0" w:space="720" w:equalWidth="1"/>
          <w:docGrid w:linePitch="360"/>
        </w:sectPr>
      </w:pPr>
      <w:r>
        <w:rPr>
          <w:rFonts w:hint="eastAsia" w:ascii="宋体" w:hAnsi="宋体" w:eastAsia="宋体" w:cs="宋体"/>
          <w:color w:val="auto"/>
          <w:sz w:val="28"/>
          <w:highlight w:val="none"/>
        </w:rPr>
      </w:r>
      <w:r/>
    </w:p>
    <w:p>
      <w:pPr>
        <w:pStyle w:val="952"/>
        <w:jc w:val="center"/>
        <w:spacing w:line="360" w:lineRule="auto"/>
        <w:rPr>
          <w:rFonts w:hint="eastAsia" w:ascii="宋体" w:hAnsi="宋体" w:eastAsia="宋体" w:cs="宋体"/>
          <w:color w:val="auto"/>
          <w:highlight w:val="none"/>
        </w:rPr>
      </w:pPr>
      <w:r/>
      <w:bookmarkStart w:id="0" w:name="__RefHeading___Toc162361610"/>
      <w:r/>
      <w:bookmarkEnd w:id="0"/>
      <w:r>
        <w:rPr>
          <w:rFonts w:hint="eastAsia" w:ascii="宋体" w:hAnsi="宋体" w:eastAsia="宋体" w:cs="宋体"/>
          <w:color w:val="auto"/>
          <w:highlight w:val="none"/>
        </w:rPr>
        <w:t xml:space="preserve">第一章 投标邀请</w:t>
      </w:r>
      <w:r/>
    </w:p>
    <w:tbl>
      <w:tblPr>
        <w:tblStyle w:val="962"/>
        <w:tblW w:w="9242" w:type="dxa"/>
        <w:tblInd w:w="-113" w:type="dxa"/>
        <w:tblLayout w:type="fixed"/>
        <w:tblCellMar>
          <w:left w:w="108" w:type="dxa"/>
          <w:top w:w="0" w:type="dxa"/>
          <w:right w:w="108" w:type="dxa"/>
          <w:bottom w:w="0" w:type="dxa"/>
        </w:tblCellMar>
        <w:tblLook w:val="04A0" w:firstRow="1" w:lastRow="0" w:firstColumn="1" w:lastColumn="0" w:noHBand="0" w:noVBand="1"/>
      </w:tblPr>
      <w:tblGrid>
        <w:gridCol w:w="9242"/>
      </w:tblGrid>
      <w:tr>
        <w:trPr/>
        <w:tc>
          <w:tcPr>
            <w:tcBorders>
              <w:top w:val="single" w:color="000000" w:sz="4" w:space="0"/>
              <w:left w:val="single" w:color="000000" w:sz="4" w:space="0"/>
              <w:bottom w:val="single" w:color="000000" w:sz="4" w:space="0"/>
              <w:right w:val="single" w:color="000000" w:sz="4" w:space="0"/>
            </w:tcBorders>
            <w:tcW w:w="9242" w:type="dxa"/>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2"/>
              <w:spacing w:line="500" w:lineRule="exact"/>
              <w:rPr>
                <w:rFonts w:hint="eastAsia" w:ascii="宋体" w:hAnsi="宋体" w:eastAsia="宋体" w:cs="宋体"/>
                <w:color w:val="auto"/>
                <w:highlight w:val="none"/>
              </w:rPr>
            </w:pPr>
            <w:r>
              <w:rPr>
                <w:rFonts w:hint="eastAsia" w:ascii="宋体" w:hAnsi="宋体" w:eastAsia="宋体" w:cs="宋体"/>
                <w:b/>
                <w:color w:val="auto"/>
                <w:sz w:val="24"/>
                <w:szCs w:val="24"/>
                <w:highlight w:val="none"/>
                <w:u w:val="single"/>
              </w:rPr>
              <w:t xml:space="preserve">江苏连云港化工产业园区地下水污染风险管控项目（非专门面向中小企业）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rPr>
              <w:t xml:space="preserve">2026年</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29</w:t>
            </w:r>
            <w:r>
              <w:rPr>
                <w:rFonts w:hint="eastAsia" w:ascii="宋体" w:hAnsi="宋体" w:eastAsia="宋体" w:cs="宋体"/>
                <w:b/>
                <w:color w:val="auto"/>
                <w:sz w:val="24"/>
                <w:szCs w:val="24"/>
                <w:highlight w:val="none"/>
                <w:u w:val="single"/>
              </w:rPr>
              <w:t xml:space="preserve">日10:00:00</w:t>
            </w:r>
            <w:r>
              <w:rPr>
                <w:rFonts w:hint="eastAsia" w:ascii="宋体" w:hAnsi="宋体" w:eastAsia="宋体" w:cs="宋体"/>
                <w:color w:val="auto"/>
                <w:sz w:val="24"/>
                <w:szCs w:val="24"/>
                <w:highlight w:val="none"/>
              </w:rPr>
              <w:t xml:space="preserve">（北京时间）前递交（上传）投标文件。</w:t>
            </w:r>
            <w:r/>
          </w:p>
        </w:tc>
      </w:tr>
    </w:tbl>
    <w:p>
      <w:pPr>
        <w:pStyle w:val="953"/>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JSZC-320724-XZBM-G2026-0012</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项目名称：江苏连云港化工产业园区地下水污染风险管控项目（非专门面向中小企业）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预算资金：4008万元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最高限价：4008万元，投标报价超过最高限价的投标无效。</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采购需求：</w:t>
      </w:r>
      <w:r>
        <w:rPr>
          <w:rFonts w:hint="eastAsia" w:ascii="Times New Roman" w:hAnsi="Times New Roman" w:eastAsia="宋体" w:cs="Times New Roman"/>
          <w:color w:val="auto"/>
          <w:sz w:val="24"/>
          <w:szCs w:val="24"/>
          <w:highlight w:val="none"/>
        </w:rPr>
        <w:t xml:space="preserve">根据生态环境部《化工园地下水污染专项整治工作方案》要求和园区地下水调查评估结果，江苏连云港化工产业园区亟需开展地下水污染风险管控及相关配套服务等工作。具体内容包括：仅超标但风险可接受区域，实施长期监测预警；地下水风险不可接受区域，采取风险管控措施。</w:t>
      </w:r>
      <w:r>
        <w:rPr>
          <w:rFonts w:hint="eastAsia" w:ascii="宋体" w:hAnsi="宋体" w:eastAsia="宋体" w:cs="宋体"/>
          <w:color w:val="auto"/>
          <w:sz w:val="24"/>
          <w:szCs w:val="24"/>
          <w:highlight w:val="none"/>
        </w:rPr>
        <w:t xml:space="preserve">具体要求详见第四章“采购需求”。</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对项目需求部分的询问、质疑请与采购人联系，由采购人负责答复。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合同履行期限（服务期限）：自合同签订之日起至2027年12月31日前完成全部服务工作（不含地下水治理效果评估期）。 </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联合体投标。</w:t>
      </w:r>
      <w:r/>
    </w:p>
    <w:p>
      <w:pPr>
        <w:pStyle w:val="953"/>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rPr>
        <w:t xml:space="preserve">如为联合体投标，以下材料联合体各方均需提供且均应满足）</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3.依法缴纳税收和社会保障资金的相关证明材料（按连财购【2023】4号文件要求，符合要求的提交《财务状况报告及税收、社会保障资金缴纳情况承诺函》，并上传至电子响应文件中(格式详见采购文件)；</w:t>
      </w:r>
      <w:r/>
    </w:p>
    <w:p>
      <w:pPr>
        <w:ind w:firstLine="480"/>
        <w:spacing w:line="3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3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4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4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（二）落实政府采购政策需满足的资格要求：无。</w:t>
      </w:r>
      <w:r/>
    </w:p>
    <w:p>
      <w:pPr>
        <w:ind w:firstLine="480"/>
        <w:spacing w:line="34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（三）本项目的特定资格要求：</w:t>
      </w:r>
      <w:r/>
    </w:p>
    <w:p>
      <w:pPr>
        <w:ind w:firstLine="480"/>
        <w:spacing w:line="34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（1）投标人须具备有效的建设行政主管部门核发的环保工程专业承包</w:t>
      </w:r>
      <w:r>
        <w:rPr>
          <w:rFonts w:hint="eastAsia" w:ascii="宋体" w:hAnsi="宋体" w:eastAsia="宋体" w:cs="宋体"/>
          <w:b/>
          <w:color w:val="auto"/>
          <w:sz w:val="24"/>
          <w:szCs w:val="24"/>
          <w:highlight w:val="none"/>
          <w:lang w:val="en-US" w:eastAsia="zh-CN"/>
        </w:rPr>
        <w:t xml:space="preserve">壹</w:t>
      </w:r>
      <w:r>
        <w:rPr>
          <w:rFonts w:hint="eastAsia" w:ascii="宋体" w:hAnsi="宋体" w:eastAsia="宋体" w:cs="宋体"/>
          <w:b/>
          <w:color w:val="auto"/>
          <w:sz w:val="24"/>
          <w:szCs w:val="24"/>
          <w:highlight w:val="none"/>
        </w:rPr>
        <w:t xml:space="preserve">级资质并取得有效的安全生产许可证；</w:t>
      </w:r>
      <w:r/>
    </w:p>
    <w:p>
      <w:pPr>
        <w:ind w:firstLine="480"/>
        <w:spacing w:line="34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（2）投标人须具备有效的建设行政主管部门核发的市政公用工程施工总承包</w:t>
      </w:r>
      <w:r>
        <w:rPr>
          <w:rFonts w:hint="eastAsia" w:ascii="宋体" w:hAnsi="宋体" w:eastAsia="宋体" w:cs="宋体"/>
          <w:b/>
          <w:color w:val="auto"/>
          <w:sz w:val="24"/>
          <w:szCs w:val="24"/>
          <w:highlight w:val="none"/>
          <w:lang w:val="en-US" w:eastAsia="zh-CN"/>
        </w:rPr>
        <w:t xml:space="preserve">叁</w:t>
      </w:r>
      <w:r>
        <w:rPr>
          <w:rFonts w:hint="eastAsia" w:ascii="宋体" w:hAnsi="宋体" w:eastAsia="宋体" w:cs="宋体"/>
          <w:b/>
          <w:color w:val="auto"/>
          <w:sz w:val="24"/>
          <w:szCs w:val="24"/>
          <w:highlight w:val="none"/>
        </w:rPr>
        <w:t xml:space="preserve">级及以上资质并取得有效的安全生产许可证。</w:t>
      </w:r>
      <w:r/>
    </w:p>
    <w:p>
      <w:pPr>
        <w:ind w:firstLine="480"/>
        <w:spacing w:line="34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注：投标人须同时具备上述（1）（2）项要求</w:t>
      </w:r>
      <w:r>
        <w:rPr>
          <w:rFonts w:hint="eastAsia" w:ascii="宋体" w:hAnsi="宋体" w:eastAsia="宋体" w:cs="宋体"/>
          <w:b/>
          <w:color w:val="auto"/>
          <w:sz w:val="24"/>
          <w:szCs w:val="24"/>
          <w:highlight w:val="none"/>
          <w:lang w:val="en-US" w:eastAsia="zh-CN"/>
        </w:rPr>
        <w:t xml:space="preserve">方可</w:t>
      </w:r>
      <w:r>
        <w:rPr>
          <w:rFonts w:hint="eastAsia" w:ascii="宋体" w:hAnsi="宋体" w:eastAsia="宋体" w:cs="宋体"/>
          <w:b/>
          <w:color w:val="auto"/>
          <w:sz w:val="24"/>
          <w:szCs w:val="24"/>
          <w:highlight w:val="none"/>
        </w:rPr>
        <w:t xml:space="preserve">独立参与投标，或由具备以上</w:t>
      </w:r>
      <w:r>
        <w:rPr>
          <w:rFonts w:hint="eastAsia" w:ascii="宋体" w:hAnsi="宋体" w:eastAsia="宋体" w:cs="宋体"/>
          <w:b/>
          <w:color w:val="auto"/>
          <w:sz w:val="24"/>
          <w:szCs w:val="24"/>
          <w:highlight w:val="none"/>
          <w:lang w:val="en-US" w:eastAsia="zh-CN"/>
        </w:rPr>
        <w:t xml:space="preserve">相应</w:t>
      </w:r>
      <w:r>
        <w:rPr>
          <w:rFonts w:hint="eastAsia" w:ascii="宋体" w:hAnsi="宋体" w:eastAsia="宋体" w:cs="宋体"/>
          <w:b/>
          <w:color w:val="auto"/>
          <w:sz w:val="24"/>
          <w:szCs w:val="24"/>
          <w:highlight w:val="none"/>
        </w:rPr>
        <w:t xml:space="preserve">资质的投标人组成联合体参与投标，联合体牵头单位须具备建设行政主管部门核发的环保工程专业承包</w:t>
      </w:r>
      <w:r>
        <w:rPr>
          <w:rFonts w:hint="eastAsia" w:ascii="宋体" w:hAnsi="宋体" w:eastAsia="宋体" w:cs="宋体"/>
          <w:b/>
          <w:color w:val="auto"/>
          <w:sz w:val="24"/>
          <w:szCs w:val="24"/>
          <w:highlight w:val="none"/>
          <w:lang w:val="en-US" w:eastAsia="zh-CN"/>
        </w:rPr>
        <w:t xml:space="preserve">壹</w:t>
      </w:r>
      <w:r>
        <w:rPr>
          <w:rFonts w:hint="eastAsia" w:ascii="宋体" w:hAnsi="宋体" w:eastAsia="宋体" w:cs="宋体"/>
          <w:b/>
          <w:color w:val="auto"/>
          <w:sz w:val="24"/>
          <w:szCs w:val="24"/>
          <w:highlight w:val="none"/>
        </w:rPr>
        <w:t xml:space="preserve">级资质并取得有效的安全生产许可证，联合体单位数量不得超过两个，联合体各方应共同签署联合体协议，协议</w:t>
      </w:r>
      <w:r>
        <w:rPr>
          <w:rFonts w:hint="eastAsia" w:ascii="宋体" w:hAnsi="宋体" w:eastAsia="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须明确联合体牵头单位</w:t>
      </w:r>
      <w:r>
        <w:rPr>
          <w:rFonts w:hint="eastAsia" w:ascii="宋体" w:hAnsi="宋体" w:eastAsia="宋体" w:cs="宋体"/>
          <w:b/>
          <w:color w:val="auto"/>
          <w:sz w:val="24"/>
          <w:szCs w:val="24"/>
          <w:highlight w:val="none"/>
          <w:lang w:val="en-US" w:eastAsia="zh-CN"/>
        </w:rPr>
        <w:t xml:space="preserve">及各方</w:t>
      </w:r>
      <w:r>
        <w:rPr>
          <w:rFonts w:hint="eastAsia" w:ascii="宋体" w:hAnsi="宋体" w:eastAsia="宋体" w:cs="宋体"/>
          <w:b/>
          <w:color w:val="auto"/>
          <w:sz w:val="24"/>
          <w:szCs w:val="24"/>
          <w:highlight w:val="none"/>
        </w:rPr>
        <w:t xml:space="preserve">分工。</w:t>
      </w:r>
      <w:r>
        <w:rPr>
          <w:rFonts w:hint="eastAsia" w:ascii="宋体" w:hAnsi="宋体" w:eastAsia="宋体" w:cs="宋体"/>
          <w:b/>
          <w:color w:val="auto"/>
          <w:sz w:val="24"/>
          <w:szCs w:val="24"/>
          <w:highlight w:val="none"/>
          <w:lang w:val="en-US" w:eastAsia="zh-CN"/>
        </w:rPr>
        <w:t xml:space="preserve">本项目的</w:t>
      </w:r>
      <w:r>
        <w:rPr>
          <w:rFonts w:hint="eastAsia" w:ascii="宋体" w:hAnsi="宋体" w:eastAsia="宋体" w:cs="宋体"/>
          <w:b/>
          <w:color w:val="auto"/>
          <w:sz w:val="24"/>
          <w:szCs w:val="24"/>
          <w:highlight w:val="none"/>
        </w:rPr>
        <w:t xml:space="preserve">项目负责人须由联合体牵头</w:t>
      </w:r>
      <w:r>
        <w:rPr>
          <w:rFonts w:hint="eastAsia" w:ascii="宋体" w:hAnsi="宋体" w:eastAsia="宋体" w:cs="宋体"/>
          <w:b/>
          <w:color w:val="auto"/>
          <w:sz w:val="24"/>
          <w:szCs w:val="24"/>
          <w:highlight w:val="none"/>
          <w:lang w:val="en-US" w:eastAsia="zh-CN"/>
        </w:rPr>
        <w:t xml:space="preserve">单位</w:t>
      </w:r>
      <w:r>
        <w:rPr>
          <w:rFonts w:hint="eastAsia" w:ascii="宋体" w:hAnsi="宋体" w:eastAsia="宋体" w:cs="宋体"/>
          <w:b/>
          <w:color w:val="auto"/>
          <w:sz w:val="24"/>
          <w:szCs w:val="24"/>
          <w:highlight w:val="none"/>
        </w:rPr>
        <w:t xml:space="preserve">委派。联合体各方不得再单独参与或另行组建联合体参与本项目；联合体中标后共同签订合同，承担连带责任。</w:t>
      </w:r>
      <w:r/>
    </w:p>
    <w:p>
      <w:pPr>
        <w:pStyle w:val="953"/>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1.时间：自采购文件公告发布之日起5个工作日。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（1）潜在供应商访问电子招标投标交易平台的网络地址和方法：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⑤招标代理机构（采购代理机构）将数据电文形式的招标文件加载至“苏采云”系统，供潜在供应商下载或者查阅。</w:t>
      </w:r>
      <w:r/>
    </w:p>
    <w:p>
      <w:pPr>
        <w:pStyle w:val="953"/>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1.投标文件接收截止时间：2026年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日10点00分（北京时间）。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地点：“苏采云”政府采购交易系统网上开标大厅。请潜在投标单位提前安装相应的控件（详见《江苏省政府采购管理交易系统（苏采云）供应商操作手册》)并使用谷歌浏览器登录“苏采云”系统参与不见面开评标。</w:t>
      </w:r>
      <w:r/>
    </w:p>
    <w:p>
      <w:pPr>
        <w:pStyle w:val="953"/>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53"/>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2.本招标文件中标注★的款项为实质性要求和条件，投标人须逐条做出满足实质性要求和条件的响应，否则将按无效响应处理。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53"/>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numPr>
          <w:ilvl w:val="0"/>
          <w:numId w:val="4"/>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采购人信息</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 江苏连云港化工产业园区管理委员会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地址：灌南县堆沟港镇紫藤街1号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联系人：朱主任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联系方式：18352026385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称：江苏博茂项目管理有限公司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址：连云港市海州经济技术开发区朐凤路116号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于俊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13675293742</w:t>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t xml:space="preserve">八、电子招投标说明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1.本项目采用电子招标投标，请投标人严格按照招标文件的规定编制、提交投标文件，否则所造成的一切不利后果由投标人自行承担。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2.投标人应当通过“苏采云”系统提交数据电文形式的投标文件（即电子投标）。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特别说明：本项目采用线上投标，即投标人投标文件需通过“苏采云”系统提交，未提供线上投标文件的，投标无效。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3.电子投标文件应由其法定代表人或法定代表人授权代表在规定的网上投标时间内，凭CA证书登录“苏采云”系统在线编制投标文件（电子数据），并在投标文件递交截止时间之前上传投标文件。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jc w:val="center"/>
        <w:keepLines w:val="0"/>
        <w:keepNext w:val="0"/>
        <w:spacing w:after="0" w:line="360" w:lineRule="auto"/>
        <w:rPr>
          <w:rFonts w:hint="eastAsia" w:ascii="宋体" w:hAnsi="宋体" w:eastAsia="宋体" w:cs="宋体"/>
          <w:b w:val="0"/>
          <w:color w:val="auto"/>
          <w:highlight w:val="none"/>
        </w:rPr>
      </w:pPr>
      <w:r/>
      <w:bookmarkStart w:id="1" w:name="__RefHeading___Toc162361611"/>
      <w:r/>
      <w:bookmarkEnd w:id="1"/>
      <w:r>
        <w:rPr>
          <w:rFonts w:hint="eastAsia" w:ascii="宋体" w:hAnsi="宋体" w:eastAsia="宋体" w:cs="宋体"/>
          <w:b w:val="0"/>
          <w:color w:val="auto"/>
          <w:highlight w:val="none"/>
        </w:rPr>
        <w:t xml:space="preserve">第二章 投标人须知</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投标人应自行承担所有与参加投标有关的费用，无论投标过程中的做法和结果如何，江苏博茂项目管理有限公司（以下简称代理机构）在任何情况下均无义务和责任承担这些费用。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招标代理服务费按苏招协【2022】002号文服务采购收费标准下浮50%计取。由中标人支付，投标人在报价时应综合考虑以上相关费用，但不得单列。相关费用必须在中标公示后中标通知书发出前由中标人一次性付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任何要求对招标文件进行澄清的投标人，应在投标截止期十日前按招标公告中的通讯地址，以书面形式通知采购人或者代理机构。</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在投标截止时间前，代理机构可以对招标文件进行修改。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代理机构有权按照法定的要求推迟投标截止日期和开标日期。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实质性要求和条件作出明确响应，并保证所提供的全部资料的真实性，否则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9.3本招标文件中要求加盖CA电子签章的地方，如联合体参加投标，由联合体牵头人签章提交，联合体协议按要求提供。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10、投标文件的语言及度量衡单位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500" w:lineRule="exact"/>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500" w:lineRule="exact"/>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18、电子投标文件的递交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投标人应充分考虑到计算机硬件、软件及网络环境等风险因素，如因投标人自身原因造成电子投标文件递交（上传）不成功的按照本招标文件第二章第27.1条规定作无效投标处理。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26、对投标文件的初审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本招标文件中标注有★为实质性要求和条件，投标人必须逐条做出满足实质性要求和条件的响应，否则将按无效响应处理。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投标人在开、评标全过程中应保持通讯畅通，及时登录“苏采云”系统查阅、答复相关信息，并安排专人与代理机构及评委会联系。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
          <w:bCs/>
          <w:color w:val="auto"/>
          <w:sz w:val="24"/>
          <w:szCs w:val="24"/>
          <w:highlight w:val="none"/>
        </w:rPr>
        <w:t xml:space="preserve">无效投标条款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（8）不符合招标文件中规定的实质性要求和条件的（本招标文件中标注★的款项为实质性要求和条件，投标人须逐条做出满足实质性要求和条件的响应，否则将按无效响应处理）。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（13）启动异常低价投标（响应）审查的情形和具体要求，包括：</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（一）评审过程中出现下列情形之一的，评审委员会应当启动异常低价投标（响应）审查程序：</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1.投标（响应）报价低于全部通过符合性审查供应商投标（响应）报价平均值65%的，即投标（响应）报价&lt;全部通过符合性审查供应商投标（响应）报价平均值×65%；</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2.投标（响应）报价低于通过符合性审查的次低报价供应商投标（响应）报价65%的，即投标（响应）报价&lt;通过符合性审查的次低报价供应商投标（响应）报价×65%；</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3.投标（响应）报价低于采购项目最高限价65%的，即投标（响应）报价&lt;采购项目最高限价×65%；</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二）评审委员会启动异常低价投标（响应）审查后，属于前述第1项至第4项情形的，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（14）其他法律、法规及本招标文件规定的属于无效投标的情形。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
          <w:bCs/>
          <w:color w:val="auto"/>
          <w:sz w:val="24"/>
          <w:szCs w:val="24"/>
          <w:highlight w:val="none"/>
        </w:rPr>
        <w:t xml:space="preserve">废标条款</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29.3 中标人在中标后七个工作日内，需向采购人和</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各提供一份与电子投标文件一致的纸质打印胶装投标文件，封面、骑缝需加盖公章。</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30.1履约保证金</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30.2中标人违约的，采购人将按照合同约定扣除其全部或部分履约保证金。如中标人违约给采购人造成的损失超过履约保证金的，应当依法赔偿超过部分的损失。</w:t>
      </w:r>
      <w:r/>
    </w:p>
    <w:p>
      <w:pPr>
        <w:pStyle w:val="990"/>
        <w:ind w:firstLine="60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30.3履约保证金自合同生效之日起至合同约定的中标人主要义务履行完毕止，采购人应当按合同约定及时退还履约保证金。</w:t>
      </w:r>
      <w:r/>
    </w:p>
    <w:p>
      <w:pPr>
        <w:pStyle w:val="990"/>
        <w:ind w:firstLine="60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30.4逾期退还履约保证金的采购人承担违约责任，按照中国人民银行同期贷款基准利率向中标人支付超期资金占用费。</w:t>
      </w:r>
      <w:r/>
    </w:p>
    <w:p>
      <w:pPr>
        <w:pStyle w:val="990"/>
        <w:ind w:firstLine="60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30.5本项目履约保证金要求详见招标文件第四章采购需求。</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rPr>
        <w:t xml:space="preserve">中标人不得将合同标的转包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32、服务（包含与服务相关的货物）的追加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（6）提出质疑的日期；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对不符合质疑要求的，采购人、代理机构有权要求其补充必要的证明材料，质疑供应商未在法定的时间内提供补充必要的证明材料的，视同放弃质疑。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采购人、代理机构依法受理的质疑，将按照政府采购有关规定，在法定期限内答复。</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37、质疑处理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953"/>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38、落实的政府采购政策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38.1、对于小型企业、微型企业、监狱企业、残疾人福利性单位报价以扣除优惠比率后的价格参与评审，但不作为中标价和合同签约价。中标价和合同签约价仍以其投标文件中的报价为准。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38.2、价格给予扣除标准：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w:t>
      </w:r>
      <w:r>
        <w:rPr>
          <w:rFonts w:hint="eastAsia" w:ascii="宋体" w:hAnsi="宋体" w:eastAsia="宋体" w:cs="宋体"/>
          <w:color w:val="auto"/>
          <w:sz w:val="24"/>
          <w:szCs w:val="24"/>
          <w:highlight w:val="none"/>
        </w:rPr>
        <w:t xml:space="preserve">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关于进一步加大政府采购支持中小企业力度的通知》（财库〔2022〕19号）的规定。对提供的服务全部由小型、微型企业、监狱企业、残疾人福利性单位承接的报价给予10%的扣除，用扣除后的价格参与评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中型企业与小微企业组成联合体，对于联合协议约定小微企业的合同份额占到合同总金额40%以上的，对联合体的报价给予4%的扣除，用扣除后的价格参加评审。组成联合体的小微企业与联合体内其他企业之间存在直接控股、管理关系的，不享受价格扣除优惠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38.3、参加政府采购活动的投标人享受价格评审优惠的应当提供的材料：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38.3.1 投标人为小型、微型企业的，提供《中小企业声明函》（第六章“投标文件格式”）。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38.3.2 投标人为残疾人福利性单位的，符合财库〔2017〕141号文件规定条件的残疾人福利性单位视同小型、微型企业，提供《残疾人福利性单位声明函》（第六章“投标文件格式”）。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38.3.3 投标人为监狱企业的，提供省级以上监狱管理局、戒毒管理局（含新疆生产建设兵团）出具的属于监狱企业的证明文件。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w:t>
      </w:r>
      <w:r>
        <w:rPr>
          <w:rFonts w:hint="eastAsia" w:ascii="宋体" w:hAnsi="宋体" w:eastAsia="宋体" w:cs="宋体"/>
          <w:color w:val="auto"/>
          <w:sz w:val="24"/>
          <w:szCs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38.3.4、以联合体形式参加政府采购活动，联合体各方均为中小企业的，联合体视同中小企业。其中，联合体各方均为小微企业的，联合体视同小微企业。</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39、支持绿色发展</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40、政府采购需求标准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41、政府采购中实施本国产品标准及相关政策（</w:t>
      </w:r>
      <w:r>
        <w:rPr>
          <w:rFonts w:hint="eastAsia" w:ascii="宋体" w:hAnsi="宋体" w:eastAsia="宋体" w:cs="宋体"/>
          <w:bCs/>
          <w:color w:val="auto"/>
          <w:sz w:val="24"/>
          <w:szCs w:val="24"/>
          <w:highlight w:val="none"/>
        </w:rPr>
        <w:t xml:space="preserve">本项目不涉及货物</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，不执行本国产品价格评审优惠</w:t>
      </w:r>
      <w:r>
        <w:rPr>
          <w:rFonts w:hint="eastAsia" w:ascii="宋体" w:hAnsi="宋体" w:eastAsia="宋体" w:cs="宋体"/>
          <w:b/>
          <w:color w:val="auto"/>
          <w:sz w:val="24"/>
          <w:highlight w:val="none"/>
        </w:rPr>
        <w:t xml:space="preserve">）</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41.1根据《国务院办公厅关于在政府采购中实施本国产品标准及相关政策的通知》（国办发〔2025〕34号）规定，本项目对采购本国产品给予政策支持。</w:t>
      </w:r>
      <w:r/>
    </w:p>
    <w:p>
      <w:pPr>
        <w:ind w:firstLine="482"/>
        <w:spacing w:line="56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41.2</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41.3 供应商为本采购包提供的符合本国产品标准的货物成本之和占供应商提供的整个采购包成本之和的比例达到80%以上时，依法对供应商整个采购包给予价格评审优惠，即对供应商整个采购包的总报价给予20%的价格扣除，用扣除后的价格参与评审。供应商未填写比例数值，或比例数值不足80%的，将不享受本国产品价格评审优惠。</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41.4 供应商需按照招标文件的要求提供《关于符合本国产品标准的声明函》（以下简称《声明函》），如不提供将不享受本国产品价格评审优惠。</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41.5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41.6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jc w:val="center"/>
        <w:rPr>
          <w:rFonts w:hint="eastAsia" w:ascii="宋体" w:hAnsi="宋体" w:eastAsia="宋体" w:cs="宋体"/>
          <w:color w:val="auto"/>
          <w:highlight w:val="none"/>
        </w:rPr>
      </w:pPr>
      <w:r/>
      <w:bookmarkStart w:id="2" w:name="__RefHeading___Toc162361612"/>
      <w:r/>
      <w:bookmarkEnd w:id="2"/>
      <w:r>
        <w:rPr>
          <w:rFonts w:hint="eastAsia" w:ascii="宋体" w:hAnsi="宋体" w:eastAsia="宋体" w:cs="宋体"/>
          <w:b w:val="0"/>
          <w:color w:val="auto"/>
          <w:highlight w:val="none"/>
        </w:rPr>
        <w:t xml:space="preserve">第三章 政府采购合同格式</w:t>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灌 南 县 政 府 采 购</w:t>
      </w:r>
      <w:r/>
    </w:p>
    <w:p>
      <w:pPr>
        <w:jc w:val="center"/>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r>
      <w:r/>
    </w:p>
    <w:p>
      <w:pPr>
        <w:jc w:val="center"/>
        <w:rPr>
          <w:rFonts w:hint="eastAsia" w:ascii="宋体" w:hAnsi="宋体" w:eastAsia="宋体" w:cs="宋体"/>
          <w:color w:val="auto"/>
          <w:highlight w:val="none"/>
        </w:rPr>
      </w:pPr>
      <w:r>
        <w:rPr>
          <w:rFonts w:hint="eastAsia" w:ascii="宋体" w:hAnsi="宋体" w:eastAsia="宋体" w:cs="宋体"/>
          <w:b/>
          <w:bCs/>
          <w:color w:val="auto"/>
          <w:sz w:val="44"/>
          <w:highlight w:val="none"/>
          <w:u w:val="single"/>
        </w:rPr>
        <w:t xml:space="preserve">        合同</w:t>
      </w:r>
      <w:r/>
    </w:p>
    <w:p>
      <w:pPr>
        <w:ind w:firstLine="420"/>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3507"/>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3507"/>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3507"/>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18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采购人：</w:t>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中标人：</w:t>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签订日期： 年  月  日</w:t>
      </w:r>
      <w:r>
        <w:rPr>
          <w:rFonts w:hint="eastAsia" w:ascii="宋体" w:hAnsi="宋体" w:eastAsia="宋体" w:cs="宋体"/>
          <w:color w:val="auto"/>
          <w:highlight w:val="none"/>
        </w:rPr>
        <w:br w:type="page" w:clear="all"/>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以下为中标后签订本项目合同的通用条款，中标人不得提出实质性的修改，关于专用条款将由采购人与中标人结合本项目具体情况协商后签订。</w:t>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灌南县政府采购合同（服务）</w:t>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甲、乙双方根据 年 月 日 项目（项目编号：）公开招标的结果，签订本合同。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2.1 本合同含税金额为人民币（大写）：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六、履约保证金</w:t>
      </w:r>
      <w:bookmarkStart w:id="3" w:name="_Hlk191626830"/>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本项目不收取履约保证金。</w:t>
      </w:r>
      <w:bookmarkEnd w:id="3"/>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七、合同转包或分包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本合同范围内产品或服务，应由乙方直接供应，未经甲方同意不得分包，禁止转包。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八、服务时间</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九、合同内容的交付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十、合同款支付</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本项目合同签订后预付合同总金额的30%；项目整体实施完毕并验收合格后支付至合同金额的80%；效果评估报告通过生态环境主管部门组织的专家评审后支付至合同金额的95%；审计结束后支付至审定价的100%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十一、税费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十二、质量保证及售后服务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12.3 如在使用过程中发生质量问题，乙方在接到甲方通知后 小时内到达甲方现场。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十三、项目验收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13.5.乙方完成承包范围内的全部服务后，向甲方提交项目总体验收报告，同时根据甲方档案管理规定及备案要求，提交完整的竣工验收资料4套，甲方组织乙方、监理单位、效果评估单位进行竣工验收。</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13.6.甲方收到乙方提交的竣工验收申请报告及完整的验收资料后20天内组织验收，若项目验收时，竣工验收资料尚不完整，或不完全符合主管部门要求的导致项目无法通过验收的，一切责任由乙方承担且甲方有权暂不予支付约定的款项，并不视为甲方违约；如不影响项目验收，项目验收通过后，乙方仍应按要求提交完整的符合要求的全套资料。</w:t>
      </w:r>
      <w:r/>
    </w:p>
    <w:p>
      <w:pPr>
        <w:pStyle w:val="990"/>
        <w:ind w:firstLine="42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13.7.竣工验收通过的，以实际通过验收之日为实际竣工日期，项目经整改后验收通过的，以整改后通过验收之日为工程实际竣工日期。</w:t>
      </w:r>
      <w:r/>
    </w:p>
    <w:p>
      <w:pPr>
        <w:pStyle w:val="990"/>
        <w:ind w:firstLine="42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十四、违约责任</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14.1.乙方如将本项目转包的，甲方有权立即终止合同并追究乙方违约责任，乙方需按合同金额的20%赔偿甲方违约金。因乙方转包导致甲方损失的，乙方还应赔偿甲方损失。</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14.2.如乙方在履行合同过程中发生重大安全作业事故、媒体曝光、拖欠员工工资等违规现象之一的，甲方有权即行中止合同，乙方必须无条件配合。</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14.3.甲方未按约支付应付进度款超过60日的，自第61日开始，每逾期一日，甲方按应付未付进度款的 </w:t>
      </w:r>
      <w:r>
        <w:rPr>
          <w:rFonts w:hint="eastAsia" w:ascii="宋体" w:hAnsi="宋体" w:eastAsia="宋体" w:cs="宋体"/>
          <w:color w:val="auto"/>
          <w:highlight w:val="none"/>
          <w:u w:val="single"/>
        </w:rPr>
        <w:t xml:space="preserve">万分之三 </w:t>
      </w:r>
      <w:r>
        <w:rPr>
          <w:rFonts w:hint="eastAsia" w:ascii="宋体" w:hAnsi="宋体" w:eastAsia="宋体" w:cs="宋体"/>
          <w:color w:val="auto"/>
          <w:highlight w:val="none"/>
        </w:rPr>
        <w:t xml:space="preserve">向乙方支付违约金，但乙方不得以甲方拖欠进度款为由暂停施工或延缓施工进度（项目进度）。</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14.44.项目未在合同约定工期（含节点工期）或签证顺延工期内完工的，乙方按下列标准支付违约金：逾期竣工</w:t>
      </w:r>
      <w:r>
        <w:rPr>
          <w:rFonts w:hint="eastAsia" w:ascii="宋体" w:hAnsi="宋体" w:eastAsia="宋体" w:cs="宋体"/>
          <w:color w:val="auto"/>
          <w:highlight w:val="none"/>
          <w:u w:val="single"/>
        </w:rPr>
        <w:t xml:space="preserve"> 30 </w:t>
      </w:r>
      <w:r>
        <w:rPr>
          <w:rFonts w:hint="eastAsia" w:ascii="宋体" w:hAnsi="宋体" w:eastAsia="宋体" w:cs="宋体"/>
          <w:color w:val="auto"/>
          <w:highlight w:val="none"/>
        </w:rPr>
        <w:t xml:space="preserve">天以内（含30天）的，每逾期一日，乙方按项目总造价的</w:t>
      </w:r>
      <w:r>
        <w:rPr>
          <w:rFonts w:hint="eastAsia" w:ascii="宋体" w:hAnsi="宋体" w:eastAsia="宋体" w:cs="宋体"/>
          <w:color w:val="auto"/>
          <w:highlight w:val="none"/>
          <w:u w:val="single"/>
        </w:rPr>
        <w:t xml:space="preserve">万分之五 </w:t>
      </w:r>
      <w:r>
        <w:rPr>
          <w:rFonts w:hint="eastAsia" w:ascii="宋体" w:hAnsi="宋体" w:eastAsia="宋体" w:cs="宋体"/>
          <w:color w:val="auto"/>
          <w:highlight w:val="none"/>
        </w:rPr>
        <w:t xml:space="preserve">向甲方支付违约金；逾期完工</w:t>
      </w:r>
      <w:r>
        <w:rPr>
          <w:rFonts w:hint="eastAsia" w:ascii="宋体" w:hAnsi="宋体" w:eastAsia="宋体" w:cs="宋体"/>
          <w:color w:val="auto"/>
          <w:highlight w:val="none"/>
          <w:u w:val="single"/>
        </w:rPr>
        <w:t xml:space="preserve"> 30 </w:t>
      </w:r>
      <w:r>
        <w:rPr>
          <w:rFonts w:hint="eastAsia" w:ascii="宋体" w:hAnsi="宋体" w:eastAsia="宋体" w:cs="宋体"/>
          <w:color w:val="auto"/>
          <w:highlight w:val="none"/>
        </w:rPr>
        <w:t xml:space="preserve">天以上的，每逾期一日，乙方按项目总造价的</w:t>
      </w:r>
      <w:r>
        <w:rPr>
          <w:rFonts w:hint="eastAsia" w:ascii="宋体" w:hAnsi="宋体" w:eastAsia="宋体" w:cs="宋体"/>
          <w:color w:val="auto"/>
          <w:highlight w:val="none"/>
          <w:u w:val="single"/>
        </w:rPr>
        <w:t xml:space="preserve">万分之十 </w:t>
      </w:r>
      <w:r>
        <w:rPr>
          <w:rFonts w:hint="eastAsia" w:ascii="宋体" w:hAnsi="宋体" w:eastAsia="宋体" w:cs="宋体"/>
          <w:color w:val="auto"/>
          <w:highlight w:val="none"/>
        </w:rPr>
        <w:t xml:space="preserve">向甲方支付违约金，且甲方有权解除合同。</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14.5.乙方应妥善保护甲方提供的设备及现场堆放的工程成品（若有），如造成损失，赔偿损失。</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14.6.施工中未经甲方同意或有关部门批准，乙方不得随意拆改原建筑物结构及各种设备管线，乙方擅自拆改原建筑物结构或设备管线，由此发生的损失或事故（包括罚款），由乙方负责并赔偿损失。</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14.7.乙方依约应承担的违约金和损失，甲方有权在合同价款中直接扣除。</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14.8.乙方未通过风险管控项目竣工验收或效果评估，乙方应根据甲方要求限期整改，费用由乙方承担，并自乙方合同约定竣工日期次日起，每逾期一日，乙方按合同总造价的</w:t>
      </w:r>
      <w:r>
        <w:rPr>
          <w:rFonts w:hint="eastAsia" w:ascii="宋体" w:hAnsi="宋体" w:eastAsia="宋体" w:cs="宋体"/>
          <w:color w:val="auto"/>
          <w:highlight w:val="none"/>
          <w:u w:val="single"/>
        </w:rPr>
        <w:t xml:space="preserve">万分之五 </w:t>
      </w:r>
      <w:r>
        <w:rPr>
          <w:rFonts w:hint="eastAsia" w:ascii="宋体" w:hAnsi="宋体" w:eastAsia="宋体" w:cs="宋体"/>
          <w:color w:val="auto"/>
          <w:highlight w:val="none"/>
        </w:rPr>
        <w:t xml:space="preserve">向甲方支付违约金。若乙方未完成限期整改或未通过甲方组织的第二次验收，甲方有权解除合同，并拒绝支付剩余款项。</w:t>
      </w:r>
      <w:r/>
    </w:p>
    <w:p>
      <w:pPr>
        <w:pStyle w:val="990"/>
        <w:ind w:firstLine="420"/>
        <w:jc w:val="both"/>
        <w:spacing w:before="0" w:after="0" w:line="360" w:lineRule="auto"/>
        <w:widowControl w:val="off"/>
        <w:rPr>
          <w:color w:val="auto"/>
          <w:highlight w:val="none"/>
        </w:rPr>
      </w:pPr>
      <w:r>
        <w:rPr>
          <w:rFonts w:hint="eastAsia" w:ascii="宋体" w:hAnsi="宋体" w:eastAsia="宋体" w:cs="宋体"/>
          <w:color w:val="auto"/>
          <w:highlight w:val="none"/>
        </w:rPr>
        <w:t xml:space="preserve">14.9.乙方全权负责完成本项目有关上级资金申报工作，直至资金落实。若上级资金最终未落实，甲方有权暂停支付合同款项或调整支付比例。</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十五、不可抗力事件处理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十六、解决争议的方法</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（2）向合同签订地法院起诉，合同签订地在此约定为灌南县。</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份，甲方报一份至政府采购监督管理部门。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righ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签订日期： 年 月 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jc w:val="center"/>
        <w:spacing w:before="0" w:after="0" w:line="240" w:lineRule="auto"/>
        <w:rPr>
          <w:rFonts w:hint="eastAsia" w:ascii="宋体" w:hAnsi="宋体" w:eastAsia="宋体" w:cs="宋体"/>
          <w:b w:val="0"/>
          <w:color w:val="auto"/>
          <w:highlight w:val="none"/>
        </w:rPr>
      </w:pPr>
      <w:r/>
      <w:bookmarkStart w:id="4" w:name="__RefHeading___Toc162361613"/>
      <w:r/>
      <w:bookmarkEnd w:id="4"/>
      <w:r>
        <w:rPr>
          <w:rFonts w:hint="eastAsia" w:ascii="宋体" w:hAnsi="宋体" w:eastAsia="宋体" w:cs="宋体"/>
          <w:b w:val="0"/>
          <w:color w:val="auto"/>
          <w:highlight w:val="none"/>
        </w:rPr>
        <w:t xml:space="preserve">第四章 采购需求</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u w:val="single"/>
        </w:rPr>
        <w:t xml:space="preserve">公开招标</w:t>
      </w:r>
      <w:r>
        <w:rPr>
          <w:rFonts w:hint="eastAsia" w:ascii="宋体" w:hAnsi="宋体" w:eastAsia="宋体" w:cs="宋体"/>
          <w:b/>
          <w:color w:val="auto"/>
          <w:sz w:val="24"/>
          <w:szCs w:val="24"/>
          <w:highlight w:val="none"/>
        </w:rPr>
        <w:t xml:space="preserve">，项目属性为</w:t>
      </w:r>
      <w:r>
        <w:rPr>
          <w:rFonts w:hint="eastAsia" w:ascii="宋体" w:hAnsi="宋体" w:eastAsia="宋体" w:cs="宋体"/>
          <w:b/>
          <w:color w:val="auto"/>
          <w:sz w:val="24"/>
          <w:szCs w:val="24"/>
          <w:highlight w:val="none"/>
          <w:u w:val="single"/>
        </w:rPr>
        <w:t xml:space="preserve">服务</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color w:val="auto"/>
          <w:sz w:val="24"/>
          <w:szCs w:val="24"/>
          <w:highlight w:val="none"/>
        </w:rPr>
        <w:t xml:space="preserve">标注★的款项为</w:t>
      </w:r>
      <w:r>
        <w:rPr>
          <w:rFonts w:hint="eastAsia" w:ascii="宋体" w:hAnsi="宋体" w:eastAsia="宋体" w:cs="宋体"/>
          <w:color w:val="auto"/>
          <w:sz w:val="24"/>
          <w:szCs w:val="24"/>
          <w:highlight w:val="none"/>
        </w:rPr>
        <w:t xml:space="preserve">实质性要求和条件，由采购人根据实际情况设置，投标人必须逐条明确作出满足实质性要求和条件的响应，否则将按无效投标处理。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根据生态环境部《化工园地下水污染专项整治工作方案》要求和园区地下水调查评估结果，江苏连云港化工产业园区亟需开展地下水污染风险管控及相关配套服务等工作。</w:t>
      </w:r>
      <w:r/>
    </w:p>
    <w:p>
      <w:pPr>
        <w:ind w:firstLine="241"/>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一、服务内容</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1.项目简述</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根据生态环境部《化工园地下水污染专项整治工作方案》要求和园区地下水调查评估结果，江苏连云港化工产业园区亟需开展地下水污染风险管控及相关配套服务等工作。具体内容包括：仅超标但风险可接受区域，实施长期监测预警；地下水风险不可接受区域，采取风险管控措施。</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2.服务范围</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服务范围具体包括：污染浓度超标10倍及园区边界处超标但风险可接受区域（A区），制定长期监控方案，开展监测自然衰减；地下水风险不可接受区域（B区），采取风险管控措施。</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3.工作内容</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（1）在充分了解前期的调查报告、风险评估结论、污染物运移模拟成果及既有管控措施等资料的基础上，编制总体服务方案。</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依据相关技术导则及风险管控方案要求，制定A区地下水监测方案（服务期2026-2027年）；对区内现有监测井及井台保护设施实施巡检与维护，发现损坏及时修复或重建；严格按照监测方案开展采样工作，每年不少于两次，且两次采样间隔大于2个月；对全部监测数据进行系统分析，编制年度监测报告并提交招标人审核。</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（3）根据相关技术导则和风险管控方案要求，对B区地下水人体健康风险不可接受区域，采用抽出-处理+重点区域原位化学氧化技术进行削源和管控，确保达到风险管控方案制定的相关目标。</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（4）投标人须自行组织现场踏勘，主动做好与相关管理单位及周边各方的沟通协调；施工过程中优先选用扰动小的工艺工法，有效控制污染羽迁移范围，严防污染物扩散至非目标区域。</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（5）服务全程应严格落实二次污染防治措施，并按照技术导则及风险管控方案的要求，同步开展环境监测及管控效果自检。</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（6）鉴于本项目现状复杂，投标人须组建结构合理、专业齐全的项目团队，以确保满足招标人项目需求。</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4.服务清单</w:t>
      </w:r>
      <w:r/>
    </w:p>
    <w:p>
      <w:pPr>
        <w:jc w:val="center"/>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表1项目服务清单</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2132"/>
        <w:gridCol w:w="2842"/>
        <w:gridCol w:w="1007"/>
        <w:gridCol w:w="2322"/>
      </w:tblGrid>
      <w:tr>
        <w:trPr>
          <w:trHeight w:val="397"/>
          <w:tblHeader/>
        </w:trPr>
        <w:tc>
          <w:tcPr>
            <w:tcW w:w="688" w:type="pct"/>
            <w:vAlign w:val="center"/>
            <w:textDirection w:val="lrTb"/>
            <w:noWrap w:val="false"/>
          </w:tcPr>
          <w:p>
            <w:pPr>
              <w:pStyle w:val="1268"/>
              <w:rPr>
                <w:rFonts w:eastAsia="宋体"/>
                <w:b/>
                <w:bCs/>
                <w:color w:val="auto"/>
                <w:highlight w:val="none"/>
              </w:rPr>
            </w:pPr>
            <w:r>
              <w:rPr>
                <w:rFonts w:eastAsia="宋体"/>
                <w:b/>
                <w:bCs/>
                <w:color w:val="auto"/>
                <w:highlight w:val="none"/>
              </w:rPr>
              <w:t xml:space="preserve">序号</w:t>
            </w:r>
            <w:r/>
          </w:p>
        </w:tc>
        <w:tc>
          <w:tcPr>
            <w:tcW w:w="1107" w:type="pct"/>
            <w:vAlign w:val="center"/>
            <w:textDirection w:val="lrTb"/>
            <w:noWrap w:val="false"/>
          </w:tcPr>
          <w:p>
            <w:pPr>
              <w:pStyle w:val="1268"/>
              <w:rPr>
                <w:rFonts w:eastAsia="宋体"/>
                <w:b/>
                <w:bCs/>
                <w:color w:val="auto"/>
                <w:highlight w:val="none"/>
              </w:rPr>
            </w:pPr>
            <w:r>
              <w:rPr>
                <w:rFonts w:eastAsia="宋体"/>
                <w:b/>
                <w:bCs/>
                <w:color w:val="auto"/>
                <w:highlight w:val="none"/>
              </w:rPr>
              <w:t xml:space="preserve">项目名称</w:t>
            </w:r>
            <w:r/>
          </w:p>
        </w:tc>
        <w:tc>
          <w:tcPr>
            <w:tcW w:w="1476" w:type="pct"/>
            <w:vAlign w:val="center"/>
            <w:textDirection w:val="lrTb"/>
            <w:noWrap w:val="false"/>
          </w:tcPr>
          <w:p>
            <w:pPr>
              <w:pStyle w:val="1268"/>
              <w:rPr>
                <w:rFonts w:eastAsia="宋体"/>
                <w:b/>
                <w:bCs/>
                <w:color w:val="auto"/>
                <w:highlight w:val="none"/>
              </w:rPr>
            </w:pPr>
            <w:r>
              <w:rPr>
                <w:rFonts w:eastAsia="宋体"/>
                <w:b/>
                <w:bCs/>
                <w:color w:val="auto"/>
                <w:highlight w:val="none"/>
              </w:rPr>
              <w:t xml:space="preserve">项目特征描述</w:t>
            </w:r>
            <w:r/>
          </w:p>
        </w:tc>
        <w:tc>
          <w:tcPr>
            <w:tcW w:w="523" w:type="pct"/>
            <w:vAlign w:val="center"/>
            <w:textDirection w:val="lrTb"/>
            <w:noWrap w:val="false"/>
          </w:tcPr>
          <w:p>
            <w:pPr>
              <w:pStyle w:val="1268"/>
              <w:rPr>
                <w:rFonts w:eastAsia="宋体"/>
                <w:b/>
                <w:bCs/>
                <w:color w:val="auto"/>
                <w:highlight w:val="none"/>
              </w:rPr>
            </w:pPr>
            <w:r>
              <w:rPr>
                <w:rFonts w:eastAsia="宋体"/>
                <w:b/>
                <w:bCs/>
                <w:color w:val="auto"/>
                <w:highlight w:val="none"/>
              </w:rPr>
              <w:t xml:space="preserve">单位</w:t>
            </w:r>
            <w:r/>
          </w:p>
        </w:tc>
        <w:tc>
          <w:tcPr>
            <w:tcW w:w="1206" w:type="pct"/>
            <w:vAlign w:val="center"/>
            <w:textDirection w:val="lrTb"/>
            <w:noWrap w:val="false"/>
          </w:tcPr>
          <w:p>
            <w:pPr>
              <w:pStyle w:val="1268"/>
              <w:rPr>
                <w:rFonts w:eastAsia="宋体"/>
                <w:b/>
                <w:bCs/>
                <w:color w:val="auto"/>
                <w:highlight w:val="none"/>
              </w:rPr>
            </w:pPr>
            <w:r>
              <w:rPr>
                <w:rFonts w:eastAsia="宋体"/>
                <w:b/>
                <w:bCs/>
                <w:color w:val="auto"/>
                <w:highlight w:val="none"/>
              </w:rPr>
              <w:t xml:space="preserve">工程量</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1</w:t>
            </w:r>
            <w:r/>
          </w:p>
        </w:tc>
        <w:tc>
          <w:tcPr>
            <w:tcW w:w="1107" w:type="pct"/>
            <w:vAlign w:val="center"/>
            <w:textDirection w:val="lrTb"/>
            <w:noWrap w:val="false"/>
          </w:tcPr>
          <w:p>
            <w:pPr>
              <w:pStyle w:val="1268"/>
              <w:rPr>
                <w:rFonts w:eastAsia="宋体"/>
                <w:color w:val="auto"/>
                <w:highlight w:val="none"/>
              </w:rPr>
            </w:pPr>
            <w:r/>
            <w:bookmarkStart w:id="5" w:name="OLE_LINK19"/>
            <w:r>
              <w:rPr>
                <w:rFonts w:hint="eastAsia" w:eastAsia="宋体"/>
                <w:color w:val="auto"/>
                <w:highlight w:val="none"/>
              </w:rPr>
              <w:t xml:space="preserve">A区</w:t>
            </w:r>
            <w:bookmarkEnd w:id="5"/>
            <w:r>
              <w:rPr>
                <w:rFonts w:eastAsia="宋体"/>
                <w:color w:val="auto"/>
                <w:highlight w:val="none"/>
              </w:rPr>
              <w:t xml:space="preserve">监测方案编制</w:t>
            </w:r>
            <w:r/>
          </w:p>
        </w:tc>
        <w:tc>
          <w:tcPr>
            <w:tcW w:w="1476" w:type="pct"/>
            <w:vAlign w:val="center"/>
            <w:textDirection w:val="lrTb"/>
            <w:noWrap w:val="false"/>
          </w:tcPr>
          <w:p>
            <w:pPr>
              <w:pStyle w:val="1268"/>
              <w:rPr>
                <w:rFonts w:eastAsia="宋体"/>
                <w:color w:val="auto"/>
                <w:highlight w:val="none"/>
              </w:rPr>
            </w:pPr>
            <w:r>
              <w:rPr>
                <w:rFonts w:eastAsia="宋体"/>
                <w:color w:val="auto"/>
                <w:highlight w:val="none"/>
              </w:rPr>
              <w:t xml:space="preserve">1.根据相关导则规范要求，编制A区监测方案。</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r>
        <w:trPr>
          <w:trHeight w:val="397"/>
        </w:trPr>
        <w:tc>
          <w:tcPr>
            <w:tcW w:w="688" w:type="pct"/>
            <w:vAlign w:val="center"/>
            <w:textDirection w:val="lrTb"/>
            <w:noWrap w:val="false"/>
          </w:tcPr>
          <w:p>
            <w:pPr>
              <w:pStyle w:val="1268"/>
              <w:rPr>
                <w:rFonts w:eastAsia="宋体"/>
                <w:color w:val="auto"/>
                <w:highlight w:val="none"/>
              </w:rPr>
            </w:pPr>
            <w:r>
              <w:rPr>
                <w:rFonts w:eastAsia="宋体"/>
                <w:color w:val="auto"/>
                <w:highlight w:val="none"/>
              </w:rPr>
              <w:t xml:space="preserve">2</w:t>
            </w:r>
            <w:r/>
          </w:p>
        </w:tc>
        <w:tc>
          <w:tcPr>
            <w:tcW w:w="1107"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A区</w:t>
            </w:r>
            <w:r>
              <w:rPr>
                <w:rFonts w:eastAsia="宋体"/>
                <w:color w:val="auto"/>
                <w:highlight w:val="none"/>
              </w:rPr>
              <w:t xml:space="preserve">监测井维护</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1.地下水监测井（利旧）及井台日常维护，若损坏及时新建；</w:t>
            </w:r>
            <w:r/>
          </w:p>
          <w:p>
            <w:pPr>
              <w:pStyle w:val="1268"/>
              <w:rPr>
                <w:rFonts w:eastAsia="宋体"/>
                <w:color w:val="auto"/>
                <w:highlight w:val="none"/>
              </w:rPr>
            </w:pPr>
            <w:r>
              <w:rPr>
                <w:rFonts w:eastAsia="宋体"/>
                <w:color w:val="auto"/>
                <w:highlight w:val="none"/>
              </w:rPr>
              <w:t xml:space="preserve">2.服务期为2026年和2027年。</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口</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39</w:t>
            </w:r>
            <w:r/>
          </w:p>
        </w:tc>
      </w:tr>
      <w:tr>
        <w:trPr>
          <w:trHeight w:val="397"/>
        </w:trPr>
        <w:tc>
          <w:tcPr>
            <w:tcW w:w="688" w:type="pct"/>
            <w:vAlign w:val="center"/>
            <w:textDirection w:val="lrTb"/>
            <w:noWrap w:val="false"/>
          </w:tcPr>
          <w:p>
            <w:pPr>
              <w:pStyle w:val="1268"/>
              <w:rPr>
                <w:rFonts w:eastAsia="宋体"/>
                <w:color w:val="auto"/>
                <w:highlight w:val="none"/>
              </w:rPr>
            </w:pPr>
            <w:r>
              <w:rPr>
                <w:rFonts w:eastAsia="宋体"/>
                <w:color w:val="auto"/>
                <w:highlight w:val="none"/>
              </w:rPr>
              <w:t xml:space="preserve">3</w:t>
            </w:r>
            <w:r/>
          </w:p>
        </w:tc>
        <w:tc>
          <w:tcPr>
            <w:tcW w:w="1107"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A区</w:t>
            </w:r>
            <w:r>
              <w:rPr>
                <w:rFonts w:eastAsia="宋体"/>
                <w:color w:val="auto"/>
                <w:highlight w:val="none"/>
              </w:rPr>
              <w:t xml:space="preserve">采样分析</w:t>
            </w:r>
            <w:r/>
          </w:p>
        </w:tc>
        <w:tc>
          <w:tcPr>
            <w:tcW w:w="1476" w:type="pct"/>
            <w:vAlign w:val="center"/>
            <w:textDirection w:val="lrTb"/>
            <w:noWrap w:val="false"/>
          </w:tcPr>
          <w:p>
            <w:pPr>
              <w:pStyle w:val="1268"/>
              <w:jc w:val="both"/>
              <w:rPr>
                <w:rFonts w:eastAsia="宋体"/>
                <w:color w:val="auto"/>
                <w:highlight w:val="none"/>
              </w:rPr>
            </w:pPr>
            <w:r>
              <w:rPr>
                <w:rFonts w:eastAsia="宋体"/>
                <w:color w:val="auto"/>
                <w:highlight w:val="none"/>
              </w:rPr>
              <w:t xml:space="preserve">1.按照相关导则规范要求，进行样品采样与数据分析；</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2.地下水监测频次不少于一年两次，两次间隔时间大于2个月；</w:t>
            </w:r>
            <w:r/>
          </w:p>
          <w:p>
            <w:pPr>
              <w:pStyle w:val="1268"/>
              <w:rPr>
                <w:rFonts w:eastAsia="宋体"/>
                <w:color w:val="auto"/>
                <w:highlight w:val="none"/>
              </w:rPr>
            </w:pPr>
            <w:r>
              <w:rPr>
                <w:rFonts w:eastAsia="宋体"/>
                <w:color w:val="auto"/>
                <w:highlight w:val="none"/>
              </w:rPr>
              <w:t xml:space="preserve">3.服务期为2026年和2027年。</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个</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172</w:t>
            </w:r>
            <w:r/>
          </w:p>
        </w:tc>
      </w:tr>
      <w:tr>
        <w:trPr>
          <w:trHeight w:val="397"/>
        </w:trPr>
        <w:tc>
          <w:tcPr>
            <w:tcW w:w="688" w:type="pct"/>
            <w:vAlign w:val="center"/>
            <w:textDirection w:val="lrTb"/>
            <w:noWrap w:val="false"/>
          </w:tcPr>
          <w:p>
            <w:pPr>
              <w:pStyle w:val="1268"/>
              <w:rPr>
                <w:rFonts w:eastAsia="宋体"/>
                <w:color w:val="auto"/>
                <w:highlight w:val="none"/>
              </w:rPr>
            </w:pPr>
            <w:r>
              <w:rPr>
                <w:rFonts w:eastAsia="宋体"/>
                <w:color w:val="auto"/>
                <w:highlight w:val="none"/>
              </w:rPr>
              <w:t xml:space="preserve">4</w:t>
            </w:r>
            <w:r/>
          </w:p>
        </w:tc>
        <w:tc>
          <w:tcPr>
            <w:tcW w:w="1107"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A区</w:t>
            </w:r>
            <w:r>
              <w:rPr>
                <w:rFonts w:eastAsia="宋体"/>
                <w:color w:val="auto"/>
                <w:highlight w:val="none"/>
              </w:rPr>
              <w:t xml:space="preserve">年度监测报告编制</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1.根据相关导则规范要求，编制年度监测报告；</w:t>
            </w:r>
            <w:r/>
          </w:p>
          <w:p>
            <w:pPr>
              <w:pStyle w:val="1268"/>
              <w:rPr>
                <w:rFonts w:eastAsia="宋体"/>
                <w:color w:val="auto"/>
                <w:highlight w:val="none"/>
              </w:rPr>
            </w:pPr>
            <w:r>
              <w:rPr>
                <w:rFonts w:eastAsia="宋体"/>
                <w:color w:val="auto"/>
                <w:highlight w:val="none"/>
              </w:rPr>
              <w:t xml:space="preserve">2.服务期为2026年和2027年。</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5</w:t>
            </w:r>
            <w:r/>
          </w:p>
        </w:tc>
        <w:tc>
          <w:tcPr>
            <w:tcW w:w="1107"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B区</w:t>
            </w:r>
            <w:r>
              <w:rPr>
                <w:rFonts w:eastAsia="宋体"/>
                <w:color w:val="auto"/>
                <w:highlight w:val="none"/>
              </w:rPr>
              <w:t xml:space="preserve">污染地下水抽出-处理</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1.污染地下水抽出-处理；</w:t>
            </w:r>
            <w:r/>
          </w:p>
          <w:p>
            <w:pPr>
              <w:pStyle w:val="1268"/>
              <w:jc w:val="left"/>
              <w:rPr>
                <w:rFonts w:eastAsia="宋体"/>
                <w:color w:val="auto"/>
                <w:highlight w:val="none"/>
              </w:rPr>
            </w:pPr>
            <w:r>
              <w:rPr>
                <w:rFonts w:eastAsia="宋体"/>
                <w:color w:val="auto"/>
                <w:highlight w:val="none"/>
              </w:rPr>
              <w:t xml:space="preserve">2.包括不限于建井、管道建设、地下水抽提、污水转运、现场预处理（含危废处置）、处理后废水纳管排放等；</w:t>
            </w:r>
            <w:r/>
          </w:p>
          <w:p>
            <w:pPr>
              <w:jc w:val="left"/>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3.抽出井井深为20m/28m（以实际地勘为准，潜水含水层），孔径为Φ600mm，波纹管，井径Φ375mm；</w:t>
            </w:r>
            <w:r/>
          </w:p>
          <w:p>
            <w:pPr>
              <w:jc w:val="left"/>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4.注入井井深为20m（以实际地勘为准），管径Φ200mm，UPVC材质；</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5.治理效果达到规定风险管控目标值；</w:t>
            </w:r>
            <w:r/>
          </w:p>
          <w:p>
            <w:pPr>
              <w:pStyle w:val="1268"/>
              <w:rPr>
                <w:rFonts w:eastAsia="宋体"/>
                <w:color w:val="auto"/>
                <w:highlight w:val="none"/>
              </w:rPr>
            </w:pPr>
            <w:r>
              <w:rPr>
                <w:rFonts w:eastAsia="宋体"/>
                <w:color w:val="auto"/>
                <w:highlight w:val="none"/>
              </w:rPr>
              <w:t xml:space="preserve">6.按照相关导则规范要求执行。</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m</w:t>
            </w:r>
            <w:r>
              <w:rPr>
                <w:rFonts w:eastAsia="宋体"/>
                <w:color w:val="auto"/>
                <w:highlight w:val="none"/>
                <w:vertAlign w:val="superscript"/>
              </w:rPr>
              <w:t xml:space="preserve">3</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46481.76</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6</w:t>
            </w:r>
            <w:r/>
          </w:p>
        </w:tc>
        <w:tc>
          <w:tcPr>
            <w:tcW w:w="1107"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B区</w:t>
            </w:r>
            <w:r>
              <w:rPr>
                <w:rFonts w:eastAsia="宋体"/>
                <w:color w:val="auto"/>
                <w:highlight w:val="none"/>
              </w:rPr>
              <w:t xml:space="preserve">重点区域原位化学氧化</w:t>
            </w:r>
            <w:r/>
          </w:p>
        </w:tc>
        <w:tc>
          <w:tcPr>
            <w:tcW w:w="1476" w:type="pct"/>
            <w:vAlign w:val="center"/>
            <w:textDirection w:val="lrTb"/>
            <w:noWrap w:val="false"/>
          </w:tcPr>
          <w:p>
            <w:pPr>
              <w:pStyle w:val="1268"/>
              <w:jc w:val="both"/>
              <w:rPr>
                <w:rFonts w:eastAsia="宋体"/>
                <w:color w:val="auto"/>
                <w:highlight w:val="none"/>
              </w:rPr>
            </w:pPr>
            <w:r>
              <w:rPr>
                <w:rFonts w:eastAsia="宋体"/>
                <w:color w:val="auto"/>
                <w:highlight w:val="none"/>
              </w:rPr>
              <w:t xml:space="preserve">1.重点区域原位化学氧化；</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2.包括不限于人员管理、机械进出场及施工、药剂购买及使用等；</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3.可采用浅层搅拌、高压旋喷等方式，具体应根据现场实际情况选择工法；</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4.最大治理深度7.5m；</w:t>
            </w:r>
            <w:r/>
          </w:p>
          <w:p>
            <w:pPr>
              <w:pStyle w:val="1268"/>
              <w:jc w:val="both"/>
              <w:rPr>
                <w:rFonts w:eastAsia="宋体"/>
                <w:color w:val="auto"/>
                <w:highlight w:val="none"/>
              </w:rPr>
            </w:pPr>
            <w:r>
              <w:rPr>
                <w:rFonts w:eastAsia="宋体"/>
                <w:color w:val="auto"/>
                <w:highlight w:val="none"/>
              </w:rPr>
              <w:t xml:space="preserve">5.按照相关导则规范要求执行；</w:t>
            </w:r>
            <w:r/>
          </w:p>
          <w:p>
            <w:pPr>
              <w:pStyle w:val="1268"/>
              <w:rPr>
                <w:rFonts w:eastAsia="宋体"/>
                <w:color w:val="auto"/>
                <w:highlight w:val="none"/>
              </w:rPr>
            </w:pPr>
            <w:r>
              <w:rPr>
                <w:rFonts w:eastAsia="宋体"/>
                <w:color w:val="auto"/>
                <w:highlight w:val="none"/>
              </w:rPr>
              <w:t xml:space="preserve">6.化学氧化施工效果检测。</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m</w:t>
            </w:r>
            <w:r>
              <w:rPr>
                <w:rFonts w:eastAsia="宋体"/>
                <w:color w:val="auto"/>
                <w:highlight w:val="none"/>
                <w:vertAlign w:val="superscript"/>
              </w:rPr>
              <w:t xml:space="preserve">3</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59560.43</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7</w:t>
            </w:r>
            <w:r/>
          </w:p>
        </w:tc>
        <w:tc>
          <w:tcPr>
            <w:tcW w:w="1107" w:type="pct"/>
            <w:vAlign w:val="center"/>
            <w:textDirection w:val="lrTb"/>
            <w:noWrap w:val="false"/>
          </w:tcPr>
          <w:p>
            <w:pPr>
              <w:pStyle w:val="1268"/>
              <w:rPr>
                <w:rFonts w:eastAsia="宋体"/>
                <w:color w:val="auto"/>
                <w:highlight w:val="none"/>
              </w:rPr>
            </w:pPr>
            <w:r>
              <w:rPr>
                <w:rFonts w:eastAsia="宋体"/>
                <w:color w:val="auto"/>
                <w:highlight w:val="none"/>
              </w:rPr>
              <w:t xml:space="preserve">临时设施</w:t>
            </w:r>
            <w:r/>
          </w:p>
        </w:tc>
        <w:tc>
          <w:tcPr>
            <w:tcW w:w="1476" w:type="pct"/>
            <w:vAlign w:val="center"/>
            <w:textDirection w:val="lrTb"/>
            <w:noWrap w:val="false"/>
          </w:tcPr>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1.临时设施；</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2.包括不限于场地平整，办公区、水处理区、仓库、临水临电接入、监控、大门建设等；</w:t>
            </w:r>
            <w:r/>
          </w:p>
          <w:p>
            <w:pPr>
              <w:pStyle w:val="1268"/>
              <w:rPr>
                <w:rFonts w:eastAsia="宋体"/>
                <w:color w:val="auto"/>
                <w:highlight w:val="none"/>
              </w:rPr>
            </w:pPr>
            <w:r>
              <w:rPr>
                <w:rFonts w:eastAsia="宋体"/>
                <w:color w:val="auto"/>
                <w:highlight w:val="none"/>
              </w:rPr>
              <w:t xml:space="preserve">3.满足相关规范及方案要求。</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8</w:t>
            </w:r>
            <w:r/>
          </w:p>
        </w:tc>
        <w:tc>
          <w:tcPr>
            <w:tcW w:w="1107" w:type="pct"/>
            <w:vAlign w:val="center"/>
            <w:textDirection w:val="lrTb"/>
            <w:noWrap w:val="false"/>
          </w:tcPr>
          <w:p>
            <w:pPr>
              <w:pStyle w:val="1268"/>
              <w:rPr>
                <w:rFonts w:eastAsia="宋体"/>
                <w:color w:val="auto"/>
                <w:highlight w:val="none"/>
              </w:rPr>
            </w:pPr>
            <w:r>
              <w:rPr>
                <w:rFonts w:eastAsia="宋体"/>
                <w:color w:val="auto"/>
                <w:highlight w:val="none"/>
              </w:rPr>
              <w:t xml:space="preserve">B区服务过程环境监测与检测</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1.B区服务过程环境监测与检测；</w:t>
            </w:r>
            <w:r/>
          </w:p>
          <w:p>
            <w:pPr>
              <w:pStyle w:val="1268"/>
              <w:jc w:val="left"/>
              <w:rPr>
                <w:rFonts w:eastAsia="宋体"/>
                <w:color w:val="auto"/>
                <w:highlight w:val="none"/>
              </w:rPr>
            </w:pPr>
            <w:r>
              <w:rPr>
                <w:rFonts w:eastAsia="宋体"/>
                <w:color w:val="auto"/>
                <w:highlight w:val="none"/>
              </w:rPr>
              <w:t xml:space="preserve">2.包括不限于含施工期环境监测（大气、水、噪声等），治理效果自检（抽出处理后污水、削源后地下水）等；</w:t>
            </w:r>
            <w:r/>
          </w:p>
          <w:p>
            <w:pPr>
              <w:pStyle w:val="1268"/>
              <w:rPr>
                <w:rFonts w:eastAsia="宋体"/>
                <w:color w:val="auto"/>
                <w:highlight w:val="none"/>
              </w:rPr>
            </w:pPr>
            <w:r>
              <w:rPr>
                <w:rFonts w:eastAsia="宋体"/>
                <w:color w:val="auto"/>
                <w:highlight w:val="none"/>
              </w:rPr>
              <w:t xml:space="preserve">3.投标单位自行考虑，满足相关规范及监测方案要求。</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r>
        <w:trPr>
          <w:trHeight w:val="397"/>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9</w:t>
            </w:r>
            <w:r/>
          </w:p>
        </w:tc>
        <w:tc>
          <w:tcPr>
            <w:tcW w:w="1107" w:type="pct"/>
            <w:vAlign w:val="center"/>
            <w:textDirection w:val="lrTb"/>
            <w:noWrap w:val="false"/>
          </w:tcPr>
          <w:p>
            <w:pPr>
              <w:pStyle w:val="1268"/>
              <w:rPr>
                <w:rFonts w:eastAsia="宋体"/>
                <w:color w:val="auto"/>
                <w:highlight w:val="none"/>
              </w:rPr>
            </w:pPr>
            <w:r>
              <w:rPr>
                <w:rFonts w:eastAsia="宋体"/>
                <w:color w:val="auto"/>
                <w:highlight w:val="none"/>
              </w:rPr>
              <w:t xml:space="preserve">二次污染防治措施费</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1.二次污染防治；</w:t>
            </w:r>
            <w:r/>
          </w:p>
          <w:p>
            <w:pPr>
              <w:pStyle w:val="1268"/>
              <w:jc w:val="left"/>
              <w:rPr>
                <w:rFonts w:eastAsia="宋体"/>
                <w:color w:val="auto"/>
                <w:highlight w:val="none"/>
              </w:rPr>
            </w:pPr>
            <w:r>
              <w:rPr>
                <w:rFonts w:eastAsia="宋体"/>
                <w:color w:val="auto"/>
                <w:highlight w:val="none"/>
              </w:rPr>
              <w:t xml:space="preserve">2.包括不限于：大气污染防治、水污染防治、固废污染防治、噪声污染防治等；</w:t>
            </w:r>
            <w:r/>
          </w:p>
          <w:p>
            <w:pPr>
              <w:pStyle w:val="1268"/>
              <w:rPr>
                <w:rFonts w:eastAsia="宋体"/>
                <w:color w:val="auto"/>
                <w:highlight w:val="none"/>
              </w:rPr>
            </w:pPr>
            <w:r>
              <w:rPr>
                <w:rFonts w:eastAsia="宋体"/>
                <w:color w:val="auto"/>
                <w:highlight w:val="none"/>
              </w:rPr>
              <w:t xml:space="preserve">3.防治方案由投标单位自行考虑，满足相关规范及方案要求。</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r>
        <w:trPr>
          <w:trHeight w:val="2210"/>
        </w:trPr>
        <w:tc>
          <w:tcPr>
            <w:tcW w:w="688" w:type="pct"/>
            <w:vAlign w:val="center"/>
            <w:textDirection w:val="lrTb"/>
            <w:noWrap w:val="false"/>
          </w:tcPr>
          <w:p>
            <w:pPr>
              <w:pStyle w:val="1268"/>
              <w:rPr>
                <w:rFonts w:eastAsia="宋体"/>
                <w:color w:val="auto"/>
                <w:highlight w:val="none"/>
              </w:rPr>
            </w:pPr>
            <w:r>
              <w:rPr>
                <w:rFonts w:hint="eastAsia" w:eastAsia="宋体"/>
                <w:color w:val="auto"/>
                <w:highlight w:val="none"/>
              </w:rPr>
              <w:t xml:space="preserve">10</w:t>
            </w:r>
            <w:r/>
          </w:p>
        </w:tc>
        <w:tc>
          <w:tcPr>
            <w:tcW w:w="1107" w:type="pct"/>
            <w:vAlign w:val="center"/>
            <w:textDirection w:val="lrTb"/>
            <w:noWrap w:val="false"/>
          </w:tcPr>
          <w:p>
            <w:pPr>
              <w:pStyle w:val="1268"/>
              <w:rPr>
                <w:rFonts w:eastAsia="宋体"/>
                <w:color w:val="auto"/>
                <w:highlight w:val="none"/>
              </w:rPr>
            </w:pPr>
            <w:r>
              <w:rPr>
                <w:rFonts w:eastAsia="宋体"/>
                <w:color w:val="auto"/>
                <w:highlight w:val="none"/>
              </w:rPr>
              <w:t xml:space="preserve">安全文明施工措施费</w:t>
            </w:r>
            <w:r/>
          </w:p>
        </w:tc>
        <w:tc>
          <w:tcPr>
            <w:tcW w:w="147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1.安全文明施工；</w:t>
            </w:r>
            <w:r/>
          </w:p>
          <w:p>
            <w:pPr>
              <w:pStyle w:val="1268"/>
              <w:jc w:val="left"/>
              <w:rPr>
                <w:rFonts w:eastAsia="宋体"/>
                <w:color w:val="auto"/>
                <w:highlight w:val="none"/>
              </w:rPr>
            </w:pPr>
            <w:r>
              <w:rPr>
                <w:rFonts w:eastAsia="宋体"/>
                <w:color w:val="auto"/>
                <w:highlight w:val="none"/>
              </w:rPr>
              <w:t xml:space="preserve">2.包括不限于：安全防护、施工机械及临电安全、安全管理体系建立、宣传展示标语等；</w:t>
            </w:r>
            <w:r/>
          </w:p>
          <w:p>
            <w:pPr>
              <w:pStyle w:val="1268"/>
              <w:rPr>
                <w:rFonts w:eastAsia="宋体"/>
                <w:color w:val="auto"/>
                <w:highlight w:val="none"/>
              </w:rPr>
            </w:pPr>
            <w:r>
              <w:rPr>
                <w:rFonts w:eastAsia="宋体"/>
                <w:color w:val="auto"/>
                <w:highlight w:val="none"/>
              </w:rPr>
              <w:t xml:space="preserve">3.安全文明施工方案由投标单位自行考虑，满足相关规范及方案要求。</w:t>
            </w:r>
            <w:r/>
          </w:p>
        </w:tc>
        <w:tc>
          <w:tcPr>
            <w:tcW w:w="523" w:type="pct"/>
            <w:vAlign w:val="center"/>
            <w:textDirection w:val="lrTb"/>
            <w:noWrap w:val="false"/>
          </w:tcPr>
          <w:p>
            <w:pPr>
              <w:pStyle w:val="1268"/>
              <w:rPr>
                <w:rFonts w:eastAsia="宋体"/>
                <w:color w:val="auto"/>
                <w:highlight w:val="none"/>
              </w:rPr>
            </w:pPr>
            <w:r>
              <w:rPr>
                <w:rFonts w:eastAsia="宋体"/>
                <w:color w:val="auto"/>
                <w:highlight w:val="none"/>
              </w:rPr>
              <w:t xml:space="preserve">项</w:t>
            </w:r>
            <w:r/>
          </w:p>
        </w:tc>
        <w:tc>
          <w:tcPr>
            <w:tcW w:w="1206" w:type="pct"/>
            <w:vAlign w:val="center"/>
            <w:textDirection w:val="lrTb"/>
            <w:noWrap w:val="false"/>
          </w:tcPr>
          <w:p>
            <w:pPr>
              <w:pStyle w:val="1268"/>
              <w:rPr>
                <w:rFonts w:eastAsia="宋体"/>
                <w:color w:val="auto"/>
                <w:highlight w:val="none"/>
              </w:rPr>
            </w:pPr>
            <w:r>
              <w:rPr>
                <w:rFonts w:eastAsia="宋体"/>
                <w:color w:val="auto"/>
                <w:highlight w:val="none"/>
              </w:rPr>
              <w:t xml:space="preserve">1</w:t>
            </w:r>
            <w:r/>
          </w:p>
        </w:tc>
      </w:tr>
    </w:tbl>
    <w:p>
      <w:pPr>
        <w:ind w:firstLine="241"/>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二、服务相关要求及项目参考依据</w:t>
      </w:r>
      <w:r/>
    </w:p>
    <w:p>
      <w:pPr>
        <w:ind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1.服务要求：按照国家、江苏省和连云港市土壤和地下水修复治理和风险管控等相关规范、规定，完成要求工作。</w:t>
      </w:r>
      <w:r/>
    </w:p>
    <w:p>
      <w:pPr>
        <w:ind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2.验收标准：通过招标人组织的履约验收。</w:t>
      </w:r>
      <w:r/>
    </w:p>
    <w:p>
      <w:pPr>
        <w:ind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3.质量要求：合格（同招标公告要求）。</w:t>
      </w:r>
      <w:r/>
    </w:p>
    <w:p>
      <w:pPr>
        <w:ind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项目参考依据：《建设用地土壤污染风险管控和修复监测技术导则》（HJ25.2-2019）、《建设用地土壤修复技术导则》（HJ25.4-2019）、《污染地块地下水修复和风险管控技术导则》（HJ25.6-2019）《地下水环境监测技术规范》（HJ164-2020）、《地下水质量标准》（GB/T 14848-2017）、《土壤环境质量 建设用地土壤污染风险管控标准（试行）》（GB 36600-2018）等文件。</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三、服务工作成果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至少包括以下内容。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1.项目总体服务方案；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2.项目总体竣工报告；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3.风险管控服务工作通过效果评估验收；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4.招标人要求提供的有关服务成果。</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四、项目背景资料</w:t>
      </w:r>
      <w:r/>
    </w:p>
    <w:p>
      <w:pPr>
        <w:pStyle w:val="1269"/>
        <w:ind w:firstLine="560"/>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w:t>
      </w:r>
      <w:r>
        <w:rPr>
          <w:rFonts w:eastAsia="宋体" w:cs="Times New Roman"/>
          <w:color w:val="auto"/>
          <w:sz w:val="24"/>
          <w:szCs w:val="24"/>
          <w:highlight w:val="none"/>
        </w:rPr>
        <w:t xml:space="preserve">项目背景</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江苏连云港化工产业园区（以下简称“连云港化工产业园”）位于连云港市灌南县堆沟港镇境内，南靠灌河，北依新沂河，东临黄海。前身为连云港市堆沟港化学工业园区，于2003年6月由连云港市人民政府同意设立。2020年11月江苏省人民政府办公厅印发《省政府关于加强全省化工园区化工集中区规范化管理的通知》（苏政发〔2020〕94号），园区被认定为江苏省14家化工园区之一。“十四五”以来国家高度重视化工园区地下水污染防治工作，陆续发布《“十四五”土壤、地下水和农村生态环境保护规划》（环土壤〔2021〕120号）、《化工园区</w:t>
      </w:r>
      <w:r>
        <w:rPr>
          <w:rFonts w:eastAsia="宋体" w:cs="Times New Roman"/>
          <w:color w:val="auto"/>
          <w:sz w:val="24"/>
          <w:szCs w:val="24"/>
          <w:highlight w:val="none"/>
        </w:rPr>
        <w:t xml:space="preserve">地下水环境状况调查评估工作方案》（环办便函〔2021〕100号）、《深入打好净土保卫战实施方案》（苏政办发〔2022〕78号）等文件，明确要求开展化工园区地下水污染调查评估及管控工作。为深入贯彻国家、省、市相关政策文件要求，强化园区地下水环境污染防治，江苏连云港化工产业园区管理委员会委托相关单位相继完成了园区地下水环境状况初步调查、详细调查、风险评估、污染运移模拟及风险管控方案编制工作，确定了按照问题导向、合理分区、分类施策的思路统筹推进园区地下水风险管控工作，以实现园区地下水污染不加重、不扩散为阶段目标。</w:t>
      </w:r>
      <w:r/>
    </w:p>
    <w:p>
      <w:pPr>
        <w:pStyle w:val="1269"/>
        <w:ind w:firstLine="560"/>
        <w:spacing w:line="500" w:lineRule="exact"/>
        <w:rPr>
          <w:rFonts w:eastAsia="宋体" w:cs="Times New Roman"/>
          <w:color w:val="auto"/>
          <w:sz w:val="24"/>
          <w:szCs w:val="24"/>
          <w:highlight w:val="none"/>
        </w:rPr>
      </w:pPr>
      <w:r/>
      <w:bookmarkStart w:id="6" w:name="_Toc218630893"/>
      <w:r>
        <w:rPr>
          <w:rFonts w:hint="eastAsia" w:eastAsia="宋体" w:cs="Times New Roman"/>
          <w:color w:val="auto"/>
          <w:sz w:val="24"/>
          <w:szCs w:val="24"/>
          <w:highlight w:val="none"/>
        </w:rPr>
        <w:t xml:space="preserve">2.项目</w:t>
      </w:r>
      <w:r>
        <w:rPr>
          <w:rFonts w:eastAsia="宋体" w:cs="Times New Roman"/>
          <w:color w:val="auto"/>
          <w:sz w:val="24"/>
          <w:szCs w:val="24"/>
          <w:highlight w:val="none"/>
        </w:rPr>
        <w:t xml:space="preserve">水文地质条件</w:t>
      </w:r>
      <w:r/>
    </w:p>
    <w:p>
      <w:pPr>
        <w:pStyle w:val="1269"/>
        <w:ind w:firstLine="560"/>
        <w:spacing w:line="500" w:lineRule="exact"/>
        <w:rPr>
          <w:rFonts w:eastAsia="宋体" w:cs="Times New Roman"/>
          <w:color w:val="auto"/>
          <w:sz w:val="24"/>
          <w:szCs w:val="24"/>
          <w:highlight w:val="none"/>
          <w:vertAlign w:val="superscript"/>
        </w:rPr>
      </w:pPr>
      <w:r>
        <w:rPr>
          <w:rFonts w:eastAsia="宋体" w:cs="Times New Roman"/>
          <w:color w:val="auto"/>
          <w:sz w:val="24"/>
          <w:szCs w:val="24"/>
          <w:highlight w:val="none"/>
        </w:rPr>
        <w:t xml:space="preserve">园区所在区域自上而下分述如下：1层杂填土（Q</w:t>
      </w:r>
      <w:r>
        <w:rPr>
          <w:rFonts w:eastAsia="宋体" w:cs="Times New Roman"/>
          <w:color w:val="auto"/>
          <w:sz w:val="24"/>
          <w:szCs w:val="24"/>
          <w:highlight w:val="none"/>
          <w:vertAlign w:val="subscript"/>
        </w:rPr>
        <w:t xml:space="preserve">4</w:t>
      </w:r>
      <w:r>
        <w:rPr>
          <w:rFonts w:eastAsia="宋体" w:cs="Times New Roman"/>
          <w:color w:val="auto"/>
          <w:sz w:val="24"/>
          <w:szCs w:val="24"/>
          <w:highlight w:val="none"/>
          <w:vertAlign w:val="superscript"/>
        </w:rPr>
        <w:t xml:space="preserve">ml</w:t>
      </w:r>
      <w:r>
        <w:rPr>
          <w:rFonts w:eastAsia="宋体" w:cs="Times New Roman"/>
          <w:color w:val="auto"/>
          <w:sz w:val="24"/>
          <w:szCs w:val="24"/>
          <w:highlight w:val="none"/>
        </w:rPr>
        <w:t xml:space="preserve">）、2层黏土（Q</w:t>
      </w:r>
      <w:r>
        <w:rPr>
          <w:rFonts w:eastAsia="宋体" w:cs="Times New Roman"/>
          <w:color w:val="auto"/>
          <w:sz w:val="24"/>
          <w:szCs w:val="24"/>
          <w:highlight w:val="none"/>
          <w:vertAlign w:val="subscript"/>
        </w:rPr>
        <w:t xml:space="preserve">4</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）、3层淤泥（Q</w:t>
      </w:r>
      <w:r>
        <w:rPr>
          <w:rFonts w:eastAsia="宋体" w:cs="Times New Roman"/>
          <w:color w:val="auto"/>
          <w:sz w:val="24"/>
          <w:szCs w:val="24"/>
          <w:highlight w:val="none"/>
          <w:vertAlign w:val="subscript"/>
        </w:rPr>
        <w:t xml:space="preserve">4</w:t>
      </w:r>
      <w:r>
        <w:rPr>
          <w:rFonts w:eastAsia="宋体" w:cs="Times New Roman"/>
          <w:color w:val="auto"/>
          <w:sz w:val="24"/>
          <w:szCs w:val="24"/>
          <w:highlight w:val="none"/>
          <w:vertAlign w:val="superscript"/>
        </w:rPr>
        <w:t xml:space="preserve">m</w:t>
      </w:r>
      <w:r>
        <w:rPr>
          <w:rFonts w:eastAsia="宋体" w:cs="Times New Roman"/>
          <w:color w:val="auto"/>
          <w:sz w:val="24"/>
          <w:szCs w:val="24"/>
          <w:highlight w:val="none"/>
        </w:rPr>
        <w:t xml:space="preserve">）、4层粉质黏土（Q</w:t>
      </w:r>
      <w:r>
        <w:rPr>
          <w:rFonts w:eastAsia="宋体" w:cs="Times New Roman"/>
          <w:color w:val="auto"/>
          <w:sz w:val="24"/>
          <w:szCs w:val="24"/>
          <w:highlight w:val="none"/>
          <w:vertAlign w:val="subscript"/>
        </w:rPr>
        <w:t xml:space="preserve">3</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）、5层粉砂（Q</w:t>
      </w:r>
      <w:r>
        <w:rPr>
          <w:rFonts w:eastAsia="宋体" w:cs="Times New Roman"/>
          <w:color w:val="auto"/>
          <w:sz w:val="24"/>
          <w:szCs w:val="24"/>
          <w:highlight w:val="none"/>
          <w:vertAlign w:val="subscript"/>
        </w:rPr>
        <w:t xml:space="preserve">3</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）、5-1层粉质黏土夹粉砂（Q</w:t>
      </w:r>
      <w:r>
        <w:rPr>
          <w:rFonts w:eastAsia="宋体" w:cs="Times New Roman"/>
          <w:color w:val="auto"/>
          <w:sz w:val="24"/>
          <w:szCs w:val="24"/>
          <w:highlight w:val="none"/>
          <w:vertAlign w:val="subscript"/>
        </w:rPr>
        <w:t xml:space="preserve">3</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）、6层粉质黏土（Q</w:t>
      </w:r>
      <w:r>
        <w:rPr>
          <w:rFonts w:eastAsia="宋体" w:cs="Times New Roman"/>
          <w:color w:val="auto"/>
          <w:sz w:val="24"/>
          <w:szCs w:val="24"/>
          <w:highlight w:val="none"/>
          <w:vertAlign w:val="subscript"/>
        </w:rPr>
        <w:t xml:space="preserve">3</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）、7层粉质黏土（Q</w:t>
      </w:r>
      <w:r>
        <w:rPr>
          <w:rFonts w:eastAsia="宋体" w:cs="Times New Roman"/>
          <w:color w:val="auto"/>
          <w:sz w:val="24"/>
          <w:szCs w:val="24"/>
          <w:highlight w:val="none"/>
          <w:vertAlign w:val="subscript"/>
        </w:rPr>
        <w:t xml:space="preserve">2</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）、8层粉砂（Q</w:t>
      </w:r>
      <w:r>
        <w:rPr>
          <w:rFonts w:eastAsia="宋体" w:cs="Times New Roman"/>
          <w:color w:val="auto"/>
          <w:sz w:val="24"/>
          <w:szCs w:val="24"/>
          <w:highlight w:val="none"/>
          <w:vertAlign w:val="subscript"/>
        </w:rPr>
        <w:t xml:space="preserve">2</w:t>
      </w:r>
      <w:r>
        <w:rPr>
          <w:rFonts w:eastAsia="宋体" w:cs="Times New Roman"/>
          <w:color w:val="auto"/>
          <w:sz w:val="24"/>
          <w:szCs w:val="24"/>
          <w:highlight w:val="none"/>
          <w:vertAlign w:val="superscript"/>
        </w:rPr>
        <w:t xml:space="preserve">al</w:t>
      </w:r>
      <w:r>
        <w:rPr>
          <w:rFonts w:eastAsia="宋体" w:cs="Times New Roman"/>
          <w:color w:val="auto"/>
          <w:sz w:val="24"/>
          <w:szCs w:val="24"/>
          <w:highlight w:val="none"/>
        </w:rPr>
        <w:t xml:space="preserve">）。</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潜水主要赋存于上部2层黏土、3层淤泥及少量1层填土层中，一般厚16.50～20.00m，平均18.00m。潜水层总体流向由东北向西南，局部区域由地势高流向地势低，最终汇集至灌河。</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微承压水主要赋存于5层粉砂、5-1层粉质黏土夹粉砂层中，一般厚1.0～12.0m，平均6.0m，微承压水层总体流向由东北向西南。</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第Ⅰ承压水主要赋存于8层粉砂层中，揭露厚2.70～3.90m，平均3.10m，第Ⅰ承压水层总体流向西南向东北。</w:t>
      </w:r>
      <w:r/>
    </w:p>
    <w:p>
      <w:pPr>
        <w:pStyle w:val="1269"/>
        <w:ind w:firstLine="560"/>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3.项目</w:t>
      </w:r>
      <w:r>
        <w:rPr>
          <w:rFonts w:eastAsia="宋体" w:cs="Times New Roman"/>
          <w:color w:val="auto"/>
          <w:sz w:val="24"/>
          <w:szCs w:val="24"/>
          <w:highlight w:val="none"/>
        </w:rPr>
        <w:t xml:space="preserve">调查评估结果</w:t>
      </w:r>
      <w:bookmarkEnd w:id="6"/>
      <w:r/>
      <w:r/>
    </w:p>
    <w:p>
      <w:pPr>
        <w:pStyle w:val="1269"/>
        <w:ind w:firstLine="560"/>
        <w:spacing w:line="500" w:lineRule="exact"/>
        <w:rPr>
          <w:rFonts w:eastAsia="宋体" w:cs="Times New Roman"/>
          <w:color w:val="auto"/>
          <w:sz w:val="24"/>
          <w:szCs w:val="24"/>
          <w:highlight w:val="none"/>
        </w:rPr>
      </w:pPr>
      <w:r/>
      <w:bookmarkStart w:id="7" w:name="_Toc218630897"/>
      <w:r>
        <w:rPr>
          <w:rFonts w:eastAsia="宋体" w:cs="Times New Roman"/>
          <w:color w:val="auto"/>
          <w:sz w:val="24"/>
          <w:szCs w:val="24"/>
          <w:highlight w:val="none"/>
        </w:rPr>
        <w:t xml:space="preserve">（1）地下水调查结果</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调查阶段，在园区内布设地下水采样点位并采集样品送检，检测项目为《地下水质量标准》（GB/T14848-2017）表1的35项（微生物和放射性指标除外）、《土壤环境质量 建设用地土壤污染风险管控标准（试行）》（GB 36600-2018）表1的45项基本项、VOCs、SVOCs、石油烃（C</w:t>
      </w:r>
      <w:r>
        <w:rPr>
          <w:rFonts w:eastAsia="宋体" w:cs="Times New Roman"/>
          <w:color w:val="auto"/>
          <w:sz w:val="24"/>
          <w:szCs w:val="24"/>
          <w:highlight w:val="none"/>
          <w:vertAlign w:val="subscript"/>
        </w:rPr>
        <w:t xml:space="preserve">10</w:t>
      </w:r>
      <w:r>
        <w:rPr>
          <w:rFonts w:eastAsia="宋体" w:cs="Times New Roman"/>
          <w:color w:val="auto"/>
          <w:sz w:val="24"/>
          <w:szCs w:val="24"/>
          <w:highlight w:val="none"/>
        </w:rPr>
        <w:t xml:space="preserve">-C</w:t>
      </w:r>
      <w:r>
        <w:rPr>
          <w:rFonts w:eastAsia="宋体" w:cs="Times New Roman"/>
          <w:color w:val="auto"/>
          <w:sz w:val="24"/>
          <w:szCs w:val="24"/>
          <w:highlight w:val="none"/>
          <w:vertAlign w:val="subscript"/>
        </w:rPr>
        <w:t xml:space="preserve">40</w:t>
      </w:r>
      <w:r>
        <w:rPr>
          <w:rFonts w:eastAsia="宋体" w:cs="Times New Roman"/>
          <w:color w:val="auto"/>
          <w:sz w:val="24"/>
          <w:szCs w:val="24"/>
          <w:highlight w:val="none"/>
        </w:rPr>
        <w:t xml:space="preserve">）、八大离子、园区特征污染物和园区历史地下水调查确定的超标污染指标等。</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园区内潜水超IV类评价标准指标包括色度、臭和味、浊度、肉眼可见物、pH值、总硬度、溶解性总固体、硫酸盐、氯化物、铁、锰、锌、铝、挥发酚、阴离子表面活性剂、耗氧量、氨氮、硫化物、钠、硝酸盐氮、氟化物、碘化物、砷、镉、铅、氯仿、四氯化碳、苯、甲苯、钼、锑、2,4,6-三氯酚、五氯酚、二氯甲烷、1,2-二氯乙烷、1,2-二氯丙烷、氯苯、1,2-二氯苯、氯乙烯、1,1-二氯乙烯、三氯乙烯、1,1,2-三氯乙烷、四氯乙烯、总氰化物、萘、石油烃（C</w:t>
      </w:r>
      <w:r>
        <w:rPr>
          <w:rFonts w:eastAsia="宋体" w:cs="Times New Roman"/>
          <w:color w:val="auto"/>
          <w:sz w:val="24"/>
          <w:szCs w:val="24"/>
          <w:highlight w:val="none"/>
          <w:vertAlign w:val="subscript"/>
        </w:rPr>
        <w:t xml:space="preserve">10</w:t>
      </w:r>
      <w:r>
        <w:rPr>
          <w:rFonts w:eastAsia="宋体" w:cs="Times New Roman"/>
          <w:color w:val="auto"/>
          <w:sz w:val="24"/>
          <w:szCs w:val="24"/>
          <w:highlight w:val="none"/>
        </w:rPr>
        <w:t xml:space="preserve">-C</w:t>
      </w:r>
      <w:r>
        <w:rPr>
          <w:rFonts w:eastAsia="宋体" w:cs="Times New Roman"/>
          <w:color w:val="auto"/>
          <w:sz w:val="24"/>
          <w:szCs w:val="24"/>
          <w:highlight w:val="none"/>
          <w:vertAlign w:val="subscript"/>
        </w:rPr>
        <w:t xml:space="preserve">40</w:t>
      </w:r>
      <w:r>
        <w:rPr>
          <w:rFonts w:eastAsia="宋体" w:cs="Times New Roman"/>
          <w:color w:val="auto"/>
          <w:sz w:val="24"/>
          <w:szCs w:val="24"/>
          <w:highlight w:val="none"/>
        </w:rPr>
        <w:t xml:space="preserve">）、甲苯、乙苯、苯并[a]芘、2-氯酚、2,4-二氯酚以及2,4-二硝基酚等。</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园区内微承压水超IV类评价标准指标包括色度、臭和味、浊度、肉眼可见物、pH值、总硬度、溶解性总固体、硫酸盐、氯化物、铁、锰、锌、铝、挥发酚、阴离子表面活性剂、耗氧量、氨氮、硫化物、钠、总氰化物、氟化物、碘化物、砷、镉、氯仿、苯、甲苯、锑、2,4,6-三氯酚、二氯甲烷、1,2-二氯乙烷、氯苯、氯乙烯、1,1-二氯乙烯、1,1,2-三氯乙烷、四氯乙烯、苯乙烯、铜、硝酸盐、四氯化碳以及五氯酚等。</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（2）风险评估结果</w:t>
      </w:r>
      <w:bookmarkEnd w:id="7"/>
      <w:r/>
      <w:r/>
    </w:p>
    <w:p>
      <w:pPr>
        <w:ind w:firstLine="561"/>
        <w:spacing w:line="500" w:lineRule="exact"/>
        <w:rPr>
          <w:rFonts w:ascii="Times New Roman" w:hAnsi="Times New Roman" w:eastAsia="宋体" w:cs="Times New Roman"/>
          <w:color w:val="auto"/>
          <w:sz w:val="24"/>
          <w:szCs w:val="24"/>
          <w:highlight w:val="none"/>
        </w:rPr>
      </w:pPr>
      <w:r/>
      <w:bookmarkStart w:id="8" w:name="OLE_LINK1"/>
      <w:r>
        <w:rPr>
          <w:rFonts w:ascii="Times New Roman" w:hAnsi="Times New Roman" w:eastAsia="宋体" w:cs="Times New Roman"/>
          <w:color w:val="auto"/>
          <w:sz w:val="24"/>
          <w:szCs w:val="24"/>
          <w:highlight w:val="none"/>
        </w:rPr>
        <w:t xml:space="preserve">根据园区前期调查评估成果，潜水关注污染物中氯仿、氯乙烯、1,2-二氯乙烷、石油烃（C</w:t>
      </w:r>
      <w:r>
        <w:rPr>
          <w:rFonts w:ascii="Times New Roman" w:hAnsi="Times New Roman" w:eastAsia="宋体" w:cs="Times New Roman"/>
          <w:color w:val="auto"/>
          <w:sz w:val="24"/>
          <w:szCs w:val="24"/>
          <w:highlight w:val="none"/>
          <w:vertAlign w:val="subscript"/>
        </w:rPr>
        <w:t xml:space="preserve">10</w:t>
      </w:r>
      <w:r>
        <w:rPr>
          <w:rFonts w:ascii="Times New Roman" w:hAnsi="Times New Roman" w:eastAsia="宋体" w:cs="Times New Roman"/>
          <w:color w:val="auto"/>
          <w:sz w:val="24"/>
          <w:szCs w:val="24"/>
          <w:highlight w:val="none"/>
        </w:rPr>
        <w:t xml:space="preserve">-C</w:t>
      </w:r>
      <w:r>
        <w:rPr>
          <w:rFonts w:ascii="Times New Roman" w:hAnsi="Times New Roman" w:eastAsia="宋体" w:cs="Times New Roman"/>
          <w:color w:val="auto"/>
          <w:sz w:val="24"/>
          <w:szCs w:val="24"/>
          <w:highlight w:val="none"/>
          <w:vertAlign w:val="subscript"/>
        </w:rPr>
        <w:t xml:space="preserve">40</w:t>
      </w:r>
      <w:r>
        <w:rPr>
          <w:rFonts w:ascii="Times New Roman" w:hAnsi="Times New Roman" w:eastAsia="宋体" w:cs="Times New Roman"/>
          <w:color w:val="auto"/>
          <w:sz w:val="24"/>
          <w:szCs w:val="24"/>
          <w:highlight w:val="none"/>
        </w:rPr>
        <w:t xml:space="preserve">）人体健康风险不可接受；微承压水关注污染物中氯乙烯、1,2-二氯乙烷人体健康风险不可接受。</w:t>
      </w:r>
      <w:bookmarkEnd w:id="8"/>
      <w:r/>
      <w:r/>
    </w:p>
    <w:p>
      <w:pPr>
        <w:pStyle w:val="1269"/>
        <w:ind w:firstLine="560"/>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4.项目</w:t>
      </w:r>
      <w:r>
        <w:rPr>
          <w:rFonts w:eastAsia="宋体" w:cs="Times New Roman"/>
          <w:color w:val="auto"/>
          <w:sz w:val="24"/>
          <w:szCs w:val="24"/>
          <w:highlight w:val="none"/>
        </w:rPr>
        <w:t xml:space="preserve">风险管控路线</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（1）园区超标10倍及边界处超标但风险可接受区域（A区）</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选取园区超标10倍及边界处超标但风险可接受的点位纳入本区域，共涉及39个点位，拟将其列为重点监管区，制定长期监控方案，开展监测自然衰减，落实年度监测内容及计划。</w:t>
      </w:r>
      <w:bookmarkStart w:id="9" w:name="_Hlk219365049"/>
      <w:r/>
      <w:bookmarkEnd w:id="9"/>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（2）园区风险不可接受区域（B区）</w:t>
      </w:r>
      <w:r/>
    </w:p>
    <w:p>
      <w:pPr>
        <w:pStyle w:val="1269"/>
        <w:ind w:firstLine="560"/>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针对现有调查评估报告确定的地下水风险不可接受区域实施源头阻控系列措施。通过地下水抽出处理+重点区域原位化学氧化管控污染羽，全面降低环境污染扩散风险。风险不可接受区域地下水污染区域抽出处理方量约46481.76m</w:t>
      </w:r>
      <w:r>
        <w:rPr>
          <w:rFonts w:eastAsia="宋体" w:cs="Times New Roman"/>
          <w:color w:val="auto"/>
          <w:sz w:val="24"/>
          <w:szCs w:val="24"/>
          <w:highlight w:val="none"/>
          <w:vertAlign w:val="superscript"/>
        </w:rPr>
        <w:t xml:space="preserve">3</w:t>
      </w:r>
      <w:r>
        <w:rPr>
          <w:rFonts w:eastAsia="宋体" w:cs="Times New Roman"/>
          <w:color w:val="auto"/>
          <w:sz w:val="24"/>
          <w:szCs w:val="24"/>
          <w:highlight w:val="none"/>
        </w:rPr>
        <w:t xml:space="preserve">，风险不可接受重点区域（B-1区重点区域及B-2区重点区域）原位化学氧化约59560.43m</w:t>
      </w:r>
      <w:r>
        <w:rPr>
          <w:rFonts w:eastAsia="宋体" w:cs="Times New Roman"/>
          <w:color w:val="auto"/>
          <w:sz w:val="24"/>
          <w:szCs w:val="24"/>
          <w:highlight w:val="none"/>
          <w:vertAlign w:val="superscript"/>
        </w:rPr>
        <w:t xml:space="preserve">3</w:t>
      </w:r>
      <w:r>
        <w:rPr>
          <w:rFonts w:eastAsia="宋体" w:cs="Times New Roman"/>
          <w:color w:val="auto"/>
          <w:sz w:val="24"/>
          <w:szCs w:val="24"/>
          <w:highlight w:val="none"/>
        </w:rPr>
        <w:t xml:space="preserve">。</w:t>
      </w:r>
      <w:r/>
    </w:p>
    <w:p>
      <w:pPr>
        <w:pStyle w:val="1269"/>
        <w:ind w:firstLine="0"/>
        <w:spacing w:line="500" w:lineRule="exact"/>
        <w:rPr>
          <w:rFonts w:eastAsia="宋体" w:cs="Times New Roman"/>
          <w:color w:val="auto"/>
          <w:sz w:val="24"/>
          <w:szCs w:val="24"/>
          <w:highlight w:val="none"/>
        </w:rPr>
      </w:pPr>
      <w:r/>
      <w:bookmarkStart w:id="10" w:name="_Toc218630900"/>
      <w:r>
        <w:rPr>
          <w:rFonts w:hint="eastAsia" w:eastAsia="宋体" w:cs="Times New Roman"/>
          <w:color w:val="auto"/>
          <w:sz w:val="24"/>
          <w:szCs w:val="24"/>
          <w:highlight w:val="none"/>
        </w:rPr>
        <w:t xml:space="preserve">5.项目</w:t>
      </w:r>
      <w:r>
        <w:rPr>
          <w:rFonts w:eastAsia="宋体" w:cs="Times New Roman"/>
          <w:color w:val="auto"/>
          <w:sz w:val="24"/>
          <w:szCs w:val="24"/>
          <w:highlight w:val="none"/>
        </w:rPr>
        <w:t xml:space="preserve">风险管控范围</w:t>
      </w:r>
      <w:bookmarkEnd w:id="10"/>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（1）A区</w:t>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针对A区39个点位设置长期监测井（可利旧改造），动态监测地下水中超标污染物浓度变化及污染趋势。风险管控服务期间，地下水监测频次不少于一年两次，两次间隔时间大于2个月。当出现风险管控效果低于预期，局部区域修复和风险管控失效、污染扩散等不利情况，应适当提高监测频次。具体监测周期根据当地环境管理部门要求进行实时调整。监测指标</w:t>
      </w:r>
      <w:r>
        <w:rPr>
          <w:rFonts w:hint="eastAsia" w:ascii="Times New Roman" w:hAnsi="Times New Roman" w:eastAsia="宋体" w:cs="Times New Roman"/>
          <w:color w:val="auto"/>
          <w:sz w:val="24"/>
          <w:szCs w:val="24"/>
          <w:highlight w:val="none"/>
        </w:rPr>
        <w:t xml:space="preserve">包括</w:t>
      </w:r>
      <w:r>
        <w:rPr>
          <w:rFonts w:ascii="Times New Roman" w:hAnsi="Times New Roman" w:eastAsia="宋体" w:cs="Times New Roman"/>
          <w:color w:val="auto"/>
          <w:sz w:val="24"/>
          <w:szCs w:val="24"/>
          <w:highlight w:val="none"/>
        </w:rPr>
        <w:t xml:space="preserve">氯仿、钼、镉、1,2-二氯乙烷、氯苯、二氯甲烷、石油烃（C</w:t>
      </w:r>
      <w:r>
        <w:rPr>
          <w:rFonts w:ascii="Times New Roman" w:hAnsi="Times New Roman" w:eastAsia="宋体" w:cs="Times New Roman"/>
          <w:color w:val="auto"/>
          <w:sz w:val="24"/>
          <w:szCs w:val="24"/>
          <w:highlight w:val="none"/>
          <w:vertAlign w:val="subscript"/>
        </w:rPr>
        <w:t xml:space="preserve">10</w:t>
      </w:r>
      <w:r>
        <w:rPr>
          <w:rFonts w:ascii="Times New Roman" w:hAnsi="Times New Roman" w:eastAsia="宋体" w:cs="Times New Roman"/>
          <w:color w:val="auto"/>
          <w:sz w:val="24"/>
          <w:szCs w:val="24"/>
          <w:highlight w:val="none"/>
        </w:rPr>
        <w:t xml:space="preserve">-C</w:t>
      </w:r>
      <w:r>
        <w:rPr>
          <w:rFonts w:ascii="Times New Roman" w:hAnsi="Times New Roman" w:eastAsia="宋体" w:cs="Times New Roman"/>
          <w:color w:val="auto"/>
          <w:sz w:val="24"/>
          <w:szCs w:val="24"/>
          <w:highlight w:val="none"/>
          <w:vertAlign w:val="subscript"/>
        </w:rPr>
        <w:t xml:space="preserve">40</w:t>
      </w:r>
      <w:r>
        <w:rPr>
          <w:rFonts w:ascii="Times New Roman" w:hAnsi="Times New Roman" w:eastAsia="宋体" w:cs="Times New Roman"/>
          <w:color w:val="auto"/>
          <w:sz w:val="24"/>
          <w:szCs w:val="24"/>
          <w:highlight w:val="none"/>
        </w:rPr>
        <w:t xml:space="preserve">）、四氯乙烯、甲苯、苯、铅、砷、1,2-二氯苯、氯乙烯、1,2-二氯丙烷及GB/T14848-2017中表1推荐指标（微生物和放射性指标除外）。监测要求：统计地下水中关注污染物浓度，总结污染物浓度变化特征。若监控地下水中污染物浓度稳定或持续下降，则判断地下水污染扩散得到控制；若污染物检出浓度出现猛增或连续三次监测污染物检出浓度持续上升，则判断为污染扩散，应根据监测结果进行动态调整，及时查找污染扩散的原因，优化监测方案。</w:t>
      </w:r>
      <w:r/>
    </w:p>
    <w:p>
      <w:pPr>
        <w:pStyle w:val="1270"/>
        <w:rPr>
          <w:rFonts w:eastAsia="宋体" w:cs="Times New Roman"/>
          <w:color w:val="auto"/>
          <w:sz w:val="24"/>
          <w:szCs w:val="24"/>
          <w:highlight w:val="none"/>
        </w:rPr>
      </w:pPr>
      <w:r>
        <w:rPr>
          <w:rFonts w:eastAsia="宋体" w:cs="Times New Roman"/>
          <w:color w:val="auto"/>
          <w:sz w:val="24"/>
          <w:szCs w:val="24"/>
          <w:highlight w:val="none"/>
        </w:rPr>
        <mc:AlternateContent>
          <mc:Choice Requires="wpg">
            <w:drawing>
              <wp:inline xmlns:wp="http://schemas.openxmlformats.org/drawingml/2006/wordprocessingDrawing" distT="0" distB="0" distL="0" distR="0">
                <wp:extent cx="5039995" cy="3566795"/>
                <wp:effectExtent l="0" t="0" r="8255" b="0"/>
                <wp:docPr id="7" name="图片 27" descr="地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88945" name="图片 27" descr="地图&#10;&#10;AI 生成的内容可能不正确。"/>
                        <pic:cNvPicPr>
                          <a:picLocks noChangeAspect="1"/>
                        </pic:cNvPicPr>
                        <pic:nvPr/>
                      </pic:nvPicPr>
                      <pic:blipFill>
                        <a:blip r:embed="rId21"/>
                        <a:stretch/>
                      </pic:blipFill>
                      <pic:spPr bwMode="auto">
                        <a:xfrm>
                          <a:off x="0" y="0"/>
                          <a:ext cx="5040000" cy="35668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6.8pt;height:280.8pt;mso-wrap-distance-left:0.0pt;mso-wrap-distance-top:0.0pt;mso-wrap-distance-right:0.0pt;mso-wrap-distance-bottom:0.0pt;" stroked="f">
                <v:path textboxrect="0,0,0,0"/>
                <v:imagedata r:id="rId21" o:title=""/>
              </v:shape>
            </w:pict>
          </mc:Fallback>
        </mc:AlternateContent>
      </w:r>
      <w:r/>
    </w:p>
    <w:p>
      <w:pPr>
        <w:pStyle w:val="1269"/>
        <w:ind w:firstLine="560"/>
        <w:jc w:val="center"/>
        <w:rPr>
          <w:rFonts w:eastAsia="宋体" w:cs="Times New Roman"/>
          <w:color w:val="auto"/>
          <w:sz w:val="24"/>
          <w:szCs w:val="24"/>
          <w:highlight w:val="none"/>
        </w:rPr>
      </w:pPr>
      <w:r>
        <w:rPr>
          <w:rFonts w:eastAsia="宋体" w:cs="Times New Roman"/>
          <w:color w:val="auto"/>
          <w:sz w:val="24"/>
          <w:szCs w:val="24"/>
          <w:highlight w:val="none"/>
        </w:rPr>
        <w:t xml:space="preserve">图1 长期监测点位</w:t>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（2）B区</w:t>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园区潜水地下水管控目标污染物共4种，分别为氯仿、</w:t>
      </w:r>
      <w:bookmarkStart w:id="11" w:name="OLE_LINK24"/>
      <w:r>
        <w:rPr>
          <w:rFonts w:ascii="Times New Roman" w:hAnsi="Times New Roman" w:eastAsia="宋体" w:cs="Times New Roman"/>
          <w:color w:val="auto"/>
          <w:sz w:val="24"/>
          <w:szCs w:val="24"/>
          <w:highlight w:val="none"/>
        </w:rPr>
        <w:t xml:space="preserve">氯乙烯、1,2-二氯乙烷</w:t>
      </w:r>
      <w:bookmarkEnd w:id="11"/>
      <w:r>
        <w:rPr>
          <w:rFonts w:ascii="Times New Roman" w:hAnsi="Times New Roman" w:eastAsia="宋体" w:cs="Times New Roman"/>
          <w:color w:val="auto"/>
          <w:sz w:val="24"/>
          <w:szCs w:val="24"/>
          <w:highlight w:val="none"/>
        </w:rPr>
        <w:t xml:space="preserve">、石油烃（C</w:t>
      </w:r>
      <w:r>
        <w:rPr>
          <w:rFonts w:ascii="Times New Roman" w:hAnsi="Times New Roman" w:eastAsia="宋体" w:cs="Times New Roman"/>
          <w:color w:val="auto"/>
          <w:sz w:val="24"/>
          <w:szCs w:val="24"/>
          <w:highlight w:val="none"/>
          <w:vertAlign w:val="subscript"/>
        </w:rPr>
        <w:t xml:space="preserve">10</w:t>
      </w:r>
      <w:r>
        <w:rPr>
          <w:rFonts w:ascii="Times New Roman" w:hAnsi="Times New Roman" w:eastAsia="宋体" w:cs="Times New Roman"/>
          <w:color w:val="auto"/>
          <w:sz w:val="24"/>
          <w:szCs w:val="24"/>
          <w:highlight w:val="none"/>
        </w:rPr>
        <w:t xml:space="preserve">-C</w:t>
      </w:r>
      <w:r>
        <w:rPr>
          <w:rFonts w:ascii="Times New Roman" w:hAnsi="Times New Roman" w:eastAsia="宋体" w:cs="Times New Roman"/>
          <w:color w:val="auto"/>
          <w:sz w:val="24"/>
          <w:szCs w:val="24"/>
          <w:highlight w:val="none"/>
          <w:vertAlign w:val="subscript"/>
        </w:rPr>
        <w:t xml:space="preserve">40</w:t>
      </w:r>
      <w:r>
        <w:rPr>
          <w:rFonts w:ascii="Times New Roman" w:hAnsi="Times New Roman" w:eastAsia="宋体" w:cs="Times New Roman"/>
          <w:color w:val="auto"/>
          <w:sz w:val="24"/>
          <w:szCs w:val="24"/>
          <w:highlight w:val="none"/>
        </w:rPr>
        <w:t xml:space="preserve">），微承压水管控目标污染物共2种，分别为氯乙烯、1,2-二氯乙烷。拟采用抽出-处理+重点区域原位化学氧化进行治理，地下水抽出处理方量约46481.76m</w:t>
      </w:r>
      <w:r>
        <w:rPr>
          <w:rFonts w:ascii="Times New Roman" w:hAnsi="Times New Roman" w:eastAsia="宋体" w:cs="Times New Roman"/>
          <w:color w:val="auto"/>
          <w:sz w:val="24"/>
          <w:szCs w:val="24"/>
          <w:highlight w:val="none"/>
          <w:vertAlign w:val="superscript"/>
        </w:rPr>
        <w:t xml:space="preserve">3</w:t>
      </w:r>
      <w:r>
        <w:rPr>
          <w:rFonts w:ascii="Times New Roman" w:hAnsi="Times New Roman" w:eastAsia="宋体" w:cs="Times New Roman"/>
          <w:color w:val="auto"/>
          <w:sz w:val="24"/>
          <w:szCs w:val="24"/>
          <w:highlight w:val="none"/>
        </w:rPr>
        <w:t xml:space="preserve">，原位化学氧化方量约59560.43m</w:t>
      </w:r>
      <w:r>
        <w:rPr>
          <w:rFonts w:ascii="Times New Roman" w:hAnsi="Times New Roman" w:eastAsia="宋体" w:cs="Times New Roman"/>
          <w:color w:val="auto"/>
          <w:sz w:val="24"/>
          <w:szCs w:val="24"/>
          <w:highlight w:val="none"/>
          <w:vertAlign w:val="superscript"/>
        </w:rPr>
        <w:t xml:space="preserve">3</w:t>
      </w:r>
      <w:r>
        <w:rPr>
          <w:rFonts w:ascii="Times New Roman" w:hAnsi="Times New Roman" w:eastAsia="宋体" w:cs="Times New Roman"/>
          <w:color w:val="auto"/>
          <w:sz w:val="24"/>
          <w:szCs w:val="24"/>
          <w:highlight w:val="none"/>
        </w:rPr>
        <w:t xml:space="preserve">。具体见下表及下图。</w:t>
      </w:r>
      <w:r/>
    </w:p>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表</w:t>
      </w: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 B区地下水抽出处理工程量</w:t>
      </w:r>
      <w:r/>
    </w:p>
    <w:tbl>
      <w:tblPr>
        <w:tblStyle w:val="994"/>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605"/>
        <w:gridCol w:w="2383"/>
        <w:gridCol w:w="2513"/>
      </w:tblGrid>
      <w:tr>
        <w:trPr>
          <w:jc w:val="center"/>
          <w:trHeight w:val="567"/>
          <w:tblHeader/>
        </w:trPr>
        <w:tc>
          <w:tcPr>
            <w:tcW w:w="1107" w:type="pct"/>
            <w:vAlign w:val="center"/>
            <w:textDirection w:val="lrTb"/>
            <w:noWrap/>
          </w:tcPr>
          <w:p>
            <w:pPr>
              <w:pStyle w:val="1272"/>
              <w:rPr>
                <w:rFonts w:eastAsia="宋体"/>
                <w:color w:val="auto"/>
                <w:sz w:val="24"/>
                <w:szCs w:val="24"/>
                <w:highlight w:val="none"/>
              </w:rPr>
            </w:pPr>
            <w:r>
              <w:rPr>
                <w:rFonts w:eastAsia="宋体"/>
                <w:color w:val="auto"/>
                <w:sz w:val="24"/>
                <w:szCs w:val="24"/>
                <w:highlight w:val="none"/>
              </w:rPr>
              <w:t xml:space="preserve">区域</w:t>
            </w:r>
            <w:r/>
          </w:p>
        </w:tc>
        <w:tc>
          <w:tcPr>
            <w:tcW w:w="1352" w:type="pct"/>
            <w:vAlign w:val="center"/>
            <w:textDirection w:val="lrTb"/>
            <w:noWrap/>
          </w:tcPr>
          <w:p>
            <w:pPr>
              <w:pStyle w:val="1272"/>
              <w:rPr>
                <w:rFonts w:eastAsia="宋体"/>
                <w:color w:val="auto"/>
                <w:sz w:val="24"/>
                <w:szCs w:val="24"/>
                <w:highlight w:val="none"/>
              </w:rPr>
            </w:pPr>
            <w:r>
              <w:rPr>
                <w:rFonts w:eastAsia="宋体"/>
                <w:color w:val="auto"/>
                <w:sz w:val="24"/>
                <w:szCs w:val="24"/>
                <w:highlight w:val="none"/>
              </w:rPr>
              <w:t xml:space="preserve">面积（m</w:t>
            </w:r>
            <w:r>
              <w:rPr>
                <w:rFonts w:eastAsia="宋体"/>
                <w:color w:val="auto"/>
                <w:sz w:val="24"/>
                <w:szCs w:val="24"/>
                <w:highlight w:val="none"/>
                <w:vertAlign w:val="superscript"/>
              </w:rPr>
              <w:t xml:space="preserve">2</w:t>
            </w:r>
            <w:r>
              <w:rPr>
                <w:rFonts w:eastAsia="宋体"/>
                <w:color w:val="auto"/>
                <w:sz w:val="24"/>
                <w:szCs w:val="24"/>
                <w:highlight w:val="none"/>
              </w:rPr>
              <w:t xml:space="preserve">）</w:t>
            </w:r>
            <w:r/>
          </w:p>
        </w:tc>
        <w:tc>
          <w:tcPr>
            <w:tcW w:w="1237" w:type="pct"/>
            <w:vAlign w:val="center"/>
            <w:textDirection w:val="lrTb"/>
            <w:noWrap w:val="false"/>
          </w:tcPr>
          <w:p>
            <w:pPr>
              <w:pStyle w:val="1272"/>
              <w:rPr>
                <w:rFonts w:eastAsia="宋体"/>
                <w:color w:val="auto"/>
                <w:sz w:val="24"/>
                <w:szCs w:val="24"/>
                <w:highlight w:val="none"/>
              </w:rPr>
            </w:pPr>
            <w:r>
              <w:rPr>
                <w:rFonts w:eastAsia="宋体"/>
                <w:color w:val="auto"/>
                <w:sz w:val="24"/>
                <w:szCs w:val="24"/>
                <w:highlight w:val="none"/>
              </w:rPr>
              <w:t xml:space="preserve">深度（m）</w:t>
            </w:r>
            <w:r/>
          </w:p>
        </w:tc>
        <w:tc>
          <w:tcPr>
            <w:tcW w:w="1304" w:type="pct"/>
            <w:vAlign w:val="center"/>
            <w:textDirection w:val="lrTb"/>
            <w:noWrap w:val="false"/>
          </w:tcPr>
          <w:p>
            <w:pPr>
              <w:pStyle w:val="1272"/>
              <w:rPr>
                <w:rFonts w:eastAsia="宋体"/>
                <w:color w:val="auto"/>
                <w:sz w:val="24"/>
                <w:szCs w:val="24"/>
                <w:highlight w:val="none"/>
              </w:rPr>
            </w:pPr>
            <w:r>
              <w:rPr>
                <w:rFonts w:eastAsia="宋体"/>
                <w:color w:val="auto"/>
                <w:sz w:val="24"/>
                <w:szCs w:val="24"/>
                <w:highlight w:val="none"/>
              </w:rPr>
              <w:t xml:space="preserve">方量（m</w:t>
            </w:r>
            <w:r>
              <w:rPr>
                <w:rFonts w:eastAsia="宋体"/>
                <w:color w:val="auto"/>
                <w:sz w:val="24"/>
                <w:szCs w:val="24"/>
                <w:highlight w:val="none"/>
                <w:vertAlign w:val="superscript"/>
              </w:rPr>
              <w:t xml:space="preserve">3</w:t>
            </w:r>
            <w:r>
              <w:rPr>
                <w:rFonts w:eastAsia="宋体"/>
                <w:color w:val="auto"/>
                <w:sz w:val="24"/>
                <w:szCs w:val="24"/>
                <w:highlight w:val="none"/>
              </w:rPr>
              <w:t xml:space="preserve">）</w:t>
            </w:r>
            <w:r/>
          </w:p>
        </w:tc>
      </w:tr>
      <w:tr>
        <w:trPr>
          <w:jc w:val="center"/>
          <w:trHeight w:val="764"/>
        </w:trPr>
        <w:tc>
          <w:tcPr>
            <w:tcW w:w="1107"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B-1区</w:t>
            </w:r>
            <w:r/>
          </w:p>
        </w:tc>
        <w:tc>
          <w:tcPr>
            <w:tcW w:w="135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37972.08</w:t>
            </w:r>
            <w:r/>
          </w:p>
        </w:tc>
        <w:tc>
          <w:tcPr>
            <w:tcW w:w="1237"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20</w:t>
            </w:r>
            <w:r/>
          </w:p>
        </w:tc>
        <w:tc>
          <w:tcPr>
            <w:tcW w:w="1304"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41588.18</w:t>
            </w:r>
            <w:r/>
          </w:p>
        </w:tc>
      </w:tr>
      <w:tr>
        <w:trPr>
          <w:jc w:val="center"/>
          <w:trHeight w:val="567"/>
        </w:trPr>
        <w:tc>
          <w:tcPr>
            <w:tcW w:w="1107"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B-2区潜水</w:t>
            </w:r>
            <w:r/>
          </w:p>
        </w:tc>
        <w:tc>
          <w:tcPr>
            <w:tcW w:w="135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1524.37</w:t>
            </w:r>
            <w:r/>
          </w:p>
        </w:tc>
        <w:tc>
          <w:tcPr>
            <w:tcW w:w="1237"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20</w:t>
            </w:r>
            <w:r/>
          </w:p>
        </w:tc>
        <w:tc>
          <w:tcPr>
            <w:tcW w:w="1304"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1669.54</w:t>
            </w:r>
            <w:r/>
          </w:p>
        </w:tc>
      </w:tr>
      <w:tr>
        <w:trPr>
          <w:jc w:val="center"/>
          <w:trHeight w:val="567"/>
        </w:trPr>
        <w:tc>
          <w:tcPr>
            <w:tcW w:w="1107"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B-2区承压水</w:t>
            </w:r>
            <w:r/>
          </w:p>
        </w:tc>
        <w:tc>
          <w:tcPr>
            <w:tcW w:w="135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1524.37</w:t>
            </w:r>
            <w:r/>
          </w:p>
        </w:tc>
        <w:tc>
          <w:tcPr>
            <w:tcW w:w="1237"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28</w:t>
            </w:r>
            <w:r/>
          </w:p>
        </w:tc>
        <w:tc>
          <w:tcPr>
            <w:tcW w:w="1304"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3224.04</w:t>
            </w:r>
            <w:r/>
          </w:p>
        </w:tc>
      </w:tr>
      <w:tr>
        <w:trPr>
          <w:jc w:val="center"/>
          <w:trHeight w:val="567"/>
        </w:trPr>
        <w:tc>
          <w:tcPr>
            <w:tcW w:w="1107"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合计</w:t>
            </w:r>
            <w:r/>
          </w:p>
        </w:tc>
        <w:tc>
          <w:tcPr>
            <w:tcW w:w="135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39496.45</w:t>
            </w:r>
            <w:r/>
          </w:p>
        </w:tc>
        <w:tc>
          <w:tcPr>
            <w:tcW w:w="1237"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w:t>
            </w:r>
            <w:r/>
          </w:p>
        </w:tc>
        <w:tc>
          <w:tcPr>
            <w:tcW w:w="1304"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46481.76</w:t>
            </w:r>
            <w:r/>
          </w:p>
        </w:tc>
      </w:tr>
    </w:tbl>
    <w:p>
      <w:pPr>
        <w:pStyle w:val="1269"/>
        <w:ind w:firstLine="0"/>
        <w:jc w:val="center"/>
        <w:rPr>
          <w:rFonts w:eastAsia="宋体" w:cs="Times New Roman"/>
          <w:color w:val="auto"/>
          <w:sz w:val="24"/>
          <w:szCs w:val="24"/>
          <w:highlight w:val="none"/>
        </w:rPr>
      </w:pPr>
      <w:r>
        <w:rPr>
          <w:rFonts w:eastAsia="宋体" w:cs="Times New Roman"/>
          <w:color w:val="auto"/>
          <w:sz w:val="24"/>
          <w:szCs w:val="24"/>
          <w:highlight w:val="none"/>
        </w:rPr>
        <w:t xml:space="preserve">表</w:t>
      </w:r>
      <w:r>
        <w:rPr>
          <w:rFonts w:hint="eastAsia" w:eastAsia="宋体" w:cs="Times New Roman"/>
          <w:color w:val="auto"/>
          <w:sz w:val="24"/>
          <w:szCs w:val="24"/>
          <w:highlight w:val="none"/>
        </w:rPr>
        <w:t xml:space="preserve">3</w:t>
      </w:r>
      <w:r>
        <w:rPr>
          <w:rFonts w:eastAsia="宋体" w:cs="Times New Roman"/>
          <w:color w:val="auto"/>
          <w:sz w:val="24"/>
          <w:szCs w:val="24"/>
          <w:highlight w:val="none"/>
        </w:rPr>
        <w:t xml:space="preserve"> B区地下水原位化学氧化工程量</w:t>
      </w:r>
      <w:r/>
    </w:p>
    <w:tbl>
      <w:tblPr>
        <w:tblStyle w:val="994"/>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6"/>
        <w:gridCol w:w="2682"/>
        <w:gridCol w:w="2462"/>
        <w:gridCol w:w="2594"/>
      </w:tblGrid>
      <w:tr>
        <w:trPr>
          <w:jc w:val="center"/>
          <w:trHeight w:val="567"/>
          <w:tblHeader/>
        </w:trPr>
        <w:tc>
          <w:tcPr>
            <w:tcW w:w="984" w:type="pct"/>
            <w:vAlign w:val="center"/>
            <w:textDirection w:val="lrTb"/>
            <w:noWrap/>
          </w:tcPr>
          <w:p>
            <w:pPr>
              <w:pStyle w:val="1272"/>
              <w:rPr>
                <w:rFonts w:eastAsia="宋体"/>
                <w:color w:val="auto"/>
                <w:sz w:val="24"/>
                <w:szCs w:val="24"/>
                <w:highlight w:val="none"/>
              </w:rPr>
            </w:pPr>
            <w:r/>
            <w:bookmarkStart w:id="12" w:name="OLE_LINK25"/>
            <w:r>
              <w:rPr>
                <w:rFonts w:eastAsia="宋体"/>
                <w:color w:val="auto"/>
                <w:sz w:val="24"/>
                <w:szCs w:val="24"/>
                <w:highlight w:val="none"/>
              </w:rPr>
              <w:t xml:space="preserve">区域</w:t>
            </w:r>
            <w:r/>
          </w:p>
        </w:tc>
        <w:tc>
          <w:tcPr>
            <w:tcW w:w="1392" w:type="pct"/>
            <w:vAlign w:val="center"/>
            <w:textDirection w:val="lrTb"/>
            <w:noWrap/>
          </w:tcPr>
          <w:p>
            <w:pPr>
              <w:pStyle w:val="1272"/>
              <w:rPr>
                <w:rFonts w:eastAsia="宋体"/>
                <w:color w:val="auto"/>
                <w:sz w:val="24"/>
                <w:szCs w:val="24"/>
                <w:highlight w:val="none"/>
              </w:rPr>
            </w:pPr>
            <w:r>
              <w:rPr>
                <w:rFonts w:eastAsia="宋体"/>
                <w:color w:val="auto"/>
                <w:sz w:val="24"/>
                <w:szCs w:val="24"/>
                <w:highlight w:val="none"/>
              </w:rPr>
              <w:t xml:space="preserve">面积（m</w:t>
            </w:r>
            <w:r>
              <w:rPr>
                <w:rFonts w:eastAsia="宋体"/>
                <w:color w:val="auto"/>
                <w:sz w:val="24"/>
                <w:szCs w:val="24"/>
                <w:highlight w:val="none"/>
                <w:vertAlign w:val="superscript"/>
              </w:rPr>
              <w:t xml:space="preserve">2</w:t>
            </w:r>
            <w:r>
              <w:rPr>
                <w:rFonts w:eastAsia="宋体"/>
                <w:color w:val="auto"/>
                <w:sz w:val="24"/>
                <w:szCs w:val="24"/>
                <w:highlight w:val="none"/>
              </w:rPr>
              <w:t xml:space="preserve">）</w:t>
            </w:r>
            <w:r/>
          </w:p>
        </w:tc>
        <w:tc>
          <w:tcPr>
            <w:tcW w:w="1278" w:type="pct"/>
            <w:vAlign w:val="center"/>
            <w:textDirection w:val="lrTb"/>
            <w:noWrap w:val="false"/>
          </w:tcPr>
          <w:p>
            <w:pPr>
              <w:pStyle w:val="1272"/>
              <w:rPr>
                <w:rFonts w:eastAsia="宋体"/>
                <w:color w:val="auto"/>
                <w:sz w:val="24"/>
                <w:szCs w:val="24"/>
                <w:highlight w:val="none"/>
              </w:rPr>
            </w:pPr>
            <w:r>
              <w:rPr>
                <w:rFonts w:eastAsia="宋体"/>
                <w:color w:val="auto"/>
                <w:sz w:val="24"/>
                <w:szCs w:val="24"/>
                <w:highlight w:val="none"/>
              </w:rPr>
              <w:t xml:space="preserve">深度（m）</w:t>
            </w:r>
            <w:r/>
          </w:p>
        </w:tc>
        <w:tc>
          <w:tcPr>
            <w:tcW w:w="1346" w:type="pct"/>
            <w:vAlign w:val="center"/>
            <w:textDirection w:val="lrTb"/>
            <w:noWrap w:val="false"/>
          </w:tcPr>
          <w:p>
            <w:pPr>
              <w:pStyle w:val="1272"/>
              <w:rPr>
                <w:rFonts w:eastAsia="宋体"/>
                <w:color w:val="auto"/>
                <w:sz w:val="24"/>
                <w:szCs w:val="24"/>
                <w:highlight w:val="none"/>
              </w:rPr>
            </w:pPr>
            <w:r>
              <w:rPr>
                <w:rFonts w:eastAsia="宋体"/>
                <w:color w:val="auto"/>
                <w:sz w:val="24"/>
                <w:szCs w:val="24"/>
                <w:highlight w:val="none"/>
              </w:rPr>
              <w:t xml:space="preserve">方量（m</w:t>
            </w:r>
            <w:r>
              <w:rPr>
                <w:rFonts w:eastAsia="宋体"/>
                <w:color w:val="auto"/>
                <w:sz w:val="24"/>
                <w:szCs w:val="24"/>
                <w:highlight w:val="none"/>
                <w:vertAlign w:val="superscript"/>
              </w:rPr>
              <w:t xml:space="preserve">3</w:t>
            </w:r>
            <w:r>
              <w:rPr>
                <w:rFonts w:eastAsia="宋体"/>
                <w:color w:val="auto"/>
                <w:sz w:val="24"/>
                <w:szCs w:val="24"/>
                <w:highlight w:val="none"/>
              </w:rPr>
              <w:t xml:space="preserve">）</w:t>
            </w:r>
            <w:r/>
          </w:p>
        </w:tc>
      </w:tr>
      <w:tr>
        <w:trPr>
          <w:jc w:val="center"/>
          <w:trHeight w:val="764"/>
        </w:trPr>
        <w:tc>
          <w:tcPr>
            <w:tcW w:w="984"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B-1区重点区域</w:t>
            </w:r>
            <w:r/>
          </w:p>
        </w:tc>
        <w:tc>
          <w:tcPr>
            <w:tcW w:w="139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13049.02</w:t>
            </w:r>
            <w:r/>
          </w:p>
        </w:tc>
        <w:tc>
          <w:tcPr>
            <w:tcW w:w="1278"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7.5</w:t>
            </w:r>
            <w:r/>
          </w:p>
        </w:tc>
        <w:tc>
          <w:tcPr>
            <w:tcW w:w="1346"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55980.30</w:t>
            </w:r>
            <w:r/>
          </w:p>
        </w:tc>
      </w:tr>
      <w:tr>
        <w:trPr>
          <w:jc w:val="center"/>
          <w:trHeight w:val="567"/>
        </w:trPr>
        <w:tc>
          <w:tcPr>
            <w:tcW w:w="984"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B-2区重点区域</w:t>
            </w:r>
            <w:r/>
          </w:p>
        </w:tc>
        <w:tc>
          <w:tcPr>
            <w:tcW w:w="139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834.53</w:t>
            </w:r>
            <w:r/>
          </w:p>
        </w:tc>
        <w:tc>
          <w:tcPr>
            <w:tcW w:w="1278"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7.5</w:t>
            </w:r>
            <w:r/>
          </w:p>
        </w:tc>
        <w:tc>
          <w:tcPr>
            <w:tcW w:w="1346"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3580.13</w:t>
            </w:r>
            <w:r/>
          </w:p>
        </w:tc>
      </w:tr>
      <w:tr>
        <w:trPr>
          <w:jc w:val="center"/>
          <w:trHeight w:val="567"/>
        </w:trPr>
        <w:tc>
          <w:tcPr>
            <w:tcW w:w="984"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合计</w:t>
            </w:r>
            <w:r/>
          </w:p>
        </w:tc>
        <w:tc>
          <w:tcPr>
            <w:tcW w:w="1392" w:type="pct"/>
            <w:vAlign w:val="center"/>
            <w:textDirection w:val="lrTb"/>
            <w:noWrap/>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13883.55</w:t>
            </w:r>
            <w:r/>
          </w:p>
        </w:tc>
        <w:tc>
          <w:tcPr>
            <w:tcW w:w="1278"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w:t>
            </w:r>
            <w:r/>
          </w:p>
        </w:tc>
        <w:tc>
          <w:tcPr>
            <w:tcW w:w="1346" w:type="pct"/>
            <w:vAlign w:val="center"/>
            <w:textDirection w:val="lrTb"/>
            <w:noWrap w:val="false"/>
          </w:tcPr>
          <w:p>
            <w:pPr>
              <w:pStyle w:val="964"/>
              <w:ind w:firstLine="0"/>
              <w:jc w:val="center"/>
              <w:spacing w:line="240" w:lineRule="auto"/>
              <w:rPr>
                <w:rFonts w:ascii="Times New Roman"/>
                <w:color w:val="auto"/>
                <w:sz w:val="24"/>
                <w:szCs w:val="24"/>
                <w:highlight w:val="none"/>
              </w:rPr>
            </w:pPr>
            <w:r>
              <w:rPr>
                <w:rFonts w:ascii="Times New Roman"/>
                <w:color w:val="auto"/>
                <w:sz w:val="24"/>
                <w:szCs w:val="24"/>
                <w:highlight w:val="none"/>
              </w:rPr>
              <w:t xml:space="preserve">59560.43</w:t>
            </w:r>
            <w:bookmarkEnd w:id="12"/>
            <w:r/>
            <w:r/>
          </w:p>
        </w:tc>
      </w:tr>
    </w:tbl>
    <w:p>
      <w:pPr>
        <w:ind w:firstLine="56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1270"/>
        <w:rPr>
          <w:rFonts w:eastAsia="宋体" w:cs="Times New Roman"/>
          <w:color w:val="auto"/>
          <w:sz w:val="24"/>
          <w:szCs w:val="24"/>
          <w:highlight w:val="none"/>
        </w:rPr>
      </w:pPr>
      <w:r>
        <w:rPr>
          <w:rFonts w:eastAsia="宋体" w:cs="Times New Roman"/>
          <w:color w:val="auto"/>
          <w:sz w:val="24"/>
          <w:szCs w:val="24"/>
          <w:highlight w:val="none"/>
        </w:rPr>
        <mc:AlternateContent>
          <mc:Choice Requires="wpg">
            <w:drawing>
              <wp:inline xmlns:wp="http://schemas.openxmlformats.org/drawingml/2006/wordprocessingDrawing" distT="0" distB="0" distL="0" distR="0">
                <wp:extent cx="5039995" cy="3555365"/>
                <wp:effectExtent l="0" t="0" r="8255" b="6985"/>
                <wp:docPr id="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2"/>
                        <a:stretch/>
                      </pic:blipFill>
                      <pic:spPr bwMode="auto">
                        <a:xfrm>
                          <a:off x="0" y="0"/>
                          <a:ext cx="5040000" cy="355579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6.8pt;height:279.9pt;mso-wrap-distance-left:0.0pt;mso-wrap-distance-top:0.0pt;mso-wrap-distance-right:0.0pt;mso-wrap-distance-bottom:0.0pt;" stroked="false">
                <v:path textboxrect="0,0,0,0"/>
                <v:imagedata r:id="rId22" o:title=""/>
              </v:shape>
            </w:pict>
          </mc:Fallback>
        </mc:AlternateContent>
      </w:r>
      <w:r/>
    </w:p>
    <w:p>
      <w:pPr>
        <w:pStyle w:val="1269"/>
        <w:ind w:firstLine="560"/>
        <w:jc w:val="center"/>
        <w:rPr>
          <w:rFonts w:eastAsia="宋体" w:cs="Times New Roman"/>
          <w:color w:val="auto"/>
          <w:sz w:val="24"/>
          <w:szCs w:val="24"/>
          <w:highlight w:val="none"/>
        </w:rPr>
      </w:pPr>
      <w:r>
        <w:rPr>
          <w:rFonts w:eastAsia="宋体" w:cs="Times New Roman"/>
          <w:color w:val="auto"/>
          <w:sz w:val="24"/>
          <w:szCs w:val="24"/>
          <w:highlight w:val="none"/>
        </w:rPr>
        <w:t xml:space="preserve">图2 地下水管控范围</w:t>
      </w:r>
      <w:r/>
    </w:p>
    <w:p>
      <w:pPr>
        <w:pStyle w:val="1269"/>
        <w:ind w:firstLine="560"/>
        <w:rPr>
          <w:rFonts w:eastAsia="宋体" w:cs="Times New Roman"/>
          <w:color w:val="auto"/>
          <w:sz w:val="24"/>
          <w:szCs w:val="24"/>
          <w:highlight w:val="none"/>
        </w:rPr>
      </w:pPr>
      <w:r/>
      <w:bookmarkStart w:id="13" w:name="_Toc218630902"/>
      <w:r>
        <w:rPr>
          <w:rFonts w:hint="eastAsia" w:eastAsia="宋体" w:cs="Times New Roman"/>
          <w:color w:val="auto"/>
          <w:sz w:val="24"/>
          <w:szCs w:val="24"/>
          <w:highlight w:val="none"/>
        </w:rPr>
        <w:t xml:space="preserve">6.项目</w:t>
      </w:r>
      <w:r>
        <w:rPr>
          <w:rFonts w:eastAsia="宋体" w:cs="Times New Roman"/>
          <w:color w:val="auto"/>
          <w:sz w:val="24"/>
          <w:szCs w:val="24"/>
          <w:highlight w:val="none"/>
        </w:rPr>
        <w:t xml:space="preserve">风险管控目标</w:t>
      </w:r>
      <w:bookmarkEnd w:id="13"/>
      <w:r/>
      <w:r/>
    </w:p>
    <w:p>
      <w:pPr>
        <w:ind w:firstLine="561"/>
        <w:spacing w:line="500" w:lineRule="exact"/>
        <w:rPr>
          <w:rFonts w:ascii="Times New Roman" w:hAnsi="Times New Roman" w:eastAsia="宋体" w:cs="Times New Roman"/>
          <w:color w:val="auto"/>
          <w:sz w:val="24"/>
          <w:szCs w:val="24"/>
          <w:highlight w:val="none"/>
        </w:rPr>
      </w:pPr>
      <w:r/>
      <w:bookmarkStart w:id="14" w:name="OLE_LINK170"/>
      <w:r>
        <w:rPr>
          <w:rFonts w:ascii="Times New Roman" w:hAnsi="Times New Roman" w:eastAsia="宋体" w:cs="Times New Roman"/>
          <w:color w:val="auto"/>
          <w:sz w:val="24"/>
          <w:szCs w:val="24"/>
          <w:highlight w:val="none"/>
        </w:rPr>
        <w:t xml:space="preserve">（1）B区地下水管控目标</w:t>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根据园区前期调查评估成果，在系统开展污染状况调查及水文地质勘察的基础上，依据《地下水污染健康风险评估工作指南》（环办土壤函[2019]770号）以及《建设用地土壤污染风险评估技术导则》（HJ 25.3-2019）等文件要求，通过危害识别、暴露评估和风险表征，识别出风险不可接受污染物指标，并定量计算得到风险控制值，具体如下表所示。</w:t>
      </w:r>
      <w:r/>
    </w:p>
    <w:p>
      <w:pPr>
        <w:pStyle w:val="1269"/>
        <w:ind w:firstLine="560"/>
        <w:jc w:val="center"/>
        <w:rPr>
          <w:rFonts w:eastAsia="宋体" w:cs="Times New Roman"/>
          <w:color w:val="auto"/>
          <w:sz w:val="24"/>
          <w:szCs w:val="24"/>
          <w:highlight w:val="none"/>
        </w:rPr>
      </w:pPr>
      <w:r>
        <w:rPr>
          <w:rFonts w:eastAsia="宋体" w:cs="Times New Roman"/>
          <w:color w:val="auto"/>
          <w:sz w:val="24"/>
          <w:szCs w:val="24"/>
          <w:highlight w:val="none"/>
        </w:rPr>
        <w:t xml:space="preserve">表</w:t>
      </w:r>
      <w:r>
        <w:rPr>
          <w:rFonts w:hint="eastAsia" w:eastAsia="宋体" w:cs="Times New Roman"/>
          <w:color w:val="auto"/>
          <w:sz w:val="24"/>
          <w:szCs w:val="24"/>
          <w:highlight w:val="none"/>
        </w:rPr>
        <w:t xml:space="preserve">4</w:t>
      </w:r>
      <w:r>
        <w:rPr>
          <w:rFonts w:eastAsia="宋体" w:cs="Times New Roman"/>
          <w:color w:val="auto"/>
          <w:sz w:val="24"/>
          <w:szCs w:val="24"/>
          <w:highlight w:val="none"/>
        </w:rPr>
        <w:t xml:space="preserve"> 潜水关注污染物风险管控目标值（mg/L）</w:t>
      </w:r>
      <w:r/>
    </w:p>
    <w:tbl>
      <w:tblPr>
        <w:tblStyle w:val="1273"/>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2"/>
        <w:gridCol w:w="1717"/>
        <w:gridCol w:w="1372"/>
        <w:gridCol w:w="1568"/>
        <w:gridCol w:w="1829"/>
        <w:gridCol w:w="2356"/>
      </w:tblGrid>
      <w:tr>
        <w:trPr>
          <w:trHeight w:val="517"/>
          <w:tblHeader/>
        </w:trPr>
        <w:tc>
          <w:tcPr>
            <w:tcW w:w="411"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序号</w:t>
            </w:r>
            <w:r/>
          </w:p>
        </w:tc>
        <w:tc>
          <w:tcPr>
            <w:tcW w:w="891"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污染物</w:t>
            </w:r>
            <w:r/>
          </w:p>
        </w:tc>
        <w:tc>
          <w:tcPr>
            <w:tcW w:w="712"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CAS编号</w:t>
            </w:r>
            <w:r/>
          </w:p>
        </w:tc>
        <w:tc>
          <w:tcPr>
            <w:tcW w:w="814"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风险控制值</w:t>
            </w:r>
            <w:r/>
          </w:p>
        </w:tc>
        <w:tc>
          <w:tcPr>
            <w:tcW w:w="949"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标准限值</w:t>
            </w:r>
            <w:r/>
          </w:p>
        </w:tc>
        <w:tc>
          <w:tcPr>
            <w:tcW w:w="1223" w:type="pct"/>
            <w:vAlign w:val="center"/>
            <w:textDirection w:val="lrTb"/>
            <w:noWrap w:val="false"/>
          </w:tcPr>
          <w:p>
            <w:pPr>
              <w:jc w:val="center"/>
              <w:widowControl/>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建议的管控目标值</w:t>
            </w:r>
            <w:r/>
          </w:p>
        </w:tc>
      </w:tr>
      <w:tr>
        <w:trPr>
          <w:trHeight w:val="553"/>
        </w:trPr>
        <w:tc>
          <w:tcPr>
            <w:tcW w:w="41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w:t>
            </w:r>
            <w:r/>
          </w:p>
        </w:tc>
        <w:tc>
          <w:tcPr>
            <w:tcW w:w="89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氯仿</w:t>
            </w:r>
            <w:r/>
          </w:p>
        </w:tc>
        <w:tc>
          <w:tcPr>
            <w:tcW w:w="712"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67-66-3</w:t>
            </w:r>
            <w:r/>
          </w:p>
        </w:tc>
        <w:tc>
          <w:tcPr>
            <w:tcW w:w="814"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1.32</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0.3</w:t>
            </w:r>
            <w:r/>
          </w:p>
        </w:tc>
        <w:tc>
          <w:tcPr>
            <w:tcW w:w="1223"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1.32</w:t>
            </w:r>
            <w:r/>
          </w:p>
        </w:tc>
      </w:tr>
      <w:tr>
        <w:trPr>
          <w:trHeight w:val="553"/>
        </w:trPr>
        <w:tc>
          <w:tcPr>
            <w:tcW w:w="41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2</w:t>
            </w:r>
            <w:r/>
          </w:p>
        </w:tc>
        <w:tc>
          <w:tcPr>
            <w:tcW w:w="89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氯乙烯</w:t>
            </w:r>
            <w:r/>
          </w:p>
        </w:tc>
        <w:tc>
          <w:tcPr>
            <w:tcW w:w="712"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75-01-4</w:t>
            </w:r>
            <w:r/>
          </w:p>
        </w:tc>
        <w:tc>
          <w:tcPr>
            <w:tcW w:w="814"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0.17</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0.09</w:t>
            </w:r>
            <w:r/>
          </w:p>
        </w:tc>
        <w:tc>
          <w:tcPr>
            <w:tcW w:w="1223"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0.17</w:t>
            </w:r>
            <w:r/>
          </w:p>
        </w:tc>
      </w:tr>
      <w:tr>
        <w:trPr>
          <w:trHeight w:val="553"/>
        </w:trPr>
        <w:tc>
          <w:tcPr>
            <w:tcW w:w="41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3</w:t>
            </w:r>
            <w:r/>
          </w:p>
        </w:tc>
        <w:tc>
          <w:tcPr>
            <w:tcW w:w="89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1,2-二氯乙烷</w:t>
            </w:r>
            <w:r/>
          </w:p>
        </w:tc>
        <w:tc>
          <w:tcPr>
            <w:tcW w:w="712"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107-06-2</w:t>
            </w:r>
            <w:r/>
          </w:p>
        </w:tc>
        <w:tc>
          <w:tcPr>
            <w:tcW w:w="814"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3.04</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0.04</w:t>
            </w:r>
            <w:r/>
          </w:p>
        </w:tc>
        <w:tc>
          <w:tcPr>
            <w:tcW w:w="1223"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3.04</w:t>
            </w:r>
            <w:r/>
          </w:p>
        </w:tc>
      </w:tr>
      <w:tr>
        <w:trPr>
          <w:trHeight w:val="553"/>
        </w:trPr>
        <w:tc>
          <w:tcPr>
            <w:tcW w:w="41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4</w:t>
            </w:r>
            <w:r/>
          </w:p>
        </w:tc>
        <w:tc>
          <w:tcPr>
            <w:tcW w:w="891"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石油烃</w:t>
            </w:r>
            <w:r/>
          </w:p>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（C</w:t>
            </w:r>
            <w:r>
              <w:rPr>
                <w:rFonts w:ascii="Times New Roman" w:hAnsi="Times New Roman" w:eastAsia="宋体" w:cs="Times New Roman"/>
                <w:color w:val="auto"/>
                <w:sz w:val="24"/>
                <w:szCs w:val="24"/>
                <w:highlight w:val="none"/>
                <w:vertAlign w:val="subscript"/>
                <w:lang w:eastAsia="zh-CN"/>
              </w:rPr>
              <w:t xml:space="preserve">10</w:t>
            </w:r>
            <w:r>
              <w:rPr>
                <w:rFonts w:ascii="Times New Roman" w:hAnsi="Times New Roman" w:eastAsia="宋体" w:cs="Times New Roman"/>
                <w:color w:val="auto"/>
                <w:sz w:val="24"/>
                <w:szCs w:val="24"/>
                <w:highlight w:val="none"/>
                <w:lang w:eastAsia="zh-CN"/>
              </w:rPr>
              <w:t xml:space="preserve">-C</w:t>
            </w:r>
            <w:r>
              <w:rPr>
                <w:rFonts w:ascii="Times New Roman" w:hAnsi="Times New Roman" w:eastAsia="宋体" w:cs="Times New Roman"/>
                <w:color w:val="auto"/>
                <w:sz w:val="24"/>
                <w:szCs w:val="24"/>
                <w:highlight w:val="none"/>
                <w:vertAlign w:val="subscript"/>
                <w:lang w:eastAsia="zh-CN"/>
              </w:rPr>
              <w:t xml:space="preserve">40</w:t>
            </w:r>
            <w:r>
              <w:rPr>
                <w:rFonts w:ascii="Times New Roman" w:hAnsi="Times New Roman" w:eastAsia="宋体" w:cs="Times New Roman"/>
                <w:color w:val="auto"/>
                <w:sz w:val="24"/>
                <w:szCs w:val="24"/>
                <w:highlight w:val="none"/>
                <w:lang w:eastAsia="zh-CN"/>
              </w:rPr>
              <w:t xml:space="preserve">）</w:t>
            </w:r>
            <w:r/>
          </w:p>
        </w:tc>
        <w:tc>
          <w:tcPr>
            <w:tcW w:w="712"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w:t>
            </w:r>
            <w:r/>
          </w:p>
        </w:tc>
        <w:tc>
          <w:tcPr>
            <w:tcW w:w="814"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32.4</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1.2</w:t>
            </w:r>
            <w:r/>
          </w:p>
        </w:tc>
        <w:tc>
          <w:tcPr>
            <w:tcW w:w="1223"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32.4</w:t>
            </w:r>
            <w:r/>
          </w:p>
        </w:tc>
      </w:tr>
    </w:tbl>
    <w:p>
      <w:pPr>
        <w:pStyle w:val="1269"/>
        <w:ind w:firstLine="560"/>
        <w:jc w:val="center"/>
        <w:rPr>
          <w:rFonts w:eastAsia="宋体" w:cs="Times New Roman"/>
          <w:color w:val="auto"/>
          <w:sz w:val="24"/>
          <w:szCs w:val="24"/>
          <w:highlight w:val="none"/>
        </w:rPr>
      </w:pPr>
      <w:r>
        <w:rPr>
          <w:rFonts w:eastAsia="宋体" w:cs="Times New Roman"/>
          <w:color w:val="auto"/>
          <w:sz w:val="24"/>
          <w:szCs w:val="24"/>
          <w:highlight w:val="none"/>
        </w:rPr>
        <w:t xml:space="preserve">表</w:t>
      </w:r>
      <w:r>
        <w:rPr>
          <w:rFonts w:hint="eastAsia" w:eastAsia="宋体" w:cs="Times New Roman"/>
          <w:color w:val="auto"/>
          <w:sz w:val="24"/>
          <w:szCs w:val="24"/>
          <w:highlight w:val="none"/>
        </w:rPr>
        <w:t xml:space="preserve">5</w:t>
      </w:r>
      <w:r>
        <w:rPr>
          <w:rFonts w:eastAsia="宋体" w:cs="Times New Roman"/>
          <w:color w:val="auto"/>
          <w:sz w:val="24"/>
          <w:szCs w:val="24"/>
          <w:highlight w:val="none"/>
        </w:rPr>
        <w:t xml:space="preserve"> 微承压水关注污染物风险管控目标值（mg/L）</w:t>
      </w:r>
      <w:r/>
    </w:p>
    <w:tbl>
      <w:tblPr>
        <w:tblStyle w:val="1273"/>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2"/>
        <w:gridCol w:w="1717"/>
        <w:gridCol w:w="1372"/>
        <w:gridCol w:w="1568"/>
        <w:gridCol w:w="1829"/>
        <w:gridCol w:w="2356"/>
      </w:tblGrid>
      <w:tr>
        <w:trPr>
          <w:trHeight w:val="517"/>
        </w:trPr>
        <w:tc>
          <w:tcPr>
            <w:tcW w:w="411"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序号</w:t>
            </w:r>
            <w:r/>
          </w:p>
        </w:tc>
        <w:tc>
          <w:tcPr>
            <w:tcW w:w="891"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污染物</w:t>
            </w:r>
            <w:r/>
          </w:p>
        </w:tc>
        <w:tc>
          <w:tcPr>
            <w:tcW w:w="712"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CAS编号</w:t>
            </w:r>
            <w:r/>
          </w:p>
        </w:tc>
        <w:tc>
          <w:tcPr>
            <w:tcW w:w="814"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风险控制值</w:t>
            </w:r>
            <w:r/>
          </w:p>
        </w:tc>
        <w:tc>
          <w:tcPr>
            <w:tcW w:w="949"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标准限值</w:t>
            </w:r>
            <w:r/>
          </w:p>
        </w:tc>
        <w:tc>
          <w:tcPr>
            <w:tcW w:w="1223" w:type="pct"/>
            <w:vAlign w:val="center"/>
            <w:textDirection w:val="lrTb"/>
            <w:noWrap w:val="false"/>
          </w:tcPr>
          <w:p>
            <w:pPr>
              <w:jc w:val="center"/>
              <w:rPr>
                <w:rFonts w:ascii="Times New Roman" w:hAnsi="Times New Roman" w:eastAsia="宋体" w:cs="Times New Roman"/>
                <w:b/>
                <w:bCs/>
                <w:color w:val="auto"/>
                <w:sz w:val="24"/>
                <w:szCs w:val="24"/>
                <w:highlight w:val="none"/>
                <w:lang w:eastAsia="zh-CN"/>
              </w:rPr>
            </w:pPr>
            <w:r>
              <w:rPr>
                <w:rFonts w:ascii="Times New Roman" w:hAnsi="Times New Roman" w:eastAsia="宋体" w:cs="Times New Roman"/>
                <w:b/>
                <w:bCs/>
                <w:color w:val="auto"/>
                <w:sz w:val="24"/>
                <w:szCs w:val="24"/>
                <w:highlight w:val="none"/>
                <w:lang w:eastAsia="zh-CN"/>
              </w:rPr>
              <w:t xml:space="preserve">建议的管控目标值</w:t>
            </w:r>
            <w:r/>
          </w:p>
        </w:tc>
      </w:tr>
      <w:tr>
        <w:trPr>
          <w:trHeight w:val="553"/>
        </w:trPr>
        <w:tc>
          <w:tcPr>
            <w:tcW w:w="411"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w:t>
            </w:r>
            <w:r/>
          </w:p>
        </w:tc>
        <w:tc>
          <w:tcPr>
            <w:tcW w:w="891"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氯乙烯</w:t>
            </w:r>
            <w:r/>
          </w:p>
        </w:tc>
        <w:tc>
          <w:tcPr>
            <w:tcW w:w="712"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75-01-4</w:t>
            </w:r>
            <w:r/>
          </w:p>
        </w:tc>
        <w:tc>
          <w:tcPr>
            <w:tcW w:w="814"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2.68</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0.09</w:t>
            </w:r>
            <w:r/>
          </w:p>
        </w:tc>
        <w:tc>
          <w:tcPr>
            <w:tcW w:w="1223"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2.68</w:t>
            </w:r>
            <w:r/>
          </w:p>
        </w:tc>
      </w:tr>
      <w:tr>
        <w:trPr>
          <w:trHeight w:val="553"/>
        </w:trPr>
        <w:tc>
          <w:tcPr>
            <w:tcW w:w="411"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2</w:t>
            </w:r>
            <w:r/>
          </w:p>
        </w:tc>
        <w:tc>
          <w:tcPr>
            <w:tcW w:w="891"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1,2-二氯乙烷</w:t>
            </w:r>
            <w:r/>
          </w:p>
        </w:tc>
        <w:tc>
          <w:tcPr>
            <w:tcW w:w="712"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107-06-2</w:t>
            </w:r>
            <w:r/>
          </w:p>
        </w:tc>
        <w:tc>
          <w:tcPr>
            <w:tcW w:w="814"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10.2</w:t>
            </w:r>
            <w:r/>
          </w:p>
        </w:tc>
        <w:tc>
          <w:tcPr>
            <w:tcW w:w="949" w:type="pct"/>
            <w:vAlign w:val="center"/>
            <w:textDirection w:val="lrTb"/>
            <w:noWrap w:val="false"/>
          </w:tcPr>
          <w:p>
            <w:pPr>
              <w:jc w:val="center"/>
              <w:widowControl/>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0.01</w:t>
            </w:r>
            <w:r/>
          </w:p>
        </w:tc>
        <w:tc>
          <w:tcPr>
            <w:tcW w:w="1223" w:type="pct"/>
            <w:vAlign w:val="center"/>
            <w:textDirection w:val="lrTb"/>
            <w:noWrap w:val="false"/>
          </w:tcPr>
          <w:p>
            <w:pPr>
              <w:jc w:val="center"/>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10.2</w:t>
            </w:r>
            <w:bookmarkEnd w:id="14"/>
            <w:r/>
            <w:r/>
          </w:p>
        </w:tc>
      </w:tr>
    </w:tbl>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（2）处理后废水纳管标准</w:t>
      </w:r>
      <w:r/>
    </w:p>
    <w:p>
      <w:pPr>
        <w:ind w:firstLine="561"/>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园区现有污水处理厂为连云港东江水务有限公司，设计处理规模为3.45万m</w:t>
      </w:r>
      <w:r>
        <w:rPr>
          <w:rFonts w:ascii="Times New Roman" w:hAnsi="Times New Roman" w:eastAsia="宋体" w:cs="Times New Roman"/>
          <w:color w:val="auto"/>
          <w:sz w:val="24"/>
          <w:szCs w:val="24"/>
          <w:highlight w:val="none"/>
          <w:vertAlign w:val="superscript"/>
        </w:rPr>
        <w:t xml:space="preserve">3</w:t>
      </w:r>
      <w:r>
        <w:rPr>
          <w:rFonts w:ascii="Times New Roman" w:hAnsi="Times New Roman" w:eastAsia="宋体" w:cs="Times New Roman"/>
          <w:color w:val="auto"/>
          <w:sz w:val="24"/>
          <w:szCs w:val="24"/>
          <w:highlight w:val="none"/>
        </w:rPr>
        <w:t xml:space="preserve">/d，主体处理工艺为生化处理+芬顿氧化+活性炭吸附等组合工艺。污水处理厂出水执行江苏省《化学工业水污染排放标准》（DB32/939-2020）一级标准。污染物控制指标按标准相关要求执行，涵盖基本控制指标及特征污染物指标，确保稳定达标排放。本项目抽提出的地下水和施工废水需进行预处理达标后方可纳管排放，不直接外排。污水处理厂的接管及排放标准如下表所示。</w:t>
      </w:r>
      <w:r/>
    </w:p>
    <w:p>
      <w:pPr>
        <w:pStyle w:val="1269"/>
        <w:ind w:firstLine="560"/>
        <w:jc w:val="center"/>
        <w:rPr>
          <w:rFonts w:eastAsia="宋体" w:cs="Times New Roman"/>
          <w:color w:val="auto"/>
          <w:sz w:val="24"/>
          <w:szCs w:val="24"/>
          <w:highlight w:val="none"/>
        </w:rPr>
      </w:pPr>
      <w:r>
        <w:rPr>
          <w:rFonts w:eastAsia="宋体" w:cs="Times New Roman"/>
          <w:color w:val="auto"/>
          <w:sz w:val="24"/>
          <w:szCs w:val="24"/>
          <w:highlight w:val="none"/>
        </w:rPr>
        <w:t xml:space="preserve">表</w:t>
      </w:r>
      <w:r>
        <w:rPr>
          <w:rFonts w:hint="eastAsia" w:eastAsia="宋体" w:cs="Times New Roman"/>
          <w:color w:val="auto"/>
          <w:sz w:val="24"/>
          <w:szCs w:val="24"/>
          <w:highlight w:val="none"/>
        </w:rPr>
        <w:t xml:space="preserve">6</w:t>
      </w:r>
      <w:r>
        <w:rPr>
          <w:rFonts w:eastAsia="宋体" w:cs="Times New Roman"/>
          <w:color w:val="auto"/>
          <w:sz w:val="24"/>
          <w:szCs w:val="24"/>
          <w:highlight w:val="none"/>
        </w:rPr>
        <w:t xml:space="preserve"> 污水厂纳管及排放标准（mg/L）</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186"/>
        <w:gridCol w:w="1225"/>
        <w:gridCol w:w="1187"/>
        <w:gridCol w:w="750"/>
        <w:gridCol w:w="1075"/>
        <w:gridCol w:w="1325"/>
        <w:gridCol w:w="1863"/>
      </w:tblGrid>
      <w:tr>
        <w:trPr>
          <w:trHeight w:val="20"/>
          <w:tblHeader/>
        </w:trPr>
        <w:tc>
          <w:tcPr>
            <w:tcW w:w="1016"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序号</w:t>
            </w:r>
            <w:r/>
          </w:p>
        </w:tc>
        <w:tc>
          <w:tcPr>
            <w:tcW w:w="1186"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项目</w:t>
            </w:r>
            <w:r/>
          </w:p>
        </w:tc>
        <w:tc>
          <w:tcPr>
            <w:tcW w:w="1225"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接管</w:t>
            </w:r>
            <w:r/>
          </w:p>
          <w:p>
            <w:pPr>
              <w:pStyle w:val="1268"/>
              <w:rPr>
                <w:rFonts w:eastAsia="宋体"/>
                <w:b/>
                <w:bCs/>
                <w:color w:val="auto"/>
                <w:sz w:val="24"/>
                <w:szCs w:val="24"/>
                <w:highlight w:val="none"/>
              </w:rPr>
            </w:pPr>
            <w:r>
              <w:rPr>
                <w:rFonts w:eastAsia="宋体"/>
                <w:b/>
                <w:bCs/>
                <w:color w:val="auto"/>
                <w:sz w:val="24"/>
                <w:szCs w:val="24"/>
                <w:highlight w:val="none"/>
              </w:rPr>
              <w:t xml:space="preserve">标准</w:t>
            </w:r>
            <w:r/>
          </w:p>
        </w:tc>
        <w:tc>
          <w:tcPr>
            <w:tcW w:w="1187"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排放</w:t>
            </w:r>
            <w:r/>
          </w:p>
          <w:p>
            <w:pPr>
              <w:pStyle w:val="1268"/>
              <w:rPr>
                <w:rFonts w:eastAsia="宋体"/>
                <w:b/>
                <w:bCs/>
                <w:color w:val="auto"/>
                <w:sz w:val="24"/>
                <w:szCs w:val="24"/>
                <w:highlight w:val="none"/>
              </w:rPr>
            </w:pPr>
            <w:r>
              <w:rPr>
                <w:rFonts w:eastAsia="宋体"/>
                <w:b/>
                <w:bCs/>
                <w:color w:val="auto"/>
                <w:sz w:val="24"/>
                <w:szCs w:val="24"/>
                <w:highlight w:val="none"/>
              </w:rPr>
              <w:t xml:space="preserve">标准</w:t>
            </w:r>
            <w:r/>
          </w:p>
        </w:tc>
        <w:tc>
          <w:tcPr>
            <w:tcW w:w="750"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序号</w:t>
            </w:r>
            <w:r/>
          </w:p>
        </w:tc>
        <w:tc>
          <w:tcPr>
            <w:tcW w:w="1075"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项目</w:t>
            </w:r>
            <w:r/>
          </w:p>
        </w:tc>
        <w:tc>
          <w:tcPr>
            <w:tcW w:w="1325"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接管</w:t>
            </w:r>
            <w:r/>
          </w:p>
          <w:p>
            <w:pPr>
              <w:pStyle w:val="1268"/>
              <w:rPr>
                <w:rFonts w:eastAsia="宋体"/>
                <w:b/>
                <w:bCs/>
                <w:color w:val="auto"/>
                <w:sz w:val="24"/>
                <w:szCs w:val="24"/>
                <w:highlight w:val="none"/>
              </w:rPr>
            </w:pPr>
            <w:r>
              <w:rPr>
                <w:rFonts w:eastAsia="宋体"/>
                <w:b/>
                <w:bCs/>
                <w:color w:val="auto"/>
                <w:sz w:val="24"/>
                <w:szCs w:val="24"/>
                <w:highlight w:val="none"/>
              </w:rPr>
              <w:t xml:space="preserve">标准</w:t>
            </w:r>
            <w:r/>
          </w:p>
        </w:tc>
        <w:tc>
          <w:tcPr>
            <w:tcW w:w="1863" w:type="dxa"/>
            <w:vAlign w:val="center"/>
            <w:textDirection w:val="lrTb"/>
            <w:noWrap w:val="false"/>
          </w:tcPr>
          <w:p>
            <w:pPr>
              <w:pStyle w:val="1268"/>
              <w:rPr>
                <w:rFonts w:eastAsia="宋体"/>
                <w:b/>
                <w:bCs/>
                <w:color w:val="auto"/>
                <w:sz w:val="24"/>
                <w:szCs w:val="24"/>
                <w:highlight w:val="none"/>
              </w:rPr>
            </w:pPr>
            <w:r>
              <w:rPr>
                <w:rFonts w:eastAsia="宋体"/>
                <w:b/>
                <w:bCs/>
                <w:color w:val="auto"/>
                <w:sz w:val="24"/>
                <w:szCs w:val="24"/>
                <w:highlight w:val="none"/>
              </w:rPr>
              <w:t xml:space="preserve">排放</w:t>
            </w:r>
            <w:r/>
          </w:p>
          <w:p>
            <w:pPr>
              <w:pStyle w:val="1268"/>
              <w:rPr>
                <w:rFonts w:eastAsia="宋体"/>
                <w:b/>
                <w:bCs/>
                <w:color w:val="auto"/>
                <w:sz w:val="24"/>
                <w:szCs w:val="24"/>
                <w:highlight w:val="none"/>
              </w:rPr>
            </w:pPr>
            <w:r>
              <w:rPr>
                <w:rFonts w:eastAsia="宋体"/>
                <w:b/>
                <w:bCs/>
                <w:color w:val="auto"/>
                <w:sz w:val="24"/>
                <w:szCs w:val="24"/>
                <w:highlight w:val="none"/>
              </w:rPr>
              <w:t xml:space="preserve">标准</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pH</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6~9</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6~9</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34</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四氯乙烯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色度</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200倍</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30倍</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35</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SS</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400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36</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甲苯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BOD</w:t>
            </w:r>
            <w:r>
              <w:rPr>
                <w:rFonts w:eastAsia="宋体"/>
                <w:color w:val="auto"/>
                <w:sz w:val="24"/>
                <w:szCs w:val="24"/>
                <w:highlight w:val="none"/>
                <w:vertAlign w:val="subscript"/>
              </w:rPr>
              <w:t xml:space="preserve">5</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1000（＞30）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37</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乙苯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COD</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38</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邻二甲苯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氨氮</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5（8）</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39</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对二甲苯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7</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总氮</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40</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间二甲苯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8</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总磷</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41</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氯苯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0.2</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9</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石油类</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42</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邻二氯苯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动植物油</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15</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43</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对二氯苯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0.4</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11</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盐分</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5000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全盐量10000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44</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对硝基氯苯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12</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挥发酚</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45</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2,4-二硝基氯苯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13</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总氰化物</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0.2</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46</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苯酚</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r>
      <w:tr>
        <w:trPr>
          <w:trHeight w:val="278"/>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14</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硫化物</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47</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间甲酚</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15</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氟化物</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8</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48</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2,4-二氯酚</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0.6</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0.6</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16</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甲醛</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49</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2,4,6-三氯酚</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0.6</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0.6</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17</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苯胺类</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邻苯二甲酸二丁酯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0.2</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18</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硝基苯类</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51</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邻苯二甲酸二辛酯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19</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阴离子表面活性剂</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52</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丙烯腈</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总铜</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53</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总硒</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21</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总锌</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54</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总汞</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0.01</w:t>
            </w:r>
            <w:r/>
          </w:p>
        </w:tc>
      </w:tr>
      <w:tr>
        <w:trPr>
          <w:trHeight w:val="203"/>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22</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总锰</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55</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烷基苯</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23</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元素磷</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56</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总镉</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0.1</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24</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有机磷农药</w:t>
            </w:r>
            <w:r/>
          </w:p>
        </w:tc>
        <w:tc>
          <w:tcPr>
            <w:tcW w:w="1225" w:type="dxa"/>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57</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总铬</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25</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乐果</w:t>
            </w:r>
            <w:r/>
          </w:p>
        </w:tc>
        <w:tc>
          <w:tcPr>
            <w:tcW w:w="1225" w:type="dxa"/>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58</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六价铬</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0.2</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26</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对硫磷</w:t>
            </w:r>
            <w:r/>
          </w:p>
        </w:tc>
        <w:tc>
          <w:tcPr>
            <w:tcW w:w="1225" w:type="dxa"/>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59</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总砷</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27</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甲基对硫磷</w:t>
            </w:r>
            <w:r/>
          </w:p>
        </w:tc>
        <w:tc>
          <w:tcPr>
            <w:tcW w:w="1225" w:type="dxa"/>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60</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总铅</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28</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马拉硫磷</w:t>
            </w:r>
            <w:r/>
          </w:p>
        </w:tc>
        <w:tc>
          <w:tcPr>
            <w:tcW w:w="1225" w:type="dxa"/>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不得检出</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61</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总镍</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29</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五氯酚及五氯酚钠（以五氯酚计）</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5.0</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62</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苯并（a）芘</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0.00003</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0.00003</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30</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可吸附有机卤化物（AOX）（以Cl计）</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63</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总铍</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0.005</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31</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三氯甲烷</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64</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总银</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0.5</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r>
      <w:tr>
        <w:trPr>
          <w:trHeight w:val="20"/>
        </w:trPr>
        <w:tc>
          <w:tcPr>
            <w:tcW w:w="101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32</w:t>
            </w:r>
            <w:r/>
          </w:p>
        </w:tc>
        <w:tc>
          <w:tcPr>
            <w:tcW w:w="1186"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四氯化碳</w:t>
            </w:r>
            <w:r/>
          </w:p>
        </w:tc>
        <w:tc>
          <w:tcPr>
            <w:tcW w:w="12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0.03</w:t>
            </w:r>
            <w:r/>
          </w:p>
        </w:tc>
        <w:tc>
          <w:tcPr>
            <w:tcW w:w="1187"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0.03</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65</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总α放射性</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1Bq/L</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1Bq/L</w:t>
            </w:r>
            <w:r/>
          </w:p>
        </w:tc>
      </w:tr>
      <w:tr>
        <w:trPr>
          <w:trHeight w:val="20"/>
        </w:trPr>
        <w:tc>
          <w:tcPr>
            <w:tcW w:w="1016" w:type="dxa"/>
            <w:vAlign w:val="center"/>
            <w:vMerge w:val="restart"/>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33</w:t>
            </w:r>
            <w:r/>
          </w:p>
        </w:tc>
        <w:tc>
          <w:tcPr>
            <w:tcW w:w="1186" w:type="dxa"/>
            <w:vAlign w:val="center"/>
            <w:vMerge w:val="restart"/>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三氯乙烯</w:t>
            </w:r>
            <w:r/>
          </w:p>
        </w:tc>
        <w:tc>
          <w:tcPr>
            <w:tcW w:w="1225" w:type="dxa"/>
            <w:vAlign w:val="center"/>
            <w:vMerge w:val="restart"/>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1187" w:type="dxa"/>
            <w:vAlign w:val="center"/>
            <w:vMerge w:val="restart"/>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0.3</w:t>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66</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总β放射性</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10Bq/L</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10Bq/L</w:t>
            </w:r>
            <w:r/>
          </w:p>
        </w:tc>
      </w:tr>
      <w:tr>
        <w:trPr>
          <w:trHeight w:val="20"/>
        </w:trPr>
        <w:tc>
          <w:tcPr>
            <w:tcW w:w="1016" w:type="dxa"/>
            <w:vAlign w:val="center"/>
            <w:vMerge w:val="continue"/>
            <w:textDirection w:val="lrTb"/>
            <w:noWrap w:val="false"/>
          </w:tcPr>
          <w:p>
            <w:pPr>
              <w:pStyle w:val="1268"/>
              <w:rPr>
                <w:rFonts w:eastAsia="宋体"/>
                <w:color w:val="auto"/>
                <w:sz w:val="24"/>
                <w:szCs w:val="24"/>
                <w:highlight w:val="none"/>
              </w:rPr>
            </w:pPr>
            <w:r>
              <w:rPr>
                <w:rFonts w:eastAsia="宋体"/>
                <w:color w:val="auto"/>
                <w:sz w:val="24"/>
                <w:szCs w:val="24"/>
                <w:highlight w:val="none"/>
              </w:rPr>
            </w:r>
            <w:r/>
          </w:p>
        </w:tc>
        <w:tc>
          <w:tcPr>
            <w:tcW w:w="1186" w:type="dxa"/>
            <w:vAlign w:val="center"/>
            <w:vMerge w:val="continue"/>
            <w:textDirection w:val="lrTb"/>
            <w:noWrap w:val="false"/>
          </w:tcPr>
          <w:p>
            <w:pPr>
              <w:pStyle w:val="1268"/>
              <w:rPr>
                <w:rFonts w:eastAsia="宋体"/>
                <w:color w:val="auto"/>
                <w:sz w:val="24"/>
                <w:szCs w:val="24"/>
                <w:highlight w:val="none"/>
              </w:rPr>
            </w:pPr>
            <w:r>
              <w:rPr>
                <w:rFonts w:eastAsia="宋体"/>
                <w:color w:val="auto"/>
                <w:sz w:val="24"/>
                <w:szCs w:val="24"/>
                <w:highlight w:val="none"/>
              </w:rPr>
            </w:r>
            <w:r/>
          </w:p>
        </w:tc>
        <w:tc>
          <w:tcPr>
            <w:tcW w:w="1225" w:type="dxa"/>
            <w:vAlign w:val="center"/>
            <w:vMerge w:val="continue"/>
            <w:textDirection w:val="lrTb"/>
            <w:noWrap w:val="false"/>
          </w:tcPr>
          <w:p>
            <w:pPr>
              <w:pStyle w:val="1268"/>
              <w:rPr>
                <w:rFonts w:eastAsia="宋体"/>
                <w:color w:val="auto"/>
                <w:sz w:val="24"/>
                <w:szCs w:val="24"/>
                <w:highlight w:val="none"/>
              </w:rPr>
            </w:pPr>
            <w:r>
              <w:rPr>
                <w:rFonts w:eastAsia="宋体"/>
                <w:color w:val="auto"/>
                <w:sz w:val="24"/>
                <w:szCs w:val="24"/>
                <w:highlight w:val="none"/>
              </w:rPr>
            </w:r>
            <w:r/>
          </w:p>
        </w:tc>
        <w:tc>
          <w:tcPr>
            <w:tcW w:w="1187" w:type="dxa"/>
            <w:vAlign w:val="center"/>
            <w:vMerge w:val="continue"/>
            <w:textDirection w:val="lrTb"/>
            <w:noWrap w:val="false"/>
          </w:tcPr>
          <w:p>
            <w:pPr>
              <w:pStyle w:val="1268"/>
              <w:rPr>
                <w:rFonts w:eastAsia="宋体"/>
                <w:color w:val="auto"/>
                <w:sz w:val="24"/>
                <w:szCs w:val="24"/>
                <w:highlight w:val="none"/>
              </w:rPr>
            </w:pPr>
            <w:r>
              <w:rPr>
                <w:rFonts w:eastAsia="宋体"/>
                <w:color w:val="auto"/>
                <w:sz w:val="24"/>
                <w:szCs w:val="24"/>
                <w:highlight w:val="none"/>
              </w:rPr>
            </w:r>
            <w:r/>
          </w:p>
        </w:tc>
        <w:tc>
          <w:tcPr>
            <w:tcW w:w="750"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67</w:t>
            </w:r>
            <w:r/>
          </w:p>
        </w:tc>
        <w:tc>
          <w:tcPr>
            <w:tcW w:w="107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总有机碳</w:t>
            </w:r>
            <w:r/>
          </w:p>
        </w:tc>
        <w:tc>
          <w:tcPr>
            <w:tcW w:w="1325"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w:t>
            </w:r>
            <w:r/>
          </w:p>
        </w:tc>
        <w:tc>
          <w:tcPr>
            <w:tcW w:w="1863" w:type="dxa"/>
            <w:vAlign w:val="center"/>
            <w:textDirection w:val="lrTb"/>
            <w:noWrap w:val="false"/>
          </w:tcPr>
          <w:p>
            <w:pPr>
              <w:pStyle w:val="1268"/>
              <w:rPr>
                <w:rFonts w:eastAsia="宋体"/>
                <w:color w:val="auto"/>
                <w:sz w:val="24"/>
                <w:szCs w:val="24"/>
                <w:highlight w:val="none"/>
              </w:rPr>
            </w:pPr>
            <w:r>
              <w:rPr>
                <w:rFonts w:eastAsia="宋体"/>
                <w:color w:val="auto"/>
                <w:sz w:val="24"/>
                <w:szCs w:val="24"/>
                <w:highlight w:val="none"/>
              </w:rPr>
              <w:t xml:space="preserve">20</w:t>
            </w:r>
            <w:r/>
          </w:p>
        </w:tc>
      </w:tr>
    </w:tbl>
    <w:p>
      <w:pPr>
        <w:pStyle w:val="1269"/>
        <w:ind w:firstLine="0"/>
        <w:spacing w:line="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五、商务条款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1．服务期期：</w:t>
      </w:r>
      <w:r>
        <w:rPr>
          <w:rFonts w:ascii="Times New Roman" w:hAnsi="Times New Roman" w:eastAsia="宋体" w:cs="Times New Roman"/>
          <w:color w:val="auto"/>
          <w:sz w:val="24"/>
          <w:szCs w:val="24"/>
          <w:highlight w:val="none"/>
        </w:rPr>
        <w:t xml:space="preserve">自合同签订之日起至2027年12月31日前完成全部服务工作（不含地下水治理效果评估期</w:t>
      </w:r>
      <w:r>
        <w:rPr>
          <w:rFonts w:ascii="Times New Roman" w:hAnsi="Times New Roman" w:eastAsia="宋体" w:cs="Times New Roman"/>
          <w:b/>
          <w:bCs/>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2.采购标的验收标准：通过招标人组织的履约验收。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3.质量要求：合格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4.履约保证金：本项目不收取履约保证金。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w:t>
      </w:r>
      <w:r/>
    </w:p>
    <w:p>
      <w:pPr>
        <w:ind w:firstLine="480"/>
        <w:spacing w:line="560" w:lineRule="exact"/>
        <w:rPr>
          <w:rFonts w:hint="eastAsia" w:ascii="宋体" w:hAnsi="宋体" w:eastAsia="宋体" w:cs="宋体"/>
          <w:color w:val="auto"/>
          <w:sz w:val="24"/>
          <w:szCs w:val="24"/>
          <w:highlight w:val="none"/>
        </w:rPr>
      </w:pPr>
      <w:r/>
      <w:bookmarkStart w:id="15" w:name="OLE_LINK2"/>
      <w:r>
        <w:rPr>
          <w:rFonts w:hint="eastAsia" w:ascii="宋体" w:hAnsi="宋体" w:eastAsia="宋体" w:cs="宋体"/>
          <w:color w:val="auto"/>
          <w:sz w:val="24"/>
          <w:szCs w:val="24"/>
          <w:highlight w:val="none"/>
        </w:rPr>
        <w:t xml:space="preserve">本项目合同签订后预付合同总金额的30%；项目整体实施完毕并验收合格后支付至合同金额的80%；效果评估报告通过生态环境主管部门组织的专家评审后支付至合同金额的95%；审计结束后支付至审定价的100%。</w:t>
      </w:r>
      <w:bookmarkEnd w:id="15"/>
      <w:r/>
      <w:r/>
    </w:p>
    <w:p>
      <w:pPr>
        <w:ind w:firstLine="78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付款前供应商应向采购人开具正规的增值税发票，否则采购人有权拒绝付款。采购人对满足合同约定支付条件的项目自收到发票后10个工作日内将资金支付到约定的供应商账户（以发票开具日期计算）。</w:t>
      </w:r>
      <w:r/>
    </w:p>
    <w:p>
      <w:pPr>
        <w:numPr>
          <w:ilvl w:val="0"/>
          <w:numId w:val="5"/>
        </w:num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货币：本次采购文件所涉及货币币种均为人民币。</w:t>
      </w:r>
      <w:r/>
    </w:p>
    <w:p>
      <w:pPr>
        <w:numPr>
          <w:numId w:val="0"/>
        </w:num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7.报价要求</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报价应</w:t>
      </w:r>
      <w:r>
        <w:rPr>
          <w:rFonts w:hint="eastAsia" w:ascii="宋体" w:hAnsi="宋体" w:eastAsia="宋体" w:cs="宋体"/>
          <w:color w:val="auto"/>
          <w:sz w:val="24"/>
          <w:szCs w:val="24"/>
          <w:highlight w:val="none"/>
          <w:lang w:val="en-US" w:eastAsia="zh-CN"/>
        </w:rPr>
        <w:t xml:space="preserve">包含为完成本项目</w:t>
      </w:r>
      <w:r>
        <w:rPr>
          <w:rFonts w:hint="eastAsia" w:ascii="宋体" w:hAnsi="宋体" w:eastAsia="宋体" w:cs="宋体"/>
          <w:color w:val="auto"/>
          <w:sz w:val="24"/>
          <w:szCs w:val="24"/>
          <w:highlight w:val="none"/>
          <w:lang w:eastAsia="zh-CN"/>
        </w:rPr>
        <w:t xml:space="preserve">服务范围内的全部</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lang w:eastAsia="zh-CN"/>
        </w:rPr>
        <w:t xml:space="preserve">内容，包含但不限于收集资料费、调查费、采样费、检测费、人员费、专家评审费、风险费、保险费、 税金、利润等政策性文件规定及合同包含的所有风险、责任等各项应有费用，后续不再增加任何费用。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jc w:val="center"/>
        <w:keepLines w:val="0"/>
        <w:keepNext w:val="0"/>
        <w:spacing w:before="0" w:after="0" w:line="240" w:lineRule="auto"/>
        <w:rPr>
          <w:rFonts w:hint="eastAsia" w:ascii="宋体" w:hAnsi="宋体" w:eastAsia="宋体" w:cs="宋体"/>
          <w:b w:val="0"/>
          <w:color w:val="auto"/>
          <w:highlight w:val="none"/>
        </w:rPr>
      </w:pPr>
      <w:r/>
      <w:bookmarkStart w:id="16" w:name="__RefHeading___Toc162361614"/>
      <w:r/>
      <w:bookmarkEnd w:id="16"/>
      <w:r>
        <w:rPr>
          <w:rFonts w:hint="eastAsia" w:ascii="宋体" w:hAnsi="宋体" w:eastAsia="宋体" w:cs="宋体"/>
          <w:b w:val="0"/>
          <w:color w:val="auto"/>
          <w:highlight w:val="none"/>
        </w:rPr>
        <w:t xml:space="preserve">第五章 评标方法与评标标准</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综合评分法：评标结果按评审后得分由高到低顺序排列。得分相同的，按投标报价由低到高顺序排列。得分且投标报价相同的，名次并列。投标文件满足招标文件全部实质性要求，且按照评审因素的量化指标评审得分最高的投标人为排名第一的中标候选人。</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tbl>
      <w:tblPr>
        <w:tblStyle w:val="962"/>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709"/>
        <w:gridCol w:w="1276"/>
        <w:gridCol w:w="6095"/>
        <w:gridCol w:w="709"/>
      </w:tblGrid>
      <w:tr>
        <w:trPr>
          <w:jc w:val="center"/>
          <w:trHeight w:val="640"/>
          <w:tblHeader/>
        </w:trPr>
        <w:tc>
          <w:tcPr>
            <w:tcW w:w="56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0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w:t>
            </w:r>
            <w:r/>
          </w:p>
        </w:tc>
        <w:tc>
          <w:tcPr>
            <w:tcW w:w="127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609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70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983"/>
        </w:trPr>
        <w:tc>
          <w:tcPr>
            <w:tcW w:w="56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采用低价优先法计算，即满足采购文件要求且投标价格最低的投标报价为评标基准价，其价格分为满分。其他投标供应商的价格分统一按照下列公式计算：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投标报价得分=(评标基准价／投标报价)×10</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644" w:hRule="exact"/>
        </w:trPr>
        <w:tc>
          <w:tcPr>
            <w:tcW w:w="562"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投标人自2021年8月</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1日以来（以合同签订时间为准），独立承担或作为牵头人承担并完成类似项目业绩（污染地下水修复或风险管控项目），有一个得2分，最高得6分。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需在投标文件中提供类似项目业绩合同及效果评估报告通过生态环境部门组织评审的专家意见或生态环境部门出具的效果评估报告等资料的备案证明等原件扫描件并加盖投标人公章，未按要求提供的不得分。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529"/>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（14分）</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（1）投标人自2021年8月1日以来（以证书落款时间为准），获得行政机关或行政主管部门颁发的土壤或地下水污染防治相关方向奖项每提供一个得2分；最高得4分。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需在投标文件中提供证书原件扫描件并加盖投标人公章，未按要求提供得不得分。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注：1、同一项目获得不同等级奖项的，不重复累加得分；2、须提供完整获奖证书原件扫描件，清晰体现投标人名称、颁奖单位、落款时间、奖项业务内容；材料缺失关键信息不予计分；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3、协会或学会的相关奖项不予加分。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983"/>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bookmarkStart w:id="17" w:name="OLE_LINK12"/>
            <w:r>
              <w:rPr>
                <w:rFonts w:hint="eastAsia" w:ascii="宋体" w:hAnsi="宋体" w:eastAsia="宋体" w:cs="宋体"/>
                <w:color w:val="auto"/>
                <w:sz w:val="24"/>
                <w:szCs w:val="24"/>
                <w:highlight w:val="none"/>
              </w:rPr>
              <w:t xml:space="preserve">（2）</w:t>
            </w:r>
            <w:bookmarkEnd w:id="17"/>
            <w:r/>
            <w:bookmarkStart w:id="18" w:name="OLE_LINK36"/>
            <w:r>
              <w:rPr>
                <w:rFonts w:hint="eastAsia" w:ascii="宋体" w:hAnsi="宋体" w:eastAsia="宋体" w:cs="宋体"/>
                <w:color w:val="auto"/>
                <w:sz w:val="24"/>
                <w:szCs w:val="24"/>
                <w:highlight w:val="none"/>
              </w:rPr>
              <w:t xml:space="preserve">投标人自2021年8月</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1日以来，作为起草单位参与</w:t>
            </w:r>
            <w:bookmarkStart w:id="19" w:name="OLE_LINK38"/>
            <w:r>
              <w:rPr>
                <w:rFonts w:hint="eastAsia" w:ascii="宋体" w:hAnsi="宋体" w:eastAsia="宋体" w:cs="宋体"/>
                <w:color w:val="auto"/>
                <w:sz w:val="24"/>
                <w:szCs w:val="24"/>
                <w:highlight w:val="none"/>
              </w:rPr>
              <w:t xml:space="preserve">土壤或</w:t>
            </w:r>
            <w:bookmarkEnd w:id="19"/>
            <w:r>
              <w:rPr>
                <w:rFonts w:hint="eastAsia" w:ascii="宋体" w:hAnsi="宋体" w:eastAsia="宋体" w:cs="宋体"/>
                <w:color w:val="auto"/>
                <w:sz w:val="24"/>
                <w:szCs w:val="24"/>
                <w:highlight w:val="none"/>
              </w:rPr>
              <w:t xml:space="preserve">地下水污染防治相关规范标准、技术指南、规程、导则等的制修订且已报批并现行适用的，每提供一项得2分，</w:t>
            </w:r>
            <w:bookmarkStart w:id="20" w:name="OLE_LINK16"/>
            <w:r>
              <w:rPr>
                <w:rFonts w:hint="eastAsia" w:ascii="宋体" w:hAnsi="宋体" w:eastAsia="宋体" w:cs="宋体"/>
                <w:color w:val="auto"/>
                <w:sz w:val="24"/>
                <w:szCs w:val="24"/>
                <w:highlight w:val="none"/>
              </w:rPr>
              <w:t xml:space="preserve">本项最高6分</w:t>
            </w:r>
            <w:bookmarkEnd w:id="20"/>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在投标文件中提供在全国标准信息公共服务平台下相关模块中检索的标准查询页完整截图（至少包含标准号、发布日期等基础信息及起草单位信息）及正式文件的封面页（至少包含名称及标准号）、目录页、前言页（至少包含主要起草单位）等的证明材料扫描件并</w:t>
            </w:r>
            <w:bookmarkEnd w:id="18"/>
            <w:r>
              <w:rPr>
                <w:rFonts w:hint="eastAsia" w:ascii="宋体" w:hAnsi="宋体" w:eastAsia="宋体" w:cs="宋体"/>
                <w:color w:val="auto"/>
                <w:sz w:val="24"/>
                <w:szCs w:val="24"/>
                <w:highlight w:val="none"/>
              </w:rPr>
              <w:t xml:space="preserve">加盖投标人公章，</w:t>
            </w:r>
            <w:bookmarkStart w:id="21" w:name="OLE_LINK26"/>
            <w:r>
              <w:rPr>
                <w:rFonts w:hint="eastAsia" w:ascii="宋体" w:hAnsi="宋体" w:eastAsia="宋体" w:cs="宋体"/>
                <w:color w:val="auto"/>
                <w:sz w:val="24"/>
                <w:szCs w:val="24"/>
                <w:highlight w:val="none"/>
              </w:rPr>
              <w:t xml:space="preserve">未按要求提供得不得分。</w:t>
            </w:r>
            <w:bookmarkEnd w:id="21"/>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983"/>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（3）投标人具有省级及以上行政主管部门认定的土壤或地下水污染防治相关工程技术中心等相关平台的，得2分。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注：需在投标文件中提供相关平台证明材料扫描件并加盖投标人公章，未按要求提供得不得分。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583"/>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（4）投标人自身持有有效的检验检测机构资质认定（CMA）证书，且资质认定能力附表包含土壤污染物相关检测参数，得2分；不满足不得分。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投标文件须同时提供质量技术监督部门出具的有效期内CMA资质证书、完整《检验检测机构资质认定能力附表》；仅提供证书缺少附表不予计分；</w:t>
            </w:r>
            <w:r/>
          </w:p>
          <w:p>
            <w:pPr>
              <w:ind w:firstLine="480"/>
              <w:spacing w:line="360" w:lineRule="auto"/>
              <w:rPr>
                <w:rFonts w:hint="eastAsia" w:ascii="宋体" w:hAnsi="宋体" w:eastAsia="宋体" w:cs="宋体"/>
                <w:color w:val="auto"/>
                <w:sz w:val="24"/>
                <w:szCs w:val="24"/>
                <w:highlight w:val="none"/>
              </w:rPr>
            </w:pPr>
            <w:r/>
            <w:bookmarkStart w:id="22" w:name="OLE_LINK27"/>
            <w:r>
              <w:rPr>
                <w:rFonts w:hint="eastAsia" w:ascii="宋体" w:hAnsi="宋体" w:eastAsia="宋体" w:cs="宋体"/>
                <w:color w:val="auto"/>
                <w:sz w:val="24"/>
                <w:szCs w:val="24"/>
                <w:highlight w:val="none"/>
              </w:rPr>
              <w:t xml:space="preserve">提供以上证明材料原件扫描件</w:t>
            </w:r>
            <w:bookmarkStart w:id="23" w:name="OLE_LINK37"/>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加盖</w:t>
            </w:r>
            <w:r>
              <w:rPr>
                <w:rFonts w:hint="eastAsia" w:ascii="宋体" w:hAnsi="宋体" w:eastAsia="宋体" w:cs="宋体"/>
                <w:color w:val="auto"/>
                <w:sz w:val="24"/>
                <w:szCs w:val="24"/>
                <w:highlight w:val="none"/>
              </w:rPr>
              <w:t xml:space="preserve">投标人公章，未按要求提供得不得分。</w:t>
            </w:r>
            <w:bookmarkEnd w:id="22"/>
            <w:r/>
            <w:bookmarkEnd w:id="23"/>
            <w:r/>
            <w:r/>
          </w:p>
        </w:tc>
        <w:tc>
          <w:tcPr>
            <w:tcW w:w="70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r>
      <w:tr>
        <w:trPr>
          <w:jc w:val="center"/>
          <w:trHeight w:val="482"/>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（1）拟派项目负责人（如联合体投标须由联合体牵头</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委派）：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①具有一级建造师注册证书且具备安全生产考核合格证(B证)的得2分，具有二级注册建造师注册证书且具备安全生产考核合格证(B证)的得1分；</w:t>
            </w:r>
            <w:bookmarkStart w:id="24" w:name="OLE_LINK1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bookmarkEnd w:id="24"/>
            <w:r>
              <w:rPr>
                <w:rFonts w:hint="eastAsia" w:ascii="宋体" w:hAnsi="宋体" w:eastAsia="宋体" w:cs="宋体"/>
                <w:color w:val="auto"/>
                <w:sz w:val="24"/>
                <w:szCs w:val="24"/>
                <w:highlight w:val="none"/>
              </w:rPr>
              <w:t xml:space="preserve">具有环保类相关中级职称的得0.5分，具有环保类相关副高级及以上职称的得1分；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本项最高3分。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注：需提供相关证书原件扫描件并加盖投标人公章，未按要求提供不得分。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316"/>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25" w:name="OLE_LINK33"/>
            <w:r>
              <w:rPr>
                <w:rFonts w:hint="eastAsia" w:ascii="宋体" w:hAnsi="宋体" w:eastAsia="宋体" w:cs="宋体"/>
                <w:color w:val="auto"/>
                <w:sz w:val="24"/>
                <w:szCs w:val="24"/>
                <w:highlight w:val="none"/>
              </w:rPr>
              <w:t xml:space="preserve">拟派</w:t>
            </w:r>
            <w:bookmarkEnd w:id="25"/>
            <w:r>
              <w:rPr>
                <w:rFonts w:hint="eastAsia" w:ascii="宋体" w:hAnsi="宋体" w:eastAsia="宋体" w:cs="宋体"/>
                <w:color w:val="auto"/>
                <w:sz w:val="24"/>
                <w:szCs w:val="24"/>
                <w:highlight w:val="none"/>
              </w:rPr>
              <w:t xml:space="preserve">技术负责人：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bookmarkStart w:id="26" w:name="OLE_LINK32"/>
            <w:r>
              <w:rPr>
                <w:rFonts w:hint="eastAsia" w:ascii="宋体" w:hAnsi="宋体" w:eastAsia="宋体" w:cs="宋体"/>
                <w:color w:val="auto"/>
                <w:sz w:val="24"/>
                <w:szCs w:val="24"/>
                <w:highlight w:val="none"/>
              </w:rPr>
              <w:t xml:space="preserve">具有</w:t>
            </w:r>
            <w:bookmarkEnd w:id="26"/>
            <w:r>
              <w:rPr>
                <w:rFonts w:hint="eastAsia" w:ascii="宋体" w:hAnsi="宋体" w:eastAsia="宋体" w:cs="宋体"/>
                <w:color w:val="auto"/>
                <w:sz w:val="24"/>
                <w:szCs w:val="24"/>
                <w:highlight w:val="none"/>
              </w:rPr>
              <w:t xml:space="preserve">环保类相关专业中级职称的得0.5分，具有环保类相关专业副高级职称的得1分，具有环保类相关专业正高级职称的得2分；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②具有注册环保工程师证书的得2分。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本项最高得4分。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983"/>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（3）拟派安全负责人：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①具有中级及以上注册安全工程师执业证书的得2分；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②具有环保类相关中级职称的得0.5分，具有环保类相关专业副高级及以上职称的得1分；</w:t>
            </w:r>
            <w:r/>
          </w:p>
          <w:p>
            <w:pPr>
              <w:spacing w:line="360" w:lineRule="auto"/>
              <w:rPr>
                <w:rFonts w:hint="eastAsia" w:ascii="宋体" w:hAnsi="宋体" w:eastAsia="宋体" w:cs="宋体"/>
                <w:b/>
                <w:bCs/>
                <w:color w:val="auto"/>
                <w:sz w:val="24"/>
                <w:szCs w:val="24"/>
                <w:highlight w:val="none"/>
              </w:rPr>
            </w:pPr>
            <w:r/>
            <w:bookmarkStart w:id="27" w:name="OLE_LINK3"/>
            <w:r>
              <w:rPr>
                <w:rFonts w:hint="eastAsia" w:ascii="宋体" w:hAnsi="宋体" w:eastAsia="宋体" w:cs="宋体"/>
                <w:color w:val="auto"/>
                <w:sz w:val="24"/>
                <w:szCs w:val="24"/>
                <w:highlight w:val="none"/>
              </w:rPr>
              <w:t xml:space="preserve">本项最高得3分。</w:t>
            </w:r>
            <w:bookmarkEnd w:id="27"/>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983"/>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（4）拟派项目组其他成员（不含项目负责人、技术负责人及安全负责人），以下</w:t>
            </w:r>
            <w:bookmarkStart w:id="28" w:name="OLE_LINK31"/>
            <w:r>
              <w:rPr>
                <w:rFonts w:hint="eastAsia" w:ascii="宋体" w:hAnsi="宋体" w:eastAsia="宋体" w:cs="宋体"/>
                <w:color w:val="auto"/>
                <w:sz w:val="24"/>
                <w:szCs w:val="24"/>
                <w:highlight w:val="none"/>
              </w:rPr>
              <w:t xml:space="preserve">①②③</w:t>
            </w:r>
            <w:bookmarkEnd w:id="28"/>
            <w:r>
              <w:rPr>
                <w:rFonts w:hint="eastAsia" w:ascii="宋体" w:hAnsi="宋体" w:eastAsia="宋体" w:cs="宋体"/>
                <w:color w:val="auto"/>
                <w:sz w:val="24"/>
                <w:szCs w:val="24"/>
                <w:highlight w:val="none"/>
              </w:rPr>
              <w:t xml:space="preserve">每人限评一项。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①具有注册环保工程师证书的得2分；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②具有注册化工工程师证书的得2分；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③具有注册设备工程师（给排水）证书的得2分；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以上人员同时具有环保类相关中级职称的加0.5分，具有环保类相关专业副高级职称的加1分，具有环保类相关专业正高级职称的加2分，最高加4分。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本项最高得10分。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1835" w:hRule="exact"/>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680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bookmarkStart w:id="31" w:name="_GoBack"/>
            <w:r/>
            <w:bookmarkEnd w:id="31"/>
            <w:r>
              <w:rPr>
                <w:rFonts w:hint="eastAsia" w:ascii="宋体" w:hAnsi="宋体" w:eastAsia="宋体" w:cs="宋体"/>
                <w:color w:val="auto"/>
                <w:sz w:val="24"/>
                <w:szCs w:val="24"/>
                <w:highlight w:val="none"/>
              </w:rPr>
              <w:t xml:space="preserve">以上（1）至（3）项岗位人员不得相互兼任，以最高分计取。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需提供相关人员证书原件扫描件及投标人为其缴纳的2026年5月以来任意一个月社会保险证明材料原件扫描件并加盖投标人公章，未按要求提供得不得分。</w:t>
            </w:r>
            <w:r/>
          </w:p>
        </w:tc>
      </w:tr>
      <w:tr>
        <w:trPr>
          <w:jc w:val="center"/>
          <w:trHeight w:val="6599" w:hRule="exact"/>
        </w:trPr>
        <w:tc>
          <w:tcPr>
            <w:tcW w:w="562"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技术(50分)</w:t>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项目概况及控制目标</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bidi="ar"/>
              </w:rPr>
              <w:t xml:space="preserve">项目概况及控制目标的方案</w:t>
            </w:r>
            <w:r>
              <w:rPr>
                <w:rFonts w:hint="eastAsia" w:ascii="宋体" w:hAnsi="宋体" w:eastAsia="宋体" w:cs="宋体"/>
                <w:color w:val="auto"/>
                <w:sz w:val="24"/>
                <w:szCs w:val="24"/>
                <w:highlight w:val="none"/>
              </w:rPr>
              <w:t xml:space="preserve">评分内容</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方案内容包括（1）</w:t>
            </w:r>
            <w:r>
              <w:rPr>
                <w:rFonts w:hint="eastAsia" w:ascii="宋体" w:hAnsi="宋体" w:eastAsia="宋体" w:cs="宋体"/>
                <w:color w:val="auto"/>
                <w:sz w:val="24"/>
                <w:szCs w:val="24"/>
                <w:highlight w:val="none"/>
                <w:lang w:bidi="ar"/>
              </w:rPr>
              <w:t xml:space="preserve">对项目背景、园区基本情况、工作内容和控制目标理解分析；</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bidi="ar"/>
              </w:rPr>
              <w:t xml:space="preserve">总体工作流程及技术路线；</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对项目背景、园区现状基本情况、工作内容、控制目标理解透彻，总体工作流程逻辑清晰，技术路线科学、贴合本项目工况，方案阐述完整、有针对性，充分满足采购需求，得6分；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理解基本到位，工作流程、技术路线可行，仅少量细节不完善，基本满足采购需求，得4分；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仅简单阐述项目信息，流程、技术路线内容简略，存在明显缺项，勉强满足基础要求，得2分；</w:t>
            </w:r>
            <w:r/>
          </w:p>
          <w:p>
            <w:pPr>
              <w:ind w:firstLine="24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4. 未编制本项方案，或对项目理解存在重大偏差、工作流程/技术路线明显不合理，无法满足采购需求，得0分。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1118"/>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项目设计方案</w:t>
            </w:r>
            <w:r/>
          </w:p>
        </w:tc>
        <w:tc>
          <w:tcPr>
            <w:tcW w:w="6095"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针对项目设计方案评分内容</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方案内容包括（1）A区监测自然衰减设计方案：（2）B区原位化学氧化设计方案：（3）B区地下水抽出-处理设计方案：（4）污水处理工艺设计方案；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1、方案体系完整，技术路线、工艺选择与参数设计、点位布设、管控措施科学合理，充分结合场地污染特征与水文地质条件，有针对性，能够全面满足采购需求的得10分；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2、治理思路、工艺路线正确，方案框架完整，核心技术措施具备可行性，仅部分技术细节、参数设计不够细化，基本满足采购需求的得7分；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3、仅提供基础方案框架，关键技术内容存在缺项，工艺选择与技术参数、实施措施描述简略，仅能满足最低限度响应要求的得4分；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4、未提供本项方案，或技术路线选择不当、设计思路存在重大偏差，与场地工况不匹配，无法满足采购需求得0分。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588"/>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项目实施方案</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针对项目实施方案评分内容：（1）总平面图（2）项目施工方案；方案内容包括但不限于平面布置、A区监控+预警施工方案、B区原位化学氧化施工方案、B区地下水抽出-处理施工方案等整体实施内容；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实施方案体系完整、逻辑严密；总平面布置科学、分区合理、符合现场场地条件、安全分区、物料堆放、作业布局规范；各区块作业工序、作业流程、作业组织、时序安排、质量控制、安全文明施工措施全面、贴合本项目工况，可落地性强，完全满足采购需求的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2.、实施方案整体齐全，总平面布置合理，各专项施工方案流程正确、措施可行；整体满足项目实施要求，仅局部细节、工序衔接、现场布置细节不够细化，无明显缺陷的得7分。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仅提供基础实施方案框架，总平面布置简单粗略、专项施工内容单薄，关键施工工序、现场布置、实施保障内容缺项较多，仅能满足最低基本响应的得4分。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4、未提供本项实施方案，或总平面布置、施工组织方案不合理、工序混乱、与项目现场及治理工艺不匹配，无法满足项目实施要求得0分。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841"/>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进度计划及保证措施</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针对项目进度计划及保证措施评分内容：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劳动力、机械、材料配置计划及保证措施</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（2）工期目标及总进度计划；（3）工期影响进度因素分析；（4）工期进度保证措施；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投标人针对本项目提供的劳动力、机械、材料配置计划及保证措施内容详细完整、科学合理、条理清晰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服务期目标明确合理，总进度计划科学完整、工序排布衔接顺畅、各作业节点划分清晰，完全贴合本项目治理作业流程与采购服务期要求；对影响本项目服务期的各类风险因素分析全面、精准、贴合现场实际；工期组织、资源保障、纠偏管控等进度保证措施系统完善、可落地性强，能够完全保障项目按期保质完成的得8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投标人针对本项目提供的劳动力、机械、材料配置计划及保证措施内容基本完整、基本合理</w:t>
            </w:r>
            <w:r>
              <w:rPr>
                <w:rFonts w:hint="eastAsia" w:ascii="宋体" w:hAnsi="宋体" w:eastAsia="宋体" w:cs="宋体"/>
                <w:color w:val="auto"/>
                <w:sz w:val="24"/>
                <w:szCs w:val="24"/>
                <w:highlight w:val="none"/>
              </w:rPr>
              <w:t xml:space="preserve">，投标人总进度计划完整、服务期目标合理，服务期风险因素分析基本到位，进度保障措施可行有效；整体满足项目服务期要求，仅在节点细化、风险分析深度、保障措施细节方面略有欠缺，无明显短板和缺陷的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投标人针对本项目提供的劳动力、机械、材料配置计划及保证措施内容简单提及</w:t>
            </w:r>
            <w:r>
              <w:rPr>
                <w:rFonts w:hint="eastAsia" w:ascii="宋体" w:hAnsi="宋体" w:eastAsia="宋体" w:cs="宋体"/>
                <w:color w:val="auto"/>
                <w:sz w:val="24"/>
                <w:szCs w:val="24"/>
                <w:highlight w:val="none"/>
              </w:rPr>
              <w:t xml:space="preserve">，仅提供简单的进度计划框架，节点划分粗略、服务期因素分析片面、进度保证措施单薄笼统，关键管控内容缺项较多，仅能满足最低限度响应采购需求的得4分。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投标人针对本项目提供的劳动力、机械、材料配置计划及保证措施</w:t>
            </w:r>
            <w:r>
              <w:rPr>
                <w:rFonts w:hint="eastAsia" w:ascii="宋体" w:hAnsi="宋体" w:eastAsia="宋体" w:cs="宋体"/>
                <w:color w:val="auto"/>
                <w:sz w:val="24"/>
                <w:szCs w:val="24"/>
                <w:highlight w:val="none"/>
              </w:rPr>
              <w:t xml:space="preserve">未提及，未提供本项进度计划及保障方案，或进度计划混乱、服务期目标不合理、无有效服务期保障措施，无法满足项目工期履约要求的得0分。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jc w:val="center"/>
          <w:trHeight w:val="351"/>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环境管理方案</w:t>
            </w:r>
            <w:r/>
          </w:p>
        </w:tc>
        <w:tc>
          <w:tcPr>
            <w:tcW w:w="609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针对环境管理方案评审内容：（1）二次污染防治措施；（2）环境监测方案；</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环境管理方案内容详实完整、条理清晰；二次污染（废水、废气、固废、噪声、土壤、地下水二次扰动等）防治措施全面、精准、针对性强；环境监测方案监测点位、监测指标、监测频次、质控要求、数据管理完整规范，完全贴合本项目治理施工特点及采购需求，可落地性强的得4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2、二次污染防治措施、环境监测方案内容完整、思路正确，整体符合项目环境管理要求；措施及方案可行有效，仅部分细节内容不够细化，无明显缺陷，基本满足采购需求的 得2分。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3、仅提供基础环境管理框架，二次污染防治措施简单笼统，环境监测方案要素缺项较多、内容单薄，针对性不足，仅满足最低响应要求的得1分。</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4、未提供本项环境管理方案，或二次污染防控、环境监测内容严重缺失、措施不合理，无法满足本项目环保管控要求的得0分。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841"/>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质量管理措施</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针对质量管理措施评审内容：（1）质量保证措施；（2）效果自检方案；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质量管理体系完善、架构清晰、制度健全；质量保证措施覆盖施工全过程，事前、事中、事后质量管控要点全面、细节详实，完全符合相关规范、标准要求；治理效果自检方案科学严谨，自检项目、自检频次、检测方法、判定标准、整改复核机制完整合理，技术路线先进可行、贴合本项目污染治理特点，可有效保障工程治理质量及治理成效，全面满足采购需求的得3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质量保证措施、效果自检方案内容完整，整体符合规范标准及项目实施要求，技术路线合理、方法科学；整体满足项目质量管理需要，仅部分管控细节、自检流程、复核机制细化程度不足，无质量管控缺陷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3、仅提供基础质量管理框架，质量保证措施笼统简单、关键管控环节缺项，效果自检方案要素不齐全、流程简单、针对性差，仅能最低限度响应采购需求，无法全面保障项目质量的得1分。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4、未提供本项质量管理措施及自检方案，或质量管控思路混乱、不符合现行规范标准、无有效自检手段，无法保障项目治理质量的得0分。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841"/>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安全风险分析及安全保障措施</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投标人针对本项目踏勘、现场采样、污染场地作业、化学品使用、运输处置、交通、恶劣天气、地下未知污染风险、作业人员安全等内容，开展全面风险辨识、分析，并提供针对性、可落地的安全保障方案：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对本项目场地污染风险、现场作业风险、采样安全风险、化学品安全、作业交通、天气灾害、人员防护、应急处置全部覆盖，风险分析全面、贴合地下水污染防控项目实际；安全管理制度、防护措施、作业规范、隐患排查机制科学完备、分工明确、可实施性极强，能完全保障项目全程安全零事故的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2.能识别项目主要安全风险，具备基本的风险分析；有较完善的安全保障措施，整体可行，但部分细节针对性一般、不够贴合污染场地作业特点的得4分。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仅简单罗列通用安全措施，风险分析粗浅、不全面，缺少地下水污染作业专项风险辨识，保障措施不完善、针对性弱的得2分。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4.无风险分析、无专项安全措施，方案空洞、不具备可实施性的得0分。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841"/>
        </w:trPr>
        <w:tc>
          <w:tcPr>
            <w:tcW w:w="56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应急管理措施</w:t>
            </w:r>
            <w:r/>
          </w:p>
        </w:tc>
        <w:tc>
          <w:tcPr>
            <w:tcW w:w="60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针对应急管理措施评审内容：（1）应急组织机构；（2）应急程序；（3）应急措施；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应急组织机构健全、岗位职责分工明确；应急响应流程完整、规范、闭环、逻辑清晰；针对本项目污染治理、地下水施工、化学药剂使用等潜在风险制定的应急处置措施全面、科学、针对性强、可落地性高，完全满足项目安全、环境风险应急管控全部需求的得3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2、应急组织机构、应急程序、应急处置措施内容完整、整体合理可行，能够满足项目应急管理要求；仅部分细节预案、专项处置措施细化不足，无明显缺陷的得2分。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3、仅提供基础应急方案框架，组织机构、应急流程、处置措施内容简单笼统，关键应急管控内容缺项较多，针对性弱，仅能满足最低限度响应要求的得1分。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4、未提供本项应急管理方案，或应急组织、程序、措施严重缺失、逻辑混乱、不符合项目风险特点，无法满足项目应急管控要求的得0分。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983"/>
        </w:trPr>
        <w:tc>
          <w:tcPr>
            <w:gridSpan w:val="4"/>
            <w:tcW w:w="8642" w:type="dxa"/>
            <w:vAlign w:val="center"/>
            <w:textDirection w:val="lrTb"/>
            <w:noWrap w:val="false"/>
          </w:tcPr>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特别说明</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投标人如以联合体方式参与本项目投标，仅联合体牵头人符合评标办法相关要求的得分。</w:t>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五、中标标准：</w:t>
      </w:r>
      <w:r/>
    </w:p>
    <w:p>
      <w:pPr>
        <w:ind w:firstLine="480"/>
        <w:spacing w:line="360" w:lineRule="auto"/>
        <w:rPr>
          <w:rFonts w:hint="eastAsia" w:ascii="宋体" w:hAnsi="宋体" w:eastAsia="宋体" w:cs="宋体"/>
          <w:color w:val="auto"/>
          <w:sz w:val="24"/>
          <w:szCs w:val="24"/>
          <w:highlight w:val="none"/>
        </w:rPr>
        <w:sectPr>
          <w:headerReference w:type="default" r:id="rId9"/>
          <w:footerReference w:type="default" r:id="rId15"/>
          <w:footnotePr/>
          <w:endnotePr/>
          <w:type w:val="nextPage"/>
          <w:pgSz w:w="11906" w:h="16838" w:orient="portrait"/>
          <w:pgMar w:top="1134" w:right="1134" w:bottom="1134" w:left="1134" w:header="851" w:footer="992" w:gutter="0"/>
          <w:pgNumType w:start="49"/>
          <w:cols w:num="1" w:sep="0" w:space="720" w:equalWidth="1"/>
          <w:docGrid w:linePitch="360"/>
        </w:sect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名次并列。投标文件满足招标文件全部实质性要求，且按照评审因素的量化指标评审得分最高的投标人为排名第一的中标候选人。</w:t>
      </w:r>
      <w:r/>
    </w:p>
    <w:p>
      <w:pPr>
        <w:pStyle w:val="952"/>
        <w:jc w:val="center"/>
        <w:spacing w:line="360" w:lineRule="auto"/>
        <w:rPr>
          <w:rFonts w:hint="eastAsia" w:ascii="宋体" w:hAnsi="宋体" w:eastAsia="宋体" w:cs="宋体"/>
          <w:b w:val="0"/>
          <w:color w:val="auto"/>
          <w:highlight w:val="none"/>
        </w:rPr>
      </w:pPr>
      <w:r/>
      <w:bookmarkStart w:id="29" w:name="__RefHeading___Toc162361615"/>
      <w:r/>
      <w:bookmarkEnd w:id="29"/>
      <w:r>
        <w:rPr>
          <w:rFonts w:hint="eastAsia" w:ascii="宋体" w:hAnsi="宋体" w:eastAsia="宋体" w:cs="宋体"/>
          <w:b w:val="0"/>
          <w:color w:val="auto"/>
          <w:highlight w:val="none"/>
        </w:rPr>
        <w:t xml:space="preserve">第六章 投标文件格式</w:t>
      </w:r>
      <w:r/>
    </w:p>
    <w:p>
      <w:pPr>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灌 南 县  政 府 采 购</w:t>
      </w:r>
      <w:r/>
    </w:p>
    <w:p>
      <w:pPr>
        <w:pStyle w:val="968"/>
        <w:rPr>
          <w:rFonts w:hint="eastAsia" w:ascii="宋体" w:hAnsi="宋体" w:eastAsia="宋体" w:cs="宋体"/>
          <w:b w:val="0"/>
          <w:color w:val="auto"/>
          <w:sz w:val="52"/>
          <w:szCs w:val="52"/>
          <w:highlight w:val="none"/>
        </w:rPr>
      </w:pPr>
      <w:r>
        <w:rPr>
          <w:rFonts w:hint="eastAsia" w:ascii="宋体" w:hAnsi="宋体" w:eastAsia="宋体" w:cs="宋体"/>
          <w:b w:val="0"/>
          <w:color w:val="auto"/>
          <w:sz w:val="52"/>
          <w:szCs w:val="52"/>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225"/>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2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w:t>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编 号：</w:t>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w:t>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投标人地址： </w:t>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pStyle w:val="122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w:t>
      </w:r>
      <w:r>
        <w:rPr>
          <w:rFonts w:hint="eastAsia" w:ascii="宋体" w:hAnsi="宋体" w:eastAsia="宋体" w:cs="宋体"/>
          <w:b/>
          <w:iCs/>
          <w:color w:val="auto"/>
          <w:sz w:val="36"/>
          <w:highlight w:val="none"/>
        </w:rPr>
        <w:t xml:space="preserve">具有良好的商业信誉和健全的财务会计制度(按连财购【2023】4号文件要求，符合要求的提交《财务状况报告及税收、社会保障资金缴纳情况承诺函》，并上传至电子响应文件中(格式详见采购文件)；</w:t>
      </w:r>
      <w:r/>
    </w:p>
    <w:p>
      <w:pPr>
        <w:jc w:val="left"/>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三、依法缴纳税收和社会保障资金的相关证明材料（按连财购【2023】4号文件要求，符合要求的提交《财务状况报告及税收、社会保障资金缴纳情况承诺函》，并上传至电子响应文件中(格式详见采购文件)；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bCs/>
          <w:color w:val="auto"/>
          <w:sz w:val="36"/>
          <w:szCs w:val="24"/>
          <w:highlight w:val="none"/>
        </w:rPr>
      </w:pPr>
      <w:r>
        <w:rPr>
          <w:rFonts w:hint="eastAsia" w:ascii="宋体" w:hAnsi="宋体" w:eastAsia="宋体" w:cs="宋体"/>
          <w:bCs/>
          <w:color w:val="auto"/>
          <w:sz w:val="36"/>
          <w:szCs w:val="24"/>
          <w:highlight w:val="none"/>
        </w:rPr>
      </w:r>
      <w:r/>
    </w:p>
    <w:p>
      <w:pPr>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46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rPr>
          <w:rFonts w:hint="eastAsia" w:ascii="宋体" w:hAnsi="宋体" w:eastAsia="宋体" w:cs="宋体"/>
          <w:b/>
          <w:iCs/>
          <w:color w:val="auto"/>
          <w:sz w:val="36"/>
          <w:szCs w:val="24"/>
          <w:highlight w:val="none"/>
        </w:rPr>
      </w:pPr>
      <w:r>
        <w:rPr>
          <w:rFonts w:hint="eastAsia" w:ascii="宋体" w:hAnsi="宋体" w:eastAsia="宋体" w:cs="宋体"/>
          <w:b/>
          <w:iCs/>
          <w:color w:val="auto"/>
          <w:sz w:val="36"/>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keepLines/>
        <w:keepNext/>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r>
      <w:r/>
    </w:p>
    <w:p>
      <w:pPr>
        <w:jc w:val="left"/>
        <w:keepLines/>
        <w:keepNext/>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highlight w:val="none"/>
        </w:rPr>
        <w:t xml:space="preserve">电子件：</w:t>
      </w:r>
      <w:r/>
    </w:p>
    <w:tbl>
      <w:tblPr>
        <w:tblStyle w:val="962"/>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highlight w:val="none"/>
        </w:rPr>
        <w:t xml:space="preserve">电子件：</w:t>
      </w:r>
      <w:r/>
    </w:p>
    <w:tbl>
      <w:tblPr>
        <w:tblStyle w:val="962"/>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p>
      <w:pPr>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兹证明，姓名：性别：年龄：职务：系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76"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附：法定代表人（单位负责人</w:t>
      </w:r>
      <w:r>
        <w:rPr>
          <w:rFonts w:hint="eastAsia" w:ascii="宋体" w:hAnsi="宋体" w:eastAsia="宋体" w:cs="宋体"/>
          <w:color w:val="auto"/>
          <w:highlight w:val="none"/>
        </w:rPr>
        <w:t xml:space="preserve">）有效期内的身份证正反面电子件。</w:t>
      </w:r>
      <w:r/>
    </w:p>
    <w:tbl>
      <w:tblPr>
        <w:tblStyle w:val="962"/>
        <w:tblW w:w="9208" w:type="dxa"/>
        <w:tblInd w:w="-113" w:type="dxa"/>
        <w:tblLayout w:type="fixed"/>
        <w:tblCellMar>
          <w:left w:w="108" w:type="dxa"/>
          <w:top w:w="0" w:type="dxa"/>
          <w:right w:w="108" w:type="dxa"/>
          <w:bottom w:w="0" w:type="dxa"/>
        </w:tblCellMar>
        <w:tblLook w:val="04A0" w:firstRow="1" w:lastRow="0" w:firstColumn="1" w:lastColumn="0" w:noHBand="0" w:noVBand="1"/>
      </w:tblPr>
      <w:tblGrid>
        <w:gridCol w:w="4672"/>
        <w:gridCol w:w="4536"/>
      </w:tblGrid>
      <w:tr>
        <w:trPr>
          <w:trHeight w:val="1399"/>
        </w:trPr>
        <w:tc>
          <w:tcPr>
            <w:tcBorders>
              <w:top w:val="single" w:color="000000" w:sz="4" w:space="0"/>
              <w:left w:val="single" w:color="000000" w:sz="4" w:space="0"/>
              <w:bottom w:val="single" w:color="000000" w:sz="4" w:space="0"/>
              <w:right w:val="single" w:color="000000" w:sz="4" w:space="0"/>
            </w:tcBorders>
            <w:tcW w:w="4672"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76"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2"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rPr>
        <w:t xml:space="preserve">江苏连云港化工产业园区管理委员会</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中小企业声明函</w:t>
      </w:r>
      <w:r/>
    </w:p>
    <w:p>
      <w:pPr>
        <w:jc w:val="center"/>
        <w:spacing w:line="360" w:lineRule="auto"/>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相关企业（含联合体中的中小企业、签订分包意向协议的中小企业）的具体情况如下：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残疾人福利性单位声明函</w:t>
      </w:r>
      <w:r/>
    </w:p>
    <w:p>
      <w:pPr>
        <w:jc w:val="center"/>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十三、投标分项报价表</w:t>
      </w:r>
      <w:r/>
    </w:p>
    <w:p>
      <w:pPr>
        <w:jc w:val="center"/>
        <w:spacing w:line="360" w:lineRule="auto"/>
        <w:tabs>
          <w:tab w:val="left" w:pos="360" w:leader="none"/>
        </w:tabs>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投标分项报价表</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right"/>
        <w:spacing w:line="360" w:lineRule="auto"/>
        <w:tabs>
          <w:tab w:val="left" w:pos="360" w:leader="none"/>
        </w:tabs>
        <w:rPr>
          <w:rFonts w:hint="eastAsia" w:ascii="宋体" w:hAnsi="宋体" w:eastAsia="宋体" w:cs="宋体"/>
          <w:b/>
          <w:color w:val="auto"/>
          <w:sz w:val="36"/>
          <w:szCs w:val="28"/>
          <w:highlight w:val="none"/>
        </w:rPr>
      </w:pPr>
      <w:r>
        <w:rPr>
          <w:rFonts w:hint="eastAsia" w:ascii="宋体" w:hAnsi="宋体" w:eastAsia="宋体" w:cs="宋体"/>
          <w:color w:val="auto"/>
          <w:highlight w:val="none"/>
        </w:rPr>
        <w:t xml:space="preserve">单位：元</w:t>
      </w:r>
      <w:r/>
    </w:p>
    <w:tbl>
      <w:tblPr>
        <w:tblStyle w:val="962"/>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406"/>
        <w:gridCol w:w="1874"/>
        <w:gridCol w:w="828"/>
        <w:gridCol w:w="1362"/>
        <w:gridCol w:w="1530"/>
        <w:gridCol w:w="1536"/>
      </w:tblGrid>
      <w:tr>
        <w:trPr>
          <w:trHeight w:val="397"/>
          <w:tblHeader/>
        </w:trPr>
        <w:tc>
          <w:tcPr>
            <w:tcW w:w="463" w:type="pct"/>
            <w:vAlign w:val="center"/>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序号</w:t>
            </w:r>
            <w:r/>
          </w:p>
        </w:tc>
        <w:tc>
          <w:tcPr>
            <w:tcW w:w="746" w:type="pct"/>
            <w:vAlign w:val="center"/>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项目名称</w:t>
            </w:r>
            <w:r/>
          </w:p>
        </w:tc>
        <w:tc>
          <w:tcPr>
            <w:tcW w:w="996" w:type="pct"/>
            <w:vAlign w:val="center"/>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项目特征描述</w:t>
            </w:r>
            <w:r/>
          </w:p>
        </w:tc>
        <w:tc>
          <w:tcPr>
            <w:tcW w:w="440" w:type="pct"/>
            <w:vAlign w:val="center"/>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单位</w:t>
            </w:r>
            <w:r/>
          </w:p>
        </w:tc>
        <w:tc>
          <w:tcPr>
            <w:tcW w:w="724" w:type="pct"/>
            <w:vAlign w:val="center"/>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工程量</w:t>
            </w:r>
            <w:r/>
          </w:p>
        </w:tc>
        <w:tc>
          <w:tcPr>
            <w:tcW w:w="813" w:type="pct"/>
            <w:textDirection w:val="lrTb"/>
            <w:noWrap w:val="false"/>
          </w:tcPr>
          <w:p>
            <w:pPr>
              <w:pStyle w:val="1268"/>
              <w:rPr>
                <w:rFonts w:eastAsia="宋体"/>
                <w:b/>
                <w:bCs/>
                <w:color w:val="auto"/>
                <w:szCs w:val="24"/>
                <w:highlight w:val="none"/>
              </w:rPr>
            </w:pPr>
            <w:r>
              <w:rPr>
                <w:rFonts w:hint="eastAsia" w:eastAsia="宋体"/>
                <w:b/>
                <w:bCs/>
                <w:color w:val="auto"/>
                <w:szCs w:val="24"/>
                <w:highlight w:val="none"/>
              </w:rPr>
              <w:t xml:space="preserve">单价</w:t>
            </w:r>
            <w:r/>
          </w:p>
        </w:tc>
        <w:tc>
          <w:tcPr>
            <w:tcW w:w="813" w:type="pct"/>
            <w:textDirection w:val="lrTb"/>
            <w:noWrap w:val="false"/>
          </w:tcPr>
          <w:p>
            <w:pPr>
              <w:pStyle w:val="1268"/>
              <w:rPr>
                <w:rFonts w:eastAsia="宋体"/>
                <w:b/>
                <w:bCs/>
                <w:color w:val="auto"/>
                <w:szCs w:val="24"/>
                <w:highlight w:val="none"/>
              </w:rPr>
            </w:pPr>
            <w:r>
              <w:rPr>
                <w:rFonts w:eastAsia="宋体"/>
                <w:b/>
                <w:bCs/>
                <w:color w:val="auto"/>
                <w:szCs w:val="24"/>
                <w:highlight w:val="none"/>
              </w:rPr>
              <w:t xml:space="preserve">合计价</w:t>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1</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A区</w:t>
            </w:r>
            <w:r>
              <w:rPr>
                <w:rFonts w:eastAsia="宋体"/>
                <w:color w:val="auto"/>
                <w:highlight w:val="none"/>
              </w:rPr>
              <w:t xml:space="preserve">监测方案编制</w:t>
            </w:r>
            <w:r/>
          </w:p>
        </w:tc>
        <w:tc>
          <w:tcPr>
            <w:shd w:val="clear" w:color="auto" w:fill="auto"/>
            <w:tcW w:w="99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1.根据相关导则规范要求，编制A区监测方案。</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2</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A区</w:t>
            </w:r>
            <w:r>
              <w:rPr>
                <w:rFonts w:eastAsia="宋体"/>
                <w:color w:val="auto"/>
                <w:highlight w:val="none"/>
              </w:rPr>
              <w:t xml:space="preserve">监测井维护</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1.地下水监测井（利旧）及井台日常维护，若损坏及时新建；</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2.服务期为2026年和2027年。</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口</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39</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A区</w:t>
            </w:r>
            <w:r>
              <w:rPr>
                <w:rFonts w:eastAsia="宋体"/>
                <w:color w:val="auto"/>
                <w:highlight w:val="none"/>
              </w:rPr>
              <w:t xml:space="preserve">采样分析</w:t>
            </w:r>
            <w:r/>
          </w:p>
        </w:tc>
        <w:tc>
          <w:tcPr>
            <w:shd w:val="clear" w:color="auto" w:fill="auto"/>
            <w:tcW w:w="996" w:type="pct"/>
            <w:vAlign w:val="center"/>
            <w:textDirection w:val="lrTb"/>
            <w:noWrap w:val="false"/>
          </w:tcPr>
          <w:p>
            <w:pPr>
              <w:pStyle w:val="1268"/>
              <w:jc w:val="both"/>
              <w:rPr>
                <w:rFonts w:eastAsia="宋体"/>
                <w:color w:val="auto"/>
                <w:highlight w:val="none"/>
              </w:rPr>
            </w:pPr>
            <w:r>
              <w:rPr>
                <w:rFonts w:eastAsia="宋体"/>
                <w:color w:val="auto"/>
                <w:highlight w:val="none"/>
              </w:rPr>
              <w:t xml:space="preserve">1.按照相关导则规范要求，进行样品采样与数据分析；</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2.地下水监测频次不少于一年两次，两次间隔时间大于2个月；</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3.服务期为2026年和2027年。</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个</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172</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4</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A区</w:t>
            </w:r>
            <w:r>
              <w:rPr>
                <w:rFonts w:eastAsia="宋体"/>
                <w:color w:val="auto"/>
                <w:highlight w:val="none"/>
              </w:rPr>
              <w:t xml:space="preserve">年度监测报告编制</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1.根据相关导则规范要求，编制年度监测报告；</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2.服务期为2026年和2027年。</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5</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B区</w:t>
            </w:r>
            <w:r>
              <w:rPr>
                <w:rFonts w:eastAsia="宋体"/>
                <w:color w:val="auto"/>
                <w:highlight w:val="none"/>
              </w:rPr>
              <w:t xml:space="preserve">污染地下水抽出-处理</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1.污染地下水抽出-处理；</w:t>
            </w:r>
            <w:r/>
          </w:p>
          <w:p>
            <w:pPr>
              <w:pStyle w:val="1268"/>
              <w:jc w:val="left"/>
              <w:rPr>
                <w:rFonts w:eastAsia="宋体"/>
                <w:color w:val="auto"/>
                <w:highlight w:val="none"/>
              </w:rPr>
            </w:pPr>
            <w:r>
              <w:rPr>
                <w:rFonts w:eastAsia="宋体"/>
                <w:color w:val="auto"/>
                <w:highlight w:val="none"/>
              </w:rPr>
              <w:t xml:space="preserve">2.包括不限于建井、管道建设、地下水抽提、污水转运、现场预处理（含危废处置）、处理后废水纳管排放等；</w:t>
            </w:r>
            <w:r/>
          </w:p>
          <w:p>
            <w:pPr>
              <w:jc w:val="left"/>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3.抽出井井深为20m/28m（以实际地勘为准，潜水含水层），孔径为Φ600mm，波纹管，井径Φ375mm；</w:t>
            </w:r>
            <w:r/>
          </w:p>
          <w:p>
            <w:pPr>
              <w:jc w:val="left"/>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4.注入井井深为20m（以实际地勘为准），管径Φ200mm，UPVC材质；</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5.治理效果达到规定风险管控目标值；</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6.按照相关导则规范要求执行。</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m</w:t>
            </w:r>
            <w:r>
              <w:rPr>
                <w:rFonts w:eastAsia="宋体"/>
                <w:color w:val="auto"/>
                <w:highlight w:val="none"/>
                <w:vertAlign w:val="superscript"/>
              </w:rPr>
              <w:t xml:space="preserve">3</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46481.76</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6</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B区</w:t>
            </w:r>
            <w:r>
              <w:rPr>
                <w:rFonts w:eastAsia="宋体"/>
                <w:color w:val="auto"/>
                <w:highlight w:val="none"/>
              </w:rPr>
              <w:t xml:space="preserve">重点区域原位化学氧化</w:t>
            </w:r>
            <w:r/>
          </w:p>
        </w:tc>
        <w:tc>
          <w:tcPr>
            <w:shd w:val="clear" w:color="auto" w:fill="auto"/>
            <w:tcW w:w="996" w:type="pct"/>
            <w:vAlign w:val="center"/>
            <w:textDirection w:val="lrTb"/>
            <w:noWrap w:val="false"/>
          </w:tcPr>
          <w:p>
            <w:pPr>
              <w:pStyle w:val="1268"/>
              <w:jc w:val="both"/>
              <w:rPr>
                <w:rFonts w:eastAsia="宋体"/>
                <w:color w:val="auto"/>
                <w:highlight w:val="none"/>
              </w:rPr>
            </w:pPr>
            <w:r>
              <w:rPr>
                <w:rFonts w:eastAsia="宋体"/>
                <w:color w:val="auto"/>
                <w:highlight w:val="none"/>
              </w:rPr>
              <w:t xml:space="preserve">1.重点区域原位化学氧化；</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2.包括不限于人员管理、机械进出场及施工、药剂购买及使用等；</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3.可采用浅层搅拌、高压旋喷等方式，具体应根据现场实际情况选择工法；</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4.最大治理深度7.5m；</w:t>
            </w:r>
            <w:r/>
          </w:p>
          <w:p>
            <w:pPr>
              <w:pStyle w:val="1268"/>
              <w:jc w:val="both"/>
              <w:rPr>
                <w:rFonts w:eastAsia="宋体"/>
                <w:color w:val="auto"/>
                <w:highlight w:val="none"/>
              </w:rPr>
            </w:pPr>
            <w:r>
              <w:rPr>
                <w:rFonts w:eastAsia="宋体"/>
                <w:color w:val="auto"/>
                <w:highlight w:val="none"/>
              </w:rPr>
              <w:t xml:space="preserve">5.按照相关导则规范要求执行；</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6.化学氧化施工效果检测。</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m</w:t>
            </w:r>
            <w:r>
              <w:rPr>
                <w:rFonts w:eastAsia="宋体"/>
                <w:color w:val="auto"/>
                <w:highlight w:val="none"/>
                <w:vertAlign w:val="superscript"/>
              </w:rPr>
              <w:t xml:space="preserve">3</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59560.43</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7</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临时设施</w:t>
            </w:r>
            <w:r/>
          </w:p>
        </w:tc>
        <w:tc>
          <w:tcPr>
            <w:shd w:val="clear" w:color="auto" w:fill="auto"/>
            <w:tcW w:w="996" w:type="pct"/>
            <w:vAlign w:val="center"/>
            <w:textDirection w:val="lrTb"/>
            <w:noWrap w:val="false"/>
          </w:tcPr>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1.临时设施；</w:t>
            </w:r>
            <w:r/>
          </w:p>
          <w:p>
            <w:pPr>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 xml:space="preserve">2.包括不限于场地平整，办公区、水处理区、仓库、临水临电接入、监控、大门建设等；</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3.满足相关规范及方案要求。</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8</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B区服务过程环境监测与检测</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1.B区服务过程环境监测与检测；</w:t>
            </w:r>
            <w:r/>
          </w:p>
          <w:p>
            <w:pPr>
              <w:pStyle w:val="1268"/>
              <w:jc w:val="left"/>
              <w:rPr>
                <w:rFonts w:eastAsia="宋体"/>
                <w:color w:val="auto"/>
                <w:highlight w:val="none"/>
              </w:rPr>
            </w:pPr>
            <w:r>
              <w:rPr>
                <w:rFonts w:eastAsia="宋体"/>
                <w:color w:val="auto"/>
                <w:highlight w:val="none"/>
              </w:rPr>
              <w:t xml:space="preserve">2.包括不限于含施工期环境监测（大气、水、噪声等），治理效果自检（抽出处理后污水、削源后地下水）等；</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3.投标单位自行考虑，满足相关规范及监测方案要求。</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397"/>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9</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二次污染防治措施费</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1.二次污染防治；</w:t>
            </w:r>
            <w:r/>
          </w:p>
          <w:p>
            <w:pPr>
              <w:pStyle w:val="1268"/>
              <w:jc w:val="left"/>
              <w:rPr>
                <w:rFonts w:eastAsia="宋体"/>
                <w:color w:val="auto"/>
                <w:highlight w:val="none"/>
              </w:rPr>
            </w:pPr>
            <w:r>
              <w:rPr>
                <w:rFonts w:eastAsia="宋体"/>
                <w:color w:val="auto"/>
                <w:highlight w:val="none"/>
              </w:rPr>
              <w:t xml:space="preserve">2.包括不限于：大气污染防治、水污染防治、固废污染防治、噪声污染防治等；</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3.防治方案由投标单位自行考虑，满足相关规范及方案要求。</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2210"/>
        </w:trPr>
        <w:tc>
          <w:tcPr>
            <w:shd w:val="clear" w:color="auto" w:fill="auto"/>
            <w:tcW w:w="463"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hint="eastAsia" w:eastAsia="宋体"/>
                <w:color w:val="auto"/>
                <w:highlight w:val="none"/>
              </w:rPr>
              <w:t xml:space="preserve">10</w:t>
            </w:r>
            <w:r/>
          </w:p>
        </w:tc>
        <w:tc>
          <w:tcPr>
            <w:shd w:val="clear" w:color="auto" w:fill="auto"/>
            <w:tcW w:w="746"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安全文明施工措施费</w:t>
            </w:r>
            <w:r/>
          </w:p>
        </w:tc>
        <w:tc>
          <w:tcPr>
            <w:shd w:val="clear" w:color="auto" w:fill="auto"/>
            <w:tcW w:w="996" w:type="pct"/>
            <w:vAlign w:val="center"/>
            <w:textDirection w:val="lrTb"/>
            <w:noWrap w:val="false"/>
          </w:tcPr>
          <w:p>
            <w:pPr>
              <w:pStyle w:val="1268"/>
              <w:jc w:val="left"/>
              <w:rPr>
                <w:rFonts w:eastAsia="宋体"/>
                <w:color w:val="auto"/>
                <w:highlight w:val="none"/>
              </w:rPr>
            </w:pPr>
            <w:r>
              <w:rPr>
                <w:rFonts w:eastAsia="宋体"/>
                <w:color w:val="auto"/>
                <w:highlight w:val="none"/>
              </w:rPr>
              <w:t xml:space="preserve">1.安全文明施工；</w:t>
            </w:r>
            <w:r/>
          </w:p>
          <w:p>
            <w:pPr>
              <w:pStyle w:val="1268"/>
              <w:jc w:val="left"/>
              <w:rPr>
                <w:rFonts w:eastAsia="宋体"/>
                <w:color w:val="auto"/>
                <w:highlight w:val="none"/>
              </w:rPr>
            </w:pPr>
            <w:r>
              <w:rPr>
                <w:rFonts w:eastAsia="宋体"/>
                <w:color w:val="auto"/>
                <w:highlight w:val="none"/>
              </w:rPr>
              <w:t xml:space="preserve">2.包括不限于：安全防护、施工机械及临电安全、安全管理体系建立、宣传展示标语等；</w:t>
            </w:r>
            <w:r/>
          </w:p>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3.安全文明施工方案由投标单位自行考虑，满足相关规范及方案要求。</w:t>
            </w:r>
            <w:r/>
          </w:p>
        </w:tc>
        <w:tc>
          <w:tcPr>
            <w:shd w:val="clear" w:color="auto" w:fill="auto"/>
            <w:tcW w:w="440"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项</w:t>
            </w:r>
            <w:r/>
          </w:p>
        </w:tc>
        <w:tc>
          <w:tcPr>
            <w:shd w:val="clear" w:color="auto" w:fill="auto"/>
            <w:tcW w:w="724" w:type="pct"/>
            <w:vAlign w:val="center"/>
            <w:textDirection w:val="lrTb"/>
            <w:noWrap w:val="false"/>
          </w:tcPr>
          <w:p>
            <w:pPr>
              <w:pStyle w:val="1268"/>
              <w:rPr>
                <w:rFonts w:ascii="Times New Roman" w:hAnsi="Times New Roman" w:eastAsia="宋体" w:cs="Times New Roman"/>
                <w:color w:val="auto"/>
                <w:sz w:val="24"/>
                <w:szCs w:val="22"/>
                <w:highlight w:val="none"/>
                <w:lang w:val="en-US" w:eastAsia="zh-CN" w:bidi="ar-SA"/>
              </w:rPr>
            </w:pPr>
            <w:r>
              <w:rPr>
                <w:rFonts w:eastAsia="宋体"/>
                <w:color w:val="auto"/>
                <w:highlight w:val="none"/>
              </w:rPr>
              <w:t xml:space="preserve">1</w:t>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c>
          <w:tcPr>
            <w:tcW w:w="813" w:type="pct"/>
            <w:textDirection w:val="lrTb"/>
            <w:noWrap w:val="false"/>
          </w:tcPr>
          <w:p>
            <w:pPr>
              <w:pStyle w:val="1268"/>
              <w:rPr>
                <w:rFonts w:eastAsia="宋体"/>
                <w:color w:val="auto"/>
                <w:szCs w:val="24"/>
                <w:highlight w:val="none"/>
              </w:rPr>
            </w:pPr>
            <w:r>
              <w:rPr>
                <w:rFonts w:eastAsia="宋体"/>
                <w:color w:val="auto"/>
                <w:szCs w:val="24"/>
                <w:highlight w:val="none"/>
              </w:rPr>
            </w:r>
            <w:r/>
          </w:p>
        </w:tc>
      </w:tr>
      <w:tr>
        <w:trPr>
          <w:trHeight w:val="735"/>
        </w:trPr>
        <w:tc>
          <w:tcPr>
            <w:gridSpan w:val="2"/>
            <w:tcW w:w="1210" w:type="pct"/>
            <w:vAlign w:val="center"/>
            <w:textDirection w:val="lrTb"/>
            <w:noWrap w:val="false"/>
          </w:tcPr>
          <w:p>
            <w:pPr>
              <w:pStyle w:val="1268"/>
              <w:rPr>
                <w:rFonts w:eastAsia="宋体"/>
                <w:color w:val="auto"/>
                <w:szCs w:val="24"/>
                <w:highlight w:val="none"/>
              </w:rPr>
            </w:pPr>
            <w:r>
              <w:rPr>
                <w:rFonts w:hint="eastAsia" w:eastAsia="宋体"/>
                <w:color w:val="auto"/>
                <w:szCs w:val="24"/>
                <w:highlight w:val="none"/>
              </w:rPr>
              <w:t xml:space="preserve">总价</w:t>
            </w:r>
            <w:r/>
          </w:p>
        </w:tc>
        <w:tc>
          <w:tcPr>
            <w:gridSpan w:val="5"/>
            <w:tcW w:w="3789" w:type="pct"/>
            <w:vAlign w:val="center"/>
            <w:textDirection w:val="lrTb"/>
            <w:noWrap w:val="false"/>
          </w:tcPr>
          <w:p>
            <w:pPr>
              <w:pStyle w:val="1268"/>
              <w:rPr>
                <w:rFonts w:eastAsia="宋体"/>
                <w:color w:val="auto"/>
                <w:szCs w:val="24"/>
                <w:highlight w:val="none"/>
              </w:rPr>
            </w:pPr>
            <w:r>
              <w:rPr>
                <w:rFonts w:eastAsia="宋体"/>
                <w:color w:val="auto"/>
                <w:szCs w:val="24"/>
                <w:highlight w:val="none"/>
              </w:rPr>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iCs/>
          <w:color w:val="auto"/>
          <w:sz w:val="36"/>
          <w:highlight w:val="none"/>
        </w:rPr>
      </w:pPr>
      <w:r>
        <w:rPr>
          <w:rFonts w:hint="eastAsia" w:ascii="宋体" w:hAnsi="宋体" w:eastAsia="宋体" w:cs="宋体"/>
          <w:color w:val="auto"/>
          <w:highlight w:val="none"/>
        </w:rPr>
        <w:br w:type="page" w:clear="all"/>
      </w:r>
      <w:r>
        <w:rPr>
          <w:rFonts w:hint="eastAsia" w:ascii="宋体" w:hAnsi="宋体" w:eastAsia="宋体" w:cs="宋体"/>
          <w:b/>
          <w:iCs/>
          <w:color w:val="auto"/>
          <w:sz w:val="36"/>
          <w:highlight w:val="none"/>
        </w:rPr>
        <w:t xml:space="preserve">十四、商务要求响应及偏离表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r/>
    </w:p>
    <w:tbl>
      <w:tblPr>
        <w:tblStyle w:val="962"/>
        <w:tblW w:w="9746" w:type="dxa"/>
        <w:tblInd w:w="-113" w:type="dxa"/>
        <w:tblLayout w:type="fixed"/>
        <w:tblCellMar>
          <w:left w:w="108" w:type="dxa"/>
          <w:top w:w="0" w:type="dxa"/>
          <w:right w:w="108" w:type="dxa"/>
          <w:bottom w:w="0" w:type="dxa"/>
        </w:tblCellMar>
        <w:tblLook w:val="04A0" w:firstRow="1" w:lastRow="0" w:firstColumn="1" w:lastColumn="0" w:noHBand="0" w:noVBand="1"/>
      </w:tblPr>
      <w:tblGrid>
        <w:gridCol w:w="1241"/>
        <w:gridCol w:w="3262"/>
        <w:gridCol w:w="3401"/>
        <w:gridCol w:w="1842"/>
      </w:tblGrid>
      <w:tr>
        <w:trPr>
          <w:cantSplit/>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bookmarkStart w:id="30" w:name="_格式2__法定代表人授权书"/>
      <w:r/>
      <w:bookmarkEnd w:id="3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headerReference w:type="default" r:id="rId10"/>
          <w:footerReference w:type="default" r:id="rId16"/>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firstLine="1080"/>
        <w:jc w:val="left"/>
        <w:spacing w:line="360" w:lineRule="auto"/>
        <w:rPr>
          <w:rFonts w:hint="eastAsia" w:ascii="宋体" w:hAnsi="宋体" w:eastAsia="宋体" w:cs="宋体"/>
          <w:color w:val="auto"/>
          <w:highlight w:val="none"/>
        </w:rPr>
      </w:pPr>
      <w:r>
        <w:rPr>
          <w:rFonts w:hint="eastAsia" w:ascii="宋体" w:hAnsi="宋体" w:eastAsia="宋体" w:cs="宋体"/>
          <w:color w:val="auto"/>
          <w:sz w:val="36"/>
          <w:szCs w:val="24"/>
          <w:highlight w:val="none"/>
        </w:rPr>
        <w:t xml:space="preserve">项目名称： 项目编号：</w:t>
      </w:r>
      <w:r/>
    </w:p>
    <w:tbl>
      <w:tblPr>
        <w:tblStyle w:val="962"/>
        <w:tblW w:w="8504" w:type="dxa"/>
        <w:jc w:val="center"/>
        <w:tblLayout w:type="fixed"/>
        <w:tblCellMar>
          <w:left w:w="108" w:type="dxa"/>
          <w:top w:w="0" w:type="dxa"/>
          <w:right w:w="108" w:type="dxa"/>
          <w:bottom w:w="0" w:type="dxa"/>
        </w:tblCellMar>
        <w:tblLook w:val="04A0" w:firstRow="1" w:lastRow="0" w:firstColumn="1" w:lastColumn="0" w:noHBand="0" w:noVBand="1"/>
      </w:tblPr>
      <w:tblGrid>
        <w:gridCol w:w="808"/>
        <w:gridCol w:w="3274"/>
        <w:gridCol w:w="3023"/>
        <w:gridCol w:w="1399"/>
      </w:tblGrid>
      <w:tr>
        <w:trPr>
          <w:cantSplit/>
          <w:jc w:val="center"/>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超出、符合或偏离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Cs/>
          <w:color w:val="auto"/>
          <w:sz w:val="36"/>
          <w:szCs w:val="24"/>
          <w:highlight w:val="none"/>
        </w:rPr>
      </w:pPr>
      <w:r>
        <w:rPr>
          <w:rFonts w:hint="eastAsia" w:ascii="宋体" w:hAnsi="宋体" w:eastAsia="宋体" w:cs="宋体"/>
          <w:iCs/>
          <w:color w:val="auto"/>
          <w:sz w:val="36"/>
          <w:szCs w:val="24"/>
          <w:highlight w:val="none"/>
        </w:rPr>
      </w:r>
      <w:r/>
    </w:p>
    <w:p>
      <w:pPr>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color w:val="auto"/>
          <w:sz w:val="36"/>
          <w:szCs w:val="36"/>
          <w:highlight w:val="none"/>
        </w:rPr>
        <w:sectPr>
          <w:headerReference w:type="default" r:id="rId11"/>
          <w:footerReference w:type="default" r:id="rId17"/>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6"/>
          <w:szCs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r/>
    </w:p>
    <w:tbl>
      <w:tblPr>
        <w:tblStyle w:val="962"/>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417"/>
        <w:gridCol w:w="2693"/>
        <w:gridCol w:w="1986"/>
        <w:gridCol w:w="1983"/>
        <w:gridCol w:w="1559"/>
      </w:tblGrid>
      <w:tr>
        <w:trPr>
          <w:cantSplit/>
          <w:jc w:val="center"/>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8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48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签订时间</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spacing w:line="48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采购单位</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8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主要标的</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6" w:type="dxa"/>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sectPr>
          <w:headerReference w:type="default" r:id="rId12"/>
          <w:footerReference w:type="default" r:id="rId18"/>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十七、项目团队人员一览表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r/>
    </w:p>
    <w:tbl>
      <w:tblPr>
        <w:tblStyle w:val="962"/>
        <w:tblW w:w="9566" w:type="dxa"/>
        <w:jc w:val="center"/>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5"/>
        <w:gridCol w:w="2089"/>
      </w:tblGrid>
      <w:tr>
        <w:trPr>
          <w:cantSplit/>
          <w:jc w:val="center"/>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本项目拟担任职务</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技术职称、专业资质</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学历</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年龄</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注：投标人根据项目需求、评分办法编制项目团队人员一览表，格式不做固定要求。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十八、开标一览表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p>
    <w:p>
      <w:pPr>
        <w:ind w:firstLine="480"/>
        <w:jc w:val="right"/>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tbl>
      <w:tblPr>
        <w:tblStyle w:val="962"/>
        <w:tblW w:w="9747" w:type="dxa"/>
        <w:tblInd w:w="-113" w:type="dxa"/>
        <w:tblLayout w:type="fixed"/>
        <w:tblCellMar>
          <w:left w:w="108" w:type="dxa"/>
          <w:top w:w="0" w:type="dxa"/>
          <w:right w:w="108" w:type="dxa"/>
          <w:bottom w:w="0" w:type="dxa"/>
        </w:tblCellMar>
        <w:tblLook w:val="04A0" w:firstRow="1" w:lastRow="0" w:firstColumn="1" w:lastColumn="0" w:noHBand="0" w:noVBand="1"/>
      </w:tblPr>
      <w:tblGrid>
        <w:gridCol w:w="2840"/>
        <w:gridCol w:w="2840"/>
        <w:gridCol w:w="4067"/>
      </w:tblGrid>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4067"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4067"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 元</w:t>
            </w:r>
            <w:r/>
          </w:p>
        </w:tc>
      </w:tr>
      <w:tr>
        <w:trPr/>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6907" w:type="dxa"/>
            <w:textDirection w:val="lrTb"/>
            <w:noWrap w:val="false"/>
          </w:tcPr>
          <w:p>
            <w:pPr>
              <w:jc w:val="center"/>
              <w:spacing w:line="50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left"/>
        <w:widowControl/>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十九、关于符合本国产品标准的声明函（采购包号：XX）</w:t>
      </w:r>
      <w:r/>
    </w:p>
    <w:p>
      <w:pPr>
        <w:pStyle w:val="1258"/>
        <w:ind w:firstLine="712"/>
        <w:jc w:val="both"/>
        <w:spacing w:before="0" w:beforeAutospacing="0" w:after="0" w:afterAutospacing="0" w:line="360" w:lineRule="auto"/>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1.</w:t>
      </w:r>
      <w:r>
        <w:rPr>
          <w:rStyle w:val="1259"/>
          <w:rFonts w:hint="eastAsia" w:ascii="宋体" w:hAnsi="宋体" w:eastAsia="宋体" w:cs="宋体"/>
          <w:color w:val="auto"/>
          <w:sz w:val="24"/>
          <w:szCs w:val="24"/>
          <w:highlight w:val="none"/>
          <w:u w:val="single"/>
          <w:shd w:val="clear" w:color="auto" w:fill="ffffff"/>
        </w:rPr>
        <w:t xml:space="preserve">（产品名称1）</w:t>
      </w:r>
      <w:r>
        <w:rPr>
          <w:rStyle w:val="1259"/>
          <w:rFonts w:hint="eastAsia" w:ascii="宋体" w:hAnsi="宋体" w:eastAsia="宋体" w:cs="宋体"/>
          <w:color w:val="auto"/>
          <w:sz w:val="24"/>
          <w:szCs w:val="24"/>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259"/>
          <w:rFonts w:hint="eastAsia" w:ascii="宋体" w:hAnsi="宋体" w:eastAsia="宋体" w:cs="宋体"/>
          <w:color w:val="auto"/>
          <w:sz w:val="24"/>
          <w:szCs w:val="24"/>
          <w:highlight w:val="none"/>
          <w:u w:val="single"/>
          <w:shd w:val="clear" w:color="auto" w:fill="ffffff"/>
        </w:rPr>
        <w:t xml:space="preserve">（厂名）</w:t>
      </w:r>
      <w:r>
        <w:rPr>
          <w:rStyle w:val="1259"/>
          <w:rFonts w:hint="eastAsia" w:ascii="宋体" w:hAnsi="宋体" w:eastAsia="宋体" w:cs="宋体"/>
          <w:color w:val="auto"/>
          <w:sz w:val="24"/>
          <w:szCs w:val="24"/>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259"/>
          <w:rFonts w:hint="eastAsia" w:ascii="宋体" w:hAnsi="宋体" w:eastAsia="宋体" w:cs="宋体"/>
          <w:color w:val="auto"/>
          <w:sz w:val="24"/>
          <w:szCs w:val="24"/>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Style w:val="1259"/>
          <w:rFonts w:hint="eastAsia" w:ascii="宋体" w:hAnsi="宋体" w:eastAsia="宋体" w:cs="宋体"/>
          <w:color w:val="auto"/>
          <w:sz w:val="24"/>
          <w:szCs w:val="24"/>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Style w:val="1259"/>
          <w:rFonts w:hint="eastAsia" w:ascii="宋体" w:hAnsi="宋体" w:eastAsia="宋体" w:cs="宋体"/>
          <w:color w:val="auto"/>
          <w:sz w:val="24"/>
          <w:szCs w:val="24"/>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Style w:val="1259"/>
          <w:rFonts w:hint="eastAsia" w:ascii="宋体" w:hAnsi="宋体" w:eastAsia="宋体" w:cs="宋体"/>
          <w:color w:val="auto"/>
          <w:sz w:val="24"/>
          <w:szCs w:val="24"/>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2.</w:t>
      </w:r>
      <w:r>
        <w:rPr>
          <w:rStyle w:val="1259"/>
          <w:rFonts w:hint="eastAsia" w:ascii="宋体" w:hAnsi="宋体" w:eastAsia="宋体" w:cs="宋体"/>
          <w:color w:val="auto"/>
          <w:sz w:val="24"/>
          <w:szCs w:val="24"/>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1259"/>
          <w:rFonts w:hint="eastAsia" w:ascii="宋体" w:hAnsi="宋体" w:eastAsia="宋体" w:cs="宋体"/>
          <w:color w:val="auto"/>
          <w:sz w:val="24"/>
          <w:szCs w:val="24"/>
          <w:highlight w:val="none"/>
          <w:u w:val="single"/>
          <w:shd w:val="clear" w:color="auto" w:fill="ffffff"/>
        </w:rPr>
        <w:t xml:space="preserve">（厂名）</w:t>
      </w:r>
      <w:r>
        <w:rPr>
          <w:rFonts w:hint="eastAsia"/>
          <w:color w:val="auto"/>
          <w:highlight w:val="none"/>
          <w:shd w:val="clear" w:color="auto" w:fill="ffffff"/>
        </w:rPr>
        <w:t xml:space="preserve">，厂址为</w:t>
      </w:r>
      <w:r>
        <w:rPr>
          <w:rStyle w:val="1259"/>
          <w:rFonts w:hint="eastAsia" w:ascii="宋体" w:hAnsi="宋体" w:eastAsia="宋体" w:cs="宋体"/>
          <w:color w:val="auto"/>
          <w:sz w:val="24"/>
          <w:szCs w:val="24"/>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rPr>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    公司（单位）名称（加盖CA电子公章）：　        </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          日期：</w:t>
      </w:r>
      <w:r>
        <w:rPr>
          <w:rFonts w:hint="eastAsia"/>
          <w:color w:val="auto"/>
          <w:highlight w:val="none"/>
        </w:rPr>
        <w:t xml:space="preserve">___年____月____日</w:t>
      </w:r>
      <w:r>
        <w:rPr>
          <w:rFonts w:hint="eastAsia"/>
          <w:color w:val="auto"/>
          <w:highlight w:val="none"/>
          <w:shd w:val="clear" w:color="auto" w:fill="ffffff"/>
        </w:rPr>
        <w:t xml:space="preserve">        </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__________________</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1258"/>
        <w:ind w:firstLine="204"/>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1258"/>
        <w:ind w:firstLine="204"/>
        <w:jc w:val="both"/>
        <w:spacing w:before="0" w:beforeAutospacing="0" w:after="0" w:afterAutospacing="0" w:line="360" w:lineRule="auto"/>
        <w:rPr>
          <w:rFonts w:hint="eastAsia"/>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1258"/>
        <w:ind w:firstLine="204"/>
        <w:jc w:val="both"/>
        <w:spacing w:before="0" w:beforeAutospacing="0" w:after="0" w:afterAutospacing="0" w:line="360" w:lineRule="auto"/>
        <w:rPr>
          <w:rFonts w:hint="eastAsia"/>
          <w:color w:val="auto"/>
          <w:highlight w:val="none"/>
          <w:shd w:val="clear" w:color="auto" w:fill="ffffff"/>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w:t>
      </w:r>
      <w:r>
        <w:rPr>
          <w:rStyle w:val="1259"/>
          <w:rFonts w:hint="eastAsia" w:ascii="宋体" w:hAnsi="宋体" w:eastAsia="宋体" w:cs="宋体"/>
          <w:color w:val="auto"/>
          <w:sz w:val="24"/>
          <w:szCs w:val="24"/>
          <w:highlight w:val="none"/>
          <w:u w:val="single"/>
          <w:shd w:val="clear" w:color="auto" w:fill="ffffff"/>
        </w:rPr>
        <w:t xml:space="preserve">/  </w:t>
      </w:r>
      <w:r>
        <w:rPr>
          <w:rFonts w:hint="eastAsia"/>
          <w:color w:val="auto"/>
          <w:highlight w:val="none"/>
          <w:shd w:val="clear" w:color="auto" w:fill="ffffff"/>
        </w:rPr>
        <w:t xml:space="preserve">”的地方无需填写。</w:t>
      </w:r>
      <w:r/>
    </w:p>
    <w:p>
      <w:pPr>
        <w:ind w:firstLine="340"/>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pStyle w:val="990"/>
        <w:jc w:val="both"/>
        <w:keepLines/>
        <w:keepNext/>
        <w:spacing w:before="0" w:after="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90"/>
        <w:jc w:val="both"/>
        <w:keepLines/>
        <w:keepNext/>
        <w:spacing w:before="0" w:after="0"/>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二十、联合体协议</w:t>
      </w:r>
      <w:r/>
    </w:p>
    <w:p>
      <w:pPr>
        <w:pStyle w:val="990"/>
        <w:jc w:val="center"/>
        <w:spacing w:before="0" w:after="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联合体协议</w:t>
      </w:r>
      <w:r/>
    </w:p>
    <w:p>
      <w:pPr>
        <w:pStyle w:val="990"/>
        <w:ind w:firstLine="480"/>
        <w:jc w:val="both"/>
        <w:spacing w:before="0" w:after="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（联合体中各供应商全称）</w:t>
      </w:r>
      <w:r>
        <w:rPr>
          <w:rFonts w:hint="eastAsia" w:ascii="宋体" w:hAnsi="宋体" w:eastAsia="宋体" w:cs="宋体"/>
          <w:color w:val="auto"/>
          <w:highlight w:val="none"/>
        </w:rPr>
        <w:t xml:space="preserve">在此达成以下协议：</w:t>
      </w:r>
      <w:r/>
    </w:p>
    <w:p>
      <w:pPr>
        <w:pStyle w:val="990"/>
        <w:numPr>
          <w:ilvl w:val="0"/>
          <w:numId w:val="6"/>
        </w:numPr>
        <w:ind w:firstLine="480"/>
        <w:jc w:val="both"/>
        <w:spacing w:before="0" w:after="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ind w:firstLine="480"/>
        <w:spacing w:line="3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3、联合体牵头人在本项目中签署的一切文件和处理的一切事宜，联合体各成员均予以承认。联合体各成员将严格按照招标文件、投标文件和合同的要求全面履行义务，并向采购人承担连带责任。</w:t>
      </w:r>
      <w:r/>
    </w:p>
    <w:p>
      <w:pPr>
        <w:pStyle w:val="990"/>
        <w:ind w:firstLine="480"/>
        <w:jc w:val="both"/>
        <w:spacing w:before="0" w:after="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4、若我们联合中标、成交，</w:t>
      </w:r>
      <w:r>
        <w:rPr>
          <w:rFonts w:hint="eastAsia" w:ascii="宋体" w:hAnsi="宋体" w:eastAsia="宋体" w:cs="宋体"/>
          <w:color w:val="auto"/>
          <w:highlight w:val="none"/>
          <w:u w:val="single"/>
        </w:rPr>
        <w:t xml:space="preserve">（供应商单位1全称）</w:t>
      </w:r>
      <w:r>
        <w:rPr>
          <w:rFonts w:hint="eastAsia" w:ascii="宋体" w:hAnsi="宋体" w:eastAsia="宋体" w:cs="宋体"/>
          <w:color w:val="auto"/>
          <w:highlight w:val="none"/>
        </w:rPr>
        <w:t xml:space="preserve">实施项目中</w:t>
      </w:r>
      <w:r>
        <w:rPr>
          <w:rFonts w:hint="eastAsia" w:ascii="宋体" w:hAnsi="宋体" w:eastAsia="宋体" w:cs="宋体"/>
          <w:color w:val="auto"/>
          <w:highlight w:val="none"/>
          <w:u w:val="single"/>
        </w:rPr>
        <w:t xml:space="preserve">（工作内容）</w:t>
      </w:r>
      <w:r>
        <w:rPr>
          <w:rFonts w:hint="eastAsia" w:ascii="宋体" w:hAnsi="宋体" w:eastAsia="宋体" w:cs="宋体"/>
          <w:color w:val="auto"/>
          <w:highlight w:val="none"/>
        </w:rPr>
        <w:t xml:space="preserve">部分工作，并承担相应的责任。</w:t>
      </w:r>
      <w:r>
        <w:rPr>
          <w:rFonts w:hint="eastAsia" w:ascii="宋体" w:hAnsi="宋体" w:eastAsia="宋体" w:cs="宋体"/>
          <w:color w:val="auto"/>
          <w:highlight w:val="none"/>
          <w:u w:val="single"/>
        </w:rPr>
        <w:t xml:space="preserve">（供应商单位2全称）</w:t>
      </w:r>
      <w:r>
        <w:rPr>
          <w:rFonts w:hint="eastAsia" w:ascii="宋体" w:hAnsi="宋体" w:eastAsia="宋体" w:cs="宋体"/>
          <w:color w:val="auto"/>
          <w:highlight w:val="none"/>
        </w:rPr>
        <w:t xml:space="preserve">实施项目中</w:t>
      </w:r>
      <w:r>
        <w:rPr>
          <w:rFonts w:hint="eastAsia" w:ascii="宋体" w:hAnsi="宋体" w:eastAsia="宋体" w:cs="宋体"/>
          <w:color w:val="auto"/>
          <w:highlight w:val="none"/>
          <w:u w:val="single"/>
        </w:rPr>
        <w:t xml:space="preserve">（工作内容）</w:t>
      </w:r>
      <w:r>
        <w:rPr>
          <w:rFonts w:hint="eastAsia" w:ascii="宋体" w:hAnsi="宋体" w:eastAsia="宋体" w:cs="宋体"/>
          <w:color w:val="auto"/>
          <w:highlight w:val="none"/>
        </w:rPr>
        <w:t xml:space="preserve">部分工作，并承担相应的责任……。（注：联合体中各供应商都应明示所承担的工作和相应的责任）。</w:t>
      </w:r>
      <w:r/>
    </w:p>
    <w:p>
      <w:pPr>
        <w:pStyle w:val="990"/>
        <w:ind w:firstLine="480"/>
        <w:jc w:val="both"/>
        <w:spacing w:before="0" w:after="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%。（可选）</w:t>
      </w:r>
      <w:r/>
    </w:p>
    <w:p>
      <w:pPr>
        <w:pStyle w:val="970"/>
        <w:ind w:left="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color w:val="auto"/>
          <w:highlight w:val="none"/>
        </w:rPr>
        <w:t xml:space="preserve"> </w:t>
      </w:r>
      <w:r/>
    </w:p>
    <w:p>
      <w:pPr>
        <w:pStyle w:val="990"/>
        <w:ind w:firstLine="480"/>
        <w:jc w:val="both"/>
        <w:spacing w:before="0" w:after="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供应商1全称（公章）：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法定代表人（单位负责人）或委托代理人（签字或盖章）：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供应商2全称（公章）：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法定代表人（单位负责人）或委托代理人（签字或盖章）：  </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具体要求详见第二章 投标人须知八、询问与质疑。</w:t>
      </w:r>
      <w:r/>
    </w:p>
    <w:p>
      <w:pPr>
        <w:pStyle w:val="12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3"/>
      <w:footerReference w:type="default" r:id="rId19"/>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MS Mincho;ＭＳ 明朝">
    <w:panose1 w:val="020B0503020202020204"/>
  </w:font>
  <w:font w:name="Symbol">
    <w:panose1 w:val="05050102010706020507"/>
  </w:font>
  <w:font w:name="Wingdings">
    <w:panose1 w:val="05000000000000000000"/>
  </w:font>
  <w:font w:name="宋体;SimSun">
    <w:panose1 w:val="02010600030101010101"/>
  </w:font>
  <w:font w:name="Liberation Serif">
    <w:panose1 w:val="02020603050405020304"/>
  </w:font>
  <w:font w:name="仿宋_GB2312">
    <w:panose1 w:val="02010609060101010101"/>
  </w:font>
  <w:font w:name="Courier New">
    <w:panose1 w:val="02070309020205020404"/>
  </w:font>
  <w:font w:name="Lohit Devanagari">
    <w:panose1 w:val="020B0600000000000000"/>
  </w:font>
  <w:font w:name="金山简黑体;黑体">
    <w:panose1 w:val="020B0503020202020204"/>
  </w:font>
  <w:font w:name="Cambria">
    <w:panose1 w:val="02040503050406030204"/>
  </w:font>
  <w:font w:name="方正仿宋_GBK;微软雅黑">
    <w:panose1 w:val="020B0503020202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3"/>
                            <w:jc w:val="center"/>
                          </w:pPr>
                          <w:r>
                            <w:fldChar w:fldCharType="begin"/>
                          </w:r>
                          <w:r>
                            <w:instrText xml:space="preserve"> PAGE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3"/>
                      <w:jc w:val="center"/>
                    </w:pPr>
                    <w:r>
                      <w:fldChar w:fldCharType="begin"/>
                    </w:r>
                    <w:r>
                      <w:instrText xml:space="preserve"> PAGE </w:instrText>
                    </w:r>
                    <w:r>
                      <w:fldChar w:fldCharType="separate"/>
                    </w:r>
                    <w:r>
                      <w:t xml:space="preserve">12</w:t>
                    </w:r>
                    <w:r>
                      <w:fldChar w:fldCharType="end"/>
                    </w:r>
                    <w:r/>
                  </w:p>
                </w:txbxContent>
              </v:textbox>
            </v:shape>
          </w:pict>
        </mc:Fallback>
      </mc:AlternateContent>
    </w:r>
    <w:r/>
  </w:p>
  <w:p>
    <w:pPr>
      <w:pStyle w:val="12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3"/>
                            <w:jc w:val="center"/>
                          </w:pPr>
                          <w:r>
                            <w:fldChar w:fldCharType="begin"/>
                          </w:r>
                          <w:r>
                            <w:instrText xml:space="preserve"> PAGE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3"/>
                      <w:jc w:val="center"/>
                    </w:pPr>
                    <w:r>
                      <w:fldChar w:fldCharType="begin"/>
                    </w:r>
                    <w:r>
                      <w:instrText xml:space="preserve"> PAGE </w:instrText>
                    </w:r>
                    <w:r>
                      <w:fldChar w:fldCharType="separate"/>
                    </w:r>
                    <w:r>
                      <w:t xml:space="preserve">15</w:t>
                    </w:r>
                    <w:r>
                      <w:fldChar w:fldCharType="end"/>
                    </w:r>
                    <w:r/>
                  </w:p>
                </w:txbxContent>
              </v:textbox>
            </v:shape>
          </w:pict>
        </mc:Fallback>
      </mc:AlternateContent>
    </w:r>
    <w:r/>
  </w:p>
  <w:p>
    <w:pPr>
      <w:pStyle w:val="12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3"/>
                            <w:jc w:val="center"/>
                          </w:pPr>
                          <w:r>
                            <w:fldChar w:fldCharType="begin"/>
                          </w:r>
                          <w:r>
                            <w:instrText xml:space="preserve"> PAGE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3"/>
                      <w:jc w:val="center"/>
                    </w:pPr>
                    <w:r>
                      <w:fldChar w:fldCharType="begin"/>
                    </w:r>
                    <w:r>
                      <w:instrText xml:space="preserve"> PAGE </w:instrText>
                    </w:r>
                    <w:r>
                      <w:fldChar w:fldCharType="separate"/>
                    </w:r>
                    <w:r>
                      <w:t xml:space="preserve">1</w:t>
                    </w:r>
                    <w:r>
                      <w:fldChar w:fldCharType="end"/>
                    </w:r>
                    <w:r/>
                  </w:p>
                </w:txbxContent>
              </v:textbox>
            </v:shape>
          </w:pict>
        </mc:Fallback>
      </mc:AlternateContent>
    </w:r>
    <w:r/>
  </w:p>
  <w:p>
    <w:pPr>
      <w:pStyle w:val="12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3"/>
                            <w:jc w:val="center"/>
                          </w:pPr>
                          <w:r>
                            <w:fldChar w:fldCharType="begin"/>
                          </w:r>
                          <w:r>
                            <w:instrText xml:space="preserve"> PAGE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3"/>
                      <w:jc w:val="center"/>
                    </w:pPr>
                    <w:r>
                      <w:fldChar w:fldCharType="begin"/>
                    </w:r>
                    <w:r>
                      <w:instrText xml:space="preserve"> PAGE </w:instrText>
                    </w:r>
                    <w:r>
                      <w:fldChar w:fldCharType="separate"/>
                    </w:r>
                    <w:r>
                      <w:t xml:space="preserve">1</w:t>
                    </w:r>
                    <w:r>
                      <w:fldChar w:fldCharType="end"/>
                    </w:r>
                    <w:r/>
                  </w:p>
                </w:txbxContent>
              </v:textbox>
            </v:shape>
          </w:pict>
        </mc:Fallback>
      </mc:AlternateContent>
    </w:r>
    <w:r/>
  </w:p>
  <w:p>
    <w:pPr>
      <w:pStyle w:val="12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223"/>
                            <w:jc w:val="center"/>
                          </w:pPr>
                          <w:r>
                            <w:fldChar w:fldCharType="begin"/>
                          </w:r>
                          <w:r>
                            <w:instrText xml:space="preserve"> PAGE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3"/>
                      <w:jc w:val="center"/>
                    </w:pPr>
                    <w:r>
                      <w:fldChar w:fldCharType="begin"/>
                    </w:r>
                    <w:r>
                      <w:instrText xml:space="preserve"> PAGE </w:instrText>
                    </w:r>
                    <w:r>
                      <w:fldChar w:fldCharType="separate"/>
                    </w:r>
                    <w:r>
                      <w:t xml:space="preserve">4</w:t>
                    </w:r>
                    <w:r>
                      <w:fldChar w:fldCharType="end"/>
                    </w:r>
                    <w:r/>
                  </w:p>
                </w:txbxContent>
              </v:textbox>
            </v:shape>
          </w:pict>
        </mc:Fallback>
      </mc:AlternateContent>
    </w:r>
    <w:r/>
  </w:p>
  <w:p>
    <w:pPr>
      <w:pStyle w:val="12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pStyle w:val="1233"/>
      <w:isLgl w:val="false"/>
      <w:suff w:val="space"/>
      <w:lvlText w:val="%1"/>
      <w:lvlJc w:val="left"/>
      <w:pPr>
        <w:ind w:left="0" w:firstLine="0"/>
        <w:tabs>
          <w:tab w:val="left" w:pos="0" w:leader="none"/>
        </w:tabs>
      </w:pPr>
    </w:lvl>
    <w:lvl w:ilvl="1">
      <w:start w:val="1"/>
      <w:numFmt w:val="decimal"/>
      <w:isLgl w:val="false"/>
      <w:suff w:val="space"/>
      <w:lvlText w:val="%1.%2"/>
      <w:lvlJc w:val="left"/>
      <w:pPr>
        <w:ind w:left="0" w:firstLine="0"/>
        <w:tabs>
          <w:tab w:val="left" w:pos="0" w:leader="none"/>
        </w:tabs>
      </w:pPr>
    </w:lvl>
    <w:lvl w:ilvl="2">
      <w:start w:val="1"/>
      <w:numFmt w:val="decimal"/>
      <w:isLgl w:val="false"/>
      <w:suff w:val="space"/>
      <w:lvlText w:val="%1.%2.%3"/>
      <w:lvlJc w:val="left"/>
      <w:pPr>
        <w:ind w:left="0" w:firstLine="0"/>
        <w:tabs>
          <w:tab w:val="left" w:pos="0" w:leader="none"/>
        </w:tabs>
      </w:pPr>
    </w:lvl>
    <w:lvl w:ilvl="3">
      <w:start w:val="1"/>
      <w:numFmt w:val="decimal"/>
      <w:isLgl w:val="false"/>
      <w:suff w:val="space"/>
      <w:lvlText w:val="%1.%2.%3.%4"/>
      <w:lvlJc w:val="left"/>
      <w:pPr>
        <w:ind w:left="0" w:firstLine="0"/>
        <w:tabs>
          <w:tab w:val="left" w:pos="0" w:leader="none"/>
        </w:tabs>
      </w:pPr>
    </w:lvl>
    <w:lvl w:ilvl="4">
      <w:start w:val="1"/>
      <w:numFmt w:val="decimal"/>
      <w:isLgl w:val="false"/>
      <w:suff w:val="space"/>
      <w:lvlText w:val="%1.%2.%3.%4.%5"/>
      <w:lvlJc w:val="left"/>
      <w:pPr>
        <w:ind w:left="0" w:firstLine="0"/>
        <w:tabs>
          <w:tab w:val="left" w:pos="0" w:leader="none"/>
        </w:tabs>
      </w:pPr>
    </w:lvl>
    <w:lvl w:ilvl="5">
      <w:start w:val="1"/>
      <w:numFmt w:val="decimal"/>
      <w:isLgl w:val="false"/>
      <w:suff w:val="tab"/>
      <w:lvlText w:val="表%1.%2-%6"/>
      <w:lvlJc w:val="center"/>
      <w:pPr>
        <w:ind w:left="0" w:firstLine="0"/>
        <w:tabs>
          <w:tab w:val="left" w:pos="720" w:leader="none"/>
        </w:tabs>
      </w:pPr>
    </w:lvl>
    <w:lvl w:ilvl="6">
      <w:start w:val="1"/>
      <w:numFmt w:val="decimal"/>
      <w:isLgl w:val="false"/>
      <w:suff w:val="tab"/>
      <w:lvlText w:val="图%1.%2-%7"/>
      <w:lvlJc w:val="center"/>
      <w:pPr>
        <w:ind w:left="0" w:firstLine="0"/>
        <w:tabs>
          <w:tab w:val="left" w:pos="72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952"/>
      <w:isLgl w:val="false"/>
      <w:suff w:val="nothing"/>
      <w:lvlText w:val=""/>
      <w:lvlJc w:val="left"/>
      <w:pPr>
        <w:ind w:left="0" w:firstLine="0"/>
        <w:tabs>
          <w:tab w:val="left" w:pos="0" w:leader="none"/>
        </w:tabs>
      </w:pPr>
    </w:lvl>
    <w:lvl w:ilvl="1">
      <w:start w:val="1"/>
      <w:numFmt w:val="none"/>
      <w:pStyle w:val="953"/>
      <w:isLgl w:val="false"/>
      <w:suff w:val="nothing"/>
      <w:lvlText w:val=""/>
      <w:lvlJc w:val="left"/>
      <w:pPr>
        <w:ind w:left="0" w:firstLine="0"/>
        <w:tabs>
          <w:tab w:val="left" w:pos="0" w:leader="none"/>
        </w:tabs>
      </w:pPr>
    </w:lvl>
    <w:lvl w:ilvl="2">
      <w:start w:val="1"/>
      <w:numFmt w:val="none"/>
      <w:pStyle w:val="954"/>
      <w:isLgl w:val="false"/>
      <w:suff w:val="nothing"/>
      <w:lvlText w:val=""/>
      <w:lvlJc w:val="left"/>
      <w:pPr>
        <w:ind w:left="0" w:firstLine="0"/>
        <w:tabs>
          <w:tab w:val="left" w:pos="0" w:leader="none"/>
        </w:tabs>
      </w:pPr>
    </w:lvl>
    <w:lvl w:ilvl="3">
      <w:start w:val="1"/>
      <w:numFmt w:val="none"/>
      <w:pStyle w:val="955"/>
      <w:isLgl w:val="false"/>
      <w:suff w:val="nothing"/>
      <w:lvlText w:val=""/>
      <w:lvlJc w:val="left"/>
      <w:pPr>
        <w:ind w:left="0" w:firstLine="0"/>
        <w:tabs>
          <w:tab w:val="left" w:pos="0" w:leader="none"/>
        </w:tabs>
      </w:pPr>
    </w:lvl>
    <w:lvl w:ilvl="4">
      <w:start w:val="1"/>
      <w:numFmt w:val="none"/>
      <w:pStyle w:val="956"/>
      <w:isLgl w:val="false"/>
      <w:suff w:val="nothing"/>
      <w:lvlText w:val=""/>
      <w:lvlJc w:val="left"/>
      <w:pPr>
        <w:ind w:left="0" w:firstLine="0"/>
        <w:tabs>
          <w:tab w:val="left" w:pos="0" w:leader="none"/>
        </w:tabs>
      </w:pPr>
    </w:lvl>
    <w:lvl w:ilvl="5">
      <w:start w:val="1"/>
      <w:numFmt w:val="none"/>
      <w:pStyle w:val="957"/>
      <w:isLgl w:val="false"/>
      <w:suff w:val="nothing"/>
      <w:lvlText w:val=""/>
      <w:lvlJc w:val="left"/>
      <w:pPr>
        <w:ind w:left="0" w:firstLine="0"/>
        <w:tabs>
          <w:tab w:val="left" w:pos="0" w:leader="none"/>
        </w:tabs>
      </w:pPr>
    </w:lvl>
    <w:lvl w:ilvl="6">
      <w:start w:val="1"/>
      <w:numFmt w:val="none"/>
      <w:pStyle w:val="958"/>
      <w:isLgl w:val="false"/>
      <w:suff w:val="nothing"/>
      <w:lvlText w:val=""/>
      <w:lvlJc w:val="left"/>
      <w:pPr>
        <w:ind w:left="0" w:firstLine="0"/>
        <w:tabs>
          <w:tab w:val="left" w:pos="0" w:leader="none"/>
        </w:tabs>
      </w:pPr>
    </w:lvl>
    <w:lvl w:ilvl="7">
      <w:start w:val="1"/>
      <w:numFmt w:val="none"/>
      <w:pStyle w:val="959"/>
      <w:isLgl w:val="false"/>
      <w:suff w:val="nothing"/>
      <w:lvlText w:val=""/>
      <w:lvlJc w:val="left"/>
      <w:pPr>
        <w:ind w:left="0" w:firstLine="0"/>
        <w:tabs>
          <w:tab w:val="left" w:pos="0" w:leader="none"/>
        </w:tabs>
      </w:pPr>
    </w:lvl>
    <w:lvl w:ilvl="8">
      <w:start w:val="1"/>
      <w:numFmt w:val="none"/>
      <w:pStyle w:val="960"/>
      <w:isLgl w:val="false"/>
      <w:suff w:val="nothing"/>
      <w:lvlText w:val=""/>
      <w:lvlJc w:val="left"/>
      <w:pPr>
        <w:ind w:left="0" w:firstLine="0"/>
        <w:tabs>
          <w:tab w:val="left" w:pos="0" w:leader="none"/>
        </w:tabs>
      </w:pPr>
    </w:lvl>
  </w:abstractNum>
  <w:abstractNum w:abstractNumId="4">
    <w:multiLevelType w:val="hybridMultilevel"/>
    <w:lvl w:ilvl="0">
      <w:start w:val="1"/>
      <w:numFmt w:val="decimal"/>
      <w:isLgl w:val="false"/>
      <w:suff w:val="space"/>
      <w:lvlText w:val="%1"/>
      <w:lvlJc w:val="left"/>
      <w:pPr>
        <w:ind w:left="0" w:firstLine="0"/>
      </w:pPr>
      <w:rPr>
        <w:rFonts w:hint="eastAsia"/>
        <w:sz w:val="32"/>
        <w:szCs w:val="32"/>
      </w:r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rPr>
        <w:rFonts w:hint="eastAsia"/>
        <w:b/>
        <w:bCs/>
        <w:i w:val="0"/>
        <w:iCs w:val="0"/>
        <w:caps w:val="0"/>
        <w:smallCaps w:val="0"/>
        <w:strike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lvlRestart w:val="1"/>
      <w:isLgl w:val="false"/>
      <w:suff w:val="space"/>
      <w:lvlText w:val="图 %1-%5"/>
      <w:lvlJc w:val="left"/>
      <w:pPr>
        <w:ind w:left="5246" w:firstLine="0"/>
      </w:pPr>
      <w:rPr>
        <w:rFonts w:hint="eastAsia"/>
        <w:b/>
        <w:bCs w:val="0"/>
        <w:i w:val="0"/>
        <w:iCs w:val="0"/>
        <w:caps w:val="0"/>
        <w:smallCaps w:val="0"/>
        <w:strike w:val="0"/>
        <w:vanish w:val="0"/>
        <w:color w:val="000000"/>
        <w:spacing w:val="0"/>
        <w:position w:val="0"/>
        <w:u w:val="none"/>
        <w:vertAlign w:val="baseline"/>
      </w:rPr>
    </w:lvl>
    <w:lvl w:ilvl="5">
      <w:start w:val="1"/>
      <w:numFmt w:val="decimal"/>
      <w:lvlRestart w:val="1"/>
      <w:isLgl w:val="false"/>
      <w:suff w:val="space"/>
      <w:lvlText w:val="表 %1-%6"/>
      <w:lvlJc w:val="left"/>
      <w:pPr>
        <w:ind w:left="0" w:firstLine="0"/>
      </w:pPr>
      <w:rPr>
        <w:rFonts w:hint="eastAsia"/>
        <w:b/>
        <w:bCs w:val="0"/>
        <w:i w:val="0"/>
        <w:iCs w:val="0"/>
        <w:caps w:val="0"/>
        <w:smallCaps w:val="0"/>
        <w:strike w:val="0"/>
        <w:vanish w:val="0"/>
        <w:color w:val="000000"/>
        <w:spacing w:val="0"/>
        <w:position w:val="0"/>
        <w:u w:val="none"/>
        <w:vertAlign w:val="baseline"/>
        <w:lang w:val="en-US"/>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lvlOverride w:ilvl="0">
      <w:lvl w:ilvl="0">
        <w:start w:val="1"/>
        <w:numFmt w:val="decimal"/>
        <w:isLgl w:val="false"/>
        <w:suff w:val="space"/>
        <w:lvlText w:val="%1"/>
        <w:lvlJc w:val="left"/>
        <w:pPr>
          <w:ind w:left="3544" w:firstLine="0"/>
        </w:pPr>
        <w:rPr>
          <w:rFonts w:hint="eastAsia"/>
          <w:sz w:val="32"/>
          <w:szCs w:val="32"/>
        </w:rPr>
      </w:lvl>
    </w:lvlOverride>
    <w:lvlOverride w:ilvl="1">
      <w:lvl w:ilvl="1">
        <w:start w:val="1"/>
        <w:numFmt w:val="decimal"/>
        <w:isLgl w:val="false"/>
        <w:suff w:val="space"/>
        <w:lvlText w:val="%1.%2"/>
        <w:lvlJc w:val="left"/>
        <w:pPr>
          <w:ind w:left="3544" w:firstLine="0"/>
        </w:pPr>
      </w:lvl>
    </w:lvlOverride>
    <w:lvlOverride w:ilvl="2">
      <w:lvl w:ilvl="2">
        <w:start w:val="1"/>
        <w:numFmt w:val="decimal"/>
        <w:isLgl w:val="false"/>
        <w:suff w:val="space"/>
        <w:lvlText w:val="%1.%2.%3"/>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3">
      <w:lvl w:ilvl="3">
        <w:start w:val="1"/>
        <w:numFmt w:val="decimal"/>
        <w:isLgl w:val="false"/>
        <w:suff w:val="space"/>
        <w:lvlText w:val="%1.%2.%3.%4"/>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4">
      <w:lvl w:ilvl="4">
        <w:start w:val="1"/>
        <w:numFmt w:val="decimal"/>
        <w:lvlRestart w:val="1"/>
        <w:pStyle w:val="1271"/>
        <w:isLgl w:val="false"/>
        <w:suff w:val="space"/>
        <w:lvlText w:val="图 %1-%5"/>
        <w:lvlJc w:val="left"/>
        <w:pPr>
          <w:ind w:left="8790" w:firstLine="0"/>
        </w:pPr>
        <w:rPr>
          <w:rFonts w:hint="eastAsia"/>
          <w:b/>
          <w:bCs w:val="0"/>
          <w:i w:val="0"/>
          <w:iCs w:val="0"/>
          <w:caps w:val="0"/>
          <w:smallCaps w:val="0"/>
          <w:strike w:val="0"/>
          <w:vanish w:val="0"/>
          <w:color w:val="000000"/>
          <w:spacing w:val="0"/>
          <w:position w:val="0"/>
          <w:u w:val="none"/>
          <w:vertAlign w:val="baseline"/>
        </w:rPr>
      </w:lvl>
    </w:lvlOverride>
    <w:lvlOverride w:ilvl="5">
      <w:lvl w:ilvl="5">
        <w:start w:val="1"/>
        <w:numFmt w:val="decimal"/>
        <w:lvlRestart w:val="1"/>
        <w:isLgl w:val="false"/>
        <w:suff w:val="space"/>
        <w:lvlText w:val="表 %1-%6"/>
        <w:lvlJc w:val="left"/>
        <w:pPr>
          <w:ind w:left="3544" w:firstLine="0"/>
        </w:pPr>
        <w:rPr>
          <w:rFonts w:hint="eastAsia"/>
          <w:b/>
          <w:bCs w:val="0"/>
          <w:i w:val="0"/>
          <w:iCs w:val="0"/>
          <w:caps w:val="0"/>
          <w:smallCaps w:val="0"/>
          <w:strike w:val="0"/>
          <w:vanish w:val="0"/>
          <w:color w:val="000000"/>
          <w:spacing w:val="0"/>
          <w:position w:val="0"/>
          <w:u w:val="none"/>
          <w:vertAlign w:val="baseline"/>
          <w:lang w:val="en-US"/>
        </w:rPr>
      </w:lvl>
    </w:lvlOverride>
    <w:lvlOverride w:ilvl="6">
      <w:lvl w:ilvl="6">
        <w:start w:val="1"/>
        <w:numFmt w:val="decimal"/>
        <w:isLgl w:val="false"/>
        <w:suff w:val="tab"/>
        <w:lvlText w:val="%1.%2.%3.%4.%5.%6.%7"/>
        <w:lvlJc w:val="left"/>
        <w:pPr>
          <w:ind w:left="3544" w:firstLine="0"/>
        </w:pPr>
        <w:rPr>
          <w:rFonts w:hint="eastAsia"/>
        </w:rPr>
      </w:lvl>
    </w:lvlOverride>
    <w:lvlOverride w:ilvl="7">
      <w:lvl w:ilvl="7">
        <w:start w:val="1"/>
        <w:numFmt w:val="decimal"/>
        <w:isLgl w:val="false"/>
        <w:suff w:val="tab"/>
        <w:lvlText w:val="%1.%2.%3.%4.%5.%6.%7.%8"/>
        <w:lvlJc w:val="left"/>
        <w:pPr>
          <w:ind w:left="3544" w:firstLine="0"/>
        </w:pPr>
        <w:rPr>
          <w:rFonts w:hint="eastAsia"/>
        </w:rPr>
      </w:lvl>
    </w:lvlOverride>
    <w:lvlOverride w:ilvl="8">
      <w:lvl w:ilvl="8">
        <w:start w:val="1"/>
        <w:numFmt w:val="decimal"/>
        <w:isLgl w:val="false"/>
        <w:suff w:val="tab"/>
        <w:lvlText w:val="%1.%2.%3.%4.%5.%6.%7.%8.%9"/>
        <w:lvlJc w:val="left"/>
        <w:pPr>
          <w:ind w:left="3544" w:firstLine="0"/>
        </w:pPr>
        <w:rPr>
          <w:rFonts w:hint="eastAsia"/>
        </w:rPr>
      </w:lvl>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0">
    <w:name w:val="Title Char"/>
    <w:basedOn w:val="961"/>
    <w:link w:val="991"/>
    <w:uiPriority w:val="10"/>
    <w:rPr>
      <w:sz w:val="48"/>
      <w:szCs w:val="48"/>
    </w:rPr>
  </w:style>
  <w:style w:type="table" w:styleId="931">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0">
    <w:name w:val="TOC Heading"/>
    <w:uiPriority w:val="39"/>
    <w:unhideWhenUsed/>
  </w:style>
  <w:style w:type="paragraph" w:styleId="951" w:default="1">
    <w:name w:val="Normal"/>
    <w:uiPriority w:val="0"/>
    <w:qFormat/>
    <w:pPr>
      <w:jc w:val="both"/>
      <w:widowControl w:val="off"/>
    </w:pPr>
    <w:rPr>
      <w:rFonts w:ascii="Calibri" w:hAnsi="Calibri" w:eastAsia="Arial" w:cs="Arial"/>
      <w:sz w:val="21"/>
      <w:szCs w:val="22"/>
      <w:lang w:val="en-US" w:eastAsia="zh-CN" w:bidi="ar-SA"/>
    </w:rPr>
  </w:style>
  <w:style w:type="paragraph" w:styleId="952">
    <w:name w:val="Heading 1"/>
    <w:basedOn w:val="951"/>
    <w:next w:val="951"/>
    <w:uiPriority w:val="9"/>
    <w:qFormat/>
    <w:pPr>
      <w:numPr>
        <w:ilvl w:val="0"/>
        <w:numId w:val="1"/>
      </w:numPr>
      <w:keepLines/>
      <w:keepNext/>
      <w:spacing w:before="340" w:after="330" w:line="576" w:lineRule="auto"/>
      <w:outlineLvl w:val="0"/>
    </w:pPr>
    <w:rPr>
      <w:b/>
      <w:bCs/>
      <w:sz w:val="44"/>
      <w:szCs w:val="44"/>
    </w:rPr>
  </w:style>
  <w:style w:type="paragraph" w:styleId="953">
    <w:name w:val="Heading 2"/>
    <w:basedOn w:val="951"/>
    <w:next w:val="951"/>
    <w:uiPriority w:val="9"/>
    <w:unhideWhenUsed/>
    <w:qFormat/>
    <w:pPr>
      <w:numPr>
        <w:ilvl w:val="1"/>
        <w:numId w:val="1"/>
      </w:numPr>
      <w:keepLines/>
      <w:keepNext/>
      <w:spacing w:before="260" w:after="260" w:line="412" w:lineRule="auto"/>
      <w:outlineLvl w:val="1"/>
    </w:pPr>
    <w:rPr>
      <w:rFonts w:ascii="Cambria" w:hAnsi="Cambria"/>
      <w:b/>
      <w:bCs/>
      <w:sz w:val="32"/>
      <w:szCs w:val="32"/>
    </w:rPr>
  </w:style>
  <w:style w:type="paragraph" w:styleId="954">
    <w:name w:val="Heading 3"/>
    <w:basedOn w:val="951"/>
    <w:next w:val="951"/>
    <w:uiPriority w:val="9"/>
    <w:semiHidden/>
    <w:unhideWhenUsed/>
    <w:qFormat/>
    <w:pPr>
      <w:numPr>
        <w:ilvl w:val="2"/>
        <w:numId w:val="1"/>
      </w:numPr>
      <w:keepLines/>
      <w:keepNext/>
      <w:spacing w:before="260" w:after="260" w:line="412" w:lineRule="auto"/>
      <w:outlineLvl w:val="2"/>
    </w:pPr>
    <w:rPr>
      <w:b/>
      <w:bCs/>
      <w:sz w:val="32"/>
      <w:szCs w:val="32"/>
    </w:rPr>
  </w:style>
  <w:style w:type="paragraph" w:styleId="955">
    <w:name w:val="Heading 4"/>
    <w:basedOn w:val="951"/>
    <w:next w:val="951"/>
    <w:uiPriority w:val="9"/>
    <w:semiHidden/>
    <w:unhideWhenUsed/>
    <w:qFormat/>
    <w:pPr>
      <w:numPr>
        <w:ilvl w:val="3"/>
        <w:numId w:val="1"/>
      </w:numPr>
      <w:keepLines/>
      <w:keepNext/>
      <w:spacing w:before="320" w:after="200"/>
      <w:outlineLvl w:val="3"/>
    </w:pPr>
    <w:rPr>
      <w:rFonts w:ascii="Arial" w:hAnsi="Arial"/>
      <w:b/>
      <w:bCs/>
      <w:sz w:val="26"/>
      <w:szCs w:val="26"/>
    </w:rPr>
  </w:style>
  <w:style w:type="paragraph" w:styleId="956">
    <w:name w:val="Heading 5"/>
    <w:basedOn w:val="951"/>
    <w:next w:val="951"/>
    <w:uiPriority w:val="9"/>
    <w:semiHidden/>
    <w:unhideWhenUsed/>
    <w:qFormat/>
    <w:pPr>
      <w:numPr>
        <w:ilvl w:val="4"/>
        <w:numId w:val="1"/>
      </w:numPr>
      <w:keepLines/>
      <w:keepNext/>
      <w:spacing w:before="320" w:after="200"/>
      <w:outlineLvl w:val="4"/>
    </w:pPr>
    <w:rPr>
      <w:rFonts w:ascii="Arial" w:hAnsi="Arial"/>
      <w:b/>
      <w:bCs/>
      <w:sz w:val="24"/>
      <w:szCs w:val="24"/>
    </w:rPr>
  </w:style>
  <w:style w:type="paragraph" w:styleId="957">
    <w:name w:val="Heading 6"/>
    <w:basedOn w:val="951"/>
    <w:next w:val="951"/>
    <w:uiPriority w:val="9"/>
    <w:semiHidden/>
    <w:unhideWhenUsed/>
    <w:qFormat/>
    <w:pPr>
      <w:numPr>
        <w:ilvl w:val="5"/>
        <w:numId w:val="1"/>
      </w:numPr>
      <w:keepLines/>
      <w:keepNext/>
      <w:spacing w:before="320" w:after="200"/>
      <w:outlineLvl w:val="5"/>
    </w:pPr>
    <w:rPr>
      <w:rFonts w:ascii="Arial" w:hAnsi="Arial"/>
      <w:b/>
      <w:bCs/>
      <w:sz w:val="22"/>
    </w:rPr>
  </w:style>
  <w:style w:type="paragraph" w:styleId="958">
    <w:name w:val="Heading 7"/>
    <w:basedOn w:val="951"/>
    <w:next w:val="951"/>
    <w:uiPriority w:val="0"/>
    <w:qFormat/>
    <w:pPr>
      <w:numPr>
        <w:ilvl w:val="6"/>
        <w:numId w:val="1"/>
      </w:numPr>
      <w:keepLines/>
      <w:keepNext/>
      <w:spacing w:before="320" w:after="200"/>
      <w:outlineLvl w:val="6"/>
    </w:pPr>
    <w:rPr>
      <w:rFonts w:ascii="Arial" w:hAnsi="Arial"/>
      <w:b/>
      <w:bCs/>
      <w:i/>
      <w:iCs/>
      <w:sz w:val="22"/>
    </w:rPr>
  </w:style>
  <w:style w:type="paragraph" w:styleId="959">
    <w:name w:val="Heading 8"/>
    <w:basedOn w:val="951"/>
    <w:next w:val="951"/>
    <w:uiPriority w:val="0"/>
    <w:qFormat/>
    <w:pPr>
      <w:numPr>
        <w:ilvl w:val="7"/>
        <w:numId w:val="1"/>
      </w:numPr>
      <w:keepLines/>
      <w:keepNext/>
      <w:spacing w:before="320" w:after="200"/>
      <w:outlineLvl w:val="7"/>
    </w:pPr>
    <w:rPr>
      <w:rFonts w:ascii="Arial" w:hAnsi="Arial"/>
      <w:i/>
      <w:iCs/>
      <w:sz w:val="22"/>
    </w:rPr>
  </w:style>
  <w:style w:type="paragraph" w:styleId="960">
    <w:name w:val="Heading 9"/>
    <w:basedOn w:val="951"/>
    <w:next w:val="951"/>
    <w:uiPriority w:val="0"/>
    <w:qFormat/>
    <w:pPr>
      <w:numPr>
        <w:ilvl w:val="8"/>
        <w:numId w:val="1"/>
      </w:numPr>
      <w:keepLines/>
      <w:keepNext/>
      <w:spacing w:before="320" w:after="200"/>
      <w:outlineLvl w:val="8"/>
    </w:pPr>
    <w:rPr>
      <w:rFonts w:ascii="Arial" w:hAnsi="Arial"/>
      <w:i/>
      <w:iCs/>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1"/>
    <w:next w:val="951"/>
    <w:uiPriority w:val="0"/>
    <w:qFormat/>
    <w:pPr>
      <w:ind w:left="1701"/>
      <w:spacing w:after="57"/>
    </w:pPr>
  </w:style>
  <w:style w:type="paragraph" w:styleId="964">
    <w:name w:val="Normal Indent"/>
    <w:basedOn w:val="951"/>
    <w:uiPriority w:val="0"/>
    <w:qFormat/>
    <w:pPr>
      <w:ind w:firstLine="420"/>
      <w:jc w:val="left"/>
      <w:spacing w:line="315" w:lineRule="atLeast"/>
    </w:pPr>
    <w:rPr>
      <w:rFonts w:ascii="宋体" w:hAnsi="Times New Roman" w:eastAsia="宋体" w:cs="Times New Roman"/>
      <w:szCs w:val="20"/>
    </w:rPr>
  </w:style>
  <w:style w:type="paragraph" w:styleId="965">
    <w:name w:val="Caption"/>
    <w:basedOn w:val="951"/>
    <w:next w:val="951"/>
    <w:uiPriority w:val="0"/>
    <w:qFormat/>
    <w:pPr>
      <w:spacing w:line="276" w:lineRule="auto"/>
    </w:pPr>
    <w:rPr>
      <w:b/>
      <w:bCs/>
      <w:color w:val="4f81bd"/>
      <w:sz w:val="18"/>
      <w:szCs w:val="18"/>
    </w:rPr>
  </w:style>
  <w:style w:type="paragraph" w:styleId="966">
    <w:name w:val="toa heading"/>
    <w:uiPriority w:val="0"/>
    <w:qFormat/>
    <w:rPr>
      <w:rFonts w:ascii="Calibri" w:hAnsi="Calibri" w:eastAsia="Arial" w:cs="Arial"/>
      <w:lang w:val="en-US" w:eastAsia="zh-CN" w:bidi="ar-SA"/>
    </w:rPr>
  </w:style>
  <w:style w:type="paragraph" w:styleId="967">
    <w:name w:val="annotation text"/>
    <w:basedOn w:val="951"/>
    <w:uiPriority w:val="99"/>
    <w:semiHidden/>
    <w:unhideWhenUsed/>
    <w:qFormat/>
    <w:pPr>
      <w:jc w:val="left"/>
    </w:pPr>
  </w:style>
  <w:style w:type="paragraph" w:styleId="968">
    <w:name w:val="Body Text"/>
    <w:basedOn w:val="951"/>
    <w:next w:val="951"/>
    <w:uiPriority w:val="0"/>
    <w:qFormat/>
    <w:rPr>
      <w:rFonts w:ascii="金山简黑体;黑体" w:hAnsi="金山简黑体;黑体" w:eastAsia="金山简黑体;黑体" w:cs="Courier New"/>
      <w:b/>
      <w:spacing w:val="-8"/>
      <w:sz w:val="44"/>
      <w:szCs w:val="20"/>
    </w:rPr>
  </w:style>
  <w:style w:type="paragraph" w:styleId="969">
    <w:name w:val="Body Text Indent"/>
    <w:basedOn w:val="951"/>
    <w:next w:val="951"/>
    <w:uiPriority w:val="0"/>
    <w:qFormat/>
    <w:pPr>
      <w:ind w:firstLine="600"/>
    </w:pPr>
    <w:rPr>
      <w:rFonts w:eastAsia="仿宋_GB2312"/>
      <w:sz w:val="30"/>
      <w:szCs w:val="30"/>
    </w:rPr>
  </w:style>
  <w:style w:type="paragraph" w:styleId="970">
    <w:name w:val="Block Text"/>
    <w:basedOn w:val="951"/>
    <w:uiPriority w:val="0"/>
    <w:qFormat/>
    <w:pPr>
      <w:ind w:left="420" w:right="33"/>
      <w:jc w:val="left"/>
    </w:pPr>
    <w:rPr>
      <w:sz w:val="24"/>
      <w:szCs w:val="20"/>
    </w:rPr>
  </w:style>
  <w:style w:type="paragraph" w:styleId="971">
    <w:name w:val="toc 5"/>
    <w:basedOn w:val="951"/>
    <w:next w:val="951"/>
    <w:uiPriority w:val="0"/>
    <w:qFormat/>
    <w:pPr>
      <w:ind w:left="1134"/>
      <w:spacing w:after="57"/>
    </w:pPr>
  </w:style>
  <w:style w:type="paragraph" w:styleId="972">
    <w:name w:val="toc 3"/>
    <w:basedOn w:val="951"/>
    <w:next w:val="951"/>
    <w:uiPriority w:val="0"/>
    <w:qFormat/>
    <w:pPr>
      <w:ind w:left="567"/>
      <w:spacing w:after="57"/>
    </w:pPr>
  </w:style>
  <w:style w:type="paragraph" w:styleId="973">
    <w:name w:val="toc 8"/>
    <w:basedOn w:val="951"/>
    <w:next w:val="951"/>
    <w:uiPriority w:val="0"/>
    <w:qFormat/>
    <w:pPr>
      <w:ind w:left="1984"/>
      <w:spacing w:after="57"/>
    </w:pPr>
  </w:style>
  <w:style w:type="paragraph" w:styleId="974">
    <w:name w:val="endnote text"/>
    <w:basedOn w:val="951"/>
    <w:uiPriority w:val="0"/>
    <w:qFormat/>
    <w:rPr>
      <w:sz w:val="20"/>
    </w:rPr>
  </w:style>
  <w:style w:type="paragraph" w:styleId="975">
    <w:name w:val="Balloon Text"/>
    <w:basedOn w:val="951"/>
    <w:uiPriority w:val="0"/>
    <w:qFormat/>
    <w:rPr>
      <w:sz w:val="18"/>
      <w:szCs w:val="18"/>
    </w:rPr>
  </w:style>
  <w:style w:type="paragraph" w:styleId="976">
    <w:name w:val="Footer"/>
    <w:basedOn w:val="951"/>
    <w:uiPriority w:val="0"/>
    <w:qFormat/>
    <w:pPr>
      <w:jc w:val="left"/>
      <w:tabs>
        <w:tab w:val="center" w:pos="4153" w:leader="none"/>
        <w:tab w:val="right" w:pos="8306" w:leader="none"/>
      </w:tabs>
    </w:pPr>
    <w:rPr>
      <w:sz w:val="18"/>
      <w:szCs w:val="18"/>
    </w:rPr>
  </w:style>
  <w:style w:type="paragraph" w:styleId="977">
    <w:name w:val="envelope return"/>
    <w:basedOn w:val="951"/>
    <w:uiPriority w:val="0"/>
    <w:qFormat/>
    <w:rPr>
      <w:rFonts w:ascii="Arial" w:hAnsi="Arial"/>
    </w:rPr>
  </w:style>
  <w:style w:type="paragraph" w:styleId="978">
    <w:name w:val="Header"/>
    <w:basedOn w:val="951"/>
    <w:uiPriority w:val="0"/>
    <w:qFormat/>
    <w:pPr>
      <w:jc w:val="center"/>
      <w:tabs>
        <w:tab w:val="center" w:pos="4153" w:leader="none"/>
        <w:tab w:val="right" w:pos="8306" w:leader="none"/>
      </w:tabs>
    </w:pPr>
    <w:rPr>
      <w:sz w:val="18"/>
      <w:szCs w:val="18"/>
    </w:rPr>
  </w:style>
  <w:style w:type="paragraph" w:styleId="979">
    <w:name w:val="toc 1"/>
    <w:basedOn w:val="951"/>
    <w:next w:val="951"/>
    <w:uiPriority w:val="0"/>
    <w:qFormat/>
    <w:pPr>
      <w:jc w:val="center"/>
      <w:spacing w:line="360" w:lineRule="auto"/>
      <w:tabs>
        <w:tab w:val="right" w:pos="9628" w:leader="dot"/>
      </w:tabs>
    </w:pPr>
    <w:rPr>
      <w:sz w:val="32"/>
    </w:rPr>
  </w:style>
  <w:style w:type="paragraph" w:styleId="980">
    <w:name w:val="toc 4"/>
    <w:basedOn w:val="951"/>
    <w:next w:val="951"/>
    <w:uiPriority w:val="0"/>
    <w:qFormat/>
    <w:pPr>
      <w:ind w:left="850"/>
      <w:spacing w:after="57"/>
    </w:pPr>
  </w:style>
  <w:style w:type="paragraph" w:styleId="981">
    <w:name w:val="index heading"/>
    <w:basedOn w:val="982"/>
    <w:uiPriority w:val="0"/>
    <w:qFormat/>
  </w:style>
  <w:style w:type="paragraph" w:styleId="982" w:customStyle="1">
    <w:name w:val="Heading"/>
    <w:basedOn w:val="951"/>
    <w:next w:val="951"/>
    <w:uiPriority w:val="0"/>
    <w:qFormat/>
    <w:pPr>
      <w:contextualSpacing/>
      <w:spacing w:before="300" w:after="200"/>
    </w:pPr>
    <w:rPr>
      <w:sz w:val="48"/>
      <w:szCs w:val="48"/>
    </w:rPr>
  </w:style>
  <w:style w:type="paragraph" w:styleId="983">
    <w:name w:val="Subtitle"/>
    <w:basedOn w:val="951"/>
    <w:next w:val="951"/>
    <w:uiPriority w:val="11"/>
    <w:qFormat/>
    <w:pPr>
      <w:spacing w:before="200" w:after="200"/>
    </w:pPr>
    <w:rPr>
      <w:sz w:val="24"/>
      <w:szCs w:val="24"/>
    </w:rPr>
  </w:style>
  <w:style w:type="paragraph" w:styleId="984">
    <w:name w:val="List"/>
    <w:basedOn w:val="968"/>
    <w:uiPriority w:val="0"/>
    <w:qFormat/>
    <w:rPr>
      <w:rFonts w:cs="Lohit Devanagari"/>
    </w:rPr>
  </w:style>
  <w:style w:type="paragraph" w:styleId="985">
    <w:name w:val="footnote text"/>
    <w:basedOn w:val="951"/>
    <w:uiPriority w:val="0"/>
    <w:qFormat/>
    <w:pPr>
      <w:spacing w:after="40"/>
    </w:pPr>
    <w:rPr>
      <w:sz w:val="18"/>
    </w:rPr>
  </w:style>
  <w:style w:type="paragraph" w:styleId="986">
    <w:name w:val="toc 6"/>
    <w:basedOn w:val="951"/>
    <w:next w:val="951"/>
    <w:uiPriority w:val="0"/>
    <w:qFormat/>
    <w:pPr>
      <w:ind w:left="1417"/>
      <w:spacing w:after="57"/>
    </w:pPr>
  </w:style>
  <w:style w:type="paragraph" w:styleId="987">
    <w:name w:val="table of figures"/>
    <w:basedOn w:val="951"/>
    <w:next w:val="951"/>
    <w:uiPriority w:val="99"/>
    <w:unhideWhenUsed/>
    <w:qFormat/>
  </w:style>
  <w:style w:type="paragraph" w:styleId="988">
    <w:name w:val="toc 2"/>
    <w:basedOn w:val="951"/>
    <w:next w:val="951"/>
    <w:uiPriority w:val="0"/>
    <w:qFormat/>
    <w:pPr>
      <w:ind w:left="283"/>
      <w:spacing w:after="57"/>
    </w:pPr>
  </w:style>
  <w:style w:type="paragraph" w:styleId="989">
    <w:name w:val="toc 9"/>
    <w:basedOn w:val="951"/>
    <w:next w:val="951"/>
    <w:uiPriority w:val="0"/>
    <w:qFormat/>
    <w:pPr>
      <w:ind w:left="2268"/>
      <w:spacing w:after="57"/>
    </w:pPr>
  </w:style>
  <w:style w:type="paragraph" w:styleId="990">
    <w:name w:val="Normal (Web)"/>
    <w:basedOn w:val="951"/>
    <w:uiPriority w:val="0"/>
    <w:qFormat/>
    <w:pPr>
      <w:jc w:val="left"/>
      <w:spacing w:before="100" w:after="100"/>
      <w:widowControl/>
    </w:pPr>
    <w:rPr>
      <w:rFonts w:ascii="宋体;SimSun" w:hAnsi="宋体;SimSun" w:eastAsia="宋体;SimSun" w:cs="宋体;SimSun"/>
      <w:sz w:val="24"/>
      <w:szCs w:val="24"/>
    </w:rPr>
  </w:style>
  <w:style w:type="paragraph" w:styleId="991">
    <w:name w:val="Title"/>
    <w:basedOn w:val="951"/>
    <w:next w:val="951"/>
    <w:link w:val="1009"/>
    <w:uiPriority w:val="10"/>
    <w:qFormat/>
    <w:pPr>
      <w:contextualSpacing/>
      <w:spacing w:before="300" w:after="200"/>
    </w:pPr>
    <w:rPr>
      <w:sz w:val="48"/>
      <w:szCs w:val="48"/>
    </w:rPr>
  </w:style>
  <w:style w:type="paragraph" w:styleId="992">
    <w:name w:val="annotation subject"/>
    <w:basedOn w:val="993"/>
    <w:next w:val="993"/>
    <w:uiPriority w:val="0"/>
    <w:qFormat/>
    <w:pPr>
      <w:ind w:firstLine="0"/>
      <w:spacing w:line="240" w:lineRule="auto"/>
    </w:pPr>
    <w:rPr>
      <w:rFonts w:ascii="Calibri" w:hAnsi="Calibri" w:eastAsia="Arial" w:cs="Arial"/>
      <w:b/>
      <w:bCs/>
      <w:szCs w:val="22"/>
    </w:rPr>
  </w:style>
  <w:style w:type="paragraph" w:styleId="993" w:customStyle="1">
    <w:name w:val="批注文字1"/>
    <w:basedOn w:val="951"/>
    <w:uiPriority w:val="0"/>
    <w:qFormat/>
    <w:pPr>
      <w:ind w:firstLine="922"/>
      <w:jc w:val="left"/>
      <w:spacing w:line="360" w:lineRule="auto"/>
    </w:pPr>
    <w:rPr>
      <w:rFonts w:ascii="Times New Roman" w:hAnsi="Times New Roman" w:eastAsia="宋体;SimSun" w:cs="Times New Roman"/>
      <w:szCs w:val="24"/>
    </w:rPr>
  </w:style>
  <w:style w:type="table" w:styleId="994">
    <w:name w:val="Table Grid"/>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endnote reference"/>
    <w:basedOn w:val="961"/>
    <w:uiPriority w:val="99"/>
    <w:semiHidden/>
    <w:unhideWhenUsed/>
    <w:qFormat/>
    <w:rPr>
      <w:vertAlign w:val="superscript"/>
    </w:rPr>
  </w:style>
  <w:style w:type="character" w:styleId="996">
    <w:name w:val="FollowedHyperlink"/>
    <w:uiPriority w:val="0"/>
    <w:qFormat/>
    <w:rPr>
      <w:color w:val="800080"/>
      <w:u w:val="single"/>
    </w:rPr>
  </w:style>
  <w:style w:type="character" w:styleId="997">
    <w:name w:val="Emphasis"/>
    <w:uiPriority w:val="0"/>
    <w:qFormat/>
    <w:rPr>
      <w:i/>
    </w:rPr>
  </w:style>
  <w:style w:type="character" w:styleId="998">
    <w:name w:val="HTML Definition"/>
    <w:basedOn w:val="961"/>
    <w:uiPriority w:val="99"/>
    <w:semiHidden/>
    <w:unhideWhenUsed/>
    <w:qFormat/>
  </w:style>
  <w:style w:type="character" w:styleId="999">
    <w:name w:val="HTML Typewriter"/>
    <w:basedOn w:val="961"/>
    <w:uiPriority w:val="99"/>
    <w:semiHidden/>
    <w:unhideWhenUsed/>
    <w:qFormat/>
    <w:rPr>
      <w:rFonts w:hint="default" w:ascii="monospace" w:hAnsi="monospace" w:eastAsia="monospace" w:cs="monospace"/>
      <w:sz w:val="20"/>
    </w:rPr>
  </w:style>
  <w:style w:type="character" w:styleId="1000">
    <w:name w:val="HTML Acronym"/>
    <w:basedOn w:val="961"/>
    <w:uiPriority w:val="99"/>
    <w:semiHidden/>
    <w:unhideWhenUsed/>
    <w:qFormat/>
  </w:style>
  <w:style w:type="character" w:styleId="1001">
    <w:name w:val="HTML Variable"/>
    <w:basedOn w:val="961"/>
    <w:uiPriority w:val="99"/>
    <w:semiHidden/>
    <w:unhideWhenUsed/>
    <w:qFormat/>
  </w:style>
  <w:style w:type="character" w:styleId="1002">
    <w:name w:val="Hyperlink"/>
    <w:uiPriority w:val="0"/>
    <w:qFormat/>
    <w:rPr>
      <w:color w:val="0000ff"/>
      <w:u w:val="none"/>
    </w:rPr>
  </w:style>
  <w:style w:type="character" w:styleId="1003">
    <w:name w:val="HTML Code"/>
    <w:basedOn w:val="961"/>
    <w:uiPriority w:val="99"/>
    <w:semiHidden/>
    <w:unhideWhenUsed/>
    <w:qFormat/>
    <w:rPr>
      <w:rFonts w:hint="default" w:ascii="monospace" w:hAnsi="monospace" w:eastAsia="monospace" w:cs="monospace"/>
      <w:sz w:val="20"/>
    </w:rPr>
  </w:style>
  <w:style w:type="character" w:styleId="1004">
    <w:name w:val="annotation reference"/>
    <w:basedOn w:val="961"/>
    <w:uiPriority w:val="99"/>
    <w:semiHidden/>
    <w:unhideWhenUsed/>
    <w:qFormat/>
    <w:rPr>
      <w:sz w:val="21"/>
      <w:szCs w:val="21"/>
    </w:rPr>
  </w:style>
  <w:style w:type="character" w:styleId="1005">
    <w:name w:val="HTML Cite"/>
    <w:basedOn w:val="961"/>
    <w:uiPriority w:val="99"/>
    <w:semiHidden/>
    <w:unhideWhenUsed/>
    <w:qFormat/>
  </w:style>
  <w:style w:type="character" w:styleId="1006">
    <w:name w:val="footnote reference"/>
    <w:basedOn w:val="961"/>
    <w:uiPriority w:val="99"/>
    <w:unhideWhenUsed/>
    <w:qFormat/>
    <w:rPr>
      <w:vertAlign w:val="superscript"/>
    </w:rPr>
  </w:style>
  <w:style w:type="character" w:styleId="1007">
    <w:name w:val="HTML Keyboard"/>
    <w:basedOn w:val="961"/>
    <w:uiPriority w:val="99"/>
    <w:semiHidden/>
    <w:unhideWhenUsed/>
    <w:qFormat/>
    <w:rPr>
      <w:rFonts w:hint="default" w:ascii="monospace" w:hAnsi="monospace" w:eastAsia="monospace" w:cs="monospace"/>
      <w:sz w:val="20"/>
    </w:rPr>
  </w:style>
  <w:style w:type="character" w:styleId="1008">
    <w:name w:val="HTML Sample"/>
    <w:basedOn w:val="961"/>
    <w:uiPriority w:val="99"/>
    <w:semiHidden/>
    <w:unhideWhenUsed/>
    <w:qFormat/>
    <w:rPr>
      <w:rFonts w:ascii="monospace" w:hAnsi="monospace" w:eastAsia="monospace" w:cs="monospace"/>
    </w:rPr>
  </w:style>
  <w:style w:type="character" w:styleId="1009" w:customStyle="1">
    <w:name w:val="标题 字符1"/>
    <w:basedOn w:val="961"/>
    <w:link w:val="991"/>
    <w:uiPriority w:val="10"/>
    <w:qFormat/>
    <w:rPr>
      <w:sz w:val="48"/>
      <w:szCs w:val="48"/>
    </w:rPr>
  </w:style>
  <w:style w:type="character" w:styleId="1010" w:customStyle="1">
    <w:name w:val="Subtitle Char"/>
    <w:basedOn w:val="961"/>
    <w:uiPriority w:val="11"/>
    <w:qFormat/>
    <w:rPr>
      <w:sz w:val="24"/>
      <w:szCs w:val="24"/>
    </w:rPr>
  </w:style>
  <w:style w:type="character" w:styleId="1011" w:customStyle="1">
    <w:name w:val="Quote Char"/>
    <w:uiPriority w:val="29"/>
    <w:qFormat/>
    <w:rPr>
      <w:i/>
    </w:rPr>
  </w:style>
  <w:style w:type="character" w:styleId="1012" w:customStyle="1">
    <w:name w:val="Intense Quote Char"/>
    <w:uiPriority w:val="30"/>
    <w:qFormat/>
    <w:rPr>
      <w:i/>
    </w:rPr>
  </w:style>
  <w:style w:type="table" w:styleId="1013" w:customStyle="1">
    <w:name w:val="Table Grid Light"/>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4" w:customStyle="1">
    <w:name w:val="无格式表格 11"/>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21"/>
    <w:basedOn w:val="9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3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无格式表格 4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无格式表格 5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网格表 1 浅色1"/>
    <w:basedOn w:val="9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basedOn w:val="96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basedOn w:val="9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basedOn w:val="9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basedOn w:val="9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basedOn w:val="96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basedOn w:val="9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6" w:customStyle="1">
    <w:name w:val="网格表 2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basedOn w:val="96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basedOn w:val="9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basedOn w:val="9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basedOn w:val="9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basedOn w:val="96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32" w:customStyle="1">
    <w:name w:val="Grid Table 2 - Accent 6"/>
    <w:basedOn w:val="9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网格表 3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basedOn w:val="96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basedOn w:val="9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basedOn w:val="9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basedOn w:val="9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basedOn w:val="96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basedOn w:val="9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网格表 41"/>
    <w:basedOn w:val="9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basedOn w:val="96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42" w:customStyle="1">
    <w:name w:val="Grid Table 4 - Accent 2"/>
    <w:basedOn w:val="96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3" w:customStyle="1">
    <w:name w:val="Grid Table 4 - Accent 3"/>
    <w:basedOn w:val="96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4" w:customStyle="1">
    <w:name w:val="Grid Table 4 - Accent 4"/>
    <w:basedOn w:val="96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5" w:customStyle="1">
    <w:name w:val="Grid Table 4 - Accent 5"/>
    <w:basedOn w:val="96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6" w:customStyle="1">
    <w:name w:val="Grid Table 4 - Accent 6"/>
    <w:basedOn w:val="96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7" w:customStyle="1">
    <w:name w:val="网格表 5 深色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9" w:customStyle="1">
    <w:name w:val="Grid Table 5 Dark - Accent 2"/>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0" w:customStyle="1">
    <w:name w:val="Grid Table 5 Dark - Accent 3"/>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1" w:customStyle="1">
    <w:name w:val="Grid Table 5 Dark- Accent 4"/>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2" w:customStyle="1">
    <w:name w:val="Grid Table 5 Dark - Accent 5"/>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3" w:customStyle="1">
    <w:name w:val="Grid Table 5 Dark - Accent 6"/>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4" w:customStyle="1">
    <w:name w:val="网格表 6 彩色1"/>
    <w:basedOn w:val="9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basedOn w:val="96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6" w:customStyle="1">
    <w:name w:val="Grid Table 6 Colorful - Accent 2"/>
    <w:basedOn w:val="9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7" w:customStyle="1">
    <w:name w:val="Grid Table 6 Colorful - Accent 3"/>
    <w:basedOn w:val="96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8" w:customStyle="1">
    <w:name w:val="Grid Table 6 Colorful - Accent 4"/>
    <w:basedOn w:val="9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9" w:customStyle="1">
    <w:name w:val="Grid Table 6 Colorful - Accent 5"/>
    <w:basedOn w:val="96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0" w:customStyle="1">
    <w:name w:val="Grid Table 6 Colorful - Accent 6"/>
    <w:basedOn w:val="96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1" w:customStyle="1">
    <w:name w:val="网格表 7 彩色1"/>
    <w:basedOn w:val="9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basedOn w:val="96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basedOn w:val="96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basedOn w:val="96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basedOn w:val="96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basedOn w:val="96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basedOn w:val="96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8" w:customStyle="1">
    <w:name w:val="清单表 1 浅色1"/>
    <w:basedOn w:val="9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basedOn w:val="96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basedOn w:val="96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basedOn w:val="96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basedOn w:val="96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basedOn w:val="96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basedOn w:val="96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清单表 21"/>
    <w:basedOn w:val="9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basedOn w:val="96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7" w:customStyle="1">
    <w:name w:val="List Table 2 - Accent 2"/>
    <w:basedOn w:val="96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8" w:customStyle="1">
    <w:name w:val="List Table 2 - Accent 3"/>
    <w:basedOn w:val="96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9" w:customStyle="1">
    <w:name w:val="List Table 2 - Accent 4"/>
    <w:basedOn w:val="96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0" w:customStyle="1">
    <w:name w:val="List Table 2 - Accent 5"/>
    <w:basedOn w:val="96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1" w:customStyle="1">
    <w:name w:val="List Table 2 - Accent 6"/>
    <w:basedOn w:val="96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2" w:customStyle="1">
    <w:name w:val="清单表 3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basedOn w:val="96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4" w:customStyle="1">
    <w:name w:val="List Table 3 - Accent 2"/>
    <w:basedOn w:val="9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5" w:customStyle="1">
    <w:name w:val="List Table 3 - Accent 3"/>
    <w:basedOn w:val="96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6" w:customStyle="1">
    <w:name w:val="List Table 3 - Accent 4"/>
    <w:basedOn w:val="9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7" w:customStyle="1">
    <w:name w:val="List Table 3 - Accent 5"/>
    <w:basedOn w:val="96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8" w:customStyle="1">
    <w:name w:val="List Table 3 - Accent 6"/>
    <w:basedOn w:val="96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9" w:customStyle="1">
    <w:name w:val="清单表 4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basedOn w:val="96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1" w:customStyle="1">
    <w:name w:val="List Table 4 - Accent 2"/>
    <w:basedOn w:val="96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2" w:customStyle="1">
    <w:name w:val="List Table 4 - Accent 3"/>
    <w:basedOn w:val="96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3" w:customStyle="1">
    <w:name w:val="List Table 4 - Accent 4"/>
    <w:basedOn w:val="96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4" w:customStyle="1">
    <w:name w:val="List Table 4 - Accent 5"/>
    <w:basedOn w:val="96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5" w:customStyle="1">
    <w:name w:val="List Table 4 - Accent 6"/>
    <w:basedOn w:val="96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6" w:customStyle="1">
    <w:name w:val="清单表 5 深色1"/>
    <w:basedOn w:val="9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basedOn w:val="96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basedOn w:val="96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basedOn w:val="96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basedOn w:val="96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basedOn w:val="96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basedOn w:val="96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清单表 6 彩色1"/>
    <w:basedOn w:val="9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basedOn w:val="96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5" w:customStyle="1">
    <w:name w:val="List Table 6 Colorful - Accent 2"/>
    <w:basedOn w:val="96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6" w:customStyle="1">
    <w:name w:val="List Table 6 Colorful - Accent 3"/>
    <w:basedOn w:val="96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7" w:customStyle="1">
    <w:name w:val="List Table 6 Colorful - Accent 4"/>
    <w:basedOn w:val="96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8" w:customStyle="1">
    <w:name w:val="List Table 6 Colorful - Accent 5"/>
    <w:basedOn w:val="96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9" w:customStyle="1">
    <w:name w:val="List Table 6 Colorful - Accent 6"/>
    <w:basedOn w:val="96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0" w:customStyle="1">
    <w:name w:val="清单表 7 彩色1"/>
    <w:basedOn w:val="9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basedOn w:val="96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basedOn w:val="96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basedOn w:val="96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basedOn w:val="96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basedOn w:val="96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basedOn w:val="96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7" w:customStyle="1">
    <w:name w:val="Lined - Accent"/>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9" w:customStyle="1">
    <w:name w:val="Lined - Accent 2"/>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0" w:customStyle="1">
    <w:name w:val="Lined - Accent 3"/>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Lined - Accent 4"/>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2" w:customStyle="1">
    <w:name w:val="Lined - Accent 5"/>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3" w:customStyle="1">
    <w:name w:val="Lined - Accent 6"/>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amp; Lined - Accent"/>
    <w:basedOn w:val="9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basedOn w:val="96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6" w:customStyle="1">
    <w:name w:val="Bordered &amp; Lined - Accent 2"/>
    <w:basedOn w:val="96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7" w:customStyle="1">
    <w:name w:val="Bordered &amp; Lined - Accent 3"/>
    <w:basedOn w:val="96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8" w:customStyle="1">
    <w:name w:val="Bordered &amp; Lined - Accent 4"/>
    <w:basedOn w:val="96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9" w:customStyle="1">
    <w:name w:val="Bordered &amp; Lined - Accent 5"/>
    <w:basedOn w:val="96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0" w:customStyle="1">
    <w:name w:val="Bordered &amp; Lined - Accent 6"/>
    <w:basedOn w:val="96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1" w:customStyle="1">
    <w:name w:val="Bordered"/>
    <w:basedOn w:val="9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basedOn w:val="96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3" w:customStyle="1">
    <w:name w:val="Bordered - Accent 2"/>
    <w:basedOn w:val="9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4" w:customStyle="1">
    <w:name w:val="Bordered - Accent 3"/>
    <w:basedOn w:val="9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5" w:customStyle="1">
    <w:name w:val="Bordered - Accent 4"/>
    <w:basedOn w:val="9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6" w:customStyle="1">
    <w:name w:val="Bordered - Accent 5"/>
    <w:basedOn w:val="96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7" w:customStyle="1">
    <w:name w:val="Bordered - Accent 6"/>
    <w:basedOn w:val="9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8" w:customStyle="1">
    <w:name w:val="Footnote Text Char"/>
    <w:uiPriority w:val="99"/>
    <w:qFormat/>
    <w:rPr>
      <w:sz w:val="18"/>
    </w:rPr>
  </w:style>
  <w:style w:type="character" w:styleId="1139" w:customStyle="1">
    <w:name w:val="Endnote Text Char"/>
    <w:uiPriority w:val="99"/>
    <w:qFormat/>
    <w:rPr>
      <w:sz w:val="20"/>
    </w:rPr>
  </w:style>
  <w:style w:type="paragraph" w:styleId="1140" w:customStyle="1">
    <w:name w:val="TOC 标题1"/>
    <w:uiPriority w:val="39"/>
    <w:unhideWhenUsed/>
    <w:qFormat/>
    <w:rPr>
      <w:rFonts w:ascii="Liberation Serif" w:hAnsi="Liberation Serif" w:cs="Lohit Devanagari" w:eastAsiaTheme="minorEastAsia"/>
      <w:lang w:val="en-US" w:eastAsia="zh-CN" w:bidi="ar-SA"/>
    </w:rPr>
  </w:style>
  <w:style w:type="character" w:styleId="1141" w:customStyle="1">
    <w:name w:val="WW8Num2z1"/>
    <w:uiPriority w:val="0"/>
    <w:qFormat/>
    <w:rPr>
      <w:rFonts w:ascii="Courier New" w:hAnsi="Courier New" w:cs="Courier New"/>
    </w:rPr>
  </w:style>
  <w:style w:type="character" w:styleId="1142" w:customStyle="1">
    <w:name w:val="WW8Num2z2"/>
    <w:uiPriority w:val="0"/>
    <w:qFormat/>
    <w:rPr>
      <w:rFonts w:ascii="Wingdings" w:hAnsi="Wingdings" w:cs="Wingdings"/>
    </w:rPr>
  </w:style>
  <w:style w:type="character" w:styleId="1143" w:customStyle="1">
    <w:name w:val="WW8Num2z3"/>
    <w:uiPriority w:val="0"/>
    <w:qFormat/>
    <w:rPr>
      <w:rFonts w:ascii="Symbol" w:hAnsi="Symbol" w:cs="Symbol"/>
    </w:rPr>
  </w:style>
  <w:style w:type="character" w:styleId="1144" w:customStyle="1">
    <w:name w:val="WW8Num3z1"/>
    <w:uiPriority w:val="0"/>
    <w:qFormat/>
    <w:rPr>
      <w:rFonts w:ascii="Courier New" w:hAnsi="Courier New" w:cs="Courier New"/>
    </w:rPr>
  </w:style>
  <w:style w:type="character" w:styleId="1145" w:customStyle="1">
    <w:name w:val="WW8Num3z2"/>
    <w:uiPriority w:val="0"/>
    <w:qFormat/>
    <w:rPr>
      <w:rFonts w:ascii="Wingdings" w:hAnsi="Wingdings" w:cs="Wingdings"/>
    </w:rPr>
  </w:style>
  <w:style w:type="character" w:styleId="1146" w:customStyle="1">
    <w:name w:val="WW8Num3z3"/>
    <w:uiPriority w:val="0"/>
    <w:qFormat/>
    <w:rPr>
      <w:rFonts w:ascii="Symbol" w:hAnsi="Symbol" w:cs="Symbol"/>
    </w:rPr>
  </w:style>
  <w:style w:type="character" w:styleId="1147" w:customStyle="1">
    <w:name w:val="WW8Num5z1"/>
    <w:uiPriority w:val="0"/>
    <w:qFormat/>
    <w:rPr>
      <w:rFonts w:ascii="Courier New" w:hAnsi="Courier New" w:cs="Courier New"/>
    </w:rPr>
  </w:style>
  <w:style w:type="character" w:styleId="1148" w:customStyle="1">
    <w:name w:val="WW8Num5z2"/>
    <w:uiPriority w:val="0"/>
    <w:qFormat/>
    <w:rPr>
      <w:rFonts w:ascii="Wingdings" w:hAnsi="Wingdings" w:cs="Wingdings"/>
    </w:rPr>
  </w:style>
  <w:style w:type="character" w:styleId="1149" w:customStyle="1">
    <w:name w:val="WW8Num5z3"/>
    <w:uiPriority w:val="0"/>
    <w:qFormat/>
    <w:rPr>
      <w:rFonts w:ascii="Symbol" w:hAnsi="Symbol" w:cs="Symbol"/>
    </w:rPr>
  </w:style>
  <w:style w:type="character" w:styleId="1150" w:customStyle="1">
    <w:name w:val="WW8Num6z1"/>
    <w:uiPriority w:val="0"/>
    <w:qFormat/>
    <w:rPr>
      <w:rFonts w:ascii="Courier New" w:hAnsi="Courier New" w:cs="Courier New"/>
    </w:rPr>
  </w:style>
  <w:style w:type="character" w:styleId="1151" w:customStyle="1">
    <w:name w:val="WW8Num6z2"/>
    <w:uiPriority w:val="0"/>
    <w:qFormat/>
    <w:rPr>
      <w:rFonts w:ascii="Wingdings" w:hAnsi="Wingdings" w:cs="Wingdings"/>
    </w:rPr>
  </w:style>
  <w:style w:type="character" w:styleId="1152" w:customStyle="1">
    <w:name w:val="WW8Num6z3"/>
    <w:uiPriority w:val="0"/>
    <w:qFormat/>
    <w:rPr>
      <w:rFonts w:ascii="Symbol" w:hAnsi="Symbol" w:cs="Symbol"/>
    </w:rPr>
  </w:style>
  <w:style w:type="character" w:styleId="1153" w:customStyle="1">
    <w:name w:val="WW8Num7z1"/>
    <w:uiPriority w:val="0"/>
    <w:qFormat/>
    <w:rPr>
      <w:rFonts w:ascii="Courier New" w:hAnsi="Courier New" w:cs="Courier New"/>
    </w:rPr>
  </w:style>
  <w:style w:type="character" w:styleId="1154" w:customStyle="1">
    <w:name w:val="WW8Num7z2"/>
    <w:uiPriority w:val="0"/>
    <w:qFormat/>
    <w:rPr>
      <w:rFonts w:ascii="Wingdings" w:hAnsi="Wingdings" w:cs="Wingdings"/>
    </w:rPr>
  </w:style>
  <w:style w:type="character" w:styleId="1155" w:customStyle="1">
    <w:name w:val="WW8Num7z3"/>
    <w:uiPriority w:val="0"/>
    <w:qFormat/>
    <w:rPr>
      <w:rFonts w:ascii="Symbol" w:hAnsi="Symbol" w:cs="Symbol"/>
    </w:rPr>
  </w:style>
  <w:style w:type="character" w:styleId="1156" w:customStyle="1">
    <w:name w:val="WW8Num1z0"/>
    <w:uiPriority w:val="0"/>
    <w:qFormat/>
  </w:style>
  <w:style w:type="character" w:styleId="1157" w:customStyle="1">
    <w:name w:val="WW8Num1z1"/>
    <w:uiPriority w:val="0"/>
    <w:qFormat/>
    <w:rPr>
      <w:rFonts w:ascii="Courier New" w:hAnsi="Courier New" w:eastAsia="Courier New" w:cs="Courier New"/>
    </w:rPr>
  </w:style>
  <w:style w:type="character" w:styleId="1158" w:customStyle="1">
    <w:name w:val="WW8Num1z2"/>
    <w:uiPriority w:val="0"/>
    <w:qFormat/>
    <w:rPr>
      <w:rFonts w:ascii="Wingdings" w:hAnsi="Wingdings" w:eastAsia="Wingdings" w:cs="Wingdings"/>
    </w:rPr>
  </w:style>
  <w:style w:type="character" w:styleId="1159" w:customStyle="1">
    <w:name w:val="WW8Num1z3"/>
    <w:uiPriority w:val="0"/>
    <w:qFormat/>
    <w:rPr>
      <w:rFonts w:ascii="Symbol" w:hAnsi="Symbol" w:eastAsia="Symbol" w:cs="Symbol"/>
    </w:rPr>
  </w:style>
  <w:style w:type="character" w:styleId="1160" w:customStyle="1">
    <w:name w:val="WW8Num3z0"/>
    <w:uiPriority w:val="0"/>
    <w:qFormat/>
  </w:style>
  <w:style w:type="character" w:styleId="1161" w:customStyle="1">
    <w:name w:val="WW8Num4z1"/>
    <w:uiPriority w:val="0"/>
    <w:qFormat/>
    <w:rPr>
      <w:rFonts w:ascii="Courier New" w:hAnsi="Courier New" w:eastAsia="Courier New" w:cs="Courier New"/>
    </w:rPr>
  </w:style>
  <w:style w:type="character" w:styleId="1162" w:customStyle="1">
    <w:name w:val="WW8Num4z2"/>
    <w:uiPriority w:val="0"/>
    <w:qFormat/>
    <w:rPr>
      <w:rFonts w:ascii="Wingdings" w:hAnsi="Wingdings" w:eastAsia="Wingdings" w:cs="Wingdings"/>
    </w:rPr>
  </w:style>
  <w:style w:type="character" w:styleId="1163" w:customStyle="1">
    <w:name w:val="WW8Num4z3"/>
    <w:uiPriority w:val="0"/>
    <w:qFormat/>
    <w:rPr>
      <w:rFonts w:ascii="Symbol" w:hAnsi="Symbol" w:eastAsia="Symbol" w:cs="Symbol"/>
    </w:rPr>
  </w:style>
  <w:style w:type="character" w:styleId="1164" w:customStyle="1">
    <w:name w:val="默认段落字体1"/>
    <w:uiPriority w:val="0"/>
    <w:qFormat/>
  </w:style>
  <w:style w:type="character" w:styleId="1165" w:customStyle="1">
    <w:name w:val="文档结构图 字符"/>
    <w:uiPriority w:val="0"/>
    <w:qFormat/>
    <w:rPr>
      <w:rFonts w:ascii="宋体;SimSun" w:hAnsi="宋体;SimSun" w:eastAsia="宋体;SimSun" w:cs="宋体;SimSun"/>
      <w:sz w:val="18"/>
      <w:szCs w:val="18"/>
    </w:rPr>
  </w:style>
  <w:style w:type="character" w:styleId="1166" w:customStyle="1">
    <w:name w:val="批注文字 字符"/>
    <w:uiPriority w:val="0"/>
    <w:qFormat/>
    <w:rPr>
      <w:rFonts w:ascii="Times New Roman" w:hAnsi="Times New Roman" w:eastAsia="宋体;SimSun" w:cs="Times New Roman"/>
      <w:szCs w:val="24"/>
    </w:rPr>
  </w:style>
  <w:style w:type="character" w:styleId="1167" w:customStyle="1">
    <w:name w:val="正文文本缩进 字符"/>
    <w:uiPriority w:val="0"/>
    <w:qFormat/>
    <w:rPr>
      <w:rFonts w:eastAsia="仿宋_GB2312"/>
      <w:sz w:val="30"/>
      <w:szCs w:val="30"/>
    </w:rPr>
  </w:style>
  <w:style w:type="character" w:styleId="1168" w:customStyle="1">
    <w:name w:val="纯文本 字符"/>
    <w:uiPriority w:val="0"/>
    <w:qFormat/>
    <w:rPr>
      <w:rFonts w:ascii="宋体;SimSun" w:hAnsi="宋体;SimSun" w:eastAsia="宋体;SimSun" w:cs="Times New Roman"/>
      <w:szCs w:val="20"/>
    </w:rPr>
  </w:style>
  <w:style w:type="character" w:styleId="1169" w:customStyle="1">
    <w:name w:val="日期 字符"/>
    <w:uiPriority w:val="0"/>
    <w:qFormat/>
  </w:style>
  <w:style w:type="character" w:styleId="1170" w:customStyle="1">
    <w:name w:val="尾注文本 字符"/>
    <w:uiPriority w:val="0"/>
    <w:qFormat/>
    <w:rPr>
      <w:sz w:val="20"/>
    </w:rPr>
  </w:style>
  <w:style w:type="character" w:styleId="1171" w:customStyle="1">
    <w:name w:val="批注框文本 字符"/>
    <w:uiPriority w:val="0"/>
    <w:qFormat/>
    <w:rPr>
      <w:sz w:val="18"/>
      <w:szCs w:val="18"/>
    </w:rPr>
  </w:style>
  <w:style w:type="character" w:styleId="1172" w:customStyle="1">
    <w:name w:val="页脚 字符"/>
    <w:uiPriority w:val="0"/>
    <w:qFormat/>
    <w:rPr>
      <w:rFonts w:ascii="Calibri" w:hAnsi="Calibri" w:eastAsia="Arial" w:cs="Arial"/>
      <w:sz w:val="18"/>
      <w:szCs w:val="18"/>
    </w:rPr>
  </w:style>
  <w:style w:type="character" w:styleId="1173" w:customStyle="1">
    <w:name w:val="页眉 字符"/>
    <w:uiPriority w:val="0"/>
    <w:qFormat/>
    <w:rPr>
      <w:rFonts w:ascii="Calibri" w:hAnsi="Calibri" w:eastAsia="Arial" w:cs="Arial"/>
      <w:sz w:val="18"/>
      <w:szCs w:val="18"/>
    </w:rPr>
  </w:style>
  <w:style w:type="character" w:styleId="1174" w:customStyle="1">
    <w:name w:val="副标题 字符"/>
    <w:uiPriority w:val="0"/>
    <w:qFormat/>
    <w:rPr>
      <w:sz w:val="24"/>
      <w:szCs w:val="24"/>
    </w:rPr>
  </w:style>
  <w:style w:type="character" w:styleId="1175" w:customStyle="1">
    <w:name w:val="脚注文本 字符"/>
    <w:uiPriority w:val="0"/>
    <w:qFormat/>
    <w:rPr>
      <w:sz w:val="18"/>
    </w:rPr>
  </w:style>
  <w:style w:type="character" w:styleId="1176" w:customStyle="1">
    <w:name w:val="标题 字符"/>
    <w:uiPriority w:val="0"/>
    <w:qFormat/>
    <w:rPr>
      <w:sz w:val="48"/>
      <w:szCs w:val="48"/>
    </w:rPr>
  </w:style>
  <w:style w:type="character" w:styleId="1177" w:customStyle="1">
    <w:name w:val="批注主题 字符"/>
    <w:uiPriority w:val="0"/>
    <w:qFormat/>
    <w:rPr>
      <w:b/>
      <w:bCs/>
    </w:rPr>
  </w:style>
  <w:style w:type="character" w:styleId="1178" w:customStyle="1">
    <w:name w:val="Strong Emphasis"/>
    <w:uiPriority w:val="0"/>
    <w:qFormat/>
    <w:rPr>
      <w:b/>
    </w:rPr>
  </w:style>
  <w:style w:type="character" w:styleId="1179" w:customStyle="1">
    <w:name w:val="Endnote Characters"/>
    <w:uiPriority w:val="0"/>
    <w:qFormat/>
    <w:rPr>
      <w:vertAlign w:val="superscript"/>
    </w:rPr>
  </w:style>
  <w:style w:type="character" w:styleId="1180" w:customStyle="1">
    <w:name w:val="批注引用1"/>
    <w:uiPriority w:val="0"/>
    <w:qFormat/>
    <w:rPr>
      <w:sz w:val="21"/>
      <w:szCs w:val="21"/>
    </w:rPr>
  </w:style>
  <w:style w:type="character" w:styleId="1181" w:customStyle="1">
    <w:name w:val="Footnote Characters"/>
    <w:uiPriority w:val="0"/>
    <w:qFormat/>
    <w:rPr>
      <w:vertAlign w:val="superscript"/>
    </w:rPr>
  </w:style>
  <w:style w:type="character" w:styleId="1182" w:customStyle="1">
    <w:name w:val="标题 1 Char"/>
    <w:uiPriority w:val="0"/>
    <w:qFormat/>
    <w:rPr>
      <w:b/>
      <w:bCs/>
      <w:sz w:val="44"/>
      <w:szCs w:val="44"/>
    </w:rPr>
  </w:style>
  <w:style w:type="character" w:styleId="1183" w:customStyle="1">
    <w:name w:val="标题 2 Char"/>
    <w:uiPriority w:val="0"/>
    <w:qFormat/>
    <w:rPr>
      <w:rFonts w:ascii="Cambria" w:hAnsi="Cambria" w:eastAsia="Arial" w:cs="Arial"/>
      <w:b/>
      <w:bCs/>
      <w:sz w:val="32"/>
      <w:szCs w:val="32"/>
    </w:rPr>
  </w:style>
  <w:style w:type="character" w:styleId="1184" w:customStyle="1">
    <w:name w:val="标题 3 Char"/>
    <w:uiPriority w:val="0"/>
    <w:qFormat/>
    <w:rPr>
      <w:b/>
      <w:bCs/>
      <w:sz w:val="32"/>
      <w:szCs w:val="32"/>
    </w:rPr>
  </w:style>
  <w:style w:type="character" w:styleId="1185" w:customStyle="1">
    <w:name w:val="Heading 4 Char"/>
    <w:uiPriority w:val="0"/>
    <w:qFormat/>
    <w:rPr>
      <w:rFonts w:ascii="Arial" w:hAnsi="Arial" w:eastAsia="Arial" w:cs="Arial"/>
      <w:b/>
      <w:bCs/>
      <w:sz w:val="26"/>
      <w:szCs w:val="26"/>
    </w:rPr>
  </w:style>
  <w:style w:type="character" w:styleId="1186" w:customStyle="1">
    <w:name w:val="Heading 5 Char"/>
    <w:uiPriority w:val="0"/>
    <w:qFormat/>
    <w:rPr>
      <w:rFonts w:ascii="Arial" w:hAnsi="Arial" w:eastAsia="Arial" w:cs="Arial"/>
      <w:b/>
      <w:bCs/>
      <w:sz w:val="24"/>
      <w:szCs w:val="24"/>
    </w:rPr>
  </w:style>
  <w:style w:type="character" w:styleId="1187" w:customStyle="1">
    <w:name w:val="Heading 6 Char"/>
    <w:uiPriority w:val="0"/>
    <w:qFormat/>
    <w:rPr>
      <w:rFonts w:ascii="Arial" w:hAnsi="Arial" w:eastAsia="Arial" w:cs="Arial"/>
      <w:b/>
      <w:bCs/>
      <w:sz w:val="22"/>
      <w:szCs w:val="22"/>
    </w:rPr>
  </w:style>
  <w:style w:type="character" w:styleId="1188" w:customStyle="1">
    <w:name w:val="Heading 7 Char"/>
    <w:uiPriority w:val="0"/>
    <w:qFormat/>
    <w:rPr>
      <w:rFonts w:ascii="Arial" w:hAnsi="Arial" w:eastAsia="Arial" w:cs="Arial"/>
      <w:b/>
      <w:bCs/>
      <w:i/>
      <w:iCs/>
      <w:sz w:val="22"/>
      <w:szCs w:val="22"/>
    </w:rPr>
  </w:style>
  <w:style w:type="character" w:styleId="1189" w:customStyle="1">
    <w:name w:val="Heading 8 Char"/>
    <w:uiPriority w:val="0"/>
    <w:qFormat/>
    <w:rPr>
      <w:rFonts w:ascii="Arial" w:hAnsi="Arial" w:eastAsia="Arial" w:cs="Arial"/>
      <w:i/>
      <w:iCs/>
      <w:sz w:val="22"/>
      <w:szCs w:val="22"/>
    </w:rPr>
  </w:style>
  <w:style w:type="character" w:styleId="1190" w:customStyle="1">
    <w:name w:val="Heading 9 Char"/>
    <w:uiPriority w:val="0"/>
    <w:qFormat/>
    <w:rPr>
      <w:rFonts w:ascii="Arial" w:hAnsi="Arial" w:eastAsia="Arial" w:cs="Arial"/>
      <w:i/>
      <w:iCs/>
      <w:sz w:val="21"/>
      <w:szCs w:val="21"/>
    </w:rPr>
  </w:style>
  <w:style w:type="character" w:styleId="1191" w:customStyle="1">
    <w:name w:val="页脚 Char"/>
    <w:uiPriority w:val="0"/>
    <w:qFormat/>
    <w:rPr>
      <w:sz w:val="18"/>
      <w:szCs w:val="18"/>
    </w:rPr>
  </w:style>
  <w:style w:type="character" w:styleId="1192" w:customStyle="1">
    <w:name w:val="页眉 Char"/>
    <w:uiPriority w:val="0"/>
    <w:qFormat/>
    <w:rPr>
      <w:sz w:val="18"/>
      <w:szCs w:val="18"/>
    </w:rPr>
  </w:style>
  <w:style w:type="character" w:styleId="1193" w:customStyle="1">
    <w:name w:val="Default Char"/>
    <w:uiPriority w:val="0"/>
    <w:qFormat/>
    <w:rPr>
      <w:rFonts w:ascii="MS Mincho;ＭＳ 明朝" w:hAnsi="MS Mincho;ＭＳ 明朝" w:eastAsia="宋体;SimSun" w:cs="Times New Roman"/>
      <w:color w:val="000000"/>
      <w:szCs w:val="24"/>
    </w:rPr>
  </w:style>
  <w:style w:type="character" w:styleId="1194" w:customStyle="1">
    <w:name w:val="Heading 1 Char"/>
    <w:uiPriority w:val="0"/>
    <w:qFormat/>
    <w:rPr>
      <w:rFonts w:ascii="Arial" w:hAnsi="Arial" w:eastAsia="Arial" w:cs="Arial"/>
      <w:sz w:val="40"/>
      <w:szCs w:val="40"/>
    </w:rPr>
  </w:style>
  <w:style w:type="character" w:styleId="1195" w:customStyle="1">
    <w:name w:val="Heading 2 Char"/>
    <w:uiPriority w:val="0"/>
    <w:qFormat/>
    <w:rPr>
      <w:rFonts w:ascii="Arial" w:hAnsi="Arial" w:eastAsia="Arial" w:cs="Arial"/>
      <w:sz w:val="34"/>
    </w:rPr>
  </w:style>
  <w:style w:type="character" w:styleId="1196" w:customStyle="1">
    <w:name w:val="Heading 3 Char"/>
    <w:uiPriority w:val="0"/>
    <w:qFormat/>
    <w:rPr>
      <w:rFonts w:ascii="Arial" w:hAnsi="Arial" w:eastAsia="Arial" w:cs="Arial"/>
      <w:sz w:val="30"/>
      <w:szCs w:val="30"/>
    </w:rPr>
  </w:style>
  <w:style w:type="character" w:styleId="1197" w:customStyle="1">
    <w:name w:val="引用 字符"/>
    <w:uiPriority w:val="0"/>
    <w:qFormat/>
    <w:rPr>
      <w:i/>
    </w:rPr>
  </w:style>
  <w:style w:type="character" w:styleId="1198" w:customStyle="1">
    <w:name w:val="明显引用 字符"/>
    <w:uiPriority w:val="0"/>
    <w:qFormat/>
    <w:rPr>
      <w:i/>
    </w:rPr>
  </w:style>
  <w:style w:type="character" w:styleId="1199" w:customStyle="1">
    <w:name w:val="Header Char"/>
    <w:uiPriority w:val="0"/>
    <w:qFormat/>
  </w:style>
  <w:style w:type="character" w:styleId="1200" w:customStyle="1">
    <w:name w:val="Footer Char"/>
    <w:uiPriority w:val="0"/>
    <w:qFormat/>
  </w:style>
  <w:style w:type="character" w:styleId="1201" w:customStyle="1">
    <w:name w:val="Caption Char"/>
    <w:uiPriority w:val="0"/>
    <w:qFormat/>
  </w:style>
  <w:style w:type="character" w:styleId="1202" w:customStyle="1">
    <w:name w:val="15"/>
    <w:uiPriority w:val="0"/>
    <w:qFormat/>
    <w:rPr>
      <w:rFonts w:ascii="Times New Roman" w:hAnsi="Times New Roman" w:cs="Times New Roman"/>
    </w:rPr>
  </w:style>
  <w:style w:type="character" w:styleId="1203" w:customStyle="1">
    <w:name w:val="font31"/>
    <w:uiPriority w:val="0"/>
    <w:qFormat/>
    <w:rPr>
      <w:rFonts w:ascii="方正仿宋_GBK;微软雅黑" w:hAnsi="方正仿宋_GBK;微软雅黑" w:eastAsia="方正仿宋_GBK;微软雅黑" w:cs="方正仿宋_GBK;微软雅黑"/>
      <w:color w:val="000000"/>
      <w:sz w:val="24"/>
      <w:szCs w:val="24"/>
      <w:u w:val="none"/>
    </w:rPr>
  </w:style>
  <w:style w:type="character" w:styleId="1204" w:customStyle="1">
    <w:name w:val="font41"/>
    <w:uiPriority w:val="0"/>
    <w:qFormat/>
    <w:rPr>
      <w:rFonts w:ascii="Times New Roman" w:hAnsi="Times New Roman" w:cs="Times New Roman"/>
      <w:color w:val="000000"/>
      <w:sz w:val="24"/>
      <w:szCs w:val="24"/>
      <w:u w:val="none"/>
    </w:rPr>
  </w:style>
  <w:style w:type="character" w:styleId="1205" w:customStyle="1">
    <w:name w:val="font51"/>
    <w:uiPriority w:val="0"/>
    <w:qFormat/>
    <w:rPr>
      <w:rFonts w:ascii="方正仿宋_GBK;微软雅黑" w:hAnsi="方正仿宋_GBK;微软雅黑" w:eastAsia="方正仿宋_GBK;微软雅黑" w:cs="方正仿宋_GBK;微软雅黑"/>
      <w:color w:val="333333"/>
      <w:sz w:val="24"/>
      <w:szCs w:val="24"/>
      <w:u w:val="none"/>
    </w:rPr>
  </w:style>
  <w:style w:type="character" w:styleId="1206" w:customStyle="1">
    <w:name w:val="font61"/>
    <w:uiPriority w:val="0"/>
    <w:qFormat/>
    <w:rPr>
      <w:rFonts w:ascii="Times New Roman" w:hAnsi="Times New Roman" w:cs="Times New Roman"/>
      <w:color w:val="333333"/>
      <w:sz w:val="24"/>
      <w:szCs w:val="24"/>
      <w:u w:val="none"/>
    </w:rPr>
  </w:style>
  <w:style w:type="character" w:styleId="1207" w:customStyle="1">
    <w:name w:val="font81"/>
    <w:uiPriority w:val="0"/>
    <w:qFormat/>
    <w:rPr>
      <w:rFonts w:ascii="Times New Roman" w:hAnsi="Times New Roman" w:cs="Times New Roman"/>
      <w:color w:val="000000"/>
      <w:sz w:val="28"/>
      <w:szCs w:val="28"/>
      <w:u w:val="none"/>
    </w:rPr>
  </w:style>
  <w:style w:type="character" w:styleId="1208" w:customStyle="1">
    <w:name w:val="font71"/>
    <w:uiPriority w:val="0"/>
    <w:qFormat/>
    <w:rPr>
      <w:rFonts w:ascii="方正仿宋_GBK;微软雅黑" w:hAnsi="方正仿宋_GBK;微软雅黑" w:eastAsia="方正仿宋_GBK;微软雅黑" w:cs="方正仿宋_GBK;微软雅黑"/>
      <w:color w:val="000000"/>
      <w:sz w:val="28"/>
      <w:szCs w:val="28"/>
      <w:u w:val="none"/>
    </w:rPr>
  </w:style>
  <w:style w:type="character" w:styleId="1209" w:customStyle="1">
    <w:name w:val="NormalCharacter"/>
    <w:uiPriority w:val="0"/>
    <w:qFormat/>
    <w:rPr>
      <w:sz w:val="20"/>
      <w:szCs w:val="20"/>
    </w:rPr>
  </w:style>
  <w:style w:type="character" w:styleId="1210" w:customStyle="1">
    <w:name w:val="font141"/>
    <w:uiPriority w:val="0"/>
    <w:qFormat/>
    <w:rPr>
      <w:rFonts w:ascii="仿宋" w:hAnsi="仿宋" w:eastAsia="仿宋" w:cs="仿宋"/>
      <w:color w:val="000000"/>
      <w:sz w:val="22"/>
      <w:szCs w:val="22"/>
      <w:u w:val="none"/>
    </w:rPr>
  </w:style>
  <w:style w:type="character" w:styleId="1211" w:customStyle="1">
    <w:name w:val="Index Link"/>
    <w:uiPriority w:val="0"/>
    <w:qFormat/>
  </w:style>
  <w:style w:type="paragraph" w:styleId="1212" w:customStyle="1">
    <w:name w:val="Index"/>
    <w:basedOn w:val="951"/>
    <w:uiPriority w:val="0"/>
    <w:qFormat/>
    <w:pPr>
      <w:suppressLineNumbers/>
    </w:pPr>
    <w:rPr>
      <w:rFonts w:cs="Lohit Devanagari"/>
    </w:rPr>
  </w:style>
  <w:style w:type="paragraph" w:styleId="1213" w:customStyle="1">
    <w:name w:val="正文缩进1"/>
    <w:basedOn w:val="951"/>
    <w:uiPriority w:val="0"/>
    <w:qFormat/>
    <w:pPr>
      <w:ind w:firstLine="420"/>
    </w:pPr>
    <w:rPr>
      <w:szCs w:val="20"/>
    </w:rPr>
  </w:style>
  <w:style w:type="paragraph" w:styleId="1214" w:customStyle="1">
    <w:name w:val="文档结构图1"/>
    <w:basedOn w:val="951"/>
    <w:uiPriority w:val="0"/>
    <w:qFormat/>
    <w:rPr>
      <w:rFonts w:ascii="宋体;SimSun" w:hAnsi="宋体;SimSun" w:eastAsia="宋体;SimSun" w:cs="宋体;SimSun"/>
      <w:sz w:val="18"/>
      <w:szCs w:val="18"/>
    </w:rPr>
  </w:style>
  <w:style w:type="paragraph" w:styleId="1215" w:customStyle="1">
    <w:name w:val="引文目录标题1"/>
    <w:next w:val="951"/>
    <w:uiPriority w:val="0"/>
    <w:qFormat/>
    <w:pPr>
      <w:jc w:val="both"/>
      <w:spacing w:before="120"/>
      <w:widowControl w:val="off"/>
    </w:pPr>
    <w:rPr>
      <w:rFonts w:ascii="Arial" w:hAnsi="Arial" w:eastAsia="宋体;SimSun" w:cs="Arial"/>
      <w:sz w:val="24"/>
      <w:szCs w:val="24"/>
      <w:lang w:val="en-US" w:eastAsia="zh-CN" w:bidi="ar-SA"/>
    </w:rPr>
  </w:style>
  <w:style w:type="paragraph" w:styleId="1216" w:customStyle="1">
    <w:name w:val="纯文本2"/>
    <w:basedOn w:val="951"/>
    <w:uiPriority w:val="0"/>
    <w:qFormat/>
    <w:rPr>
      <w:rFonts w:ascii="宋体;SimSun" w:hAnsi="宋体;SimSun" w:eastAsia="宋体;SimSun" w:cs="Times New Roman"/>
      <w:szCs w:val="20"/>
    </w:rPr>
  </w:style>
  <w:style w:type="paragraph" w:styleId="1217" w:customStyle="1">
    <w:name w:val="日期1"/>
    <w:basedOn w:val="951"/>
    <w:next w:val="951"/>
    <w:uiPriority w:val="0"/>
    <w:qFormat/>
    <w:pPr>
      <w:ind w:left="100"/>
    </w:pPr>
  </w:style>
  <w:style w:type="paragraph" w:styleId="1218" w:customStyle="1">
    <w:name w:val="Header and Footer"/>
    <w:basedOn w:val="951"/>
    <w:uiPriority w:val="0"/>
    <w:qFormat/>
    <w:pPr>
      <w:tabs>
        <w:tab w:val="center" w:pos="4986" w:leader="none"/>
        <w:tab w:val="right" w:pos="9972" w:leader="none"/>
      </w:tabs>
      <w:suppressLineNumbers/>
    </w:pPr>
  </w:style>
  <w:style w:type="paragraph" w:styleId="1219" w:customStyle="1">
    <w:name w:val="图表目录1"/>
    <w:basedOn w:val="951"/>
    <w:next w:val="951"/>
    <w:uiPriority w:val="0"/>
    <w:qFormat/>
  </w:style>
  <w:style w:type="paragraph" w:styleId="1220" w:customStyle="1">
    <w:name w:val="正文文本首行缩进1"/>
    <w:basedOn w:val="968"/>
    <w:uiPriority w:val="0"/>
    <w:qFormat/>
    <w:pPr>
      <w:ind w:firstLine="420"/>
    </w:pPr>
  </w:style>
  <w:style w:type="paragraph" w:styleId="1221" w:customStyle="1">
    <w:name w:val="正文文本首行缩进 21"/>
    <w:basedOn w:val="969"/>
    <w:uiPriority w:val="0"/>
    <w:qFormat/>
    <w:pPr>
      <w:ind w:left="420" w:firstLine="210"/>
      <w:spacing w:after="120"/>
    </w:pPr>
  </w:style>
  <w:style w:type="paragraph" w:styleId="1222" w:customStyle="1">
    <w:name w:val="正文1"/>
    <w:basedOn w:val="1213"/>
    <w:uiPriority w:val="0"/>
    <w:qFormat/>
    <w:rPr>
      <w:rFonts w:eastAsia="宋体;SimSun" w:cs="Times New Roman"/>
      <w:szCs w:val="21"/>
    </w:rPr>
  </w:style>
  <w:style w:type="paragraph" w:styleId="1223" w:customStyle="1">
    <w:name w:val="WW-Footer"/>
    <w:basedOn w:val="951"/>
    <w:uiPriority w:val="0"/>
    <w:qFormat/>
    <w:pPr>
      <w:jc w:val="left"/>
      <w:tabs>
        <w:tab w:val="center" w:pos="4153" w:leader="none"/>
        <w:tab w:val="right" w:pos="8306" w:leader="none"/>
      </w:tabs>
    </w:pPr>
    <w:rPr>
      <w:sz w:val="18"/>
      <w:szCs w:val="18"/>
    </w:rPr>
  </w:style>
  <w:style w:type="paragraph" w:styleId="1224" w:customStyle="1">
    <w:name w:val="WW-Header"/>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225" w:customStyle="1">
    <w:name w:val="Default"/>
    <w:uiPriority w:val="0"/>
    <w:qFormat/>
    <w:pPr>
      <w:widowControl w:val="off"/>
    </w:pPr>
    <w:rPr>
      <w:rFonts w:ascii="MS Mincho;ＭＳ 明朝" w:hAnsi="MS Mincho;ＭＳ 明朝" w:eastAsia="宋体;SimSun" w:cs="Calibri"/>
      <w:color w:val="000000"/>
      <w:sz w:val="21"/>
      <w:szCs w:val="24"/>
      <w:lang w:val="en-US" w:eastAsia="zh-CN" w:bidi="ar-SA"/>
    </w:rPr>
  </w:style>
  <w:style w:type="paragraph" w:styleId="1226">
    <w:name w:val="List Paragraph"/>
    <w:basedOn w:val="951"/>
    <w:uiPriority w:val="0"/>
    <w:qFormat/>
    <w:pPr>
      <w:contextualSpacing/>
      <w:ind w:left="720"/>
    </w:pPr>
  </w:style>
  <w:style w:type="paragraph" w:styleId="1227">
    <w:name w:val="No Spacing"/>
    <w:uiPriority w:val="0"/>
    <w:qFormat/>
    <w:rPr>
      <w:rFonts w:ascii="Calibri" w:hAnsi="Calibri" w:eastAsia="Arial" w:cs="Arial"/>
      <w:lang w:val="en-US" w:eastAsia="zh-CN" w:bidi="ar-SA"/>
    </w:rPr>
  </w:style>
  <w:style w:type="paragraph" w:styleId="1228">
    <w:name w:val="Quote"/>
    <w:basedOn w:val="951"/>
    <w:next w:val="951"/>
    <w:uiPriority w:val="0"/>
    <w:qFormat/>
    <w:pPr>
      <w:ind w:left="720" w:right="720"/>
    </w:pPr>
    <w:rPr>
      <w:i/>
    </w:rPr>
  </w:style>
  <w:style w:type="paragraph" w:styleId="1229">
    <w:name w:val="Intense Quote"/>
    <w:basedOn w:val="951"/>
    <w:next w:val="95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30" w:customStyle="1">
    <w:name w:val="UserStyle_0"/>
    <w:basedOn w:val="951"/>
    <w:uiPriority w:val="0"/>
    <w:qFormat/>
    <w:pPr>
      <w:widowControl/>
    </w:pPr>
    <w:rPr>
      <w:sz w:val="20"/>
      <w:szCs w:val="20"/>
    </w:rPr>
  </w:style>
  <w:style w:type="paragraph" w:styleId="1231" w:customStyle="1">
    <w:name w:val="纯文本1"/>
    <w:uiPriority w:val="0"/>
    <w:qFormat/>
    <w:pPr>
      <w:jc w:val="both"/>
      <w:widowControl w:val="off"/>
    </w:pPr>
    <w:rPr>
      <w:rFonts w:ascii="宋体;SimSun" w:hAnsi="宋体;SimSun" w:eastAsia="宋体;SimSun" w:cs="Courier New"/>
      <w:sz w:val="21"/>
      <w:lang w:val="en-US" w:eastAsia="zh-CN" w:bidi="ar-SA"/>
    </w:rPr>
  </w:style>
  <w:style w:type="paragraph" w:styleId="1232" w:customStyle="1">
    <w:name w:val="正文文本1"/>
    <w:next w:val="951"/>
    <w:uiPriority w:val="0"/>
    <w:qFormat/>
    <w:pPr>
      <w:jc w:val="both"/>
      <w:spacing w:after="120"/>
      <w:widowControl w:val="off"/>
    </w:pPr>
    <w:rPr>
      <w:rFonts w:ascii="Times New Roman" w:hAnsi="Times New Roman" w:eastAsia="宋体;SimSun" w:cs="Times New Roman"/>
      <w:sz w:val="21"/>
      <w:lang w:val="en-US" w:eastAsia="zh-CN" w:bidi="ar-SA"/>
    </w:rPr>
  </w:style>
  <w:style w:type="paragraph" w:styleId="1233" w:customStyle="1">
    <w:name w:val="1级标题tc"/>
    <w:next w:val="1234"/>
    <w:uiPriority w:val="0"/>
    <w:qFormat/>
    <w:pPr>
      <w:numPr>
        <w:ilvl w:val="0"/>
        <w:numId w:val="2"/>
      </w:numPr>
      <w:ind w:firstLine="200"/>
      <w:keepLines/>
      <w:keepNext/>
      <w:pageBreakBefore/>
      <w:spacing w:before="50" w:after="50" w:line="500" w:lineRule="exact"/>
      <w:outlineLvl w:val="0"/>
    </w:pPr>
    <w:rPr>
      <w:rFonts w:ascii="Times New Roman" w:hAnsi="Times New Roman" w:eastAsia="宋体;SimSun" w:cs="Times New Roman"/>
      <w:b/>
      <w:bCs/>
      <w:sz w:val="32"/>
      <w:szCs w:val="44"/>
      <w:lang w:val="zh-CN" w:eastAsia="zh-CN" w:bidi="ar-SA"/>
    </w:rPr>
  </w:style>
  <w:style w:type="paragraph" w:styleId="1234" w:customStyle="1">
    <w:name w:val="正文tc"/>
    <w:uiPriority w:val="0"/>
    <w:qFormat/>
    <w:pPr>
      <w:ind w:firstLine="200"/>
      <w:jc w:val="both"/>
      <w:spacing w:line="500" w:lineRule="exact"/>
    </w:pPr>
    <w:rPr>
      <w:rFonts w:ascii="Times New Roman" w:hAnsi="Times New Roman" w:eastAsia="宋体;SimSun" w:cs="Times New Roman"/>
      <w:sz w:val="24"/>
      <w:szCs w:val="24"/>
      <w:lang w:val="zh-CN" w:eastAsia="zh-CN" w:bidi="ar-SA"/>
    </w:rPr>
  </w:style>
  <w:style w:type="paragraph" w:styleId="1235" w:customStyle="1">
    <w:name w:val="2级标题tc"/>
    <w:next w:val="1234"/>
    <w:uiPriority w:val="0"/>
    <w:qFormat/>
    <w:pPr>
      <w:ind w:firstLine="200"/>
      <w:jc w:val="both"/>
      <w:keepLines/>
      <w:keepNext/>
      <w:spacing w:before="50" w:after="50" w:line="500" w:lineRule="exact"/>
      <w:tabs>
        <w:tab w:val="left" w:pos="0" w:leader="none"/>
      </w:tabs>
      <w:outlineLvl w:val="1"/>
    </w:pPr>
    <w:rPr>
      <w:rFonts w:ascii="Times New Roman" w:hAnsi="Times New Roman" w:eastAsia="宋体;SimSun" w:cs="Times New Roman"/>
      <w:b/>
      <w:bCs/>
      <w:sz w:val="30"/>
      <w:szCs w:val="28"/>
      <w:lang w:val="zh-CN" w:eastAsia="zh-CN" w:bidi="ar-SA"/>
    </w:rPr>
  </w:style>
  <w:style w:type="paragraph" w:styleId="1236" w:customStyle="1">
    <w:name w:val="表名tc"/>
    <w:next w:val="1234"/>
    <w:uiPriority w:val="0"/>
    <w:qFormat/>
    <w:pPr>
      <w:jc w:val="center"/>
      <w:keepNext/>
      <w:spacing w:line="500" w:lineRule="exact"/>
      <w:tabs>
        <w:tab w:val="left" w:pos="0" w:leader="none"/>
        <w:tab w:val="left" w:pos="720" w:leader="none"/>
      </w:tabs>
      <w:outlineLvl w:val="5"/>
    </w:pPr>
    <w:rPr>
      <w:rFonts w:ascii="Times New Roman" w:hAnsi="Times New Roman" w:eastAsia="宋体;SimSun" w:cs="Times New Roman"/>
      <w:b/>
      <w:sz w:val="24"/>
      <w:szCs w:val="24"/>
      <w:lang w:val="zh-CN" w:eastAsia="zh-CN" w:bidi="ar-SA"/>
    </w:rPr>
  </w:style>
  <w:style w:type="paragraph" w:styleId="1237" w:customStyle="1">
    <w:name w:val="表内tc"/>
    <w:uiPriority w:val="0"/>
    <w:qFormat/>
    <w:pPr>
      <w:jc w:val="center"/>
    </w:pPr>
    <w:rPr>
      <w:rFonts w:ascii="Times New Roman" w:hAnsi="Times New Roman" w:eastAsia="宋体;SimSun" w:cs="Times New Roman"/>
      <w:sz w:val="21"/>
      <w:szCs w:val="21"/>
      <w:lang w:val="en-US" w:eastAsia="zh-CN" w:bidi="ar-SA"/>
    </w:rPr>
  </w:style>
  <w:style w:type="paragraph" w:styleId="1238" w:customStyle="1">
    <w:name w:val="修订1"/>
    <w:uiPriority w:val="0"/>
    <w:qFormat/>
    <w:rPr>
      <w:rFonts w:ascii="Calibri" w:hAnsi="Calibri" w:eastAsia="Arial" w:cs="Arial"/>
      <w:sz w:val="21"/>
      <w:szCs w:val="22"/>
      <w:lang w:val="en-US" w:eastAsia="zh-CN" w:bidi="ar-SA"/>
    </w:rPr>
  </w:style>
  <w:style w:type="paragraph" w:styleId="1239" w:customStyle="1">
    <w:name w:val="msonormal"/>
    <w:basedOn w:val="951"/>
    <w:uiPriority w:val="0"/>
    <w:qFormat/>
    <w:pPr>
      <w:jc w:val="left"/>
      <w:spacing w:before="100" w:after="100"/>
      <w:widowControl/>
    </w:pPr>
    <w:rPr>
      <w:rFonts w:ascii="宋体;SimSun" w:hAnsi="宋体;SimSun" w:eastAsia="宋体;SimSun" w:cs="宋体;SimSun"/>
      <w:sz w:val="24"/>
      <w:szCs w:val="24"/>
    </w:rPr>
  </w:style>
  <w:style w:type="paragraph" w:styleId="1240" w:customStyle="1">
    <w:name w:val="font5"/>
    <w:basedOn w:val="951"/>
    <w:uiPriority w:val="0"/>
    <w:qFormat/>
    <w:pPr>
      <w:jc w:val="left"/>
      <w:spacing w:before="100" w:after="100"/>
      <w:widowControl/>
    </w:pPr>
    <w:rPr>
      <w:rFonts w:ascii="宋体;SimSun" w:hAnsi="宋体;SimSun" w:eastAsia="宋体;SimSun" w:cs="宋体;SimSun"/>
      <w:sz w:val="18"/>
      <w:szCs w:val="18"/>
    </w:rPr>
  </w:style>
  <w:style w:type="paragraph" w:styleId="1241" w:customStyle="1">
    <w:name w:val="xl66"/>
    <w:basedOn w:val="951"/>
    <w:uiPriority w:val="0"/>
    <w:qFormat/>
    <w:pPr>
      <w:jc w:val="left"/>
      <w:spacing w:before="100" w:after="100"/>
      <w:widowControl/>
    </w:pPr>
    <w:rPr>
      <w:rFonts w:ascii="宋体;SimSun" w:hAnsi="宋体;SimSun" w:eastAsia="宋体;SimSun" w:cs="宋体;SimSun"/>
      <w:sz w:val="24"/>
      <w:szCs w:val="24"/>
    </w:rPr>
  </w:style>
  <w:style w:type="paragraph" w:styleId="1242" w:customStyle="1">
    <w:name w:val="xl67"/>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243" w:customStyle="1">
    <w:name w:val="xl68"/>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244" w:customStyle="1">
    <w:name w:val="xl69"/>
    <w:basedOn w:val="95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245" w:customStyle="1">
    <w:name w:val="xl70"/>
    <w:basedOn w:val="95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246" w:customStyle="1">
    <w:name w:val="xl71"/>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247" w:customStyle="1">
    <w:name w:val="xl72"/>
    <w:basedOn w:val="951"/>
    <w:uiPriority w:val="0"/>
    <w:qFormat/>
    <w:pPr>
      <w:jc w:val="center"/>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248" w:customStyle="1">
    <w:name w:val="xl73"/>
    <w:basedOn w:val="951"/>
    <w:uiPriority w:val="0"/>
    <w:qFormat/>
    <w:pPr>
      <w:jc w:val="left"/>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249" w:customStyle="1">
    <w:name w:val="xl74"/>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b/>
      <w:bCs/>
      <w:sz w:val="24"/>
      <w:szCs w:val="24"/>
    </w:rPr>
  </w:style>
  <w:style w:type="paragraph" w:styleId="1250" w:customStyle="1">
    <w:name w:val="xl75"/>
    <w:basedOn w:val="95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251" w:customStyle="1">
    <w:name w:val="xl76"/>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252" w:customStyle="1">
    <w:name w:val="xl77"/>
    <w:basedOn w:val="951"/>
    <w:uiPriority w:val="0"/>
    <w:qFormat/>
    <w:pPr>
      <w:jc w:val="center"/>
      <w:spacing w:before="100" w:after="100"/>
      <w:shd w:val="clear" w:color="auto" w:fill="ffffff"/>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0"/>
      <w:szCs w:val="20"/>
    </w:rPr>
  </w:style>
  <w:style w:type="paragraph" w:styleId="1253" w:customStyle="1">
    <w:name w:val="xl78"/>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24"/>
      <w:szCs w:val="24"/>
    </w:rPr>
  </w:style>
  <w:style w:type="paragraph" w:styleId="1254" w:customStyle="1">
    <w:name w:val="xl79"/>
    <w:basedOn w:val="95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16"/>
      <w:szCs w:val="16"/>
    </w:rPr>
  </w:style>
  <w:style w:type="paragraph" w:styleId="1255" w:customStyle="1">
    <w:name w:val="xl80"/>
    <w:basedOn w:val="951"/>
    <w:uiPriority w:val="0"/>
    <w:qFormat/>
    <w:pPr>
      <w:jc w:val="center"/>
      <w:spacing w:before="100" w:after="100"/>
      <w:widowControl/>
      <w:pBdr>
        <w:top w:val="single" w:color="000000" w:sz="4" w:space="0"/>
        <w:left w:val="single" w:color="000000" w:sz="4" w:space="0"/>
        <w:bottom w:val="single" w:color="000000" w:sz="4" w:space="0"/>
        <w:right w:val="single" w:color="000000" w:sz="4" w:space="0"/>
      </w:pBdr>
    </w:pPr>
    <w:rPr>
      <w:rFonts w:ascii="宋体;SimSun" w:hAnsi="宋体;SimSun" w:eastAsia="宋体;SimSun" w:cs="宋体;SimSun"/>
      <w:sz w:val="16"/>
      <w:szCs w:val="16"/>
    </w:rPr>
  </w:style>
  <w:style w:type="paragraph" w:styleId="1256" w:customStyle="1">
    <w:name w:val="Table Contents"/>
    <w:basedOn w:val="951"/>
    <w:uiPriority w:val="0"/>
    <w:qFormat/>
    <w:pPr>
      <w:suppressLineNumbers/>
    </w:pPr>
  </w:style>
  <w:style w:type="paragraph" w:styleId="1257" w:customStyle="1">
    <w:name w:val="Table Heading"/>
    <w:basedOn w:val="1256"/>
    <w:uiPriority w:val="0"/>
    <w:qFormat/>
    <w:pPr>
      <w:jc w:val="center"/>
    </w:pPr>
    <w:rPr>
      <w:b/>
      <w:bCs/>
    </w:rPr>
  </w:style>
  <w:style w:type="paragraph" w:styleId="1258" w:customStyle="1">
    <w:name w:val="普通(网站)11"/>
    <w:uiPriority w:val="99"/>
    <w:qFormat/>
    <w:pPr>
      <w:spacing w:before="100" w:beforeAutospacing="1" w:after="100" w:afterAutospacing="1"/>
    </w:pPr>
    <w:rPr>
      <w:rFonts w:ascii="宋体" w:hAnsi="宋体" w:eastAsia="宋体" w:cs="宋体"/>
      <w:sz w:val="24"/>
      <w:szCs w:val="24"/>
      <w:lang w:val="en-US" w:eastAsia="zh-CN" w:bidi="ar-SA"/>
    </w:rPr>
  </w:style>
  <w:style w:type="character" w:styleId="1259" w:customStyle="1">
    <w:name w:val="强调1"/>
    <w:uiPriority w:val="0"/>
    <w:qFormat/>
    <w:rPr>
      <w:rFonts w:ascii="Calibri" w:hAnsi="Calibri" w:eastAsia="Arial" w:cs="Arial"/>
      <w:sz w:val="21"/>
      <w:szCs w:val="22"/>
      <w:lang w:val="en-US" w:eastAsia="zh-CN" w:bidi="ar-SA"/>
    </w:rPr>
  </w:style>
  <w:style w:type="paragraph" w:styleId="1260" w:customStyle="1">
    <w:name w:val="普通正文"/>
    <w:basedOn w:val="951"/>
    <w:uiPriority w:val="0"/>
    <w:qFormat/>
    <w:pPr>
      <w:ind w:firstLine="480"/>
      <w:spacing w:before="120" w:after="120" w:line="360" w:lineRule="auto"/>
    </w:pPr>
    <w:rPr>
      <w:sz w:val="24"/>
    </w:rPr>
  </w:style>
  <w:style w:type="character" w:styleId="1261" w:customStyle="1">
    <w:name w:val="first-child"/>
    <w:basedOn w:val="961"/>
    <w:uiPriority w:val="0"/>
    <w:qFormat/>
  </w:style>
  <w:style w:type="character" w:styleId="1262" w:customStyle="1">
    <w:name w:val="layui-this"/>
    <w:basedOn w:val="961"/>
    <w:uiPriority w:val="0"/>
    <w:qFormat/>
    <w:rPr>
      <w:shd w:val="clear" w:color="auto" w:fill="ffffff"/>
    </w:rPr>
  </w:style>
  <w:style w:type="character" w:styleId="1263" w:customStyle="1">
    <w:name w:val="hover2"/>
    <w:basedOn w:val="961"/>
    <w:uiPriority w:val="0"/>
    <w:qFormat/>
    <w:rPr>
      <w:color w:val="5fb878"/>
    </w:rPr>
  </w:style>
  <w:style w:type="character" w:styleId="1264" w:customStyle="1">
    <w:name w:val="hover3"/>
    <w:basedOn w:val="961"/>
    <w:uiPriority w:val="0"/>
    <w:qFormat/>
    <w:rPr>
      <w:color w:val="5fb878"/>
    </w:rPr>
  </w:style>
  <w:style w:type="character" w:styleId="1265" w:customStyle="1">
    <w:name w:val="hover4"/>
    <w:basedOn w:val="961"/>
    <w:uiPriority w:val="0"/>
    <w:qFormat/>
    <w:rPr>
      <w:color w:val="ffffff"/>
    </w:rPr>
  </w:style>
  <w:style w:type="character" w:styleId="1266" w:customStyle="1">
    <w:name w:val="layui-this2"/>
    <w:basedOn w:val="961"/>
    <w:uiPriority w:val="0"/>
    <w:qFormat/>
    <w:rPr>
      <w:shd w:val="clear" w:color="auto" w:fill="ffffff"/>
    </w:rPr>
  </w:style>
  <w:style w:type="paragraph" w:styleId="1267" w:customStyle="1">
    <w:name w:val="正文(首行缩进)"/>
    <w:uiPriority w:val="0"/>
    <w:qFormat/>
    <w:pPr>
      <w:ind w:firstLine="200"/>
      <w:jc w:val="both"/>
      <w:spacing w:after="200" w:line="420" w:lineRule="atLeast"/>
    </w:pPr>
    <w:rPr>
      <w:rFonts w:eastAsia="仿宋_GB2312" w:asciiTheme="minorHAnsi" w:hAnsiTheme="minorHAnsi" w:cstheme="minorBidi"/>
      <w:spacing w:val="2"/>
      <w:sz w:val="24"/>
      <w:szCs w:val="22"/>
      <w:lang w:val="en-US" w:eastAsia="zh-CN" w:bidi="ar-SA"/>
    </w:rPr>
  </w:style>
  <w:style w:type="paragraph" w:styleId="1268" w:customStyle="1">
    <w:name w:val="JSEP表文字"/>
    <w:basedOn w:val="951"/>
    <w:next w:val="951"/>
    <w:uiPriority w:val="0"/>
    <w:qFormat/>
    <w:pPr>
      <w:jc w:val="center"/>
      <w:spacing w:line="360" w:lineRule="exact"/>
    </w:pPr>
    <w:rPr>
      <w:rFonts w:ascii="Times New Roman" w:hAnsi="Times New Roman" w:eastAsia="仿宋_GB2312" w:cs="Times New Roman"/>
      <w:sz w:val="24"/>
    </w:rPr>
  </w:style>
  <w:style w:type="paragraph" w:styleId="1269" w:customStyle="1">
    <w:name w:val="JSEP正文"/>
    <w:basedOn w:val="951"/>
    <w:uiPriority w:val="0"/>
    <w:qFormat/>
    <w:pPr>
      <w:ind w:firstLine="200"/>
      <w:spacing w:line="360" w:lineRule="auto"/>
    </w:pPr>
    <w:rPr>
      <w:rFonts w:ascii="Times New Roman" w:hAnsi="Times New Roman" w:eastAsia="仿宋_GB2312"/>
      <w:sz w:val="28"/>
    </w:rPr>
  </w:style>
  <w:style w:type="paragraph" w:styleId="1270" w:customStyle="1">
    <w:name w:val="JSEP图格式"/>
    <w:basedOn w:val="951"/>
    <w:next w:val="1271"/>
    <w:uiPriority w:val="0"/>
    <w:qFormat/>
    <w:pPr>
      <w:jc w:val="center"/>
      <w:keepNext/>
      <w:tabs>
        <w:tab w:val="center" w:pos="4253" w:leader="none"/>
        <w:tab w:val="right" w:pos="8222" w:leader="none"/>
      </w:tabs>
    </w:pPr>
    <w:rPr>
      <w:rFonts w:ascii="Times New Roman" w:hAnsi="Times New Roman" w:eastAsia="仿宋_GB2312"/>
      <w:sz w:val="24"/>
    </w:rPr>
  </w:style>
  <w:style w:type="paragraph" w:styleId="1271" w:customStyle="1">
    <w:name w:val="JSEP图标题"/>
    <w:basedOn w:val="951"/>
    <w:next w:val="1269"/>
    <w:uiPriority w:val="0"/>
    <w:qFormat/>
    <w:pPr>
      <w:numPr>
        <w:ilvl w:val="4"/>
        <w:numId w:val="3"/>
      </w:numPr>
      <w:ind w:left="0"/>
      <w:jc w:val="center"/>
      <w:spacing w:line="500" w:lineRule="exact"/>
    </w:pPr>
    <w:rPr>
      <w:rFonts w:ascii="Times New Roman" w:hAnsi="Times New Roman" w:eastAsia="仿宋_GB2312"/>
      <w:b/>
      <w:sz w:val="28"/>
    </w:rPr>
  </w:style>
  <w:style w:type="paragraph" w:styleId="1272" w:customStyle="1">
    <w:name w:val="表格首行"/>
    <w:basedOn w:val="951"/>
    <w:uiPriority w:val="0"/>
    <w:qFormat/>
    <w:pPr>
      <w:jc w:val="center"/>
      <w:spacing w:line="360" w:lineRule="exact"/>
    </w:pPr>
    <w:rPr>
      <w:rFonts w:ascii="Times New Roman" w:hAnsi="Times New Roman" w:eastAsia="仿宋_GB2312" w:cs="Times New Roman"/>
      <w:b/>
      <w:sz w:val="24"/>
    </w:rPr>
  </w:style>
  <w:style w:type="table" w:styleId="127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numbering" w:styleId="1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于俊</cp:lastModifiedBy>
  <cp:revision>3</cp:revision>
  <dcterms:created xsi:type="dcterms:W3CDTF">2026-07-21T14:43:00Z</dcterms:created>
  <dcterms:modified xsi:type="dcterms:W3CDTF">2026-09-08T03:27:59Z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9678020284E24897B1253EC2E9995DA5_13</vt:lpwstr>
  </property>
  <property fmtid="{D5CDD505-2E9C-101B-9397-08002B2CF9AE}" pid="3" name="KSOProductBuildVer">
    <vt:lpwstr>2052-12.1.0.28505</vt:lpwstr>
  </property>
  <property fmtid="{D5CDD505-2E9C-101B-9397-08002B2CF9AE}" pid="4" name="KSOTemplateDocerSaveRecord">
    <vt:lpwstr>eyJoZGlkIjoiMDE2MjkxMTFmOTQyYjY2N2EyMGVhYjAyYTQzOGNlNjEiLCJ1c2VySWQiOiIxMTUzNzgzODM1In0=</vt:lpwstr>
  </property>
</Properties>
</file>