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2"/>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92"/>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r>
      <w:r/>
    </w:p>
    <w:p>
      <w:pPr>
        <w:pStyle w:val="992"/>
        <w:ind w:left="0" w:firstLine="0"/>
        <w:jc w:val="center"/>
        <w:rPr>
          <w:rFonts w:hint="eastAsia" w:ascii="宋体" w:hAnsi="宋体" w:eastAsia="宋体" w:cs="宋体"/>
          <w:b/>
          <w:bCs/>
          <w:caps w:val="0"/>
          <w:color w:val="auto"/>
          <w:sz w:val="32"/>
          <w:lang w:eastAsia="zh-CN"/>
        </w:rPr>
      </w:pPr>
      <w:r>
        <w:rPr>
          <w:rFonts w:hint="eastAsia" w:ascii="宋体" w:hAnsi="宋体" w:eastAsia="宋体" w:cs="宋体"/>
          <w:b/>
          <w:bCs/>
          <w:caps w:val="0"/>
          <w:color w:val="auto"/>
          <w:sz w:val="32"/>
        </w:rPr>
        <w:t xml:space="preserve">项目名称：</w:t>
      </w:r>
      <w:r>
        <w:rPr>
          <w:rFonts w:hint="eastAsia" w:ascii="宋体" w:hAnsi="宋体" w:eastAsia="宋体" w:cs="宋体"/>
          <w:b/>
          <w:bCs/>
          <w:caps w:val="0"/>
          <w:color w:val="auto"/>
          <w:sz w:val="32"/>
          <w:lang w:eastAsia="zh-CN"/>
        </w:rPr>
        <w:t xml:space="preserve">宿迁市2026年（省体育局资助）全民健身器材采购项目</w:t>
      </w:r>
      <w:r/>
    </w:p>
    <w:p>
      <w:pPr>
        <w:jc w:val="center"/>
        <w:rPr>
          <w:rFonts w:hint="eastAsia" w:ascii="宋体" w:hAnsi="宋体" w:eastAsia="宋体" w:cs="宋体"/>
          <w:b/>
          <w:caps w:val="0"/>
          <w:color w:val="auto"/>
          <w:sz w:val="30"/>
          <w:szCs w:val="30"/>
        </w:rPr>
      </w:pPr>
      <w:r>
        <w:rPr>
          <w:rFonts w:hint="eastAsia" w:ascii="宋体" w:hAnsi="宋体" w:eastAsia="宋体" w:cs="宋体"/>
          <w:b/>
          <w:bCs/>
          <w:caps w:val="0"/>
          <w:color w:val="auto"/>
          <w:sz w:val="32"/>
        </w:rPr>
        <w:t xml:space="preserve">项目编号：</w:t>
      </w:r>
      <w:r>
        <w:rPr>
          <w:rFonts w:hint="eastAsia" w:ascii="宋体" w:hAnsi="宋体" w:eastAsia="宋体" w:cs="宋体"/>
          <w:b/>
          <w:bCs/>
          <w:caps w:val="0"/>
          <w:color w:val="auto"/>
          <w:sz w:val="32"/>
          <w:lang w:val="en-US" w:eastAsia="zh-CN"/>
        </w:rPr>
        <w:t xml:space="preserve">JSZC-321300-SQCY-G2026-0002</w:t>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t xml:space="preserve">（</w:t>
      </w:r>
      <w:r>
        <w:rPr>
          <w:rFonts w:hint="eastAsia" w:ascii="宋体" w:hAnsi="宋体" w:eastAsia="宋体" w:cs="宋体"/>
          <w:b/>
          <w:caps w:val="0"/>
          <w:color w:val="auto"/>
          <w:sz w:val="30"/>
          <w:szCs w:val="30"/>
          <w:lang w:val="en-US" w:eastAsia="zh-CN"/>
        </w:rPr>
        <w:t xml:space="preserve">货物</w:t>
      </w:r>
      <w:r>
        <w:rPr>
          <w:rFonts w:hint="eastAsia" w:ascii="宋体" w:hAnsi="宋体" w:eastAsia="宋体" w:cs="宋体"/>
          <w:b/>
          <w:caps w:val="0"/>
          <w:color w:val="auto"/>
          <w:sz w:val="30"/>
          <w:szCs w:val="30"/>
        </w:rPr>
        <w:t xml:space="preserve">类项目，专门面向中小企业）</w:t>
      </w:r>
      <w:r/>
    </w:p>
    <w:p>
      <w:pPr>
        <w:pStyle w:val="992"/>
        <w:ind w:firstLine="0"/>
        <w:jc w:val="center"/>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采购人：宿迁市体育局</w:t>
      </w:r>
      <w:r/>
    </w:p>
    <w:p>
      <w:pPr>
        <w:pStyle w:val="992"/>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采购代理机构：宿迁市楚韵项目管理有限公司</w:t>
      </w:r>
      <w:r/>
    </w:p>
    <w:p>
      <w:pPr>
        <w:pStyle w:val="992"/>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lang w:val="en-US" w:eastAsia="zh-CN"/>
        </w:rPr>
        <w:t xml:space="preserve">2026年8月24日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80" w:lineRule="auto"/>
        <w:shd w:val="clear" w:color="auto"/>
        <w:rPr>
          <w:rFonts w:hint="eastAsia" w:ascii="宋体" w:hAnsi="宋体" w:eastAsia="宋体" w:cs="宋体"/>
          <w:b/>
          <w:color w:val="auto"/>
          <w:sz w:val="44"/>
          <w:highlight w:val="none"/>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eastAsia="宋体" w:cs="宋体"/>
          <w:b/>
          <w:color w:val="auto"/>
          <w:sz w:val="44"/>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828"/>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1</w:t>
      </w:r>
      <w:r>
        <w:rPr>
          <w:rFonts w:hint="eastAsia" w:ascii="宋体" w:hAnsi="宋体" w:eastAsia="宋体" w:cs="宋体"/>
          <w:b/>
          <w:color w:val="auto"/>
          <w:sz w:val="28"/>
          <w:szCs w:val="32"/>
          <w:highlight w:val="none"/>
        </w:rPr>
        <w:fldChar w:fldCharType="end"/>
      </w:r>
      <w:r/>
    </w:p>
    <w:p>
      <w:pPr>
        <w:pStyle w:val="828"/>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4</w:t>
      </w:r>
      <w:r>
        <w:rPr>
          <w:rFonts w:hint="eastAsia" w:ascii="宋体" w:hAnsi="宋体" w:eastAsia="宋体" w:cs="宋体"/>
          <w:b/>
          <w:color w:val="auto"/>
          <w:sz w:val="28"/>
          <w:szCs w:val="32"/>
          <w:highlight w:val="none"/>
        </w:rPr>
        <w:fldChar w:fldCharType="end"/>
      </w:r>
      <w:r/>
    </w:p>
    <w:p>
      <w:pPr>
        <w:pStyle w:val="828"/>
        <w:shd w:val="clear" w:color="auto"/>
        <w:tabs>
          <w:tab w:val="right" w:pos="8953" w:leader="dot"/>
        </w:tabs>
        <w:rPr>
          <w:rFonts w:hint="eastAsia" w:ascii="宋体" w:hAnsi="宋体" w:eastAsia="宋体" w:cs="宋体"/>
          <w:b/>
          <w:color w:val="auto"/>
          <w:sz w:val="28"/>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1</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9</w:t>
      </w:r>
      <w:r/>
    </w:p>
    <w:p>
      <w:pPr>
        <w:pStyle w:val="828"/>
        <w:shd w:val="clear" w:color="auto"/>
        <w:tabs>
          <w:tab w:val="right" w:pos="8953" w:leader="dot"/>
        </w:tabs>
        <w:rPr>
          <w:rFonts w:hint="eastAsia" w:ascii="宋体" w:hAnsi="宋体" w:eastAsia="宋体" w:cs="宋体"/>
          <w:b/>
          <w:color w:val="auto"/>
          <w:sz w:val="28"/>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4</w:t>
      </w:r>
      <w:r/>
    </w:p>
    <w:p>
      <w:pPr>
        <w:pStyle w:val="828"/>
        <w:shd w:val="clear" w:color="auto"/>
        <w:tabs>
          <w:tab w:val="right" w:pos="8953" w:leader="dot"/>
        </w:tabs>
        <w:rPr>
          <w:rFonts w:hint="eastAsia" w:ascii="宋体" w:hAnsi="宋体" w:eastAsia="宋体" w:cs="宋体"/>
          <w:b/>
          <w:color w:val="auto"/>
          <w:sz w:val="28"/>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47</w:t>
      </w:r>
      <w:r/>
    </w:p>
    <w:p>
      <w:pPr>
        <w:pStyle w:val="828"/>
        <w:shd w:val="clear" w:color="auto"/>
        <w:tabs>
          <w:tab w:val="right" w:pos="8953" w:leader="dot"/>
        </w:tabs>
        <w:rPr>
          <w:rFonts w:hint="eastAsia" w:ascii="宋体" w:hAnsi="宋体" w:eastAsia="宋体" w:cs="宋体"/>
          <w:b/>
          <w:color w:val="auto"/>
          <w:sz w:val="24"/>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5</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8</w:t>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pStyle w:val="806"/>
        <w:jc w:val="center"/>
        <w:shd w:val="clear" w:color="auto"/>
        <w:rPr>
          <w:rFonts w:hint="eastAsia" w:ascii="宋体" w:hAnsi="宋体" w:eastAsia="宋体" w:cs="宋体"/>
          <w:bCs/>
          <w:color w:val="auto"/>
          <w:sz w:val="44"/>
          <w:highlight w:val="none"/>
        </w:rPr>
        <w:sectPr>
          <w:footerReference w:type="default" r:id="rId12"/>
          <w:footnotePr/>
          <w:endnotePr/>
          <w:type w:val="nextPage"/>
          <w:pgSz w:w="11906" w:h="16838" w:orient="portrait"/>
          <w:pgMar w:top="1440" w:right="1797" w:bottom="1440" w:left="1797" w:header="851" w:footer="992" w:gutter="0"/>
          <w:pgNumType w:start="1"/>
          <w:cols w:num="1" w:sep="0" w:space="720" w:equalWidth="1"/>
          <w:docGrid w:linePitch="360"/>
        </w:sectPr>
      </w:pPr>
      <w:r/>
      <w:bookmarkStart w:id="0" w:name="_Toc15550"/>
      <w:r/>
      <w:r/>
    </w:p>
    <w:p>
      <w:pPr>
        <w:pStyle w:val="806"/>
        <w:jc w:val="center"/>
        <w:shd w:val="clear" w:color="auto"/>
        <w:rPr>
          <w:rFonts w:hint="eastAsia" w:ascii="宋体" w:hAnsi="宋体" w:eastAsia="宋体" w:cs="宋体"/>
          <w:bCs/>
          <w:color w:val="auto"/>
          <w:sz w:val="44"/>
          <w:szCs w:val="44"/>
          <w:highlight w:val="none"/>
        </w:rPr>
      </w:pPr>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宿迁市体育局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宿迁市楚韵项目管理有限公司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宿迁市2026年（省体育局资助）全民健身器材采购项目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JSZC-321300-SQCY-G2026-0002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宿迁市2026年（省体育局资助）全民健身器材采购项目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none"/>
          <w:u w:val="single"/>
        </w:rPr>
        <w:t xml:space="preserve">2026年</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月1</w:t>
      </w:r>
      <w:r>
        <w:rPr>
          <w:rFonts w:hint="eastAsia" w:ascii="宋体" w:hAnsi="宋体" w:eastAsia="宋体" w:cs="宋体"/>
          <w:b/>
          <w:bCs/>
          <w:color w:val="auto"/>
          <w:sz w:val="24"/>
          <w:szCs w:val="24"/>
          <w:highlight w:val="none"/>
          <w:u w:val="single"/>
        </w:rPr>
        <w:t xml:space="preserve">日 </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点</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28359079"/>
      <w:r/>
      <w:bookmarkStart w:id="2" w:name="_Toc35393621"/>
      <w:r/>
      <w:bookmarkStart w:id="3" w:name="_Toc28359002"/>
      <w:r/>
      <w:bookmarkStart w:id="4" w:name="_Toc38985263"/>
      <w:r/>
      <w:bookmarkStart w:id="5" w:name="_Toc35393790"/>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JSZC-321300-SQCY-G2026-0002</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宿迁市2026年（省体育局资助）全民健身器材采购项目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bookmarkStart w:id="7" w:name="EB5d3d0ac51d7b4c0abb3797d4d4297cdd"/>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个分包项目总预算为</w:t>
      </w:r>
      <w:r>
        <w:rPr>
          <w:rFonts w:hint="eastAsia" w:ascii="宋体" w:hAnsi="宋体" w:eastAsia="宋体" w:cs="宋体"/>
          <w:color w:val="auto"/>
          <w:sz w:val="24"/>
          <w:szCs w:val="24"/>
          <w:highlight w:val="none"/>
          <w:lang w:val="en-US" w:eastAsia="zh-CN"/>
        </w:rPr>
        <w:t xml:space="preserve">353.8万元</w:t>
      </w:r>
      <w:r>
        <w:rPr>
          <w:rFonts w:hint="eastAsia" w:ascii="宋体" w:hAnsi="宋体" w:eastAsia="宋体" w:cs="宋体"/>
          <w:color w:val="auto"/>
          <w:sz w:val="24"/>
          <w:szCs w:val="24"/>
          <w:highlight w:val="none"/>
        </w:rPr>
        <w:t xml:space="preserve">，分包一预算为196.8万元，分包二预算为</w:t>
      </w: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rPr>
        <w:t xml:space="preserve">万元，分包三预算为</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预算为</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万元。</w:t>
      </w:r>
      <w:bookmarkEnd w:id="7"/>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分包一最高限价为196.8万元，分包二最高限价为39万元，分包三最高限价为59万元，分包四最高限价为59万元。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5.采购需求（简介）：本项目共分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个分包：</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分包一：采购一代户外健身路径80套，本分包核心产品为一代户外健身路径，预算为196.8万元。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分包二：采购室外地埋式篮球架50套，本分包核心产品为室外地埋式篮球架，预算为39万元。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分包三：采购室外乒乓球桌200张，本分包核心产品为室外乒乓球桌，预算为59万元。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分包四：采购室外灯光篮球场2片，本分包核心产品为室外灯光篮球场，预算为59万元。</w:t>
      </w:r>
      <w:r/>
    </w:p>
    <w:p>
      <w:pPr>
        <w:ind w:firstLine="480"/>
        <w:pageBreakBefore w:val="0"/>
        <w:spacing w:line="400" w:lineRule="exact"/>
        <w:shd w:val="clear" w:color="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详细内容见本招标文件第四章</w:t>
      </w:r>
      <w:r>
        <w:rPr>
          <w:rFonts w:hint="eastAsia" w:ascii="宋体" w:hAnsi="宋体" w:eastAsia="宋体" w:cs="宋体"/>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w:t>
      </w:r>
      <w:bookmarkStart w:id="8" w:name="EBb920db3eebc44049b2d27a5203bb6f6d"/>
      <w:r>
        <w:rPr>
          <w:rFonts w:hint="eastAsia" w:ascii="宋体" w:hAnsi="宋体" w:eastAsia="宋体" w:cs="宋体"/>
          <w:color w:val="auto"/>
          <w:sz w:val="24"/>
          <w:szCs w:val="24"/>
          <w:highlight w:val="none"/>
          <w:lang w:eastAsia="zh-CN"/>
        </w:rPr>
        <w:t xml:space="preserve">30个日历天。</w:t>
      </w:r>
      <w:bookmarkEnd w:id="8"/>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9" w:name="_Toc38985264"/>
      <w:r/>
      <w:bookmarkStart w:id="10" w:name="_Toc28359003"/>
      <w:r/>
      <w:bookmarkStart w:id="11" w:name="_Toc28359080"/>
      <w:r/>
      <w:bookmarkStart w:id="12" w:name="_Toc35393622"/>
      <w:r/>
      <w:bookmarkStart w:id="13" w:name="_Toc35393791"/>
      <w:r>
        <w:rPr>
          <w:rFonts w:hint="eastAsia" w:ascii="宋体" w:hAnsi="宋体" w:eastAsia="宋体" w:cs="宋体"/>
          <w:b/>
          <w:bCs/>
          <w:color w:val="auto"/>
          <w:sz w:val="24"/>
          <w:szCs w:val="24"/>
          <w:highlight w:val="none"/>
        </w:rPr>
        <w:t xml:space="preserve">二、申请人的资格要求：</w:t>
      </w:r>
      <w:bookmarkEnd w:id="9"/>
      <w:r/>
      <w:bookmarkEnd w:id="10"/>
      <w:r/>
      <w:bookmarkEnd w:id="11"/>
      <w:r/>
      <w:bookmarkEnd w:id="12"/>
      <w:r/>
      <w:bookmarkEnd w:id="13"/>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4" w:name="_Toc28359004"/>
      <w:r/>
      <w:bookmarkStart w:id="15" w:name="_Toc35393792"/>
      <w:r/>
      <w:bookmarkStart w:id="16" w:name="_Toc28359081"/>
      <w:r/>
      <w:bookmarkStart w:id="17" w:name="_Toc38985265"/>
      <w:r/>
      <w:bookmarkStart w:id="18" w:name="_Toc35393623"/>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4"/>
      <w:r/>
      <w:bookmarkEnd w:id="15"/>
      <w:r/>
      <w:bookmarkEnd w:id="16"/>
      <w:r/>
      <w:bookmarkEnd w:id="17"/>
      <w:r/>
      <w:bookmarkEnd w:id="18"/>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19" w:name="_Toc28359082"/>
      <w:r/>
      <w:bookmarkStart w:id="20" w:name="_Toc28359005"/>
      <w:r/>
      <w:bookmarkStart w:id="21" w:name="_Toc35393793"/>
      <w:r/>
      <w:bookmarkStart w:id="22" w:name="_Toc38985266"/>
      <w:r/>
      <w:bookmarkStart w:id="23" w:name="_Toc35393624"/>
      <w:r>
        <w:rPr>
          <w:rFonts w:hint="eastAsia" w:ascii="宋体" w:hAnsi="宋体" w:eastAsia="宋体" w:cs="宋体"/>
          <w:color w:val="auto"/>
          <w:sz w:val="24"/>
          <w:szCs w:val="24"/>
          <w:highlight w:val="none"/>
        </w:rPr>
        <w:t xml:space="preserve">1.获取招标文件时间：</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文件公告发布之日起5个工作日</w:t>
      </w:r>
      <w:r>
        <w:rPr>
          <w:rFonts w:hint="eastAsia" w:ascii="宋体" w:hAnsi="宋体" w:eastAsia="宋体" w:cs="宋体"/>
          <w:color w:val="000000"/>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4" w:name="EB0c44ff4da61f4af989d119fe214be450"/>
      <w:r>
        <w:rPr>
          <w:rFonts w:hint="eastAsia" w:ascii="宋体" w:hAnsi="宋体" w:eastAsia="宋体" w:cs="宋体"/>
          <w:color w:val="auto"/>
          <w:sz w:val="24"/>
          <w:szCs w:val="24"/>
          <w:highlight w:val="none"/>
        </w:rPr>
        <w:t xml:space="preserve">3.本项目共分</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个包。投标人未按要求获取招标文件导致无法投标的，后果自负（其投标文件不予接受）。</w:t>
      </w:r>
      <w:bookmarkEnd w:id="24"/>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9"/>
      <w:r/>
      <w:bookmarkEnd w:id="20"/>
      <w:r>
        <w:rPr>
          <w:rFonts w:hint="eastAsia" w:ascii="宋体" w:hAnsi="宋体" w:eastAsia="宋体" w:cs="宋体"/>
          <w:b/>
          <w:bCs/>
          <w:color w:val="auto"/>
          <w:sz w:val="24"/>
          <w:szCs w:val="24"/>
          <w:highlight w:val="none"/>
        </w:rPr>
        <w:t xml:space="preserve">截止时间、开标时间和地点</w:t>
      </w:r>
      <w:bookmarkEnd w:id="21"/>
      <w:r/>
      <w:bookmarkEnd w:id="22"/>
      <w:r/>
      <w:bookmarkEnd w:id="23"/>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rPr>
          <w:rFonts w:hint="eastAsia" w:ascii="宋体" w:hAnsi="宋体" w:eastAsia="宋体" w:cs="宋体"/>
          <w:bCs/>
          <w:color w:val="auto"/>
          <w:sz w:val="24"/>
          <w:szCs w:val="24"/>
          <w:highlight w:val="none"/>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5" w:name="_Toc28359084"/>
      <w:r/>
      <w:bookmarkStart w:id="26" w:name="_Toc38985267"/>
      <w:r/>
      <w:bookmarkStart w:id="27" w:name="_Toc28359007"/>
      <w:r/>
      <w:bookmarkStart w:id="28" w:name="_Toc35393625"/>
      <w:r/>
      <w:bookmarkStart w:id="29" w:name="_Toc35393794"/>
      <w:r>
        <w:rPr>
          <w:rFonts w:hint="eastAsia" w:ascii="宋体" w:hAnsi="宋体" w:eastAsia="宋体" w:cs="宋体"/>
          <w:b/>
          <w:bCs/>
          <w:color w:val="auto"/>
          <w:sz w:val="24"/>
          <w:szCs w:val="24"/>
          <w:highlight w:val="none"/>
        </w:rPr>
        <w:t xml:space="preserve">五、公告期限</w:t>
      </w:r>
      <w:bookmarkEnd w:id="25"/>
      <w:r/>
      <w:bookmarkEnd w:id="26"/>
      <w:r/>
      <w:bookmarkEnd w:id="27"/>
      <w:r/>
      <w:bookmarkEnd w:id="28"/>
      <w:r/>
      <w:bookmarkEnd w:id="29"/>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30" w:name="_Toc35393626"/>
      <w:r/>
      <w:bookmarkStart w:id="31" w:name="_Toc38985268"/>
      <w:r/>
      <w:bookmarkStart w:id="32" w:name="_Toc35393795"/>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招标公告发布媒体：宿迁市政府采购网、宿迁市公共资源交易平台、江苏省财政部门指定的媒体。</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30"/>
      <w:r/>
      <w:bookmarkEnd w:id="31"/>
      <w:r/>
      <w:bookmarkEnd w:id="32"/>
      <w:r/>
      <w:r/>
    </w:p>
    <w:p>
      <w:pPr>
        <w:pStyle w:val="808"/>
        <w:ind w:firstLine="465"/>
        <w:pageBreakBefore w:val="0"/>
        <w:spacing w:before="0" w:after="0" w:line="400" w:lineRule="exact"/>
        <w:shd w:val="clear" w:color="auto"/>
        <w:widowControl/>
        <w:rPr>
          <w:rFonts w:hint="eastAsia" w:ascii="宋体" w:hAnsi="宋体" w:eastAsia="宋体" w:cs="宋体"/>
          <w:b w:val="0"/>
          <w:bCs w:val="0"/>
          <w:color w:val="auto"/>
          <w:sz w:val="24"/>
          <w:szCs w:val="24"/>
          <w:highlight w:val="none"/>
        </w:rPr>
      </w:pPr>
      <w:r/>
      <w:bookmarkStart w:id="33" w:name="_Toc28359085"/>
      <w:r/>
      <w:bookmarkStart w:id="34" w:name="_Toc28359008"/>
      <w:r/>
      <w:bookmarkStart w:id="35" w:name="_Toc38985269"/>
      <w:r/>
      <w:bookmarkStart w:id="36" w:name="_Toc35393796"/>
      <w:r/>
      <w:bookmarkStart w:id="37" w:name="_Toc35393627"/>
      <w:r>
        <w:rPr>
          <w:rFonts w:hint="eastAsia" w:ascii="宋体" w:hAnsi="宋体" w:eastAsia="宋体" w:cs="宋体"/>
          <w:b w:val="0"/>
          <w:bCs w:val="0"/>
          <w:color w:val="auto"/>
          <w:sz w:val="24"/>
          <w:szCs w:val="24"/>
          <w:highlight w:val="none"/>
        </w:rPr>
        <w:t xml:space="preserve">1.财政部门监督电话：0527-8</w:t>
      </w:r>
      <w:r>
        <w:rPr>
          <w:rFonts w:hint="eastAsia" w:ascii="宋体" w:hAnsi="宋体" w:eastAsia="宋体" w:cs="宋体"/>
          <w:b w:val="0"/>
          <w:bCs w:val="0"/>
          <w:color w:val="auto"/>
          <w:sz w:val="24"/>
          <w:szCs w:val="24"/>
          <w:highlight w:val="none"/>
          <w:lang w:val="en-US" w:eastAsia="zh-CN"/>
        </w:rPr>
        <w:t xml:space="preserve">4363063</w:t>
      </w:r>
      <w:r>
        <w:rPr>
          <w:rFonts w:hint="eastAsia" w:ascii="宋体" w:hAnsi="宋体" w:eastAsia="宋体" w:cs="宋体"/>
          <w:b w:val="0"/>
          <w:bCs w:val="0"/>
          <w:color w:val="auto"/>
          <w:sz w:val="24"/>
          <w:szCs w:val="24"/>
          <w:highlight w:val="none"/>
        </w:rPr>
        <w:t xml:space="preserve">。</w:t>
      </w:r>
      <w:r/>
    </w:p>
    <w:p>
      <w:pPr>
        <w:pStyle w:val="808"/>
        <w:ind w:firstLine="465"/>
        <w:pageBreakBefore w:val="0"/>
        <w:spacing w:before="0" w:after="0" w:line="400" w:lineRule="exact"/>
        <w:shd w:val="clear" w:color="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“CA”数字证书办理：“苏采云”系统目前仅支持“苏采云”系统下的意源CA。省内各地区办理的“苏采云”系统下的意源CA全省通用。宿迁地区CA数字证书办理联系方式：18351098172。</w:t>
      </w:r>
      <w:r/>
    </w:p>
    <w:p>
      <w:pPr>
        <w:pStyle w:val="808"/>
        <w:ind w:firstLine="465"/>
        <w:pageBreakBefore w:val="0"/>
        <w:spacing w:before="0" w:after="0" w:line="400" w:lineRule="exact"/>
        <w:shd w:val="clear" w:color="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3.宿迁地区“苏采云”系统技术支持客服电话：0527-84225125、0519-86722806。</w:t>
      </w:r>
      <w:r/>
    </w:p>
    <w:p>
      <w:pPr>
        <w:pStyle w:val="808"/>
        <w:ind w:firstLine="465"/>
        <w:pageBreakBefore w:val="0"/>
        <w:spacing w:before="0" w:after="0" w:line="400" w:lineRule="exact"/>
        <w:shd w:val="clear" w:color="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4.现场勘察及答疑：本项目不组织集中勘察及答疑，供应商如对采购需求有疑问，请咨询采购单位联系人。</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3"/>
      <w:r/>
      <w:bookmarkEnd w:id="34"/>
      <w:r/>
      <w:bookmarkEnd w:id="35"/>
      <w:r/>
      <w:bookmarkEnd w:id="36"/>
      <w:r/>
      <w:bookmarkEnd w:id="3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8" w:name="_Toc28359086"/>
      <w:r/>
      <w:bookmarkStart w:id="39" w:name="_Toc28359009"/>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宿迁市体育局</w:t>
      </w:r>
      <w:bookmarkStart w:id="231" w:name="_GoBack"/>
      <w:r/>
      <w:bookmarkEnd w:id="231"/>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宿迁市宿城区世纪大道92号宿迁市全民健身中心6层</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高洋</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0527-84353970</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8"/>
      <w:r/>
      <w:bookmarkEnd w:id="39"/>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40" w:name="_Toc28359087"/>
      <w:r/>
      <w:bookmarkStart w:id="41" w:name="_Toc28359010"/>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宿迁市楚韵项目管理有限公司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宿迁市宿城区河滨街道观澜路恒大悦澜湾南门办公楼</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沈晨</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40"/>
      <w:r/>
      <w:bookmarkEnd w:id="41"/>
      <w:r>
        <w:rPr>
          <w:rFonts w:hint="eastAsia" w:ascii="宋体" w:hAnsi="宋体" w:eastAsia="宋体" w:cs="宋体"/>
          <w:color w:val="auto"/>
          <w:sz w:val="24"/>
          <w:szCs w:val="24"/>
          <w:highlight w:val="none"/>
          <w:lang w:eastAsia="zh-CN"/>
        </w:rPr>
        <w:t xml:space="preserve">19305243020</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06"/>
        <w:jc w:val="center"/>
        <w:shd w:val="clear" w:color="auto"/>
        <w:rPr>
          <w:rFonts w:hint="eastAsia" w:ascii="宋体" w:hAnsi="宋体" w:eastAsia="宋体" w:cs="宋体"/>
          <w:b/>
          <w:bCs/>
          <w:color w:val="auto"/>
          <w:highlight w:val="none"/>
        </w:rPr>
      </w:pPr>
      <w:r/>
      <w:bookmarkStart w:id="42" w:name="_Toc6971"/>
      <w:r>
        <w:rPr>
          <w:rFonts w:hint="eastAsia" w:ascii="宋体" w:hAnsi="宋体" w:eastAsia="宋体" w:cs="宋体"/>
          <w:b/>
          <w:bCs/>
          <w:color w:val="auto"/>
          <w:sz w:val="44"/>
          <w:szCs w:val="44"/>
          <w:highlight w:val="none"/>
        </w:rPr>
        <w:t xml:space="preserve">第二章  </w:t>
      </w:r>
      <w:bookmarkStart w:id="43" w:name="_Toc513029202"/>
      <w:r/>
      <w:bookmarkStart w:id="44" w:name="_Toc120614213"/>
      <w:r/>
      <w:bookmarkStart w:id="45" w:name="_Toc20823274"/>
      <w:r/>
      <w:bookmarkStart w:id="46" w:name="_Toc16938518"/>
      <w:r>
        <w:rPr>
          <w:rFonts w:hint="eastAsia" w:ascii="宋体" w:hAnsi="宋体" w:eastAsia="宋体" w:cs="宋体"/>
          <w:b/>
          <w:bCs/>
          <w:color w:val="auto"/>
          <w:sz w:val="44"/>
          <w:szCs w:val="44"/>
          <w:highlight w:val="none"/>
        </w:rPr>
        <w:t xml:space="preserve">投标人须知</w:t>
      </w:r>
      <w:bookmarkEnd w:id="42"/>
      <w:r/>
      <w:bookmarkEnd w:id="43"/>
      <w:r/>
      <w:bookmarkEnd w:id="44"/>
      <w:r/>
      <w:bookmarkEnd w:id="45"/>
      <w:r/>
      <w:bookmarkEnd w:id="46"/>
      <w:r/>
      <w:r/>
    </w:p>
    <w:tbl>
      <w:tblPr>
        <w:tblStyle w:val="816"/>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cs="宋体"/>
                <w:b/>
                <w:sz w:val="24"/>
                <w:szCs w:val="24"/>
              </w:rPr>
            </w:pPr>
            <w:r/>
            <w:bookmarkStart w:id="47" w:name="_Toc16938519"/>
            <w:r/>
            <w:bookmarkStart w:id="48" w:name="_Toc20823275"/>
            <w:r/>
            <w:bookmarkStart w:id="49" w:name="_Toc120614214"/>
            <w:r/>
            <w:bookmarkStart w:id="50" w:name="_Toc513029203"/>
            <w:r>
              <w:rPr>
                <w:rFonts w:hint="eastAsia" w:ascii="宋体" w:hAnsi="宋体" w:eastAsia="宋体" w:cs="宋体"/>
                <w:b/>
                <w:bCs/>
                <w:color w:val="auto"/>
                <w:sz w:val="24"/>
                <w:szCs w:val="24"/>
                <w:highlight w:val="none"/>
              </w:rPr>
              <w:br w:type="page" w:clear="all"/>
            </w:r>
            <w:bookmarkStart w:id="51" w:name="_Toc81575154"/>
            <w:r/>
            <w:bookmarkStart w:id="52" w:name="_Toc29262"/>
            <w:r/>
            <w:bookmarkStart w:id="53" w:name="_Toc81575191"/>
            <w:r>
              <w:rPr>
                <w:rFonts w:hint="eastAsia" w:ascii="宋体" w:hAnsi="宋体" w:eastAsia="宋体" w:cs="宋体"/>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w:t>
            </w:r>
            <w:bookmarkStart w:id="54" w:name="EB9a5853ee094f4f0ea6ec3169265f6f2c"/>
            <w:r>
              <w:rPr>
                <w:rFonts w:hint="eastAsia" w:ascii="宋体" w:hAnsi="宋体" w:eastAsia="宋体" w:cs="宋体"/>
                <w:sz w:val="24"/>
                <w:szCs w:val="24"/>
              </w:rPr>
              <w:t xml:space="preserve">属性按以下第</w:t>
            </w:r>
            <w:bookmarkEnd w:id="54"/>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种确定：</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w:t>
            </w:r>
            <w:bookmarkStart w:id="55" w:name="EBd5c6c026f9674c39b21b31ecd0c1e7fa"/>
            <w:r>
              <w:rPr>
                <w:rFonts w:hint="eastAsia" w:ascii="宋体" w:hAnsi="宋体" w:eastAsia="宋体" w:cs="宋体"/>
                <w:sz w:val="24"/>
                <w:szCs w:val="24"/>
              </w:rPr>
              <w:t xml:space="preserve">采购；2.</w:t>
            </w:r>
            <w:bookmarkEnd w:id="55"/>
            <w:r>
              <w:rPr>
                <w:rFonts w:hint="eastAsia" w:ascii="宋体" w:hAnsi="宋体" w:eastAsia="宋体" w:cs="宋体"/>
                <w:sz w:val="24"/>
                <w:szCs w:val="24"/>
              </w:rPr>
              <w:t xml:space="preserve">服务</w:t>
            </w:r>
            <w:bookmarkStart w:id="56" w:name="EBf7d2a4f44ecb4166a93ea852e73be69f"/>
            <w:r>
              <w:rPr>
                <w:rFonts w:hint="eastAsia" w:ascii="宋体" w:hAnsi="宋体" w:eastAsia="宋体" w:cs="宋体"/>
                <w:sz w:val="24"/>
                <w:szCs w:val="24"/>
              </w:rPr>
              <w:t xml:space="preserve">采购；3.</w:t>
            </w:r>
            <w:bookmarkEnd w:id="56"/>
            <w:r>
              <w:rPr>
                <w:rFonts w:hint="eastAsia" w:ascii="宋体" w:hAnsi="宋体" w:eastAsia="宋体" w:cs="宋体"/>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bookmarkStart w:id="57" w:name="EBd40b5fb42f2944a3b45e579ce3941f02"/>
            <w:r/>
            <w:bookmarkEnd w:id="57"/>
            <w:r>
              <w:rPr>
                <w:rFonts w:hint="eastAsia" w:ascii="宋体" w:hAnsi="宋体" w:eastAsia="宋体" w:cs="宋体"/>
                <w:sz w:val="24"/>
                <w:szCs w:val="24"/>
                <w:u w:val="single"/>
              </w:rPr>
              <w:t xml:space="preserve">60</w:t>
            </w:r>
            <w:r>
              <w:rPr>
                <w:rFonts w:hint="eastAsia" w:ascii="宋体" w:hAnsi="宋体" w:eastAsia="宋体" w:cs="宋体"/>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提交加密电子投标文件</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种方式确定：</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1.接受进口产品。</w:t>
            </w:r>
            <w:r>
              <w:rPr>
                <w:rFonts w:hint="eastAsia" w:ascii="宋体" w:hAnsi="宋体" w:eastAsia="宋体" w:cs="宋体"/>
                <w:sz w:val="24"/>
              </w:rPr>
              <w:t xml:space="preserve">应当符合《政府采购进口产品管理办法》（财库〔2007〕119号）、《关于政府采购进口产品管理有关问题的通知》（财办库〔2008〕248号）等相关规定</w:t>
            </w:r>
            <w:r>
              <w:rPr>
                <w:rFonts w:hint="eastAsia" w:ascii="宋体" w:hAnsi="宋体" w:eastAsia="宋体" w:cs="宋体"/>
                <w:sz w:val="24"/>
                <w:szCs w:val="24"/>
              </w:rPr>
              <w:t xml:space="preserve">；</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具体评标办法详见招标文件第</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章。</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评标委员会依据招标文件规定的评标办法和标准推荐</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bookmarkStart w:id="58" w:name="EBebac1462c5d9459fbda8a75065c2455d"/>
            <w:r>
              <w:rPr>
                <w:rFonts w:hint="eastAsia" w:ascii="宋体" w:hAnsi="宋体" w:eastAsia="宋体" w:cs="宋体"/>
                <w:sz w:val="24"/>
                <w:szCs w:val="24"/>
              </w:rPr>
              <w:t xml:space="preserve">本项目的非主体、非关键性工作是否允许分包</w:t>
            </w:r>
            <w:bookmarkEnd w:id="58"/>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种方式确定：</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1.允许分包，</w:t>
            </w:r>
            <w:bookmarkStart w:id="59" w:name="EB512ba06683724173802e2aae54a26079"/>
            <w:r>
              <w:rPr>
                <w:rFonts w:hint="eastAsia" w:ascii="宋体" w:hAnsi="宋体" w:eastAsia="宋体" w:cs="宋体"/>
                <w:sz w:val="24"/>
                <w:szCs w:val="24"/>
              </w:rPr>
              <w:t xml:space="preserve">允许大中型企业向一家或者多家小微企业分包，分包具体内容、金额或比例：</w:t>
            </w:r>
            <w:bookmarkEnd w:id="59"/>
            <w:r>
              <w:rPr>
                <w:rFonts w:hint="eastAsia" w:ascii="宋体" w:hAnsi="宋体" w:eastAsia="宋体" w:cs="宋体"/>
                <w:sz w:val="24"/>
                <w:szCs w:val="24"/>
              </w:rPr>
              <w:t xml:space="preserve">无</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其他</w:t>
            </w:r>
            <w:bookmarkEnd w:id="51"/>
            <w:r/>
            <w:bookmarkEnd w:id="52"/>
            <w:r/>
            <w:bookmarkEnd w:id="53"/>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spacing w:line="400" w:lineRule="exact"/>
              <w:rPr>
                <w:rFonts w:hint="eastAsia" w:ascii="宋体" w:hAnsi="宋体" w:eastAsia="宋体" w:cs="宋体"/>
                <w:b/>
                <w:bCs/>
                <w:sz w:val="24"/>
                <w:szCs w:val="24"/>
              </w:rPr>
            </w:pPr>
            <w:r>
              <w:rPr>
                <w:rFonts w:hint="eastAsia" w:ascii="宋体" w:hAnsi="宋体" w:eastAsia="宋体" w:cs="宋体"/>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08"/>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bookmarkEnd w:id="47"/>
      <w:r/>
      <w:bookmarkEnd w:id="48"/>
      <w:r/>
      <w:bookmarkEnd w:id="49"/>
      <w:r/>
      <w:bookmarkEnd w:id="50"/>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0" w:name="_Hlt16619475"/>
      <w:r/>
      <w:bookmarkEnd w:id="60"/>
      <w:r/>
      <w:bookmarkStart w:id="61" w:name="_Toc458694821"/>
      <w:r/>
      <w:bookmarkStart w:id="62" w:name="_Toc20823276"/>
      <w:r/>
      <w:bookmarkStart w:id="63" w:name="_Toc16938520"/>
      <w:r/>
      <w:bookmarkStart w:id="64" w:name="_Toc513029204"/>
      <w:r>
        <w:rPr>
          <w:rFonts w:hint="eastAsia" w:ascii="宋体" w:hAnsi="宋体" w:eastAsia="宋体" w:cs="宋体"/>
          <w:b w:val="0"/>
          <w:bCs w:val="0"/>
          <w:color w:val="auto"/>
          <w:sz w:val="24"/>
          <w:szCs w:val="24"/>
          <w:highlight w:val="none"/>
          <w:lang w:eastAsia="zh-CN"/>
        </w:rPr>
        <w:t xml:space="preserve">1.</w:t>
      </w:r>
      <w:bookmarkEnd w:id="61"/>
      <w:r>
        <w:rPr>
          <w:rFonts w:hint="eastAsia" w:ascii="宋体" w:hAnsi="宋体" w:eastAsia="宋体" w:cs="宋体"/>
          <w:b w:val="0"/>
          <w:bCs w:val="0"/>
          <w:color w:val="auto"/>
          <w:sz w:val="24"/>
          <w:szCs w:val="24"/>
          <w:highlight w:val="none"/>
        </w:rPr>
        <w:t xml:space="preserve">招标方式</w:t>
      </w:r>
      <w:bookmarkEnd w:id="62"/>
      <w:r/>
      <w:bookmarkEnd w:id="63"/>
      <w:r/>
      <w:bookmarkEnd w:id="6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5" w:name="_Toc513029205"/>
      <w:r/>
      <w:bookmarkStart w:id="66" w:name="_Toc16938521"/>
      <w:r/>
      <w:bookmarkStart w:id="67" w:name="_Toc20823277"/>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65"/>
      <w:r/>
      <w:bookmarkEnd w:id="66"/>
      <w:r/>
      <w:bookmarkEnd w:id="6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8" w:name="_Toc20823278"/>
      <w:r/>
      <w:bookmarkStart w:id="69" w:name="_Toc16938522"/>
      <w:r/>
      <w:bookmarkStart w:id="70" w:name="_Toc513029206"/>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68"/>
      <w:r/>
      <w:bookmarkEnd w:id="69"/>
      <w:r/>
      <w:bookmarkEnd w:id="7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1" w:name="_Toc513029207"/>
      <w:r/>
      <w:bookmarkStart w:id="72" w:name="_Toc20823279"/>
      <w:r/>
      <w:bookmarkStart w:id="73" w:name="_Toc462564067"/>
      <w:r/>
      <w:bookmarkStart w:id="74" w:name="_Toc16938523"/>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71"/>
      <w:r/>
      <w:bookmarkEnd w:id="72"/>
      <w:r/>
      <w:bookmarkEnd w:id="73"/>
      <w:r/>
      <w:bookmarkEnd w:id="7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w:t>
      </w:r>
      <w:r>
        <w:rPr>
          <w:rFonts w:hint="eastAsia" w:ascii="宋体" w:hAnsi="宋体" w:eastAsia="宋体" w:cs="宋体"/>
          <w:color w:val="auto"/>
          <w:sz w:val="24"/>
          <w:szCs w:val="24"/>
          <w:highlight w:val="none"/>
          <w:u w:val="single"/>
        </w:rPr>
        <w:t xml:space="preserve">4.2.2</w:t>
      </w:r>
      <w:r>
        <w:rPr>
          <w:rFonts w:hint="eastAsia" w:ascii="宋体" w:hAnsi="宋体" w:eastAsia="宋体" w:cs="宋体"/>
          <w:color w:val="auto"/>
          <w:sz w:val="24"/>
          <w:szCs w:val="24"/>
          <w:highlight w:val="none"/>
        </w:rPr>
        <w:t xml:space="preserve">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93"/>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w:t>
      </w:r>
      <w:r>
        <w:rPr>
          <w:rFonts w:hint="eastAsia" w:ascii="宋体" w:hAnsi="宋体" w:eastAsia="宋体" w:cs="宋体"/>
          <w:sz w:val="24"/>
          <w:szCs w:val="21"/>
          <w:highlight w:val="none"/>
          <w:lang w:val="zh-CN"/>
        </w:rPr>
        <w:t xml:space="preserve">采购人支付，具体方式及标准为：</w:t>
      </w:r>
      <w:r>
        <w:rPr>
          <w:rFonts w:hint="eastAsia" w:ascii="Times New Roman" w:hAnsi="Times New Roman" w:eastAsia="宋体" w:cs="Times New Roman"/>
          <w:caps w:val="0"/>
          <w:color w:val="auto"/>
          <w:sz w:val="24"/>
          <w:szCs w:val="21"/>
          <w:highlight w:val="none"/>
          <w:u w:val="single"/>
          <w:lang w:val="zh-CN"/>
        </w:rPr>
        <w:t xml:space="preserve">根据中标金额参考发改办价格[2003]857号文规定标准向代理单位交纳代理服务费，建议推行数字人民币支付，由采购人支付</w:t>
      </w:r>
      <w:r>
        <w:rPr>
          <w:rFonts w:hint="eastAsia" w:ascii="Times New Roman" w:hAnsi="Times New Roman" w:eastAsia="宋体" w:cs="Times New Roman"/>
          <w:caps w:val="0"/>
          <w:color w:val="auto"/>
          <w:sz w:val="24"/>
          <w:szCs w:val="21"/>
          <w:highlight w:val="none"/>
          <w:u w:val="single"/>
          <w:lang w:val="en-US" w:eastAsia="zh-CN"/>
        </w:rPr>
        <w:t xml:space="preserve">。</w:t>
      </w:r>
      <w:r/>
    </w:p>
    <w:p>
      <w:pPr>
        <w:pStyle w:val="809"/>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808"/>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75" w:name="_Toc513029209"/>
      <w:r/>
      <w:bookmarkStart w:id="76" w:name="_Toc120614215"/>
      <w:r/>
      <w:bookmarkStart w:id="77" w:name="_Toc20823281"/>
      <w:r/>
      <w:bookmarkStart w:id="78" w:name="_Toc16938525"/>
      <w:r>
        <w:rPr>
          <w:rFonts w:hint="eastAsia" w:ascii="宋体" w:hAnsi="宋体" w:eastAsia="宋体" w:cs="宋体"/>
          <w:b/>
          <w:bCs/>
          <w:color w:val="auto"/>
          <w:sz w:val="24"/>
          <w:szCs w:val="24"/>
          <w:highlight w:val="none"/>
        </w:rPr>
        <w:t xml:space="preserve">二、招标文件</w:t>
      </w:r>
      <w:bookmarkEnd w:id="75"/>
      <w:r/>
      <w:bookmarkEnd w:id="76"/>
      <w:r/>
      <w:bookmarkEnd w:id="77"/>
      <w:r/>
      <w:bookmarkEnd w:id="78"/>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9" w:name="_Toc513029210"/>
      <w:r/>
      <w:bookmarkStart w:id="80" w:name="_Toc20823282"/>
      <w:r/>
      <w:bookmarkStart w:id="81" w:name="_Toc16938526"/>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79"/>
      <w:r/>
      <w:bookmarkEnd w:id="80"/>
      <w:r/>
      <w:bookmarkEnd w:id="8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9"/>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2" w:name="_Toc462564070"/>
      <w:r/>
      <w:bookmarkStart w:id="83" w:name="_Toc20823283"/>
      <w:r/>
      <w:bookmarkStart w:id="84" w:name="_Toc16938527"/>
      <w:r/>
      <w:bookmarkStart w:id="85" w:name="_Toc513029211"/>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82"/>
      <w:r/>
      <w:bookmarkEnd w:id="83"/>
      <w:r/>
      <w:bookmarkEnd w:id="84"/>
      <w:r/>
      <w:bookmarkEnd w:id="8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809"/>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6" w:name="_Toc20823284"/>
      <w:r/>
      <w:bookmarkStart w:id="87" w:name="_Toc16938528"/>
      <w:r/>
      <w:bookmarkStart w:id="88" w:name="_Toc513029212"/>
      <w:r/>
      <w:bookmarkStart w:id="89" w:name="_Toc462564071"/>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86"/>
      <w:r/>
      <w:bookmarkEnd w:id="87"/>
      <w:r/>
      <w:bookmarkEnd w:id="88"/>
      <w:r/>
      <w:bookmarkEnd w:id="8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808"/>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90" w:name="_Toc20823285"/>
      <w:r/>
      <w:bookmarkStart w:id="91" w:name="_Toc462564072"/>
      <w:r/>
      <w:bookmarkStart w:id="92" w:name="_Toc16938529"/>
      <w:r/>
      <w:bookmarkStart w:id="93" w:name="_Toc513029213"/>
      <w:r/>
      <w:bookmarkStart w:id="94" w:name="_Toc120614216"/>
      <w:r>
        <w:rPr>
          <w:rFonts w:hint="eastAsia" w:ascii="宋体" w:hAnsi="宋体" w:eastAsia="宋体" w:cs="宋体"/>
          <w:b/>
          <w:bCs/>
          <w:color w:val="auto"/>
          <w:sz w:val="24"/>
          <w:szCs w:val="24"/>
          <w:highlight w:val="none"/>
        </w:rPr>
        <w:t xml:space="preserve">三、投标文件的编制</w:t>
      </w:r>
      <w:bookmarkEnd w:id="90"/>
      <w:r/>
      <w:bookmarkEnd w:id="91"/>
      <w:r/>
      <w:bookmarkEnd w:id="92"/>
      <w:r/>
      <w:bookmarkEnd w:id="93"/>
      <w:r/>
      <w:bookmarkEnd w:id="94"/>
      <w:r/>
      <w:r/>
    </w:p>
    <w:p>
      <w:pPr>
        <w:pStyle w:val="809"/>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95" w:name="_Toc462564073"/>
      <w:r/>
      <w:bookmarkStart w:id="96" w:name="_Toc16938530"/>
      <w:r/>
      <w:bookmarkStart w:id="97" w:name="_Toc513029214"/>
      <w:r/>
      <w:bookmarkStart w:id="98" w:name="_Toc20823286"/>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95"/>
      <w:r/>
      <w:bookmarkEnd w:id="96"/>
      <w:r/>
      <w:bookmarkEnd w:id="97"/>
      <w:r/>
      <w:bookmarkEnd w:id="9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9" w:name="_Toc16938531"/>
      <w:r/>
      <w:bookmarkStart w:id="100" w:name="_Toc513029215"/>
      <w:r/>
      <w:bookmarkStart w:id="101" w:name="_Toc20823287"/>
      <w:r/>
      <w:bookmarkStart w:id="102" w:name="_Toc462564074"/>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99"/>
      <w:r/>
      <w:bookmarkEnd w:id="100"/>
      <w:r/>
      <w:bookmarkEnd w:id="101"/>
      <w:r/>
      <w:bookmarkEnd w:id="10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03"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4" w:name="_Hlt26954838"/>
      <w:r/>
      <w:bookmarkEnd w:id="104"/>
      <w:r/>
      <w:bookmarkStart w:id="105" w:name="_Hlt26668975"/>
      <w:r/>
      <w:bookmarkEnd w:id="105"/>
      <w:r/>
      <w:bookmarkStart w:id="106" w:name="_Hlt26670360"/>
      <w:r/>
      <w:bookmarkEnd w:id="106"/>
      <w:r/>
      <w:bookmarkStart w:id="107" w:name="_Toc14577354"/>
      <w:r/>
      <w:bookmarkStart w:id="108" w:name="_Toc513029219"/>
      <w:r/>
      <w:bookmarkStart w:id="109" w:name="_Toc49090507"/>
      <w:r/>
      <w:bookmarkStart w:id="110" w:name="_Toc513029216"/>
      <w:r/>
      <w:bookmarkStart w:id="111" w:name="_Toc14577357"/>
      <w:r/>
      <w:bookmarkStart w:id="112" w:name="_Toc49090509"/>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107"/>
      <w:r/>
      <w:bookmarkEnd w:id="108"/>
      <w:r/>
      <w:bookmarkEnd w:id="109"/>
      <w:r/>
      <w:bookmarkEnd w:id="110"/>
      <w:r/>
      <w:bookmarkEnd w:id="111"/>
      <w:r/>
      <w:bookmarkEnd w:id="11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13" w:name="_Toc14577355"/>
      <w:r/>
      <w:bookmarkStart w:id="114"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13"/>
      <w:r/>
      <w:bookmarkStart w:id="115" w:name="_Hlt26670373"/>
      <w:r/>
      <w:bookmarkEnd w:id="115"/>
      <w:r>
        <w:rPr>
          <w:rFonts w:hint="eastAsia" w:ascii="宋体" w:hAnsi="宋体" w:eastAsia="宋体" w:cs="宋体"/>
          <w:b w:val="0"/>
          <w:bCs w:val="0"/>
          <w:color w:val="auto"/>
          <w:sz w:val="24"/>
          <w:szCs w:val="24"/>
          <w:highlight w:val="none"/>
        </w:rPr>
        <w:t xml:space="preserve">表</w:t>
      </w:r>
      <w:bookmarkEnd w:id="11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16" w:name="_Hlt26954840"/>
      <w:r/>
      <w:bookmarkEnd w:id="116"/>
      <w:r>
        <w:rPr>
          <w:rFonts w:hint="eastAsia" w:ascii="宋体" w:hAnsi="宋体" w:eastAsia="宋体" w:cs="宋体"/>
          <w:color w:val="auto"/>
          <w:sz w:val="24"/>
          <w:szCs w:val="24"/>
          <w:highlight w:val="none"/>
        </w:rPr>
        <w:t xml:space="preserve">标人应按照招标文件规定格式填报投标分项报价表</w:t>
      </w:r>
      <w:bookmarkStart w:id="117" w:name="_Hlt26670399"/>
      <w:r/>
      <w:bookmarkEnd w:id="117"/>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18" w:name="_Hlt26954848"/>
      <w:r/>
      <w:bookmarkEnd w:id="118"/>
      <w:r/>
      <w:bookmarkStart w:id="119" w:name="_Hlt26954846"/>
      <w:r/>
      <w:bookmarkEnd w:id="119"/>
      <w:r/>
      <w:bookmarkStart w:id="120" w:name="_Hlt26668983"/>
      <w:r/>
      <w:bookmarkEnd w:id="120"/>
      <w:r/>
      <w:bookmarkStart w:id="121" w:name="_Hlt26670482"/>
      <w:r/>
      <w:bookmarkEnd w:id="121"/>
      <w:r/>
      <w:bookmarkStart w:id="122" w:name="_Hlt26670486"/>
      <w:r/>
      <w:bookmarkEnd w:id="122"/>
      <w:r/>
      <w:bookmarkStart w:id="123" w:name="_Hlt26954844"/>
      <w:r/>
      <w:bookmarkEnd w:id="123"/>
      <w:r/>
      <w:bookmarkStart w:id="124" w:name="_Hlt26954842"/>
      <w:r/>
      <w:bookmarkEnd w:id="124"/>
      <w:r/>
      <w:bookmarkStart w:id="125" w:name="_Hlt26670425"/>
      <w:r/>
      <w:bookmarkEnd w:id="125"/>
      <w:r/>
      <w:bookmarkStart w:id="126" w:name="_Hlt26954731"/>
      <w:r/>
      <w:bookmarkEnd w:id="126"/>
      <w:r/>
      <w:bookmarkStart w:id="127" w:name="_Hlt26670403"/>
      <w:r/>
      <w:bookmarkEnd w:id="127"/>
      <w:r/>
      <w:bookmarkStart w:id="128" w:name="_Toc14577359"/>
      <w:r/>
      <w:bookmarkStart w:id="129" w:name="_Toc49090510"/>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28"/>
      <w:r/>
      <w:bookmarkEnd w:id="129"/>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30" w:name="_Hlt26954850"/>
      <w:r/>
      <w:bookmarkEnd w:id="130"/>
      <w:r/>
      <w:bookmarkStart w:id="131" w:name="_Hlt26670489"/>
      <w:r/>
      <w:bookmarkEnd w:id="131"/>
      <w:r/>
      <w:bookmarkStart w:id="132" w:name="_Hlt26954734"/>
      <w:r/>
      <w:bookmarkEnd w:id="132"/>
      <w:r/>
      <w:bookmarkStart w:id="133" w:name="_Toc14577360"/>
      <w:r/>
      <w:bookmarkStart w:id="134" w:name="_Toc49090511"/>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33"/>
      <w:r/>
      <w:bookmarkEnd w:id="13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808"/>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35" w:name="_Hlt26954852"/>
      <w:r/>
      <w:bookmarkEnd w:id="135"/>
      <w:r/>
      <w:bookmarkStart w:id="136" w:name="_Hlt26954739"/>
      <w:r/>
      <w:bookmarkEnd w:id="136"/>
      <w:r/>
      <w:bookmarkStart w:id="137" w:name="_Toc120614217"/>
      <w:r/>
      <w:bookmarkStart w:id="138" w:name="_Toc16938540"/>
      <w:r/>
      <w:bookmarkStart w:id="139" w:name="_Toc20823296"/>
      <w:r/>
      <w:bookmarkStart w:id="140" w:name="_Toc513029224"/>
      <w:r>
        <w:rPr>
          <w:rFonts w:hint="eastAsia" w:ascii="宋体" w:hAnsi="宋体" w:eastAsia="宋体" w:cs="宋体"/>
          <w:b/>
          <w:bCs/>
          <w:color w:val="auto"/>
          <w:sz w:val="24"/>
          <w:szCs w:val="24"/>
          <w:highlight w:val="none"/>
        </w:rPr>
        <w:t xml:space="preserve">四、投标文件的递交</w:t>
      </w:r>
      <w:bookmarkEnd w:id="137"/>
      <w:r/>
      <w:bookmarkEnd w:id="138"/>
      <w:r/>
      <w:bookmarkEnd w:id="139"/>
      <w:r/>
      <w:bookmarkEnd w:id="140"/>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1" w:name="_Toc462564084"/>
      <w:r/>
      <w:bookmarkStart w:id="142" w:name="_Toc513029225"/>
      <w:r/>
      <w:bookmarkStart w:id="143" w:name="_Toc20823297"/>
      <w:r/>
      <w:bookmarkStart w:id="144" w:name="_Toc16938541"/>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41"/>
      <w:r/>
      <w:bookmarkEnd w:id="142"/>
      <w:r/>
      <w:bookmarkEnd w:id="143"/>
      <w:r/>
      <w:bookmarkEnd w:id="144"/>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45" w:name="_Toc20823298"/>
      <w:r/>
      <w:bookmarkStart w:id="146" w:name="_Toc513029226"/>
      <w:r/>
      <w:bookmarkStart w:id="147" w:name="_Toc1693854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45"/>
      <w:r/>
      <w:bookmarkEnd w:id="146"/>
      <w:r/>
      <w:bookmarkEnd w:id="147"/>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8" w:name="_Toc16938543"/>
      <w:r/>
      <w:bookmarkStart w:id="149" w:name="_Toc513029227"/>
      <w:r/>
      <w:bookmarkStart w:id="150" w:name="_Toc20823299"/>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48"/>
      <w:r/>
      <w:bookmarkEnd w:id="149"/>
      <w:r/>
      <w:bookmarkEnd w:id="150"/>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1" w:name="_Toc20823300"/>
      <w:r/>
      <w:bookmarkStart w:id="152" w:name="_Toc513029228"/>
      <w:r/>
      <w:bookmarkStart w:id="153" w:name="_Toc16938544"/>
      <w:r/>
      <w:bookmarkStart w:id="154" w:name="_Toc20823301"/>
      <w:r/>
      <w:bookmarkStart w:id="155" w:name="_Toc120614218"/>
      <w:r/>
      <w:bookmarkStart w:id="156" w:name="_Toc513029229"/>
      <w:r/>
      <w:bookmarkStart w:id="157" w:name="_Toc16938545"/>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51"/>
      <w:r/>
      <w:bookmarkEnd w:id="152"/>
      <w:r/>
      <w:bookmarkEnd w:id="15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808"/>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54"/>
      <w:r/>
      <w:bookmarkEnd w:id="155"/>
      <w:r/>
      <w:bookmarkEnd w:id="156"/>
      <w:r/>
      <w:bookmarkEnd w:id="157"/>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8" w:name="_Toc20823302"/>
      <w:r/>
      <w:bookmarkStart w:id="159" w:name="_Toc513029230"/>
      <w:r/>
      <w:bookmarkStart w:id="160" w:name="_Toc16938546"/>
      <w:r/>
      <w:bookmarkStart w:id="161" w:name="_Toc16938547"/>
      <w:r/>
      <w:bookmarkStart w:id="162" w:name="_Toc20823303"/>
      <w:r/>
      <w:bookmarkStart w:id="163" w:name="_Toc513029231"/>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58"/>
      <w:r/>
      <w:bookmarkEnd w:id="159"/>
      <w:r/>
      <w:bookmarkEnd w:id="160"/>
      <w:r/>
      <w:r/>
    </w:p>
    <w:p>
      <w:pPr>
        <w:pStyle w:val="995"/>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95"/>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61"/>
      <w:r/>
      <w:bookmarkEnd w:id="162"/>
      <w:r/>
      <w:bookmarkEnd w:id="16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4" w:name="_Toc16938548"/>
      <w:r/>
      <w:bookmarkStart w:id="165" w:name="_Toc20823304"/>
      <w:r/>
      <w:bookmarkStart w:id="166" w:name="_Toc513029232"/>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64"/>
      <w:r/>
      <w:bookmarkEnd w:id="165"/>
      <w:r/>
      <w:bookmarkEnd w:id="16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95"/>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7" w:name="_Toc513029233"/>
      <w:r/>
      <w:bookmarkStart w:id="168" w:name="_Toc20823305"/>
      <w:r/>
      <w:bookmarkStart w:id="169" w:name="_Toc16938549"/>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67"/>
      <w:r/>
      <w:bookmarkEnd w:id="168"/>
      <w:r/>
      <w:bookmarkEnd w:id="16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eastAsia="宋体" w:cs="宋体"/>
          <w:bCs/>
          <w:color w:val="auto"/>
          <w:sz w:val="24"/>
          <w:highlight w:val="none"/>
        </w:rPr>
        <w:t xml:space="preserve">；供应商不能证明其报价合理性的，评委会</w:t>
      </w:r>
      <w:r>
        <w:rPr>
          <w:rFonts w:hint="eastAsia" w:ascii="宋体" w:hAnsi="宋体" w:eastAsia="宋体" w:cs="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政府采购评审中出现下列情形之一的，评审委员会应当启动异常低价投标（响应）审查程序： </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全部通过符合性审查供应商投标（响应）报价平均值×50%；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通过符合性审查的次低报价供应商投标（响应）报价×50%；</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26.7.3</w:t>
      </w:r>
      <w:r>
        <w:rPr>
          <w:rFonts w:hint="eastAsia" w:ascii="宋体" w:hAnsi="宋体" w:eastAsia="宋体" w:cs="宋体"/>
          <w:color w:val="auto"/>
          <w:sz w:val="24"/>
          <w:szCs w:val="24"/>
          <w:highlight w:val="none"/>
        </w:rPr>
        <w:t xml:space="preserve">投标（响应）报价低于采购项目最高限价45%的，即投标（响应）报价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采购项目最高限价×45%；</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26.7.4</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0" w:name="_Toc513029234"/>
      <w:r/>
      <w:bookmarkStart w:id="171" w:name="_Toc16938550"/>
      <w:r/>
      <w:bookmarkStart w:id="172"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70"/>
      <w:r/>
      <w:bookmarkEnd w:id="171"/>
      <w:r/>
      <w:bookmarkEnd w:id="172"/>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3" w:name="_Toc20823307"/>
      <w:r/>
      <w:bookmarkStart w:id="174" w:name="_Toc513029235"/>
      <w:r/>
      <w:bookmarkStart w:id="175" w:name="_Toc16938551"/>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808"/>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76" w:name="_Toc120614219"/>
      <w:r>
        <w:rPr>
          <w:rFonts w:hint="eastAsia" w:ascii="宋体" w:hAnsi="宋体" w:eastAsia="宋体" w:cs="宋体"/>
          <w:b/>
          <w:bCs/>
          <w:color w:val="auto"/>
          <w:sz w:val="24"/>
          <w:szCs w:val="24"/>
          <w:highlight w:val="none"/>
        </w:rPr>
        <w:t xml:space="preserve">六、</w:t>
      </w:r>
      <w:bookmarkEnd w:id="173"/>
      <w:r/>
      <w:bookmarkEnd w:id="174"/>
      <w:r/>
      <w:bookmarkEnd w:id="175"/>
      <w:r>
        <w:rPr>
          <w:rFonts w:hint="eastAsia" w:ascii="宋体" w:hAnsi="宋体" w:eastAsia="宋体" w:cs="宋体"/>
          <w:b/>
          <w:bCs/>
          <w:color w:val="auto"/>
          <w:sz w:val="24"/>
          <w:szCs w:val="24"/>
          <w:highlight w:val="none"/>
        </w:rPr>
        <w:t xml:space="preserve">定标</w:t>
      </w:r>
      <w:bookmarkEnd w:id="176"/>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7" w:name="_Toc513029238"/>
      <w:r/>
      <w:bookmarkStart w:id="178" w:name="_Toc16938554"/>
      <w:r/>
      <w:bookmarkStart w:id="179" w:name="_Toc20823310"/>
      <w:r>
        <w:rPr>
          <w:rFonts w:hint="eastAsia" w:ascii="宋体" w:hAnsi="宋体" w:eastAsia="宋体" w:cs="宋体"/>
          <w:b w:val="0"/>
          <w:color w:val="auto"/>
          <w:sz w:val="24"/>
          <w:szCs w:val="24"/>
          <w:highlight w:val="none"/>
          <w:lang w:eastAsia="zh-CN"/>
        </w:rPr>
        <w:t xml:space="preserve">28.</w:t>
      </w:r>
      <w:bookmarkEnd w:id="177"/>
      <w:r>
        <w:rPr>
          <w:rFonts w:hint="eastAsia" w:ascii="宋体" w:hAnsi="宋体" w:eastAsia="宋体" w:cs="宋体"/>
          <w:b w:val="0"/>
          <w:color w:val="auto"/>
          <w:sz w:val="24"/>
          <w:szCs w:val="24"/>
          <w:highlight w:val="none"/>
        </w:rPr>
        <w:t xml:space="preserve">确定</w:t>
      </w:r>
      <w:bookmarkEnd w:id="178"/>
      <w:r/>
      <w:bookmarkEnd w:id="179"/>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0"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8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宿迁市体育局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宿迁市楚韵项目管理有限公司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0527-84353970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19305243020</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宿迁市宿城区世纪大道92号宿迁市全民健身中心6层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宿迁市宿城区河滨街道观澜路恒大悦澜湾南门办公楼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1" w:name="_Toc120614220"/>
      <w:r/>
      <w:bookmarkStart w:id="182" w:name="_Toc20823308"/>
      <w:r/>
      <w:bookmarkStart w:id="183" w:name="_Toc513029236"/>
      <w:r/>
      <w:bookmarkStart w:id="184" w:name="_Toc16938552"/>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808"/>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81"/>
      <w:r/>
      <w:bookmarkEnd w:id="182"/>
      <w:r/>
      <w:bookmarkEnd w:id="183"/>
      <w:r/>
      <w:bookmarkEnd w:id="184"/>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85" w:name="_Toc20823309"/>
      <w:r/>
      <w:bookmarkStart w:id="186" w:name="_Toc16938553"/>
      <w:r/>
      <w:bookmarkStart w:id="187" w:name="_Toc513029237"/>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5"/>
      <w:r/>
      <w:bookmarkEnd w:id="186"/>
      <w:r/>
      <w:bookmarkEnd w:id="187"/>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817"/>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09"/>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34.2采购人可以邀请参加本项目的其他投标人或者第三方机构参与验收。参与验收的投标人或者第三方机构的意见作为验收书的参考资料一并存档。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34.4验收合格的项目，采购人将根据采购合同的约定及时向供应商支付采购资金、退还履约保证金（如有）。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88"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89" w:name="EB11398ec6946f4019bc4c35221e27b04f"/>
      <w:r>
        <w:rPr>
          <w:rFonts w:hint="eastAsia" w:ascii="宋体" w:hAnsi="宋体" w:eastAsia="宋体" w:cs="宋体"/>
          <w:bCs/>
          <w:color w:val="auto"/>
          <w:sz w:val="24"/>
          <w:szCs w:val="24"/>
          <w:highlight w:val="none"/>
          <w:lang w:val="en-US" w:eastAsia="zh-CN"/>
        </w:rPr>
        <w:t xml:space="preserve">预付款：合同金额的30%，合同签订后按规定支付；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w:t>
      </w:r>
      <w:r>
        <w:rPr>
          <w:rStyle w:val="815"/>
          <w:rFonts w:hint="eastAsia" w:ascii="宋体" w:hAnsi="宋体" w:eastAsia="宋体" w:cs="宋体"/>
          <w:color w:val="auto"/>
          <w:sz w:val="24"/>
          <w:szCs w:val="24"/>
          <w:highlight w:val="none"/>
          <w:lang w:val="en-US" w:eastAsia="zh-CN" w:bidi="ar-SA"/>
        </w:rPr>
        <w:t xml:space="preserve">项目建成并验收合格，采购人自收到供应商发票之日起10个工作日内付至合同价款的100%</w:t>
      </w:r>
      <w:r>
        <w:rPr>
          <w:rFonts w:hint="eastAsia" w:ascii="宋体" w:hAnsi="宋体" w:eastAsia="宋体" w:cs="宋体"/>
          <w:bCs/>
          <w:color w:val="auto"/>
          <w:sz w:val="24"/>
          <w:szCs w:val="24"/>
          <w:highlight w:val="none"/>
          <w:lang w:val="en-US" w:eastAsia="zh-CN"/>
        </w:rPr>
        <w:t xml:space="preserve">。</w:t>
      </w:r>
      <w:bookmarkEnd w:id="18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806"/>
        <w:jc w:val="center"/>
        <w:shd w:val="clear" w:color="auto"/>
        <w:rPr>
          <w:rFonts w:hint="eastAsia" w:ascii="宋体" w:hAnsi="宋体" w:eastAsia="宋体" w:cs="宋体"/>
          <w:b/>
          <w:bCs w:val="0"/>
          <w:color w:val="auto"/>
          <w:sz w:val="44"/>
          <w:highlight w:val="none"/>
          <w:lang w:eastAsia="zh-CN"/>
        </w:rPr>
      </w:pPr>
      <w:r/>
      <w:bookmarkStart w:id="190" w:name="_Toc8406"/>
      <w:r>
        <w:rPr>
          <w:rFonts w:hint="eastAsia" w:ascii="宋体" w:hAnsi="宋体" w:eastAsia="宋体" w:cs="宋体"/>
          <w:b/>
          <w:bCs w:val="0"/>
          <w:color w:val="auto"/>
          <w:sz w:val="44"/>
          <w:highlight w:val="none"/>
        </w:rPr>
        <w:t xml:space="preserve">第三章  合同文本</w:t>
      </w:r>
      <w:bookmarkEnd w:id="190"/>
      <w:r>
        <w:rPr>
          <w:rFonts w:hint="eastAsia" w:ascii="宋体" w:hAnsi="宋体" w:eastAsia="宋体" w:cs="宋体"/>
          <w:b/>
          <w:bCs w:val="0"/>
          <w:color w:val="auto"/>
          <w:sz w:val="44"/>
          <w:highlight w:val="none"/>
          <w:lang w:eastAsia="zh-CN"/>
        </w:rPr>
        <w:t xml:space="preserve">（参考）</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bookmarkStart w:id="191" w:name="_Hlt16619369"/>
      <w:r/>
      <w:bookmarkEnd w:id="191"/>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合同编号：</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甲    方：</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乙    方：</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签订时间：</w:t>
      </w:r>
      <w:r>
        <w:rPr>
          <w:rFonts w:hint="eastAsia" w:ascii="宋体" w:hAnsi="宋体" w:eastAsia="宋体" w:cs="宋体"/>
          <w:sz w:val="28"/>
          <w:szCs w:val="28"/>
          <w:u w:val="single"/>
        </w:rPr>
        <w:t xml:space="preserve">                             </w:t>
      </w:r>
      <w:r/>
    </w:p>
    <w:p>
      <w:pPr>
        <w:rPr>
          <w:rFonts w:hint="eastAsia" w:ascii="宋体" w:hAnsi="宋体" w:eastAsia="宋体" w:cs="宋体"/>
          <w:szCs w:val="22"/>
        </w:rPr>
      </w:pPr>
      <w:r>
        <w:rPr>
          <w:rFonts w:hint="eastAsia" w:ascii="宋体" w:hAnsi="宋体" w:eastAsia="宋体" w:cs="宋体"/>
          <w:szCs w:val="22"/>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jc w:val="center"/>
        <w:rPr>
          <w:rFonts w:hint="eastAsia" w:ascii="宋体" w:hAnsi="宋体" w:eastAsia="宋体" w:cs="宋体"/>
          <w:sz w:val="32"/>
          <w:szCs w:val="32"/>
        </w:rPr>
      </w:pPr>
      <w:r>
        <w:rPr>
          <w:rFonts w:hint="eastAsia" w:ascii="宋体" w:hAnsi="宋体" w:eastAsia="宋体" w:cs="宋体"/>
          <w:sz w:val="32"/>
          <w:szCs w:val="32"/>
        </w:rPr>
        <w:t xml:space="preserve">使 用 说 明</w:t>
      </w:r>
      <w:r/>
    </w:p>
    <w:p>
      <w:pPr>
        <w:ind w:firstLine="640"/>
        <w:rPr>
          <w:rFonts w:hint="eastAsia" w:ascii="宋体" w:hAnsi="宋体" w:eastAsia="宋体" w:cs="宋体"/>
          <w:sz w:val="32"/>
          <w:szCs w:val="32"/>
        </w:rPr>
      </w:pPr>
      <w:r>
        <w:rPr>
          <w:rFonts w:hint="eastAsia" w:ascii="宋体" w:hAnsi="宋体" w:eastAsia="宋体" w:cs="宋体"/>
          <w:sz w:val="32"/>
          <w:szCs w:val="32"/>
        </w:rPr>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1.本合同标准文本适用于购买现成货物的采购项目，不包括需要供应商定制开发、创新研发的货物采购项目。</w:t>
      </w:r>
      <w:r/>
    </w:p>
    <w:p>
      <w:pPr>
        <w:rPr>
          <w:rFonts w:hint="eastAsia" w:ascii="宋体" w:hAnsi="宋体" w:eastAsia="宋体" w:cs="宋体"/>
          <w:sz w:val="28"/>
          <w:szCs w:val="28"/>
        </w:rPr>
      </w:pPr>
      <w:r>
        <w:rPr>
          <w:rFonts w:hint="eastAsia" w:ascii="宋体" w:hAnsi="宋体" w:eastAsia="宋体" w:cs="宋体"/>
          <w:sz w:val="28"/>
          <w:szCs w:val="28"/>
        </w:rPr>
        <w:t xml:space="preserve">    2.本合同标准文本为政府采购货物买卖合同编制提供参考，可以结合采购项目具体情况，对文本作必要的调整修订后使用。</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3.本合同标准文本各条款中，如涉及填写多家供应商、制造商，多种采购标的、分包主要内容等信息的，可根据采购项目具体情况添加信息项。</w:t>
      </w:r>
      <w:r/>
    </w:p>
    <w:p>
      <w:pPr>
        <w:jc w:val="left"/>
        <w:widowControl/>
        <w:rPr>
          <w:rFonts w:hint="eastAsia" w:ascii="宋体" w:hAnsi="宋体" w:eastAsia="宋体" w:cs="宋体"/>
          <w:sz w:val="44"/>
          <w:szCs w:val="44"/>
        </w:rPr>
        <w:sectPr>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eastAsia="宋体" w:cs="宋体"/>
          <w:sz w:val="44"/>
          <w:szCs w:val="44"/>
        </w:rPr>
      </w:r>
      <w:r/>
    </w:p>
    <w:p>
      <w:pPr>
        <w:jc w:val="center"/>
        <w:keepLines/>
        <w:keepNext/>
        <w:spacing w:before="260" w:after="260" w:line="400" w:lineRule="exact"/>
        <w:rPr>
          <w:rFonts w:hint="eastAsia" w:ascii="宋体" w:hAnsi="宋体" w:eastAsia="宋体" w:cs="宋体"/>
          <w:sz w:val="28"/>
          <w:szCs w:val="28"/>
        </w:rPr>
        <w:outlineLvl w:val="1"/>
      </w:pPr>
      <w:r>
        <w:rPr>
          <w:rFonts w:hint="eastAsia" w:ascii="宋体" w:hAnsi="宋体" w:eastAsia="宋体" w:cs="宋体"/>
          <w:sz w:val="28"/>
          <w:szCs w:val="28"/>
        </w:rPr>
        <w:t xml:space="preserve">第一节 政府采购合同协议书</w:t>
      </w:r>
      <w:r/>
    </w:p>
    <w:p>
      <w:pPr>
        <w:jc w:val="center"/>
        <w:keepLines/>
        <w:keepNext/>
        <w:spacing w:before="260" w:after="260" w:line="400" w:lineRule="exact"/>
        <w:rPr>
          <w:rFonts w:hint="eastAsia" w:ascii="宋体" w:hAnsi="宋体" w:eastAsia="宋体" w:cs="宋体"/>
          <w:sz w:val="28"/>
          <w:szCs w:val="28"/>
        </w:rPr>
        <w:outlineLvl w:val="1"/>
      </w:pPr>
      <w:r>
        <w:rPr>
          <w:rFonts w:hint="eastAsia" w:ascii="宋体" w:hAnsi="宋体" w:eastAsia="宋体" w:cs="宋体"/>
          <w:sz w:val="28"/>
          <w:szCs w:val="28"/>
        </w:rPr>
      </w:r>
      <w:r/>
    </w:p>
    <w:p>
      <w:pPr>
        <w:spacing w:line="400" w:lineRule="exact"/>
        <w:rPr>
          <w:rFonts w:hint="eastAsia" w:ascii="宋体" w:hAnsi="宋体" w:eastAsia="宋体" w:cs="宋体"/>
          <w:szCs w:val="21"/>
        </w:rPr>
      </w:pPr>
      <w:r>
        <w:rPr>
          <w:rFonts w:hint="eastAsia" w:ascii="宋体" w:hAnsi="宋体" w:eastAsia="宋体" w:cs="宋体"/>
          <w:szCs w:val="21"/>
        </w:rPr>
        <w:t xml:space="preserve">甲方（全称）：</w:t>
      </w:r>
      <w:r>
        <w:rPr>
          <w:rFonts w:hint="eastAsia" w:ascii="宋体" w:hAnsi="宋体" w:eastAsia="宋体" w:cs="宋体"/>
          <w:szCs w:val="21"/>
          <w:u w:val="single"/>
        </w:rPr>
        <w:t xml:space="preserve">                        </w:t>
      </w:r>
      <w:r>
        <w:rPr>
          <w:rFonts w:hint="eastAsia" w:ascii="宋体" w:hAnsi="宋体" w:eastAsia="宋体" w:cs="宋体"/>
          <w:szCs w:val="21"/>
        </w:rPr>
        <w:t xml:space="preserve">（采购人、受采购人委托签订合同的单位或采购文件约定的合同甲方）</w:t>
      </w:r>
      <w:r/>
    </w:p>
    <w:p>
      <w:pPr>
        <w:spacing w:line="400" w:lineRule="exact"/>
        <w:rPr>
          <w:rFonts w:hint="eastAsia" w:ascii="宋体" w:hAnsi="宋体" w:eastAsia="宋体" w:cs="宋体"/>
          <w:szCs w:val="21"/>
        </w:rPr>
      </w:pPr>
      <w:r>
        <w:rPr>
          <w:rFonts w:hint="eastAsia" w:ascii="宋体" w:hAnsi="宋体" w:eastAsia="宋体" w:cs="宋体"/>
          <w:szCs w:val="21"/>
        </w:rPr>
        <w:t xml:space="preserve">乙方1（全称）：</w:t>
      </w:r>
      <w:r>
        <w:rPr>
          <w:rFonts w:hint="eastAsia" w:ascii="宋体" w:hAnsi="宋体" w:eastAsia="宋体" w:cs="宋体"/>
          <w:szCs w:val="21"/>
          <w:u w:val="single"/>
        </w:rPr>
        <w:t xml:space="preserve">                       </w:t>
      </w:r>
      <w:r>
        <w:rPr>
          <w:rFonts w:hint="eastAsia" w:ascii="宋体" w:hAnsi="宋体" w:eastAsia="宋体" w:cs="宋体"/>
          <w:szCs w:val="21"/>
        </w:rPr>
        <w:t xml:space="preserve">（供应商）</w:t>
      </w:r>
      <w:r/>
    </w:p>
    <w:p>
      <w:pPr>
        <w:spacing w:line="400" w:lineRule="exact"/>
        <w:rPr>
          <w:rFonts w:hint="eastAsia" w:ascii="宋体" w:hAnsi="宋体" w:eastAsia="宋体" w:cs="宋体"/>
          <w:szCs w:val="21"/>
        </w:rPr>
      </w:pPr>
      <w:r>
        <w:rPr>
          <w:rFonts w:hint="eastAsia" w:ascii="宋体" w:hAnsi="宋体" w:eastAsia="宋体" w:cs="宋体"/>
          <w:szCs w:val="21"/>
        </w:rPr>
        <w:t xml:space="preserve">乙方2（全称）：</w:t>
      </w:r>
      <w:r>
        <w:rPr>
          <w:rFonts w:hint="eastAsia" w:ascii="宋体" w:hAnsi="宋体" w:eastAsia="宋体" w:cs="宋体"/>
          <w:szCs w:val="21"/>
          <w:u w:val="single"/>
        </w:rPr>
        <w:t xml:space="preserve">                        </w:t>
      </w:r>
      <w:r>
        <w:rPr>
          <w:rFonts w:hint="eastAsia" w:ascii="宋体" w:hAnsi="宋体" w:eastAsia="宋体" w:cs="宋体"/>
          <w:szCs w:val="21"/>
        </w:rPr>
        <w:t xml:space="preserve">（联合体成员供应商或其他合同主体）（如有）</w:t>
      </w:r>
      <w:r/>
    </w:p>
    <w:p>
      <w:pPr>
        <w:spacing w:line="400" w:lineRule="exact"/>
        <w:rPr>
          <w:rFonts w:hint="eastAsia" w:ascii="宋体" w:hAnsi="宋体" w:eastAsia="宋体" w:cs="宋体"/>
          <w:szCs w:val="21"/>
        </w:rPr>
      </w:pPr>
      <w:r>
        <w:rPr>
          <w:rFonts w:hint="eastAsia" w:ascii="宋体" w:hAnsi="宋体" w:eastAsia="宋体" w:cs="宋体"/>
          <w:szCs w:val="22"/>
        </w:rPr>
        <w:t xml:space="preserve">乙方</w:t>
      </w:r>
      <w:r>
        <w:rPr>
          <w:rFonts w:hint="eastAsia" w:ascii="宋体" w:hAnsi="宋体" w:eastAsia="宋体" w:cs="宋体"/>
          <w:szCs w:val="21"/>
        </w:rPr>
        <w:t xml:space="preserve">3</w:t>
      </w:r>
      <w:r>
        <w:rPr>
          <w:rFonts w:hint="eastAsia" w:ascii="宋体" w:hAnsi="宋体" w:eastAsia="宋体" w:cs="宋体"/>
          <w:szCs w:val="22"/>
        </w:rPr>
        <w:t xml:space="preserve">（全称）</w:t>
      </w:r>
      <w:r>
        <w:rPr>
          <w:rFonts w:hint="eastAsia" w:ascii="宋体" w:hAnsi="宋体" w:eastAsia="宋体" w:cs="宋体"/>
          <w:szCs w:val="21"/>
          <w:u w:val="single"/>
        </w:rPr>
        <w:t xml:space="preserve">                          </w:t>
      </w:r>
      <w:r>
        <w:rPr>
          <w:rFonts w:hint="eastAsia" w:ascii="宋体" w:hAnsi="宋体" w:eastAsia="宋体" w:cs="宋体"/>
          <w:szCs w:val="21"/>
        </w:rPr>
        <w:t xml:space="preserve">（联合体成员供应商或其他合同主体）（如有）</w:t>
      </w:r>
      <w:r/>
    </w:p>
    <w:p>
      <w:pPr>
        <w:spacing w:line="400" w:lineRule="exact"/>
        <w:rPr>
          <w:rFonts w:hint="eastAsia" w:ascii="宋体" w:hAnsi="宋体" w:eastAsia="宋体" w:cs="宋体"/>
          <w:szCs w:val="22"/>
        </w:rPr>
      </w:pPr>
      <w:r>
        <w:rPr>
          <w:rFonts w:hint="eastAsia" w:ascii="宋体" w:hAnsi="宋体" w:eastAsia="宋体" w:cs="宋体"/>
          <w:szCs w:val="22"/>
        </w:rPr>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依据《中华人民共和国民法典</w:t>
      </w:r>
      <w:r>
        <w:rPr>
          <w:rFonts w:hint="eastAsia" w:ascii="宋体" w:hAnsi="宋体" w:eastAsia="宋体" w:cs="宋体"/>
          <w:szCs w:val="21"/>
          <w:lang w:eastAsia="zh-CN"/>
        </w:rPr>
        <w:t xml:space="preserve">》《</w:t>
      </w:r>
      <w:r>
        <w:rPr>
          <w:rFonts w:hint="eastAsia" w:ascii="宋体" w:hAnsi="宋体" w:eastAsia="宋体" w:cs="宋体"/>
          <w:szCs w:val="21"/>
        </w:rPr>
        <w:t xml:space="preserve">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项目信息</w:t>
      </w:r>
      <w:r/>
    </w:p>
    <w:p>
      <w:pPr>
        <w:numPr>
          <w:ilvl w:val="0"/>
          <w:numId w:val="4"/>
        </w:numPr>
        <w:ind w:firstLine="420"/>
        <w:spacing w:line="400" w:lineRule="exact"/>
        <w:rPr>
          <w:rFonts w:hint="eastAsia" w:ascii="宋体" w:hAnsi="宋体" w:eastAsia="宋体" w:cs="宋体"/>
          <w:szCs w:val="21"/>
          <w:u w:val="single"/>
        </w:rPr>
      </w:pPr>
      <w:r>
        <w:rPr>
          <w:rFonts w:hint="eastAsia" w:ascii="宋体" w:hAnsi="宋体" w:eastAsia="宋体" w:cs="宋体"/>
          <w:szCs w:val="21"/>
        </w:rPr>
        <w:t xml:space="preserve">采购项目名称：</w:t>
      </w:r>
      <w:r>
        <w:rPr>
          <w:rFonts w:hint="eastAsia" w:ascii="宋体" w:hAnsi="宋体" w:eastAsia="宋体" w:cs="宋体"/>
          <w:szCs w:val="21"/>
          <w:u w:val="single"/>
        </w:rPr>
        <w:t xml:space="preserve">                                          </w:t>
      </w:r>
      <w:r/>
    </w:p>
    <w:p>
      <w:pPr>
        <w:spacing w:line="400" w:lineRule="exact"/>
        <w:tabs>
          <w:tab w:val="left" w:pos="999" w:leader="none"/>
        </w:tabs>
        <w:rPr>
          <w:rFonts w:hint="eastAsia" w:ascii="宋体" w:hAnsi="宋体" w:eastAsia="宋体" w:cs="宋体"/>
          <w:szCs w:val="21"/>
        </w:rPr>
      </w:pPr>
      <w:r>
        <w:rPr>
          <w:rFonts w:hint="eastAsia" w:ascii="宋体" w:hAnsi="宋体" w:eastAsia="宋体" w:cs="宋体"/>
          <w:szCs w:val="21"/>
        </w:rPr>
        <w:t xml:space="preserve">         采购项目编号：</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（2）采购计划编号：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（3）项目内容：</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     采购标的及数量（台/套</w:t>
      </w:r>
      <w:r>
        <w:rPr>
          <w:rFonts w:hint="eastAsia" w:ascii="宋体" w:hAnsi="宋体" w:eastAsia="宋体" w:cs="宋体"/>
          <w:szCs w:val="21"/>
          <w:lang w:val="en"/>
        </w:rPr>
        <w:t xml:space="preserve">/个/架/组等</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spacing w:line="400" w:lineRule="exact"/>
        <w:rPr>
          <w:rFonts w:hint="eastAsia" w:ascii="宋体" w:hAnsi="宋体" w:eastAsia="宋体" w:cs="宋体"/>
          <w:szCs w:val="21"/>
          <w:lang w:val="en"/>
        </w:rPr>
      </w:pP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lang w:val="en"/>
        </w:rPr>
        <w:t xml:space="preserve">     </w:t>
      </w:r>
      <w:r>
        <w:rPr>
          <w:rFonts w:hint="eastAsia" w:ascii="宋体" w:hAnsi="宋体" w:eastAsia="宋体" w:cs="宋体"/>
          <w:szCs w:val="21"/>
        </w:rPr>
        <w:t xml:space="preserve">规格型号：</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p>
    <w:p>
      <w:pPr>
        <w:ind w:firstLine="945"/>
        <w:spacing w:line="400" w:lineRule="exact"/>
        <w:rPr>
          <w:rFonts w:hint="eastAsia" w:ascii="宋体" w:hAnsi="宋体" w:eastAsia="宋体" w:cs="宋体"/>
          <w:szCs w:val="21"/>
          <w:u w:val="single"/>
        </w:rPr>
      </w:pPr>
      <w:r>
        <w:rPr>
          <w:rFonts w:hint="eastAsia" w:ascii="宋体" w:hAnsi="宋体" w:eastAsia="宋体" w:cs="宋体"/>
          <w:szCs w:val="21"/>
        </w:rPr>
        <w:t xml:space="preserve">采购标的的技术要求、商务要求具体见附件。</w:t>
      </w:r>
      <w:r/>
    </w:p>
    <w:p>
      <w:pPr>
        <w:ind w:firstLine="945"/>
        <w:spacing w:line="400" w:lineRule="exact"/>
        <w:rPr>
          <w:rFonts w:hint="eastAsia" w:ascii="宋体" w:hAnsi="宋体" w:eastAsia="宋体" w:cs="宋体"/>
          <w:szCs w:val="21"/>
        </w:rPr>
      </w:pPr>
      <w:r>
        <w:rPr>
          <w:rFonts w:hint="eastAsia" w:ascii="宋体" w:hAnsi="宋体" w:eastAsia="宋体" w:cs="宋体"/>
          <w:szCs w:val="21"/>
        </w:rPr>
        <w:t xml:space="preserve">①涉及信息类产品，请填写该产品关键部件的品牌、型号：</w:t>
      </w:r>
      <w:r/>
    </w:p>
    <w:p>
      <w:pPr>
        <w:ind w:firstLine="420"/>
        <w:spacing w:line="400" w:lineRule="exact"/>
        <w:rPr>
          <w:rFonts w:hint="eastAsia" w:ascii="宋体" w:hAnsi="宋体" w:eastAsia="宋体" w:cs="宋体"/>
          <w:szCs w:val="21"/>
          <w:u w:val="single"/>
        </w:rPr>
      </w:pPr>
      <w:r>
        <w:rPr>
          <w:rFonts w:hint="eastAsia" w:ascii="宋体" w:hAnsi="宋体" w:eastAsia="宋体" w:cs="宋体"/>
          <w:szCs w:val="21"/>
        </w:rPr>
        <w:t xml:space="preserve">     标的名称：</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②涉及车辆采购，请填写是否属于新能源汽车：</w:t>
      </w:r>
      <w:r/>
    </w:p>
    <w:p>
      <w:pPr>
        <w:jc w:val="left"/>
        <w:spacing w:line="400" w:lineRule="exact"/>
        <w:widowControl/>
        <w:rPr>
          <w:rFonts w:ascii="宋体" w:hAnsi="宋体" w:cs="宋体"/>
          <w:szCs w:val="21"/>
        </w:rPr>
      </w:pPr>
      <w:r>
        <w:rPr>
          <w:rFonts w:hint="eastAsia" w:ascii="宋体" w:hAnsi="宋体" w:eastAsia="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hint="eastAsia" w:ascii="宋体" w:hAnsi="宋体" w:eastAsia="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
        </w:rPr>
        <w:t xml:space="preserve">4</w:t>
      </w:r>
      <w:r>
        <w:rPr>
          <w:rFonts w:hint="eastAsia" w:ascii="宋体" w:hAnsi="宋体" w:eastAsia="宋体" w:cs="宋体"/>
          <w:szCs w:val="21"/>
        </w:rPr>
        <w:t xml:space="preserve">）政府采购组织形式：</w:t>
      </w:r>
      <w:r>
        <w:rPr>
          <w:rFonts w:ascii="Wingdings" w:hAnsi="Wingdings" w:eastAsia="Wingdings" w:cs="Wingdings"/>
          <w:szCs w:val="21"/>
        </w:rPr>
        <w:t xml:space="preserve"></w:t>
      </w:r>
      <w:r>
        <w:rPr>
          <w:rFonts w:hint="eastAsia" w:ascii="宋体" w:hAnsi="宋体" w:eastAsia="宋体" w:cs="宋体"/>
          <w:szCs w:val="21"/>
        </w:rPr>
        <w:t xml:space="preserve">政府集中采购  </w:t>
      </w:r>
      <w:r>
        <w:rPr>
          <w:rFonts w:ascii="Wingdings" w:hAnsi="Wingdings" w:eastAsia="Wingdings" w:cs="Wingdings"/>
          <w:szCs w:val="21"/>
        </w:rPr>
        <w:t xml:space="preserve"></w:t>
      </w:r>
      <w:r>
        <w:rPr>
          <w:rFonts w:hint="eastAsia" w:ascii="宋体" w:hAnsi="宋体" w:eastAsia="宋体" w:cs="宋体"/>
          <w:szCs w:val="21"/>
        </w:rPr>
        <w:t xml:space="preserve">部门集中采购  </w:t>
      </w:r>
      <w:r>
        <w:rPr>
          <w:rFonts w:ascii="Wingdings" w:hAnsi="Wingdings" w:eastAsia="Wingdings" w:cs="Wingdings"/>
          <w:szCs w:val="21"/>
        </w:rPr>
        <w:t xml:space="preserve">þ</w:t>
      </w:r>
      <w:r>
        <w:rPr>
          <w:rFonts w:hint="eastAsia" w:ascii="宋体" w:hAnsi="宋体" w:eastAsia="宋体" w:cs="宋体"/>
          <w:szCs w:val="21"/>
        </w:rPr>
        <w:t xml:space="preserve">分散采购</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rPr>
        <w:t xml:space="preserve">5</w:t>
      </w:r>
      <w:r>
        <w:rPr>
          <w:rFonts w:hint="eastAsia" w:ascii="宋体" w:hAnsi="宋体" w:eastAsia="宋体" w:cs="宋体"/>
          <w:szCs w:val="21"/>
        </w:rPr>
        <w:t xml:space="preserve">）政府采购方式：</w:t>
      </w:r>
      <w:r>
        <w:rPr>
          <w:rFonts w:ascii="Wingdings" w:hAnsi="Wingdings" w:eastAsia="Wingdings" w:cs="Wingdings"/>
          <w:szCs w:val="21"/>
        </w:rPr>
        <w:t xml:space="preserve">þ</w:t>
      </w:r>
      <w:r>
        <w:rPr>
          <w:rFonts w:hint="eastAsia" w:ascii="宋体" w:hAnsi="宋体" w:eastAsia="宋体" w:cs="宋体"/>
          <w:szCs w:val="21"/>
        </w:rPr>
        <w:t xml:space="preserve">公开招标 </w:t>
      </w:r>
      <w:r>
        <w:rPr>
          <w:rFonts w:ascii="Wingdings" w:hAnsi="Wingdings" w:eastAsia="Wingdings" w:cs="Wingdings"/>
          <w:szCs w:val="21"/>
        </w:rPr>
        <w:t xml:space="preserve"></w:t>
      </w:r>
      <w:r>
        <w:rPr>
          <w:rFonts w:hint="eastAsia" w:ascii="宋体" w:hAnsi="宋体" w:eastAsia="宋体" w:cs="宋体"/>
          <w:szCs w:val="21"/>
        </w:rPr>
        <w:t xml:space="preserve">邀请招标 </w:t>
      </w:r>
      <w:r>
        <w:rPr>
          <w:rFonts w:ascii="Wingdings" w:hAnsi="Wingdings" w:eastAsia="Wingdings" w:cs="Wingdings"/>
          <w:szCs w:val="21"/>
        </w:rPr>
        <w:t xml:space="preserve"></w:t>
      </w:r>
      <w:r>
        <w:rPr>
          <w:rFonts w:hint="eastAsia" w:ascii="宋体" w:hAnsi="宋体" w:eastAsia="宋体" w:cs="宋体"/>
          <w:szCs w:val="21"/>
        </w:rPr>
        <w:t xml:space="preserve">竞争性谈判 </w:t>
      </w:r>
      <w:r>
        <w:rPr>
          <w:rFonts w:ascii="Wingdings" w:hAnsi="Wingdings" w:eastAsia="Wingdings" w:cs="Wingdings"/>
          <w:szCs w:val="21"/>
        </w:rPr>
        <w:t xml:space="preserve"></w:t>
      </w:r>
      <w:r>
        <w:rPr>
          <w:rFonts w:hint="eastAsia" w:ascii="宋体" w:hAnsi="宋体" w:eastAsia="宋体" w:cs="宋体"/>
          <w:szCs w:val="21"/>
        </w:rPr>
        <w:t xml:space="preserve">竞争性磋商</w:t>
      </w:r>
      <w:r/>
    </w:p>
    <w:p>
      <w:pPr>
        <w:ind w:firstLine="420"/>
        <w:jc w:val="left"/>
        <w:spacing w:line="400" w:lineRule="exact"/>
        <w:widowControl/>
        <w:rPr>
          <w:rFonts w:hint="eastAsia" w:ascii="宋体" w:hAnsi="宋体" w:eastAsia="宋体" w:cs="宋体"/>
          <w:szCs w:val="21"/>
          <w:u w:val="single"/>
        </w:rPr>
      </w:pPr>
      <w:r>
        <w:rPr>
          <w:rFonts w:hint="eastAsia" w:ascii="宋体" w:hAnsi="宋体" w:eastAsia="宋体" w:cs="宋体"/>
          <w:sz w:val="22"/>
          <w:szCs w:val="21"/>
        </w:rPr>
        <w:t xml:space="preserve">                  </w:t>
      </w:r>
      <w:r>
        <w:rPr>
          <w:rFonts w:hint="eastAsia" w:ascii="宋体" w:hAnsi="宋体" w:eastAsia="宋体" w:cs="宋体"/>
          <w:szCs w:val="21"/>
        </w:rPr>
        <w:t xml:space="preserve"></w:t>
      </w:r>
      <w:r>
        <w:rPr>
          <w:rFonts w:ascii="Wingdings" w:hAnsi="Wingdings" w:eastAsia="Wingdings" w:cs="Wingdings"/>
          <w:szCs w:val="21"/>
        </w:rPr>
        <w:t xml:space="preserve"></w:t>
      </w:r>
      <w:r>
        <w:rPr>
          <w:rFonts w:hint="eastAsia" w:ascii="宋体" w:hAnsi="宋体" w:eastAsia="宋体" w:cs="宋体"/>
          <w:szCs w:val="21"/>
        </w:rPr>
        <w:t xml:space="preserve">询价 </w:t>
      </w:r>
      <w:r>
        <w:rPr>
          <w:rFonts w:ascii="Wingdings" w:hAnsi="Wingdings" w:eastAsia="Wingdings" w:cs="Wingdings"/>
          <w:szCs w:val="21"/>
        </w:rPr>
        <w:t xml:space="preserve"></w:t>
      </w:r>
      <w:r>
        <w:rPr>
          <w:rFonts w:hint="eastAsia" w:ascii="宋体" w:hAnsi="宋体" w:eastAsia="宋体" w:cs="宋体"/>
          <w:szCs w:val="21"/>
        </w:rPr>
        <w:t xml:space="preserve">单一来源 </w:t>
      </w:r>
      <w:r>
        <w:rPr>
          <w:rFonts w:ascii="Wingdings" w:hAnsi="Wingdings" w:eastAsia="Wingdings" w:cs="Wingdings"/>
          <w:szCs w:val="21"/>
        </w:rPr>
        <w:t xml:space="preserve"></w:t>
      </w:r>
      <w:r>
        <w:rPr>
          <w:rFonts w:hint="eastAsia" w:ascii="宋体" w:hAnsi="宋体" w:eastAsia="宋体" w:cs="宋体"/>
          <w:szCs w:val="21"/>
        </w:rPr>
        <w:t xml:space="preserve">框架协议 </w:t>
      </w:r>
      <w:r>
        <w:rPr>
          <w:rFonts w:ascii="Wingdings" w:hAnsi="Wingdings" w:eastAsia="Wingdings" w:cs="Wingdings"/>
          <w:szCs w:val="21"/>
        </w:rPr>
        <w:t xml:space="preserve"></w:t>
      </w:r>
      <w:r>
        <w:rPr>
          <w:rFonts w:hint="eastAsia" w:ascii="宋体" w:hAnsi="宋体" w:eastAsia="宋体" w:cs="宋体"/>
          <w:szCs w:val="21"/>
        </w:rPr>
        <w:t xml:space="preserve">其他：</w:t>
      </w:r>
      <w:r>
        <w:rPr>
          <w:rFonts w:hint="eastAsia" w:ascii="宋体" w:hAnsi="宋体" w:eastAsia="宋体" w:cs="宋体"/>
          <w:szCs w:val="21"/>
          <w:u w:val="single"/>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（注：在框架协议采购的第二阶段，可选择使用该合同文本）</w:t>
      </w:r>
      <w:r/>
    </w:p>
    <w:p>
      <w:pPr>
        <w:ind w:firstLine="220"/>
        <w:jc w:val="left"/>
        <w:spacing w:line="400" w:lineRule="exact"/>
        <w:widowControl/>
        <w:rPr>
          <w:rFonts w:hint="eastAsia" w:ascii="宋体" w:hAnsi="宋体" w:eastAsia="宋体" w:cs="宋体"/>
          <w:szCs w:val="21"/>
        </w:rPr>
      </w:pPr>
      <w:r>
        <w:rPr>
          <w:rFonts w:hint="eastAsia" w:ascii="宋体" w:hAnsi="宋体" w:eastAsia="宋体" w:cs="宋体"/>
          <w:sz w:val="22"/>
          <w:szCs w:val="21"/>
        </w:rPr>
        <w:t xml:space="preserve"> （</w:t>
      </w:r>
      <w:r>
        <w:rPr>
          <w:rFonts w:hint="eastAsia" w:ascii="宋体" w:hAnsi="宋体" w:eastAsia="宋体" w:cs="宋体"/>
          <w:sz w:val="22"/>
          <w:szCs w:val="21"/>
          <w:lang w:val="en"/>
        </w:rPr>
        <w:t xml:space="preserve">6</w:t>
      </w:r>
      <w:r>
        <w:rPr>
          <w:rFonts w:hint="eastAsia" w:ascii="宋体" w:hAnsi="宋体" w:eastAsia="宋体" w:cs="宋体"/>
          <w:sz w:val="22"/>
          <w:szCs w:val="21"/>
        </w:rPr>
        <w:t xml:space="preserve">）</w:t>
      </w:r>
      <w:r>
        <w:rPr>
          <w:rFonts w:hint="eastAsia" w:ascii="宋体" w:hAnsi="宋体" w:eastAsia="宋体" w:cs="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iCs/>
          <w:szCs w:val="21"/>
        </w:rPr>
      </w:pPr>
      <w:r>
        <w:rPr>
          <w:rFonts w:hint="eastAsia" w:ascii="宋体" w:hAnsi="宋体" w:eastAsia="宋体" w:cs="宋体"/>
          <w:szCs w:val="21"/>
        </w:rPr>
        <w:t xml:space="preserve">        本合同是否为专门面向中小企业的采购合同（中小企业预留合同）：</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iCs/>
          <w:szCs w:val="21"/>
        </w:rPr>
      </w:pPr>
      <w:r>
        <w:rPr>
          <w:rFonts w:hint="eastAsia" w:ascii="宋体" w:hAnsi="宋体" w:eastAsia="宋体" w:cs="宋体"/>
          <w:szCs w:val="22"/>
        </w:rPr>
        <w:t xml:space="preserve">        若本项目不专门面向中小企业采购，是否给予小微企业评审优惠：</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iCs/>
          <w:szCs w:val="21"/>
        </w:rPr>
      </w:pPr>
      <w:r>
        <w:rPr>
          <w:rFonts w:hint="eastAsia" w:ascii="宋体" w:hAnsi="宋体" w:eastAsia="宋体" w:cs="宋体"/>
          <w:szCs w:val="22"/>
        </w:rPr>
        <w:t xml:space="preserve">        中标（成交）采购标的制造商是否为残疾人福利性单位：</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szCs w:val="22"/>
        </w:rPr>
      </w:pPr>
      <w:r>
        <w:rPr>
          <w:rFonts w:hint="eastAsia" w:ascii="宋体" w:hAnsi="宋体" w:eastAsia="宋体" w:cs="宋体"/>
          <w:szCs w:val="22"/>
        </w:rPr>
        <w:t xml:space="preserve">        中标（成交）采购标的制造商是否为监狱企业：</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rPr>
        <w:t xml:space="preserve">7</w:t>
      </w:r>
      <w:r>
        <w:rPr>
          <w:rFonts w:hint="eastAsia" w:ascii="宋体" w:hAnsi="宋体" w:eastAsia="宋体" w:cs="宋体"/>
          <w:szCs w:val="21"/>
        </w:rPr>
        <w:t xml:space="preserve">）合同是否分包：</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ind w:firstLine="840"/>
        <w:spacing w:line="400" w:lineRule="exact"/>
        <w:rPr>
          <w:rFonts w:hint="eastAsia" w:ascii="宋体" w:hAnsi="宋体" w:eastAsia="宋体" w:cs="宋体"/>
          <w:szCs w:val="21"/>
          <w:u w:val="single"/>
        </w:rPr>
      </w:pPr>
      <w:r>
        <w:rPr>
          <w:rFonts w:hint="eastAsia" w:ascii="宋体" w:hAnsi="宋体" w:eastAsia="宋体" w:cs="宋体"/>
          <w:szCs w:val="21"/>
        </w:rPr>
        <w:t xml:space="preserve"> 分包主要内容：</w:t>
      </w:r>
      <w:r>
        <w:rPr>
          <w:rFonts w:hint="eastAsia" w:ascii="宋体" w:hAnsi="宋体" w:eastAsia="宋体" w:cs="宋体"/>
          <w:szCs w:val="21"/>
          <w:u w:val="single"/>
        </w:rPr>
        <w:t xml:space="preserve">                                            </w:t>
      </w:r>
      <w:r/>
    </w:p>
    <w:p>
      <w:pPr>
        <w:ind w:firstLine="840"/>
        <w:spacing w:line="400" w:lineRule="exact"/>
        <w:rPr>
          <w:rFonts w:hint="eastAsia" w:ascii="宋体" w:hAnsi="宋体" w:eastAsia="宋体" w:cs="宋体"/>
          <w:szCs w:val="21"/>
        </w:rPr>
      </w:pPr>
      <w:r>
        <w:rPr>
          <w:rFonts w:hint="eastAsia" w:ascii="宋体" w:hAnsi="宋体" w:eastAsia="宋体" w:cs="宋体"/>
          <w:szCs w:val="21"/>
        </w:rPr>
        <w:t xml:space="preserve"> 分包供应商/制造商名称（如供应商和制造商不同，请分别填写）：</w:t>
      </w:r>
      <w:r/>
    </w:p>
    <w:p>
      <w:pPr>
        <w:ind w:firstLine="840"/>
        <w:spacing w:line="400" w:lineRule="exact"/>
        <w:rPr>
          <w:rFonts w:hint="eastAsia"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p>
    <w:p>
      <w:pPr>
        <w:ind w:firstLine="840"/>
        <w:spacing w:line="400" w:lineRule="exact"/>
        <w:rPr>
          <w:rFonts w:hint="eastAsia" w:ascii="宋体" w:hAnsi="宋体" w:eastAsia="宋体" w:cs="宋体"/>
          <w:szCs w:val="21"/>
        </w:rPr>
      </w:pPr>
      <w:r>
        <w:rPr>
          <w:rFonts w:hint="eastAsia" w:ascii="宋体" w:hAnsi="宋体" w:eastAsia="宋体" w:cs="宋体"/>
          <w:szCs w:val="21"/>
        </w:rPr>
        <w:t xml:space="preserve"> 分包供应商/制造商类型（如果供应商和制造商不同，只填写制造商类型）：</w:t>
      </w:r>
      <w:r/>
    </w:p>
    <w:p>
      <w:pPr>
        <w:ind w:firstLine="840"/>
        <w:spacing w:line="400" w:lineRule="exact"/>
        <w:rPr>
          <w:rFonts w:hint="eastAsia" w:ascii="宋体" w:hAnsi="宋体" w:eastAsia="宋体" w:cs="宋体"/>
          <w:iCs/>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大型企业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中型企业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小微型企业  </w:t>
      </w:r>
      <w:r/>
    </w:p>
    <w:p>
      <w:pPr>
        <w:ind w:firstLine="840"/>
        <w:spacing w:line="400" w:lineRule="exact"/>
        <w:rPr>
          <w:rFonts w:hint="eastAsia" w:ascii="宋体" w:hAnsi="宋体" w:eastAsia="宋体" w:cs="宋体"/>
          <w:szCs w:val="22"/>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残疾人福利性单位</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监狱企业 </w:t>
      </w:r>
      <w:r>
        <w:rPr>
          <w:rFonts w:ascii="Wingdings" w:hAnsi="Wingdings" w:eastAsia="Wingdings" w:cs="Wingdings"/>
          <w:iCs/>
          <w:szCs w:val="21"/>
        </w:rPr>
        <w:t xml:space="preserve"></w:t>
      </w:r>
      <w:r>
        <w:rPr>
          <w:rFonts w:hint="eastAsia" w:ascii="宋体" w:hAnsi="宋体" w:eastAsia="宋体" w:cs="宋体"/>
          <w:iCs/>
          <w:szCs w:val="21"/>
        </w:rPr>
        <w:t xml:space="preserve">其他</w:t>
      </w:r>
      <w:r/>
    </w:p>
    <w:p>
      <w:pPr>
        <w:spacing w:line="400" w:lineRule="exact"/>
        <w:rPr>
          <w:rFonts w:hint="eastAsia" w:ascii="宋体" w:hAnsi="宋体" w:eastAsia="宋体" w:cs="宋体"/>
          <w:iCs/>
          <w:szCs w:val="21"/>
        </w:rPr>
      </w:pPr>
      <w:r>
        <w:rPr>
          <w:rFonts w:hint="eastAsia" w:ascii="宋体" w:hAnsi="宋体" w:eastAsia="宋体" w:cs="宋体"/>
          <w:szCs w:val="21"/>
        </w:rPr>
        <w:t xml:space="preserve">    （</w:t>
      </w:r>
      <w:r>
        <w:rPr>
          <w:rFonts w:hint="eastAsia" w:ascii="宋体" w:hAnsi="宋体" w:eastAsia="宋体" w:cs="宋体"/>
          <w:szCs w:val="21"/>
          <w:lang w:val="en"/>
        </w:rPr>
        <w:t xml:space="preserve">8</w:t>
      </w:r>
      <w:r>
        <w:rPr>
          <w:rFonts w:hint="eastAsia" w:ascii="宋体" w:hAnsi="宋体" w:eastAsia="宋体" w:cs="宋体"/>
          <w:szCs w:val="21"/>
        </w:rPr>
        <w:t xml:space="preserve">）中标（成交）供应商是否为外商投资企业：</w:t>
      </w:r>
      <w:r>
        <w:rPr>
          <w:rFonts w:hint="default" w:ascii="Wingdings" w:hAnsi="Wingdings" w:eastAsia="Wingdings" w:cs="Wingdings"/>
          <w:sz w:val="21"/>
          <w:szCs w:val="21"/>
          <w:lang w:val="en-US" w:eastAsia="zh-CN" w:bidi="ar-SA"/>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ind w:firstLine="420"/>
        <w:jc w:val="left"/>
        <w:spacing w:line="400" w:lineRule="exact"/>
        <w:widowControl/>
        <w:tabs>
          <w:tab w:val="left" w:pos="1340" w:leader="none"/>
        </w:tabs>
        <w:rPr>
          <w:rFonts w:hint="eastAsia" w:ascii="宋体" w:hAnsi="宋体" w:eastAsia="宋体" w:cs="宋体"/>
          <w:szCs w:val="21"/>
          <w:u w:val="single"/>
        </w:rPr>
      </w:pPr>
      <w:r>
        <w:rPr>
          <w:rFonts w:hint="eastAsia" w:ascii="宋体" w:hAnsi="宋体" w:eastAsia="宋体" w:cs="宋体"/>
          <w:szCs w:val="21"/>
        </w:rPr>
        <w:t xml:space="preserve">     外商投资企业类型：</w:t>
      </w:r>
      <w:r>
        <w:rPr>
          <w:rFonts w:ascii="Wingdings" w:hAnsi="Wingdings" w:eastAsia="Wingdings" w:cs="Wingdings"/>
          <w:iCs/>
          <w:szCs w:val="21"/>
        </w:rPr>
        <w:t xml:space="preserve"></w:t>
      </w:r>
      <w:r>
        <w:rPr>
          <w:rFonts w:hint="eastAsia" w:ascii="宋体" w:hAnsi="宋体" w:eastAsia="宋体" w:cs="宋体"/>
          <w:szCs w:val="21"/>
        </w:rPr>
        <w:t xml:space="preserve">全部由外国投资者投资 </w:t>
      </w:r>
      <w:r>
        <w:rPr>
          <w:rFonts w:ascii="Wingdings" w:hAnsi="Wingdings" w:eastAsia="Wingdings" w:cs="Wingdings"/>
          <w:iCs/>
          <w:szCs w:val="21"/>
        </w:rPr>
        <w:t xml:space="preserve"></w:t>
      </w:r>
      <w:r>
        <w:rPr>
          <w:rFonts w:hint="eastAsia" w:ascii="宋体" w:hAnsi="宋体" w:eastAsia="宋体" w:cs="宋体"/>
          <w:iCs/>
          <w:szCs w:val="21"/>
        </w:rPr>
        <w:t xml:space="preserve">部分由外国投资者投资</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rPr>
        <w:t xml:space="preserve">9</w:t>
      </w:r>
      <w:r>
        <w:rPr>
          <w:rFonts w:hint="eastAsia" w:ascii="宋体" w:hAnsi="宋体" w:eastAsia="宋体" w:cs="宋体"/>
          <w:szCs w:val="21"/>
        </w:rPr>
        <w:t xml:space="preserve">）是否涉及进口产品：</w:t>
      </w:r>
      <w:r/>
    </w:p>
    <w:p>
      <w:pPr>
        <w:ind w:firstLine="840"/>
        <w:spacing w:line="400" w:lineRule="exact"/>
        <w:rPr>
          <w:rFonts w:hint="eastAsia" w:ascii="宋体" w:hAnsi="宋体" w:eastAsia="宋体" w:cs="宋体"/>
          <w:szCs w:val="21"/>
          <w:u w:val="single"/>
        </w:rPr>
      </w:pPr>
      <w:r>
        <w:rPr>
          <w:rFonts w:ascii="Wingdings" w:hAnsi="Wingdings" w:eastAsia="Wingdings" w:cs="Wingdings"/>
          <w:iCs/>
          <w:szCs w:val="21"/>
        </w:rPr>
        <w:t xml:space="preserve"></w:t>
      </w:r>
      <w:r>
        <w:rPr>
          <w:rFonts w:hint="eastAsia" w:ascii="宋体" w:hAnsi="宋体" w:eastAsia="宋体" w:cs="宋体"/>
          <w:szCs w:val="21"/>
        </w:rPr>
        <w:t xml:space="preserve">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r/>
    </w:p>
    <w:p>
      <w:pPr>
        <w:ind w:firstLine="840"/>
        <w:spacing w:line="400" w:lineRule="exact"/>
        <w:rPr>
          <w:rFonts w:hint="eastAsia" w:ascii="宋体" w:hAnsi="宋体" w:eastAsia="宋体" w:cs="宋体"/>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840"/>
        <w:spacing w:line="400" w:lineRule="exact"/>
        <w:rPr>
          <w:rFonts w:hint="eastAsia" w:ascii="宋体" w:hAnsi="宋体" w:eastAsia="宋体" w:cs="宋体"/>
          <w:szCs w:val="21"/>
        </w:rPr>
      </w:pPr>
      <w:r>
        <w:rPr>
          <w:rFonts w:ascii="Wingdings" w:hAnsi="Wingdings" w:eastAsia="Wingdings" w:cs="Wingdings"/>
          <w:iCs/>
          <w:szCs w:val="21"/>
        </w:rPr>
        <w:t xml:space="preserve"></w:t>
      </w:r>
      <w:r>
        <w:rPr>
          <w:rFonts w:hint="eastAsia" w:ascii="宋体" w:hAnsi="宋体" w:eastAsia="宋体" w:cs="宋体"/>
          <w:szCs w:val="21"/>
        </w:rPr>
        <w:t xml:space="preserve">否</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（1</w:t>
      </w:r>
      <w:r>
        <w:rPr>
          <w:rFonts w:hint="eastAsia" w:ascii="宋体" w:hAnsi="宋体" w:eastAsia="宋体" w:cs="宋体"/>
          <w:szCs w:val="21"/>
          <w:lang w:val="en"/>
        </w:rPr>
        <w:t xml:space="preserve">0</w:t>
      </w:r>
      <w:r>
        <w:rPr>
          <w:rFonts w:hint="eastAsia" w:ascii="宋体" w:hAnsi="宋体" w:eastAsia="宋体" w:cs="宋体"/>
          <w:szCs w:val="21"/>
        </w:rPr>
        <w:t xml:space="preserve">）是否涉及节能产品：</w:t>
      </w:r>
      <w:r/>
    </w:p>
    <w:p>
      <w:pPr>
        <w:spacing w:line="400" w:lineRule="exact"/>
        <w:tabs>
          <w:tab w:val="left" w:pos="740" w:leader="none"/>
        </w:tabs>
        <w:rPr>
          <w:rFonts w:hint="eastAsia" w:ascii="宋体" w:hAnsi="宋体" w:eastAsia="宋体" w:cs="宋体"/>
          <w:iCs/>
          <w:szCs w:val="21"/>
        </w:rPr>
      </w:pPr>
      <w:r>
        <w:rPr>
          <w:rFonts w:hint="eastAsia" w:ascii="宋体" w:hAnsi="宋体" w:eastAsia="宋体" w:cs="宋体"/>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是，《节能产品政府采购品目清单》的底级品目名称：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r/>
    </w:p>
    <w:p>
      <w:pPr>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强制采购      </w:t>
      </w:r>
      <w:r>
        <w:rPr>
          <w:rFonts w:ascii="Wingdings" w:hAnsi="Wingdings" w:eastAsia="Wingdings" w:cs="Wingdings"/>
          <w:iCs/>
          <w:szCs w:val="21"/>
        </w:rPr>
        <w:t xml:space="preserve"></w:t>
      </w:r>
      <w:r>
        <w:rPr>
          <w:rFonts w:hint="eastAsia" w:ascii="宋体" w:hAnsi="宋体" w:eastAsia="宋体" w:cs="宋体"/>
          <w:iCs/>
          <w:szCs w:val="21"/>
        </w:rPr>
        <w:t xml:space="preserve">优先采购    </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否</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是否涉及环境标志产品：</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是，《环境标志产品政府采购品目清单》的底级品目名称：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r/>
    </w:p>
    <w:p>
      <w:pPr>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强制采购      </w:t>
      </w:r>
      <w:r>
        <w:rPr>
          <w:rFonts w:ascii="Wingdings" w:hAnsi="Wingdings" w:eastAsia="Wingdings" w:cs="Wingdings"/>
          <w:iCs/>
          <w:szCs w:val="21"/>
        </w:rPr>
        <w:t xml:space="preserve"></w:t>
      </w:r>
      <w:r>
        <w:rPr>
          <w:rFonts w:hint="eastAsia" w:ascii="宋体" w:hAnsi="宋体" w:eastAsia="宋体" w:cs="宋体"/>
          <w:iCs/>
          <w:szCs w:val="21"/>
        </w:rPr>
        <w:t xml:space="preserve">优先采购    </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否</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是否涉及绿色产品： </w:t>
      </w:r>
      <w:r/>
    </w:p>
    <w:p>
      <w:pPr>
        <w:ind w:firstLine="420"/>
        <w:jc w:val="left"/>
        <w:spacing w:line="400" w:lineRule="exact"/>
        <w:widowControl/>
        <w:rPr>
          <w:rFonts w:hint="eastAsia" w:ascii="宋体" w:hAnsi="宋体" w:eastAsia="宋体" w:cs="宋体"/>
          <w:sz w:val="22"/>
          <w:szCs w:val="21"/>
          <w:u w:val="single"/>
        </w:rPr>
      </w:pPr>
      <w:r>
        <w:rPr>
          <w:rFonts w:hint="eastAsia" w:ascii="宋体" w:hAnsi="宋体" w:eastAsia="宋体" w:cs="宋体"/>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是，绿色产品政府采购相关政策确定的底级品目名称：</w:t>
      </w:r>
      <w:r>
        <w:rPr>
          <w:rFonts w:hint="eastAsia" w:ascii="宋体" w:hAnsi="宋体" w:eastAsia="宋体" w:cs="宋体"/>
          <w:sz w:val="22"/>
          <w:szCs w:val="21"/>
          <w:u w:val="single"/>
        </w:rPr>
        <w:t xml:space="preserve">         </w:t>
      </w:r>
      <w:r/>
    </w:p>
    <w:p>
      <w:pPr>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强制采购      </w:t>
      </w:r>
      <w:r>
        <w:rPr>
          <w:rFonts w:ascii="Wingdings" w:hAnsi="Wingdings" w:eastAsia="Wingdings" w:cs="Wingdings"/>
          <w:iCs/>
          <w:szCs w:val="21"/>
        </w:rPr>
        <w:t xml:space="preserve"></w:t>
      </w:r>
      <w:r>
        <w:rPr>
          <w:rFonts w:hint="eastAsia" w:ascii="宋体" w:hAnsi="宋体" w:eastAsia="宋体" w:cs="宋体"/>
          <w:iCs/>
          <w:szCs w:val="21"/>
        </w:rPr>
        <w:t xml:space="preserve">优先采购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szCs w:val="21"/>
        </w:rPr>
      </w:pPr>
      <w:r>
        <w:rPr>
          <w:rFonts w:hint="eastAsia" w:ascii="宋体" w:hAnsi="宋体" w:eastAsia="宋体" w:cs="宋体"/>
          <w:szCs w:val="21"/>
        </w:rPr>
        <w:t xml:space="preserve">    （1</w:t>
      </w:r>
      <w:r>
        <w:rPr>
          <w:rFonts w:hint="eastAsia" w:ascii="宋体" w:hAnsi="宋体" w:eastAsia="宋体" w:cs="宋体"/>
          <w:szCs w:val="21"/>
          <w:lang w:val="en"/>
        </w:rPr>
        <w:t xml:space="preserve">1</w:t>
      </w:r>
      <w:r>
        <w:rPr>
          <w:rFonts w:hint="eastAsia" w:ascii="宋体" w:hAnsi="宋体" w:eastAsia="宋体" w:cs="宋体"/>
          <w:szCs w:val="21"/>
        </w:rPr>
        <w:t xml:space="preserve">）涉及商品包装和快递包装的，是否参考《商品包装政府采购需求标准（试行）</w:t>
      </w:r>
      <w:r>
        <w:rPr>
          <w:rFonts w:hint="eastAsia" w:ascii="宋体" w:hAnsi="宋体" w:eastAsia="宋体" w:cs="宋体"/>
          <w:szCs w:val="21"/>
          <w:lang w:eastAsia="zh-CN"/>
        </w:rPr>
        <w:t xml:space="preserve">》《</w:t>
      </w:r>
      <w:r>
        <w:rPr>
          <w:rFonts w:hint="eastAsia" w:ascii="宋体" w:hAnsi="宋体" w:eastAsia="宋体" w:cs="宋体"/>
          <w:szCs w:val="21"/>
        </w:rPr>
        <w:t xml:space="preserve">快递包装政府采购需求标准（试行）》明确产品及相关快递服务的具体包装要求：</w:t>
      </w:r>
      <w:r/>
    </w:p>
    <w:p>
      <w:pPr>
        <w:ind w:firstLine="840"/>
        <w:spacing w:line="400" w:lineRule="exact"/>
        <w:rPr>
          <w:rFonts w:hint="eastAsia" w:ascii="宋体" w:hAnsi="宋体" w:eastAsia="宋体" w:cs="宋体"/>
          <w:szCs w:val="21"/>
        </w:rPr>
      </w:pPr>
      <w:r>
        <w:rPr>
          <w:rFonts w:ascii="Wingdings" w:hAnsi="Wingdings" w:eastAsia="Wingdings" w:cs="Wingdings"/>
          <w:iCs/>
          <w:szCs w:val="21"/>
        </w:rPr>
        <w:t xml:space="preserve"></w:t>
      </w:r>
      <w:r>
        <w:rPr>
          <w:rFonts w:hint="eastAsia" w:ascii="宋体" w:hAnsi="宋体" w:eastAsia="宋体" w:cs="宋体"/>
          <w:szCs w:val="21"/>
        </w:rPr>
        <w:t xml:space="preserve">是       </w:t>
      </w:r>
      <w:r>
        <w:rPr>
          <w:rFonts w:ascii="Wingdings" w:hAnsi="Wingdings" w:eastAsia="Wingdings" w:cs="Wingdings"/>
          <w:iCs/>
          <w:szCs w:val="21"/>
        </w:rPr>
        <w:t xml:space="preserve"></w:t>
      </w:r>
      <w:r>
        <w:rPr>
          <w:rFonts w:hint="eastAsia" w:ascii="宋体" w:hAnsi="宋体" w:eastAsia="宋体" w:cs="宋体"/>
          <w:szCs w:val="21"/>
        </w:rPr>
        <w:t xml:space="preserve">否      </w:t>
      </w:r>
      <w:r>
        <w:rPr>
          <w:rFonts w:ascii="Wingdings" w:hAnsi="Wingdings" w:eastAsia="Wingdings" w:cs="Wingdings"/>
          <w:iCs/>
          <w:szCs w:val="21"/>
        </w:rPr>
        <w:t xml:space="preserve"></w:t>
      </w:r>
      <w:r>
        <w:rPr>
          <w:rFonts w:hint="eastAsia" w:ascii="宋体" w:hAnsi="宋体" w:eastAsia="宋体" w:cs="宋体"/>
          <w:szCs w:val="21"/>
        </w:rPr>
        <w:t xml:space="preserve">不涉及</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合同金额</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t xml:space="preserve">         分包金额（如有）小写：</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t xml:space="preserve">    （注：固定单价合同应填写单价和最高限价）</w:t>
      </w:r>
      <w:r/>
    </w:p>
    <w:p>
      <w:pPr>
        <w:spacing w:line="400" w:lineRule="exact"/>
        <w:rPr>
          <w:rFonts w:hint="eastAsia" w:ascii="宋体" w:hAnsi="宋体" w:eastAsia="宋体" w:cs="宋体"/>
          <w:szCs w:val="21"/>
        </w:rPr>
      </w:pPr>
      <w:r>
        <w:rPr>
          <w:rFonts w:hint="eastAsia" w:ascii="宋体" w:hAnsi="宋体" w:eastAsia="宋体" w:cs="宋体"/>
          <w:szCs w:val="21"/>
        </w:rPr>
        <w:t xml:space="preserve">    （2）合同定价方式（采用组合定价方式的，可以勾选多项）：</w:t>
      </w:r>
      <w:r/>
    </w:p>
    <w:p>
      <w:pPr>
        <w:ind w:firstLine="420"/>
        <w:spacing w:line="400" w:lineRule="exact"/>
        <w:rPr>
          <w:rFonts w:hint="eastAsia" w:ascii="宋体" w:hAnsi="宋体" w:eastAsia="宋体" w:cs="宋体"/>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固定总价 </w:t>
      </w:r>
      <w:r>
        <w:rPr>
          <w:rFonts w:ascii="Wingdings" w:hAnsi="Wingdings" w:eastAsia="Wingdings" w:cs="Wingdings"/>
          <w:iCs/>
          <w:szCs w:val="21"/>
        </w:rPr>
        <w:t xml:space="preserve"></w:t>
      </w:r>
      <w:r>
        <w:rPr>
          <w:rFonts w:hint="eastAsia" w:ascii="宋体" w:hAnsi="宋体" w:eastAsia="宋体" w:cs="宋体"/>
          <w:iCs/>
          <w:szCs w:val="21"/>
        </w:rPr>
        <w:t xml:space="preserve">固定单价 </w:t>
      </w:r>
      <w:r>
        <w:rPr>
          <w:rFonts w:ascii="Wingdings" w:hAnsi="Wingdings" w:eastAsia="Wingdings" w:cs="Wingdings"/>
          <w:iCs/>
          <w:szCs w:val="21"/>
        </w:rPr>
        <w:t xml:space="preserve"></w:t>
      </w:r>
      <w:r>
        <w:rPr>
          <w:rFonts w:hint="eastAsia" w:ascii="宋体" w:hAnsi="宋体" w:eastAsia="宋体" w:cs="宋体"/>
          <w:iCs/>
          <w:szCs w:val="21"/>
        </w:rPr>
        <w:t xml:space="preserve">固定费率 </w:t>
      </w:r>
      <w:r>
        <w:rPr>
          <w:rFonts w:ascii="Wingdings" w:hAnsi="Wingdings" w:eastAsia="Wingdings" w:cs="Wingdings"/>
          <w:iCs/>
          <w:szCs w:val="21"/>
        </w:rPr>
        <w:t xml:space="preserve"></w:t>
      </w:r>
      <w:r>
        <w:rPr>
          <w:rFonts w:hint="eastAsia" w:ascii="宋体" w:hAnsi="宋体" w:eastAsia="宋体" w:cs="宋体"/>
          <w:iCs/>
          <w:szCs w:val="21"/>
        </w:rPr>
        <w:t xml:space="preserve">成本补偿 </w:t>
      </w:r>
      <w:r>
        <w:rPr>
          <w:rFonts w:ascii="Wingdings" w:hAnsi="Wingdings" w:eastAsia="Wingdings" w:cs="Wingdings"/>
          <w:iCs/>
          <w:szCs w:val="21"/>
        </w:rPr>
        <w:t xml:space="preserve"></w:t>
      </w:r>
      <w:r>
        <w:rPr>
          <w:rFonts w:hint="eastAsia" w:ascii="宋体" w:hAnsi="宋体" w:eastAsia="宋体" w:cs="宋体"/>
          <w:iCs/>
          <w:szCs w:val="21"/>
        </w:rPr>
        <w:t xml:space="preserve">绩效激励 </w:t>
      </w:r>
      <w:r>
        <w:rPr>
          <w:rFonts w:ascii="Wingdings" w:hAnsi="Wingdings" w:eastAsia="Wingdings" w:cs="Wingdings"/>
          <w:iCs/>
          <w:szCs w:val="21"/>
        </w:rPr>
        <w:t xml:space="preserve"></w:t>
      </w:r>
      <w:r>
        <w:rPr>
          <w:rFonts w:hint="eastAsia" w:ascii="宋体" w:hAnsi="宋体" w:eastAsia="宋体" w:cs="宋体"/>
          <w:iCs/>
          <w:szCs w:val="21"/>
        </w:rPr>
        <w:t xml:space="preserve">其他</w:t>
      </w:r>
      <w:r>
        <w:rPr>
          <w:rFonts w:hint="eastAsia" w:ascii="宋体" w:hAnsi="宋体" w:eastAsia="宋体" w:cs="宋体"/>
          <w:szCs w:val="21"/>
          <w:u w:val="single"/>
        </w:rPr>
        <w:t xml:space="preserve">       </w:t>
      </w:r>
      <w:r/>
    </w:p>
    <w:p>
      <w:pPr>
        <w:contextualSpacing/>
        <w:ind w:firstLine="420"/>
        <w:jc w:val="left"/>
        <w:spacing w:line="400" w:lineRule="exact"/>
        <w:widowControl/>
        <w:rPr>
          <w:rFonts w:hint="eastAsia" w:ascii="宋体" w:hAnsi="宋体" w:eastAsia="宋体" w:cs="宋体"/>
          <w:szCs w:val="21"/>
          <w:lang w:bidi="en-US"/>
        </w:rPr>
      </w:pPr>
      <w:r>
        <w:rPr>
          <w:rFonts w:hint="eastAsia" w:ascii="宋体" w:hAnsi="宋体" w:eastAsia="宋体" w:cs="宋体"/>
          <w:szCs w:val="21"/>
          <w:lang w:bidi="en-US"/>
        </w:rPr>
        <w:t xml:space="preserve">（3）付款方式（按项目实际勾选填写）：</w:t>
      </w:r>
      <w:r/>
    </w:p>
    <w:p>
      <w:pPr>
        <w:ind w:firstLine="630"/>
        <w:spacing w:line="400" w:lineRule="exact"/>
        <w:rPr>
          <w:rFonts w:hint="eastAsia" w:ascii="宋体" w:hAnsi="宋体" w:eastAsia="宋体" w:cs="宋体"/>
          <w:szCs w:val="21"/>
          <w:u w:val="single"/>
        </w:rPr>
      </w:pPr>
      <w:r>
        <w:rPr>
          <w:rFonts w:ascii="Wingdings" w:hAnsi="Wingdings" w:eastAsia="Wingdings" w:cs="Wingdings"/>
          <w:iCs/>
          <w:szCs w:val="21"/>
        </w:rPr>
        <w:t xml:space="preserve"></w:t>
      </w:r>
      <w:r>
        <w:rPr>
          <w:rFonts w:hint="eastAsia" w:ascii="宋体" w:hAnsi="宋体" w:eastAsia="宋体" w:cs="宋体"/>
          <w:szCs w:val="21"/>
        </w:rPr>
        <w:t xml:space="preserve">全额付款：</w:t>
      </w:r>
      <w:r>
        <w:rPr>
          <w:rFonts w:hint="eastAsia" w:ascii="宋体" w:hAnsi="宋体" w:eastAsia="宋体" w:cs="宋体"/>
          <w:szCs w:val="21"/>
          <w:u w:val="single"/>
        </w:rPr>
        <w:t xml:space="preserve">  （应明确一次性支付合同款项的条件）                    </w:t>
      </w:r>
      <w:r/>
    </w:p>
    <w:p>
      <w:pPr>
        <w:ind w:firstLine="630"/>
        <w:spacing w:line="400" w:lineRule="exact"/>
        <w:rPr>
          <w:rFonts w:hint="eastAsia" w:ascii="宋体" w:hAnsi="宋体" w:eastAsia="宋体" w:cs="宋体"/>
          <w:szCs w:val="22"/>
        </w:rPr>
      </w:pPr>
      <w:r>
        <w:rPr>
          <w:rFonts w:ascii="Wingdings" w:hAnsi="Wingdings" w:eastAsia="Wingdings" w:cs="Wingdings"/>
          <w:iCs/>
          <w:szCs w:val="21"/>
        </w:rPr>
        <w:t xml:space="preserve"></w:t>
      </w:r>
      <w:r>
        <w:rPr>
          <w:rFonts w:hint="eastAsia" w:ascii="宋体" w:hAnsi="宋体" w:eastAsia="宋体" w:cs="宋体"/>
          <w:szCs w:val="21"/>
        </w:rPr>
        <w:t xml:space="preserve">分期付款：</w:t>
      </w:r>
      <w:r>
        <w:rPr>
          <w:rFonts w:hint="eastAsia" w:ascii="宋体" w:hAnsi="宋体" w:eastAsia="宋体" w:cs="宋体"/>
          <w:szCs w:val="21"/>
          <w:u w:val="single"/>
        </w:rPr>
        <w:t xml:space="preserve">  （应明确分期支付合同款项的各期比例和支付条件，各期支付条件应与分期履约验收情况挂钩） </w:t>
      </w:r>
      <w:r>
        <w:rPr>
          <w:rFonts w:hint="eastAsia" w:ascii="宋体" w:hAnsi="宋体" w:eastAsia="宋体" w:cs="宋体"/>
          <w:szCs w:val="21"/>
        </w:rPr>
        <w:t xml:space="preserve">，其中涉及预付款的：</w:t>
      </w:r>
      <w:r>
        <w:rPr>
          <w:rFonts w:hint="eastAsia" w:ascii="宋体" w:hAnsi="宋体" w:eastAsia="宋体" w:cs="宋体"/>
          <w:szCs w:val="21"/>
          <w:u w:val="single"/>
        </w:rPr>
        <w:t xml:space="preserve"> （应明确预付款的支付比例和支付条件） </w:t>
      </w:r>
      <w:r/>
    </w:p>
    <w:p>
      <w:pPr>
        <w:ind w:firstLine="630"/>
        <w:spacing w:line="400" w:lineRule="exact"/>
        <w:rPr>
          <w:rFonts w:hint="eastAsia" w:ascii="宋体" w:hAnsi="宋体" w:eastAsia="宋体" w:cs="宋体"/>
          <w:szCs w:val="21"/>
          <w:u w:val="single"/>
        </w:rPr>
      </w:pPr>
      <w:r>
        <w:rPr>
          <w:rFonts w:ascii="Wingdings" w:hAnsi="Wingdings" w:eastAsia="Wingdings" w:cs="Wingdings"/>
          <w:iCs/>
          <w:szCs w:val="21"/>
        </w:rPr>
        <w:t xml:space="preserve"></w:t>
      </w:r>
      <w:r>
        <w:rPr>
          <w:rFonts w:hint="eastAsia" w:ascii="宋体" w:hAnsi="宋体" w:eastAsia="宋体" w:cs="宋体"/>
          <w:szCs w:val="21"/>
        </w:rPr>
        <w:t xml:space="preserve">成本补偿：</w:t>
      </w:r>
      <w:r>
        <w:rPr>
          <w:rFonts w:hint="eastAsia" w:ascii="宋体" w:hAnsi="宋体" w:eastAsia="宋体" w:cs="宋体"/>
          <w:szCs w:val="21"/>
          <w:u w:val="single"/>
        </w:rPr>
        <w:t xml:space="preserve">      （应明确按照成本补偿方式的支付方式和支付条件）   </w:t>
      </w:r>
      <w:r/>
    </w:p>
    <w:p>
      <w:pPr>
        <w:ind w:firstLine="630"/>
        <w:spacing w:line="400" w:lineRule="exact"/>
        <w:rPr>
          <w:rFonts w:hint="eastAsia" w:ascii="宋体" w:hAnsi="宋体" w:eastAsia="宋体" w:cs="宋体"/>
          <w:szCs w:val="21"/>
          <w:u w:val="single"/>
        </w:rPr>
      </w:pPr>
      <w:r>
        <w:rPr>
          <w:rFonts w:ascii="Wingdings" w:hAnsi="Wingdings" w:eastAsia="Wingdings" w:cs="Wingdings"/>
          <w:iCs/>
          <w:szCs w:val="21"/>
        </w:rPr>
        <w:t xml:space="preserve"></w:t>
      </w:r>
      <w:r>
        <w:rPr>
          <w:rFonts w:hint="eastAsia" w:ascii="宋体" w:hAnsi="宋体" w:eastAsia="宋体" w:cs="宋体"/>
          <w:szCs w:val="21"/>
        </w:rPr>
        <w:t xml:space="preserve">绩效激励：</w:t>
      </w:r>
      <w:r>
        <w:rPr>
          <w:rFonts w:hint="eastAsia" w:ascii="宋体" w:hAnsi="宋体" w:eastAsia="宋体" w:cs="宋体"/>
          <w:szCs w:val="21"/>
          <w:u w:val="single"/>
        </w:rPr>
        <w:t xml:space="preserve">      （应明确按照绩效激励方式的支付方式和支付条件）   </w:t>
      </w:r>
      <w:r/>
    </w:p>
    <w:p>
      <w:pPr>
        <w:numPr>
          <w:ilvl w:val="0"/>
          <w:numId w:val="3"/>
        </w:numPr>
        <w:ind w:firstLine="422"/>
        <w:spacing w:line="400" w:lineRule="exact"/>
        <w:rPr>
          <w:rFonts w:hint="eastAsia" w:ascii="宋体" w:hAnsi="宋体" w:eastAsia="宋体" w:cs="宋体"/>
          <w:b/>
          <w:szCs w:val="21"/>
          <w:u w:val="single"/>
        </w:rPr>
      </w:pPr>
      <w:r>
        <w:rPr>
          <w:rFonts w:hint="eastAsia" w:ascii="宋体" w:hAnsi="宋体" w:eastAsia="宋体" w:cs="宋体"/>
          <w:b/>
          <w:szCs w:val="21"/>
        </w:rPr>
        <w:t xml:space="preserve">合同履行</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line="400" w:lineRule="exact"/>
        <w:rPr>
          <w:rFonts w:hint="eastAsia"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szCs w:val="22"/>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þ</w:t>
      </w:r>
      <w:r>
        <w:rPr>
          <w:rFonts w:hint="eastAsia" w:ascii="宋体" w:hAnsi="宋体" w:eastAsia="宋体" w:cs="宋体"/>
          <w:szCs w:val="21"/>
        </w:rPr>
        <w:t xml:space="preserve">否</w:t>
      </w:r>
      <w:r/>
    </w:p>
    <w:p>
      <w:pPr>
        <w:ind w:firstLine="440"/>
        <w:jc w:val="left"/>
        <w:spacing w:line="400" w:lineRule="exact"/>
        <w:widowControl/>
        <w:rPr>
          <w:rFonts w:hint="eastAsia" w:ascii="宋体" w:hAnsi="宋体" w:eastAsia="宋体" w:cs="宋体"/>
          <w:szCs w:val="21"/>
        </w:rPr>
      </w:pPr>
      <w:r>
        <w:rPr>
          <w:rFonts w:hint="eastAsia" w:ascii="宋体" w:hAnsi="宋体" w:eastAsia="宋体" w:cs="宋体"/>
          <w:bCs/>
          <w:sz w:val="22"/>
          <w:szCs w:val="21"/>
        </w:rPr>
        <w:t xml:space="preserve"> </w:t>
      </w:r>
      <w:r>
        <w:rPr>
          <w:rFonts w:hint="eastAsia" w:ascii="宋体" w:hAnsi="宋体" w:eastAsia="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szCs w:val="21"/>
        </w:rPr>
        <w:t xml:space="preserve"> 如以履约保函（保险）形式缴纳履约保证金，供应商可通过政府采购电子履约保函（保险）平台（www.jsdzbh.com）在线申请履约保函（保险）。</w:t>
      </w:r>
      <w:r>
        <w:rPr>
          <w:rFonts w:hint="eastAsia" w:ascii="宋体" w:hAnsi="宋体" w:eastAsia="宋体" w:cs="宋体"/>
          <w:bCs/>
          <w:szCs w:val="21"/>
          <w:u w:val="single"/>
        </w:rPr>
        <w:t xml:space="preserve">                            </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合同履行结束后，甲方应及时退还交纳的履约保证金。</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履约保证金的退还：</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（1）方式：退还至乙方缴纳履约保证金的账户。如为保函（保险），在到期时自行失效。</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（2）时间：验收合格且甲方收到发票后30日内。</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（3）条件：按合同要求全部履约完成并经甲方验收合格，且甲方收到乙方出具的发票。</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（4）不予退还情形：</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4.2乙方不履行与甲方订立的合同的；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4.3乙方所供货物或服务不符合招标文件规定要求的；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4.4乙方采取欺骗、弄虚作假方式投标的或与其他投标人串通投标的；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4.5乙方将合同内容转包、违法分包的；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4.6乙方故意捏造事实或伪造证明材料，进行虚假恶意投诉或反映的。</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收取</w:t>
      </w:r>
      <w:bookmarkStart w:id="192" w:name="OLE_LINK22"/>
      <w:r>
        <w:rPr>
          <w:rFonts w:hint="eastAsia" w:ascii="宋体" w:hAnsi="宋体" w:eastAsia="宋体" w:cs="宋体"/>
          <w:szCs w:val="21"/>
        </w:rPr>
        <w:t xml:space="preserve">履约保证金金额：</w:t>
      </w:r>
      <w:r>
        <w:rPr>
          <w:rFonts w:hint="eastAsia" w:ascii="宋体" w:hAnsi="宋体" w:eastAsia="宋体" w:cs="宋体"/>
          <w:bCs/>
          <w:szCs w:val="21"/>
          <w:u w:val="single"/>
        </w:rPr>
        <w:t xml:space="preserve"> （合同金额的10%）</w:t>
      </w:r>
      <w:bookmarkEnd w:id="192"/>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szCs w:val="22"/>
        </w:rPr>
      </w:pPr>
      <w:r>
        <w:rPr>
          <w:rFonts w:hint="eastAsia" w:ascii="宋体" w:hAnsi="宋体" w:eastAsia="宋体" w:cs="宋体"/>
          <w:bCs/>
          <w:szCs w:val="21"/>
        </w:rPr>
        <w:t xml:space="preserve"> 履约担保期限：</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（4）分期履行要求：</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szCs w:val="21"/>
          <w:u w:val="single"/>
        </w:rPr>
      </w:pPr>
      <w:r>
        <w:rPr>
          <w:rFonts w:hint="eastAsia" w:ascii="宋体" w:hAnsi="宋体" w:eastAsia="宋体" w:cs="宋体"/>
          <w:bCs/>
          <w:szCs w:val="21"/>
        </w:rPr>
        <w:t xml:space="preserve">（5）风险处置措施和替代方案：</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合同验收</w:t>
      </w:r>
      <w:r/>
    </w:p>
    <w:p>
      <w:pPr>
        <w:numPr>
          <w:ilvl w:val="0"/>
          <w:numId w:val="5"/>
        </w:num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验收组织方式：</w:t>
      </w:r>
      <w:r>
        <w:rPr>
          <w:rFonts w:ascii="Wingdings" w:hAnsi="Wingdings" w:eastAsia="Wingdings" w:cs="Wingdings"/>
          <w:iCs/>
          <w:szCs w:val="21"/>
        </w:rPr>
        <w:t xml:space="preserve"></w:t>
      </w:r>
      <w:r>
        <w:rPr>
          <w:rFonts w:hint="eastAsia" w:ascii="宋体" w:hAnsi="宋体" w:eastAsia="宋体" w:cs="宋体"/>
          <w:bCs/>
          <w:szCs w:val="21"/>
        </w:rPr>
        <w:t xml:space="preserve">自行组织 </w:t>
      </w:r>
      <w:r>
        <w:rPr>
          <w:rFonts w:ascii="Wingdings" w:hAnsi="Wingdings" w:eastAsia="Wingdings" w:cs="Wingdings"/>
          <w:iCs/>
          <w:szCs w:val="21"/>
        </w:rPr>
        <w:t xml:space="preserve">¨</w:t>
      </w:r>
      <w:r>
        <w:rPr>
          <w:rFonts w:hint="eastAsia" w:ascii="宋体" w:hAnsi="宋体" w:eastAsia="宋体" w:cs="宋体"/>
          <w:bCs/>
          <w:szCs w:val="21"/>
        </w:rPr>
        <w:t xml:space="preserve">委托第三方组织</w:t>
      </w:r>
      <w:r/>
    </w:p>
    <w:p>
      <w:pPr>
        <w:spacing w:line="400" w:lineRule="exact"/>
        <w:rPr>
          <w:rFonts w:hint="eastAsia" w:ascii="宋体" w:hAnsi="宋体" w:eastAsia="宋体" w:cs="宋体"/>
          <w:bCs/>
          <w:szCs w:val="21"/>
        </w:rPr>
      </w:pPr>
      <w:r>
        <w:rPr>
          <w:rFonts w:hint="eastAsia" w:ascii="宋体" w:hAnsi="宋体" w:eastAsia="宋体" w:cs="宋体"/>
          <w:bCs/>
          <w:szCs w:val="21"/>
        </w:rPr>
        <w:t xml:space="preserve">     验收主体：</w:t>
      </w:r>
      <w:r>
        <w:rPr>
          <w:rFonts w:hint="eastAsia" w:ascii="宋体" w:hAnsi="宋体" w:eastAsia="宋体" w:cs="宋体"/>
          <w:bCs/>
          <w:szCs w:val="21"/>
          <w:u w:val="single"/>
        </w:rPr>
        <w:t xml:space="preserve">                  </w:t>
      </w:r>
      <w:r/>
    </w:p>
    <w:p>
      <w:pPr>
        <w:spacing w:line="400" w:lineRule="exact"/>
        <w:rPr>
          <w:rFonts w:hint="eastAsia" w:ascii="宋体" w:hAnsi="宋体" w:eastAsia="宋体" w:cs="宋体"/>
          <w:bCs/>
          <w:szCs w:val="21"/>
        </w:rPr>
      </w:pPr>
      <w:r>
        <w:rPr>
          <w:rFonts w:hint="eastAsia" w:ascii="宋体" w:hAnsi="宋体" w:eastAsia="宋体" w:cs="宋体"/>
          <w:bCs/>
          <w:szCs w:val="21"/>
        </w:rPr>
        <w:t xml:space="preserve">     是否邀请本项目的其他供应商参加验收：</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rPr>
      </w:pPr>
      <w:r>
        <w:rPr>
          <w:rFonts w:hint="eastAsia" w:ascii="宋体" w:hAnsi="宋体" w:eastAsia="宋体" w:cs="宋体"/>
          <w:bCs/>
          <w:szCs w:val="21"/>
        </w:rPr>
        <w:t xml:space="preserve">是否邀请专家参加验收：</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rPr>
      </w:pPr>
      <w:r>
        <w:rPr>
          <w:rFonts w:hint="eastAsia" w:ascii="宋体" w:hAnsi="宋体" w:eastAsia="宋体" w:cs="宋体"/>
          <w:bCs/>
          <w:szCs w:val="21"/>
        </w:rPr>
        <w:t xml:space="preserve">是否邀请服务对象参加验收：</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rPr>
      </w:pPr>
      <w:r>
        <w:rPr>
          <w:rFonts w:hint="eastAsia" w:ascii="宋体" w:hAnsi="宋体" w:eastAsia="宋体" w:cs="宋体"/>
          <w:bCs/>
          <w:szCs w:val="21"/>
        </w:rPr>
        <w:t xml:space="preserve">是否邀请第三方检测机构参加验收：</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rPr>
      </w:pPr>
      <w:r>
        <w:rPr>
          <w:rFonts w:hint="eastAsia" w:ascii="宋体" w:hAnsi="宋体" w:eastAsia="宋体" w:cs="宋体"/>
          <w:bCs/>
          <w:szCs w:val="21"/>
        </w:rPr>
        <w:t xml:space="preserve">是否进行抽查检测：</w:t>
      </w:r>
      <w:r>
        <w:rPr>
          <w:rFonts w:ascii="Wingdings" w:hAnsi="Wingdings" w:eastAsia="Wingdings" w:cs="Wingdings"/>
          <w:iCs/>
          <w:szCs w:val="21"/>
        </w:rPr>
        <w:t xml:space="preserve"></w:t>
      </w:r>
      <w:r>
        <w:rPr>
          <w:rFonts w:hint="eastAsia" w:ascii="宋体" w:hAnsi="宋体" w:eastAsia="宋体" w:cs="宋体"/>
          <w:bCs/>
          <w:szCs w:val="21"/>
        </w:rPr>
        <w:t xml:space="preserve">是，抽查比例：</w:t>
      </w:r>
      <w:r>
        <w:rPr>
          <w:rFonts w:hint="eastAsia" w:ascii="宋体" w:hAnsi="宋体" w:eastAsia="宋体" w:cs="宋体"/>
          <w:bCs/>
          <w:szCs w:val="21"/>
          <w:u w:val="single"/>
        </w:rPr>
        <w:t xml:space="preserve">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u w:val="single"/>
        </w:rPr>
      </w:pPr>
      <w:r>
        <w:rPr>
          <w:rFonts w:hint="eastAsia" w:ascii="宋体" w:hAnsi="宋体" w:eastAsia="宋体" w:cs="宋体"/>
          <w:bCs/>
          <w:szCs w:val="21"/>
        </w:rPr>
        <w:t xml:space="preserve">是否存在破坏性检测：</w:t>
      </w:r>
      <w:r>
        <w:rPr>
          <w:rFonts w:ascii="Wingdings" w:hAnsi="Wingdings" w:eastAsia="Wingdings" w:cs="Wingdings"/>
          <w:iCs/>
          <w:szCs w:val="21"/>
        </w:rPr>
        <w:t xml:space="preserve"></w:t>
      </w:r>
      <w:r>
        <w:rPr>
          <w:rFonts w:hint="eastAsia" w:ascii="宋体" w:hAnsi="宋体" w:eastAsia="宋体" w:cs="宋体"/>
          <w:bCs/>
          <w:szCs w:val="21"/>
        </w:rPr>
        <w:t xml:space="preserve">是，</w:t>
      </w:r>
      <w:r>
        <w:rPr>
          <w:rFonts w:hint="eastAsia" w:ascii="宋体" w:hAnsi="宋体" w:eastAsia="宋体" w:cs="宋体"/>
          <w:bCs/>
          <w:szCs w:val="21"/>
          <w:u w:val="single"/>
        </w:rPr>
        <w:t xml:space="preserve">（应明确对被破坏的检测产品的处理方式）</w:t>
      </w:r>
      <w:r/>
    </w:p>
    <w:p>
      <w:pPr>
        <w:ind w:firstLine="525"/>
        <w:spacing w:line="400" w:lineRule="exact"/>
        <w:rPr>
          <w:rFonts w:hint="eastAsia" w:ascii="宋体" w:hAnsi="宋体" w:eastAsia="宋体" w:cs="宋体"/>
          <w:bCs/>
          <w:szCs w:val="21"/>
        </w:rPr>
      </w:pP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eastAsia="宋体" w:cs="宋体"/>
          <w:bCs/>
          <w:szCs w:val="21"/>
          <w:u w:val="single"/>
        </w:rPr>
        <w:t xml:space="preserve">（计划于何时验收/供应商提出验收申请之日起   日内组织验收） </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（3）履约验收方式：</w:t>
      </w:r>
      <w:r>
        <w:rPr>
          <w:rFonts w:ascii="Wingdings" w:hAnsi="Wingdings" w:eastAsia="Wingdings" w:cs="Wingdings"/>
          <w:iCs/>
          <w:szCs w:val="21"/>
        </w:rPr>
        <w:t xml:space="preserve"></w:t>
      </w:r>
      <w:r>
        <w:rPr>
          <w:rFonts w:hint="eastAsia" w:ascii="宋体" w:hAnsi="宋体" w:eastAsia="宋体" w:cs="宋体"/>
          <w:bCs/>
          <w:szCs w:val="21"/>
        </w:rPr>
        <w:t xml:space="preserve">一次性验收         </w:t>
      </w:r>
      <w:r/>
    </w:p>
    <w:p>
      <w:pPr>
        <w:spacing w:line="400" w:lineRule="exact"/>
        <w:rPr>
          <w:rFonts w:hint="eastAsia" w:ascii="宋体" w:hAnsi="宋体" w:eastAsia="宋体" w:cs="宋体"/>
          <w:bCs/>
          <w:szCs w:val="21"/>
        </w:rPr>
      </w:pPr>
      <w:r>
        <w:rPr>
          <w:rFonts w:hint="eastAsia" w:ascii="宋体" w:hAnsi="宋体" w:eastAsia="宋体" w:cs="宋体"/>
          <w:bCs/>
          <w:szCs w:val="21"/>
        </w:rPr>
        <w:t xml:space="preserve">                       </w:t>
      </w:r>
      <w:r>
        <w:rPr>
          <w:rFonts w:ascii="Wingdings" w:hAnsi="Wingdings" w:eastAsia="Wingdings" w:cs="Wingdings"/>
          <w:iCs/>
          <w:szCs w:val="21"/>
        </w:rPr>
        <w:t xml:space="preserve"></w:t>
      </w:r>
      <w:r>
        <w:rPr>
          <w:rFonts w:hint="eastAsia" w:ascii="宋体" w:hAnsi="宋体" w:eastAsia="宋体" w:cs="宋体"/>
          <w:bCs/>
          <w:szCs w:val="21"/>
        </w:rPr>
        <w:t xml:space="preserve">分期/分项验收：</w:t>
      </w:r>
      <w:r>
        <w:rPr>
          <w:rFonts w:hint="eastAsia" w:ascii="宋体" w:hAnsi="宋体" w:eastAsia="宋体" w:cs="宋体"/>
          <w:bCs/>
          <w:szCs w:val="21"/>
          <w:u w:val="single"/>
        </w:rPr>
        <w:t xml:space="preserve"> （应明确分期</w:t>
      </w:r>
      <w:r>
        <w:rPr>
          <w:rFonts w:hint="eastAsia" w:ascii="宋体" w:hAnsi="宋体" w:eastAsia="宋体" w:cs="宋体"/>
          <w:bCs/>
          <w:szCs w:val="21"/>
          <w:u w:val="single"/>
          <w:lang w:val="en"/>
        </w:rPr>
        <w:t xml:space="preserve">/分项验收的工作安排</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（4）履约验收程序：</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（5）履约验收的内容：</w:t>
      </w:r>
      <w:r>
        <w:rPr>
          <w:rFonts w:hint="eastAsia" w:ascii="宋体" w:hAnsi="宋体" w:eastAsia="宋体" w:cs="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（6）履约验收标准：</w:t>
      </w:r>
      <w:r>
        <w:rPr>
          <w:rFonts w:hint="eastAsia" w:ascii="宋体" w:hAnsi="宋体" w:eastAsia="宋体" w:cs="宋体"/>
          <w:bCs/>
          <w:szCs w:val="21"/>
          <w:u w:val="single"/>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bCs/>
          <w:szCs w:val="21"/>
        </w:rPr>
        <w:t xml:space="preserve">（7）是否以采购活动中供应商提供的样品作为参考：</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（产权过户登记等）          </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组成合同的文件</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（1）政府采购合同协议书及其变更、补充协议</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（2）政府采购合同专用条款</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（3）政府采购合同通用条款</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（4）中标（成交）通知书</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（5）投标（响应）文件</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（6）采购文件</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（7）有关技术文件，图纸</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color w:val="000000"/>
          <w:szCs w:val="21"/>
        </w:rPr>
        <w:t xml:space="preserve">国家法律、行政法规和规章制度规定或合同约定的作为合同组成部分的其他文件</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合同生效</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                             </w:t>
      </w:r>
      <w:r>
        <w:rPr>
          <w:rFonts w:hint="eastAsia" w:ascii="宋体" w:hAnsi="宋体" w:eastAsia="宋体" w:cs="宋体"/>
          <w:szCs w:val="21"/>
        </w:rPr>
        <w:t xml:space="preserve">生效。</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合同份数</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    </w:t>
      </w:r>
      <w:r>
        <w:rPr>
          <w:rFonts w:hint="eastAsia" w:ascii="宋体" w:hAnsi="宋体" w:eastAsia="宋体" w:cs="宋体"/>
          <w:szCs w:val="21"/>
        </w:rPr>
        <w:t xml:space="preserve">份，甲方执</w:t>
      </w:r>
      <w:r>
        <w:rPr>
          <w:rFonts w:hint="eastAsia" w:ascii="宋体" w:hAnsi="宋体" w:eastAsia="宋体" w:cs="宋体"/>
          <w:szCs w:val="21"/>
          <w:u w:val="single"/>
        </w:rPr>
        <w:t xml:space="preserve">    </w:t>
      </w:r>
      <w:r>
        <w:rPr>
          <w:rFonts w:hint="eastAsia" w:ascii="宋体" w:hAnsi="宋体" w:eastAsia="宋体" w:cs="宋体"/>
          <w:szCs w:val="21"/>
        </w:rPr>
        <w:t xml:space="preserve">份，乙方执</w:t>
      </w:r>
      <w:r>
        <w:rPr>
          <w:rFonts w:hint="eastAsia" w:ascii="宋体" w:hAnsi="宋体" w:eastAsia="宋体" w:cs="宋体"/>
          <w:szCs w:val="21"/>
          <w:u w:val="single"/>
        </w:rPr>
        <w:t xml:space="preserve">    </w:t>
      </w:r>
      <w:r>
        <w:rPr>
          <w:rFonts w:hint="eastAsia" w:ascii="宋体" w:hAnsi="宋体" w:eastAsia="宋体" w:cs="宋体"/>
          <w:szCs w:val="21"/>
        </w:rPr>
        <w:t xml:space="preserve">份，均具有同等法律效力。</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合同订立地点：</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b/>
          <w:bCs/>
          <w:szCs w:val="21"/>
        </w:rPr>
      </w:pPr>
      <w:r>
        <w:rPr>
          <w:rFonts w:hint="eastAsia" w:ascii="宋体" w:hAnsi="宋体" w:eastAsia="宋体" w:cs="宋体"/>
          <w:szCs w:val="21"/>
        </w:rPr>
        <w:t xml:space="preserve">附件：具体标的及其技术要求和商务要求、联合协议、分包意向协议等</w:t>
      </w:r>
      <w:r>
        <w:rPr>
          <w:rFonts w:hint="eastAsia" w:ascii="宋体" w:hAnsi="宋体" w:eastAsia="宋体" w:cs="宋体"/>
          <w:szCs w:val="22"/>
          <w:lang w:val="en"/>
        </w:rPr>
        <w:t xml:space="preserve">   </w:t>
      </w:r>
      <w:r/>
    </w:p>
    <w:p>
      <w:pPr>
        <w:contextualSpacing/>
        <w:ind w:left="720"/>
        <w:jc w:val="left"/>
        <w:widowControl/>
        <w:rPr>
          <w:rFonts w:hint="eastAsia" w:ascii="宋体" w:hAnsi="宋体" w:eastAsia="宋体" w:cs="宋体"/>
          <w:sz w:val="24"/>
          <w:lang w:bidi="en-US"/>
        </w:rPr>
      </w:pPr>
      <w:r>
        <w:rPr>
          <w:rFonts w:hint="eastAsia" w:ascii="宋体" w:hAnsi="宋体" w:eastAsia="宋体" w:cs="宋体"/>
          <w:sz w:val="24"/>
          <w:lang w:bidi="en-US"/>
        </w:rPr>
      </w:r>
      <w:r/>
    </w:p>
    <w:tbl>
      <w:tblPr>
        <w:tblStyle w:val="81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szCs w:val="22"/>
              </w:rPr>
            </w:pPr>
            <w:r>
              <w:rPr>
                <w:rFonts w:hint="eastAsia" w:ascii="宋体" w:hAnsi="宋体" w:eastAsia="宋体" w:cs="宋体"/>
                <w:szCs w:val="21"/>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hint="eastAsia" w:ascii="宋体" w:hAnsi="宋体" w:eastAsia="宋体" w:cs="宋体"/>
                <w:szCs w:val="22"/>
                <w:lang w:eastAsia="en-US"/>
              </w:rPr>
            </w:pPr>
            <w:r>
              <w:rPr>
                <w:rFonts w:hint="eastAsia" w:ascii="宋体" w:hAnsi="宋体" w:eastAsia="宋体" w:cs="宋体"/>
                <w:szCs w:val="21"/>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ind w:firstLine="101"/>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住  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联 系 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hint="eastAsia" w:ascii="宋体" w:hAnsi="宋体" w:eastAsia="宋体" w:cs="宋体"/>
                <w:spacing w:val="20"/>
                <w:szCs w:val="21"/>
              </w:rPr>
            </w:pPr>
            <w:r>
              <w:rPr>
                <w:rFonts w:hint="eastAsia" w:ascii="宋体" w:hAnsi="宋体" w:eastAsia="宋体" w:cs="宋体"/>
                <w:szCs w:val="21"/>
              </w:rPr>
              <w:t xml:space="preserve">注：涉及联合体或其他合同主体的信息应按上表格式加列。</w:t>
            </w:r>
            <w:r/>
          </w:p>
        </w:tc>
      </w:tr>
    </w:tbl>
    <w:p>
      <w:pPr>
        <w:jc w:val="center"/>
        <w:keepLines/>
        <w:keepNext/>
        <w:spacing w:before="120" w:after="260" w:line="415" w:lineRule="auto"/>
        <w:rPr>
          <w:rFonts w:hint="eastAsia" w:ascii="宋体" w:hAnsi="宋体" w:eastAsia="宋体" w:cs="宋体"/>
          <w:b/>
          <w:bCs/>
          <w:sz w:val="28"/>
          <w:szCs w:val="28"/>
        </w:rPr>
        <w:outlineLvl w:val="1"/>
      </w:pPr>
      <w:r>
        <w:rPr>
          <w:rFonts w:hint="eastAsia" w:ascii="宋体" w:hAnsi="宋体" w:eastAsia="宋体" w:cs="宋体"/>
          <w:sz w:val="44"/>
          <w:szCs w:val="21"/>
          <w:u w:val="single"/>
        </w:rPr>
        <w:br w:type="page" w:clear="all"/>
      </w:r>
      <w:r>
        <w:rPr>
          <w:rFonts w:hint="eastAsia" w:ascii="宋体" w:hAnsi="宋体" w:eastAsia="宋体" w:cs="宋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eastAsia="宋体" w:cs="宋体"/>
          <w:b/>
          <w:bCs/>
          <w:sz w:val="24"/>
          <w:szCs w:val="22"/>
        </w:rPr>
      </w:pPr>
      <w:r>
        <w:rPr>
          <w:rFonts w:hint="eastAsia" w:ascii="宋体" w:hAnsi="宋体" w:eastAsia="宋体" w:cs="宋体"/>
          <w:b/>
          <w:sz w:val="24"/>
          <w:szCs w:val="22"/>
        </w:rPr>
        <w:t xml:space="preserve">1. </w:t>
      </w:r>
      <w:r>
        <w:rPr>
          <w:rFonts w:hint="eastAsia" w:ascii="宋体" w:hAnsi="宋体" w:eastAsia="宋体" w:cs="宋体"/>
          <w:b/>
          <w:bCs/>
          <w:sz w:val="24"/>
          <w:szCs w:val="22"/>
        </w:rPr>
        <w:t xml:space="preserve">定义</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包括软件）及相关的备品备件、工具、手册及</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技术资料和材料等。</w:t>
      </w:r>
      <w:r/>
    </w:p>
    <w:p>
      <w:pPr>
        <w:ind w:firstLine="420"/>
        <w:jc w:val="left"/>
        <w:spacing w:line="400" w:lineRule="exact"/>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义务。</w:t>
      </w:r>
      <w:r/>
    </w:p>
    <w:p>
      <w:pPr>
        <w:ind w:firstLine="420"/>
        <w:jc w:val="left"/>
        <w:spacing w:line="400" w:lineRule="exact"/>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6"/>
        </w:numPr>
        <w:jc w:val="left"/>
        <w:spacing w:line="400" w:lineRule="exact"/>
        <w:rPr>
          <w:rFonts w:hint="eastAsia" w:ascii="宋体" w:hAnsi="宋体" w:eastAsia="宋体" w:cs="宋体"/>
          <w:b/>
          <w:bCs/>
          <w:color w:val="000000"/>
          <w:sz w:val="24"/>
          <w:szCs w:val="22"/>
        </w:rPr>
      </w:pPr>
      <w:r>
        <w:rPr>
          <w:rFonts w:hint="eastAsia" w:ascii="宋体" w:hAnsi="宋体" w:eastAsia="宋体" w:cs="宋体"/>
          <w:b/>
          <w:color w:val="000000"/>
          <w:sz w:val="24"/>
          <w:szCs w:val="22"/>
        </w:rPr>
        <w:t xml:space="preserve">合同标的及金额</w:t>
      </w:r>
      <w:r/>
    </w:p>
    <w:p>
      <w:pPr>
        <w:ind w:firstLine="420"/>
        <w:jc w:val="left"/>
        <w:spacing w:line="400" w:lineRule="exact"/>
        <w:rPr>
          <w:rFonts w:hint="eastAsia" w:ascii="宋体" w:hAnsi="宋体" w:eastAsia="宋体" w:cs="宋体"/>
          <w:b/>
          <w:bCs/>
          <w:i/>
          <w:iCs/>
          <w:color w:val="000000"/>
          <w:szCs w:val="21"/>
        </w:rPr>
      </w:pPr>
      <w:r>
        <w:rPr>
          <w:rFonts w:hint="eastAsia" w:ascii="宋体" w:hAnsi="宋体" w:eastAsia="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任何费用。</w:t>
      </w:r>
      <w:r/>
    </w:p>
    <w:p>
      <w:pPr>
        <w:jc w:val="left"/>
        <w:spacing w:line="400" w:lineRule="exact"/>
        <w:rPr>
          <w:rFonts w:hint="eastAsia" w:ascii="宋体" w:hAnsi="宋体" w:eastAsia="宋体" w:cs="宋体"/>
          <w:b/>
          <w:color w:val="000000"/>
          <w:sz w:val="24"/>
          <w:szCs w:val="22"/>
        </w:rPr>
      </w:pPr>
      <w:r>
        <w:rPr>
          <w:rFonts w:hint="eastAsia" w:ascii="宋体" w:hAnsi="宋体" w:eastAsia="宋体" w:cs="宋体"/>
          <w:b/>
          <w:color w:val="000000"/>
          <w:sz w:val="24"/>
          <w:szCs w:val="22"/>
        </w:rPr>
        <w:t xml:space="preserve">3. 履行合同的时间、地点和方式</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4. 甲方的权利和义务</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4.3 甲方有权要求乙方对缺陷部分予以修复，并按合同约定享有货物保修及其他合同约定的权利。</w:t>
      </w:r>
      <w:r/>
    </w:p>
    <w:p>
      <w:pPr>
        <w:ind w:firstLine="420"/>
        <w:spacing w:line="400" w:lineRule="exact"/>
        <w:rPr>
          <w:rFonts w:hint="eastAsia" w:ascii="宋体" w:hAnsi="宋体" w:eastAsia="宋体" w:cs="宋体"/>
          <w:szCs w:val="22"/>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4.6 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5. 乙方的权利和义务</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5.3乙方有权根据合同约定向甲方收取合同价款。</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5.4国家法律法规规定及</w:t>
      </w:r>
      <w:r>
        <w:rPr>
          <w:rFonts w:hint="eastAsia" w:ascii="宋体" w:hAnsi="宋体" w:eastAsia="宋体" w:cs="宋体"/>
          <w:b/>
          <w:color w:val="000000"/>
          <w:szCs w:val="21"/>
        </w:rPr>
        <w:t xml:space="preserve">【政府采购合同专用条款】</w:t>
      </w:r>
      <w:r>
        <w:rPr>
          <w:rFonts w:hint="eastAsia" w:ascii="宋体" w:hAnsi="宋体" w:eastAsia="宋体" w:cs="宋体"/>
          <w:color w:val="000000"/>
          <w:szCs w:val="21"/>
        </w:rPr>
        <w:t xml:space="preserve">约定应由乙方承担的其他义务和责任。</w:t>
      </w:r>
      <w:r/>
    </w:p>
    <w:p>
      <w:pPr>
        <w:numPr>
          <w:ilvl w:val="0"/>
          <w:numId w:val="7"/>
        </w:num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合同履行</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spacing w:line="400" w:lineRule="exact"/>
        <w:rPr>
          <w:rFonts w:hint="eastAsia" w:ascii="宋体" w:hAnsi="宋体" w:eastAsia="宋体" w:cs="宋体"/>
          <w:szCs w:val="22"/>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7. 货物包装、运输、保险和交付要求</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sz w:val="24"/>
          <w:szCs w:val="22"/>
        </w:rPr>
      </w:pPr>
      <w:r>
        <w:rPr>
          <w:rFonts w:hint="eastAsia" w:ascii="宋体" w:hAnsi="宋体" w:eastAsia="宋体" w:cs="宋体"/>
          <w:b/>
          <w:color w:val="000000"/>
          <w:sz w:val="24"/>
          <w:szCs w:val="22"/>
        </w:rPr>
        <w:t xml:space="preserve">8. </w:t>
      </w:r>
      <w:r>
        <w:rPr>
          <w:rFonts w:hint="eastAsia" w:ascii="宋体" w:hAnsi="宋体" w:eastAsia="宋体" w:cs="宋体"/>
          <w:b/>
          <w:sz w:val="24"/>
          <w:szCs w:val="22"/>
        </w:rPr>
        <w:t xml:space="preserve">质量标准和保证</w:t>
      </w:r>
      <w:r/>
    </w:p>
    <w:p>
      <w:pPr>
        <w:ind w:firstLine="420"/>
        <w:jc w:val="left"/>
        <w:spacing w:line="400" w:lineRule="exact"/>
        <w:rPr>
          <w:rFonts w:hint="eastAsia" w:ascii="宋体" w:hAnsi="宋体" w:eastAsia="宋体" w:cs="宋体"/>
          <w:b/>
          <w:szCs w:val="21"/>
        </w:rPr>
      </w:pPr>
      <w:r>
        <w:rPr>
          <w:rFonts w:hint="eastAsia" w:ascii="宋体" w:hAnsi="宋体" w:eastAsia="宋体" w:cs="宋体"/>
          <w:szCs w:val="21"/>
        </w:rPr>
        <w:t xml:space="preserve">8.1 质量标准</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（2）采用中华人民共和国法定计量单位。</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8.2 保证</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p>
    <w:p>
      <w:pPr>
        <w:ind w:firstLine="420"/>
        <w:jc w:val="left"/>
        <w:spacing w:line="400" w:lineRule="exact"/>
        <w:rPr>
          <w:rFonts w:hint="eastAsia" w:ascii="宋体" w:hAnsi="宋体" w:eastAsia="宋体" w:cs="宋体"/>
          <w:szCs w:val="22"/>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sz w:val="24"/>
          <w:szCs w:val="22"/>
        </w:rPr>
      </w:pPr>
      <w:r>
        <w:rPr>
          <w:rFonts w:hint="eastAsia" w:ascii="宋体" w:hAnsi="宋体" w:eastAsia="宋体" w:cs="宋体"/>
          <w:b/>
          <w:bCs/>
          <w:color w:val="000000"/>
          <w:sz w:val="24"/>
          <w:szCs w:val="22"/>
        </w:rPr>
        <w:t xml:space="preserve">9</w:t>
      </w:r>
      <w:r>
        <w:rPr>
          <w:rFonts w:hint="eastAsia" w:ascii="宋体" w:hAnsi="宋体" w:eastAsia="宋体" w:cs="宋体"/>
          <w:b/>
          <w:bCs/>
          <w:sz w:val="24"/>
          <w:szCs w:val="22"/>
        </w:rPr>
        <w:t xml:space="preserve">.</w:t>
      </w:r>
      <w:r>
        <w:rPr>
          <w:rFonts w:hint="eastAsia" w:ascii="宋体" w:hAnsi="宋体" w:eastAsia="宋体" w:cs="宋体"/>
          <w:b/>
          <w:bCs/>
          <w:color w:val="000000"/>
          <w:sz w:val="24"/>
          <w:szCs w:val="22"/>
        </w:rPr>
        <w:t xml:space="preserve"> </w:t>
      </w:r>
      <w:r>
        <w:rPr>
          <w:rFonts w:hint="eastAsia" w:ascii="宋体" w:hAnsi="宋体" w:eastAsia="宋体" w:cs="宋体"/>
          <w:b/>
          <w:bCs/>
          <w:sz w:val="24"/>
          <w:szCs w:val="22"/>
        </w:rPr>
        <w:t xml:space="preserve">权利瑕疵担保</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10. 知识产权保护</w:t>
      </w:r>
      <w:r/>
    </w:p>
    <w:p>
      <w:pPr>
        <w:ind w:firstLine="420"/>
        <w:jc w:val="left"/>
        <w:spacing w:line="400" w:lineRule="exact"/>
        <w:rPr>
          <w:rFonts w:hint="eastAsia"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Cs w:val="21"/>
        </w:rPr>
        <w:t xml:space="preserve">。</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11. 保密义务</w:t>
      </w:r>
      <w:r/>
    </w:p>
    <w:p>
      <w:pPr>
        <w:ind w:firstLine="420"/>
        <w:jc w:val="left"/>
        <w:spacing w:line="400" w:lineRule="exact"/>
        <w:rPr>
          <w:rFonts w:hint="eastAsia"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12. 合同价款支付</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】中约定。</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13. 履约保证金</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szCs w:val="22"/>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spacing w:line="400" w:lineRule="exact"/>
        <w:rPr>
          <w:rFonts w:hint="eastAsia" w:ascii="宋体" w:hAnsi="宋体" w:eastAsia="宋体" w:cs="宋体"/>
          <w:b/>
          <w:sz w:val="24"/>
          <w:szCs w:val="22"/>
        </w:rPr>
      </w:pPr>
      <w:r>
        <w:rPr>
          <w:rFonts w:hint="eastAsia" w:ascii="宋体" w:hAnsi="宋体" w:eastAsia="宋体" w:cs="宋体"/>
          <w:b/>
          <w:bCs/>
          <w:sz w:val="24"/>
          <w:szCs w:val="22"/>
        </w:rPr>
        <w:t xml:space="preserve">14. </w:t>
      </w:r>
      <w:r>
        <w:rPr>
          <w:rFonts w:hint="eastAsia" w:ascii="宋体" w:hAnsi="宋体" w:eastAsia="宋体" w:cs="宋体"/>
          <w:b/>
          <w:sz w:val="24"/>
          <w:szCs w:val="22"/>
        </w:rPr>
        <w:t xml:space="preserve">售后服务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（5）依照法律、行政法规的规定或者按照</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15. 违约责任</w:t>
      </w:r>
      <w:r/>
    </w:p>
    <w:p>
      <w:pPr>
        <w:ind w:firstLine="420"/>
        <w:jc w:val="left"/>
        <w:spacing w:line="400" w:lineRule="exact"/>
        <w:rPr>
          <w:rFonts w:hint="eastAsia"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spacing w:line="400" w:lineRule="exact"/>
        <w:rPr>
          <w:rFonts w:hint="eastAsia"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15.3 迟延支付的违约责任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spacing w:line="400" w:lineRule="exact"/>
        <w:rPr>
          <w:rFonts w:hint="eastAsia"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numPr>
          <w:ilvl w:val="0"/>
          <w:numId w:val="8"/>
        </w:numPr>
        <w:jc w:val="left"/>
        <w:spacing w:line="400" w:lineRule="exact"/>
        <w:rPr>
          <w:rFonts w:hint="eastAsia" w:ascii="宋体" w:hAnsi="宋体" w:eastAsia="宋体" w:cs="宋体"/>
          <w:b/>
          <w:sz w:val="24"/>
          <w:szCs w:val="22"/>
        </w:rPr>
      </w:pPr>
      <w:r>
        <w:rPr>
          <w:rFonts w:hint="eastAsia" w:ascii="宋体" w:hAnsi="宋体" w:eastAsia="宋体" w:cs="宋体"/>
          <w:b/>
          <w:sz w:val="24"/>
          <w:szCs w:val="22"/>
        </w:rPr>
        <w:t xml:space="preserve">合同变更、中止与终止</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    16.1合同的变更</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16.2合同的中止</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szCs w:val="22"/>
        </w:rPr>
      </w:pPr>
      <w:r>
        <w:rPr>
          <w:rFonts w:hint="eastAsia" w:ascii="宋体" w:hAnsi="宋体" w:eastAsia="宋体" w:cs="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16.3合同的终止</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（1）合同因有效期限届满而终止；</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ind w:firstLine="440"/>
        <w:jc w:val="left"/>
        <w:spacing w:line="400" w:lineRule="exact"/>
        <w:widowControl/>
        <w:rPr>
          <w:rFonts w:hint="eastAsia" w:ascii="宋体" w:hAnsi="宋体" w:eastAsia="宋体" w:cs="宋体"/>
          <w:sz w:val="22"/>
          <w:szCs w:val="21"/>
        </w:rPr>
      </w:pPr>
      <w:r>
        <w:rPr>
          <w:rFonts w:hint="eastAsia" w:ascii="宋体" w:hAnsi="宋体" w:eastAsia="宋体" w:cs="宋体"/>
          <w:sz w:val="22"/>
          <w:szCs w:val="21"/>
        </w:rPr>
        <w:t xml:space="preserve">16.4 </w:t>
      </w:r>
      <w:r>
        <w:rPr>
          <w:rFonts w:hint="eastAsia" w:ascii="宋体" w:hAnsi="宋体" w:eastAsia="宋体" w:cs="宋体"/>
          <w:szCs w:val="21"/>
        </w:rPr>
        <w:t xml:space="preserve">涉及国家利益、社会公共利益的情形</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17. 合同分包</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18. 不可抗力</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19. 解决争议的方法</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19.2 选择仲裁的，应在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中明确仲裁机构及仲裁地；通过诉讼方式解决的，可以在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sz w:val="24"/>
          <w:szCs w:val="22"/>
        </w:rPr>
      </w:pPr>
      <w:r>
        <w:rPr>
          <w:rFonts w:hint="eastAsia" w:ascii="宋体" w:hAnsi="宋体" w:eastAsia="宋体" w:cs="宋体"/>
          <w:b/>
          <w:sz w:val="24"/>
          <w:szCs w:val="22"/>
        </w:rPr>
        <w:t xml:space="preserve">20. 政府采购政策</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szCs w:val="22"/>
          <w:lang w:val="en-GB"/>
        </w:rPr>
        <w:t xml:space="preserve">本合同应当按照规定执行政府采购政策。</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szCs w:val="22"/>
        </w:rPr>
        <w:t xml:space="preserve">甲乙双方</w:t>
      </w:r>
      <w:r>
        <w:rPr>
          <w:rFonts w:hint="eastAsia" w:ascii="宋体" w:hAnsi="宋体" w:eastAsia="宋体" w:cs="宋体"/>
          <w:szCs w:val="22"/>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sz w:val="24"/>
          <w:szCs w:val="22"/>
        </w:rPr>
      </w:pPr>
      <w:r>
        <w:rPr>
          <w:rFonts w:hint="eastAsia" w:ascii="宋体" w:hAnsi="宋体" w:eastAsia="宋体" w:cs="宋体"/>
          <w:b/>
          <w:sz w:val="24"/>
          <w:szCs w:val="22"/>
        </w:rPr>
        <w:t xml:space="preserve">21. 法律适用</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eastAsia="宋体" w:cs="宋体"/>
          <w:b/>
          <w:sz w:val="24"/>
          <w:szCs w:val="22"/>
        </w:rPr>
      </w:pPr>
      <w:r>
        <w:rPr>
          <w:rFonts w:hint="eastAsia" w:ascii="宋体" w:hAnsi="宋体" w:eastAsia="宋体" w:cs="宋体"/>
          <w:b/>
          <w:sz w:val="24"/>
          <w:szCs w:val="22"/>
        </w:rPr>
        <w:t xml:space="preserve">22. 通知</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9"/>
        </w:num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合同未尽事项</w:t>
      </w:r>
      <w:r/>
    </w:p>
    <w:p>
      <w:pPr>
        <w:ind w:firstLine="420"/>
        <w:jc w:val="left"/>
        <w:spacing w:line="400" w:lineRule="exact"/>
        <w:rPr>
          <w:rFonts w:hint="eastAsia"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spacing w:line="400" w:lineRule="exact"/>
        <w:rPr>
          <w:rFonts w:hint="eastAsia" w:ascii="宋体" w:hAnsi="宋体" w:eastAsia="宋体" w:cs="宋体"/>
          <w:sz w:val="28"/>
          <w:szCs w:val="28"/>
        </w:rPr>
      </w:pPr>
      <w:r>
        <w:rPr>
          <w:rFonts w:hint="eastAsia" w:ascii="宋体" w:hAnsi="宋体" w:eastAsia="宋体" w:cs="宋体"/>
          <w:bCs/>
          <w:szCs w:val="21"/>
        </w:rPr>
        <w:t xml:space="preserve">    23.2 合同附件与合同正文具有同等的法律效力。</w:t>
      </w:r>
      <w:r/>
    </w:p>
    <w:p>
      <w:pPr>
        <w:jc w:val="center"/>
        <w:rPr>
          <w:rFonts w:hint="eastAsia" w:ascii="宋体" w:hAnsi="宋体" w:eastAsia="宋体" w:cs="宋体"/>
          <w:b/>
          <w:bCs/>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第三节 政府采购合同专用条款</w:t>
      </w:r>
      <w:r/>
    </w:p>
    <w:tbl>
      <w:tblPr>
        <w:tblStyle w:val="816"/>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2"/>
                <w:lang w:eastAsia="en-US"/>
              </w:rPr>
            </w:pPr>
            <w:r>
              <w:rPr>
                <w:rFonts w:hint="eastAsia" w:ascii="宋体" w:hAnsi="宋体" w:eastAsia="宋体" w:cs="宋体"/>
                <w:szCs w:val="21"/>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Cs w:val="22"/>
                <w:lang w:eastAsia="en-US"/>
              </w:rPr>
            </w:pPr>
            <w:r>
              <w:rPr>
                <w:rFonts w:hint="eastAsia" w:ascii="宋体" w:hAnsi="宋体" w:eastAsia="宋体" w:cs="宋体"/>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Cs w:val="22"/>
                <w:lang w:eastAsia="en-US"/>
              </w:rPr>
            </w:pPr>
            <w:r>
              <w:rPr>
                <w:rFonts w:hint="eastAsia" w:ascii="宋体" w:hAnsi="宋体" w:eastAsia="宋体" w:cs="宋体"/>
                <w:szCs w:val="22"/>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Cs w:val="22"/>
                <w:lang w:eastAsia="en-US"/>
              </w:rPr>
            </w:pPr>
            <w:r>
              <w:rPr>
                <w:rFonts w:hint="eastAsia" w:ascii="宋体" w:hAnsi="宋体" w:eastAsia="宋体" w:cs="宋体"/>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Cs w:val="22"/>
                <w:lang w:eastAsia="en-US"/>
              </w:rPr>
            </w:pPr>
            <w:r>
              <w:rPr>
                <w:rFonts w:hint="eastAsia" w:ascii="宋体" w:hAnsi="宋体" w:eastAsia="宋体" w:cs="宋体"/>
                <w:szCs w:val="22"/>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货物质量缺陷</w:t>
            </w:r>
            <w:r/>
          </w:p>
          <w:p>
            <w:pPr>
              <w:jc w:val="left"/>
              <w:rPr>
                <w:rFonts w:hint="eastAsia" w:ascii="宋体" w:hAnsi="宋体" w:eastAsia="宋体" w:cs="宋体"/>
                <w:szCs w:val="21"/>
              </w:rPr>
            </w:pPr>
            <w:r>
              <w:rPr>
                <w:rFonts w:hint="eastAsia" w:ascii="宋体" w:hAnsi="宋体" w:eastAsia="宋体" w:cs="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spacing w:line="400" w:lineRule="exact"/>
              <w:widowControl/>
              <w:rPr>
                <w:rFonts w:hint="eastAsia" w:ascii="宋体" w:hAnsi="宋体" w:eastAsia="宋体" w:cs="宋体"/>
                <w:sz w:val="22"/>
                <w:szCs w:val="21"/>
                <w:lang w:eastAsia="en-US"/>
              </w:rPr>
            </w:pPr>
            <w:r>
              <w:rPr>
                <w:rFonts w:hint="eastAsia" w:ascii="宋体" w:hAnsi="宋体" w:eastAsia="宋体" w:cs="宋体"/>
                <w:sz w:val="22"/>
                <w:szCs w:val="21"/>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hint="eastAsia" w:ascii="宋体" w:hAnsi="宋体" w:eastAsia="宋体" w:cs="宋体"/>
                <w:szCs w:val="21"/>
                <w:lang w:eastAsia="en-US"/>
              </w:rPr>
            </w:pPr>
            <w:r>
              <w:rPr>
                <w:rFonts w:hint="eastAsia" w:ascii="宋体" w:hAnsi="宋体" w:eastAsia="宋体" w:cs="宋体"/>
                <w:szCs w:val="21"/>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u w:val="single"/>
                <w:lang w:eastAsia="en-US"/>
              </w:rPr>
            </w:pPr>
            <w:r>
              <w:rPr>
                <w:rFonts w:hint="eastAsia" w:ascii="宋体" w:hAnsi="宋体" w:eastAsia="宋体" w:cs="宋体"/>
                <w:szCs w:val="21"/>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u w:val="single"/>
                <w:lang w:eastAsia="en-US"/>
              </w:rPr>
            </w:pPr>
            <w:r>
              <w:rPr>
                <w:rFonts w:hint="eastAsia" w:ascii="宋体" w:hAnsi="宋体" w:eastAsia="宋体" w:cs="宋体"/>
                <w:szCs w:val="21"/>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hint="eastAsia" w:ascii="宋体" w:hAnsi="宋体" w:eastAsia="宋体" w:cs="宋体"/>
                <w:szCs w:val="21"/>
                <w:u w:val="single"/>
                <w:lang w:eastAsia="en-US"/>
              </w:rPr>
            </w:pPr>
            <w:r>
              <w:rPr>
                <w:rFonts w:hint="eastAsia" w:ascii="宋体" w:hAnsi="宋体" w:eastAsia="宋体" w:cs="宋体"/>
                <w:szCs w:val="21"/>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hint="eastAsia"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p>
          <w:p>
            <w:pPr>
              <w:jc w:val="left"/>
              <w:spacing w:line="400" w:lineRule="exact"/>
              <w:rPr>
                <w:rFonts w:hint="eastAsia"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                    </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p>
          <w:p>
            <w:pPr>
              <w:jc w:val="left"/>
              <w:rPr>
                <w:rFonts w:hint="eastAsia" w:ascii="宋体" w:hAnsi="宋体" w:eastAsia="宋体" w:cs="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                    </w:t>
            </w:r>
            <w:r>
              <w:rPr>
                <w:rFonts w:hint="eastAsia" w:ascii="宋体" w:hAnsi="宋体" w:eastAsia="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bCs/>
                <w:szCs w:val="21"/>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bl>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806"/>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93"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9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9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9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9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9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806"/>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t xml:space="preserve">第四章  采购需求</w:t>
      </w:r>
      <w:r/>
    </w:p>
    <w:p>
      <w:pPr>
        <w:keepLines w:val="0"/>
        <w:keepNext w:val="0"/>
        <w:pageBreakBefore w:val="0"/>
        <w:spacing w:line="560" w:lineRule="exact"/>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项目属性：货物类项目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u w:val="single"/>
          <w:lang w:val="en-US" w:eastAsia="zh-CN"/>
        </w:rPr>
        <w:t xml:space="preserve">工业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single"/>
          <w:lang w:val="en-US" w:eastAsia="zh-CN"/>
        </w:rPr>
        <w:t xml:space="preserve"> 不接受 </w:t>
      </w:r>
      <w:r>
        <w:rPr>
          <w:rFonts w:hint="eastAsia" w:ascii="宋体" w:hAnsi="宋体" w:eastAsia="宋体" w:cs="宋体"/>
          <w:color w:val="auto"/>
          <w:sz w:val="24"/>
          <w:szCs w:val="24"/>
          <w:highlight w:val="none"/>
          <w:lang w:val="en-US" w:eastAsia="zh-CN"/>
        </w:rPr>
        <w:t xml:space="preserve">（接受/不接受）进口产品。</w:t>
      </w:r>
      <w:r/>
    </w:p>
    <w:p>
      <w:pPr>
        <w:numPr>
          <w:ilvl w:val="0"/>
          <w:numId w:val="0"/>
        </w:numPr>
        <w:ind w:firstLine="482"/>
        <w:keepLines w:val="0"/>
        <w:keepNext w:val="0"/>
        <w:pageBreakBefore w:val="0"/>
        <w:spacing w:line="360" w:lineRule="auto"/>
        <w:widowControl/>
        <w:rPr>
          <w:rStyle w:val="815"/>
          <w:rFonts w:hint="eastAsia" w:ascii="宋体" w:hAnsi="宋体" w:eastAsia="宋体" w:cs="宋体"/>
          <w:b/>
          <w:bCs/>
          <w:color w:val="auto"/>
          <w:sz w:val="24"/>
          <w:szCs w:val="22"/>
          <w:highlight w:val="none"/>
          <w:lang w:val="en-US" w:eastAsia="zh-CN" w:bidi="ar-SA"/>
        </w:rPr>
      </w:pPr>
      <w:r/>
      <w:bookmarkStart w:id="194" w:name="_Toc256000014"/>
      <w:r/>
      <w:bookmarkStart w:id="195" w:name="_Toc111564910"/>
      <w:r/>
      <w:bookmarkStart w:id="196" w:name="_Toc760"/>
      <w:r/>
      <w:bookmarkStart w:id="197" w:name="_Toc31498"/>
      <w:r>
        <w:rPr>
          <w:rFonts w:hint="eastAsia" w:ascii="宋体" w:hAnsi="宋体" w:eastAsia="宋体" w:cs="宋体"/>
          <w:b/>
          <w:bCs/>
          <w:color w:val="auto"/>
          <w:sz w:val="24"/>
          <w:szCs w:val="22"/>
          <w:highlight w:val="none"/>
          <w:lang w:val="en-US" w:eastAsia="zh-CN" w:bidi="ar-SA"/>
        </w:rPr>
        <w:t xml:space="preserve">一、</w:t>
      </w:r>
      <w:r>
        <w:rPr>
          <w:rStyle w:val="815"/>
          <w:rFonts w:hint="eastAsia" w:ascii="宋体" w:hAnsi="宋体" w:eastAsia="宋体" w:cs="宋体"/>
          <w:b/>
          <w:bCs/>
          <w:color w:val="auto"/>
          <w:sz w:val="24"/>
          <w:szCs w:val="22"/>
          <w:highlight w:val="none"/>
          <w:lang w:val="en-US" w:eastAsia="zh-CN" w:bidi="ar-SA"/>
        </w:rPr>
        <w:t xml:space="preserve">项目概况</w:t>
      </w:r>
      <w:bookmarkEnd w:id="194"/>
      <w:r/>
      <w:bookmarkEnd w:id="195"/>
      <w:r/>
      <w:bookmarkEnd w:id="196"/>
      <w:r/>
      <w:bookmarkEnd w:id="197"/>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Style w:val="815"/>
          <w:rFonts w:hint="eastAsia" w:ascii="宋体" w:hAnsi="宋体" w:eastAsia="宋体" w:cs="Times New Roman"/>
          <w:sz w:val="24"/>
          <w:szCs w:val="24"/>
          <w:lang w:val="en-US" w:eastAsia="zh-CN" w:bidi="ar-SA"/>
        </w:rPr>
        <w:t xml:space="preserve">（一）</w:t>
      </w:r>
      <w:r>
        <w:rPr>
          <w:rFonts w:hint="eastAsia" w:ascii="宋体" w:hAnsi="宋体" w:eastAsia="宋体" w:cs="宋体"/>
          <w:color w:val="auto"/>
          <w:sz w:val="24"/>
          <w:szCs w:val="24"/>
          <w:highlight w:val="none"/>
          <w:lang w:eastAsia="zh-CN"/>
        </w:rPr>
        <w:t xml:space="preserve">宿迁市2026年（省体育局资助）全民健身器材采购项目</w:t>
      </w:r>
      <w:r/>
    </w:p>
    <w:p>
      <w:pPr>
        <w:numPr>
          <w:ilvl w:val="0"/>
          <w:numId w:val="0"/>
        </w:numPr>
        <w:ind w:firstLine="480"/>
        <w:jc w:val="both"/>
        <w:keepLines w:val="0"/>
        <w:keepNext w:val="0"/>
        <w:pageBreakBefore w:val="0"/>
        <w:spacing w:line="360" w:lineRule="auto"/>
        <w:widowControl/>
        <w:rPr>
          <w:rStyle w:val="815"/>
          <w:rFonts w:hint="eastAsia"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分包一：采购一代户外健身路径80套，本分包核心产品为一代户外健身路径，预算为196.8万元。</w:t>
      </w:r>
      <w:r/>
    </w:p>
    <w:p>
      <w:pPr>
        <w:numPr>
          <w:ilvl w:val="0"/>
          <w:numId w:val="0"/>
        </w:numPr>
        <w:ind w:firstLine="480"/>
        <w:jc w:val="both"/>
        <w:keepLines w:val="0"/>
        <w:keepNext w:val="0"/>
        <w:pageBreakBefore w:val="0"/>
        <w:spacing w:line="360" w:lineRule="auto"/>
        <w:widowControl/>
        <w:rPr>
          <w:rStyle w:val="815"/>
          <w:rFonts w:hint="eastAsia"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分包二：采购室外地埋式篮球架50套，本分包核心产品为室外地埋式篮球架，预算为39万元。</w:t>
      </w:r>
      <w:r/>
    </w:p>
    <w:p>
      <w:pPr>
        <w:numPr>
          <w:ilvl w:val="0"/>
          <w:numId w:val="0"/>
        </w:numPr>
        <w:ind w:firstLine="480"/>
        <w:jc w:val="both"/>
        <w:keepLines w:val="0"/>
        <w:keepNext w:val="0"/>
        <w:pageBreakBefore w:val="0"/>
        <w:spacing w:line="360" w:lineRule="auto"/>
        <w:widowControl/>
        <w:rPr>
          <w:rStyle w:val="815"/>
          <w:rFonts w:hint="eastAsia"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分包三：采购室外乒乓球桌200张，本分包核心产品为室外乒乓球桌，预算为59万元。</w:t>
      </w:r>
      <w:r/>
    </w:p>
    <w:p>
      <w:pPr>
        <w:numPr>
          <w:ilvl w:val="0"/>
          <w:numId w:val="0"/>
        </w:numPr>
        <w:ind w:firstLine="480"/>
        <w:jc w:val="both"/>
        <w:keepLines w:val="0"/>
        <w:keepNext w:val="0"/>
        <w:pageBreakBefore w:val="0"/>
        <w:spacing w:line="360" w:lineRule="auto"/>
        <w:widowControl/>
        <w:rPr>
          <w:rStyle w:val="815"/>
          <w:rFonts w:hint="eastAsia"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分包四：采购室外灯光篮球场2片，本分包核心产品为室外灯光篮球场，预算为59万元。</w:t>
      </w:r>
      <w:r/>
    </w:p>
    <w:p>
      <w:pPr>
        <w:ind w:firstLine="482"/>
        <w:jc w:val="both"/>
        <w:keepLines w:val="0"/>
        <w:keepNext w:val="0"/>
        <w:pageBreakBefore w:val="0"/>
        <w:spacing w:line="360" w:lineRule="auto"/>
        <w:widowControl/>
        <w:rPr>
          <w:rStyle w:val="815"/>
          <w:rFonts w:hint="default" w:ascii="宋体" w:hAnsi="宋体" w:eastAsia="宋体" w:cs="Times New Roman"/>
          <w:b/>
          <w:sz w:val="24"/>
          <w:szCs w:val="24"/>
          <w:lang w:val="en-US" w:eastAsia="zh-CN" w:bidi="ar-SA"/>
        </w:rPr>
      </w:pPr>
      <w:r>
        <w:rPr>
          <w:rStyle w:val="815"/>
          <w:rFonts w:hint="eastAsia" w:ascii="宋体" w:hAnsi="宋体" w:eastAsia="宋体" w:cs="Times New Roman"/>
          <w:b/>
          <w:sz w:val="24"/>
          <w:szCs w:val="24"/>
          <w:lang w:val="en-US" w:eastAsia="zh-CN" w:bidi="ar-SA"/>
        </w:rPr>
        <w:t xml:space="preserve">（二）招标内容：采购、安装、维保。</w:t>
      </w:r>
      <w:r/>
    </w:p>
    <w:p>
      <w:pPr>
        <w:numPr>
          <w:ilvl w:val="0"/>
          <w:numId w:val="0"/>
        </w:numPr>
        <w:ind w:firstLine="482"/>
        <w:keepLines w:val="0"/>
        <w:keepNext w:val="0"/>
        <w:pageBreakBefore w:val="0"/>
        <w:spacing w:line="360" w:lineRule="auto"/>
        <w:widowControl/>
        <w:rPr>
          <w:rStyle w:val="815"/>
          <w:rFonts w:hint="eastAsia" w:ascii="宋体" w:hAnsi="宋体" w:eastAsia="宋体" w:cs="Times New Roman"/>
          <w:b/>
          <w:sz w:val="24"/>
          <w:szCs w:val="24"/>
          <w:lang w:val="en-US" w:eastAsia="zh-CN" w:bidi="ar-SA"/>
        </w:rPr>
      </w:pPr>
      <w:r>
        <w:rPr>
          <w:rStyle w:val="815"/>
          <w:rFonts w:hint="eastAsia" w:ascii="宋体" w:hAnsi="宋体" w:eastAsia="宋体" w:cs="Times New Roman"/>
          <w:b/>
          <w:sz w:val="24"/>
          <w:szCs w:val="24"/>
          <w:lang w:val="en-US" w:eastAsia="zh-CN" w:bidi="ar-SA"/>
        </w:rPr>
        <w:t xml:space="preserve">（三）质量要求</w:t>
      </w:r>
      <w:r/>
    </w:p>
    <w:p>
      <w:pPr>
        <w:numPr>
          <w:ilvl w:val="0"/>
          <w:numId w:val="0"/>
        </w:numPr>
        <w:ind w:firstLine="480"/>
        <w:keepLines w:val="0"/>
        <w:keepNext w:val="0"/>
        <w:pageBreakBefore w:val="0"/>
        <w:spacing w:line="360" w:lineRule="auto"/>
        <w:widowControl/>
        <w:rPr>
          <w:rStyle w:val="815"/>
          <w:rFonts w:hint="eastAsia" w:ascii="宋体" w:hAnsi="宋体" w:eastAsia="宋体" w:cs="宋体"/>
          <w:b w:val="0"/>
          <w:bCs/>
          <w:color w:val="auto"/>
          <w:sz w:val="24"/>
          <w:szCs w:val="24"/>
          <w:highlight w:val="none"/>
          <w:lang w:val="en-US" w:eastAsia="zh-CN" w:bidi="ar-SA"/>
        </w:rPr>
      </w:pPr>
      <w:r>
        <w:rPr>
          <w:rStyle w:val="815"/>
          <w:rFonts w:hint="eastAsia" w:ascii="宋体" w:hAnsi="宋体" w:eastAsia="宋体" w:cs="Times New Roman"/>
          <w:b w:val="0"/>
          <w:bCs/>
          <w:sz w:val="24"/>
          <w:szCs w:val="24"/>
          <w:lang w:val="en-US" w:eastAsia="zh-CN" w:bidi="ar-SA"/>
        </w:rPr>
        <w:t xml:space="preserve">分包一：全部符合“室外健身器材的安全通用要求（GB19272-2024）”的有关要求，并提供国家体育用品质量监督检验中心出具的检验报告以及国家体育总局认可的权威检测机构相关证书</w:t>
      </w:r>
      <w:r>
        <w:rPr>
          <w:rStyle w:val="815"/>
          <w:rFonts w:hint="eastAsia" w:ascii="宋体" w:hAnsi="宋体" w:eastAsia="宋体" w:cs="宋体"/>
          <w:b w:val="0"/>
          <w:bCs/>
          <w:color w:val="auto"/>
          <w:sz w:val="24"/>
          <w:szCs w:val="24"/>
          <w:highlight w:val="none"/>
          <w:lang w:val="en-US" w:eastAsia="zh-CN" w:bidi="ar-SA"/>
        </w:rPr>
        <w:t xml:space="preserve">。</w:t>
      </w:r>
      <w:r/>
    </w:p>
    <w:p>
      <w:pPr>
        <w:ind w:firstLine="480"/>
        <w:keepLines w:val="0"/>
        <w:keepNext w:val="0"/>
        <w:pageBreakBefore w:val="0"/>
        <w:spacing w:line="360" w:lineRule="auto"/>
        <w:rPr>
          <w:rFonts w:hint="eastAsia" w:ascii="宋体" w:hAnsi="宋体" w:eastAsia="宋体" w:cs="Times New Roman"/>
          <w:b w:val="0"/>
          <w:bCs/>
          <w:sz w:val="24"/>
          <w:szCs w:val="24"/>
          <w:lang w:val="en-US" w:eastAsia="zh-CN" w:bidi="ar-SA"/>
        </w:rPr>
      </w:pPr>
      <w:r>
        <w:rPr>
          <w:rFonts w:hint="eastAsia" w:ascii="宋体" w:hAnsi="宋体" w:eastAsia="宋体" w:cs="Times New Roman"/>
          <w:b w:val="0"/>
          <w:bCs/>
          <w:sz w:val="24"/>
          <w:szCs w:val="24"/>
          <w:lang w:val="en-US" w:eastAsia="zh-CN" w:bidi="ar-SA"/>
        </w:rPr>
        <w:t xml:space="preserve">分包二：</w:t>
      </w:r>
      <w:r>
        <w:rPr>
          <w:rStyle w:val="815"/>
          <w:rFonts w:hint="eastAsia" w:ascii="宋体" w:hAnsi="宋体" w:eastAsia="宋体" w:cs="Times New Roman"/>
          <w:b w:val="0"/>
          <w:bCs/>
          <w:sz w:val="24"/>
          <w:szCs w:val="24"/>
          <w:lang w:val="en-US" w:eastAsia="zh-CN" w:bidi="ar-SA"/>
        </w:rPr>
        <w:t xml:space="preserve">全部符合“室外健身器材的安全通用要求（GB19272-2024）”的有关要求，并提供国家体育用品质量监督检验中心出具的检验报告以及国家体育总局认可的权威检测机构相关证书</w:t>
      </w:r>
      <w:r>
        <w:rPr>
          <w:rFonts w:hint="eastAsia" w:ascii="宋体" w:hAnsi="宋体" w:eastAsia="宋体" w:cs="Times New Roman"/>
          <w:b w:val="0"/>
          <w:bCs/>
          <w:sz w:val="24"/>
          <w:szCs w:val="24"/>
          <w:lang w:val="en-US" w:eastAsia="zh-CN" w:bidi="ar-SA"/>
        </w:rPr>
        <w:t xml:space="preserve">。</w:t>
      </w:r>
      <w:r/>
    </w:p>
    <w:p>
      <w:pPr>
        <w:ind w:firstLine="480"/>
        <w:keepLines w:val="0"/>
        <w:keepNext w:val="0"/>
        <w:pageBreakBefore w:val="0"/>
        <w:spacing w:line="360" w:lineRule="auto"/>
        <w:rPr>
          <w:rFonts w:hint="eastAsia" w:ascii="宋体" w:hAnsi="宋体" w:eastAsia="宋体"/>
          <w:b w:val="0"/>
          <w:bCs/>
          <w:sz w:val="24"/>
          <w:szCs w:val="24"/>
        </w:rPr>
      </w:pPr>
      <w:r>
        <w:rPr>
          <w:rFonts w:hint="eastAsia" w:ascii="宋体" w:hAnsi="宋体" w:eastAsia="宋体" w:cs="Times New Roman"/>
          <w:b w:val="0"/>
          <w:bCs/>
          <w:sz w:val="24"/>
          <w:szCs w:val="24"/>
          <w:lang w:val="en-US" w:eastAsia="zh-CN" w:bidi="ar-SA"/>
        </w:rPr>
        <w:t xml:space="preserve">分包三</w:t>
      </w:r>
      <w:r>
        <w:rPr>
          <w:rStyle w:val="815"/>
          <w:rFonts w:hint="eastAsia" w:ascii="宋体" w:hAnsi="宋体" w:eastAsia="宋体" w:cs="Times New Roman"/>
          <w:b w:val="0"/>
          <w:bCs/>
          <w:sz w:val="24"/>
          <w:szCs w:val="24"/>
          <w:lang w:val="en-US" w:eastAsia="zh-CN" w:bidi="ar-SA"/>
        </w:rPr>
        <w:t xml:space="preserve">：全部符合“室外健身器材的安全通用要求（GB19272-2024）”的有关要求，并提供国家体育用品质量监督检验中心出具的检验报告以及国家体育总局认可的权威检测机构相关证书</w:t>
      </w:r>
      <w:r>
        <w:rPr>
          <w:rFonts w:hint="eastAsia" w:ascii="宋体" w:hAnsi="宋体" w:eastAsia="宋体"/>
          <w:b w:val="0"/>
          <w:bCs/>
          <w:sz w:val="24"/>
          <w:szCs w:val="24"/>
        </w:rPr>
        <w:t xml:space="preserve">。</w:t>
      </w:r>
      <w:r/>
    </w:p>
    <w:p>
      <w:pPr>
        <w:ind w:firstLine="480"/>
        <w:keepLines w:val="0"/>
        <w:keepNext w:val="0"/>
        <w:pageBreakBefore w:val="0"/>
        <w:spacing w:line="360" w:lineRule="auto"/>
        <w:rPr>
          <w:rFonts w:hint="eastAsia"/>
          <w:b w:val="0"/>
          <w:bCs/>
          <w:lang w:val="en-US" w:eastAsia="zh-CN"/>
        </w:rPr>
      </w:pPr>
      <w:r>
        <w:rPr>
          <w:rFonts w:hint="eastAsia" w:ascii="宋体" w:hAnsi="宋体" w:eastAsia="宋体" w:cs="Times New Roman"/>
          <w:b w:val="0"/>
          <w:bCs/>
          <w:sz w:val="24"/>
          <w:szCs w:val="24"/>
          <w:lang w:val="en-US" w:eastAsia="zh-CN" w:bidi="ar-SA"/>
        </w:rPr>
        <w:t xml:space="preserve">分包四：</w:t>
      </w:r>
      <w:r>
        <w:rPr>
          <w:rFonts w:hint="eastAsia" w:ascii="宋体" w:hAnsi="宋体" w:eastAsia="宋体" w:cs="Times New Roman"/>
          <w:sz w:val="24"/>
          <w:szCs w:val="24"/>
          <w:lang w:val="en-US" w:eastAsia="zh-CN" w:bidi="ar-SA"/>
        </w:rPr>
        <w:t xml:space="preserve">投标围网（笼式足球场、笼式多功能场地等）须符合“室外健身器材的安全通用要求（GB19272-2024）”的有关要求，并提供国家体育用品质量检验检测中心出具的检验报告以及国家体育总局认可的权威检测机构相关证书</w:t>
      </w:r>
      <w:r>
        <w:rPr>
          <w:rFonts w:hint="eastAsia" w:ascii="宋体" w:hAnsi="宋体" w:eastAsia="宋体" w:cs="Times New Roman"/>
          <w:b w:val="0"/>
          <w:bCs/>
          <w:sz w:val="24"/>
          <w:szCs w:val="24"/>
          <w:lang w:val="en-US" w:eastAsia="zh-CN" w:bidi="ar-SA"/>
        </w:rPr>
        <w:t xml:space="preserve">。</w:t>
      </w:r>
      <w:r/>
    </w:p>
    <w:p>
      <w:pPr>
        <w:numPr>
          <w:ilvl w:val="0"/>
          <w:numId w:val="0"/>
        </w:numPr>
        <w:ind w:firstLine="482"/>
        <w:keepLines w:val="0"/>
        <w:keepNext w:val="0"/>
        <w:pageBreakBefore w:val="0"/>
        <w:spacing w:line="360" w:lineRule="auto"/>
        <w:widowControl/>
        <w:rPr>
          <w:rFonts w:hint="eastAsia" w:ascii="宋体" w:hAnsi="宋体" w:eastAsia="宋体" w:cs="宋体"/>
          <w:b/>
          <w:bCs/>
          <w:color w:val="auto"/>
          <w:sz w:val="24"/>
          <w:szCs w:val="22"/>
          <w:highlight w:val="none"/>
          <w:lang w:val="en-US" w:eastAsia="zh-CN" w:bidi="ar-SA"/>
        </w:rPr>
      </w:pPr>
      <w:r/>
      <w:bookmarkStart w:id="198" w:name="_Toc514921155"/>
      <w:r/>
      <w:bookmarkStart w:id="199" w:name="_Toc462997022"/>
      <w:r/>
      <w:bookmarkStart w:id="200" w:name="_Toc12084"/>
      <w:r/>
      <w:bookmarkStart w:id="201" w:name="_Toc536788500"/>
      <w:r/>
      <w:bookmarkStart w:id="202" w:name="_Toc256000015"/>
      <w:r/>
      <w:bookmarkStart w:id="203" w:name="_Toc18066"/>
      <w:r/>
      <w:bookmarkStart w:id="204" w:name="_Toc105493079"/>
      <w:r/>
      <w:bookmarkStart w:id="205" w:name="_Toc495673448"/>
      <w:r/>
      <w:bookmarkStart w:id="206" w:name="_Toc5123"/>
      <w:r/>
      <w:bookmarkStart w:id="207" w:name="_Toc111564911"/>
      <w:r/>
      <w:bookmarkStart w:id="208" w:name="_Toc510533529"/>
      <w:r/>
      <w:bookmarkStart w:id="209" w:name="_Toc256000038"/>
      <w:r/>
      <w:bookmarkStart w:id="210" w:name="_Toc514426469"/>
      <w:r>
        <w:rPr>
          <w:rFonts w:hint="eastAsia" w:ascii="宋体" w:hAnsi="宋体" w:eastAsia="宋体" w:cs="宋体"/>
          <w:b/>
          <w:bCs/>
          <w:color w:val="auto"/>
          <w:sz w:val="24"/>
          <w:szCs w:val="22"/>
          <w:highlight w:val="none"/>
          <w:lang w:val="en-US" w:eastAsia="zh-CN" w:bidi="ar-SA"/>
        </w:rPr>
        <w:t xml:space="preserve">二、采购清单</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eastAsia="宋体" w:cs="宋体"/>
          <w:b/>
          <w:bCs/>
          <w:color w:val="auto"/>
          <w:sz w:val="24"/>
          <w:szCs w:val="22"/>
          <w:highlight w:val="none"/>
          <w:lang w:val="en-US" w:eastAsia="zh-CN" w:bidi="ar-SA"/>
        </w:rPr>
        <w:t xml:space="preserve">及技术参数</w:t>
      </w:r>
      <w:r/>
    </w:p>
    <w:p>
      <w:pPr>
        <w:ind w:firstLine="482"/>
        <w:keepLines w:val="0"/>
        <w:keepNext w:val="0"/>
        <w:pageBreakBefore w:val="0"/>
        <w:spacing w:line="360" w:lineRule="auto"/>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分包一：</w:t>
      </w:r>
      <w:r/>
    </w:p>
    <w:tbl>
      <w:tblPr>
        <w:tblStyle w:val="816"/>
        <w:tblW w:w="51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36"/>
        <w:gridCol w:w="2766"/>
        <w:gridCol w:w="4932"/>
        <w:gridCol w:w="427"/>
        <w:gridCol w:w="430"/>
      </w:tblGrid>
      <w:tr>
        <w:trPr>
          <w:trHeight w:val="20"/>
        </w:trPr>
        <w:tc>
          <w:tcPr>
            <w:gridSpan w:val="6"/>
            <w:tcW w:w="5000" w:type="pct"/>
            <w:vAlign w:val="top"/>
            <w:textDirection w:val="lrTb"/>
            <w:noWrap w:val="false"/>
          </w:tcPr>
          <w:p>
            <w:pPr>
              <w:jc w:val="both"/>
              <w:spacing w:line="360" w:lineRule="auto"/>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（一）通用要求</w:t>
            </w:r>
            <w:r/>
          </w:p>
        </w:tc>
      </w:tr>
      <w:tr>
        <w:trPr>
          <w:trHeight w:val="20"/>
        </w:trPr>
        <w:tc>
          <w:tcPr>
            <w:gridSpan w:val="6"/>
            <w:tcW w:w="5000" w:type="pct"/>
            <w:vAlign w:val="center"/>
            <w:textDirection w:val="lrTb"/>
            <w:noWrap w:val="false"/>
          </w:tcPr>
          <w:p>
            <w:pPr>
              <w:jc w:val="both"/>
              <w:spacing w:line="370" w:lineRule="exact"/>
              <w:widowControl w:val="off"/>
              <w:tabs>
                <w:tab w:val="left" w:pos="522" w:leader="none"/>
              </w:tabs>
              <w:rPr>
                <w:rFonts w:hint="eastAsia" w:ascii="宋体-PUA" w:hAnsi="宋体-PUA" w:eastAsia="宋体-PUA" w:cs="宋体-PUA"/>
                <w:b/>
                <w:sz w:val="21"/>
                <w:szCs w:val="21"/>
                <w:lang w:val="en-US" w:eastAsia="zh-CN" w:bidi="ar-SA"/>
              </w:rPr>
            </w:pPr>
            <w:r>
              <w:rPr>
                <w:rFonts w:hint="eastAsia" w:ascii="宋体-PUA" w:hAnsi="宋体-PUA" w:eastAsia="宋体-PUA" w:cs="宋体-PUA"/>
                <w:b/>
                <w:sz w:val="21"/>
                <w:szCs w:val="21"/>
                <w:lang w:val="en-US" w:eastAsia="zh-CN" w:bidi="ar-SA"/>
              </w:rPr>
              <w:t xml:space="preserve">★1、为保证全民健身路径健身器材统一、管理规范化，投标供应商所有健身器材的品牌必须要求一致，不得出现多个不同品牌产品，器材主要材料为：钢管、</w:t>
            </w:r>
            <w:bookmarkStart w:id="211" w:name="OLE_LINK1"/>
            <w:r>
              <w:rPr>
                <w:rFonts w:hint="eastAsia" w:ascii="宋体-PUA" w:hAnsi="宋体-PUA" w:eastAsia="宋体-PUA" w:cs="宋体-PUA"/>
                <w:b/>
                <w:sz w:val="21"/>
                <w:szCs w:val="21"/>
                <w:lang w:val="en-US" w:eastAsia="zh-CN" w:bidi="ar-SA"/>
              </w:rPr>
              <w:t xml:space="preserve">镀锌</w:t>
            </w:r>
            <w:bookmarkEnd w:id="211"/>
            <w:r>
              <w:rPr>
                <w:rFonts w:hint="eastAsia" w:ascii="宋体-PUA" w:hAnsi="宋体-PUA" w:eastAsia="宋体-PUA" w:cs="宋体-PUA"/>
                <w:b/>
                <w:sz w:val="21"/>
                <w:szCs w:val="21"/>
                <w:lang w:val="en-US" w:eastAsia="zh-CN" w:bidi="ar-SA"/>
              </w:rPr>
              <w:t xml:space="preserve">钢管，否则作无效投标处理。</w:t>
            </w:r>
            <w:r/>
          </w:p>
          <w:p>
            <w:pPr>
              <w:jc w:val="both"/>
              <w:spacing w:line="370" w:lineRule="exact"/>
              <w:widowControl w:val="off"/>
              <w:tabs>
                <w:tab w:val="left" w:pos="522" w:leader="none"/>
              </w:tabs>
              <w:rPr>
                <w:rFonts w:hint="eastAsia" w:ascii="宋体-PUA" w:hAnsi="宋体-PUA" w:eastAsia="宋体-PUA" w:cs="宋体-PUA"/>
                <w:b/>
                <w:sz w:val="21"/>
                <w:szCs w:val="21"/>
                <w:lang w:val="en-US" w:eastAsia="zh-CN" w:bidi="ar-SA"/>
              </w:rPr>
            </w:pPr>
            <w:r>
              <w:rPr>
                <w:rFonts w:hint="eastAsia" w:ascii="宋体-PUA" w:hAnsi="宋体-PUA" w:eastAsia="宋体-PUA" w:cs="宋体-PUA"/>
                <w:b/>
                <w:sz w:val="21"/>
                <w:szCs w:val="21"/>
                <w:lang w:val="en-US" w:eastAsia="zh-CN" w:bidi="ar-SA"/>
              </w:rPr>
              <w:t xml:space="preserve">★2、为了体现产品的成熟性，所投产品（含所有配件以及涂层橡胶、塑料件等有害物质限量）每一件都必须单独符合GB19272-2024《室外健身器材的安全通用要求》的规定要求，并提供国家体育用品质量监督检验中心出具的检验报告以及国家体育总局认可的权威检测机构相关证书，否则作为无效投标处理。</w:t>
            </w:r>
            <w:r/>
          </w:p>
          <w:p>
            <w:pPr>
              <w:pStyle w:val="1007"/>
              <w:jc w:val="left"/>
              <w:rPr>
                <w:rFonts w:hint="eastAsia" w:ascii="Calibri" w:hAnsi="Calibri"/>
                <w:sz w:val="21"/>
                <w:szCs w:val="22"/>
                <w:lang w:val="en-US" w:eastAsia="zh-CN" w:bidi="ar-SA"/>
              </w:rPr>
            </w:pPr>
            <w:r>
              <w:rPr>
                <w:rFonts w:hint="eastAsia" w:ascii="宋体-PUA" w:hAnsi="宋体-PUA" w:eastAsia="宋体-PUA" w:cs="宋体-PUA"/>
                <w:sz w:val="21"/>
                <w:szCs w:val="21"/>
              </w:rPr>
              <w:t xml:space="preserve">★3、</w:t>
            </w:r>
            <w:r>
              <w:rPr>
                <w:rFonts w:hint="eastAsia" w:ascii="宋体-PUA" w:hAnsi="宋体-PUA" w:eastAsia="宋体-PUA" w:cs="宋体-PUA"/>
                <w:sz w:val="21"/>
                <w:szCs w:val="21"/>
                <w:lang w:val="en-US" w:eastAsia="zh-CN" w:bidi="ar-SA"/>
              </w:rPr>
              <w:t xml:space="preserve">所有器材安全使用寿命不低于8年，</w:t>
            </w:r>
            <w:r>
              <w:rPr>
                <w:rFonts w:hint="eastAsia" w:ascii="宋体-PUA" w:hAnsi="宋体-PUA" w:eastAsia="宋体-PUA" w:cs="宋体-PUA"/>
                <w:sz w:val="21"/>
                <w:szCs w:val="21"/>
              </w:rPr>
              <w:t xml:space="preserve">供应商在出厂前在器材铭牌上方单独制作报修二维码铭牌，器材铭牌、报修铭牌2项内容需经采购方同意后制作。</w:t>
            </w:r>
            <w:r/>
          </w:p>
        </w:tc>
      </w:tr>
      <w:tr>
        <w:trPr>
          <w:trHeight w:val="20"/>
        </w:trPr>
        <w:tc>
          <w:tcPr>
            <w:gridSpan w:val="6"/>
            <w:tcW w:w="5000" w:type="pct"/>
            <w:vAlign w:val="center"/>
            <w:textDirection w:val="lrTb"/>
            <w:noWrap w:val="false"/>
          </w:tcPr>
          <w:p>
            <w:pPr>
              <w:pStyle w:val="1007"/>
              <w:jc w:val="both"/>
              <w:rPr>
                <w:rFonts w:hint="eastAsia" w:ascii="Calibri" w:hAnsi="Calibri"/>
                <w:sz w:val="21"/>
                <w:szCs w:val="22"/>
                <w:lang w:val="en-US" w:eastAsia="zh-CN" w:bidi="ar-SA"/>
              </w:rPr>
            </w:pPr>
            <w:r>
              <w:rPr>
                <w:rFonts w:hint="eastAsia" w:ascii="宋体" w:hAnsi="宋体"/>
                <w:b/>
                <w:sz w:val="24"/>
                <w:szCs w:val="24"/>
                <w:lang w:eastAsia="zh-CN"/>
              </w:rPr>
              <w:t xml:space="preserve">（</w:t>
            </w:r>
            <w:r>
              <w:rPr>
                <w:rFonts w:hint="eastAsia" w:ascii="宋体" w:hAnsi="宋体"/>
                <w:b/>
                <w:sz w:val="24"/>
                <w:szCs w:val="24"/>
                <w:lang w:val="en-US" w:eastAsia="zh-CN"/>
              </w:rPr>
              <w:t xml:space="preserve">二</w:t>
            </w:r>
            <w:r>
              <w:rPr>
                <w:rFonts w:hint="eastAsia" w:ascii="宋体" w:hAnsi="宋体"/>
                <w:b/>
                <w:sz w:val="24"/>
                <w:szCs w:val="24"/>
                <w:lang w:eastAsia="zh-CN"/>
              </w:rPr>
              <w:t xml:space="preserve">）</w:t>
            </w:r>
            <w:r>
              <w:rPr>
                <w:rFonts w:hint="eastAsia" w:ascii="宋体" w:hAnsi="宋体"/>
                <w:b/>
                <w:sz w:val="24"/>
                <w:szCs w:val="24"/>
              </w:rPr>
              <w:t xml:space="preserve">参数要求</w:t>
            </w:r>
            <w:r/>
          </w:p>
        </w:tc>
      </w:tr>
      <w:tr>
        <w:trPr>
          <w:trHeight w:val="20"/>
        </w:trPr>
        <w:tc>
          <w:tcPr>
            <w:tcW w:w="0" w:type="auto"/>
            <w:vAlign w:val="center"/>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1</w:t>
            </w:r>
            <w:r/>
          </w:p>
        </w:tc>
        <w:tc>
          <w:tcPr>
            <w:tcW w:w="0" w:type="auto"/>
            <w:vAlign w:val="center"/>
            <w:textDirection w:val="lrTb"/>
            <w:noWrap w:val="false"/>
          </w:tcPr>
          <w:p>
            <w:pPr>
              <w:jc w:val="center"/>
              <w:spacing w:line="360" w:lineRule="exact"/>
              <w:widowControl w:val="off"/>
              <w:rPr>
                <w:rFonts w:hint="default" w:ascii="宋体-PUA" w:hAnsi="宋体-PUA" w:eastAsia="宋体-PUA" w:cs="宋体-PUA"/>
                <w:bCs/>
                <w:szCs w:val="21"/>
                <w:lang w:val="en-US" w:eastAsia="zh-CN" w:bidi="ar-SA"/>
              </w:rPr>
            </w:pPr>
            <w:r>
              <w:rPr>
                <w:rFonts w:hint="eastAsia" w:ascii="宋体-PUA" w:hAnsi="宋体-PUA" w:eastAsia="宋体-PUA" w:cs="宋体-PUA"/>
                <w:bCs/>
                <w:szCs w:val="21"/>
                <w:lang w:val="en-US" w:eastAsia="zh-CN" w:bidi="ar-SA"/>
              </w:rPr>
              <w:t xml:space="preserve">告</w:t>
            </w:r>
            <w:r/>
          </w:p>
          <w:p>
            <w:pPr>
              <w:jc w:val="center"/>
              <w:spacing w:line="360" w:lineRule="exact"/>
              <w:widowControl w:val="off"/>
              <w:rPr>
                <w:rFonts w:hint="default" w:ascii="宋体-PUA" w:hAnsi="宋体-PUA" w:eastAsia="宋体-PUA" w:cs="宋体-PUA"/>
                <w:bCs/>
                <w:szCs w:val="21"/>
                <w:lang w:val="en-US" w:eastAsia="zh-CN" w:bidi="ar-SA"/>
              </w:rPr>
            </w:pPr>
            <w:r>
              <w:rPr>
                <w:rFonts w:hint="eastAsia" w:ascii="宋体-PUA" w:hAnsi="宋体-PUA" w:eastAsia="宋体-PUA" w:cs="宋体-PUA"/>
                <w:bCs/>
                <w:szCs w:val="21"/>
                <w:lang w:val="en-US" w:eastAsia="zh-CN" w:bidi="ar-SA"/>
              </w:rPr>
              <w:t xml:space="preserve">示</w:t>
            </w:r>
            <w:r/>
          </w:p>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Cs w:val="21"/>
                <w:lang w:val="en-US" w:eastAsia="zh-CN" w:bidi="ar-SA"/>
              </w:rPr>
              <w:t xml:space="preserve">牌</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1447800" cy="99060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8"/>
                              <a:stretch/>
                            </pic:blipFill>
                            <pic:spPr bwMode="auto">
                              <a:xfrm>
                                <a:off x="0" y="0"/>
                                <a:ext cx="14478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4.0pt;height:78.0pt;mso-wrap-distance-left:0.0pt;mso-wrap-distance-top:0.0pt;mso-wrap-distance-right:0.0pt;mso-wrap-distance-bottom:0.0pt;" stroked="f">
                      <v:path textboxrect="0,0,0,0"/>
                      <v:imagedata r:id="rId18" o:title=""/>
                    </v:shape>
                  </w:pict>
                </mc:Fallback>
              </mc:AlternateContent>
            </w:r>
            <w:r/>
          </w:p>
        </w:tc>
        <w:tc>
          <w:tcPr>
            <w:tcW w:w="0" w:type="auto"/>
            <w:vAlign w:val="top"/>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1、产品尺寸≥800*114*1600mm。</w:t>
            </w:r>
            <w:r/>
          </w:p>
          <w:p>
            <w:pPr>
              <w:jc w:val="left"/>
              <w:widowControl/>
              <w:rPr>
                <w:rFonts w:hint="default" w:ascii="Times New Roman" w:hAnsi="Times New Roman" w:eastAsia="宋体" w:cs="Times New Roman"/>
                <w:szCs w:val="21"/>
              </w:rPr>
            </w:pPr>
            <w:r>
              <w:rPr>
                <w:rFonts w:hint="eastAsia" w:ascii="宋体-PUA" w:hAnsi="宋体-PUA" w:eastAsia="宋体-PUA" w:cs="宋体-PUA"/>
                <w:szCs w:val="21"/>
              </w:rPr>
              <w:t xml:space="preserve">2、主要承载立柱（单柱或双柱）≥Φ114*3mm镀锌管材；主要承载横梁≥40*40*2.5mm管材。</w:t>
            </w:r>
            <w:r/>
          </w:p>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3、器材立柱顶部应采用钢制封头，避免淋入雨水；棱边和棱角半径不小于3.0mm；牌面采用夹层式设计，防止产生刮伤的可能。</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lang w:val="en-US" w:eastAsia="zh-CN"/>
              </w:rPr>
              <w:t xml:space="preserve">4、</w:t>
            </w:r>
            <w:r>
              <w:rPr>
                <w:rFonts w:hint="eastAsia" w:ascii="宋体-PUA" w:hAnsi="宋体-PUA" w:eastAsia="宋体-PUA" w:cs="宋体-PUA"/>
                <w:szCs w:val="21"/>
              </w:rPr>
              <w:t xml:space="preserve">器材应采用横式不锈钢牌面，牌面尺寸(700~900) ×(500~600)mm，板材厚度不小于1mm，图样及字样蚀刻处理，人体易接触区域不应有钩挂、缠绕结构。告示牌至少包含以下内容：监管单位名称（市县区体育部门）和联系电话；责任单位名称（受赠方）、责任人名字、联系电话；安全警示说明、发现器材有缺陷应立即停止使用直到修复的说明、器材供应商的全称及售后服务电话、管理维护单位及联系电话等。</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2</w:t>
            </w:r>
            <w:r/>
          </w:p>
        </w:tc>
        <w:tc>
          <w:tcPr>
            <w:tcW w:w="0" w:type="auto"/>
            <w:vAlign w:val="center"/>
            <w:textDirection w:val="lrTb"/>
            <w:noWrap w:val="false"/>
          </w:tcPr>
          <w:p>
            <w:pPr>
              <w:jc w:val="center"/>
              <w:widowControl/>
              <w:rPr>
                <w:rFonts w:hint="eastAsia" w:ascii="宋体" w:hAnsi="Calibri" w:eastAsia="宋体" w:cs="宋体"/>
                <w:color w:val="000000"/>
                <w:sz w:val="22"/>
                <w:szCs w:val="22"/>
                <w:lang w:val="en-US" w:eastAsia="zh-CN" w:bidi="ar-SA"/>
              </w:rPr>
            </w:pPr>
            <w:r>
              <w:rPr>
                <w:rFonts w:hint="eastAsia" w:ascii="宋体" w:hAnsi="宋体" w:eastAsia="宋体" w:cs="宋体"/>
                <w:color w:val="000000"/>
                <w:sz w:val="22"/>
                <w:szCs w:val="21"/>
              </w:rPr>
              <w:t xml:space="preserve">肋木架</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960120" cy="1181100"/>
                      <wp:effectExtent l="0" t="0" r="1143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19"/>
                              <a:stretch/>
                            </pic:blipFill>
                            <pic:spPr bwMode="auto">
                              <a:xfrm>
                                <a:off x="0" y="0"/>
                                <a:ext cx="960120"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5.6pt;height:93.0pt;mso-wrap-distance-left:0.0pt;mso-wrap-distance-top:0.0pt;mso-wrap-distance-right:0.0pt;mso-wrap-distance-bottom:0.0pt;" stroked="f">
                      <v:path textboxrect="0,0,0,0"/>
                      <v:imagedata r:id="rId19"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1、产品尺寸≥1200*114*2200mm。</w:t>
            </w:r>
            <w:r/>
          </w:p>
          <w:p>
            <w:pPr>
              <w:jc w:val="left"/>
              <w:widowControl/>
              <w:rPr>
                <w:rFonts w:hint="default" w:ascii="宋体-PUA" w:hAnsi="宋体-PUA" w:eastAsia="宋体-PUA" w:cs="宋体-PUA"/>
                <w:szCs w:val="21"/>
              </w:rPr>
            </w:pPr>
            <w:r>
              <w:rPr>
                <w:rFonts w:hint="eastAsia" w:ascii="宋体-PUA" w:hAnsi="宋体-PUA" w:eastAsia="宋体-PUA" w:cs="宋体-PUA"/>
                <w:szCs w:val="21"/>
              </w:rPr>
              <w:t xml:space="preserve">2、主要承载立柱≥Φ114*3mm镀锌管材；主要承载横梁≥Φ32*3mm管材。</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3、器材采用整体焊接方式连接，</w:t>
            </w:r>
            <w:r>
              <w:rPr>
                <w:rFonts w:hint="eastAsia" w:ascii="宋体-PUA" w:hAnsi="宋体-PUA" w:eastAsia="宋体-PUA" w:cs="宋体-PUA"/>
                <w:szCs w:val="21"/>
                <w:lang w:val="en-US" w:eastAsia="zh-CN"/>
              </w:rPr>
              <w:t xml:space="preserve">横杆</w:t>
            </w:r>
            <w:r>
              <w:rPr>
                <w:rFonts w:hint="eastAsia" w:ascii="宋体-PUA" w:hAnsi="宋体-PUA" w:eastAsia="宋体-PUA" w:cs="宋体-PUA"/>
                <w:szCs w:val="21"/>
              </w:rPr>
              <w:t xml:space="preserve">数量不少于6个。</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3</w:t>
            </w:r>
            <w:r/>
          </w:p>
        </w:tc>
        <w:tc>
          <w:tcPr>
            <w:tcW w:w="0" w:type="auto"/>
            <w:vAlign w:val="center"/>
            <w:textDirection w:val="lrTb"/>
            <w:noWrap w:val="false"/>
          </w:tcPr>
          <w:p>
            <w:pPr>
              <w:jc w:val="center"/>
              <w:widowControl/>
              <w:rPr>
                <w:rFonts w:hint="eastAsia" w:ascii="宋体" w:hAnsi="Calibri" w:eastAsia="宋体" w:cs="宋体"/>
                <w:color w:val="000000"/>
                <w:sz w:val="22"/>
                <w:szCs w:val="22"/>
                <w:lang w:val="en-US" w:eastAsia="zh-CN" w:bidi="ar-SA"/>
              </w:rPr>
            </w:pPr>
            <w:r>
              <w:rPr>
                <w:rFonts w:hint="eastAsia" w:ascii="宋体" w:hAnsi="Times New Roman" w:eastAsia="宋体" w:cs="宋体"/>
                <w:color w:val="000000"/>
                <w:sz w:val="22"/>
                <w:szCs w:val="21"/>
              </w:rPr>
              <w:t xml:space="preserve">天梯</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1485900" cy="1074420"/>
                      <wp:effectExtent l="0" t="0" r="0" b="1143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20"/>
                              <a:stretch/>
                            </pic:blipFill>
                            <pic:spPr bwMode="auto">
                              <a:xfrm>
                                <a:off x="0" y="0"/>
                                <a:ext cx="1485900" cy="1074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7.0pt;height:84.6pt;mso-wrap-distance-left:0.0pt;mso-wrap-distance-top:0.0pt;mso-wrap-distance-right:0.0pt;mso-wrap-distance-bottom:0.0pt;" stroked="f">
                      <v:path textboxrect="0,0,0,0"/>
                      <v:imagedata r:id="rId20"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1、产品尺寸≥2800*900*2200mm。</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2、主要承载立柱≥Φ114*3mm镀锌管材；主要承载横梁≥Φ60*3mm管材。</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4</w:t>
            </w:r>
            <w:r/>
          </w:p>
        </w:tc>
        <w:tc>
          <w:tcPr>
            <w:tcW w:w="0" w:type="auto"/>
            <w:vAlign w:val="center"/>
            <w:textDirection w:val="lrTb"/>
            <w:noWrap w:val="false"/>
          </w:tcPr>
          <w:p>
            <w:pPr>
              <w:jc w:val="center"/>
              <w:widowControl/>
              <w:rPr>
                <w:rFonts w:hint="eastAsia" w:ascii="宋体" w:hAnsi="Calibri" w:eastAsia="宋体" w:cs="宋体"/>
                <w:color w:val="000000"/>
                <w:sz w:val="22"/>
                <w:szCs w:val="22"/>
                <w:lang w:val="en-US" w:eastAsia="zh-CN" w:bidi="ar-SA"/>
              </w:rPr>
            </w:pPr>
            <w:r>
              <w:rPr>
                <w:rFonts w:hint="eastAsia" w:ascii="宋体" w:hAnsi="宋体" w:eastAsia="宋体" w:cs="宋体"/>
                <w:color w:val="000000"/>
                <w:sz w:val="22"/>
                <w:szCs w:val="21"/>
              </w:rPr>
              <w:t xml:space="preserve">双位漫步机</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1750060" cy="1329690"/>
                      <wp:effectExtent l="0" t="0" r="2540" b="381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r/>
                            </pic:nvPicPr>
                            <pic:blipFill>
                              <a:blip r:embed="rId21"/>
                              <a:stretch/>
                            </pic:blipFill>
                            <pic:spPr bwMode="auto">
                              <a:xfrm>
                                <a:off x="0" y="0"/>
                                <a:ext cx="1750060" cy="1329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7.8pt;height:104.7pt;mso-wrap-distance-left:0.0pt;mso-wrap-distance-top:0.0pt;mso-wrap-distance-right:0.0pt;mso-wrap-distance-bottom:0.0pt;" stroked="f">
                      <v:path textboxrect="0,0,0,0"/>
                      <v:imagedata r:id="rId21"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1、产品尺寸≥2100*500*1280mm。</w:t>
            </w:r>
            <w:r/>
          </w:p>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2、主要承载立柱≥Φ114*3mm镀锌管材；主要承载横梁≥Φ60*3mm管材。</w:t>
            </w:r>
            <w:r/>
          </w:p>
          <w:p>
            <w:pPr>
              <w:jc w:val="left"/>
              <w:widowControl/>
              <w:rPr>
                <w:rFonts w:hint="eastAsia"/>
                <w:lang w:val="en-US" w:eastAsia="zh-CN"/>
              </w:rPr>
            </w:pPr>
            <w:r>
              <w:rPr>
                <w:rFonts w:hint="eastAsia" w:ascii="宋体-PUA" w:hAnsi="宋体-PUA" w:eastAsia="宋体-PUA" w:cs="宋体-PUA"/>
                <w:szCs w:val="21"/>
              </w:rPr>
              <w:t xml:space="preserve">3、器材能够同时满足2人使用。  </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5</w:t>
            </w:r>
            <w:r/>
          </w:p>
        </w:tc>
        <w:tc>
          <w:tcPr>
            <w:tcW w:w="0" w:type="auto"/>
            <w:vAlign w:val="center"/>
            <w:textDirection w:val="lrTb"/>
            <w:noWrap w:val="false"/>
          </w:tcPr>
          <w:p>
            <w:pPr>
              <w:jc w:val="center"/>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1"/>
              </w:rPr>
              <w:t xml:space="preserve">双</w:t>
            </w:r>
            <w:r>
              <w:rPr>
                <w:rFonts w:hint="eastAsia" w:ascii="宋体" w:hAnsi="宋体" w:eastAsia="宋体" w:cs="宋体"/>
                <w:color w:val="000000"/>
                <w:sz w:val="22"/>
                <w:szCs w:val="21"/>
                <w:lang w:val="en-US" w:eastAsia="zh-CN"/>
              </w:rPr>
              <w:t xml:space="preserve">杠</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mc:AlternateContent>
                <mc:Choice Requires="wpg">
                  <w:drawing>
                    <wp:inline xmlns:wp="http://schemas.openxmlformats.org/drawingml/2006/wordprocessingDrawing" distT="0" distB="0" distL="0" distR="0">
                      <wp:extent cx="1424940" cy="1078230"/>
                      <wp:effectExtent l="0" t="0" r="3810" b="762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22"/>
                              <a:stretch/>
                            </pic:blipFill>
                            <pic:spPr bwMode="auto">
                              <a:xfrm>
                                <a:off x="0" y="0"/>
                                <a:ext cx="1424940" cy="1078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2.2pt;height:84.9pt;mso-wrap-distance-left:0.0pt;mso-wrap-distance-top:0.0pt;mso-wrap-distance-right:0.0pt;mso-wrap-distance-bottom:0.0pt;" stroked="f">
                      <v:path textboxrect="0,0,0,0"/>
                      <v:imagedata r:id="rId22"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1、产品尺寸≥2</w:t>
            </w:r>
            <w:r>
              <w:rPr>
                <w:rFonts w:hint="eastAsia" w:ascii="宋体-PUA" w:hAnsi="宋体-PUA" w:eastAsia="宋体-PUA" w:cs="宋体-PUA"/>
                <w:szCs w:val="21"/>
                <w:lang w:val="en-US" w:eastAsia="zh-CN"/>
              </w:rPr>
              <w:t xml:space="preserve">4</w:t>
            </w:r>
            <w:r>
              <w:rPr>
                <w:rFonts w:hint="eastAsia" w:ascii="宋体-PUA" w:hAnsi="宋体-PUA" w:eastAsia="宋体-PUA" w:cs="宋体-PUA"/>
                <w:szCs w:val="21"/>
              </w:rPr>
              <w:t xml:space="preserve">00*</w:t>
            </w:r>
            <w:r>
              <w:rPr>
                <w:rFonts w:hint="eastAsia" w:ascii="宋体-PUA" w:hAnsi="宋体-PUA" w:eastAsia="宋体-PUA" w:cs="宋体-PUA"/>
                <w:szCs w:val="21"/>
                <w:lang w:val="en-US" w:eastAsia="zh-CN"/>
              </w:rPr>
              <w:t xml:space="preserve">70</w:t>
            </w:r>
            <w:r>
              <w:rPr>
                <w:rFonts w:hint="eastAsia" w:ascii="宋体-PUA" w:hAnsi="宋体-PUA" w:eastAsia="宋体-PUA" w:cs="宋体-PUA"/>
                <w:szCs w:val="21"/>
              </w:rPr>
              <w:t xml:space="preserve">0*1</w:t>
            </w:r>
            <w:r>
              <w:rPr>
                <w:rFonts w:hint="eastAsia" w:ascii="宋体-PUA" w:hAnsi="宋体-PUA" w:eastAsia="宋体-PUA" w:cs="宋体-PUA"/>
                <w:szCs w:val="21"/>
                <w:lang w:val="en-US" w:eastAsia="zh-CN"/>
              </w:rPr>
              <w:t xml:space="preserve">40</w:t>
            </w:r>
            <w:r>
              <w:rPr>
                <w:rFonts w:hint="eastAsia" w:ascii="宋体-PUA" w:hAnsi="宋体-PUA" w:eastAsia="宋体-PUA" w:cs="宋体-PUA"/>
                <w:szCs w:val="21"/>
              </w:rPr>
              <w:t xml:space="preserve">0mm。</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2、主要承载立柱≥Φ114*3mm镀锌管材；主要承载横梁≥Φ</w:t>
            </w:r>
            <w:r>
              <w:rPr>
                <w:rFonts w:hint="eastAsia" w:ascii="宋体-PUA" w:hAnsi="宋体-PUA" w:eastAsia="宋体-PUA" w:cs="宋体-PUA"/>
                <w:szCs w:val="21"/>
                <w:lang w:val="en-US" w:eastAsia="zh-CN"/>
              </w:rPr>
              <w:t xml:space="preserve">42</w:t>
            </w:r>
            <w:r>
              <w:rPr>
                <w:rFonts w:hint="eastAsia" w:ascii="宋体-PUA" w:hAnsi="宋体-PUA" w:eastAsia="宋体-PUA" w:cs="宋体-PUA"/>
                <w:szCs w:val="21"/>
              </w:rPr>
              <w:t xml:space="preserve">*</w:t>
            </w:r>
            <w:r>
              <w:rPr>
                <w:rFonts w:hint="eastAsia" w:ascii="宋体-PUA" w:hAnsi="宋体-PUA" w:eastAsia="宋体-PUA" w:cs="宋体-PUA"/>
                <w:szCs w:val="21"/>
                <w:lang w:val="en-US" w:eastAsia="zh-CN"/>
              </w:rPr>
              <w:t xml:space="preserve">4</w:t>
            </w:r>
            <w:r>
              <w:rPr>
                <w:rFonts w:hint="eastAsia" w:ascii="宋体-PUA" w:hAnsi="宋体-PUA" w:eastAsia="宋体-PUA" w:cs="宋体-PUA"/>
                <w:szCs w:val="21"/>
              </w:rPr>
              <w:t xml:space="preserve">mm管材。</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6</w:t>
            </w:r>
            <w:r/>
          </w:p>
        </w:tc>
        <w:tc>
          <w:tcPr>
            <w:tcW w:w="0" w:type="auto"/>
            <w:vAlign w:val="center"/>
            <w:textDirection w:val="lrTb"/>
            <w:noWrap w:val="false"/>
          </w:tcPr>
          <w:p>
            <w:pPr>
              <w:jc w:val="center"/>
              <w:widowControl/>
              <w:rPr>
                <w:rFonts w:hint="eastAsia" w:ascii="宋体" w:hAnsi="Calibri" w:eastAsia="宋体" w:cs="宋体"/>
                <w:color w:val="000000"/>
                <w:sz w:val="22"/>
                <w:szCs w:val="22"/>
                <w:lang w:val="en-US" w:eastAsia="zh-CN" w:bidi="ar-SA"/>
              </w:rPr>
            </w:pPr>
            <w:r>
              <w:rPr>
                <w:rFonts w:hint="eastAsia" w:ascii="宋体" w:hAnsi="宋体" w:eastAsia="宋体" w:cs="宋体"/>
                <w:color w:val="000000"/>
                <w:sz w:val="22"/>
                <w:szCs w:val="21"/>
              </w:rPr>
              <w:t xml:space="preserve">上肢牵引器</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975360" cy="1432560"/>
                      <wp:effectExtent l="0" t="0" r="15240" b="1524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23"/>
                              <a:stretch/>
                            </pic:blipFill>
                            <pic:spPr bwMode="auto">
                              <a:xfrm>
                                <a:off x="0" y="0"/>
                                <a:ext cx="975360" cy="1432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8pt;height:112.8pt;mso-wrap-distance-left:0.0pt;mso-wrap-distance-top:0.0pt;mso-wrap-distance-right:0.0pt;mso-wrap-distance-bottom:0.0pt;" stroked="f">
                      <v:path textboxrect="0,0,0,0"/>
                      <v:imagedata r:id="rId23"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1、产品尺寸≥700*600*2400mm。</w:t>
            </w:r>
            <w:r/>
          </w:p>
          <w:p>
            <w:pPr>
              <w:jc w:val="left"/>
              <w:widowControl/>
              <w:rPr>
                <w:rFonts w:hint="default" w:ascii="Times New Roman" w:hAnsi="Times New Roman" w:eastAsia="宋体" w:cs="Times New Roman"/>
                <w:szCs w:val="21"/>
              </w:rPr>
            </w:pPr>
            <w:r>
              <w:rPr>
                <w:rFonts w:hint="eastAsia" w:ascii="宋体-PUA" w:hAnsi="宋体-PUA" w:eastAsia="宋体-PUA" w:cs="宋体-PUA"/>
                <w:szCs w:val="21"/>
              </w:rPr>
              <w:t xml:space="preserve">2、主要承载立柱≥Φ114*3mm镀锌管材；主要承载横梁≥Φ89*3mm管材。</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3、器材能够同时满足2人使用。    </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7</w:t>
            </w:r>
            <w:r/>
          </w:p>
        </w:tc>
        <w:tc>
          <w:tcPr>
            <w:tcW w:w="0" w:type="auto"/>
            <w:vAlign w:val="center"/>
            <w:textDirection w:val="lrTb"/>
            <w:noWrap w:val="false"/>
          </w:tcPr>
          <w:p>
            <w:pPr>
              <w:jc w:val="center"/>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1"/>
              </w:rPr>
              <w:t xml:space="preserve">三位扭腰</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1617345" cy="1463040"/>
                      <wp:effectExtent l="0" t="0" r="1905" b="381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24"/>
                              <a:stretch/>
                            </pic:blipFill>
                            <pic:spPr bwMode="auto">
                              <a:xfrm>
                                <a:off x="0" y="0"/>
                                <a:ext cx="1617345" cy="1463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7.3pt;height:115.2pt;mso-wrap-distance-left:0.0pt;mso-wrap-distance-top:0.0pt;mso-wrap-distance-right:0.0pt;mso-wrap-distance-bottom:0.0pt;" stroked="f">
                      <v:path textboxrect="0,0,0,0"/>
                      <v:imagedata r:id="rId24"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1、产品尺寸≥1300*1100*1200mm。</w:t>
            </w:r>
            <w:r/>
          </w:p>
          <w:p>
            <w:pPr>
              <w:jc w:val="left"/>
              <w:widowControl/>
              <w:rPr>
                <w:rFonts w:hint="default" w:ascii="Times New Roman" w:hAnsi="Times New Roman" w:eastAsia="宋体" w:cs="Times New Roman"/>
                <w:szCs w:val="21"/>
              </w:rPr>
            </w:pPr>
            <w:r>
              <w:rPr>
                <w:rFonts w:hint="eastAsia" w:ascii="宋体-PUA" w:hAnsi="宋体-PUA" w:eastAsia="宋体-PUA" w:cs="宋体-PUA"/>
                <w:szCs w:val="21"/>
              </w:rPr>
              <w:t xml:space="preserve">2、主要承载立柱≥Φ114*3mm镀锌管材；主要承载横梁≥Φ32*3mm管材。</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3、器材能够同时满足3人使用。</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8</w:t>
            </w:r>
            <w:r/>
          </w:p>
        </w:tc>
        <w:tc>
          <w:tcPr>
            <w:tcW w:w="0" w:type="auto"/>
            <w:vAlign w:val="center"/>
            <w:textDirection w:val="lrTb"/>
            <w:noWrap w:val="false"/>
          </w:tcPr>
          <w:p>
            <w:pPr>
              <w:jc w:val="center"/>
              <w:widowControl/>
              <w:rPr>
                <w:rFonts w:hint="eastAsia" w:ascii="宋体" w:hAnsi="Calibri" w:eastAsia="宋体" w:cs="宋体"/>
                <w:color w:val="000000"/>
                <w:sz w:val="22"/>
                <w:szCs w:val="22"/>
                <w:lang w:val="en-US" w:eastAsia="zh-CN" w:bidi="ar-SA"/>
              </w:rPr>
            </w:pPr>
            <w:r>
              <w:rPr>
                <w:rFonts w:hint="eastAsia" w:ascii="宋体" w:hAnsi="宋体" w:eastAsia="宋体" w:cs="宋体"/>
                <w:color w:val="000000"/>
                <w:sz w:val="22"/>
                <w:szCs w:val="21"/>
              </w:rPr>
              <w:t xml:space="preserve">腰背按摩器</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1310640" cy="1463040"/>
                      <wp:effectExtent l="0" t="0" r="3810" b="3810"/>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pic:cNvPicPr>
                              <pic:nvPr/>
                            </pic:nvPicPr>
                            <pic:blipFill>
                              <a:blip r:embed="rId25"/>
                              <a:stretch/>
                            </pic:blipFill>
                            <pic:spPr bwMode="auto">
                              <a:xfrm>
                                <a:off x="0" y="0"/>
                                <a:ext cx="1310640" cy="1463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3.2pt;height:115.2pt;mso-wrap-distance-left:0.0pt;mso-wrap-distance-top:0.0pt;mso-wrap-distance-right:0.0pt;mso-wrap-distance-bottom:0.0pt;" stroked="f">
                      <v:path textboxrect="0,0,0,0"/>
                      <v:imagedata r:id="rId25"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1、产品尺寸≥1000*700*1370mm。</w:t>
            </w:r>
            <w:r/>
          </w:p>
          <w:p>
            <w:pPr>
              <w:jc w:val="left"/>
              <w:widowControl/>
              <w:rPr>
                <w:rFonts w:hint="default" w:ascii="Times New Roman" w:hAnsi="Times New Roman" w:eastAsia="宋体" w:cs="Times New Roman"/>
                <w:szCs w:val="21"/>
              </w:rPr>
            </w:pPr>
            <w:r>
              <w:rPr>
                <w:rFonts w:hint="eastAsia" w:ascii="宋体-PUA" w:hAnsi="宋体-PUA" w:eastAsia="宋体-PUA" w:cs="宋体-PUA"/>
                <w:szCs w:val="21"/>
              </w:rPr>
              <w:t xml:space="preserve">2、主要承载立柱≥Φ114*3mm镀锌管材；主要承载横梁≥Φ48*3mm管材。</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3、器材可</w:t>
            </w:r>
            <w:r>
              <w:rPr>
                <w:rFonts w:hint="eastAsia" w:ascii="宋体-PUA" w:hAnsi="宋体-PUA" w:eastAsia="宋体-PUA" w:cs="宋体-PUA"/>
                <w:szCs w:val="21"/>
                <w:lang w:val="en-US" w:eastAsia="zh-CN"/>
              </w:rPr>
              <w:t xml:space="preserve">2</w:t>
            </w:r>
            <w:r>
              <w:rPr>
                <w:rFonts w:hint="eastAsia" w:ascii="宋体-PUA" w:hAnsi="宋体-PUA" w:eastAsia="宋体-PUA" w:cs="宋体-PUA"/>
                <w:szCs w:val="21"/>
              </w:rPr>
              <w:t xml:space="preserve">人同时使用坐式腰背按摩与立式腰背按摩。</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9</w:t>
            </w:r>
            <w:r/>
          </w:p>
        </w:tc>
        <w:tc>
          <w:tcPr>
            <w:tcW w:w="0" w:type="auto"/>
            <w:vAlign w:val="center"/>
            <w:textDirection w:val="lrTb"/>
            <w:noWrap w:val="false"/>
          </w:tcPr>
          <w:p>
            <w:pPr>
              <w:jc w:val="center"/>
              <w:widowControl/>
              <w:rPr>
                <w:rFonts w:hint="eastAsia" w:ascii="宋体" w:hAnsi="Calibri" w:eastAsia="宋体" w:cs="宋体"/>
                <w:color w:val="000000"/>
                <w:sz w:val="22"/>
                <w:szCs w:val="22"/>
                <w:lang w:val="en-US" w:eastAsia="zh-CN" w:bidi="ar-SA"/>
              </w:rPr>
            </w:pPr>
            <w:r>
              <w:rPr>
                <w:rFonts w:hint="eastAsia" w:ascii="宋体" w:hAnsi="Times New Roman" w:eastAsia="宋体" w:cs="宋体"/>
                <w:color w:val="000000"/>
                <w:sz w:val="22"/>
                <w:szCs w:val="21"/>
              </w:rPr>
              <w:t xml:space="preserve">太极揉推器</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1709420" cy="1405890"/>
                      <wp:effectExtent l="0" t="0" r="5080" b="3810"/>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pic:cNvPicPr>
                                <a:picLocks noChangeAspect="1"/>
                              </pic:cNvPicPr>
                              <pic:nvPr/>
                            </pic:nvPicPr>
                            <pic:blipFill>
                              <a:blip r:embed="rId26"/>
                              <a:stretch/>
                            </pic:blipFill>
                            <pic:spPr bwMode="auto">
                              <a:xfrm>
                                <a:off x="0" y="0"/>
                                <a:ext cx="1709420" cy="1405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34.6pt;height:110.7pt;mso-wrap-distance-left:0.0pt;mso-wrap-distance-top:0.0pt;mso-wrap-distance-right:0.0pt;mso-wrap-distance-bottom:0.0pt;" stroked="f">
                      <v:path textboxrect="0,0,0,0"/>
                      <v:imagedata r:id="rId26"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1、产品尺寸≥1050*1050*1270mm。</w:t>
            </w:r>
            <w:r/>
          </w:p>
          <w:p>
            <w:pPr>
              <w:jc w:val="left"/>
              <w:widowControl/>
              <w:rPr>
                <w:rFonts w:hint="default" w:ascii="Times New Roman" w:hAnsi="Times New Roman" w:eastAsia="宋体" w:cs="Times New Roman"/>
                <w:szCs w:val="21"/>
              </w:rPr>
            </w:pPr>
            <w:r>
              <w:rPr>
                <w:rFonts w:hint="eastAsia" w:ascii="宋体-PUA" w:hAnsi="宋体-PUA" w:eastAsia="宋体-PUA" w:cs="宋体-PUA"/>
                <w:szCs w:val="21"/>
              </w:rPr>
              <w:t xml:space="preserve">2、主要承载立柱≥Φ114*3mm镀锌管材；主要承载横梁≥Φ60*3mm管材。</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3、器材能够同时满足2人使用。</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default"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10</w:t>
            </w:r>
            <w:r/>
          </w:p>
        </w:tc>
        <w:tc>
          <w:tcPr>
            <w:tcW w:w="0" w:type="auto"/>
            <w:vAlign w:val="center"/>
            <w:textDirection w:val="lrTb"/>
            <w:noWrap w:val="false"/>
          </w:tcPr>
          <w:p>
            <w:pPr>
              <w:jc w:val="center"/>
              <w:widowControl/>
              <w:rPr>
                <w:rFonts w:hint="eastAsia" w:ascii="宋体" w:hAnsi="Times New Roman" w:eastAsia="宋体" w:cs="宋体"/>
                <w:color w:val="000000"/>
                <w:sz w:val="22"/>
                <w:szCs w:val="21"/>
                <w:lang w:val="en-US" w:eastAsia="zh-CN"/>
              </w:rPr>
            </w:pPr>
            <w:r>
              <w:rPr>
                <w:rFonts w:hint="eastAsia" w:ascii="宋体" w:hAnsi="Times New Roman" w:eastAsia="宋体" w:cs="宋体"/>
                <w:color w:val="000000"/>
                <w:sz w:val="22"/>
                <w:szCs w:val="21"/>
                <w:lang w:val="en-US" w:eastAsia="zh-CN"/>
              </w:rPr>
              <w:t xml:space="preserve">棋牌桌</w:t>
            </w:r>
            <w:r/>
          </w:p>
        </w:tc>
        <w:tc>
          <w:tcPr>
            <w:tcW w:w="0" w:type="auto"/>
            <w:vAlign w:val="top"/>
            <w:textDirection w:val="lrTb"/>
            <w:noWrap w:val="false"/>
          </w:tcPr>
          <w:p>
            <w:pPr>
              <w:ind w:left="-105" w:right="-105"/>
              <w:jc w:val="center"/>
              <w:spacing w:line="360" w:lineRule="auto"/>
              <w:widowControl/>
              <w:rPr>
                <w:rFonts w:hint="eastAsia" w:ascii="Times New Roman" w:hAnsi="Times New Roman" w:eastAsia="宋体" w:cs="Times New Roman"/>
                <w:szCs w:val="21"/>
                <w:lang w:eastAsia="zh-CN"/>
              </w:rPr>
              <w:outlineLvl w:val="0"/>
            </w:pPr>
            <w:r>
              <w:rPr>
                <w:rFonts w:hint="eastAsia" w:ascii="Times New Roman" w:hAnsi="Times New Roman" w:eastAsia="宋体" w:cs="Times New Roman"/>
                <w:szCs w:val="21"/>
                <w:lang w:eastAsia="zh-CN"/>
              </w:rPr>
              <mc:AlternateContent>
                <mc:Choice Requires="wpg">
                  <w:drawing>
                    <wp:inline xmlns:wp="http://schemas.openxmlformats.org/drawingml/2006/wordprocessingDrawing" distT="0" distB="0" distL="0" distR="0">
                      <wp:extent cx="1616710" cy="1271270"/>
                      <wp:effectExtent l="0" t="0" r="2540" b="5080"/>
                      <wp:docPr id="13" name="图片 14" descr="3f34a81b-53e7-41f7-aab6-56aacea8f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3f34a81b-53e7-41f7-aab6-56aacea8f374"/>
                              <pic:cNvPicPr>
                                <a:picLocks noChangeAspect="1"/>
                              </pic:cNvPicPr>
                              <pic:nvPr/>
                            </pic:nvPicPr>
                            <pic:blipFill>
                              <a:blip r:embed="rId27"/>
                              <a:stretch/>
                            </pic:blipFill>
                            <pic:spPr bwMode="auto">
                              <a:xfrm>
                                <a:off x="0" y="0"/>
                                <a:ext cx="1616710" cy="12712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7.3pt;height:100.1pt;mso-wrap-distance-left:0.0pt;mso-wrap-distance-top:0.0pt;mso-wrap-distance-right:0.0pt;mso-wrap-distance-bottom:0.0pt;" stroked="false">
                      <v:path textboxrect="0,0,0,0"/>
                      <v:imagedata r:id="rId27"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1、产品尺寸≥1</w:t>
            </w:r>
            <w:r>
              <w:rPr>
                <w:rFonts w:hint="eastAsia" w:ascii="宋体-PUA" w:hAnsi="宋体-PUA" w:eastAsia="宋体-PUA" w:cs="宋体-PUA"/>
                <w:szCs w:val="21"/>
                <w:lang w:val="en-US" w:eastAsia="zh-CN"/>
              </w:rPr>
              <w:t xml:space="preserve">80</w:t>
            </w:r>
            <w:r>
              <w:rPr>
                <w:rFonts w:hint="eastAsia" w:ascii="宋体-PUA" w:hAnsi="宋体-PUA" w:eastAsia="宋体-PUA" w:cs="宋体-PUA"/>
                <w:szCs w:val="21"/>
              </w:rPr>
              <w:t xml:space="preserve">0*1</w:t>
            </w:r>
            <w:r>
              <w:rPr>
                <w:rFonts w:hint="eastAsia" w:ascii="宋体-PUA" w:hAnsi="宋体-PUA" w:eastAsia="宋体-PUA" w:cs="宋体-PUA"/>
                <w:szCs w:val="21"/>
                <w:lang w:val="en-US" w:eastAsia="zh-CN"/>
              </w:rPr>
              <w:t xml:space="preserve">80</w:t>
            </w:r>
            <w:r>
              <w:rPr>
                <w:rFonts w:hint="eastAsia" w:ascii="宋体-PUA" w:hAnsi="宋体-PUA" w:eastAsia="宋体-PUA" w:cs="宋体-PUA"/>
                <w:szCs w:val="21"/>
              </w:rPr>
              <w:t xml:space="preserve">0*</w:t>
            </w:r>
            <w:r>
              <w:rPr>
                <w:rFonts w:hint="eastAsia" w:ascii="宋体-PUA" w:hAnsi="宋体-PUA" w:eastAsia="宋体-PUA" w:cs="宋体-PUA"/>
                <w:szCs w:val="21"/>
                <w:lang w:val="en-US" w:eastAsia="zh-CN"/>
              </w:rPr>
              <w:t xml:space="preserve">60</w:t>
            </w:r>
            <w:r>
              <w:rPr>
                <w:rFonts w:hint="eastAsia" w:ascii="宋体-PUA" w:hAnsi="宋体-PUA" w:eastAsia="宋体-PUA" w:cs="宋体-PUA"/>
                <w:szCs w:val="21"/>
              </w:rPr>
              <w:t xml:space="preserve">0mm。</w:t>
            </w:r>
            <w:r/>
          </w:p>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2、主要承载立柱≥Φ114*3mm镀锌管材；主要承载横梁≥</w:t>
            </w:r>
            <w:r>
              <w:rPr>
                <w:rFonts w:hint="eastAsia" w:ascii="宋体-PUA" w:hAnsi="宋体-PUA" w:eastAsia="宋体-PUA" w:cs="宋体-PUA"/>
                <w:szCs w:val="21"/>
                <w:lang w:val="en-US" w:eastAsia="zh-CN"/>
              </w:rPr>
              <w:t xml:space="preserve">2</w:t>
            </w:r>
            <w:r>
              <w:rPr>
                <w:rFonts w:hint="eastAsia" w:ascii="宋体-PUA" w:hAnsi="宋体-PUA" w:eastAsia="宋体-PUA" w:cs="宋体-PUA"/>
                <w:szCs w:val="21"/>
              </w:rPr>
              <w:t xml:space="preserve">0*</w:t>
            </w:r>
            <w:r>
              <w:rPr>
                <w:rFonts w:hint="eastAsia" w:ascii="宋体-PUA" w:hAnsi="宋体-PUA" w:eastAsia="宋体-PUA" w:cs="宋体-PUA"/>
                <w:szCs w:val="21"/>
                <w:lang w:val="en-US" w:eastAsia="zh-CN"/>
              </w:rPr>
              <w:t xml:space="preserve">40*</w:t>
            </w:r>
            <w:r>
              <w:rPr>
                <w:rFonts w:hint="eastAsia" w:ascii="宋体-PUA" w:hAnsi="宋体-PUA" w:eastAsia="宋体-PUA" w:cs="宋体-PUA"/>
                <w:szCs w:val="21"/>
              </w:rPr>
              <w:t xml:space="preserve">3mm管材。</w:t>
            </w:r>
            <w:r/>
          </w:p>
          <w:p>
            <w:pPr>
              <w:jc w:val="left"/>
              <w:widowControl/>
              <w:rPr>
                <w:rFonts w:hint="default" w:ascii="宋体-PUA" w:hAnsi="宋体-PUA" w:eastAsia="宋体-PUA" w:cs="宋体-PUA"/>
                <w:szCs w:val="21"/>
                <w:lang w:val="en-US" w:eastAsia="zh-CN"/>
              </w:rPr>
            </w:pPr>
            <w:r>
              <w:rPr>
                <w:rFonts w:hint="eastAsia" w:ascii="宋体-PUA" w:hAnsi="宋体-PUA" w:eastAsia="宋体-PUA" w:cs="宋体-PUA"/>
                <w:szCs w:val="21"/>
                <w:lang w:val="en-US" w:eastAsia="zh-CN"/>
              </w:rPr>
              <w:t xml:space="preserve">3、桌面采用不锈钢材质。</w:t>
            </w:r>
            <w:r/>
          </w:p>
          <w:p>
            <w:pPr>
              <w:jc w:val="left"/>
              <w:widowControl/>
              <w:rPr>
                <w:rFonts w:hint="default" w:eastAsia="宋体-PUA"/>
                <w:lang w:val="en-US" w:eastAsia="zh-CN"/>
              </w:rPr>
            </w:pPr>
            <w:r>
              <w:rPr>
                <w:rFonts w:hint="eastAsia" w:ascii="宋体-PUA" w:hAnsi="宋体-PUA" w:eastAsia="宋体-PUA" w:cs="宋体-PUA"/>
                <w:szCs w:val="21"/>
                <w:lang w:val="en-US" w:eastAsia="zh-CN"/>
              </w:rPr>
              <w:t xml:space="preserve">4、4个座椅独立安装。</w:t>
            </w:r>
            <w:r/>
          </w:p>
        </w:tc>
        <w:tc>
          <w:tcPr>
            <w:shd w:val="clear" w:color="auto" w:fill="auto"/>
            <w:tcW w:w="0" w:type="auto"/>
            <w:vAlign w:val="center"/>
            <w:textDirection w:val="lrTb"/>
            <w:noWrap w:val="false"/>
          </w:tcPr>
          <w:p>
            <w:pPr>
              <w:pStyle w:val="1007"/>
              <w:jc w:val="center"/>
              <w:rPr>
                <w:rFonts w:hint="eastAsia" w:ascii="Calibri" w:hAnsi="Calibri" w:eastAsia="黑体" w:cs="黑体"/>
                <w:b/>
                <w:sz w:val="21"/>
                <w:szCs w:val="22"/>
                <w:lang w:val="en-US" w:eastAsia="zh-CN" w:bidi="ar-SA"/>
              </w:rPr>
            </w:pPr>
            <w:r>
              <w:rPr>
                <w:rFonts w:hint="eastAsia"/>
                <w:sz w:val="21"/>
                <w:szCs w:val="22"/>
              </w:rPr>
              <w:t xml:space="preserve">件</w:t>
            </w:r>
            <w:r/>
          </w:p>
        </w:tc>
        <w:tc>
          <w:tcPr>
            <w:shd w:val="clear" w:color="auto" w:fill="auto"/>
            <w:tcW w:w="0" w:type="auto"/>
            <w:vAlign w:val="center"/>
            <w:textDirection w:val="lrTb"/>
            <w:noWrap w:val="false"/>
          </w:tcPr>
          <w:p>
            <w:pPr>
              <w:pStyle w:val="1007"/>
              <w:jc w:val="center"/>
              <w:rPr>
                <w:rFonts w:hint="eastAsia" w:ascii="Calibri" w:hAnsi="Calibri" w:eastAsia="宋体" w:cs="黑体"/>
                <w:b/>
                <w:sz w:val="21"/>
                <w:szCs w:val="22"/>
                <w:lang w:val="en-US" w:eastAsia="zh-CN" w:bidi="ar-SA"/>
              </w:rPr>
            </w:pPr>
            <w:r>
              <w:rPr>
                <w:rFonts w:hint="eastAsia" w:ascii="Calibri" w:hAnsi="Calibri" w:eastAsia="宋体"/>
                <w:sz w:val="21"/>
                <w:szCs w:val="22"/>
                <w:lang w:val="en-US" w:eastAsia="zh-CN" w:bidi="ar-SA"/>
              </w:rPr>
              <w:t xml:space="preserve">80</w:t>
            </w:r>
            <w:r/>
          </w:p>
        </w:tc>
      </w:tr>
    </w:tbl>
    <w:p>
      <w:pPr>
        <w:pStyle w:val="820"/>
        <w:rPr>
          <w:rFonts w:hint="default"/>
          <w:lang w:val="en-US" w:eastAsia="zh-CN"/>
        </w:rPr>
      </w:pPr>
      <w:r>
        <w:rPr>
          <w:rFonts w:hint="default"/>
          <w:lang w:val="en-US" w:eastAsia="zh-CN"/>
        </w:rPr>
      </w:r>
      <w:r/>
    </w:p>
    <w:p>
      <w:pPr>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分包二：</w:t>
      </w:r>
      <w:r/>
    </w:p>
    <w:p>
      <w:pPr>
        <w:pStyle w:val="820"/>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tbl>
      <w:tblPr>
        <w:tblStyle w:val="816"/>
        <w:tblW w:w="54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450"/>
        <w:gridCol w:w="2589"/>
        <w:gridCol w:w="4892"/>
        <w:gridCol w:w="978"/>
        <w:gridCol w:w="499"/>
      </w:tblGrid>
      <w:tr>
        <w:trPr>
          <w:trHeight w:val="20"/>
        </w:trPr>
        <w:tc>
          <w:tcPr>
            <w:gridSpan w:val="6"/>
            <w:tcW w:w="9831" w:type="dxa"/>
            <w:vAlign w:val="top"/>
            <w:textDirection w:val="lrTb"/>
            <w:noWrap w:val="false"/>
          </w:tcPr>
          <w:p>
            <w:pPr>
              <w:spacing w:line="360" w:lineRule="auto"/>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（一）通用要求</w:t>
            </w:r>
            <w:r/>
          </w:p>
        </w:tc>
      </w:tr>
      <w:tr>
        <w:trPr>
          <w:trHeight w:val="20"/>
        </w:trPr>
        <w:tc>
          <w:tcPr>
            <w:gridSpan w:val="6"/>
            <w:tcW w:w="9831" w:type="dxa"/>
            <w:vAlign w:val="center"/>
            <w:textDirection w:val="lrTb"/>
            <w:noWrap w:val="false"/>
          </w:tcPr>
          <w:p>
            <w:pPr>
              <w:numPr>
                <w:ilvl w:val="0"/>
                <w:numId w:val="10"/>
              </w:num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器材涂层、橡胶、塑料件有害物质限量以及器材闭合开口、不完全闭合开口、地埋式器材地埋深度、器材安装等都必须符合GB 19272-2024《室外健身器材的安全通用要求》的要求，并提供有效证明文件（具有资质的检验机构的检验报告）；</w:t>
            </w:r>
            <w:r/>
          </w:p>
          <w:p>
            <w:pPr>
              <w:numPr>
                <w:ilvl w:val="0"/>
                <w:numId w:val="10"/>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螺钉、螺母应防锈、防松和防盗；并应采取措施对螺栓、螺纹永久的覆盖。</w:t>
            </w:r>
            <w:r/>
          </w:p>
          <w:p>
            <w:pPr>
              <w:numPr>
                <w:ilvl w:val="0"/>
                <w:numId w:val="10"/>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覆盖件在其安装面以上直角部分的高度小于3mm；覆盖件直线部分超过3mm的，其突出部分外角应不小于105°或不应有易钩挂形状；</w:t>
            </w:r>
            <w:r/>
          </w:p>
          <w:p>
            <w:pPr>
              <w:numPr>
                <w:ilvl w:val="0"/>
                <w:numId w:val="10"/>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器材不允许存在和使用功能无关的凸出物，使用者或第三者易接触的零部件的其他所有棱边应予以圆滑过渡或加以防护；</w:t>
            </w:r>
            <w:r/>
          </w:p>
          <w:p>
            <w:pPr>
              <w:numPr>
                <w:ilvl w:val="0"/>
                <w:numId w:val="10"/>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钢铁制件（不锈钢除外）表面，应经过酸洗、磷化处理后或经过表面热度锌处理后，进行表面喷塑处理，涂层厚度不小于0.7mm。</w:t>
            </w:r>
            <w:r/>
          </w:p>
          <w:p>
            <w:pPr>
              <w:jc w:val="both"/>
              <w:spacing w:line="370" w:lineRule="exact"/>
              <w:widowControl w:val="off"/>
              <w:tabs>
                <w:tab w:val="left" w:pos="522" w:leader="none"/>
              </w:tabs>
              <w:rPr>
                <w:rFonts w:hint="eastAsia" w:ascii="宋体-PUA" w:hAnsi="宋体-PUA" w:eastAsia="宋体-PUA" w:cs="宋体-PUA"/>
                <w:b/>
                <w:sz w:val="21"/>
                <w:szCs w:val="21"/>
                <w:lang w:val="en-US" w:eastAsia="zh-CN" w:bidi="ar-SA"/>
              </w:rPr>
            </w:pPr>
            <w:r>
              <w:rPr>
                <w:rFonts w:hint="eastAsia" w:ascii="宋体-PUA" w:hAnsi="宋体-PUA" w:eastAsia="宋体-PUA" w:cs="宋体-PUA"/>
                <w:b/>
                <w:sz w:val="21"/>
                <w:szCs w:val="21"/>
                <w:lang w:val="en-US" w:eastAsia="zh-CN" w:bidi="ar-SA"/>
              </w:rPr>
              <w:t xml:space="preserve">★6、为保证全民健身器材统一、管理规范化，投标供应商所投器材的品牌必须要求一致，不得出现多个不同品牌产品，每一件都必须单独符合GB19272-2024《室外健身器材的安全通用要求》的规定要求，并提供国家体育用品质量监督检验中心出具的检验报告以及国家体育总局认可的权威检测机构相关证书，否则作为无效投标处理。</w:t>
            </w:r>
            <w:r/>
          </w:p>
          <w:p>
            <w:pPr>
              <w:jc w:val="both"/>
              <w:spacing w:line="370" w:lineRule="exact"/>
              <w:widowControl w:val="off"/>
              <w:tabs>
                <w:tab w:val="left" w:pos="522" w:leader="none"/>
              </w:tabs>
              <w:rPr>
                <w:rFonts w:hint="eastAsia" w:ascii="Calibri" w:hAnsi="Calibri" w:eastAsia="宋体" w:cs="Times New Roman"/>
                <w:sz w:val="21"/>
                <w:szCs w:val="22"/>
                <w:lang w:val="en-US" w:eastAsia="zh-CN" w:bidi="ar-SA"/>
              </w:rPr>
            </w:pPr>
            <w:r>
              <w:rPr>
                <w:rFonts w:hint="eastAsia" w:ascii="宋体-PUA" w:hAnsi="宋体-PUA" w:eastAsia="宋体-PUA" w:cs="宋体-PUA"/>
                <w:sz w:val="21"/>
                <w:szCs w:val="21"/>
              </w:rPr>
              <w:t xml:space="preserve">★</w:t>
            </w:r>
            <w:r>
              <w:rPr>
                <w:rFonts w:hint="eastAsia" w:ascii="宋体-PUA" w:hAnsi="宋体-PUA" w:eastAsia="宋体-PUA" w:cs="宋体-PUA"/>
                <w:b/>
                <w:sz w:val="21"/>
                <w:szCs w:val="21"/>
                <w:lang w:val="en-US" w:eastAsia="zh-CN" w:bidi="ar-SA"/>
              </w:rPr>
              <w:t xml:space="preserve">7、所有器材安全使用寿命不低于8年，供应商在出厂前在器材铭牌上方单独制作报修二维码铭牌，器材铭牌、报修铭牌2项内容需经采购方同意后制作。</w:t>
            </w:r>
            <w:r/>
          </w:p>
        </w:tc>
      </w:tr>
      <w:tr>
        <w:trPr>
          <w:trHeight w:val="20"/>
        </w:trPr>
        <w:tc>
          <w:tcPr>
            <w:gridSpan w:val="6"/>
            <w:tcW w:w="9831" w:type="dxa"/>
            <w:vAlign w:val="center"/>
            <w:textDirection w:val="lrTb"/>
            <w:noWrap w:val="false"/>
          </w:tcPr>
          <w:p>
            <w:pPr>
              <w:pStyle w:val="1007"/>
              <w:jc w:val="both"/>
              <w:rPr>
                <w:rFonts w:hint="default" w:ascii="Calibri" w:hAnsi="Calibri" w:eastAsia="黑体" w:cs="Times New Roman"/>
                <w:b w:val="0"/>
                <w:sz w:val="21"/>
                <w:szCs w:val="22"/>
                <w:lang w:val="en-US" w:eastAsia="zh-CN" w:bidi="ar-SA"/>
              </w:rPr>
            </w:pPr>
            <w:r>
              <w:rPr>
                <w:rFonts w:hint="eastAsia" w:ascii="宋体" w:hAnsi="宋体" w:eastAsia="Times New Roman" w:cs="Times New Roman"/>
                <w:b/>
                <w:sz w:val="24"/>
                <w:szCs w:val="24"/>
                <w:lang w:eastAsia="zh-CN"/>
              </w:rPr>
              <w:t xml:space="preserve">（</w:t>
            </w:r>
            <w:r>
              <w:rPr>
                <w:rFonts w:hint="eastAsia" w:ascii="宋体" w:hAnsi="宋体" w:eastAsia="Times New Roman" w:cs="Times New Roman"/>
                <w:b/>
                <w:sz w:val="24"/>
                <w:szCs w:val="24"/>
                <w:lang w:val="en-US" w:eastAsia="zh-CN"/>
              </w:rPr>
              <w:t xml:space="preserve">二</w:t>
            </w:r>
            <w:r>
              <w:rPr>
                <w:rFonts w:hint="eastAsia" w:ascii="宋体" w:hAnsi="宋体" w:eastAsia="Times New Roman" w:cs="Times New Roman"/>
                <w:b/>
                <w:sz w:val="24"/>
                <w:szCs w:val="24"/>
                <w:lang w:eastAsia="zh-CN"/>
              </w:rPr>
              <w:t xml:space="preserve">）</w:t>
            </w:r>
            <w:r>
              <w:rPr>
                <w:rFonts w:hint="eastAsia" w:ascii="宋体" w:hAnsi="宋体" w:eastAsia="Times New Roman" w:cs="Times New Roman"/>
                <w:b/>
                <w:sz w:val="24"/>
                <w:szCs w:val="24"/>
              </w:rPr>
              <w:t xml:space="preserve">参数要求</w:t>
            </w:r>
            <w:r>
              <w:rPr>
                <w:rFonts w:hint="eastAsia" w:ascii="宋体" w:hAnsi="宋体" w:eastAsia="Times New Roman" w:cs="Times New Roman"/>
                <w:b/>
                <w:sz w:val="24"/>
                <w:szCs w:val="24"/>
                <w:lang w:eastAsia="zh-CN"/>
              </w:rPr>
              <w:t xml:space="preserve">（</w:t>
            </w:r>
            <w:r>
              <w:rPr>
                <w:rFonts w:hint="eastAsia" w:ascii="宋体" w:hAnsi="宋体" w:eastAsia="Times New Roman" w:cs="Times New Roman"/>
                <w:b/>
                <w:sz w:val="24"/>
                <w:szCs w:val="24"/>
                <w:lang w:val="en-US" w:eastAsia="zh-CN"/>
              </w:rPr>
              <w:t xml:space="preserve">图片为网上下载，仅作样式提示，具体要求以产品参数为准）</w:t>
            </w:r>
            <w:r/>
          </w:p>
        </w:tc>
      </w:tr>
      <w:tr>
        <w:trPr>
          <w:trHeight w:val="20"/>
        </w:trPr>
        <w:tc>
          <w:tcPr>
            <w:tcW w:w="422" w:type="dxa"/>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2</w:t>
            </w:r>
            <w:r/>
          </w:p>
        </w:tc>
        <w:tc>
          <w:tcPr>
            <w:tcW w:w="450" w:type="dxa"/>
            <w:vAlign w:val="center"/>
            <w:textDirection w:val="lrTb"/>
            <w:noWrap w:val="false"/>
          </w:tcPr>
          <w:p>
            <w:pPr>
              <w:jc w:val="center"/>
              <w:widowControl/>
              <w:rPr>
                <w:rFonts w:hint="default" w:ascii="宋体" w:hAnsi="Calibri" w:eastAsia="宋体" w:cs="宋体"/>
                <w:color w:val="000000"/>
                <w:sz w:val="22"/>
                <w:szCs w:val="22"/>
                <w:lang w:val="en-US" w:eastAsia="zh-CN" w:bidi="ar-SA"/>
              </w:rPr>
            </w:pPr>
            <w:r>
              <w:rPr>
                <w:rFonts w:hint="eastAsia" w:ascii="宋体" w:hAnsi="宋体" w:eastAsia="宋体" w:cs="宋体"/>
                <w:color w:val="000000"/>
                <w:sz w:val="22"/>
                <w:lang w:val="en-US" w:eastAsia="zh-CN"/>
              </w:rPr>
              <w:t xml:space="preserve">室外圆管地埋式篮球架</w:t>
            </w:r>
            <w:r/>
          </w:p>
        </w:tc>
        <w:tc>
          <w:tcPr>
            <w:tcW w:w="2589" w:type="dxa"/>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Calibri" w:hAnsi="Calibri" w:eastAsia="宋体" w:cs="Times New Roman"/>
              </w:rPr>
              <mc:AlternateContent>
                <mc:Choice Requires="wpg">
                  <w:drawing>
                    <wp:inline xmlns:wp="http://schemas.openxmlformats.org/drawingml/2006/wordprocessingDrawing" distT="0" distB="0" distL="0" distR="0">
                      <wp:extent cx="1525270" cy="2155825"/>
                      <wp:effectExtent l="0" t="0" r="17780" b="15875"/>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28"/>
                              <a:stretch/>
                            </pic:blipFill>
                            <pic:spPr bwMode="auto">
                              <a:xfrm>
                                <a:off x="0" y="0"/>
                                <a:ext cx="1525270" cy="215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0.1pt;height:169.8pt;mso-wrap-distance-left:0.0pt;mso-wrap-distance-top:0.0pt;mso-wrap-distance-right:0.0pt;mso-wrap-distance-bottom:0.0pt;" stroked="f">
                      <v:path textboxrect="0,0,0,0"/>
                      <v:imagedata r:id="rId28" o:title=""/>
                    </v:shape>
                  </w:pict>
                </mc:Fallback>
              </mc:AlternateContent>
            </w:r>
            <w:r/>
          </w:p>
        </w:tc>
        <w:tc>
          <w:tcPr>
            <w:tcW w:w="4892" w:type="dxa"/>
            <w:vAlign w:val="center"/>
            <w:textDirection w:val="lrTb"/>
            <w:noWrap w:val="false"/>
          </w:tcPr>
          <w:p>
            <w:pPr>
              <w:jc w:val="left"/>
              <w:widowControl/>
              <w:rPr>
                <w:rFonts w:hint="eastAsia" w:ascii="宋体-PUA" w:hAnsi="宋体-PUA" w:eastAsia="宋体-PUA" w:cs="宋体-PUA"/>
                <w:sz w:val="21"/>
                <w:szCs w:val="21"/>
                <w:lang w:eastAsia="zh-CN"/>
              </w:rPr>
            </w:pPr>
            <w:r>
              <w:rPr>
                <w:rFonts w:hint="eastAsia" w:ascii="宋体-PUA" w:hAnsi="宋体-PUA" w:eastAsia="宋体-PUA" w:cs="宋体-PUA"/>
                <w:szCs w:val="21"/>
                <w:lang w:val="en-US" w:eastAsia="zh-CN"/>
              </w:rPr>
              <w:t xml:space="preserve">1、</w:t>
            </w:r>
            <w:r>
              <w:rPr>
                <w:rFonts w:hint="eastAsia" w:ascii="宋体-PUA" w:hAnsi="宋体-PUA" w:eastAsia="宋体-PUA" w:cs="宋体-PUA"/>
                <w:sz w:val="21"/>
                <w:szCs w:val="21"/>
              </w:rPr>
              <w:t xml:space="preserve">外形尺寸（长×宽×高） </w:t>
            </w:r>
            <w:r>
              <w:rPr>
                <w:rFonts w:hint="eastAsia" w:ascii="宋体-PUA" w:hAnsi="宋体-PUA" w:eastAsia="宋体-PUA" w:cs="宋体-PUA"/>
                <w:sz w:val="21"/>
                <w:szCs w:val="21"/>
                <w:lang w:val="en-US" w:eastAsia="zh-CN"/>
              </w:rPr>
              <w:t xml:space="preserve">≥</w:t>
            </w:r>
            <w:r>
              <w:rPr>
                <w:rFonts w:hint="eastAsia" w:ascii="宋体-PUA" w:hAnsi="宋体-PUA" w:eastAsia="宋体-PUA" w:cs="宋体-PUA"/>
                <w:sz w:val="21"/>
                <w:szCs w:val="21"/>
              </w:rPr>
              <w:t xml:space="preserve">2585×1800×3950mm</w:t>
            </w:r>
            <w:r>
              <w:rPr>
                <w:rFonts w:hint="eastAsia" w:ascii="宋体-PUA" w:hAnsi="宋体-PUA" w:eastAsia="宋体-PUA" w:cs="宋体-PUA"/>
                <w:sz w:val="21"/>
                <w:szCs w:val="21"/>
                <w:lang w:eastAsia="zh-CN"/>
              </w:rPr>
              <w:t xml:space="preserve">。</w:t>
            </w:r>
            <w:r/>
          </w:p>
          <w:p>
            <w:pPr>
              <w:jc w:val="left"/>
              <w:widowControl/>
              <w:rPr>
                <w:rFonts w:hint="eastAsia" w:ascii="宋体-PUA" w:hAnsi="宋体-PUA" w:eastAsia="宋体-PUA" w:cs="宋体-PUA"/>
                <w:sz w:val="21"/>
                <w:szCs w:val="21"/>
                <w:lang w:eastAsia="zh-CN"/>
              </w:rPr>
            </w:pPr>
            <w:r>
              <w:rPr>
                <w:rFonts w:hint="eastAsia" w:ascii="宋体-PUA" w:hAnsi="宋体-PUA" w:eastAsia="宋体-PUA" w:cs="宋体-PUA"/>
                <w:sz w:val="21"/>
                <w:szCs w:val="21"/>
                <w:lang w:val="en-US" w:eastAsia="zh-CN"/>
              </w:rPr>
              <w:t xml:space="preserve">2、</w:t>
            </w:r>
            <w:r>
              <w:rPr>
                <w:rFonts w:hint="eastAsia" w:ascii="宋体-PUA" w:hAnsi="宋体-PUA" w:eastAsia="宋体-PUA" w:cs="宋体-PUA"/>
                <w:sz w:val="21"/>
                <w:szCs w:val="21"/>
              </w:rPr>
              <w:t xml:space="preserve">主要承载立柱</w:t>
            </w:r>
            <w:r>
              <w:rPr>
                <w:rFonts w:hint="eastAsia" w:ascii="宋体-PUA" w:hAnsi="宋体-PUA" w:eastAsia="宋体-PUA" w:cs="宋体-PUA"/>
                <w:sz w:val="21"/>
                <w:szCs w:val="21"/>
                <w:lang w:val="en-US" w:eastAsia="zh-CN"/>
              </w:rPr>
              <w:t xml:space="preserve">尺寸≥</w:t>
            </w:r>
            <w:r>
              <w:rPr>
                <w:rFonts w:hint="eastAsia" w:ascii="宋体-PUA" w:hAnsi="宋体-PUA" w:eastAsia="宋体-PUA" w:cs="宋体-PUA"/>
                <w:sz w:val="21"/>
                <w:szCs w:val="21"/>
              </w:rPr>
              <w:t xml:space="preserve">Φ165×4mm</w:t>
            </w:r>
            <w:r>
              <w:rPr>
                <w:rFonts w:hint="eastAsia" w:ascii="宋体-PUA" w:hAnsi="宋体-PUA" w:eastAsia="宋体-PUA" w:cs="宋体-PUA"/>
                <w:sz w:val="21"/>
                <w:szCs w:val="21"/>
                <w:lang w:eastAsia="zh-CN"/>
              </w:rPr>
              <w:t xml:space="preserve">。</w:t>
            </w:r>
            <w:r/>
          </w:p>
          <w:p>
            <w:pPr>
              <w:jc w:val="left"/>
              <w:widowControl/>
              <w:rPr>
                <w:rFonts w:hint="eastAsia" w:ascii="宋体-PUA" w:hAnsi="宋体-PUA" w:eastAsia="宋体-PUA" w:cs="宋体-PUA"/>
                <w:sz w:val="21"/>
                <w:szCs w:val="21"/>
                <w:lang w:eastAsia="zh-CN"/>
              </w:rPr>
            </w:pPr>
            <w:r>
              <w:rPr>
                <w:rFonts w:hint="eastAsia" w:ascii="宋体-PUA" w:hAnsi="宋体-PUA" w:eastAsia="宋体-PUA" w:cs="宋体-PUA"/>
                <w:sz w:val="21"/>
                <w:szCs w:val="21"/>
                <w:lang w:val="en-US" w:eastAsia="zh-CN"/>
              </w:rPr>
              <w:t xml:space="preserve">3</w:t>
            </w:r>
            <w:r>
              <w:rPr>
                <w:rFonts w:hint="eastAsia" w:ascii="宋体-PUA" w:hAnsi="宋体-PUA" w:eastAsia="宋体-PUA" w:cs="宋体-PUA"/>
                <w:sz w:val="21"/>
                <w:szCs w:val="21"/>
              </w:rPr>
              <w:t xml:space="preserve">、主要承载横梁</w:t>
            </w:r>
            <w:r>
              <w:rPr>
                <w:rFonts w:hint="eastAsia" w:ascii="宋体-PUA" w:hAnsi="宋体-PUA" w:eastAsia="宋体-PUA" w:cs="宋体-PUA"/>
                <w:sz w:val="21"/>
                <w:szCs w:val="21"/>
                <w:lang w:val="en-US" w:eastAsia="zh-CN"/>
              </w:rPr>
              <w:t xml:space="preserve">尺寸≥</w:t>
            </w:r>
            <w:r>
              <w:rPr>
                <w:rFonts w:hint="eastAsia" w:ascii="宋体-PUA" w:hAnsi="宋体-PUA" w:eastAsia="宋体-PUA" w:cs="宋体-PUA"/>
                <w:sz w:val="21"/>
                <w:szCs w:val="21"/>
              </w:rPr>
              <w:t xml:space="preserve">Φ165×4mm</w:t>
            </w:r>
            <w:r>
              <w:rPr>
                <w:rFonts w:hint="eastAsia" w:ascii="宋体-PUA" w:hAnsi="宋体-PUA" w:eastAsia="宋体-PUA" w:cs="宋体-PUA"/>
                <w:sz w:val="21"/>
                <w:szCs w:val="21"/>
                <w:lang w:eastAsia="zh-CN"/>
              </w:rPr>
              <w:t xml:space="preserve">。</w:t>
            </w:r>
            <w:r/>
          </w:p>
          <w:p>
            <w:pPr>
              <w:jc w:val="left"/>
              <w:widowControl/>
              <w:rPr>
                <w:rFonts w:hint="default" w:ascii="宋体-PUA" w:hAnsi="宋体-PUA" w:eastAsia="宋体-PUA" w:cs="宋体-PUA"/>
                <w:sz w:val="21"/>
                <w:szCs w:val="21"/>
                <w:lang w:val="en-US" w:eastAsia="zh-CN"/>
              </w:rPr>
            </w:pPr>
            <w:r>
              <w:rPr>
                <w:rFonts w:hint="eastAsia" w:ascii="宋体-PUA" w:hAnsi="宋体-PUA" w:eastAsia="宋体-PUA" w:cs="宋体-PUA"/>
                <w:sz w:val="21"/>
                <w:szCs w:val="21"/>
                <w:lang w:val="en-US" w:eastAsia="zh-CN"/>
              </w:rPr>
              <w:t xml:space="preserve">4、安装方式：直埋式或预埋式。</w:t>
            </w:r>
            <w:r/>
          </w:p>
          <w:p>
            <w:pPr>
              <w:jc w:val="left"/>
              <w:widowControl/>
              <w:rPr>
                <w:rFonts w:hint="default" w:ascii="宋体-PUA" w:hAnsi="宋体-PUA" w:eastAsia="宋体-PUA" w:cs="宋体-PUA"/>
                <w:sz w:val="21"/>
                <w:szCs w:val="21"/>
                <w:lang w:val="en-US" w:eastAsia="zh-CN"/>
              </w:rPr>
            </w:pPr>
            <w:r>
              <w:rPr>
                <w:rFonts w:hint="eastAsia" w:ascii="宋体-PUA" w:hAnsi="宋体-PUA" w:eastAsia="宋体-PUA" w:cs="宋体-PUA"/>
                <w:sz w:val="21"/>
                <w:szCs w:val="21"/>
                <w:lang w:val="en-US" w:eastAsia="zh-CN"/>
              </w:rPr>
              <w:t xml:space="preserve">5</w:t>
            </w:r>
            <w:r>
              <w:rPr>
                <w:rFonts w:hint="eastAsia" w:ascii="宋体-PUA" w:hAnsi="宋体-PUA" w:eastAsia="宋体-PUA" w:cs="宋体-PUA"/>
                <w:sz w:val="21"/>
                <w:szCs w:val="21"/>
              </w:rPr>
              <w:t xml:space="preserve">、</w:t>
            </w:r>
            <w:r>
              <w:rPr>
                <w:rFonts w:hint="eastAsia" w:ascii="宋体-PUA" w:hAnsi="宋体-PUA" w:eastAsia="宋体-PUA" w:cs="宋体-PUA"/>
                <w:sz w:val="21"/>
                <w:szCs w:val="21"/>
                <w:lang w:val="en-US" w:eastAsia="zh-CN"/>
              </w:rPr>
              <w:t xml:space="preserve">表面处理工艺为：脱脂-抛丸-静电喷涂或其他更优质工艺。</w:t>
            </w:r>
            <w:r/>
          </w:p>
          <w:p>
            <w:pPr>
              <w:jc w:val="left"/>
              <w:widowControl/>
              <w:rPr>
                <w:rFonts w:hint="eastAsia" w:ascii="宋体-PUA" w:hAnsi="宋体-PUA" w:eastAsia="宋体-PUA" w:cs="宋体-PUA"/>
                <w:sz w:val="21"/>
                <w:szCs w:val="21"/>
                <w:lang w:eastAsia="zh-CN"/>
              </w:rPr>
            </w:pPr>
            <w:r>
              <w:rPr>
                <w:rFonts w:hint="eastAsia" w:ascii="宋体-PUA" w:hAnsi="宋体-PUA" w:eastAsia="宋体-PUA" w:cs="宋体-PUA"/>
                <w:sz w:val="21"/>
                <w:szCs w:val="21"/>
                <w:lang w:val="en-US" w:eastAsia="zh-CN"/>
              </w:rPr>
              <w:t xml:space="preserve">6</w:t>
            </w:r>
            <w:r>
              <w:rPr>
                <w:rFonts w:hint="eastAsia" w:ascii="宋体-PUA" w:hAnsi="宋体-PUA" w:eastAsia="宋体-PUA" w:cs="宋体-PUA"/>
                <w:sz w:val="21"/>
                <w:szCs w:val="21"/>
              </w:rPr>
              <w:t xml:space="preserve">、</w:t>
            </w:r>
            <w:r>
              <w:rPr>
                <w:rFonts w:hint="eastAsia" w:ascii="宋体-PUA" w:hAnsi="宋体-PUA" w:eastAsia="宋体-PUA" w:cs="宋体-PUA"/>
                <w:sz w:val="21"/>
                <w:szCs w:val="21"/>
                <w:lang w:val="en-US" w:eastAsia="zh-CN"/>
              </w:rPr>
              <w:t xml:space="preserve">球架</w:t>
            </w:r>
            <w:r>
              <w:rPr>
                <w:rFonts w:hint="eastAsia" w:ascii="宋体-PUA" w:hAnsi="宋体-PUA" w:eastAsia="宋体-PUA" w:cs="宋体-PUA"/>
                <w:sz w:val="21"/>
                <w:szCs w:val="21"/>
              </w:rPr>
              <w:t xml:space="preserve">伸臂为1800mm，篮筐到地面距离3050mm</w:t>
            </w:r>
            <w:r>
              <w:rPr>
                <w:rFonts w:hint="eastAsia" w:ascii="宋体-PUA" w:hAnsi="宋体-PUA" w:eastAsia="宋体-PUA" w:cs="宋体-PUA"/>
                <w:sz w:val="21"/>
                <w:szCs w:val="21"/>
                <w:lang w:eastAsia="zh-CN"/>
              </w:rPr>
              <w:t xml:space="preserve">。</w:t>
            </w:r>
            <w:r/>
          </w:p>
          <w:p>
            <w:pPr>
              <w:jc w:val="left"/>
              <w:widowControl/>
              <w:rPr>
                <w:rFonts w:hint="eastAsia" w:ascii="宋体-PUA" w:hAnsi="宋体-PUA" w:eastAsia="宋体-PUA" w:cs="宋体-PUA"/>
                <w:szCs w:val="21"/>
                <w:lang w:eastAsia="zh-CN"/>
              </w:rPr>
            </w:pPr>
            <w:r>
              <w:rPr>
                <w:rFonts w:hint="eastAsia" w:ascii="宋体-PUA" w:hAnsi="宋体-PUA" w:eastAsia="宋体-PUA" w:cs="宋体-PUA"/>
                <w:sz w:val="21"/>
                <w:szCs w:val="21"/>
                <w:lang w:val="en-US" w:eastAsia="zh-CN"/>
              </w:rPr>
              <w:t xml:space="preserve">7、</w:t>
            </w:r>
            <w:r>
              <w:rPr>
                <w:rFonts w:hint="eastAsia" w:ascii="宋体-PUA" w:hAnsi="宋体-PUA" w:eastAsia="宋体-PUA" w:cs="宋体-PUA"/>
                <w:sz w:val="21"/>
                <w:szCs w:val="21"/>
              </w:rPr>
              <w:t xml:space="preserve">篮板采用SMC</w:t>
            </w:r>
            <w:r>
              <w:rPr>
                <w:rFonts w:hint="eastAsia" w:ascii="宋体-PUA" w:hAnsi="宋体-PUA" w:eastAsia="宋体-PUA" w:cs="宋体-PUA"/>
                <w:szCs w:val="21"/>
              </w:rPr>
              <w:t xml:space="preserve"> 篮板，五点连接，厚度50mm，背面采用“井”字形和辐射向加强筋</w:t>
            </w:r>
            <w:r>
              <w:rPr>
                <w:rFonts w:hint="eastAsia" w:ascii="宋体-PUA" w:hAnsi="宋体-PUA" w:eastAsia="宋体-PUA" w:cs="宋体-PUA"/>
                <w:szCs w:val="21"/>
                <w:lang w:eastAsia="zh-CN"/>
              </w:rPr>
              <w:t xml:space="preserve">。</w:t>
            </w:r>
            <w:r/>
          </w:p>
          <w:p>
            <w:pPr>
              <w:jc w:val="left"/>
              <w:widowControl/>
              <w:rPr>
                <w:rFonts w:hint="eastAsia" w:ascii="宋体-PUA" w:hAnsi="宋体-PUA" w:eastAsia="宋体-PUA" w:cs="宋体-PUA"/>
                <w:szCs w:val="21"/>
                <w:lang w:eastAsia="zh-CN"/>
              </w:rPr>
            </w:pPr>
            <w:r>
              <w:rPr>
                <w:rFonts w:hint="eastAsia" w:ascii="宋体-PUA" w:hAnsi="宋体-PUA" w:eastAsia="宋体-PUA" w:cs="宋体-PUA"/>
                <w:szCs w:val="21"/>
                <w:lang w:val="en-US" w:eastAsia="zh-CN"/>
              </w:rPr>
              <w:t xml:space="preserve">8、</w:t>
            </w:r>
            <w:r>
              <w:rPr>
                <w:rFonts w:hint="eastAsia" w:ascii="宋体-PUA" w:hAnsi="宋体-PUA" w:eastAsia="宋体-PUA" w:cs="宋体-PUA"/>
                <w:szCs w:val="21"/>
              </w:rPr>
              <w:t xml:space="preserve">立柱和横梁采用直径165*4.0mm 优质钢管，一次性热弯成形</w:t>
            </w:r>
            <w:r>
              <w:rPr>
                <w:rFonts w:hint="eastAsia" w:ascii="宋体-PUA" w:hAnsi="宋体-PUA" w:eastAsia="宋体-PUA" w:cs="宋体-PUA"/>
                <w:szCs w:val="21"/>
                <w:lang w:eastAsia="zh-CN"/>
              </w:rPr>
              <w:t xml:space="preserve">。</w:t>
            </w:r>
            <w:r/>
          </w:p>
          <w:p>
            <w:pPr>
              <w:jc w:val="left"/>
              <w:widowControl/>
              <w:rPr>
                <w:rFonts w:hint="eastAsia" w:ascii="宋体-PUA" w:hAnsi="宋体-PUA" w:eastAsia="宋体-PUA" w:cs="宋体-PUA"/>
                <w:szCs w:val="21"/>
                <w:lang w:eastAsia="zh-CN"/>
              </w:rPr>
            </w:pPr>
            <w:r>
              <w:rPr>
                <w:rFonts w:hint="eastAsia" w:ascii="宋体-PUA" w:hAnsi="宋体-PUA" w:eastAsia="宋体-PUA" w:cs="宋体-PUA"/>
                <w:szCs w:val="21"/>
                <w:lang w:val="en-US" w:eastAsia="zh-CN"/>
              </w:rPr>
              <w:t xml:space="preserve">9、篮球架</w:t>
            </w:r>
            <w:r>
              <w:rPr>
                <w:rFonts w:hint="eastAsia" w:ascii="宋体-PUA" w:hAnsi="宋体-PUA" w:eastAsia="宋体-PUA" w:cs="宋体-PUA"/>
                <w:szCs w:val="21"/>
              </w:rPr>
              <w:t xml:space="preserve">上下拉杆可调节篮板的垂直度、与地面的平行度</w:t>
            </w:r>
            <w:r>
              <w:rPr>
                <w:rFonts w:hint="eastAsia" w:ascii="宋体-PUA" w:hAnsi="宋体-PUA" w:eastAsia="宋体-PUA" w:cs="宋体-PUA"/>
                <w:szCs w:val="21"/>
                <w:lang w:eastAsia="zh-CN"/>
              </w:rPr>
              <w:t xml:space="preserve">。</w:t>
            </w:r>
            <w:r/>
          </w:p>
          <w:p>
            <w:pPr>
              <w:jc w:val="left"/>
              <w:widowControl/>
              <w:rPr>
                <w:rFonts w:hint="eastAsia" w:ascii="宋体-PUA" w:hAnsi="宋体-PUA" w:eastAsia="宋体-PUA" w:cs="宋体-PUA"/>
                <w:szCs w:val="21"/>
              </w:rPr>
            </w:pPr>
            <w:r>
              <w:rPr>
                <w:rFonts w:hint="eastAsia" w:ascii="宋体-PUA" w:hAnsi="宋体-PUA" w:eastAsia="宋体-PUA" w:cs="宋体-PUA"/>
                <w:szCs w:val="21"/>
                <w:lang w:val="en-US" w:eastAsia="zh-CN"/>
              </w:rPr>
              <w:t xml:space="preserve">10、</w:t>
            </w:r>
            <w:r>
              <w:rPr>
                <w:rFonts w:hint="eastAsia" w:ascii="宋体-PUA" w:hAnsi="宋体-PUA" w:eastAsia="宋体-PUA" w:cs="宋体-PUA"/>
                <w:szCs w:val="21"/>
              </w:rPr>
              <w:t xml:space="preserve">篮圈采用优质圆钢，圈下焊有十二段均匀分布的挂网环，内穿钢丝，配篮网</w:t>
            </w:r>
            <w:r>
              <w:rPr>
                <w:rFonts w:hint="eastAsia" w:ascii="宋体-PUA" w:hAnsi="宋体-PUA" w:eastAsia="宋体-PUA" w:cs="宋体-PUA"/>
                <w:szCs w:val="21"/>
                <w:lang w:eastAsia="zh-CN"/>
              </w:rPr>
              <w:t xml:space="preserve">。</w:t>
            </w:r>
            <w:r>
              <w:rPr>
                <w:rFonts w:hint="eastAsia" w:ascii="宋体-PUA" w:hAnsi="宋体-PUA" w:eastAsia="宋体-PUA" w:cs="宋体-PUA"/>
                <w:szCs w:val="21"/>
              </w:rPr>
              <w:t xml:space="preserve"> </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rPr>
              <w:t xml:space="preserve">注：第1-5项具体参数以投标品牌</w:t>
            </w:r>
            <w:r>
              <w:rPr>
                <w:rFonts w:ascii="宋体" w:hAnsi="宋体" w:eastAsia="宋体" w:cs="宋体"/>
                <w:color w:val="000000"/>
                <w:sz w:val="21"/>
                <w:szCs w:val="21"/>
              </w:rPr>
              <w:t xml:space="preserve">国家体育总局认可的权威检测机构相关证书</w:t>
            </w:r>
            <w:r>
              <w:rPr>
                <w:rFonts w:hint="eastAsia" w:ascii="宋体-PUA" w:hAnsi="宋体-PUA" w:eastAsia="宋体-PUA" w:cs="宋体-PUA"/>
                <w:sz w:val="21"/>
                <w:szCs w:val="21"/>
                <w:lang w:val="en-US" w:eastAsia="zh-CN"/>
              </w:rPr>
              <w:t xml:space="preserve">登记信息为准，第6-8项具体参数以国家体育用品质量监督检验中心检测报告为准，其余以</w:t>
            </w:r>
            <w:r>
              <w:rPr>
                <w:rFonts w:hint="default" w:ascii="Calibri" w:hAnsi="Calibri" w:eastAsia="宋体" w:cs="Times New Roman"/>
              </w:rPr>
              <w:t xml:space="preserve">《响应偏离表》</w:t>
            </w:r>
            <w:r>
              <w:rPr>
                <w:rFonts w:hint="eastAsia" w:ascii="Calibri" w:hAnsi="Calibri" w:eastAsia="宋体" w:cs="Times New Roman"/>
                <w:lang w:val="en-US" w:eastAsia="zh-CN"/>
              </w:rPr>
              <w:t xml:space="preserve">为准</w:t>
            </w:r>
            <w:r>
              <w:rPr>
                <w:rFonts w:hint="eastAsia" w:ascii="宋体-PUA" w:hAnsi="宋体-PUA" w:eastAsia="宋体-PUA" w:cs="宋体-PUA"/>
                <w:sz w:val="21"/>
                <w:szCs w:val="21"/>
                <w:lang w:val="en-US" w:eastAsia="zh-CN"/>
              </w:rPr>
              <w:t xml:space="preserve">。</w:t>
            </w:r>
            <w:r/>
          </w:p>
        </w:tc>
        <w:tc>
          <w:tcPr>
            <w:tcW w:w="978" w:type="dxa"/>
            <w:vAlign w:val="center"/>
            <w:textDirection w:val="lrTb"/>
            <w:noWrap w:val="false"/>
          </w:tcPr>
          <w:p>
            <w:pPr>
              <w:pStyle w:val="1007"/>
              <w:jc w:val="center"/>
              <w:rPr>
                <w:rFonts w:hint="eastAsia" w:ascii="Calibri" w:hAnsi="Calibri" w:eastAsia="宋体" w:cs="Times New Roman"/>
                <w:b w:val="0"/>
                <w:sz w:val="21"/>
                <w:szCs w:val="22"/>
                <w:lang w:val="en-US" w:eastAsia="zh-CN" w:bidi="ar-SA"/>
              </w:rPr>
            </w:pPr>
            <w:r>
              <w:rPr>
                <w:rFonts w:hint="eastAsia" w:ascii="Times New Roman" w:hAnsi="Times New Roman" w:eastAsia="宋体" w:cs="Times New Roman"/>
                <w:b w:val="0"/>
                <w:sz w:val="21"/>
                <w:szCs w:val="22"/>
                <w:lang w:val="en-US" w:eastAsia="zh-CN"/>
              </w:rPr>
              <w:t xml:space="preserve">套</w:t>
            </w:r>
            <w:r>
              <w:rPr>
                <w:rFonts w:hint="eastAsia" w:ascii="Times New Roman" w:hAnsi="Times New Roman" w:eastAsia="宋体" w:cs="Times New Roman"/>
                <w:b w:val="0"/>
                <w:sz w:val="21"/>
                <w:szCs w:val="22"/>
                <w:lang w:val="en-US" w:eastAsia="zh-CN"/>
              </w:rPr>
              <w:t xml:space="preserve">（</w:t>
            </w:r>
            <w:r>
              <w:rPr>
                <w:rFonts w:hint="eastAsia" w:ascii="Times New Roman" w:hAnsi="Times New Roman" w:eastAsia="宋体" w:cs="Times New Roman"/>
                <w:b w:val="0"/>
                <w:sz w:val="21"/>
                <w:szCs w:val="22"/>
                <w:lang w:val="en-US" w:eastAsia="zh-CN"/>
              </w:rPr>
              <w:t xml:space="preserve">2</w:t>
            </w:r>
            <w:r>
              <w:rPr>
                <w:rFonts w:hint="eastAsia" w:ascii="Times New Roman" w:hAnsi="Times New Roman" w:eastAsia="宋体" w:cs="Times New Roman"/>
                <w:b w:val="0"/>
                <w:sz w:val="21"/>
                <w:szCs w:val="22"/>
                <w:lang w:val="en-US" w:eastAsia="zh-CN"/>
              </w:rPr>
              <w:t xml:space="preserve">件</w:t>
            </w:r>
            <w:r>
              <w:rPr>
                <w:rFonts w:hint="eastAsia" w:ascii="Times New Roman" w:hAnsi="Times New Roman" w:eastAsia="宋体" w:cs="Times New Roman"/>
                <w:b w:val="0"/>
                <w:sz w:val="21"/>
                <w:szCs w:val="22"/>
                <w:lang w:val="en-US" w:eastAsia="zh-CN"/>
              </w:rPr>
              <w:t xml:space="preserve">）</w:t>
            </w:r>
            <w:r/>
          </w:p>
        </w:tc>
        <w:tc>
          <w:tcPr>
            <w:tcW w:w="499" w:type="dxa"/>
            <w:vAlign w:val="center"/>
            <w:textDirection w:val="lrTb"/>
            <w:noWrap w:val="false"/>
          </w:tcPr>
          <w:p>
            <w:pPr>
              <w:pStyle w:val="1007"/>
              <w:jc w:val="center"/>
              <w:rPr>
                <w:rFonts w:hint="default" w:ascii="Calibri" w:hAnsi="Calibri" w:eastAsia="宋体" w:cs="Times New Roman"/>
                <w:b w:val="0"/>
                <w:sz w:val="21"/>
                <w:szCs w:val="22"/>
                <w:lang w:val="en-US" w:eastAsia="zh-CN" w:bidi="ar-SA"/>
              </w:rPr>
            </w:pPr>
            <w:r>
              <w:rPr>
                <w:rFonts w:hint="eastAsia" w:ascii="Times New Roman" w:hAnsi="Times New Roman" w:eastAsia="Times New Roman" w:cs="Times New Roman"/>
                <w:b w:val="0"/>
                <w:sz w:val="21"/>
                <w:szCs w:val="22"/>
                <w:lang w:val="en-US" w:eastAsia="zh-CN"/>
              </w:rPr>
              <w:t xml:space="preserve">50</w:t>
            </w:r>
            <w:r/>
          </w:p>
        </w:tc>
      </w:tr>
    </w:tbl>
    <w:p>
      <w:pPr>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pStyle w:val="820"/>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分包三：</w:t>
      </w:r>
      <w:r/>
    </w:p>
    <w:p>
      <w:pPr>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tbl>
      <w:tblPr>
        <w:tblStyle w:val="816"/>
        <w:tblW w:w="51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
        <w:gridCol w:w="461"/>
        <w:gridCol w:w="2652"/>
        <w:gridCol w:w="5010"/>
        <w:gridCol w:w="434"/>
        <w:gridCol w:w="428"/>
      </w:tblGrid>
      <w:tr>
        <w:trPr>
          <w:trHeight w:val="20"/>
        </w:trPr>
        <w:tc>
          <w:tcPr>
            <w:gridSpan w:val="6"/>
            <w:tcW w:w="5000" w:type="pct"/>
            <w:vAlign w:val="top"/>
            <w:textDirection w:val="lrTb"/>
            <w:noWrap w:val="false"/>
          </w:tcPr>
          <w:p>
            <w:pPr>
              <w:spacing w:line="360" w:lineRule="auto"/>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（一）通用要求</w:t>
            </w:r>
            <w:r/>
          </w:p>
        </w:tc>
      </w:tr>
      <w:tr>
        <w:trPr>
          <w:trHeight w:val="20"/>
        </w:trPr>
        <w:tc>
          <w:tcPr>
            <w:gridSpan w:val="6"/>
            <w:tcW w:w="5000" w:type="pct"/>
            <w:vAlign w:val="center"/>
            <w:textDirection w:val="lrTb"/>
            <w:noWrap w:val="false"/>
          </w:tcPr>
          <w:p>
            <w:pPr>
              <w:numPr>
                <w:ilvl w:val="0"/>
                <w:numId w:val="11"/>
              </w:num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器材涂层、橡胶、塑料件有害物质限量以及器材闭合开口、不完全闭合开口、地埋式器材地埋深度、器材安装等都必须符合GB 19272-2024《室外健身器材的安全通用要求》的要求，并提供有效证明文件（具有资质的检验机构的检验报告）；</w:t>
            </w:r>
            <w:r/>
          </w:p>
          <w:p>
            <w:pPr>
              <w:numPr>
                <w:ilvl w:val="0"/>
                <w:numId w:val="11"/>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螺钉、螺母应防锈、防松和防盗；并应采取措施对螺栓、螺纹永久的覆盖。</w:t>
            </w:r>
            <w:r/>
          </w:p>
          <w:p>
            <w:pPr>
              <w:numPr>
                <w:ilvl w:val="0"/>
                <w:numId w:val="11"/>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覆盖件在其安装面以上直角部分的高度小于3mm；覆盖件直线部分超过3mm的，其突出部分外角应不小于105°或不应有易钩挂形状；</w:t>
            </w:r>
            <w:r/>
          </w:p>
          <w:p>
            <w:pPr>
              <w:numPr>
                <w:ilvl w:val="0"/>
                <w:numId w:val="11"/>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器材不允许存在和使用功能无关的凸出物，使用者或第三者易接触的零部件的其他所有棱边应予以圆滑过渡或加以防护；</w:t>
            </w:r>
            <w:r/>
          </w:p>
          <w:p>
            <w:pPr>
              <w:numPr>
                <w:ilvl w:val="0"/>
                <w:numId w:val="11"/>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钢铁制件（不锈钢除外）表面，应经过酸洗、磷化处理后或经过表面热度锌处理后，进行表面喷塑处理，涂层厚度不小于0.7mm。</w:t>
            </w:r>
            <w:r/>
          </w:p>
          <w:p>
            <w:pPr>
              <w:jc w:val="both"/>
              <w:spacing w:line="370" w:lineRule="exact"/>
              <w:widowControl w:val="off"/>
              <w:tabs>
                <w:tab w:val="left" w:pos="522" w:leader="none"/>
              </w:tabs>
              <w:rPr>
                <w:rFonts w:hint="eastAsia" w:ascii="宋体-PUA" w:hAnsi="宋体-PUA" w:eastAsia="宋体-PUA" w:cs="宋体-PUA"/>
                <w:b/>
                <w:sz w:val="21"/>
                <w:szCs w:val="21"/>
                <w:lang w:val="en-US" w:eastAsia="zh-CN" w:bidi="ar-SA"/>
              </w:rPr>
            </w:pPr>
            <w:r>
              <w:rPr>
                <w:rFonts w:hint="eastAsia" w:ascii="宋体-PUA" w:hAnsi="宋体-PUA" w:eastAsia="宋体-PUA" w:cs="宋体-PUA"/>
                <w:b/>
                <w:sz w:val="21"/>
                <w:szCs w:val="21"/>
                <w:lang w:val="en-US" w:eastAsia="zh-CN" w:bidi="ar-SA"/>
              </w:rPr>
              <w:t xml:space="preserve">★6、为保证全民健身器材统一、管理规范化，投标供应商所投器材的品牌必须要求一致，不得出现多个不同品牌产品，每一件都必须单独符合GB19272-2024《室外健身器材的安全通用要求》的规定要求，并提供国家体育用品质量监督检验中心出具的检验报告以及国家体育总局认可的权威检测机构相关证书，否则作为无效投标处理。</w:t>
            </w:r>
            <w:r/>
          </w:p>
          <w:p>
            <w:pPr>
              <w:jc w:val="both"/>
              <w:spacing w:line="370" w:lineRule="exact"/>
              <w:widowControl w:val="off"/>
              <w:tabs>
                <w:tab w:val="left" w:pos="522" w:leader="none"/>
              </w:tabs>
              <w:rPr>
                <w:rFonts w:hint="eastAsia" w:ascii="Calibri" w:hAnsi="Calibri" w:eastAsia="宋体" w:cs="Times New Roman"/>
                <w:sz w:val="21"/>
                <w:szCs w:val="22"/>
                <w:lang w:val="en-US" w:eastAsia="zh-CN" w:bidi="ar-SA"/>
              </w:rPr>
            </w:pPr>
            <w:r>
              <w:rPr>
                <w:rFonts w:hint="eastAsia" w:ascii="宋体-PUA" w:hAnsi="宋体-PUA" w:eastAsia="宋体-PUA" w:cs="宋体-PUA"/>
                <w:b/>
                <w:sz w:val="21"/>
                <w:szCs w:val="21"/>
                <w:lang w:val="en-US" w:eastAsia="zh-CN" w:bidi="ar-SA"/>
              </w:rPr>
              <w:t xml:space="preserve">★7、所有器材安全使用寿命不低于8年，且在出厂前在器材铭牌上方单独制作经采购方同意的器材报修二维码铭牌，否则作无效投标处理。</w:t>
            </w:r>
            <w:r/>
          </w:p>
        </w:tc>
      </w:tr>
      <w:tr>
        <w:trPr>
          <w:trHeight w:val="20"/>
        </w:trPr>
        <w:tc>
          <w:tcPr>
            <w:gridSpan w:val="6"/>
            <w:tcW w:w="5000" w:type="pct"/>
            <w:vAlign w:val="center"/>
            <w:textDirection w:val="lrTb"/>
            <w:noWrap w:val="false"/>
          </w:tcPr>
          <w:p>
            <w:pPr>
              <w:pStyle w:val="1007"/>
              <w:jc w:val="both"/>
              <w:rPr>
                <w:rFonts w:hint="default" w:ascii="Calibri" w:hAnsi="Calibri" w:eastAsia="黑体" w:cs="Times New Roman"/>
                <w:b w:val="0"/>
                <w:sz w:val="21"/>
                <w:szCs w:val="22"/>
                <w:lang w:val="en-US" w:eastAsia="zh-CN" w:bidi="ar-SA"/>
              </w:rPr>
            </w:pPr>
            <w:r>
              <w:rPr>
                <w:rFonts w:hint="eastAsia" w:ascii="宋体" w:hAnsi="宋体" w:eastAsia="Times New Roman" w:cs="Times New Roman"/>
                <w:b/>
                <w:sz w:val="24"/>
                <w:szCs w:val="24"/>
                <w:lang w:eastAsia="zh-CN"/>
              </w:rPr>
              <w:t xml:space="preserve">（</w:t>
            </w:r>
            <w:r>
              <w:rPr>
                <w:rFonts w:hint="eastAsia" w:ascii="宋体" w:hAnsi="宋体" w:eastAsia="Times New Roman" w:cs="Times New Roman"/>
                <w:b/>
                <w:sz w:val="24"/>
                <w:szCs w:val="24"/>
                <w:lang w:val="en-US" w:eastAsia="zh-CN"/>
              </w:rPr>
              <w:t xml:space="preserve">二</w:t>
            </w:r>
            <w:r>
              <w:rPr>
                <w:rFonts w:hint="eastAsia" w:ascii="宋体" w:hAnsi="宋体" w:eastAsia="Times New Roman" w:cs="Times New Roman"/>
                <w:b/>
                <w:sz w:val="24"/>
                <w:szCs w:val="24"/>
                <w:lang w:eastAsia="zh-CN"/>
              </w:rPr>
              <w:t xml:space="preserve">）</w:t>
            </w:r>
            <w:r>
              <w:rPr>
                <w:rFonts w:hint="eastAsia" w:ascii="宋体" w:hAnsi="宋体" w:eastAsia="Times New Roman" w:cs="Times New Roman"/>
                <w:b/>
                <w:sz w:val="24"/>
                <w:szCs w:val="24"/>
              </w:rPr>
              <w:t xml:space="preserve">参数要求</w:t>
            </w:r>
            <w:r>
              <w:rPr>
                <w:rFonts w:hint="eastAsia" w:ascii="宋体" w:hAnsi="宋体" w:eastAsia="Times New Roman" w:cs="Times New Roman"/>
                <w:b/>
                <w:sz w:val="24"/>
                <w:szCs w:val="24"/>
                <w:lang w:eastAsia="zh-CN"/>
              </w:rPr>
              <w:t xml:space="preserve">（</w:t>
            </w:r>
            <w:r>
              <w:rPr>
                <w:rFonts w:hint="eastAsia" w:ascii="宋体" w:hAnsi="宋体" w:eastAsia="Times New Roman" w:cs="Times New Roman"/>
                <w:b/>
                <w:sz w:val="24"/>
                <w:szCs w:val="24"/>
                <w:lang w:val="en-US" w:eastAsia="zh-CN"/>
              </w:rPr>
              <w:t xml:space="preserve">图片为网上下载，仅作样式提示，具体要求以产品参数为准）</w:t>
            </w:r>
            <w:r/>
          </w:p>
        </w:tc>
      </w:tr>
      <w:tr>
        <w:trPr>
          <w:trHeight w:val="20"/>
        </w:trPr>
        <w:tc>
          <w:tcPr>
            <w:tcW w:w="229" w:type="pct"/>
            <w:vAlign w:val="center"/>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1</w:t>
            </w:r>
            <w:r/>
          </w:p>
        </w:tc>
        <w:tc>
          <w:tcPr>
            <w:tcW w:w="245" w:type="pct"/>
            <w:vAlign w:val="center"/>
            <w:textDirection w:val="lrTb"/>
            <w:noWrap w:val="false"/>
          </w:tcPr>
          <w:p>
            <w:pPr>
              <w:jc w:val="center"/>
              <w:spacing w:line="360" w:lineRule="exact"/>
              <w:widowControl w:val="off"/>
              <w:rPr>
                <w:rFonts w:hint="default"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室外乒乓球桌</w:t>
            </w:r>
            <w:r/>
          </w:p>
        </w:tc>
        <w:tc>
          <w:tcPr>
            <w:tcW w:w="1407" w:type="pct"/>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Calibri" w:hAnsi="Calibri" w:eastAsia="宋体" w:cs="Times New Roman"/>
              </w:rPr>
              <mc:AlternateContent>
                <mc:Choice Requires="wpg">
                  <w:drawing>
                    <wp:inline xmlns:wp="http://schemas.openxmlformats.org/drawingml/2006/wordprocessingDrawing" distT="0" distB="0" distL="0" distR="0">
                      <wp:extent cx="1503680" cy="759460"/>
                      <wp:effectExtent l="0" t="0" r="1270" b="2540"/>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r/>
                            </pic:nvPicPr>
                            <pic:blipFill>
                              <a:blip r:embed="rId29"/>
                              <a:stretch/>
                            </pic:blipFill>
                            <pic:spPr bwMode="auto">
                              <a:xfrm>
                                <a:off x="0" y="0"/>
                                <a:ext cx="1503680" cy="759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8.4pt;height:59.8pt;mso-wrap-distance-left:0.0pt;mso-wrap-distance-top:0.0pt;mso-wrap-distance-right:0.0pt;mso-wrap-distance-bottom:0.0pt;" stroked="f">
                      <v:path textboxrect="0,0,0,0"/>
                      <v:imagedata r:id="rId29" o:title=""/>
                    </v:shape>
                  </w:pict>
                </mc:Fallback>
              </mc:AlternateContent>
            </w:r>
            <w:r/>
          </w:p>
        </w:tc>
        <w:tc>
          <w:tcPr>
            <w:tcW w:w="2659" w:type="pct"/>
            <w:vAlign w:val="top"/>
            <w:textDirection w:val="lrTb"/>
            <w:noWrap w:val="false"/>
          </w:tcPr>
          <w:p>
            <w:pPr>
              <w:jc w:val="both"/>
              <w:spacing w:line="370" w:lineRule="exact"/>
              <w:widowControl w:val="off"/>
              <w:tabs>
                <w:tab w:val="left" w:pos="522" w:leader="none"/>
              </w:tabs>
              <w:rPr>
                <w:rFonts w:hint="default"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1、</w:t>
            </w:r>
            <w:r>
              <w:rPr>
                <w:rFonts w:ascii="SimSun" w:hAnsi="SimSun" w:eastAsia="SimSun" w:cs="SimSun"/>
                <w:color w:val="000000"/>
                <w:sz w:val="21"/>
              </w:rPr>
              <w:t xml:space="preserve">外形尺寸（长×宽×高） ≥2740×1535×930mm。</w:t>
            </w:r>
            <w:r>
              <w:rPr>
                <w:rFonts w:hint="eastAsia" w:ascii="宋体-PUA" w:hAnsi="宋体-PUA" w:eastAsia="宋体-PUA" w:cs="宋体-PUA"/>
                <w:sz w:val="21"/>
                <w:szCs w:val="21"/>
                <w:lang w:val="en-US" w:eastAsia="zh-CN" w:bidi="ar-SA"/>
              </w:rPr>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2、主要承载立柱尺寸≥φ60mm×3mm。</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3、</w:t>
            </w:r>
            <w:r>
              <w:rPr>
                <w:rFonts w:ascii="SimSun" w:hAnsi="SimSun" w:eastAsia="SimSun" w:cs="SimSun"/>
                <w:color w:val="000000"/>
                <w:sz w:val="21"/>
              </w:rPr>
              <w:t xml:space="preserve">主要承载横梁尺寸≥40mm×20mm×3mm。</w:t>
            </w:r>
            <w:r>
              <w:rPr>
                <w:rFonts w:hint="eastAsia" w:ascii="宋体-PUA" w:hAnsi="宋体-PUA" w:eastAsia="宋体-PUA" w:cs="宋体-PUA"/>
                <w:sz w:val="21"/>
                <w:szCs w:val="21"/>
                <w:lang w:val="en-US" w:eastAsia="zh-CN" w:bidi="ar-SA"/>
              </w:rPr>
            </w:r>
            <w:r/>
          </w:p>
          <w:p>
            <w:pPr>
              <w:jc w:val="both"/>
              <w:spacing w:line="370" w:lineRule="exact"/>
              <w:widowControl w:val="off"/>
              <w:tabs>
                <w:tab w:val="left" w:pos="522" w:leader="none"/>
              </w:tabs>
              <w:rPr>
                <w:rFonts w:hint="default"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4、安装方式：预埋式。</w:t>
            </w:r>
            <w:r/>
          </w:p>
          <w:p>
            <w:pPr>
              <w:jc w:val="both"/>
              <w:spacing w:line="370" w:lineRule="exact"/>
              <w:widowControl w:val="off"/>
              <w:tabs>
                <w:tab w:val="left" w:pos="522" w:leader="none"/>
              </w:tabs>
              <w:rPr>
                <w:rFonts w:hint="default"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5、表面处理工艺为：脱脂-抛丸-静电喷涂或其他更优质工艺。</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6、乒乓球桌台面SMC材料，翻边高50mm,板面厚5mm，台板背面井字型结构加强筋.</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7、支撑框架4纵4横结构连接；撑管采用30×20×2.0mm钢管；彩虹腿采用φ60mm×3mm焊管。</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8、网架采用钢管与钢板拼焊而成。</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9、棱边和棱角半径不小于3.0mm。</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10、紧固件材质为不锈钢，具有防盗.防锈.防松功能，螺纹突出部分不应超过其螺距3倍的长度，需专用工具方可拆卸。</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注：第1-5项具体参数以投标品牌</w:t>
            </w:r>
            <w:r>
              <w:rPr>
                <w:rFonts w:ascii="宋体" w:hAnsi="宋体" w:eastAsia="宋体" w:cs="宋体"/>
                <w:color w:val="000000"/>
                <w:sz w:val="21"/>
                <w:szCs w:val="21"/>
              </w:rPr>
              <w:t xml:space="preserve">国家体育总局认可的权威检测机构相关证书</w:t>
            </w:r>
            <w:r>
              <w:rPr>
                <w:rFonts w:hint="eastAsia" w:ascii="宋体-PUA" w:hAnsi="宋体-PUA" w:eastAsia="宋体-PUA" w:cs="宋体-PUA"/>
                <w:sz w:val="21"/>
                <w:szCs w:val="21"/>
                <w:lang w:val="en-US" w:eastAsia="zh-CN" w:bidi="ar-SA"/>
              </w:rPr>
              <w:t xml:space="preserve">登记信息为准，第6项具体参数以国家体育用品质量监督检验中心检测报告为准，其余以</w:t>
            </w:r>
            <w:r>
              <w:rPr>
                <w:rFonts w:ascii="Calibri" w:hAnsi="Calibri" w:eastAsia="宋体" w:cs="Times New Roman"/>
                <w:sz w:val="21"/>
                <w:szCs w:val="22"/>
                <w:lang w:val="en-US" w:eastAsia="zh-CN" w:bidi="ar-SA"/>
              </w:rPr>
              <w:t xml:space="preserve">《响应偏离表》</w:t>
            </w:r>
            <w:r>
              <w:rPr>
                <w:rFonts w:hint="eastAsia" w:ascii="Calibri" w:hAnsi="Calibri" w:eastAsia="宋体" w:cs="Times New Roman"/>
                <w:sz w:val="21"/>
                <w:szCs w:val="22"/>
                <w:lang w:val="en-US" w:eastAsia="zh-CN" w:bidi="ar-SA"/>
              </w:rPr>
              <w:t xml:space="preserve">为准</w:t>
            </w:r>
            <w:r>
              <w:rPr>
                <w:rFonts w:hint="eastAsia" w:ascii="宋体-PUA" w:hAnsi="宋体-PUA" w:eastAsia="宋体-PUA" w:cs="宋体-PUA"/>
                <w:sz w:val="21"/>
                <w:szCs w:val="21"/>
                <w:lang w:val="en-US" w:eastAsia="zh-CN" w:bidi="ar-SA"/>
              </w:rPr>
              <w:t xml:space="preserve">。</w:t>
            </w:r>
            <w:r/>
          </w:p>
        </w:tc>
        <w:tc>
          <w:tcPr>
            <w:tcW w:w="230" w:type="pct"/>
            <w:vAlign w:val="center"/>
            <w:textDirection w:val="lrTb"/>
            <w:noWrap w:val="false"/>
          </w:tcPr>
          <w:p>
            <w:pPr>
              <w:pStyle w:val="1007"/>
              <w:jc w:val="center"/>
              <w:rPr>
                <w:rFonts w:hint="eastAsia" w:ascii="Calibri" w:hAnsi="Calibri" w:eastAsia="宋体" w:cs="Times New Roman"/>
                <w:b w:val="0"/>
                <w:sz w:val="21"/>
                <w:szCs w:val="22"/>
                <w:lang w:val="en-US" w:eastAsia="zh-CN" w:bidi="ar-SA"/>
              </w:rPr>
            </w:pPr>
            <w:r>
              <w:rPr>
                <w:rFonts w:hint="eastAsia" w:ascii="Times New Roman" w:hAnsi="Times New Roman" w:eastAsia="宋体" w:cs="Times New Roman"/>
                <w:b w:val="0"/>
                <w:sz w:val="21"/>
                <w:szCs w:val="22"/>
                <w:lang w:val="en-US" w:eastAsia="zh-CN"/>
              </w:rPr>
              <w:t xml:space="preserve">张</w:t>
            </w:r>
            <w:r/>
          </w:p>
        </w:tc>
        <w:tc>
          <w:tcPr>
            <w:tcW w:w="227" w:type="pct"/>
            <w:vAlign w:val="center"/>
            <w:textDirection w:val="lrTb"/>
            <w:noWrap w:val="false"/>
          </w:tcPr>
          <w:p>
            <w:pPr>
              <w:pStyle w:val="1007"/>
              <w:jc w:val="center"/>
              <w:rPr>
                <w:rFonts w:hint="default" w:ascii="Calibri" w:hAnsi="Calibri" w:eastAsia="宋体" w:cs="Times New Roman"/>
                <w:b w:val="0"/>
                <w:sz w:val="21"/>
                <w:szCs w:val="22"/>
                <w:lang w:val="en-US" w:eastAsia="zh-CN" w:bidi="ar-SA"/>
              </w:rPr>
            </w:pPr>
            <w:r>
              <w:rPr>
                <w:rFonts w:hint="eastAsia" w:ascii="Calibri" w:hAnsi="Calibri" w:eastAsia="宋体" w:cs="Times New Roman"/>
                <w:b w:val="0"/>
                <w:sz w:val="21"/>
                <w:szCs w:val="22"/>
                <w:lang w:val="en-US" w:eastAsia="zh-CN" w:bidi="ar-SA"/>
              </w:rPr>
              <w:t xml:space="preserve">200</w:t>
            </w:r>
            <w:r/>
          </w:p>
        </w:tc>
      </w:tr>
    </w:tbl>
    <w:p>
      <w:pPr>
        <w:pStyle w:val="820"/>
        <w:rPr>
          <w:rFonts w:hint="default"/>
          <w:lang w:val="en-US" w:eastAsia="zh-CN"/>
        </w:rPr>
      </w:pPr>
      <w:r>
        <w:rPr>
          <w:rFonts w:hint="default"/>
          <w:lang w:val="en-US" w:eastAsia="zh-CN"/>
        </w:rPr>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分包四：</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笼式多功能灯光球场2片，含围网、灯光、悬浮式拼装地板地面及运动器材等。</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★（一）篮球场场地尺寸：2片篮球场,总体尺寸35米*37米，围网总长度≥144米，围网高度4米；悬浮式拼装地板总面积≥1295平方米，平均厚度≥17.5mm。场地合理配置2个出入门，出入门设计需采购人审核同意。  </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二）投标围网（笼式足球场、笼式多功能场地等）须符合“室外健身器材的安全通用要求（GB19272-2024）”的有关要求，并提供国家体育用品质量检验检测中心出具的检验报告以及国家体育总局认可的权威检测机构相关证书（含有效期证书的确认函），否则作为无效投标处理。</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★（三）投标悬浮式拼装地板检测符合“GB/T14833-2020标准”的有关要求，并提供第三方合法合规检测机构出具的检验报告，否则作为无效投标处理。</w:t>
      </w:r>
      <w:r/>
    </w:p>
    <w:p>
      <w:pPr>
        <w:pStyle w:val="1028"/>
        <w:ind w:firstLine="482"/>
        <w:spacing w:line="360" w:lineRule="auto"/>
        <w:rPr>
          <w:rFonts w:hint="default"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★（四）投标篮球架符合“室外健身器材的安全通用要求（GB19272-2024）”的有关要求或GB/T23176-2008《篮球架》的检验要求，并提供第三方合法合规检测机构出具的检验报告，否则作为无效投标处理。</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（五）框架式场地围网系统：</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1.框架：围网主要承载立柱采用（Q235B材质）Ф76×3mm的优质钢管，立柱间隔≤3m，埋入地下深度400mm，地基尺寸400mm×400mm。主要承载立柱尺寸以国家体育总局认可的权威检测机构相关证书登记信息为依据，证书中所登记信息未明确标注主要承载立柱尺寸信息的视为负偏离。</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2.围网主要承载横梁采用（Q235B材质）Ф60×3mm的优质钢管，位于立柱顶端，横向与立柱连接，在不安装网片情况下，构建成独立框架结构。主要承载横梁尺寸以国家体育总局认可的权威检测机构相关证书登记信息为依据，证书中所登记信息未明确标注主要承载横梁尺寸信息的视为负偏离。</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3.围网采用模块拼接式，围网总高度4000mm，现场立柱独立直埋或预埋后安装网片。</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4.围网框架主要承载横梁采用（Q235B材质）Ф60×3mm或60×40×3mm的优质钢管。</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5.所有管材表面须经过静电粉末喷塑处理，颜色为墨绿色，色泽保持八年不变。</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6.围网进出口为1.4m宽、2m高的双开式框架进出口，采用50×50×t 2.5mm的方管，全部采用防盗不锈钢螺栓，并采用防松螺母防松方式，保证连接长期可靠，风载荷标准值0.35Kn/m2。</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★7.围网网片使用压框覆盖包塑网，防止刮伤。</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7.网丝：包塑网片丝浸塑处理后网片径Ф4.0mm, 采用优质低碳镀锌钢丝，处理前丝径≥Ф3 mm，网孔50 mm，勾花网或链式网，受到撞击后可迅速恢复原形，并有效保护使用者在撞击围网时不受伤害；</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8.网丝颜色为墨绿色，表面光滑细腻，吸水率为0%。围网孔径与运动功能相适应，具有防止球脱出的功能。</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（六）篮球架：</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 篮球架伸臂长2.25m，篮圈上沿离地面3.05m，篮架底座尺寸长x宽=2.0x1（m）。</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2.球架立柱采用定制口150x150x4优质大圆角方管制作，圆角R30mm，造型美观，安全性高；</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篮架伸臂采用δ3进口优质铁板在连续模中进行冲压成型，保持产品的美观性和统配性，伸臂上拉杆固定孔均采用冲压成型后焊接内置焊接螺母，篮架立柱底板采用优质精密铸钢件制作，造型美观大方，性能安全可靠。</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4.篮架上拉杆采用Φ48×2圆管与后拉杆采用口50×40×3优质方管在特制弯管设备上一次成型，避免了电焊及焊渣易引起生锈的隐患。</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5.球架底座轮廓采用δ3进口优质铁板在自动机器人线辅助冲压成型后再由全自动焊接线进行焊接。</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6.为了增强球架的使用安全性，单只球架可放置配重物不少于510kg。</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7.篮架所有紧固件均采用热镀锌处理，能保证长年不生锈。</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8.篮板。规格：1800x1050（mm），篮板配用国际通用的高强度安全玻璃篮板，具有透明度高、耐侯性好、抗老化、耐腐蚀、不易模糊等特点，并在篮板下沿及侧面覆盖有保护条，能保护运动员运动时不受伤害。</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篮圈。篮圈采用φ19实心圆钢制作，圈下焊有冲压成型的圆弧形网钩，十二段均匀分布留适当间隙，配篮网。篮圈抗弯性能好，水平固定在篮板上，与篮架连接的钢板和篮圈盖板均采用优质钢板一次冲压成型，造型美观。</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10.表面处理。产品涂层厚度70—80um，铅笔硬度达3H+。产品具有耐酸碱、耐湿热、抗老化、外观美观等优点，能适合潮湿和酸雨环境，且前处理过程以及产品涂料配方均不含有毒元素，避免损害使用者的健康。</w:t>
      </w:r>
      <w:r/>
    </w:p>
    <w:p>
      <w:pPr>
        <w:numPr>
          <w:ilvl w:val="0"/>
          <w:numId w:val="0"/>
        </w:numPr>
        <w:ind w:firstLine="480"/>
        <w:jc w:val="both"/>
        <w:spacing w:after="120" w:line="360" w:lineRule="auto"/>
        <w:widowControl/>
        <w:tabs>
          <w:tab w:val="left" w:pos="24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（七）</w:t>
      </w:r>
      <w:r>
        <w:rPr>
          <w:rFonts w:hint="eastAsia" w:ascii="宋体" w:hAnsi="宋体" w:eastAsia="宋体" w:cs="Times New Roman"/>
          <w:sz w:val="24"/>
          <w:szCs w:val="24"/>
        </w:rPr>
        <w:t xml:space="preserve">宣传标示牌： </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1.应牢固固定于进出口区域，面板采用不锈钢材质，耐蚀性能相当于0Cr18Ni9（SUS304），厚度1mm，面板边缘及尖角不得翘起，图样及字样蚀刻处理。</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每块场地1块宣传标示牌。内容包含：中国体育彩票公益金资助标识；产品名称、型号；简明的科学健身提示，功能介绍、使用方法，产品使用安全注意事项、必要的警示标志；产品供应商的全称、生产地址、安装日期、安全使用年限、执行标准，售后服务电话及督查电话，产品认证标志；管理维护单位及联系电话；报修二维码、联系人、联系方式等。应配备安全警示，应有禁止攀爬的警示语，安全出/入口的标示。内容须经采购人审核同意后方可制作。</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（八）场地运动面层系统：悬浮式拼装地板。</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1.悬浮式拼装地板采用PP(聚丙烯)，无毒、无味、绿色环保。双层镂空设计，宽梁加大平面接触率，细腻磨砂防滑纹理，地板结构为25小块软连接结构设计，弹性可伸缩，防止气候变化导致地板热胀冷缩而产生的起鼓，断裂，立体多重固化结构、不变形、不脱扣。大尺寸板体，铺装效率高，更适用于大型场地，板体不搓动、不位移，场地更稳定。</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2.地板规格要求：50×50cm，地板厚度不低于17.5mm。</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3.依据GB/T14833-2020标准，冲击吸收（23℃±2℃）：20%-50%，垂直变形：≤3mm.</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4.球反弹率：≥75%，撕裂强度：≥5kN/m。</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5.依据GB/T14833-2020标准，甲醛：≤0.4mg/(m².h)，甲苯、二甲苯和乙苯总和：≤1.0mg/(m².h)，可溶性铅含量：≤50mg/kg，可溶性镉含量：≤10mg/kg，游离甲苯二异氰酸酯（TDI）和游离六亚甲基二异氰酸酯（HDI）≤0.2g /kg。</w:t>
      </w:r>
      <w:r/>
    </w:p>
    <w:p>
      <w:pPr>
        <w:pStyle w:val="1033"/>
        <w:numPr>
          <w:ilvl w:val="0"/>
          <w:numId w:val="0"/>
        </w:numPr>
        <w:ind w:firstLine="480"/>
        <w:spacing w:line="360" w:lineRule="auto"/>
        <w:tabs>
          <w:tab w:val="center" w:pos="4153" w:leader="none"/>
        </w:tabs>
        <w:rPr>
          <w:rFonts w:hint="eastAsia" w:ascii="宋体" w:hAnsi="宋体" w:eastAsia="宋体"/>
          <w:sz w:val="24"/>
          <w:szCs w:val="24"/>
        </w:rPr>
      </w:pPr>
      <w:r>
        <w:rPr>
          <w:rFonts w:hint="eastAsia" w:ascii="宋体" w:hAnsi="宋体" w:eastAsia="宋体" w:cs="Calibri"/>
          <w:sz w:val="24"/>
          <w:szCs w:val="24"/>
          <w:lang w:val="en-US" w:eastAsia="zh-CN" w:bidi="ar-SA"/>
        </w:rPr>
        <w:t xml:space="preserve">（九）</w:t>
      </w:r>
      <w:r>
        <w:rPr>
          <w:rFonts w:hint="eastAsia" w:ascii="宋体" w:hAnsi="宋体" w:eastAsia="宋体"/>
          <w:sz w:val="24"/>
          <w:szCs w:val="24"/>
        </w:rPr>
        <w:t xml:space="preserve">配套灯光系统</w:t>
      </w:r>
      <w:r/>
    </w:p>
    <w:p>
      <w:pPr>
        <w:pStyle w:val="1033"/>
        <w:numPr>
          <w:ilvl w:val="0"/>
          <w:numId w:val="0"/>
        </w:numPr>
        <w:ind w:firstLine="480"/>
        <w:spacing w:line="360" w:lineRule="auto"/>
        <w:tabs>
          <w:tab w:val="center" w:pos="4153" w:leader="none"/>
        </w:tabs>
        <w:rPr>
          <w:rFonts w:hint="eastAsia" w:ascii="宋体" w:hAnsi="宋体" w:eastAsia="宋体"/>
          <w:sz w:val="24"/>
          <w:szCs w:val="24"/>
          <w:lang w:val="en-US" w:eastAsia="zh-CN"/>
        </w:rPr>
      </w:pPr>
      <w:r>
        <w:rPr>
          <w:rFonts w:hint="eastAsia" w:ascii="宋体" w:hAnsi="宋体" w:eastAsia="宋体"/>
          <w:sz w:val="24"/>
          <w:szCs w:val="24"/>
          <w:highlight w:val="none"/>
          <w:lang w:val="en-US" w:eastAsia="zh-CN"/>
        </w:rPr>
        <w:t xml:space="preserve">1.</w:t>
      </w:r>
      <w:r>
        <w:rPr>
          <w:rFonts w:hint="eastAsia" w:ascii="宋体" w:hAnsi="宋体" w:eastAsia="宋体"/>
          <w:sz w:val="24"/>
          <w:szCs w:val="24"/>
          <w:lang w:val="en-US" w:eastAsia="zh-CN"/>
        </w:rPr>
        <w:t xml:space="preserve">单片场地，</w:t>
      </w:r>
      <w:r>
        <w:rPr>
          <w:rFonts w:hint="eastAsia" w:ascii="宋体" w:hAnsi="宋体" w:eastAsia="宋体"/>
          <w:sz w:val="24"/>
          <w:szCs w:val="24"/>
        </w:rPr>
        <w:t xml:space="preserve">灯柱为围网的一部分，在整场围网中亦为围网的主立柱，增强围网的稳定性。灯柱采用（Q235B材质）</w:t>
      </w:r>
      <w:r>
        <w:rPr>
          <w:rFonts w:hint="eastAsia" w:ascii="宋体" w:hAnsi="宋体" w:eastAsia="宋体"/>
          <w:sz w:val="24"/>
          <w:szCs w:val="24"/>
          <w:lang w:val="en-US" w:eastAsia="zh-CN"/>
        </w:rPr>
        <w:t xml:space="preserve">≥</w:t>
      </w:r>
      <w:r>
        <w:rPr>
          <w:rFonts w:hint="eastAsia" w:ascii="宋体" w:hAnsi="宋体" w:eastAsia="宋体"/>
          <w:sz w:val="24"/>
          <w:szCs w:val="24"/>
        </w:rPr>
        <w:t xml:space="preserve">Ф114×3mm的优质钢管，</w:t>
      </w:r>
      <w:r>
        <w:rPr>
          <w:rFonts w:hint="eastAsia" w:ascii="宋体" w:hAnsi="宋体" w:eastAsia="宋体"/>
          <w:sz w:val="24"/>
          <w:szCs w:val="24"/>
          <w:lang w:val="en-US" w:eastAsia="zh-CN"/>
        </w:rPr>
        <w:t xml:space="preserve">6米高。</w:t>
      </w:r>
      <w:r/>
    </w:p>
    <w:p>
      <w:pPr>
        <w:pStyle w:val="1033"/>
        <w:numPr>
          <w:ilvl w:val="0"/>
          <w:numId w:val="0"/>
        </w:numPr>
        <w:ind w:firstLine="480"/>
        <w:spacing w:line="360" w:lineRule="auto"/>
        <w:tabs>
          <w:tab w:val="center" w:pos="4153" w:leader="none"/>
        </w:tabs>
        <w:rPr>
          <w:rFonts w:hint="default" w:ascii="宋体" w:hAnsi="宋体" w:eastAsia="宋体"/>
          <w:sz w:val="24"/>
          <w:szCs w:val="24"/>
          <w:lang w:val="en-US" w:eastAsia="zh-CN"/>
        </w:rPr>
      </w:pPr>
      <w:r>
        <w:rPr>
          <w:rFonts w:hint="eastAsia" w:ascii="宋体" w:hAnsi="宋体"/>
          <w:sz w:val="24"/>
          <w:szCs w:val="24"/>
          <w:lang w:val="en-US" w:eastAsia="zh-CN"/>
        </w:rPr>
        <w:t xml:space="preserve">2.</w:t>
      </w:r>
      <w:r>
        <w:rPr>
          <w:rFonts w:hint="eastAsia" w:ascii="宋体" w:hAnsi="宋体" w:eastAsia="宋体"/>
          <w:sz w:val="24"/>
          <w:szCs w:val="24"/>
          <w:lang w:val="en-US" w:eastAsia="zh-CN"/>
        </w:rPr>
        <w:t xml:space="preserve">篮球场单片灯柱8根。所有灯柱每个灯头分别配</w:t>
      </w:r>
      <w:r>
        <w:rPr>
          <w:rFonts w:hint="eastAsia" w:ascii="宋体" w:hAnsi="宋体" w:eastAsia="宋体"/>
          <w:sz w:val="24"/>
          <w:szCs w:val="24"/>
        </w:rPr>
        <w:t xml:space="preserve">套LED投光照明灯。灯柱采用预埋或直埋方式，预埋深度600mm，地基尺寸600×600mm。</w:t>
      </w:r>
      <w:r>
        <w:rPr>
          <w:rFonts w:hint="eastAsia" w:ascii="宋体" w:hAnsi="宋体" w:eastAsia="宋体"/>
          <w:sz w:val="24"/>
          <w:szCs w:val="24"/>
          <w:lang w:val="en-US" w:eastAsia="zh-CN"/>
        </w:rPr>
        <w:t xml:space="preserve">连片场地，相邻球场灯柱可单独设置或者混合使用，设置和混合使用方案须经采购方同意。</w:t>
      </w:r>
      <w:r/>
    </w:p>
    <w:p>
      <w:pPr>
        <w:pStyle w:val="1033"/>
        <w:numPr>
          <w:ilvl w:val="0"/>
          <w:numId w:val="0"/>
        </w:numPr>
        <w:ind w:firstLine="480"/>
        <w:spacing w:line="360" w:lineRule="auto"/>
        <w:tabs>
          <w:tab w:val="center" w:pos="4153" w:leader="none"/>
        </w:tabs>
        <w:rPr>
          <w:rFonts w:hint="eastAsia" w:ascii="宋体" w:hAnsi="宋体" w:eastAsia="宋体"/>
          <w:sz w:val="24"/>
          <w:szCs w:val="24"/>
        </w:rPr>
      </w:pPr>
      <w:r>
        <w:rPr>
          <w:rFonts w:hint="eastAsia" w:ascii="宋体" w:hAnsi="宋体"/>
          <w:sz w:val="24"/>
          <w:szCs w:val="24"/>
          <w:lang w:val="en-US" w:eastAsia="zh-CN"/>
        </w:rPr>
        <w:t xml:space="preserve">3.</w:t>
      </w:r>
      <w:r>
        <w:rPr>
          <w:rFonts w:hint="eastAsia" w:ascii="宋体" w:hAnsi="宋体" w:eastAsia="宋体"/>
          <w:sz w:val="24"/>
          <w:szCs w:val="24"/>
          <w:lang w:val="en-US" w:eastAsia="zh-CN"/>
        </w:rPr>
        <w:t xml:space="preserve">每块场地均需独立配备配电柜。</w:t>
      </w:r>
      <w:r>
        <w:rPr>
          <w:rFonts w:hint="eastAsia" w:ascii="宋体" w:hAnsi="宋体" w:eastAsia="宋体"/>
          <w:sz w:val="24"/>
          <w:szCs w:val="24"/>
        </w:rPr>
        <w:t xml:space="preserve">配电柜及线路：电线（场内</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场外</w:t>
      </w:r>
      <w:r>
        <w:rPr>
          <w:rFonts w:hint="eastAsia" w:ascii="宋体" w:hAnsi="宋体" w:eastAsia="宋体"/>
          <w:sz w:val="24"/>
          <w:szCs w:val="24"/>
        </w:rPr>
        <w:t xml:space="preserve">RVV4平方线</w:t>
      </w:r>
      <w:r>
        <w:rPr>
          <w:rFonts w:hint="eastAsia" w:ascii="宋体" w:hAnsi="宋体" w:eastAsia="宋体"/>
          <w:sz w:val="24"/>
          <w:szCs w:val="24"/>
          <w:lang w:val="en-US" w:eastAsia="zh-CN"/>
        </w:rPr>
        <w:t xml:space="preserve">分别</w:t>
      </w:r>
      <w:r>
        <w:rPr>
          <w:rFonts w:hint="eastAsia" w:ascii="宋体" w:hAnsi="宋体" w:eastAsia="宋体"/>
          <w:sz w:val="24"/>
          <w:szCs w:val="24"/>
        </w:rPr>
        <w:t xml:space="preserve">配备100米，灯柱内RVV2.5平方线），配三相63A漏电开关及双极15A空气开关，分组控制，分两个回路，使用一半灯照明时，相隔灯亮。带漏电保护（采用配电箱，开关、电线与电负荷相匹配）。所有电线均需用PVC管穿套后地埋，地埋深度不低于10cm，通过灯柱内与顶端的灯具连接，PVC管的连接处必须密封，严禁PVC套管及电线裸露在外。</w:t>
      </w:r>
      <w:r/>
    </w:p>
    <w:p>
      <w:pPr>
        <w:pStyle w:val="1033"/>
        <w:numPr>
          <w:ilvl w:val="0"/>
          <w:numId w:val="0"/>
        </w:numPr>
        <w:ind w:firstLine="480"/>
        <w:spacing w:line="360" w:lineRule="auto"/>
        <w:tabs>
          <w:tab w:val="center" w:pos="4153" w:leader="none"/>
        </w:tabs>
        <w:rPr>
          <w:rFonts w:hint="eastAsia" w:ascii="宋体" w:hAnsi="宋体" w:eastAsia="宋体"/>
          <w:sz w:val="24"/>
          <w:szCs w:val="24"/>
        </w:rPr>
      </w:pPr>
      <w:r>
        <w:rPr>
          <w:rFonts w:hint="eastAsia" w:ascii="宋体" w:hAnsi="宋体"/>
          <w:sz w:val="24"/>
          <w:szCs w:val="24"/>
          <w:lang w:val="en-US" w:eastAsia="zh-CN"/>
        </w:rPr>
        <w:t xml:space="preserve">4</w:t>
      </w:r>
      <w:r>
        <w:rPr>
          <w:rFonts w:hint="eastAsia" w:ascii="宋体" w:hAnsi="宋体" w:eastAsia="宋体"/>
          <w:sz w:val="24"/>
          <w:szCs w:val="24"/>
          <w:lang w:val="en-US" w:eastAsia="zh-CN"/>
        </w:rPr>
        <w:t xml:space="preserve">.</w:t>
      </w:r>
      <w:r>
        <w:rPr>
          <w:rFonts w:hint="eastAsia" w:ascii="宋体" w:hAnsi="宋体" w:eastAsia="宋体"/>
          <w:sz w:val="24"/>
          <w:szCs w:val="24"/>
        </w:rPr>
        <w:t xml:space="preserve">灯具采用室外球场专用灯具。可30°角调节，</w:t>
      </w:r>
      <w:r>
        <w:rPr>
          <w:rFonts w:hint="eastAsia" w:ascii="Times New Roman" w:hAnsi="Times New Roman" w:eastAsia="宋体"/>
          <w:sz w:val="24"/>
          <w:szCs w:val="32"/>
        </w:rPr>
        <w:t xml:space="preserve">最少具有3种及以上配光</w:t>
      </w:r>
      <w:r>
        <w:rPr>
          <w:rFonts w:hint="eastAsia" w:ascii="Times New Roman" w:hAnsi="Times New Roman" w:eastAsia="宋体"/>
          <w:sz w:val="24"/>
          <w:szCs w:val="32"/>
          <w:lang w:eastAsia="zh-CN"/>
        </w:rPr>
        <w:t xml:space="preserve">，</w:t>
      </w:r>
      <w:r>
        <w:rPr>
          <w:rFonts w:hint="eastAsia" w:ascii="宋体" w:hAnsi="宋体" w:eastAsia="宋体"/>
          <w:sz w:val="24"/>
          <w:szCs w:val="24"/>
        </w:rPr>
        <w:t xml:space="preserve">亮度符合国际标准，光照度均匀，灯光柔和不刺眼</w:t>
      </w:r>
      <w:r>
        <w:rPr>
          <w:rFonts w:hint="eastAsia" w:ascii="宋体" w:hAnsi="宋体" w:eastAsia="宋体"/>
          <w:sz w:val="24"/>
          <w:szCs w:val="24"/>
          <w:lang w:eastAsia="zh-CN"/>
        </w:rPr>
        <w:t xml:space="preserve">，</w:t>
      </w:r>
      <w:r>
        <w:rPr>
          <w:rFonts w:hint="eastAsia" w:ascii="Times New Roman" w:hAnsi="Times New Roman" w:eastAsia="宋体"/>
          <w:sz w:val="24"/>
          <w:szCs w:val="32"/>
        </w:rPr>
        <w:t xml:space="preserve">避免眩光</w:t>
      </w:r>
      <w:r>
        <w:rPr>
          <w:rFonts w:hint="eastAsia" w:ascii="宋体" w:hAnsi="宋体" w:eastAsia="宋体"/>
          <w:sz w:val="24"/>
          <w:szCs w:val="24"/>
        </w:rPr>
        <w:t xml:space="preserve">。</w:t>
      </w:r>
      <w:r>
        <w:rPr>
          <w:rFonts w:hint="eastAsia" w:ascii="Times New Roman" w:hAnsi="Times New Roman" w:eastAsia="宋体"/>
          <w:sz w:val="24"/>
          <w:szCs w:val="32"/>
        </w:rPr>
        <w:t xml:space="preserve">灯具采用LED光源，采用SMD封装模式，不可采用LED集成光源、COB光源</w:t>
      </w:r>
      <w:r>
        <w:rPr>
          <w:rFonts w:hint="eastAsia" w:ascii="Times New Roman" w:hAnsi="Times New Roman" w:eastAsia="宋体"/>
          <w:sz w:val="24"/>
          <w:szCs w:val="32"/>
          <w:lang w:eastAsia="zh-CN"/>
        </w:rPr>
        <w:t xml:space="preserve">。</w:t>
      </w:r>
      <w:r/>
    </w:p>
    <w:p>
      <w:pPr>
        <w:pStyle w:val="1033"/>
        <w:numPr>
          <w:ilvl w:val="0"/>
          <w:numId w:val="0"/>
        </w:numPr>
        <w:ind w:firstLine="480"/>
        <w:spacing w:line="360" w:lineRule="auto"/>
        <w:tabs>
          <w:tab w:val="center" w:pos="4153" w:leader="none"/>
        </w:tabs>
        <w:rPr>
          <w:rFonts w:hint="eastAsia" w:ascii="Times New Roman" w:hAnsi="Times New Roman" w:eastAsia="宋体"/>
          <w:sz w:val="24"/>
          <w:szCs w:val="32"/>
          <w:lang w:eastAsia="zh-CN"/>
        </w:rPr>
      </w:pPr>
      <w:r>
        <w:rPr>
          <w:rFonts w:hint="eastAsia" w:ascii="宋体" w:hAnsi="宋体"/>
          <w:sz w:val="24"/>
          <w:szCs w:val="24"/>
          <w:lang w:val="en-US" w:eastAsia="zh-CN"/>
        </w:rPr>
        <w:t xml:space="preserve">5</w:t>
      </w:r>
      <w:r>
        <w:rPr>
          <w:rFonts w:hint="eastAsia" w:ascii="宋体" w:hAnsi="宋体" w:eastAsia="宋体"/>
          <w:sz w:val="24"/>
          <w:szCs w:val="24"/>
          <w:lang w:val="en-US" w:eastAsia="zh-CN"/>
        </w:rPr>
        <w:t xml:space="preserve">.单个灯具</w:t>
      </w:r>
      <w:r>
        <w:rPr>
          <w:rFonts w:hint="eastAsia" w:ascii="Times New Roman" w:hAnsi="Times New Roman" w:eastAsia="宋体"/>
          <w:sz w:val="24"/>
          <w:szCs w:val="32"/>
        </w:rPr>
        <w:t xml:space="preserve">额定电压：220V-50/60HZ，功率：200W，额定电流：1A，光通量：</w:t>
      </w:r>
      <w:r>
        <w:rPr>
          <w:rFonts w:hint="eastAsia" w:ascii="Times New Roman" w:hAnsi="Times New Roman" w:eastAsia="宋体"/>
          <w:sz w:val="24"/>
          <w:szCs w:val="32"/>
          <w:lang w:val="en-US" w:eastAsia="zh-CN"/>
        </w:rPr>
        <w:t xml:space="preserve">≥</w:t>
      </w:r>
      <w:r>
        <w:rPr>
          <w:rFonts w:hint="eastAsia" w:ascii="Times New Roman" w:hAnsi="Times New Roman" w:eastAsia="宋体"/>
          <w:sz w:val="24"/>
          <w:szCs w:val="32"/>
        </w:rPr>
        <w:t xml:space="preserve">2</w:t>
      </w:r>
      <w:r>
        <w:rPr>
          <w:rFonts w:hint="eastAsia" w:ascii="Times New Roman" w:hAnsi="Times New Roman" w:eastAsia="宋体"/>
          <w:sz w:val="24"/>
          <w:szCs w:val="32"/>
          <w:lang w:val="en-US" w:eastAsia="zh-CN"/>
        </w:rPr>
        <w:t xml:space="preserve">4</w:t>
      </w:r>
      <w:r>
        <w:rPr>
          <w:rFonts w:hint="eastAsia" w:ascii="Times New Roman" w:hAnsi="Times New Roman" w:eastAsia="宋体"/>
          <w:sz w:val="24"/>
          <w:szCs w:val="32"/>
        </w:rPr>
        <w:t xml:space="preserve">000lm，色温：</w:t>
      </w:r>
      <w:r>
        <w:rPr>
          <w:rFonts w:hint="eastAsia" w:ascii="Times New Roman" w:hAnsi="Times New Roman" w:eastAsia="宋体"/>
          <w:sz w:val="24"/>
          <w:szCs w:val="32"/>
          <w:lang w:val="en-US" w:eastAsia="zh-CN"/>
        </w:rPr>
        <w:t xml:space="preserve">50</w:t>
      </w:r>
      <w:r>
        <w:rPr>
          <w:rFonts w:hint="eastAsia" w:ascii="Times New Roman" w:hAnsi="Times New Roman" w:eastAsia="宋体"/>
          <w:sz w:val="24"/>
          <w:szCs w:val="32"/>
        </w:rPr>
        <w:t xml:space="preserve">00</w:t>
      </w:r>
      <w:r>
        <w:rPr>
          <w:rFonts w:hint="eastAsia" w:ascii="Times New Roman" w:hAnsi="Times New Roman" w:eastAsia="宋体"/>
          <w:sz w:val="24"/>
          <w:szCs w:val="32"/>
          <w:lang w:val="en-US" w:eastAsia="zh-CN"/>
        </w:rPr>
        <w:t xml:space="preserve">-6000</w:t>
      </w:r>
      <w:r>
        <w:rPr>
          <w:rFonts w:hint="eastAsia" w:ascii="Times New Roman" w:hAnsi="Times New Roman" w:eastAsia="宋体"/>
          <w:sz w:val="24"/>
          <w:szCs w:val="32"/>
        </w:rPr>
        <w:t xml:space="preserve">K</w:t>
      </w:r>
      <w:r>
        <w:rPr>
          <w:rFonts w:hint="eastAsia" w:ascii="Times New Roman" w:hAnsi="Times New Roman" w:eastAsia="宋体"/>
          <w:sz w:val="24"/>
          <w:szCs w:val="32"/>
          <w:lang w:eastAsia="zh-CN"/>
        </w:rPr>
        <w:t xml:space="preserve">。</w:t>
      </w:r>
      <w:r>
        <w:rPr>
          <w:rFonts w:hint="eastAsia" w:ascii="Times New Roman" w:hAnsi="Times New Roman" w:eastAsia="宋体"/>
          <w:sz w:val="24"/>
          <w:szCs w:val="32"/>
        </w:rPr>
        <w:t xml:space="preserve">显色指数：Ra≥80，功率因数≥0.97；</w:t>
      </w:r>
      <w:r>
        <w:rPr>
          <w:rFonts w:hint="eastAsia" w:ascii="Times New Roman" w:hAnsi="Times New Roman" w:eastAsia="宋体"/>
          <w:color w:val="auto"/>
          <w:sz w:val="24"/>
          <w:szCs w:val="24"/>
          <w:lang w:val="en-US" w:eastAsia="zh-CN"/>
        </w:rPr>
        <w:t xml:space="preserve">UGR≤30</w:t>
      </w:r>
      <w:r>
        <w:rPr>
          <w:rFonts w:hint="eastAsia" w:ascii="Times New Roman" w:hAnsi="Times New Roman" w:eastAsia="宋体"/>
          <w:color w:val="auto"/>
          <w:sz w:val="24"/>
          <w:szCs w:val="24"/>
          <w:lang w:eastAsia="zh-CN"/>
        </w:rPr>
        <w:t xml:space="preserve">（</w:t>
      </w:r>
      <w:r>
        <w:rPr>
          <w:rFonts w:hint="eastAsia" w:ascii="Times New Roman" w:hAnsi="Times New Roman" w:eastAsia="宋体"/>
          <w:color w:val="auto"/>
          <w:sz w:val="24"/>
          <w:szCs w:val="24"/>
          <w:lang w:val="en-US" w:eastAsia="zh-CN"/>
        </w:rPr>
        <w:t xml:space="preserve">提供相关检测报告，否则视为负偏离）</w:t>
      </w:r>
      <w:r>
        <w:rPr>
          <w:rFonts w:hint="eastAsia" w:ascii="Times New Roman" w:hAnsi="Times New Roman" w:eastAsia="宋体"/>
          <w:sz w:val="24"/>
          <w:szCs w:val="32"/>
          <w:lang w:eastAsia="zh-CN"/>
        </w:rPr>
        <w:t xml:space="preserve">。</w:t>
      </w:r>
      <w:r/>
    </w:p>
    <w:p>
      <w:pPr>
        <w:pStyle w:val="1033"/>
        <w:numPr>
          <w:ilvl w:val="0"/>
          <w:numId w:val="0"/>
        </w:numPr>
        <w:ind w:firstLine="480"/>
        <w:spacing w:line="360" w:lineRule="auto"/>
        <w:tabs>
          <w:tab w:val="center" w:pos="4153" w:leader="none"/>
        </w:tabs>
        <w:rPr>
          <w:rFonts w:hint="eastAsia" w:ascii="Times New Roman" w:hAnsi="Times New Roman" w:eastAsia="宋体"/>
          <w:sz w:val="24"/>
          <w:szCs w:val="32"/>
        </w:rPr>
      </w:pPr>
      <w:r>
        <w:rPr>
          <w:rFonts w:hint="eastAsia"/>
          <w:sz w:val="24"/>
          <w:szCs w:val="32"/>
          <w:lang w:val="en-US" w:eastAsia="zh-CN"/>
        </w:rPr>
        <w:t xml:space="preserve">6</w:t>
      </w:r>
      <w:r>
        <w:rPr>
          <w:rFonts w:hint="eastAsia" w:ascii="Times New Roman" w:hAnsi="Times New Roman" w:eastAsia="宋体"/>
          <w:sz w:val="24"/>
          <w:szCs w:val="32"/>
          <w:lang w:val="en-US" w:eastAsia="zh-CN"/>
        </w:rPr>
        <w:t xml:space="preserve">.</w:t>
      </w:r>
      <w:r>
        <w:rPr>
          <w:rFonts w:hint="eastAsia" w:ascii="Times New Roman" w:hAnsi="Times New Roman" w:eastAsia="宋体"/>
          <w:sz w:val="24"/>
          <w:szCs w:val="32"/>
        </w:rPr>
        <w:t xml:space="preserve">灯具采用航空铝（海军铝）合金耐腐蚀性材料，并采用先进镀锌工艺处理。防护等级≥IP6</w:t>
      </w:r>
      <w:r>
        <w:rPr>
          <w:rFonts w:hint="eastAsia" w:ascii="Times New Roman" w:hAnsi="Times New Roman" w:eastAsia="宋体"/>
          <w:sz w:val="24"/>
          <w:szCs w:val="32"/>
          <w:lang w:val="en-US" w:eastAsia="zh-CN"/>
        </w:rPr>
        <w:t xml:space="preserve">5</w:t>
      </w:r>
      <w:r>
        <w:rPr>
          <w:rFonts w:hint="eastAsia" w:ascii="Times New Roman" w:hAnsi="Times New Roman" w:eastAsia="宋体"/>
          <w:sz w:val="24"/>
          <w:szCs w:val="32"/>
        </w:rPr>
        <w:t xml:space="preserve">，使用环境温度 （℃）： -20～+40 。灯具</w:t>
      </w:r>
      <w:r>
        <w:rPr>
          <w:rFonts w:hint="eastAsia" w:ascii="Times New Roman" w:hAnsi="Times New Roman" w:eastAsia="宋体"/>
          <w:sz w:val="24"/>
          <w:szCs w:val="32"/>
          <w:lang w:val="en-US" w:eastAsia="zh-CN"/>
        </w:rPr>
        <w:t xml:space="preserve">防腐等级达到WF2（提供检测报告</w:t>
      </w:r>
      <w:r>
        <w:rPr>
          <w:rFonts w:hint="eastAsia" w:ascii="Times New Roman" w:hAnsi="Times New Roman" w:eastAsia="宋体"/>
          <w:color w:val="auto"/>
          <w:sz w:val="24"/>
          <w:szCs w:val="24"/>
          <w:lang w:val="en-US" w:eastAsia="zh-CN"/>
        </w:rPr>
        <w:t xml:space="preserve">，否则视为负偏离</w:t>
      </w:r>
      <w:r>
        <w:rPr>
          <w:rFonts w:hint="eastAsia" w:ascii="Times New Roman" w:hAnsi="Times New Roman" w:eastAsia="宋体"/>
          <w:sz w:val="24"/>
          <w:szCs w:val="32"/>
          <w:lang w:val="en-US" w:eastAsia="zh-CN"/>
        </w:rPr>
        <w:t xml:space="preserve">）。</w:t>
      </w:r>
      <w:r/>
    </w:p>
    <w:p>
      <w:pPr>
        <w:pStyle w:val="1033"/>
        <w:numPr>
          <w:ilvl w:val="0"/>
          <w:numId w:val="0"/>
        </w:numPr>
        <w:ind w:firstLine="480"/>
        <w:spacing w:line="360" w:lineRule="auto"/>
        <w:tabs>
          <w:tab w:val="center" w:pos="4153" w:leader="none"/>
        </w:tabs>
        <w:rPr>
          <w:rFonts w:hint="eastAsia" w:ascii="Times New Roman" w:hAnsi="Times New Roman" w:eastAsia="宋体"/>
          <w:sz w:val="24"/>
          <w:szCs w:val="32"/>
          <w:lang w:eastAsia="zh-CN"/>
        </w:rPr>
      </w:pPr>
      <w:r>
        <w:rPr>
          <w:rFonts w:hint="eastAsia"/>
          <w:sz w:val="24"/>
          <w:szCs w:val="32"/>
          <w:lang w:val="en-US" w:eastAsia="zh-CN"/>
        </w:rPr>
        <w:t xml:space="preserve">7</w:t>
      </w:r>
      <w:r>
        <w:rPr>
          <w:rFonts w:hint="eastAsia" w:ascii="Times New Roman" w:hAnsi="Times New Roman" w:eastAsia="宋体"/>
          <w:sz w:val="24"/>
          <w:szCs w:val="32"/>
          <w:lang w:val="en-US" w:eastAsia="zh-CN"/>
        </w:rPr>
        <w:t xml:space="preserve">.灯具</w:t>
      </w:r>
      <w:r>
        <w:rPr>
          <w:rFonts w:hint="eastAsia" w:ascii="Times New Roman" w:hAnsi="Times New Roman" w:eastAsia="宋体"/>
          <w:sz w:val="24"/>
          <w:szCs w:val="32"/>
        </w:rPr>
        <w:t xml:space="preserve">驱动采用优质电子器件，恒流电路设计技术；驱动电源带有防雷设计、具有过电流过电压保护、短路保护、抗浪涌、过温保护功能；驱动内部要采用灌胶工艺，防护等级达到IP66。</w:t>
      </w:r>
      <w:r/>
    </w:p>
    <w:p>
      <w:pPr>
        <w:pStyle w:val="1033"/>
        <w:numPr>
          <w:ilvl w:val="0"/>
          <w:numId w:val="0"/>
        </w:numPr>
        <w:ind w:firstLine="480"/>
        <w:spacing w:line="360" w:lineRule="auto"/>
        <w:tabs>
          <w:tab w:val="center" w:pos="4153" w:leader="none"/>
        </w:tabs>
        <w:rPr>
          <w:rFonts w:hint="eastAsia" w:ascii="Times New Roman" w:hAnsi="Times New Roman" w:eastAsia="宋体"/>
          <w:sz w:val="24"/>
          <w:szCs w:val="32"/>
          <w:lang w:eastAsia="zh-CN"/>
        </w:rPr>
      </w:pPr>
      <w:r>
        <w:rPr>
          <w:rFonts w:hint="eastAsia"/>
          <w:sz w:val="24"/>
          <w:szCs w:val="32"/>
          <w:lang w:val="en-US" w:eastAsia="zh-CN"/>
        </w:rPr>
        <w:t xml:space="preserve">8</w:t>
      </w:r>
      <w:r>
        <w:rPr>
          <w:rFonts w:hint="eastAsia" w:ascii="Times New Roman" w:hAnsi="Times New Roman" w:eastAsia="宋体"/>
          <w:sz w:val="24"/>
          <w:szCs w:val="32"/>
          <w:lang w:val="en-US" w:eastAsia="zh-CN"/>
        </w:rPr>
        <w:t xml:space="preserve">.</w:t>
      </w:r>
      <w:r>
        <w:rPr>
          <w:rFonts w:hint="eastAsia" w:ascii="宋体" w:hAnsi="宋体" w:eastAsia="宋体"/>
          <w:sz w:val="24"/>
          <w:szCs w:val="24"/>
        </w:rPr>
        <w:t xml:space="preserve">灯具内部需通过结构和材料双重减震，整体抗震性能良好。</w:t>
      </w:r>
      <w:r>
        <w:rPr>
          <w:rFonts w:hint="eastAsia" w:ascii="Times New Roman" w:hAnsi="Times New Roman" w:eastAsia="宋体"/>
          <w:sz w:val="24"/>
          <w:szCs w:val="32"/>
        </w:rPr>
        <w:t xml:space="preserve">灯具经过振动测试，测试等级：IK08。</w:t>
      </w:r>
      <w:r>
        <w:rPr>
          <w:rFonts w:hint="eastAsia" w:ascii="Times New Roman" w:hAnsi="Times New Roman" w:eastAsia="宋体"/>
          <w:sz w:val="24"/>
          <w:szCs w:val="32"/>
          <w:lang w:eastAsia="zh-CN"/>
        </w:rPr>
        <w:t xml:space="preserve">（</w:t>
      </w:r>
      <w:r>
        <w:rPr>
          <w:rFonts w:hint="eastAsia" w:ascii="Times New Roman" w:hAnsi="Times New Roman" w:eastAsia="宋体"/>
          <w:sz w:val="24"/>
          <w:szCs w:val="32"/>
          <w:lang w:val="en-US" w:eastAsia="zh-CN"/>
        </w:rPr>
        <w:t xml:space="preserve">提供检测报告</w:t>
      </w:r>
      <w:r>
        <w:rPr>
          <w:rFonts w:hint="eastAsia" w:ascii="Times New Roman" w:hAnsi="Times New Roman" w:eastAsia="宋体"/>
          <w:color w:val="auto"/>
          <w:sz w:val="24"/>
          <w:szCs w:val="24"/>
          <w:lang w:val="en-US" w:eastAsia="zh-CN"/>
        </w:rPr>
        <w:t xml:space="preserve">，否则视为负偏离</w:t>
      </w:r>
      <w:r>
        <w:rPr>
          <w:rFonts w:hint="eastAsia" w:ascii="Times New Roman" w:hAnsi="Times New Roman" w:eastAsia="宋体"/>
          <w:sz w:val="24"/>
          <w:szCs w:val="32"/>
          <w:lang w:eastAsia="zh-CN"/>
        </w:rPr>
        <w:t xml:space="preserve">）</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★9.光源及灯具质保8年，禁止使用假冒伪劣产品，必须是原厂灯具，验收交付所使用的灯具必须与投标灯具一致，否则验收不合格，因此造成的损失由投标人承担。</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三、付款方式</w:t>
      </w:r>
      <w:r/>
    </w:p>
    <w:p>
      <w:pPr>
        <w:ind w:firstLine="480"/>
        <w:jc w:val="both"/>
        <w:keepLines w:val="0"/>
        <w:keepNext w:val="0"/>
        <w:pageBreakBefore w:val="0"/>
        <w:spacing w:line="560" w:lineRule="exact"/>
        <w:widowControl w:val="off"/>
        <w:rPr>
          <w:rStyle w:val="815"/>
          <w:rFonts w:hint="eastAsia" w:ascii="宋体" w:hAnsi="宋体" w:eastAsia="宋体" w:cs="Times New Roman"/>
          <w:sz w:val="24"/>
          <w:szCs w:val="24"/>
          <w:highlight w:val="none"/>
          <w:lang w:val="en-US" w:eastAsia="zh-CN" w:bidi="ar-SA"/>
        </w:rPr>
      </w:pPr>
      <w:r>
        <w:rPr>
          <w:rStyle w:val="815"/>
          <w:rFonts w:hint="eastAsia" w:ascii="宋体" w:hAnsi="宋体" w:eastAsia="宋体" w:cs="Times New Roman"/>
          <w:sz w:val="24"/>
          <w:szCs w:val="24"/>
          <w:highlight w:val="none"/>
          <w:lang w:val="en-US" w:eastAsia="zh-CN" w:bidi="ar-SA"/>
        </w:rPr>
        <w:t xml:space="preserve">对于满足合同约定支付条件的，自收到发票后10个工作日内将资金支付到合同约定的投标人账户或投标人数字人民币账户。</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highlight w:val="none"/>
          <w:lang w:val="en-US" w:eastAsia="zh-CN" w:bidi="ar-SA"/>
        </w:rPr>
      </w:pPr>
      <w:r>
        <w:rPr>
          <w:rStyle w:val="815"/>
          <w:rFonts w:hint="eastAsia" w:ascii="宋体" w:hAnsi="宋体" w:eastAsia="宋体" w:cs="Times New Roman"/>
          <w:sz w:val="24"/>
          <w:szCs w:val="24"/>
          <w:highlight w:val="none"/>
          <w:lang w:val="en-US" w:eastAsia="zh-CN" w:bidi="ar-SA"/>
        </w:rPr>
        <w:t xml:space="preserve">1、合同签订后自收到供应商发票之日起10个工作日内，采购人向中标人支付合同总价款的30%作为预付款。</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highlight w:val="none"/>
          <w:lang w:val="en-US" w:eastAsia="zh-CN" w:bidi="ar-SA"/>
        </w:rPr>
      </w:pPr>
      <w:r>
        <w:rPr>
          <w:rStyle w:val="815"/>
          <w:rFonts w:hint="eastAsia" w:ascii="宋体" w:hAnsi="宋体" w:eastAsia="宋体" w:cs="Times New Roman"/>
          <w:sz w:val="24"/>
          <w:szCs w:val="24"/>
          <w:highlight w:val="none"/>
          <w:lang w:val="en-US" w:eastAsia="zh-CN" w:bidi="ar-SA"/>
        </w:rPr>
        <w:t xml:space="preserve">2、项目建成并验收合格，采购人自收到供应商发票之日起10个工作日内付至合同价款的100%。</w:t>
      </w:r>
      <w:r/>
    </w:p>
    <w:p>
      <w:pPr>
        <w:ind w:firstLine="482"/>
        <w:jc w:val="both"/>
        <w:keepLines w:val="0"/>
        <w:keepNext w:val="0"/>
        <w:pageBreakBefore w:val="0"/>
        <w:spacing w:line="560" w:lineRule="exact"/>
        <w:widowControl w:val="off"/>
        <w:rPr>
          <w:rStyle w:val="815"/>
          <w:rFonts w:hint="eastAsia" w:ascii="宋体" w:hAnsi="宋体" w:eastAsia="宋体" w:cs="Times New Roman"/>
          <w:b/>
          <w:sz w:val="24"/>
          <w:szCs w:val="24"/>
          <w:lang w:val="en-US" w:eastAsia="zh-CN" w:bidi="ar-SA"/>
        </w:rPr>
      </w:pPr>
      <w:r>
        <w:rPr>
          <w:rStyle w:val="815"/>
          <w:rFonts w:hint="eastAsia" w:ascii="宋体" w:hAnsi="宋体" w:eastAsia="宋体" w:cs="Times New Roman"/>
          <w:b/>
          <w:sz w:val="24"/>
          <w:szCs w:val="24"/>
          <w:lang w:val="en-US" w:eastAsia="zh-CN" w:bidi="ar-SA"/>
        </w:rPr>
        <w:t xml:space="preserve">注：在签订合同时，中标人明确表示无需预付款或者主动要求降低付款比例的金额，采购人可不适用前述规定。</w:t>
      </w:r>
      <w:r/>
    </w:p>
    <w:p>
      <w:pPr>
        <w:ind w:firstLine="482"/>
        <w:jc w:val="both"/>
        <w:keepLines w:val="0"/>
        <w:keepNext w:val="0"/>
        <w:pageBreakBefore w:val="0"/>
        <w:spacing w:line="560" w:lineRule="exact"/>
        <w:widowControl w:val="off"/>
        <w:rPr>
          <w:rStyle w:val="815"/>
          <w:rFonts w:hint="eastAsia" w:ascii="宋体" w:hAnsi="宋体" w:eastAsia="宋体" w:cs="宋体"/>
          <w:b/>
          <w:bCs/>
          <w:sz w:val="24"/>
          <w:szCs w:val="22"/>
          <w:lang w:val="en-US" w:eastAsia="zh-CN" w:bidi="ar-SA"/>
        </w:rPr>
        <w:outlineLvl w:val="1"/>
      </w:pPr>
      <w:r>
        <w:rPr>
          <w:rStyle w:val="815"/>
          <w:rFonts w:hint="eastAsia" w:ascii="宋体" w:hAnsi="宋体" w:eastAsia="宋体" w:cs="宋体"/>
          <w:b/>
          <w:bCs/>
          <w:sz w:val="24"/>
          <w:szCs w:val="22"/>
          <w:lang w:val="en-US" w:eastAsia="zh-CN" w:bidi="ar-SA"/>
        </w:rPr>
        <w:t xml:space="preserve">四、售后服务期限及地点</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（一）售后服务期：8年（费用含在本次报价中，自安装调试验收合格之日起计算）。</w:t>
      </w:r>
      <w:r/>
    </w:p>
    <w:p>
      <w:pPr>
        <w:ind w:firstLine="480"/>
        <w:jc w:val="both"/>
        <w:keepLines w:val="0"/>
        <w:keepNext w:val="0"/>
        <w:pageBreakBefore w:val="0"/>
        <w:spacing w:line="560" w:lineRule="exact"/>
        <w:widowControl w:val="off"/>
        <w:rPr>
          <w:rStyle w:val="815"/>
          <w:rFonts w:hint="eastAsia"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（二）供货期： 30个日历天。</w:t>
      </w:r>
      <w:r/>
    </w:p>
    <w:p>
      <w:pPr>
        <w:ind w:firstLine="480"/>
        <w:jc w:val="both"/>
        <w:keepLines w:val="0"/>
        <w:keepNext w:val="0"/>
        <w:pageBreakBefore w:val="0"/>
        <w:spacing w:line="560" w:lineRule="exact"/>
        <w:widowControl w:val="off"/>
        <w:rPr>
          <w:rStyle w:val="815"/>
          <w:rFonts w:hint="eastAsia" w:ascii="宋体" w:hAnsi="宋体" w:eastAsia="宋体" w:cs="宋体"/>
          <w:sz w:val="24"/>
          <w:szCs w:val="24"/>
          <w:lang w:val="en-US" w:eastAsia="zh-CN" w:bidi="ar-SA"/>
        </w:rPr>
      </w:pPr>
      <w:r>
        <w:rPr>
          <w:rStyle w:val="815"/>
          <w:rFonts w:hint="eastAsia" w:ascii="宋体" w:hAnsi="宋体" w:eastAsia="宋体" w:cs="宋体"/>
          <w:sz w:val="24"/>
          <w:szCs w:val="24"/>
          <w:lang w:val="en-US" w:eastAsia="zh-CN" w:bidi="ar-SA"/>
        </w:rPr>
        <w:t xml:space="preserve">（三）实施地点：采购人指定。</w:t>
      </w:r>
      <w:r/>
    </w:p>
    <w:p>
      <w:pPr>
        <w:ind w:firstLine="482"/>
        <w:jc w:val="both"/>
        <w:keepLines w:val="0"/>
        <w:keepNext w:val="0"/>
        <w:pageBreakBefore w:val="0"/>
        <w:spacing w:line="560" w:lineRule="exact"/>
        <w:widowControl w:val="off"/>
        <w:rPr>
          <w:rStyle w:val="815"/>
          <w:rFonts w:hint="eastAsia" w:ascii="宋体" w:hAnsi="宋体" w:eastAsia="宋体" w:cs="宋体"/>
          <w:b/>
          <w:bCs/>
          <w:sz w:val="24"/>
          <w:szCs w:val="22"/>
          <w:lang w:val="en-US" w:eastAsia="zh-CN" w:bidi="ar-SA"/>
        </w:rPr>
        <w:outlineLvl w:val="1"/>
      </w:pPr>
      <w:r>
        <w:rPr>
          <w:rStyle w:val="815"/>
          <w:rFonts w:hint="eastAsia" w:ascii="宋体" w:hAnsi="宋体" w:eastAsia="宋体" w:cs="宋体"/>
          <w:b/>
          <w:bCs/>
          <w:sz w:val="24"/>
          <w:szCs w:val="22"/>
          <w:lang w:val="en-US" w:eastAsia="zh-CN" w:bidi="ar-SA"/>
        </w:rPr>
        <w:t xml:space="preserve">五、其他要求</w:t>
      </w:r>
      <w:r/>
    </w:p>
    <w:p>
      <w:pPr>
        <w:ind w:firstLine="482"/>
        <w:jc w:val="both"/>
        <w:keepLines w:val="0"/>
        <w:keepNext w:val="0"/>
        <w:pageBreakBefore w:val="0"/>
        <w:spacing w:line="560" w:lineRule="exact"/>
        <w:widowControl w:val="off"/>
        <w:rPr>
          <w:rStyle w:val="815"/>
          <w:rFonts w:hint="default" w:ascii="宋体" w:hAnsi="宋体" w:eastAsia="宋体" w:cs="Times New Roman"/>
          <w:b/>
          <w:bCs/>
          <w:color w:val="000000"/>
          <w:sz w:val="24"/>
          <w:szCs w:val="21"/>
          <w:lang w:val="en-US" w:eastAsia="zh-CN" w:bidi="ar-SA"/>
        </w:rPr>
      </w:pPr>
      <w:r>
        <w:rPr>
          <w:rStyle w:val="815"/>
          <w:rFonts w:hint="eastAsia" w:ascii="宋体" w:hAnsi="宋体" w:eastAsia="宋体" w:cs="Times New Roman"/>
          <w:b/>
          <w:bCs/>
          <w:color w:val="000000"/>
          <w:sz w:val="24"/>
          <w:szCs w:val="21"/>
          <w:lang w:val="en-US" w:eastAsia="zh-CN" w:bidi="ar-SA"/>
        </w:rPr>
        <w:t xml:space="preserve">（一）项目实施方案、</w:t>
      </w:r>
      <w:r>
        <w:rPr>
          <w:rStyle w:val="815"/>
          <w:rFonts w:hint="default" w:ascii="宋体" w:hAnsi="宋体" w:eastAsia="宋体" w:cs="Times New Roman"/>
          <w:b/>
          <w:bCs/>
          <w:color w:val="000000"/>
          <w:sz w:val="24"/>
          <w:szCs w:val="21"/>
          <w:lang w:val="en-US" w:eastAsia="zh-CN" w:bidi="ar-SA"/>
        </w:rPr>
        <w:t xml:space="preserve">设备安装、调试要求</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1.送至采购人指定地点并安装调试到位，必须依照招标文件的要求和投标文件的承诺，将器材安装并调试至最佳状态。</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2.器材无侵权行为、表面无划损、无任何缺陷隐患，在中国境内可依常规安全合法使用。</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3.货物为原厂商未启封全新包装，出厂合格证，序列号、包装箱号与出厂批号一致，并可追溯查阅，所有随设备的附件必须齐全。</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4.根据投标人的实施项目供货计划、安装工期安排、安装技术人员配备、现场安装流程、安装质量要求、项目验收方案等编制方案。</w:t>
      </w:r>
      <w:r/>
    </w:p>
    <w:p>
      <w:pPr>
        <w:ind w:firstLine="482"/>
        <w:jc w:val="both"/>
        <w:keepLines w:val="0"/>
        <w:keepNext w:val="0"/>
        <w:pageBreakBefore w:val="0"/>
        <w:spacing w:line="560" w:lineRule="exact"/>
        <w:widowControl w:val="off"/>
        <w:rPr>
          <w:rStyle w:val="815"/>
          <w:rFonts w:hint="default" w:ascii="宋体" w:hAnsi="宋体" w:eastAsia="宋体" w:cs="Times New Roman"/>
          <w:b/>
          <w:bCs/>
          <w:color w:val="000000"/>
          <w:sz w:val="24"/>
          <w:szCs w:val="21"/>
          <w:lang w:val="en-US" w:eastAsia="zh-CN" w:bidi="ar-SA"/>
        </w:rPr>
      </w:pPr>
      <w:r>
        <w:rPr>
          <w:rStyle w:val="815"/>
          <w:rFonts w:hint="eastAsia" w:ascii="宋体" w:hAnsi="宋体" w:eastAsia="宋体" w:cs="Times New Roman"/>
          <w:b/>
          <w:bCs/>
          <w:color w:val="000000"/>
          <w:sz w:val="24"/>
          <w:szCs w:val="21"/>
          <w:lang w:val="en-US" w:eastAsia="zh-CN" w:bidi="ar-SA"/>
        </w:rPr>
        <w:t xml:space="preserve">（二）</w:t>
      </w:r>
      <w:r>
        <w:rPr>
          <w:rStyle w:val="815"/>
          <w:rFonts w:hint="default" w:ascii="宋体" w:hAnsi="宋体" w:eastAsia="宋体" w:cs="Times New Roman"/>
          <w:b/>
          <w:bCs/>
          <w:color w:val="000000"/>
          <w:sz w:val="24"/>
          <w:szCs w:val="21"/>
          <w:lang w:val="en-US" w:eastAsia="zh-CN" w:bidi="ar-SA"/>
        </w:rPr>
        <w:t xml:space="preserve">验收</w:t>
      </w:r>
      <w:r/>
    </w:p>
    <w:p>
      <w:pPr>
        <w:ind w:firstLine="480"/>
        <w:jc w:val="both"/>
        <w:keepLines w:val="0"/>
        <w:keepNext w:val="0"/>
        <w:pageBreakBefore w:val="0"/>
        <w:spacing w:line="560" w:lineRule="exact"/>
        <w:widowControl w:val="off"/>
        <w:rPr>
          <w:rStyle w:val="815"/>
          <w:rFonts w:hint="eastAsia" w:ascii="宋体" w:hAnsi="宋体" w:eastAsia="宋体" w:cs="Times New Roman"/>
          <w:bCs/>
          <w:color w:val="000000"/>
          <w:sz w:val="24"/>
          <w:szCs w:val="21"/>
          <w:lang w:val="en-US" w:eastAsia="zh-CN" w:bidi="ar-SA"/>
        </w:rPr>
      </w:pPr>
      <w:r>
        <w:rPr>
          <w:rStyle w:val="815"/>
          <w:rFonts w:hint="eastAsia" w:ascii="宋体" w:hAnsi="宋体" w:eastAsia="宋体" w:cs="Times New Roman"/>
          <w:bCs/>
          <w:color w:val="000000"/>
          <w:sz w:val="24"/>
          <w:szCs w:val="21"/>
          <w:lang w:val="en-US" w:eastAsia="zh-CN" w:bidi="ar-SA"/>
        </w:rPr>
        <w:t xml:space="preserve">1.采购人按国家有关规定、规范以及招标文件、投标文件、技术资料、质量要求和双方签订的合同规定的条款组织验收，必要时邀请相关的专业人员或机构参与验收。因货物质量问题发生争议时，由本地质量技术监督部门鉴定。货物符合质量技术标准的，鉴定费由采购人承担；否则鉴定费由中标人承担。</w:t>
      </w:r>
      <w:r/>
    </w:p>
    <w:p>
      <w:pPr>
        <w:ind w:firstLine="480"/>
        <w:jc w:val="both"/>
        <w:keepLines w:val="0"/>
        <w:keepNext w:val="0"/>
        <w:pageBreakBefore w:val="0"/>
        <w:spacing w:line="560" w:lineRule="exact"/>
        <w:widowControl w:val="off"/>
        <w:rPr>
          <w:rStyle w:val="815"/>
          <w:rFonts w:hint="eastAsia" w:ascii="宋体" w:hAnsi="宋体" w:eastAsia="宋体" w:cs="Times New Roman"/>
          <w:bCs/>
          <w:color w:val="000000"/>
          <w:sz w:val="24"/>
          <w:szCs w:val="21"/>
          <w:lang w:val="en-US" w:eastAsia="zh-CN" w:bidi="ar-SA"/>
        </w:rPr>
      </w:pPr>
      <w:r>
        <w:rPr>
          <w:rStyle w:val="815"/>
          <w:rFonts w:hint="eastAsia" w:ascii="宋体" w:hAnsi="宋体" w:eastAsia="宋体" w:cs="Times New Roman"/>
          <w:bCs/>
          <w:color w:val="000000"/>
          <w:sz w:val="24"/>
          <w:szCs w:val="21"/>
          <w:lang w:val="en-US" w:eastAsia="zh-CN" w:bidi="ar-SA"/>
        </w:rPr>
        <w:t xml:space="preserve">2.中标供应商根据招标要求进行产品的安装，在货物进场并安装调试完毕 15 日内，由采购人或采购人聘请技术专家或专业检测机构进行验收（验收内容包括但不限于器材质量、站点和器材信息是否已按要求录入省平台、编码是否已印制在告示牌和器材上并激活等其它采购人要求的内容），因此支出的相关费用（包括但不限于检测费用及出具质量检测报告费用）均由中标供应商承担。</w:t>
      </w:r>
      <w:r/>
    </w:p>
    <w:p>
      <w:pPr>
        <w:ind w:firstLine="482"/>
        <w:jc w:val="both"/>
        <w:keepLines w:val="0"/>
        <w:keepNext w:val="0"/>
        <w:pageBreakBefore w:val="0"/>
        <w:spacing w:line="560" w:lineRule="exact"/>
        <w:widowControl w:val="off"/>
        <w:rPr>
          <w:rStyle w:val="815"/>
          <w:rFonts w:hint="default" w:ascii="宋体" w:hAnsi="宋体" w:eastAsia="宋体" w:cs="Times New Roman"/>
          <w:b/>
          <w:bCs w:val="0"/>
          <w:color w:val="000000"/>
          <w:sz w:val="24"/>
          <w:szCs w:val="21"/>
          <w:lang w:val="en-US" w:eastAsia="zh-CN" w:bidi="ar-SA"/>
        </w:rPr>
      </w:pPr>
      <w:r>
        <w:rPr>
          <w:rStyle w:val="815"/>
          <w:rFonts w:hint="eastAsia" w:ascii="宋体" w:hAnsi="宋体" w:eastAsia="宋体" w:cs="Times New Roman"/>
          <w:b/>
          <w:bCs w:val="0"/>
          <w:color w:val="000000"/>
          <w:sz w:val="24"/>
          <w:szCs w:val="21"/>
          <w:lang w:val="en-US" w:eastAsia="zh-CN" w:bidi="ar-SA"/>
        </w:rPr>
        <w:t xml:space="preserve">（三）</w:t>
      </w:r>
      <w:r>
        <w:rPr>
          <w:rStyle w:val="815"/>
          <w:rFonts w:hint="default" w:ascii="宋体" w:hAnsi="宋体" w:eastAsia="宋体" w:cs="Times New Roman"/>
          <w:b/>
          <w:bCs w:val="0"/>
          <w:color w:val="000000"/>
          <w:sz w:val="24"/>
          <w:szCs w:val="21"/>
          <w:lang w:val="en-US" w:eastAsia="zh-CN" w:bidi="ar-SA"/>
        </w:rPr>
        <w:t xml:space="preserve">售后服务要求</w:t>
      </w:r>
      <w:r/>
    </w:p>
    <w:p>
      <w:pPr>
        <w:ind w:firstLine="480"/>
        <w:jc w:val="both"/>
        <w:keepLines w:val="0"/>
        <w:keepNext w:val="0"/>
        <w:pageBreakBefore w:val="0"/>
        <w:spacing w:line="560" w:lineRule="exact"/>
        <w:widowControl w:val="off"/>
        <w:rPr>
          <w:rStyle w:val="815"/>
          <w:rFonts w:hint="default" w:ascii="宋体" w:hAnsi="宋体" w:eastAsia="宋体" w:cs="Times New Roman"/>
          <w:bCs/>
          <w:sz w:val="24"/>
          <w:szCs w:val="21"/>
          <w:lang w:val="en-US" w:eastAsia="zh-CN" w:bidi="ar-SA"/>
        </w:rPr>
      </w:pPr>
      <w:r>
        <w:rPr>
          <w:rStyle w:val="815"/>
          <w:rFonts w:hint="default" w:ascii="宋体" w:hAnsi="宋体" w:eastAsia="宋体" w:cs="Times New Roman"/>
          <w:bCs/>
          <w:sz w:val="24"/>
          <w:szCs w:val="21"/>
          <w:lang w:val="en-US" w:eastAsia="zh-CN" w:bidi="ar-SA"/>
        </w:rPr>
        <w:t xml:space="preserve">1.提供售后服务质量保障方案，建立完善的售后服务管理体系及拥有专业的维护队伍</w:t>
      </w:r>
      <w:r>
        <w:rPr>
          <w:rStyle w:val="815"/>
          <w:rFonts w:hint="eastAsia" w:ascii="宋体" w:hAnsi="宋体" w:eastAsia="宋体" w:cs="Times New Roman"/>
          <w:bCs/>
          <w:sz w:val="24"/>
          <w:szCs w:val="21"/>
          <w:lang w:val="en-US" w:eastAsia="zh-CN" w:bidi="ar-SA"/>
        </w:rPr>
        <w:t xml:space="preserve">。</w:t>
      </w:r>
      <w:r/>
    </w:p>
    <w:p>
      <w:pPr>
        <w:ind w:firstLine="480"/>
        <w:jc w:val="both"/>
        <w:keepLines w:val="0"/>
        <w:keepNext w:val="0"/>
        <w:pageBreakBefore w:val="0"/>
        <w:spacing w:line="560" w:lineRule="exact"/>
        <w:widowControl w:val="off"/>
        <w:rPr>
          <w:rStyle w:val="815"/>
          <w:rFonts w:hint="default" w:ascii="宋体" w:hAnsi="宋体" w:eastAsia="宋体" w:cs="Times New Roman"/>
          <w:bCs/>
          <w:sz w:val="24"/>
          <w:szCs w:val="21"/>
          <w:lang w:val="en-US" w:eastAsia="zh-CN" w:bidi="ar-SA"/>
        </w:rPr>
      </w:pPr>
      <w:r>
        <w:rPr>
          <w:rStyle w:val="815"/>
          <w:rFonts w:hint="default" w:ascii="宋体" w:hAnsi="宋体" w:eastAsia="宋体" w:cs="Times New Roman"/>
          <w:bCs/>
          <w:sz w:val="24"/>
          <w:szCs w:val="21"/>
          <w:lang w:val="en-US" w:eastAsia="zh-CN" w:bidi="ar-SA"/>
        </w:rPr>
        <w:t xml:space="preserve">2.质保期内中标人对所供货物实行包修、包换、包退、包维护保养，质保期满后可提供终身维修保养服务，只收取成本费用。</w:t>
      </w:r>
      <w:r/>
    </w:p>
    <w:p>
      <w:pPr>
        <w:ind w:firstLine="480"/>
        <w:jc w:val="both"/>
        <w:keepLines w:val="0"/>
        <w:keepNext w:val="0"/>
        <w:pageBreakBefore w:val="0"/>
        <w:spacing w:line="560" w:lineRule="exact"/>
        <w:widowControl w:val="off"/>
        <w:rPr>
          <w:rStyle w:val="815"/>
          <w:rFonts w:hint="default" w:ascii="宋体" w:hAnsi="宋体" w:eastAsia="宋体" w:cs="Times New Roman"/>
          <w:bCs/>
          <w:sz w:val="24"/>
          <w:szCs w:val="21"/>
          <w:lang w:val="en-US" w:eastAsia="zh-CN" w:bidi="ar-SA"/>
        </w:rPr>
      </w:pPr>
      <w:r>
        <w:rPr>
          <w:rStyle w:val="815"/>
          <w:rFonts w:hint="default" w:ascii="宋体" w:hAnsi="宋体" w:eastAsia="宋体" w:cs="Times New Roman"/>
          <w:bCs/>
          <w:sz w:val="24"/>
          <w:szCs w:val="21"/>
          <w:lang w:val="en-US" w:eastAsia="zh-CN" w:bidi="ar-SA"/>
        </w:rPr>
        <w:t xml:space="preserve">3.应针对本项目提供详细、明确、具体的日常维护和应急解决方案，应据自身的实际情况提供详细具体的售后服务方案。</w:t>
      </w:r>
      <w:r/>
    </w:p>
    <w:p>
      <w:pPr>
        <w:ind w:firstLine="482"/>
        <w:keepLines w:val="0"/>
        <w:keepNext w:val="0"/>
        <w:pageBreakBefore w:val="0"/>
        <w:spacing w:line="560" w:lineRule="exact"/>
        <w:rPr>
          <w:rStyle w:val="815"/>
          <w:rFonts w:hint="eastAsia" w:ascii="宋体" w:hAnsi="宋体" w:eastAsia="宋体" w:cs="宋体"/>
          <w:b/>
          <w:bCs w:val="0"/>
          <w:color w:val="auto"/>
          <w:sz w:val="24"/>
          <w:highlight w:val="none"/>
          <w:lang w:val="en-US" w:eastAsia="zh-CN" w:bidi="ar-SA"/>
        </w:rPr>
      </w:pPr>
      <w:r>
        <w:rPr>
          <w:rStyle w:val="815"/>
          <w:rFonts w:hint="eastAsia" w:ascii="宋体" w:hAnsi="宋体" w:eastAsia="宋体" w:cs="宋体"/>
          <w:b/>
          <w:bCs w:val="0"/>
          <w:color w:val="auto"/>
          <w:sz w:val="24"/>
          <w:szCs w:val="21"/>
          <w:highlight w:val="none"/>
          <w:lang w:val="en-US" w:eastAsia="zh-CN" w:bidi="ar-SA"/>
        </w:rPr>
        <w:t xml:space="preserve">（四）落实商品包装、快递包装政府采购需求标准</w:t>
      </w:r>
      <w:r/>
    </w:p>
    <w:p>
      <w:pPr>
        <w:ind w:firstLine="480"/>
        <w:keepLines w:val="0"/>
        <w:keepNext w:val="0"/>
        <w:pageBreakBefore w:val="0"/>
        <w:spacing w:line="560" w:lineRule="exact"/>
        <w:rPr>
          <w:rStyle w:val="815"/>
          <w:rFonts w:hint="eastAsia" w:ascii="宋体" w:hAnsi="宋体" w:eastAsia="宋体" w:cs="宋体"/>
          <w:bCs/>
          <w:color w:val="auto"/>
          <w:sz w:val="24"/>
          <w:highlight w:val="none"/>
          <w:lang w:val="en-US" w:eastAsia="zh-CN" w:bidi="ar-SA"/>
        </w:rPr>
      </w:pPr>
      <w:r>
        <w:rPr>
          <w:rStyle w:val="815"/>
          <w:rFonts w:hint="eastAsia" w:ascii="宋体" w:hAnsi="宋体" w:eastAsia="宋体" w:cs="宋体"/>
          <w:bCs/>
          <w:color w:val="auto"/>
          <w:sz w:val="24"/>
          <w:szCs w:val="21"/>
          <w:highlight w:val="none"/>
          <w:lang w:val="en-US" w:eastAsia="zh-CN" w:bidi="ar-SA"/>
        </w:rPr>
        <w:t xml:space="preserve">供应商所投产品需进行商品包装和快递包装的，应不低于《关于印发〈商品包装政府采购需求标准（试行）〉、〈快递包装政府采购需求标准（试行）〉的通知》（财办库〔2020〕123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号）文件规定的参考标准。在履约验收时按照本条款执行，违反本约定的对照合同违约条款追究违约责任。供应商一旦参与本项目投标，即完全响应本条款要求。</w:t>
      </w:r>
      <w:r/>
    </w:p>
    <w:p>
      <w:pPr>
        <w:ind w:firstLine="482"/>
        <w:keepLines w:val="0"/>
        <w:keepNext w:val="0"/>
        <w:pageBreakBefore w:val="0"/>
        <w:spacing w:line="560" w:lineRule="exact"/>
        <w:rPr>
          <w:rStyle w:val="815"/>
          <w:rFonts w:hint="eastAsia" w:ascii="宋体" w:hAnsi="宋体" w:eastAsia="宋体" w:cs="宋体"/>
          <w:b/>
          <w:bCs w:val="0"/>
          <w:color w:val="auto"/>
          <w:sz w:val="24"/>
          <w:highlight w:val="none"/>
          <w:lang w:val="en-US" w:eastAsia="zh-CN" w:bidi="ar-SA"/>
        </w:rPr>
      </w:pPr>
      <w:r>
        <w:rPr>
          <w:rStyle w:val="815"/>
          <w:rFonts w:hint="eastAsia" w:ascii="宋体" w:hAnsi="宋体" w:eastAsia="宋体" w:cs="宋体"/>
          <w:b/>
          <w:bCs w:val="0"/>
          <w:color w:val="auto"/>
          <w:sz w:val="24"/>
          <w:szCs w:val="21"/>
          <w:highlight w:val="none"/>
          <w:lang w:val="en-US" w:eastAsia="zh-CN" w:bidi="ar-SA"/>
        </w:rPr>
        <w:t xml:space="preserve">（五）落实节能、环保产品政策</w:t>
      </w:r>
      <w:r/>
    </w:p>
    <w:p>
      <w:pPr>
        <w:ind w:firstLine="480"/>
        <w:keepLines w:val="0"/>
        <w:keepNext w:val="0"/>
        <w:pageBreakBefore w:val="0"/>
        <w:spacing w:line="560" w:lineRule="exact"/>
        <w:rPr>
          <w:rStyle w:val="815"/>
          <w:rFonts w:hint="eastAsia" w:ascii="宋体" w:hAnsi="宋体" w:eastAsia="宋体" w:cs="宋体"/>
          <w:bCs/>
          <w:color w:val="auto"/>
          <w:sz w:val="24"/>
          <w:szCs w:val="21"/>
          <w:highlight w:val="none"/>
          <w:lang w:val="en-US" w:eastAsia="zh-CN" w:bidi="ar-SA"/>
        </w:rPr>
      </w:pPr>
      <w:r>
        <w:rPr>
          <w:rStyle w:val="815"/>
          <w:rFonts w:hint="eastAsia" w:ascii="宋体" w:hAnsi="宋体" w:eastAsia="宋体" w:cs="宋体"/>
          <w:bCs/>
          <w:color w:val="auto"/>
          <w:sz w:val="24"/>
          <w:szCs w:val="21"/>
          <w:highlight w:val="none"/>
          <w:lang w:val="en-US" w:eastAsia="zh-CN" w:bidi="ar-SA"/>
        </w:rPr>
        <w:t xml:space="preserve">对照财库〔2019〕9 号、财库〔2019〕19 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numPr>
          <w:ilvl w:val="0"/>
          <w:numId w:val="12"/>
        </w:numPr>
        <w:ind w:firstLine="482"/>
        <w:keepLines w:val="0"/>
        <w:keepNext w:val="0"/>
        <w:pageBreakBefore w:val="0"/>
        <w:spacing w:line="560" w:lineRule="exact"/>
        <w:rPr>
          <w:rStyle w:val="815"/>
          <w:rFonts w:hint="eastAsia" w:ascii="宋体" w:hAnsi="宋体" w:eastAsia="宋体" w:cs="宋体"/>
          <w:b/>
          <w:bCs w:val="0"/>
          <w:color w:val="auto"/>
          <w:sz w:val="24"/>
          <w:szCs w:val="21"/>
          <w:highlight w:val="none"/>
          <w:lang w:val="en-US" w:eastAsia="zh-CN" w:bidi="ar-SA"/>
        </w:rPr>
      </w:pPr>
      <w:r>
        <w:rPr>
          <w:rStyle w:val="815"/>
          <w:rFonts w:hint="eastAsia" w:ascii="宋体" w:hAnsi="宋体" w:eastAsia="宋体" w:cs="宋体"/>
          <w:b/>
          <w:bCs w:val="0"/>
          <w:color w:val="auto"/>
          <w:sz w:val="24"/>
          <w:szCs w:val="21"/>
          <w:highlight w:val="none"/>
          <w:lang w:val="en-US" w:eastAsia="zh-CN" w:bidi="ar-SA"/>
        </w:rPr>
        <w:t xml:space="preserve">采购本国产品的支持政策</w:t>
      </w:r>
      <w:r/>
    </w:p>
    <w:p>
      <w:pPr>
        <w:ind w:firstLine="480"/>
        <w:spacing w:line="480" w:lineRule="exact"/>
        <w:rPr>
          <w:rFonts w:hint="eastAsia" w:ascii="宋体" w:hAnsi="宋体" w:eastAsia="宋体" w:cs="宋体"/>
          <w:color w:val="ff0000"/>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w:t>
      </w:r>
      <w:r>
        <w:rPr>
          <w:rFonts w:hint="eastAsia" w:ascii="宋体" w:hAnsi="宋体" w:eastAsia="宋体" w:cs="宋体"/>
          <w:bCs/>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ff0000"/>
          <w:sz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ff0000"/>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本项目政府采购活动中既有本国产品又有非本国产品参与竞争的，</w:t>
      </w:r>
      <w:bookmarkStart w:id="212" w:name="OLE_LINK7"/>
      <w:r>
        <w:rPr>
          <w:rFonts w:hint="eastAsia" w:ascii="宋体" w:hAnsi="宋体" w:eastAsia="宋体" w:cs="宋体"/>
          <w:sz w:val="24"/>
          <w:highlight w:val="none"/>
        </w:rPr>
        <w:t xml:space="preserve">依法对本国产品给予价格评审优惠，对本国产品的报价给予</w:t>
      </w:r>
      <w:r>
        <w:rPr>
          <w:rFonts w:hint="eastAsia" w:ascii="宋体" w:hAnsi="宋体" w:eastAsia="宋体" w:cs="宋体"/>
          <w:b/>
          <w:bCs/>
          <w:sz w:val="24"/>
          <w:highlight w:val="none"/>
          <w:u w:val="single"/>
        </w:rPr>
        <w:t xml:space="preserve">20%</w:t>
      </w:r>
      <w:r>
        <w:rPr>
          <w:rFonts w:hint="eastAsia" w:ascii="宋体" w:hAnsi="宋体" w:eastAsia="宋体" w:cs="宋体"/>
          <w:sz w:val="24"/>
          <w:highlight w:val="none"/>
        </w:rPr>
        <w:t xml:space="preserve">的价格扣除，用扣除后的价格参与评审。</w:t>
      </w:r>
      <w:bookmarkEnd w:id="212"/>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sz w:val="24"/>
          <w:highlight w:val="none"/>
        </w:rPr>
        <w:t xml:space="preserve">80%以上</w:t>
      </w:r>
      <w:r>
        <w:rPr>
          <w:rFonts w:hint="eastAsia" w:ascii="宋体" w:hAnsi="宋体" w:eastAsia="宋体" w:cs="宋体"/>
          <w:sz w:val="24"/>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Style w:val="815"/>
          <w:rFonts w:hint="eastAsia" w:ascii="宋体" w:hAnsi="宋体" w:eastAsia="宋体" w:cs="宋体"/>
          <w:bCs/>
          <w:color w:val="auto"/>
          <w:sz w:val="24"/>
          <w:szCs w:val="21"/>
          <w:highlight w:val="none"/>
          <w:lang w:val="en-US" w:eastAsia="zh-CN" w:bidi="ar-SA"/>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numPr>
          <w:ilvl w:val="0"/>
          <w:numId w:val="12"/>
        </w:numPr>
        <w:ind w:firstLine="482"/>
        <w:keepLines w:val="0"/>
        <w:keepNext w:val="0"/>
        <w:pageBreakBefore w:val="0"/>
        <w:spacing w:line="560" w:lineRule="exact"/>
        <w:rPr>
          <w:rStyle w:val="815"/>
          <w:rFonts w:hint="eastAsia" w:ascii="宋体" w:hAnsi="宋体" w:eastAsia="宋体" w:cs="宋体"/>
          <w:b/>
          <w:bCs w:val="0"/>
          <w:color w:val="auto"/>
          <w:sz w:val="24"/>
          <w:szCs w:val="21"/>
          <w:highlight w:val="none"/>
          <w:lang w:val="en-US" w:eastAsia="zh-CN" w:bidi="ar-SA"/>
        </w:rPr>
      </w:pPr>
      <w:r>
        <w:rPr>
          <w:rStyle w:val="815"/>
          <w:rFonts w:hint="eastAsia" w:ascii="宋体" w:hAnsi="宋体" w:eastAsia="宋体" w:cs="宋体"/>
          <w:b/>
          <w:bCs w:val="0"/>
          <w:color w:val="auto"/>
          <w:sz w:val="24"/>
          <w:szCs w:val="21"/>
          <w:highlight w:val="none"/>
          <w:lang w:val="en-US" w:eastAsia="zh-CN" w:bidi="ar-SA"/>
        </w:rPr>
        <w:t xml:space="preserve">注意事项</w:t>
      </w:r>
      <w:r/>
    </w:p>
    <w:p>
      <w:pPr>
        <w:ind w:firstLine="480"/>
        <w:jc w:val="both"/>
        <w:keepLines w:val="0"/>
        <w:keepNext w:val="0"/>
        <w:pageBreakBefore w:val="0"/>
        <w:spacing w:line="560" w:lineRule="exact"/>
        <w:widowControl w:val="off"/>
        <w:rPr>
          <w:rStyle w:val="815"/>
          <w:rFonts w:hint="eastAsia" w:ascii="宋体" w:hAnsi="宋体" w:eastAsia="宋体" w:cs="宋体"/>
          <w:bCs/>
          <w:color w:val="auto"/>
          <w:sz w:val="24"/>
          <w:szCs w:val="20"/>
          <w:highlight w:val="none"/>
          <w:lang w:val="en-US" w:eastAsia="zh-CN" w:bidi="ar-SA"/>
        </w:rPr>
      </w:pPr>
      <w:r>
        <w:rPr>
          <w:rStyle w:val="815"/>
          <w:rFonts w:hint="eastAsia" w:ascii="宋体" w:hAnsi="宋体" w:eastAsia="宋体" w:cs="宋体"/>
          <w:bCs/>
          <w:color w:val="auto"/>
          <w:sz w:val="24"/>
          <w:szCs w:val="20"/>
          <w:highlight w:val="none"/>
          <w:lang w:val="en-US" w:eastAsia="zh-CN" w:bidi="ar-SA"/>
        </w:rPr>
        <w:t xml:space="preserve">1.本项目对任何有选择的报价将不予接受，只允许有一个报价。报价内容包括: 货物本身价格、辅材、运输、装卸、人工、产品损耗等相关工作、售后服务及货物交付使用过程中涉及到的其他一切费用。 </w:t>
      </w:r>
      <w:r/>
    </w:p>
    <w:p>
      <w:pPr>
        <w:ind w:firstLine="480"/>
        <w:jc w:val="both"/>
        <w:keepLines w:val="0"/>
        <w:keepNext w:val="0"/>
        <w:pageBreakBefore w:val="0"/>
        <w:spacing w:line="560" w:lineRule="exact"/>
        <w:widowControl w:val="off"/>
        <w:rPr>
          <w:rStyle w:val="815"/>
          <w:rFonts w:hint="eastAsia" w:ascii="宋体" w:hAnsi="宋体" w:eastAsia="宋体" w:cs="宋体"/>
          <w:bCs/>
          <w:color w:val="auto"/>
          <w:sz w:val="24"/>
          <w:szCs w:val="20"/>
          <w:highlight w:val="none"/>
          <w:lang w:val="en-US" w:eastAsia="zh-CN" w:bidi="ar-SA"/>
        </w:rPr>
      </w:pPr>
      <w:r>
        <w:rPr>
          <w:rStyle w:val="815"/>
          <w:rFonts w:hint="eastAsia" w:ascii="宋体" w:hAnsi="宋体" w:eastAsia="宋体" w:cs="宋体"/>
          <w:bCs/>
          <w:color w:val="auto"/>
          <w:sz w:val="24"/>
          <w:szCs w:val="20"/>
          <w:highlight w:val="none"/>
          <w:lang w:val="en-US" w:eastAsia="zh-CN" w:bidi="ar-SA"/>
        </w:rPr>
        <w:t xml:space="preserve">2.供应商报价时应充分考虑所有可能影响到报价的因素，一旦最终中标，总价将包定。不予调整。如发生漏、缺、少项，都将被认为是成交人的报价让利行为，损失自负。</w:t>
      </w:r>
      <w:r/>
    </w:p>
    <w:p>
      <w:pPr>
        <w:ind w:firstLine="480"/>
        <w:jc w:val="both"/>
        <w:keepLines w:val="0"/>
        <w:keepNext w:val="0"/>
        <w:pageBreakBefore w:val="0"/>
        <w:spacing w:line="560" w:lineRule="exact"/>
        <w:widowControl w:val="off"/>
        <w:rPr>
          <w:rStyle w:val="815"/>
          <w:rFonts w:hint="eastAsia" w:ascii="宋体" w:hAnsi="宋体" w:eastAsia="宋体" w:cs="宋体"/>
          <w:bCs/>
          <w:color w:val="auto"/>
          <w:sz w:val="24"/>
          <w:szCs w:val="20"/>
          <w:highlight w:val="none"/>
          <w:lang w:val="en-US" w:eastAsia="zh-CN" w:bidi="ar-SA"/>
        </w:rPr>
      </w:pPr>
      <w:r>
        <w:rPr>
          <w:rStyle w:val="815"/>
          <w:rFonts w:hint="eastAsia" w:ascii="宋体" w:hAnsi="宋体" w:eastAsia="宋体" w:cs="宋体"/>
          <w:bCs/>
          <w:color w:val="auto"/>
          <w:sz w:val="24"/>
          <w:szCs w:val="20"/>
          <w:highlight w:val="none"/>
          <w:lang w:val="en-US" w:eastAsia="zh-CN" w:bidi="ar-SA"/>
        </w:rPr>
        <w:t xml:space="preserve">备注：1.★部分为实质性要求，不接受负偏离。否则，作为无效标处理。</w:t>
      </w:r>
      <w:r/>
    </w:p>
    <w:p>
      <w:pPr>
        <w:ind w:firstLine="480"/>
        <w:jc w:val="both"/>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bidi="ar-SA"/>
        </w:rPr>
      </w:pPr>
      <w:r>
        <w:rPr>
          <w:rStyle w:val="815"/>
          <w:rFonts w:hint="eastAsia" w:ascii="宋体" w:hAnsi="宋体" w:eastAsia="宋体" w:cs="宋体"/>
          <w:bCs/>
          <w:color w:val="auto"/>
          <w:sz w:val="24"/>
          <w:szCs w:val="20"/>
          <w:highlight w:val="none"/>
          <w:lang w:val="en-US" w:eastAsia="zh-CN" w:bidi="ar-SA"/>
        </w:rPr>
        <w:t xml:space="preserve">2.本项目所涉及的均为推荐品牌，中标人选投非推荐品牌的，需提供相关资料证明其技术性能及质量等级等于或高于推荐品牌。</w:t>
      </w:r>
      <w:bookmarkEnd w:id="193"/>
      <w:r/>
      <w:r/>
    </w:p>
    <w:p>
      <w:pPr>
        <w:pStyle w:val="991"/>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b/>
          <w:bCs w:val="0"/>
          <w:color w:val="auto"/>
          <w:sz w:val="44"/>
          <w:highlight w:val="none"/>
        </w:rPr>
      </w:pPr>
      <w:r/>
      <w:bookmarkStart w:id="213" w:name="_Toc7441"/>
      <w:r>
        <w:rPr>
          <w:rFonts w:hint="eastAsia" w:ascii="宋体" w:hAnsi="宋体" w:eastAsia="宋体" w:cs="宋体"/>
          <w:b/>
          <w:bCs w:val="0"/>
          <w:color w:val="auto"/>
          <w:sz w:val="44"/>
          <w:highlight w:val="none"/>
        </w:rPr>
        <w:br w:type="page" w:clear="all"/>
      </w:r>
      <w:r/>
    </w:p>
    <w:p>
      <w:pPr>
        <w:pStyle w:val="806"/>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t xml:space="preserve">第五章  评标方法与评标标准</w:t>
      </w:r>
      <w:bookmarkEnd w:id="213"/>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816"/>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816"/>
        <w:tblW w:w="5568"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40"/>
        <w:gridCol w:w="2852"/>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符合</w:t>
            </w:r>
            <w:r>
              <w:rPr>
                <w:rFonts w:hint="eastAsia" w:ascii="宋体" w:hAnsi="宋体" w:eastAsia="宋体" w:cs="宋体"/>
                <w:color w:val="auto"/>
                <w:sz w:val="24"/>
                <w:szCs w:val="28"/>
                <w:highlight w:val="none"/>
                <w:lang w:val="en-US" w:eastAsia="zh-CN"/>
              </w:rPr>
              <w:t xml:space="preserve">相关规定</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numPr>
          <w:ilvl w:val="0"/>
          <w:numId w:val="13"/>
        </w:num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numPr>
          <w:ilvl w:val="0"/>
          <w:numId w:val="0"/>
        </w:numPr>
        <w:keepLines w:val="0"/>
        <w:keepNext w:val="0"/>
        <w:pageBreakBefore w:val="0"/>
        <w:spacing w:line="400" w:lineRule="exact"/>
        <w:shd w:val="clear" w:color="auto"/>
        <w:widowControl/>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分包一：</w:t>
      </w:r>
      <w:r/>
    </w:p>
    <w:tbl>
      <w:tblPr>
        <w:tblStyle w:val="816"/>
        <w:tblW w:w="5000" w:type="pct"/>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538"/>
        <w:gridCol w:w="2049"/>
        <w:gridCol w:w="897"/>
        <w:gridCol w:w="4485"/>
      </w:tblGrid>
      <w:tr>
        <w:trPr/>
        <w:tc>
          <w:tcPr>
            <w:gridSpan w:val="2"/>
            <w:tcBorders>
              <w:top w:val="single" w:color="auto" w:sz="6" w:space="0"/>
              <w:left w:val="single" w:color="auto" w:sz="6" w:space="0"/>
              <w:bottom w:val="single" w:color="auto" w:sz="6" w:space="0"/>
              <w:right w:val="single" w:color="auto" w:sz="6" w:space="0"/>
            </w:tcBorders>
            <w:tcW w:w="2000" w:type="pct"/>
            <w:vAlign w:val="center"/>
            <w:textDirection w:val="lrTb"/>
            <w:noWrap w:val="false"/>
          </w:tcPr>
          <w:p>
            <w:pPr>
              <w:jc w:val="center"/>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分数</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采用低价优先法计算，即满足招标文件要求且投标价格最低的投标报价为评标基准价，其价格分为满分。其他投标人投标报价得分＝（评标基准价/投标报价）*30。 </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技术响应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技术参数响应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both"/>
              <w:spacing w:before="0" w:after="0"/>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针对招标文件“第四章、采购需求”中的“二、采购清单及技术要求</w:t>
            </w:r>
            <w:r>
              <w:rPr>
                <w:rFonts w:hint="eastAsia" w:ascii="宋体" w:hAnsi="宋体" w:eastAsia="宋体" w:cs="宋体"/>
                <w:color w:val="000000"/>
                <w:sz w:val="21"/>
                <w:szCs w:val="21"/>
                <w:lang w:val="en-US" w:eastAsia="zh-CN"/>
              </w:rPr>
              <w:t xml:space="preserve">分包一</w:t>
            </w:r>
            <w:r>
              <w:rPr>
                <w:rFonts w:ascii="Times New Roman" w:hAnsi="Times New Roman" w:eastAsia="Times New Roman" w:cs="Times New Roman"/>
                <w:color w:val="000000"/>
                <w:sz w:val="21"/>
                <w:szCs w:val="21"/>
              </w:rPr>
              <w:t xml:space="preserve">”</w:t>
            </w:r>
            <w:r>
              <w:rPr>
                <w:rFonts w:ascii="宋体" w:hAnsi="宋体" w:eastAsia="宋体" w:cs="宋体"/>
                <w:color w:val="000000"/>
                <w:sz w:val="21"/>
                <w:szCs w:val="21"/>
              </w:rPr>
              <w:t xml:space="preserve">所列内容进行评分，投标人所投产品的技术性能、功能、参数、规格等能够完全满足招标文件要求的得基本分</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分。每有一项负偏离扣</w:t>
            </w:r>
            <w:r>
              <w:rPr>
                <w:rFonts w:ascii="Times New Roman" w:hAnsi="Times New Roman" w:eastAsia="Times New Roman" w:cs="Times New Roman"/>
                <w:color w:val="000000"/>
                <w:sz w:val="21"/>
                <w:szCs w:val="21"/>
              </w:rPr>
              <w:t xml:space="preserve"> 1 </w:t>
            </w:r>
            <w:r>
              <w:rPr>
                <w:rFonts w:ascii="宋体" w:hAnsi="宋体" w:eastAsia="宋体" w:cs="宋体"/>
                <w:color w:val="000000"/>
                <w:sz w:val="21"/>
                <w:szCs w:val="21"/>
              </w:rPr>
              <w:t xml:space="preserve">分，扣完为止，本项最低得</w:t>
            </w:r>
            <w:r>
              <w:rPr>
                <w:rFonts w:ascii="Times New Roman" w:hAnsi="Times New Roman" w:eastAsia="Times New Roman" w:cs="Times New Roman"/>
                <w:color w:val="000000"/>
                <w:sz w:val="21"/>
                <w:szCs w:val="21"/>
              </w:rPr>
              <w:t xml:space="preserve">0</w:t>
            </w:r>
            <w:r>
              <w:rPr>
                <w:rFonts w:ascii="宋体" w:hAnsi="宋体" w:eastAsia="宋体" w:cs="宋体"/>
                <w:color w:val="000000"/>
                <w:sz w:val="21"/>
                <w:szCs w:val="21"/>
              </w:rPr>
              <w:t xml:space="preserve">分，最高得</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w:t>
            </w:r>
            <w:r/>
          </w:p>
          <w:p>
            <w:pPr>
              <w:jc w:val="left"/>
              <w:widowControl w:val="off"/>
              <w:rPr>
                <w:rFonts w:hint="default" w:ascii="Times New Roman" w:hAnsi="Times New Roman" w:eastAsia="宋体" w:cs="Times New Roman"/>
                <w:szCs w:val="21"/>
              </w:rPr>
            </w:pPr>
            <w:r>
              <w:rPr>
                <w:rFonts w:ascii="宋体" w:hAnsi="宋体" w:eastAsia="宋体" w:cs="宋体"/>
                <w:color w:val="000000"/>
                <w:sz w:val="21"/>
                <w:szCs w:val="21"/>
              </w:rPr>
              <w:t xml:space="preserve">注：</w:t>
            </w:r>
            <w:r>
              <w:rPr>
                <w:rFonts w:ascii="Times New Roman" w:hAnsi="Times New Roman" w:eastAsia="Times New Roman" w:cs="Times New Roman"/>
                <w:color w:val="000000"/>
                <w:sz w:val="21"/>
                <w:szCs w:val="21"/>
              </w:rPr>
              <w:t xml:space="preserve">1</w:t>
            </w:r>
            <w:r>
              <w:rPr>
                <w:rFonts w:ascii="宋体" w:hAnsi="宋体" w:eastAsia="宋体" w:cs="宋体"/>
                <w:color w:val="000000"/>
                <w:sz w:val="21"/>
                <w:szCs w:val="21"/>
              </w:rPr>
              <w:t xml:space="preserve">、供应商针对本项评标内容在响应文件《技术要求响应及偏离表》中逐条列出响应及偏离情况；</w:t>
            </w:r>
            <w:r>
              <w:rPr>
                <w:rFonts w:ascii="Times New Roman" w:hAnsi="Times New Roman" w:eastAsia="Times New Roman" w:cs="Times New Roman"/>
                <w:color w:val="000000"/>
                <w:sz w:val="21"/>
                <w:szCs w:val="21"/>
              </w:rPr>
              <w:t xml:space="preserve">2</w:t>
            </w:r>
            <w:r>
              <w:rPr>
                <w:rFonts w:ascii="宋体" w:hAnsi="宋体" w:eastAsia="宋体" w:cs="宋体"/>
                <w:color w:val="000000"/>
                <w:sz w:val="21"/>
                <w:szCs w:val="21"/>
              </w:rPr>
              <w:t xml:space="preserve">、采购需求中国家体育总局认可的权威检测机构相关证书登记的内容，以证书登记信息为准，其余需要提供证明材料的以证明材料为准；</w:t>
            </w:r>
            <w:r>
              <w:rPr>
                <w:rFonts w:ascii="Times New Roman" w:hAnsi="Times New Roman" w:eastAsia="Times New Roman" w:cs="Times New Roman"/>
                <w:color w:val="000000"/>
                <w:sz w:val="21"/>
                <w:szCs w:val="21"/>
              </w:rPr>
              <w:t xml:space="preserve">3</w:t>
            </w:r>
            <w:r>
              <w:rPr>
                <w:rFonts w:ascii="宋体" w:hAnsi="宋体" w:eastAsia="宋体" w:cs="宋体"/>
                <w:color w:val="000000"/>
                <w:sz w:val="21"/>
                <w:szCs w:val="21"/>
              </w:rPr>
              <w:t xml:space="preserve">、采购需求中未要求提供证明材料的，以《技术要求响应及偏离表》为准。未按要求提供证明材料或未在技术要求响应及偏离表中列明偏离情况的对应项按负偏离进行扣分处理。</w:t>
            </w:r>
            <w:r>
              <w:rPr>
                <w:rFonts w:ascii="Times New Roman" w:hAnsi="Times New Roman" w:eastAsia="Times New Roman" w:cs="Times New Roman"/>
                <w:color w:val="000000"/>
                <w:sz w:val="21"/>
                <w:szCs w:val="21"/>
              </w:rPr>
              <w:t xml:space="preserve">4</w:t>
            </w:r>
            <w:r>
              <w:rPr>
                <w:rFonts w:ascii="宋体" w:hAnsi="宋体" w:eastAsia="宋体" w:cs="宋体"/>
                <w:color w:val="000000"/>
                <w:sz w:val="21"/>
                <w:szCs w:val="21"/>
              </w:rPr>
              <w:t xml:space="preserve">、</w:t>
            </w:r>
            <w:r>
              <w:rPr>
                <w:rFonts w:ascii="Times New Roman" w:hAnsi="Times New Roman" w:eastAsia="Times New Roman" w:cs="Times New Roman"/>
                <w:color w:val="000000"/>
                <w:sz w:val="21"/>
                <w:szCs w:val="21"/>
              </w:rPr>
              <w:t xml:space="preserve">★</w:t>
            </w:r>
            <w:r>
              <w:rPr>
                <w:rFonts w:ascii="宋体" w:hAnsi="宋体" w:eastAsia="宋体" w:cs="宋体"/>
                <w:color w:val="000000"/>
                <w:sz w:val="21"/>
                <w:szCs w:val="21"/>
              </w:rPr>
              <w:t xml:space="preserve">号部分为实质性相应不接受负偏离，否则作无效投标处理，认定内容均以国家体育总局认可的权威检测机构相关证书登记为准。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企业经营业绩、信誉</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企业业绩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6.00分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具有类似业绩的，每有一个得2分，最高得6分。（业绩须同时提供项目中标通知书、合同和甲方出具的验收合格材料复印件加盖公章，且业绩合同中主要内容、标的、金额等清晰可见，否则该业绩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企业荣誉、证书及综合实力</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4</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1、</w:t>
            </w:r>
            <w:r>
              <w:rPr>
                <w:rFonts w:hint="default" w:ascii="Times New Roman" w:hAnsi="Times New Roman" w:eastAsia="宋体" w:cs="Times New Roman"/>
                <w:szCs w:val="21"/>
              </w:rPr>
              <w:t xml:space="preserve">投标</w:t>
            </w:r>
            <w:r>
              <w:rPr>
                <w:rFonts w:hint="eastAsia" w:ascii="Times New Roman" w:hAnsi="Times New Roman" w:eastAsia="宋体" w:cs="Times New Roman"/>
                <w:szCs w:val="21"/>
                <w:lang w:val="en-US" w:eastAsia="zh-CN"/>
              </w:rPr>
              <w:t xml:space="preserve">产品</w:t>
            </w:r>
            <w:r>
              <w:rPr>
                <w:rFonts w:hint="default" w:ascii="Times New Roman" w:hAnsi="Times New Roman" w:eastAsia="宋体" w:cs="Times New Roman"/>
                <w:szCs w:val="21"/>
              </w:rPr>
              <w:t xml:space="preserve">提供有效期内的质量体系认证、环境管理体系认证、职业健康安全管理体系认证</w:t>
            </w:r>
            <w:r>
              <w:rPr>
                <w:rFonts w:hint="eastAsia" w:ascii="Times New Roman" w:hAnsi="Times New Roman" w:eastAsia="宋体" w:cs="Times New Roman"/>
                <w:szCs w:val="21"/>
                <w:lang w:eastAsia="zh-CN"/>
              </w:rPr>
              <w:t xml:space="preserve">的</w:t>
            </w:r>
            <w:r>
              <w:rPr>
                <w:rFonts w:hint="default" w:ascii="Times New Roman" w:hAnsi="Times New Roman" w:eastAsia="宋体" w:cs="Times New Roman"/>
                <w:szCs w:val="21"/>
              </w:rPr>
              <w:t xml:space="preserve">每有一个得</w:t>
            </w:r>
            <w:r>
              <w:rPr>
                <w:rFonts w:hint="eastAsia" w:ascii="Times New Roman" w:hAnsi="Times New Roman" w:eastAsia="宋体" w:cs="Times New Roman"/>
                <w:szCs w:val="21"/>
              </w:rPr>
              <w:t xml:space="preserve">1</w:t>
            </w:r>
            <w:r>
              <w:rPr>
                <w:rFonts w:hint="default" w:ascii="Times New Roman" w:hAnsi="Times New Roman" w:eastAsia="宋体" w:cs="Times New Roman"/>
                <w:szCs w:val="21"/>
              </w:rPr>
              <w:t xml:space="preserve">分，最高得</w:t>
            </w:r>
            <w:r>
              <w:rPr>
                <w:rFonts w:hint="eastAsia" w:ascii="Times New Roman" w:hAnsi="Times New Roman" w:eastAsia="宋体" w:cs="Times New Roman"/>
                <w:szCs w:val="21"/>
              </w:rPr>
              <w:t xml:space="preserve">3</w:t>
            </w:r>
            <w:r>
              <w:rPr>
                <w:rFonts w:hint="default" w:ascii="Times New Roman" w:hAnsi="Times New Roman" w:eastAsia="宋体" w:cs="Times New Roman"/>
                <w:szCs w:val="21"/>
              </w:rPr>
              <w:t xml:space="preserve">分。</w:t>
            </w:r>
            <w:r/>
          </w:p>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2</w:t>
            </w:r>
            <w:r>
              <w:rPr>
                <w:rFonts w:hint="default" w:ascii="Times New Roman" w:hAnsi="Times New Roman" w:eastAsia="宋体" w:cs="Times New Roman"/>
                <w:szCs w:val="21"/>
              </w:rPr>
              <w:t xml:space="preserve">、投标</w:t>
            </w:r>
            <w:r>
              <w:rPr>
                <w:rFonts w:hint="eastAsia" w:ascii="Times New Roman" w:hAnsi="Times New Roman" w:eastAsia="宋体" w:cs="Times New Roman"/>
                <w:szCs w:val="21"/>
                <w:lang w:val="en-US" w:eastAsia="zh-CN"/>
              </w:rPr>
              <w:t xml:space="preserve">产品</w:t>
            </w:r>
            <w:r>
              <w:rPr>
                <w:rFonts w:hint="default" w:ascii="Times New Roman" w:hAnsi="Times New Roman" w:eastAsia="宋体" w:cs="Times New Roman"/>
                <w:szCs w:val="21"/>
              </w:rPr>
              <w:t xml:space="preserve">获得中国绿色材料标志授权使用证书的得</w:t>
            </w:r>
            <w:r>
              <w:rPr>
                <w:rFonts w:hint="eastAsia" w:ascii="Times New Roman" w:hAnsi="Times New Roman" w:eastAsia="宋体" w:cs="Times New Roman"/>
                <w:szCs w:val="21"/>
              </w:rPr>
              <w:t xml:space="preserve">1</w:t>
            </w:r>
            <w:r>
              <w:rPr>
                <w:rFonts w:hint="default" w:ascii="Times New Roman" w:hAnsi="Times New Roman" w:eastAsia="宋体" w:cs="Times New Roman"/>
                <w:szCs w:val="21"/>
              </w:rPr>
              <w:t xml:space="preserve">分。 </w:t>
            </w:r>
            <w:r/>
          </w:p>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以上提供相关证书材料原件扫描件加盖公章，未提供不得分。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节能环保</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2.00分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 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9</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项目实施方案，包括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分；有项目实施方案、但方案内容笼统、针对本项目制定未细致、但承诺经过优化可实现采购需求的得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管理力量、技术人员安排</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6</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五、其他要求提供拟投入本项目人员管理及人员配备情况和使用计划进行打分。人员安排充足且合理、管理机构健全程度高、技术人员综合能力强、项目安装期仓储和车辆调度效率高的得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分；人员安排充足、管理机构健全、技术人员配置一般、有安装期暂存点的得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分；人员安排一般、管理机构不全、技术人员配置不到位、项目安装期无暂存点的得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分。本项最高得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分，没有内容的不得分。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应急响应方案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5.00分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应急响应方案，投标人在运输，安装和交付使用后，可能发生的紧急情况具有完善的应急响应方案，投标人须详尽的列明不可预见的情况并提供针对此情况发生后的响应方案，评委会根据采购需求对投标人所投方案内容进行打分，应急响应方案健全且优于采购需求的得</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分；有应急响应方案、但方案内容笼统、针对本项目制定未细致、但承诺经过优化可实现采购需求的得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售后服务</w:t>
            </w:r>
            <w:r/>
          </w:p>
        </w:tc>
        <w:tc>
          <w:tcPr>
            <w:tcBorders>
              <w:top w:val="single" w:color="auto" w:sz="6" w:space="0"/>
              <w:left w:val="single" w:color="auto" w:sz="6" w:space="0"/>
              <w:bottom w:val="single" w:color="auto" w:sz="6" w:space="0"/>
              <w:right w:val="single" w:color="auto" w:sz="6" w:space="0"/>
            </w:tcBorders>
            <w:tcW w:w="886" w:type="dxa"/>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8</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4430" w:type="dxa"/>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制定售后服务方案：具有完善的售后服务管理体系，提供包含服务范围、响应时间以及质保期满后主要产品、配件优惠方案、完整的售后服务方案、地面处理建议方案等。方案详细、响应及时、服务体系完整的得</w:t>
            </w: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分；方案详细、服务范围广泛、响应虽有滞后性，服务体系完整，但能基本确保稳定运行的得</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分；方案粗略、服务范围狭窄、响应滞后、服务体系虽完整，但缺乏有效保障稳定运行的措施的得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bl>
    <w:p>
      <w:pPr>
        <w:pStyle w:val="82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pStyle w:val="820"/>
        <w:rPr>
          <w:rFonts w:hint="eastAsia" w:ascii="宋体" w:hAnsi="宋体" w:eastAsia="宋体" w:cs="宋体"/>
        </w:rPr>
      </w:pPr>
      <w:r>
        <w:rPr>
          <w:rFonts w:hint="eastAsia" w:ascii="宋体" w:hAnsi="宋体" w:eastAsia="宋体" w:cs="宋体"/>
          <w:b/>
          <w:bCs/>
          <w:color w:val="auto"/>
          <w:sz w:val="24"/>
          <w:highlight w:val="none"/>
          <w:lang w:val="en-US" w:eastAsia="zh-CN"/>
        </w:rPr>
        <w:t xml:space="preserve">分包二：</w:t>
      </w:r>
      <w:r/>
    </w:p>
    <w:tbl>
      <w:tblPr>
        <w:tblStyle w:val="816"/>
        <w:tblW w:w="5009" w:type="pct"/>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541"/>
        <w:gridCol w:w="2052"/>
        <w:gridCol w:w="899"/>
        <w:gridCol w:w="4493"/>
      </w:tblGrid>
      <w:tr>
        <w:trPr/>
        <w:tc>
          <w:tcPr>
            <w:gridSpan w:val="2"/>
            <w:tcBorders>
              <w:top w:val="single" w:color="auto" w:sz="6" w:space="0"/>
              <w:left w:val="single" w:color="auto" w:sz="6" w:space="0"/>
              <w:bottom w:val="single" w:color="auto" w:sz="6" w:space="0"/>
              <w:right w:val="single" w:color="auto" w:sz="6" w:space="0"/>
            </w:tcBorders>
            <w:tcW w:w="2000" w:type="pct"/>
            <w:vAlign w:val="center"/>
            <w:textDirection w:val="lrTb"/>
            <w:noWrap w:val="false"/>
          </w:tcPr>
          <w:p>
            <w:pPr>
              <w:jc w:val="center"/>
              <w:widowControl w:val="off"/>
              <w:rPr>
                <w:rFonts w:hint="default" w:ascii="Calibri" w:hAnsi="Calibri" w:eastAsia="宋体" w:cs="Times New Roman"/>
              </w:rPr>
            </w:pPr>
            <w:r>
              <w:rPr>
                <w:rFonts w:hint="default" w:ascii="Calibri" w:hAnsi="Calibri" w:eastAsia="宋体" w:cs="Times New Roman"/>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widowControl w:val="off"/>
              <w:rPr>
                <w:rFonts w:hint="default" w:ascii="Calibri" w:hAnsi="Calibri" w:eastAsia="宋体" w:cs="Times New Roman"/>
              </w:rPr>
            </w:pPr>
            <w:r>
              <w:rPr>
                <w:rFonts w:hint="default" w:ascii="Calibri" w:hAnsi="Calibri" w:eastAsia="宋体" w:cs="Times New Roman"/>
              </w:rPr>
              <w:t xml:space="preserve">分数</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hint="default" w:ascii="Calibri" w:hAnsi="Calibri" w:eastAsia="宋体" w:cs="Times New Roman"/>
              </w:rPr>
            </w:pPr>
            <w:r>
              <w:rPr>
                <w:rFonts w:hint="default" w:ascii="Calibri" w:hAnsi="Calibri" w:eastAsia="宋体" w:cs="Times New Roman"/>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采用低价优先法计算，即满足招标文件要求且投标价格最低的投标报价为评标基准价，其价格分为满分。其他投标人投标报价得分＝（评标基准价/投标报价）*30。 </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技术响应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技术参数响应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sz w:val="21"/>
                <w:szCs w:val="22"/>
                <w:lang w:val="en-US" w:eastAsia="zh-CN" w:bidi="ar-SA"/>
              </w:rPr>
            </w:pPr>
            <w:r>
              <w:rPr>
                <w:rFonts w:hint="default" w:ascii="Calibri" w:hAnsi="Calibri" w:eastAsia="宋体" w:cs="Times New Roman"/>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both"/>
              <w:spacing w:before="0" w:after="0"/>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针对招标文件“第四章、采购需求”中的“二、采购清单及技术要求</w:t>
            </w:r>
            <w:r>
              <w:rPr>
                <w:rFonts w:hint="eastAsia" w:ascii="宋体" w:hAnsi="宋体" w:eastAsia="宋体" w:cs="宋体"/>
                <w:color w:val="000000"/>
                <w:sz w:val="21"/>
                <w:szCs w:val="21"/>
                <w:lang w:val="en-US" w:eastAsia="zh-CN"/>
              </w:rPr>
              <w:t xml:space="preserve">分包二</w:t>
            </w:r>
            <w:r>
              <w:rPr>
                <w:rFonts w:ascii="Times New Roman" w:hAnsi="Times New Roman" w:eastAsia="Times New Roman" w:cs="Times New Roman"/>
                <w:color w:val="000000"/>
                <w:sz w:val="21"/>
                <w:szCs w:val="21"/>
              </w:rPr>
              <w:t xml:space="preserve">”</w:t>
            </w:r>
            <w:r>
              <w:rPr>
                <w:rFonts w:ascii="宋体" w:hAnsi="宋体" w:eastAsia="宋体" w:cs="宋体"/>
                <w:color w:val="000000"/>
                <w:sz w:val="21"/>
                <w:szCs w:val="21"/>
              </w:rPr>
              <w:t xml:space="preserve">所列内容进行评分，投标人所投产品的技术性能、功能、参数、规格等能够完全满足招标文件要求的得基本分</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分。每有一项负偏离扣</w:t>
            </w:r>
            <w:r>
              <w:rPr>
                <w:rFonts w:ascii="Times New Roman" w:hAnsi="Times New Roman" w:eastAsia="Times New Roman" w:cs="Times New Roman"/>
                <w:color w:val="000000"/>
                <w:sz w:val="21"/>
                <w:szCs w:val="21"/>
              </w:rPr>
              <w:t xml:space="preserve"> </w:t>
            </w: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Times New Roman" w:cs="Times New Roman"/>
                <w:color w:val="000000"/>
                <w:sz w:val="21"/>
                <w:szCs w:val="21"/>
              </w:rPr>
              <w:t xml:space="preserve"> </w:t>
            </w:r>
            <w:r>
              <w:rPr>
                <w:rFonts w:ascii="宋体" w:hAnsi="宋体" w:eastAsia="宋体" w:cs="宋体"/>
                <w:color w:val="000000"/>
                <w:sz w:val="21"/>
                <w:szCs w:val="21"/>
              </w:rPr>
              <w:t xml:space="preserve">分，扣完为止，本项最低得</w:t>
            </w:r>
            <w:r>
              <w:rPr>
                <w:rFonts w:ascii="Times New Roman" w:hAnsi="Times New Roman" w:eastAsia="Times New Roman" w:cs="Times New Roman"/>
                <w:color w:val="000000"/>
                <w:sz w:val="21"/>
                <w:szCs w:val="21"/>
              </w:rPr>
              <w:t xml:space="preserve">0</w:t>
            </w:r>
            <w:r>
              <w:rPr>
                <w:rFonts w:ascii="宋体" w:hAnsi="宋体" w:eastAsia="宋体" w:cs="宋体"/>
                <w:color w:val="000000"/>
                <w:sz w:val="21"/>
                <w:szCs w:val="21"/>
              </w:rPr>
              <w:t xml:space="preserve">分，最高得</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w:t>
            </w:r>
            <w:r/>
          </w:p>
          <w:p>
            <w:pPr>
              <w:jc w:val="left"/>
              <w:widowControl w:val="off"/>
              <w:rPr>
                <w:rFonts w:hint="default" w:ascii="Calibri" w:hAnsi="Calibri" w:eastAsia="宋体" w:cs="Times New Roman"/>
                <w:sz w:val="21"/>
                <w:szCs w:val="22"/>
                <w:lang w:val="en-US" w:eastAsia="zh-CN" w:bidi="ar-SA"/>
              </w:rPr>
            </w:pPr>
            <w:r>
              <w:rPr>
                <w:rFonts w:hint="default" w:ascii="Calibri" w:hAnsi="Calibri" w:eastAsia="宋体" w:cs="Times New Roman"/>
              </w:rPr>
              <w:t xml:space="preserve">注：</w:t>
            </w:r>
            <w:r>
              <w:rPr>
                <w:rFonts w:hint="eastAsia" w:ascii="Calibri" w:hAnsi="Calibri" w:eastAsia="宋体" w:cs="Times New Roman"/>
              </w:rPr>
              <w:t xml:space="preserve">1、</w:t>
            </w:r>
            <w:r>
              <w:rPr>
                <w:rFonts w:hint="default" w:ascii="Calibri" w:hAnsi="Calibri" w:eastAsia="宋体" w:cs="Times New Roman"/>
              </w:rPr>
              <w:t xml:space="preserve">供应商针对本项评标内容在响应文件《响应偏离表》中逐条列出响应及偏离情况</w:t>
            </w:r>
            <w:r>
              <w:rPr>
                <w:rFonts w:hint="eastAsia" w:ascii="Calibri" w:hAnsi="Calibri" w:eastAsia="宋体" w:cs="Times New Roman"/>
                <w:lang w:eastAsia="zh-CN"/>
              </w:rPr>
              <w:t xml:space="preserve">；</w:t>
            </w:r>
            <w:r>
              <w:rPr>
                <w:rFonts w:hint="eastAsia" w:ascii="Calibri" w:hAnsi="Calibri" w:eastAsia="宋体" w:cs="Times New Roman"/>
                <w:lang w:val="en-US" w:eastAsia="zh-CN"/>
              </w:rPr>
              <w:t xml:space="preserve">2、</w:t>
            </w:r>
            <w:r>
              <w:rPr>
                <w:rFonts w:hint="default" w:ascii="Calibri" w:hAnsi="Calibri" w:eastAsia="宋体" w:cs="Times New Roman"/>
              </w:rPr>
              <w:t xml:space="preserve">采购需求中</w:t>
            </w:r>
            <w:r>
              <w:rPr>
                <w:rFonts w:ascii="宋体" w:hAnsi="宋体" w:eastAsia="宋体" w:cs="宋体"/>
                <w:color w:val="000000"/>
                <w:sz w:val="21"/>
                <w:szCs w:val="21"/>
              </w:rPr>
              <w:t xml:space="preserve">国家体育总局认可的权威检测机构相关证书</w:t>
            </w:r>
            <w:r>
              <w:rPr>
                <w:rFonts w:hint="eastAsia" w:ascii="Calibri" w:hAnsi="Calibri" w:eastAsia="宋体" w:cs="Times New Roman"/>
                <w:lang w:val="en-US" w:eastAsia="zh-CN"/>
              </w:rPr>
              <w:t xml:space="preserve">登记的内容，以证书登记信息为准，其余需要提供证明材料的</w:t>
            </w:r>
            <w:r>
              <w:rPr>
                <w:rFonts w:hint="default" w:ascii="Calibri" w:hAnsi="Calibri" w:eastAsia="宋体" w:cs="Times New Roman"/>
              </w:rPr>
              <w:t xml:space="preserve">以证明材料为准；</w:t>
            </w:r>
            <w:r>
              <w:rPr>
                <w:rFonts w:hint="eastAsia" w:ascii="Calibri" w:hAnsi="Calibri" w:eastAsia="宋体" w:cs="Times New Roman"/>
                <w:lang w:val="en-US" w:eastAsia="zh-CN"/>
              </w:rPr>
              <w:t xml:space="preserve">3</w:t>
            </w:r>
            <w:r>
              <w:rPr>
                <w:rFonts w:hint="eastAsia" w:ascii="Calibri" w:hAnsi="Calibri" w:eastAsia="宋体" w:cs="Times New Roman"/>
              </w:rPr>
              <w:t xml:space="preserve">、</w:t>
            </w:r>
            <w:r>
              <w:rPr>
                <w:rFonts w:hint="default" w:ascii="Calibri" w:hAnsi="Calibri" w:eastAsia="宋体" w:cs="Times New Roman"/>
              </w:rPr>
              <w:t xml:space="preserve">采购需求中未要求提供证明材料的，以《响应偏离表》为准。未按要求提供证明材料或未在响应偏离表中列明偏离情况的对应项按负偏离进行扣分处理。</w:t>
            </w:r>
            <w:r>
              <w:rPr>
                <w:rFonts w:hint="eastAsia" w:ascii="Calibri" w:hAnsi="Calibri" w:eastAsia="宋体" w:cs="Times New Roman"/>
                <w:lang w:val="en-US" w:eastAsia="zh-CN"/>
              </w:rPr>
              <w:t xml:space="preserve">4</w:t>
            </w:r>
            <w:r>
              <w:rPr>
                <w:rFonts w:hint="eastAsia" w:ascii="Calibri" w:hAnsi="Calibri" w:eastAsia="宋体" w:cs="Times New Roman"/>
              </w:rPr>
              <w:t xml:space="preserve">、</w:t>
            </w:r>
            <w:r>
              <w:rPr>
                <w:rFonts w:hint="default" w:ascii="Calibri" w:hAnsi="Calibri" w:eastAsia="宋体" w:cs="Times New Roman"/>
              </w:rPr>
              <w:t xml:space="preserve">★号部分</w:t>
            </w:r>
            <w:r>
              <w:rPr>
                <w:rFonts w:hint="eastAsia" w:ascii="Calibri" w:hAnsi="Calibri" w:eastAsia="宋体" w:cs="Times New Roman"/>
              </w:rPr>
              <w:t xml:space="preserve">为实质性相应</w:t>
            </w:r>
            <w:r>
              <w:rPr>
                <w:rFonts w:hint="default" w:ascii="Calibri" w:hAnsi="Calibri" w:eastAsia="宋体" w:cs="Times New Roman"/>
              </w:rPr>
              <w:t xml:space="preserve">不接受负偏离，否则作无效投标处理</w:t>
            </w:r>
            <w:r>
              <w:rPr>
                <w:rFonts w:hint="eastAsia" w:ascii="Calibri" w:hAnsi="Calibri" w:eastAsia="宋体" w:cs="Times New Roman"/>
              </w:rPr>
              <w:t xml:space="preserve">，认定内容均以</w:t>
            </w:r>
            <w:r>
              <w:rPr>
                <w:rFonts w:ascii="宋体" w:hAnsi="宋体" w:eastAsia="宋体" w:cs="宋体"/>
                <w:color w:val="000000"/>
                <w:sz w:val="21"/>
                <w:szCs w:val="21"/>
              </w:rPr>
              <w:t xml:space="preserve">国家体育总局认可的权威检测机构相关证书</w:t>
            </w:r>
            <w:r>
              <w:rPr>
                <w:rFonts w:hint="eastAsia" w:ascii="Calibri" w:hAnsi="Calibri" w:eastAsia="宋体" w:cs="Times New Roman"/>
              </w:rPr>
              <w:t xml:space="preserve">登记为准。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企业经营业绩、信誉</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企业业绩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6.00分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投标人具有类似业绩的，每有一个得2分，最高得6分。（业绩须同时提供项目中标通知书、合同和甲方出具的验收合格材料复印件加盖公章，且业绩合同中主要内容、标的、金额等清晰可见，否则该业绩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企业荣誉、证书及综合实力</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4</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1、</w:t>
            </w:r>
            <w:r>
              <w:rPr>
                <w:rFonts w:hint="default" w:ascii="Calibri" w:hAnsi="Calibri" w:eastAsia="宋体" w:cs="Times New Roman"/>
              </w:rPr>
              <w:t xml:space="preserve">投标产品提供有效期内的质量体系认证、环境管理体系认证、职业健康安全管理体系认证的得每有一个得</w:t>
            </w:r>
            <w:r>
              <w:rPr>
                <w:rFonts w:hint="eastAsia" w:ascii="Calibri" w:hAnsi="Calibri" w:eastAsia="宋体" w:cs="Times New Roman"/>
              </w:rPr>
              <w:t xml:space="preserve">1</w:t>
            </w:r>
            <w:r>
              <w:rPr>
                <w:rFonts w:hint="default" w:ascii="Calibri" w:hAnsi="Calibri" w:eastAsia="宋体" w:cs="Times New Roman"/>
              </w:rPr>
              <w:t xml:space="preserve">分，最高得</w:t>
            </w:r>
            <w:r>
              <w:rPr>
                <w:rFonts w:hint="eastAsia" w:ascii="Calibri" w:hAnsi="Calibri" w:eastAsia="宋体" w:cs="Times New Roman"/>
              </w:rPr>
              <w:t xml:space="preserve">3</w:t>
            </w:r>
            <w:r>
              <w:rPr>
                <w:rFonts w:hint="default" w:ascii="Calibri" w:hAnsi="Calibri" w:eastAsia="宋体" w:cs="Times New Roman"/>
              </w:rPr>
              <w:t xml:space="preserve">分。</w:t>
            </w:r>
            <w:r/>
          </w:p>
          <w:p>
            <w:pPr>
              <w:jc w:val="left"/>
              <w:widowControl w:val="off"/>
              <w:rPr>
                <w:rFonts w:hint="default" w:ascii="Calibri" w:hAnsi="Calibri" w:eastAsia="宋体" w:cs="Times New Roman"/>
              </w:rPr>
            </w:pPr>
            <w:r>
              <w:rPr>
                <w:rFonts w:hint="eastAsia" w:ascii="Calibri" w:hAnsi="Calibri" w:eastAsia="宋体" w:cs="Times New Roman"/>
              </w:rPr>
              <w:t xml:space="preserve">2</w:t>
            </w:r>
            <w:r>
              <w:rPr>
                <w:rFonts w:hint="default" w:ascii="Calibri" w:hAnsi="Calibri" w:eastAsia="宋体" w:cs="Times New Roman"/>
              </w:rPr>
              <w:t xml:space="preserve">、投标产品获得中国绿色材料标志授权使用证书的得</w:t>
            </w:r>
            <w:r>
              <w:rPr>
                <w:rFonts w:hint="eastAsia" w:ascii="Calibri" w:hAnsi="Calibri" w:eastAsia="宋体" w:cs="Times New Roman"/>
              </w:rPr>
              <w:t xml:space="preserve">1</w:t>
            </w:r>
            <w:r>
              <w:rPr>
                <w:rFonts w:hint="default" w:ascii="Calibri" w:hAnsi="Calibri" w:eastAsia="宋体" w:cs="Times New Roman"/>
              </w:rPr>
              <w:t xml:space="preserve">分。 </w:t>
            </w:r>
            <w:r/>
          </w:p>
          <w:p>
            <w:pPr>
              <w:jc w:val="left"/>
              <w:widowControl w:val="off"/>
              <w:rPr>
                <w:rFonts w:hint="default" w:ascii="Calibri" w:hAnsi="Calibri" w:eastAsia="宋体" w:cs="Times New Roman"/>
              </w:rPr>
            </w:pPr>
            <w:r>
              <w:rPr>
                <w:rFonts w:hint="default" w:ascii="Calibri" w:hAnsi="Calibri" w:eastAsia="宋体" w:cs="Times New Roman"/>
              </w:rPr>
              <w:t xml:space="preserve">以上提供相关证书材料原件扫描件加盖公章，未提供不得分。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节能环保</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2.00分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 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9</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项目实施方案，包括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分；有项目实施方案、但方案内容笼统、针对本项目制定未细致、但承诺经过优化可实现采购需求的得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管理力量、技术人员安排</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6</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五、其他要求提供拟投入本项目人员管理及人员配备情况和使用计划进行打分。人员安排充足且合理、管理机构健全程度高、技术人员综合能力强、项目安装期仓储和车辆调度效率高的得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分；人员安排充足、管理机构健全、技术人员配置一般、有安装期暂存点的得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分；人员安排一般、管理机构不全、技术人员配置不到位、项目安装期无暂存点的得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分。本项最高得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分，没有内容的不得分。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应急响应方案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5.00分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应急响应方案，投标人在运输，安装和交付使用后，可能发生的紧急情况具有完善的应急响应方案，投标人须详尽的列明不可预见的情况并提供针对此情况发生后的响应方案，评委会根据采购需求对投标人所投方案内容进行打分，应急响应方案健全且优于采购需求的得</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分；有应急响应方案、但方案内容笼统、针对本项目制定未细致、但承诺经过优化可实现采购需求的得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售后服务</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8</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制定售后服务方案：具有完善的售后服务管理体系，提供包含服务范围、响应时间以及质保期满后主要产品、配件优惠方案、完整的售后服务方案、地面处理建议方案等。方案详细、响应及时、服务体系完整的得</w:t>
            </w: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分；方案详细、服务范围广泛、响应虽有滞后性，服务体系完整，但能基本确保稳定运行的得</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分；方案粗略、服务范围狭窄、响应滞后、服务体系虽完整，但缺乏有效保障稳定运行的措施的得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bl>
    <w:p>
      <w:pPr>
        <w:numPr>
          <w:ilvl w:val="0"/>
          <w:numId w:val="0"/>
        </w:num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rPr>
      </w:pPr>
      <w:r>
        <w:rPr>
          <w:rFonts w:hint="eastAsia" w:ascii="宋体" w:hAnsi="宋体" w:eastAsia="宋体" w:cs="宋体"/>
          <w:b/>
          <w:bCs/>
          <w:color w:val="auto"/>
          <w:sz w:val="24"/>
          <w:highlight w:val="none"/>
          <w:lang w:val="en-US" w:eastAsia="zh-CN"/>
        </w:rPr>
        <w:t xml:space="preserve">分包三：</w:t>
      </w:r>
      <w:r/>
    </w:p>
    <w:tbl>
      <w:tblPr>
        <w:tblStyle w:val="816"/>
        <w:tblW w:w="5009" w:type="pct"/>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541"/>
        <w:gridCol w:w="2052"/>
        <w:gridCol w:w="899"/>
        <w:gridCol w:w="4493"/>
      </w:tblGrid>
      <w:tr>
        <w:trPr/>
        <w:tc>
          <w:tcPr>
            <w:gridSpan w:val="2"/>
            <w:tcBorders>
              <w:top w:val="single" w:color="auto" w:sz="6" w:space="0"/>
              <w:left w:val="single" w:color="auto" w:sz="6" w:space="0"/>
              <w:bottom w:val="single" w:color="auto" w:sz="6" w:space="0"/>
              <w:right w:val="single" w:color="auto" w:sz="6" w:space="0"/>
            </w:tcBorders>
            <w:tcW w:w="2000" w:type="pct"/>
            <w:vAlign w:val="center"/>
            <w:textDirection w:val="lrTb"/>
            <w:noWrap w:val="false"/>
          </w:tcPr>
          <w:p>
            <w:pPr>
              <w:jc w:val="center"/>
              <w:widowControl w:val="off"/>
              <w:rPr>
                <w:rFonts w:hint="default" w:ascii="Calibri" w:hAnsi="Calibri" w:eastAsia="宋体" w:cs="Times New Roman"/>
              </w:rPr>
            </w:pPr>
            <w:r>
              <w:rPr>
                <w:rFonts w:hint="default" w:ascii="Calibri" w:hAnsi="Calibri" w:eastAsia="宋体" w:cs="Times New Roman"/>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widowControl w:val="off"/>
              <w:rPr>
                <w:rFonts w:hint="default" w:ascii="Calibri" w:hAnsi="Calibri" w:eastAsia="宋体" w:cs="Times New Roman"/>
              </w:rPr>
            </w:pPr>
            <w:r>
              <w:rPr>
                <w:rFonts w:hint="default" w:ascii="Calibri" w:hAnsi="Calibri" w:eastAsia="宋体" w:cs="Times New Roman"/>
              </w:rPr>
              <w:t xml:space="preserve">分数</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hint="default" w:ascii="Calibri" w:hAnsi="Calibri" w:eastAsia="宋体" w:cs="Times New Roman"/>
              </w:rPr>
            </w:pPr>
            <w:r>
              <w:rPr>
                <w:rFonts w:hint="default" w:ascii="Calibri" w:hAnsi="Calibri" w:eastAsia="宋体" w:cs="Times New Roman"/>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采用低价优先法计算，即满足招标文件要求且投标价格最低的投标报价为评标基准价，其价格分为满分。其他投标人投标报价得分＝（评标基准价/投标报价）*30。 </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技术响应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技术参数响应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sz w:val="21"/>
                <w:szCs w:val="22"/>
                <w:lang w:val="en-US" w:eastAsia="zh-CN" w:bidi="ar-SA"/>
              </w:rPr>
            </w:pPr>
            <w:r>
              <w:rPr>
                <w:rFonts w:hint="default" w:ascii="Calibri" w:hAnsi="Calibri" w:eastAsia="宋体" w:cs="Times New Roman"/>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both"/>
              <w:spacing w:before="0" w:after="0"/>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针对招标文件“第四章、采购需求”中的“二、采购清单及技术要求</w:t>
            </w:r>
            <w:r>
              <w:rPr>
                <w:rFonts w:hint="eastAsia" w:ascii="宋体" w:hAnsi="宋体" w:eastAsia="宋体" w:cs="宋体"/>
                <w:color w:val="000000"/>
                <w:sz w:val="21"/>
                <w:szCs w:val="21"/>
                <w:lang w:val="en-US" w:eastAsia="zh-CN"/>
              </w:rPr>
              <w:t xml:space="preserve">分包三</w:t>
            </w:r>
            <w:r>
              <w:rPr>
                <w:rFonts w:ascii="Times New Roman" w:hAnsi="Times New Roman" w:eastAsia="Times New Roman" w:cs="Times New Roman"/>
                <w:color w:val="000000"/>
                <w:sz w:val="21"/>
                <w:szCs w:val="21"/>
              </w:rPr>
              <w:t xml:space="preserve">”</w:t>
            </w:r>
            <w:r>
              <w:rPr>
                <w:rFonts w:ascii="宋体" w:hAnsi="宋体" w:eastAsia="宋体" w:cs="宋体"/>
                <w:color w:val="000000"/>
                <w:sz w:val="21"/>
                <w:szCs w:val="21"/>
              </w:rPr>
              <w:t xml:space="preserve">所列内容进行评分，投标人所投产品的技术性能、功能、参数、规格等能够完全满足招标文件要求的得基本分</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分。每有一项负偏离扣</w:t>
            </w:r>
            <w:r>
              <w:rPr>
                <w:rFonts w:ascii="Times New Roman" w:hAnsi="Times New Roman" w:eastAsia="Times New Roman" w:cs="Times New Roman"/>
                <w:color w:val="000000"/>
                <w:sz w:val="21"/>
                <w:szCs w:val="21"/>
              </w:rPr>
              <w:t xml:space="preserve"> </w:t>
            </w: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Times New Roman" w:cs="Times New Roman"/>
                <w:color w:val="000000"/>
                <w:sz w:val="21"/>
                <w:szCs w:val="21"/>
              </w:rPr>
              <w:t xml:space="preserve"> </w:t>
            </w:r>
            <w:r>
              <w:rPr>
                <w:rFonts w:ascii="宋体" w:hAnsi="宋体" w:eastAsia="宋体" w:cs="宋体"/>
                <w:color w:val="000000"/>
                <w:sz w:val="21"/>
                <w:szCs w:val="21"/>
              </w:rPr>
              <w:t xml:space="preserve">分，扣完为止，本项最低得</w:t>
            </w:r>
            <w:r>
              <w:rPr>
                <w:rFonts w:ascii="Times New Roman" w:hAnsi="Times New Roman" w:eastAsia="Times New Roman" w:cs="Times New Roman"/>
                <w:color w:val="000000"/>
                <w:sz w:val="21"/>
                <w:szCs w:val="21"/>
              </w:rPr>
              <w:t xml:space="preserve">0</w:t>
            </w:r>
            <w:r>
              <w:rPr>
                <w:rFonts w:ascii="宋体" w:hAnsi="宋体" w:eastAsia="宋体" w:cs="宋体"/>
                <w:color w:val="000000"/>
                <w:sz w:val="21"/>
                <w:szCs w:val="21"/>
              </w:rPr>
              <w:t xml:space="preserve">分，最高得</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w:t>
            </w:r>
            <w:r/>
          </w:p>
          <w:p>
            <w:pPr>
              <w:jc w:val="left"/>
              <w:widowControl w:val="off"/>
              <w:rPr>
                <w:rFonts w:hint="default" w:ascii="Calibri" w:hAnsi="Calibri" w:eastAsia="宋体" w:cs="Times New Roman"/>
                <w:sz w:val="21"/>
                <w:szCs w:val="22"/>
                <w:lang w:val="en-US" w:eastAsia="zh-CN" w:bidi="ar-SA"/>
              </w:rPr>
            </w:pPr>
            <w:r>
              <w:rPr>
                <w:rFonts w:hint="default" w:ascii="Calibri" w:hAnsi="Calibri" w:eastAsia="宋体" w:cs="Times New Roman"/>
              </w:rPr>
              <w:t xml:space="preserve">注：</w:t>
            </w:r>
            <w:r>
              <w:rPr>
                <w:rFonts w:hint="eastAsia" w:ascii="Calibri" w:hAnsi="Calibri" w:eastAsia="宋体" w:cs="Times New Roman"/>
              </w:rPr>
              <w:t xml:space="preserve">1、</w:t>
            </w:r>
            <w:r>
              <w:rPr>
                <w:rFonts w:hint="default" w:ascii="Calibri" w:hAnsi="Calibri" w:eastAsia="宋体" w:cs="Times New Roman"/>
              </w:rPr>
              <w:t xml:space="preserve">供应商针对本项评标内容在响应文件《响应偏离表》中逐条列出响应及偏离情况</w:t>
            </w:r>
            <w:r>
              <w:rPr>
                <w:rFonts w:hint="eastAsia" w:ascii="Calibri" w:hAnsi="Calibri" w:eastAsia="宋体" w:cs="Times New Roman"/>
                <w:lang w:eastAsia="zh-CN"/>
              </w:rPr>
              <w:t xml:space="preserve">；</w:t>
            </w:r>
            <w:r>
              <w:rPr>
                <w:rFonts w:hint="eastAsia" w:ascii="Calibri" w:hAnsi="Calibri" w:eastAsia="宋体" w:cs="Times New Roman"/>
                <w:lang w:val="en-US" w:eastAsia="zh-CN"/>
              </w:rPr>
              <w:t xml:space="preserve">2、</w:t>
            </w:r>
            <w:r>
              <w:rPr>
                <w:rFonts w:hint="default" w:ascii="Calibri" w:hAnsi="Calibri" w:eastAsia="宋体" w:cs="Times New Roman"/>
              </w:rPr>
              <w:t xml:space="preserve">采购需求中</w:t>
            </w:r>
            <w:r>
              <w:rPr>
                <w:rFonts w:ascii="宋体" w:hAnsi="宋体" w:eastAsia="宋体" w:cs="宋体"/>
                <w:color w:val="000000"/>
                <w:sz w:val="21"/>
                <w:szCs w:val="21"/>
              </w:rPr>
              <w:t xml:space="preserve">国家体育总局认可的权威检测机构相关证书</w:t>
            </w:r>
            <w:r>
              <w:rPr>
                <w:rFonts w:hint="eastAsia" w:ascii="Calibri" w:hAnsi="Calibri" w:eastAsia="宋体" w:cs="Times New Roman"/>
                <w:lang w:val="en-US" w:eastAsia="zh-CN"/>
              </w:rPr>
              <w:t xml:space="preserve">登记的内容，以证书登记信息为准，其余需要提供证明材料的</w:t>
            </w:r>
            <w:r>
              <w:rPr>
                <w:rFonts w:hint="default" w:ascii="Calibri" w:hAnsi="Calibri" w:eastAsia="宋体" w:cs="Times New Roman"/>
              </w:rPr>
              <w:t xml:space="preserve">以证明材料为准；</w:t>
            </w:r>
            <w:r>
              <w:rPr>
                <w:rFonts w:hint="eastAsia" w:ascii="Calibri" w:hAnsi="Calibri" w:eastAsia="宋体" w:cs="Times New Roman"/>
                <w:lang w:val="en-US" w:eastAsia="zh-CN"/>
              </w:rPr>
              <w:t xml:space="preserve">3</w:t>
            </w:r>
            <w:r>
              <w:rPr>
                <w:rFonts w:hint="eastAsia" w:ascii="Calibri" w:hAnsi="Calibri" w:eastAsia="宋体" w:cs="Times New Roman"/>
              </w:rPr>
              <w:t xml:space="preserve">、</w:t>
            </w:r>
            <w:r>
              <w:rPr>
                <w:rFonts w:hint="default" w:ascii="Calibri" w:hAnsi="Calibri" w:eastAsia="宋体" w:cs="Times New Roman"/>
              </w:rPr>
              <w:t xml:space="preserve">采购需求中未要求提供证明材料的，以《响应偏离表》为准。未按要求提供证明材料或未在响应偏离表中列明偏离情况的对应项按负偏离进行扣分处理。</w:t>
            </w:r>
            <w:r>
              <w:rPr>
                <w:rFonts w:hint="eastAsia" w:ascii="Calibri" w:hAnsi="Calibri" w:eastAsia="宋体" w:cs="Times New Roman"/>
                <w:lang w:val="en-US" w:eastAsia="zh-CN"/>
              </w:rPr>
              <w:t xml:space="preserve">4</w:t>
            </w:r>
            <w:r>
              <w:rPr>
                <w:rFonts w:hint="eastAsia" w:ascii="Calibri" w:hAnsi="Calibri" w:eastAsia="宋体" w:cs="Times New Roman"/>
              </w:rPr>
              <w:t xml:space="preserve">、</w:t>
            </w:r>
            <w:r>
              <w:rPr>
                <w:rFonts w:hint="default" w:ascii="Calibri" w:hAnsi="Calibri" w:eastAsia="宋体" w:cs="Times New Roman"/>
              </w:rPr>
              <w:t xml:space="preserve">★号部分</w:t>
            </w:r>
            <w:r>
              <w:rPr>
                <w:rFonts w:hint="eastAsia" w:ascii="Calibri" w:hAnsi="Calibri" w:eastAsia="宋体" w:cs="Times New Roman"/>
              </w:rPr>
              <w:t xml:space="preserve">为实质性相应</w:t>
            </w:r>
            <w:r>
              <w:rPr>
                <w:rFonts w:hint="default" w:ascii="Calibri" w:hAnsi="Calibri" w:eastAsia="宋体" w:cs="Times New Roman"/>
              </w:rPr>
              <w:t xml:space="preserve">不接受负偏离，否则作无效投标处理</w:t>
            </w:r>
            <w:r>
              <w:rPr>
                <w:rFonts w:hint="eastAsia" w:ascii="Calibri" w:hAnsi="Calibri" w:eastAsia="宋体" w:cs="Times New Roman"/>
              </w:rPr>
              <w:t xml:space="preserve">，认定内容均以</w:t>
            </w:r>
            <w:r>
              <w:rPr>
                <w:rFonts w:ascii="宋体" w:hAnsi="宋体" w:eastAsia="宋体" w:cs="宋体"/>
                <w:color w:val="000000"/>
                <w:sz w:val="21"/>
                <w:szCs w:val="21"/>
              </w:rPr>
              <w:t xml:space="preserve">国家体育总局认可的权威检测机构相关证书</w:t>
            </w:r>
            <w:r>
              <w:rPr>
                <w:rFonts w:hint="eastAsia" w:ascii="Calibri" w:hAnsi="Calibri" w:eastAsia="宋体" w:cs="Times New Roman"/>
              </w:rPr>
              <w:t xml:space="preserve">登记为准。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企业经营业绩、信誉</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企业业绩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6.00分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投标人具有类似业绩的，每有一个得2分，最高得6分。（业绩须同时提供项目中标通知书、合同和甲方出具的验收合格材料复印件加盖公章，且业绩合同中主要内容、标的、金额等清晰可见，否则该业绩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企业荣誉、证书及综合实力</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4</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1、</w:t>
            </w:r>
            <w:r>
              <w:rPr>
                <w:rFonts w:hint="default" w:ascii="Calibri" w:hAnsi="Calibri" w:eastAsia="宋体" w:cs="Times New Roman"/>
              </w:rPr>
              <w:t xml:space="preserve">投标产品提供有效期内的质量体系认证、环境管理体系认证、职业健康安全管理体系认证的得每有一个得</w:t>
            </w:r>
            <w:r>
              <w:rPr>
                <w:rFonts w:hint="eastAsia" w:ascii="Calibri" w:hAnsi="Calibri" w:eastAsia="宋体" w:cs="Times New Roman"/>
              </w:rPr>
              <w:t xml:space="preserve">1</w:t>
            </w:r>
            <w:r>
              <w:rPr>
                <w:rFonts w:hint="default" w:ascii="Calibri" w:hAnsi="Calibri" w:eastAsia="宋体" w:cs="Times New Roman"/>
              </w:rPr>
              <w:t xml:space="preserve">分，最高得</w:t>
            </w:r>
            <w:r>
              <w:rPr>
                <w:rFonts w:hint="eastAsia" w:ascii="Calibri" w:hAnsi="Calibri" w:eastAsia="宋体" w:cs="Times New Roman"/>
              </w:rPr>
              <w:t xml:space="preserve">3</w:t>
            </w:r>
            <w:r>
              <w:rPr>
                <w:rFonts w:hint="default" w:ascii="Calibri" w:hAnsi="Calibri" w:eastAsia="宋体" w:cs="Times New Roman"/>
              </w:rPr>
              <w:t xml:space="preserve">分。</w:t>
            </w:r>
            <w:r/>
          </w:p>
          <w:p>
            <w:pPr>
              <w:jc w:val="left"/>
              <w:widowControl w:val="off"/>
              <w:rPr>
                <w:rFonts w:hint="default" w:ascii="Calibri" w:hAnsi="Calibri" w:eastAsia="宋体" w:cs="Times New Roman"/>
              </w:rPr>
            </w:pPr>
            <w:r>
              <w:rPr>
                <w:rFonts w:hint="eastAsia" w:ascii="Calibri" w:hAnsi="Calibri" w:eastAsia="宋体" w:cs="Times New Roman"/>
              </w:rPr>
              <w:t xml:space="preserve">2</w:t>
            </w:r>
            <w:r>
              <w:rPr>
                <w:rFonts w:hint="default" w:ascii="Calibri" w:hAnsi="Calibri" w:eastAsia="宋体" w:cs="Times New Roman"/>
              </w:rPr>
              <w:t xml:space="preserve">、投标产品获得中国绿色材料标志授权使用证书的得</w:t>
            </w:r>
            <w:r>
              <w:rPr>
                <w:rFonts w:hint="eastAsia" w:ascii="Calibri" w:hAnsi="Calibri" w:eastAsia="宋体" w:cs="Times New Roman"/>
              </w:rPr>
              <w:t xml:space="preserve">1</w:t>
            </w:r>
            <w:r>
              <w:rPr>
                <w:rFonts w:hint="default" w:ascii="Calibri" w:hAnsi="Calibri" w:eastAsia="宋体" w:cs="Times New Roman"/>
              </w:rPr>
              <w:t xml:space="preserve">分。 </w:t>
            </w:r>
            <w:r/>
          </w:p>
          <w:p>
            <w:pPr>
              <w:jc w:val="left"/>
              <w:widowControl w:val="off"/>
              <w:rPr>
                <w:rFonts w:hint="default" w:ascii="Calibri" w:hAnsi="Calibri" w:eastAsia="宋体" w:cs="Times New Roman"/>
              </w:rPr>
            </w:pPr>
            <w:r>
              <w:rPr>
                <w:rFonts w:hint="default" w:ascii="Calibri" w:hAnsi="Calibri" w:eastAsia="宋体" w:cs="Times New Roman"/>
              </w:rPr>
              <w:t xml:space="preserve">以上提供相关证书材料原件扫描件加盖公章，未提供不得分。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节能环保</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2.00分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 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9</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项目实施方案，包括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分；有项目实施方案、但方案内容笼统、针对本项目制定未细致、但承诺经过优化可实现采购需求的得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管理力量、技术人员安排</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6</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五、其他要求提供拟投入本项目人员管理及人员配备情况和使用计划进行打分。人员安排充足且合理、管理机构健全程度高、技术人员综合能力强、项目安装期仓储和车辆调度效率高的得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分；人员安排充足、管理机构健全、技术人员配置一般、有安装期暂存点的得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分；人员安排一般、管理机构不全、技术人员配置不到位、项目安装期无暂存点的得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分。本项最高得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分，没有内容的不得分。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应急响应方案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5.00分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应急响应方案，投标人在运输，安装和交付使用后，可能发生的紧急情况具有完善的应急响应方案，投标人须详尽的列明不可预见的情况并提供针对此情况发生后的响应方案，评委会根据采购需求对投标人所投方案内容进行打分，应急响应方案健全且优于采购需求的得</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分；有应急响应方案、但方案内容笼统、针对本项目制定未细致、但承诺经过优化可实现采购需求的得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售后服务</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8</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制定售后服务方案：具有完善的售后服务管理体系，提供包含服务范围、响应时间以及质保期满后主要产品、配件优惠方案、完整的售后服务方案、地面处理建议方案等。方案详细、响应及时、服务体系完整的得</w:t>
            </w: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分；方案详细、服务范围广泛、响应虽有滞后性，服务体系完整，但能基本确保稳定运行的得</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分；方案粗略、服务范围狭窄、响应滞后、服务体系虽完整，但缺乏有效保障稳定运行的措施的得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bl>
    <w:p>
      <w:pPr>
        <w:pStyle w:val="820"/>
        <w:rPr>
          <w:rFonts w:hint="eastAsia"/>
        </w:rPr>
      </w:pPr>
      <w:r>
        <w:rPr>
          <w:rFonts w:hint="eastAsia"/>
        </w:rPr>
      </w:r>
      <w:r/>
    </w:p>
    <w:p>
      <w:pPr>
        <w:jc w:val="both"/>
        <w:widowControl w:val="off"/>
        <w:rPr>
          <w:rFonts w:hint="eastAsia" w:ascii="楷体_GB2312" w:hAnsi="Arial" w:eastAsia="楷体_GB2312" w:cs="Times New Roman"/>
          <w:sz w:val="28"/>
          <w:szCs w:val="28"/>
          <w:lang w:val="en-US" w:eastAsia="zh-CN" w:bidi="ar-SA"/>
        </w:rPr>
      </w:pPr>
      <w:r>
        <w:rPr>
          <w:rFonts w:hint="eastAsia" w:ascii="宋体" w:hAnsi="宋体" w:eastAsia="宋体" w:cs="宋体"/>
          <w:b/>
          <w:bCs/>
          <w:color w:val="auto"/>
          <w:sz w:val="24"/>
          <w:szCs w:val="28"/>
          <w:highlight w:val="none"/>
          <w:lang w:val="en-US" w:eastAsia="zh-CN" w:bidi="ar-SA"/>
        </w:rPr>
        <w:t xml:space="preserve">分包四：</w:t>
      </w:r>
      <w:r/>
    </w:p>
    <w:tbl>
      <w:tblPr>
        <w:tblStyle w:val="816"/>
        <w:tblW w:w="5000" w:type="pct"/>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538"/>
        <w:gridCol w:w="2049"/>
        <w:gridCol w:w="897"/>
        <w:gridCol w:w="4485"/>
      </w:tblGrid>
      <w:tr>
        <w:trPr/>
        <w:tc>
          <w:tcPr>
            <w:gridSpan w:val="2"/>
            <w:tcBorders>
              <w:top w:val="single" w:color="auto" w:sz="6" w:space="0"/>
              <w:left w:val="single" w:color="auto" w:sz="6" w:space="0"/>
              <w:bottom w:val="single" w:color="auto" w:sz="6" w:space="0"/>
              <w:right w:val="single" w:color="auto" w:sz="6" w:space="0"/>
            </w:tcBorders>
            <w:tcW w:w="2000" w:type="pct"/>
            <w:vAlign w:val="center"/>
            <w:textDirection w:val="lrTb"/>
            <w:noWrap w:val="false"/>
          </w:tcPr>
          <w:p>
            <w:pPr>
              <w:jc w:val="center"/>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分数</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采用低价优先法计算，即满足招标文件要求且投标价格最低的投标报价为评标基准价，其价格分为满分。其他投标人投标报价得分＝（评标基准价/投标报价）*30。 </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技术响应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技术参数响应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both"/>
              <w:spacing w:before="0" w:after="0"/>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针对招标文件“第四章、采购需求”中的“二、采购清单及技术要求</w:t>
            </w:r>
            <w:r>
              <w:rPr>
                <w:rFonts w:hint="eastAsia" w:ascii="宋体" w:hAnsi="宋体" w:eastAsia="宋体" w:cs="宋体"/>
                <w:color w:val="000000"/>
                <w:sz w:val="21"/>
                <w:szCs w:val="21"/>
                <w:lang w:val="en-US" w:eastAsia="zh-CN"/>
              </w:rPr>
              <w:t xml:space="preserve">分包四</w:t>
            </w:r>
            <w:r>
              <w:rPr>
                <w:rFonts w:ascii="Times New Roman" w:hAnsi="Times New Roman" w:eastAsia="Times New Roman" w:cs="Times New Roman"/>
                <w:color w:val="000000"/>
                <w:sz w:val="21"/>
                <w:szCs w:val="21"/>
              </w:rPr>
              <w:t xml:space="preserve">”</w:t>
            </w:r>
            <w:r>
              <w:rPr>
                <w:rFonts w:ascii="宋体" w:hAnsi="宋体" w:eastAsia="宋体" w:cs="宋体"/>
                <w:color w:val="000000"/>
                <w:sz w:val="21"/>
                <w:szCs w:val="21"/>
              </w:rPr>
              <w:t xml:space="preserve">所列内容进行评分，投标人所投产品的技术性能、功能、参数、规格等能够完全满足招标文件要求的得基本分</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分。每有一项负偏离扣</w:t>
            </w:r>
            <w:r>
              <w:rPr>
                <w:rFonts w:ascii="Times New Roman" w:hAnsi="Times New Roman" w:eastAsia="Times New Roman" w:cs="Times New Roman"/>
                <w:color w:val="000000"/>
                <w:sz w:val="21"/>
                <w:szCs w:val="21"/>
              </w:rPr>
              <w:t xml:space="preserve"> 1 </w:t>
            </w:r>
            <w:r>
              <w:rPr>
                <w:rFonts w:ascii="宋体" w:hAnsi="宋体" w:eastAsia="宋体" w:cs="宋体"/>
                <w:color w:val="000000"/>
                <w:sz w:val="21"/>
                <w:szCs w:val="21"/>
              </w:rPr>
              <w:t xml:space="preserve">分，扣完为止，本项最低得</w:t>
            </w:r>
            <w:r>
              <w:rPr>
                <w:rFonts w:ascii="Times New Roman" w:hAnsi="Times New Roman" w:eastAsia="Times New Roman" w:cs="Times New Roman"/>
                <w:color w:val="000000"/>
                <w:sz w:val="21"/>
                <w:szCs w:val="21"/>
              </w:rPr>
              <w:t xml:space="preserve">0</w:t>
            </w:r>
            <w:r>
              <w:rPr>
                <w:rFonts w:ascii="宋体" w:hAnsi="宋体" w:eastAsia="宋体" w:cs="宋体"/>
                <w:color w:val="000000"/>
                <w:sz w:val="21"/>
                <w:szCs w:val="21"/>
              </w:rPr>
              <w:t xml:space="preserve">分，最高得</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w:t>
            </w:r>
            <w:r/>
          </w:p>
          <w:p>
            <w:pPr>
              <w:jc w:val="left"/>
              <w:widowControl w:val="off"/>
              <w:rPr>
                <w:rFonts w:hint="default" w:ascii="Times New Roman" w:hAnsi="Times New Roman" w:eastAsia="宋体" w:cs="Times New Roman"/>
                <w:szCs w:val="21"/>
              </w:rPr>
            </w:pPr>
            <w:r>
              <w:rPr>
                <w:rFonts w:ascii="宋体" w:hAnsi="宋体" w:eastAsia="宋体" w:cs="宋体"/>
                <w:color w:val="000000"/>
                <w:sz w:val="21"/>
                <w:szCs w:val="21"/>
              </w:rPr>
              <w:t xml:space="preserve">注：</w:t>
            </w:r>
            <w:r>
              <w:rPr>
                <w:rFonts w:ascii="Times New Roman" w:hAnsi="Times New Roman" w:eastAsia="Times New Roman" w:cs="Times New Roman"/>
                <w:color w:val="000000"/>
                <w:sz w:val="21"/>
                <w:szCs w:val="21"/>
              </w:rPr>
              <w:t xml:space="preserve">1</w:t>
            </w:r>
            <w:r>
              <w:rPr>
                <w:rFonts w:ascii="宋体" w:hAnsi="宋体" w:eastAsia="宋体" w:cs="宋体"/>
                <w:color w:val="000000"/>
                <w:sz w:val="21"/>
                <w:szCs w:val="21"/>
              </w:rPr>
              <w:t xml:space="preserve">、供应商针对本项评标内容在响应文件《技术要求响应及偏离表》中逐条列出响应及偏离情况；</w:t>
            </w:r>
            <w:r>
              <w:rPr>
                <w:rFonts w:ascii="Times New Roman" w:hAnsi="Times New Roman" w:eastAsia="Times New Roman" w:cs="Times New Roman"/>
                <w:color w:val="000000"/>
                <w:sz w:val="21"/>
                <w:szCs w:val="21"/>
              </w:rPr>
              <w:t xml:space="preserve">2</w:t>
            </w:r>
            <w:r>
              <w:rPr>
                <w:rFonts w:ascii="宋体" w:hAnsi="宋体" w:eastAsia="宋体" w:cs="宋体"/>
                <w:color w:val="000000"/>
                <w:sz w:val="21"/>
                <w:szCs w:val="21"/>
              </w:rPr>
              <w:t xml:space="preserve">、采购需求中国家体育总局认可的权威检测机构相关证书登记的内容，以证书登记信息为准，其余需要提供证明材料的以证明材料为准；</w:t>
            </w:r>
            <w:r>
              <w:rPr>
                <w:rFonts w:ascii="Times New Roman" w:hAnsi="Times New Roman" w:eastAsia="Times New Roman" w:cs="Times New Roman"/>
                <w:color w:val="000000"/>
                <w:sz w:val="21"/>
                <w:szCs w:val="21"/>
              </w:rPr>
              <w:t xml:space="preserve">3</w:t>
            </w:r>
            <w:r>
              <w:rPr>
                <w:rFonts w:ascii="宋体" w:hAnsi="宋体" w:eastAsia="宋体" w:cs="宋体"/>
                <w:color w:val="000000"/>
                <w:sz w:val="21"/>
                <w:szCs w:val="21"/>
              </w:rPr>
              <w:t xml:space="preserve">、采购需求中未要求提供证明材料的，以《技术要求响应及偏离表》为准。未按要求提供证明材料或未在技术要求响应及偏离表中列明偏离情况的对应项按负偏离进行扣分处理。</w:t>
            </w:r>
            <w:r>
              <w:rPr>
                <w:rFonts w:ascii="Times New Roman" w:hAnsi="Times New Roman" w:eastAsia="Times New Roman" w:cs="Times New Roman"/>
                <w:color w:val="000000"/>
                <w:sz w:val="21"/>
                <w:szCs w:val="21"/>
              </w:rPr>
              <w:t xml:space="preserve">4</w:t>
            </w:r>
            <w:r>
              <w:rPr>
                <w:rFonts w:ascii="宋体" w:hAnsi="宋体" w:eastAsia="宋体" w:cs="宋体"/>
                <w:color w:val="000000"/>
                <w:sz w:val="21"/>
                <w:szCs w:val="21"/>
              </w:rPr>
              <w:t xml:space="preserve">、</w:t>
            </w:r>
            <w:r>
              <w:rPr>
                <w:rFonts w:ascii="Times New Roman" w:hAnsi="Times New Roman" w:eastAsia="Times New Roman" w:cs="Times New Roman"/>
                <w:color w:val="000000"/>
                <w:sz w:val="21"/>
                <w:szCs w:val="21"/>
              </w:rPr>
              <w:t xml:space="preserve">★</w:t>
            </w:r>
            <w:r>
              <w:rPr>
                <w:rFonts w:ascii="宋体" w:hAnsi="宋体" w:eastAsia="宋体" w:cs="宋体"/>
                <w:color w:val="000000"/>
                <w:sz w:val="21"/>
                <w:szCs w:val="21"/>
              </w:rPr>
              <w:t xml:space="preserve">号部分为实质性相应不接受负偏离，否则作无效投标处理，认定内容均以国家体育总局认可的权威检测机构相关证书登记为准。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企业经营业绩、信誉</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企业业绩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6.00分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具有类似业绩的，每有一个得2分，最高得6分。（业绩须同时提供项目中标通知书、合同和甲方出具的验收合格材料复印件加盖公章，且业绩合同中主要内容、标的、金额等清晰可见，否则该业绩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企业荣誉、证书及综合实力</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4</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1、</w:t>
            </w:r>
            <w:r>
              <w:rPr>
                <w:rFonts w:hint="default" w:ascii="Times New Roman" w:hAnsi="Times New Roman" w:eastAsia="宋体" w:cs="Times New Roman"/>
                <w:szCs w:val="21"/>
              </w:rPr>
              <w:t xml:space="preserve">投标</w:t>
            </w:r>
            <w:r>
              <w:rPr>
                <w:rFonts w:hint="eastAsia" w:ascii="Times New Roman" w:hAnsi="Times New Roman" w:eastAsia="宋体" w:cs="Times New Roman"/>
                <w:szCs w:val="21"/>
                <w:lang w:val="en-US" w:eastAsia="zh-CN"/>
              </w:rPr>
              <w:t xml:space="preserve">产品</w:t>
            </w:r>
            <w:r>
              <w:rPr>
                <w:rFonts w:hint="default" w:ascii="Times New Roman" w:hAnsi="Times New Roman" w:eastAsia="宋体" w:cs="Times New Roman"/>
                <w:szCs w:val="21"/>
              </w:rPr>
              <w:t xml:space="preserve">提供有效期内的质量体系认证、环境管理体系认证、职业健康安全管理体系认证</w:t>
            </w:r>
            <w:r>
              <w:rPr>
                <w:rFonts w:hint="eastAsia" w:ascii="Times New Roman" w:hAnsi="Times New Roman" w:eastAsia="宋体" w:cs="Times New Roman"/>
                <w:szCs w:val="21"/>
                <w:lang w:eastAsia="zh-CN"/>
              </w:rPr>
              <w:t xml:space="preserve">的</w:t>
            </w:r>
            <w:r>
              <w:rPr>
                <w:rFonts w:hint="default" w:ascii="Times New Roman" w:hAnsi="Times New Roman" w:eastAsia="宋体" w:cs="Times New Roman"/>
                <w:szCs w:val="21"/>
              </w:rPr>
              <w:t xml:space="preserve">每有一个得</w:t>
            </w:r>
            <w:r>
              <w:rPr>
                <w:rFonts w:hint="eastAsia" w:ascii="Times New Roman" w:hAnsi="Times New Roman" w:eastAsia="宋体" w:cs="Times New Roman"/>
                <w:szCs w:val="21"/>
              </w:rPr>
              <w:t xml:space="preserve">1</w:t>
            </w:r>
            <w:r>
              <w:rPr>
                <w:rFonts w:hint="default" w:ascii="Times New Roman" w:hAnsi="Times New Roman" w:eastAsia="宋体" w:cs="Times New Roman"/>
                <w:szCs w:val="21"/>
              </w:rPr>
              <w:t xml:space="preserve">分，最高得</w:t>
            </w:r>
            <w:r>
              <w:rPr>
                <w:rFonts w:hint="eastAsia" w:ascii="Times New Roman" w:hAnsi="Times New Roman" w:eastAsia="宋体" w:cs="Times New Roman"/>
                <w:szCs w:val="21"/>
              </w:rPr>
              <w:t xml:space="preserve">3</w:t>
            </w:r>
            <w:r>
              <w:rPr>
                <w:rFonts w:hint="default" w:ascii="Times New Roman" w:hAnsi="Times New Roman" w:eastAsia="宋体" w:cs="Times New Roman"/>
                <w:szCs w:val="21"/>
              </w:rPr>
              <w:t xml:space="preserve">分。</w:t>
            </w:r>
            <w:r/>
          </w:p>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2</w:t>
            </w:r>
            <w:r>
              <w:rPr>
                <w:rFonts w:hint="default" w:ascii="Times New Roman" w:hAnsi="Times New Roman" w:eastAsia="宋体" w:cs="Times New Roman"/>
                <w:szCs w:val="21"/>
              </w:rPr>
              <w:t xml:space="preserve">、投标</w:t>
            </w:r>
            <w:r>
              <w:rPr>
                <w:rFonts w:hint="eastAsia" w:ascii="Times New Roman" w:hAnsi="Times New Roman" w:eastAsia="宋体" w:cs="Times New Roman"/>
                <w:szCs w:val="21"/>
                <w:lang w:val="en-US" w:eastAsia="zh-CN"/>
              </w:rPr>
              <w:t xml:space="preserve">产品</w:t>
            </w:r>
            <w:r>
              <w:rPr>
                <w:rFonts w:hint="default" w:ascii="Times New Roman" w:hAnsi="Times New Roman" w:eastAsia="宋体" w:cs="Times New Roman"/>
                <w:szCs w:val="21"/>
              </w:rPr>
              <w:t xml:space="preserve">获得中国绿色材料标志授权使用证书的得</w:t>
            </w:r>
            <w:r>
              <w:rPr>
                <w:rFonts w:hint="eastAsia" w:ascii="Times New Roman" w:hAnsi="Times New Roman" w:eastAsia="宋体" w:cs="Times New Roman"/>
                <w:szCs w:val="21"/>
              </w:rPr>
              <w:t xml:space="preserve">1</w:t>
            </w:r>
            <w:r>
              <w:rPr>
                <w:rFonts w:hint="default" w:ascii="Times New Roman" w:hAnsi="Times New Roman" w:eastAsia="宋体" w:cs="Times New Roman"/>
                <w:szCs w:val="21"/>
              </w:rPr>
              <w:t xml:space="preserve">分。 </w:t>
            </w:r>
            <w:r/>
          </w:p>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以上提供相关证书材料原件扫描件加盖公章，未提供不得分。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节能环保</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2.00分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 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9</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项目实施方案，包括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分；有项目实施方案、但方案内容笼统、针对本项目制定未细致、但承诺经过优化可实现采购需求的得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管理力量、技术人员安排</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6</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五、其他要求提供拟投入本项目人员管理及人员配备情况和使用计划进行打分。人员安排充足且合理、管理机构健全程度高、技术人员综合能力强、项目安装期仓储和车辆调度效率高的得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分；人员安排充足、管理机构健全、技术人员配置一般、有安装期暂存点的得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分；人员安排一般、管理机构不全、技术人员配置不到位、项目安装期无暂存点的得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分。本项最高得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分，没有内容的不得分。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应急响应方案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5.00分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应急响应方案，投标人在运输，安装和交付使用后，可能发生的紧急情况具有完善的应急响应方案，投标人须详尽的列明不可预见的情况并提供针对此情况发生后的响应方案，评委会根据采购需求对投标人所投方案内容进行打分，应急响应方案健全且优于采购需求的得</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分；有应急响应方案、但方案内容笼统、针对本项目制定未细致、但承诺经过优化可实现采购需求的得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售后服务</w:t>
            </w:r>
            <w:r/>
          </w:p>
        </w:tc>
        <w:tc>
          <w:tcPr>
            <w:tcBorders>
              <w:top w:val="single" w:color="auto" w:sz="6" w:space="0"/>
              <w:left w:val="single" w:color="auto" w:sz="6" w:space="0"/>
              <w:bottom w:val="single" w:color="auto" w:sz="6" w:space="0"/>
              <w:right w:val="single" w:color="auto" w:sz="6" w:space="0"/>
            </w:tcBorders>
            <w:tcW w:w="886" w:type="dxa"/>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8</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4430" w:type="dxa"/>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制定售后服务方案：具有完善的售后服务管理体系，提供包含服务范围、响应时间以及质保期满后主要产品、配件优惠方案、完整的售后服务方案、地面处理建议方案等。方案详细、响应及时、服务体系完整的得</w:t>
            </w: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分；方案详细、服务范围广泛、响应虽有滞后性，服务体系完整，但能基本确保稳定运行的得</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分；方案粗略、服务范围狭窄、响应滞后、服务体系虽完整，但缺乏有效保障稳定运行的措施的得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bl>
    <w:p>
      <w:pPr>
        <w:rPr>
          <w:rFonts w:hint="eastAsia"/>
        </w:rPr>
      </w:pPr>
      <w:r>
        <w:rPr>
          <w:rFonts w:hint="eastAsia"/>
        </w:rPr>
      </w:r>
      <w:r/>
    </w:p>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2（1）、3、4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采购本国产品的支持政策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u w:val="single"/>
        </w:rPr>
        <w:t xml:space="preserve">20%</w:t>
      </w:r>
      <w:r>
        <w:rPr>
          <w:rFonts w:hint="eastAsia" w:ascii="宋体" w:hAnsi="宋体" w:eastAsia="宋体" w:cs="宋体"/>
          <w:color w:val="auto"/>
          <w:sz w:val="24"/>
          <w:highlight w:val="none"/>
        </w:rPr>
        <w:t xml:space="preserve">的价格扣除，用扣除后的价格参与评审。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color w:val="auto"/>
          <w:sz w:val="24"/>
          <w:highlight w:val="none"/>
        </w:rPr>
        <w:t xml:space="preserve">80%以上</w:t>
      </w:r>
      <w:r>
        <w:rPr>
          <w:rFonts w:hint="eastAsia" w:ascii="宋体" w:hAnsi="宋体" w:eastAsia="宋体" w:cs="宋体"/>
          <w:color w:val="auto"/>
          <w:sz w:val="24"/>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Style w:val="815"/>
          <w:rFonts w:hint="eastAsia" w:ascii="宋体" w:hAnsi="宋体" w:eastAsia="宋体" w:cs="宋体"/>
          <w:bCs/>
          <w:color w:val="auto"/>
          <w:sz w:val="24"/>
          <w:szCs w:val="21"/>
          <w:highlight w:val="none"/>
          <w:lang w:val="en-US" w:eastAsia="zh-CN" w:bidi="ar-SA"/>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val="0"/>
          <w:color w:val="auto"/>
          <w:sz w:val="44"/>
          <w:highlight w:val="none"/>
        </w:rPr>
      </w:pPr>
      <w:r/>
      <w:bookmarkStart w:id="214" w:name="_Toc20454"/>
      <w:r>
        <w:rPr>
          <w:rFonts w:hint="eastAsia" w:ascii="宋体" w:hAnsi="宋体" w:eastAsia="宋体" w:cs="宋体"/>
          <w:b/>
          <w:bCs w:val="0"/>
          <w:color w:val="auto"/>
          <w:sz w:val="44"/>
          <w:highlight w:val="none"/>
        </w:rPr>
        <w:br w:type="page" w:clear="all"/>
      </w:r>
      <w:r/>
    </w:p>
    <w:p>
      <w:pPr>
        <w:pStyle w:val="806"/>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t xml:space="preserve">第六章  投标文件格式</w:t>
      </w:r>
      <w:bookmarkEnd w:id="214"/>
      <w:r/>
      <w:r/>
    </w:p>
    <w:p>
      <w:pPr>
        <w:jc w:val="center"/>
        <w:shd w:val="clear" w:color="auto"/>
        <w:rPr>
          <w:rFonts w:hint="eastAsia" w:ascii="宋体" w:hAnsi="宋体" w:eastAsia="宋体" w:cs="宋体"/>
          <w:b/>
          <w:color w:val="auto"/>
          <w:sz w:val="72"/>
          <w:highlight w:val="none"/>
        </w:rPr>
      </w:pPr>
      <w:r/>
      <w:bookmarkStart w:id="215" w:name="_Hlt26671244"/>
      <w:r/>
      <w:bookmarkEnd w:id="215"/>
      <w:r/>
      <w:bookmarkStart w:id="216" w:name="_Hlt26955039"/>
      <w:r/>
      <w:bookmarkEnd w:id="216"/>
      <w:r/>
      <w:bookmarkStart w:id="217" w:name="_Toc120614282"/>
      <w:r/>
      <w:bookmarkStart w:id="218" w:name="_Toc49090576"/>
      <w:r/>
      <w:bookmarkStart w:id="219" w:name="_Toc26554094"/>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十一、关于符合本国产品标准的声明函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、投标所需其他材料</w:t>
      </w:r>
      <w:r/>
    </w:p>
    <w:p>
      <w:pPr>
        <w:pStyle w:val="998"/>
        <w:shd w:val="clear" w:color="auto"/>
        <w:rPr>
          <w:rFonts w:hint="eastAsia" w:ascii="宋体" w:hAnsi="宋体" w:eastAsia="宋体" w:cs="宋体"/>
          <w:b/>
          <w:color w:val="auto"/>
          <w:sz w:val="32"/>
          <w:szCs w:val="32"/>
          <w:highlight w:val="none"/>
        </w:rPr>
        <w:outlineLvl w:val="1"/>
      </w:pPr>
      <w:r/>
      <w:bookmarkStart w:id="220" w:name="_Toc23838"/>
      <w:r>
        <w:rPr>
          <w:rFonts w:hint="eastAsia" w:ascii="宋体" w:hAnsi="宋体" w:eastAsia="宋体" w:cs="宋体"/>
          <w:color w:val="auto"/>
          <w:highlight w:val="none"/>
        </w:rPr>
        <w:br w:type="page" w:clear="all"/>
      </w:r>
      <w:bookmarkEnd w:id="220"/>
      <w:r>
        <w:rPr>
          <w:rFonts w:hint="eastAsia" w:ascii="宋体" w:hAnsi="宋体" w:eastAsia="宋体" w:cs="宋体"/>
          <w:b/>
          <w:color w:val="auto"/>
          <w:sz w:val="32"/>
          <w:szCs w:val="32"/>
          <w:highlight w:val="none"/>
        </w:rPr>
        <w:t xml:space="preserve">一、</w:t>
      </w:r>
      <w:bookmarkEnd w:id="217"/>
      <w:r/>
      <w:bookmarkEnd w:id="218"/>
      <w:r/>
      <w:bookmarkEnd w:id="219"/>
      <w:r>
        <w:rPr>
          <w:rFonts w:hint="eastAsia" w:ascii="宋体" w:hAnsi="宋体" w:eastAsia="宋体" w:cs="宋体"/>
          <w:b/>
          <w:color w:val="auto"/>
          <w:sz w:val="32"/>
          <w:szCs w:val="32"/>
          <w:highlight w:val="none"/>
        </w:rPr>
        <w:t xml:space="preserve">投标声明及承诺函</w:t>
      </w:r>
      <w:r/>
    </w:p>
    <w:p>
      <w:pPr>
        <w:pStyle w:val="999"/>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99"/>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eastAsia="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9"/>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99"/>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998"/>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1000"/>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8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1000"/>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1000"/>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1000"/>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000"/>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9"/>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四、法定代表人身份证明或授权委托书</w:t>
      </w:r>
      <w:r/>
    </w:p>
    <w:p>
      <w:pPr>
        <w:pStyle w:val="100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1.</w:t>
      </w:r>
      <w:r>
        <w:rPr>
          <w:rFonts w:hint="eastAsia" w:ascii="宋体" w:hAnsi="宋体" w:eastAsia="宋体" w:cs="宋体"/>
          <w:b/>
          <w:bCs/>
          <w:color w:val="000000"/>
          <w:sz w:val="28"/>
          <w:szCs w:val="28"/>
          <w:highlight w:val="none"/>
        </w:rPr>
        <w:t xml:space="preserve">法定代表人身份证明</w:t>
      </w:r>
      <w:r/>
    </w:p>
    <w:p>
      <w:pP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单位性质：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日</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经营期限：</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人名称）的法定代表人。</w:t>
      </w:r>
      <w:r/>
    </w:p>
    <w:p>
      <w:pPr>
        <w:ind w:firstLine="480"/>
        <w:spacing w:line="56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法人</w:t>
      </w:r>
      <w:r>
        <w:rPr>
          <w:rFonts w:hint="eastAsia" w:ascii="宋体" w:hAnsi="宋体" w:eastAsia="宋体" w:cs="宋体"/>
          <w:color w:val="000000"/>
          <w:sz w:val="24"/>
          <w:szCs w:val="24"/>
          <w:highlight w:val="none"/>
        </w:rPr>
        <w:t xml:space="preserve">联系电话：（手机）</w:t>
      </w:r>
      <w:r>
        <w:rPr>
          <w:rFonts w:hint="eastAsia" w:ascii="宋体" w:hAnsi="宋体" w:eastAsia="宋体" w:cs="宋体"/>
          <w:color w:val="000000"/>
          <w:sz w:val="24"/>
          <w:szCs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p>
    <w:p>
      <w:pPr>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（法定代表人出席</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的提供，未出席的可不提供。</w:t>
      </w:r>
      <w:r>
        <w:rPr>
          <w:rFonts w:hint="eastAsia" w:ascii="宋体" w:hAnsi="宋体" w:eastAsia="宋体" w:cs="宋体"/>
          <w:b/>
          <w:color w:val="000000"/>
          <w:sz w:val="24"/>
          <w:highlight w:val="none"/>
        </w:rPr>
        <w:t xml:space="preserve">附法定代表人居民身份证</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法定代表人（签字或盖章）：</w:t>
      </w:r>
      <w:r>
        <w:rPr>
          <w:rFonts w:hint="eastAsia" w:ascii="宋体" w:hAnsi="宋体" w:eastAsia="宋体" w:cs="宋体"/>
          <w:color w:val="auto"/>
          <w:sz w:val="24"/>
          <w:szCs w:val="24"/>
          <w:highlight w:val="none"/>
          <w:u w:val="single"/>
        </w:rPr>
        <w:t xml:space="preserve">                            </w:t>
      </w:r>
      <w:r/>
    </w:p>
    <w:p>
      <w:pPr>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000000"/>
          <w:sz w:val="24"/>
          <w:szCs w:val="24"/>
          <w:highlight w:val="none"/>
        </w:rPr>
        <w:t xml:space="preserve">：（加盖CA电子公章）                                      </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w:t>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法定</w:t>
      </w:r>
      <w:r>
        <w:rPr>
          <w:rFonts w:hint="eastAsia" w:ascii="宋体" w:hAnsi="宋体" w:eastAsia="宋体" w:cs="宋体"/>
          <w:b/>
          <w:bCs/>
          <w:color w:val="000000"/>
          <w:sz w:val="28"/>
          <w:szCs w:val="28"/>
          <w:highlight w:val="none"/>
          <w:lang w:val="en-US" w:eastAsia="zh-CN"/>
        </w:rPr>
        <w:t xml:space="preserve">授权书</w:t>
      </w:r>
      <w:r/>
    </w:p>
    <w:p>
      <w:pPr>
        <w:pStyle w:val="100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JSZC-321300-SQCY-G2026-0002</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宿迁市2026年（省体育局资助）全民健身器材采购项目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100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001"/>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1001"/>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1001"/>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1001"/>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1001"/>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1001"/>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100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21" w:name="_Hlt26955070"/>
      <w:r/>
      <w:bookmarkEnd w:id="221"/>
      <w:r/>
      <w:bookmarkStart w:id="222" w:name="_格式3__银行出具的资信证明"/>
      <w:r/>
      <w:bookmarkEnd w:id="222"/>
      <w:r/>
      <w:bookmarkStart w:id="223" w:name="_Hlt26671380"/>
      <w:r/>
      <w:bookmarkEnd w:id="223"/>
      <w:r>
        <w:rPr>
          <w:rFonts w:hint="eastAsia" w:ascii="宋体" w:hAnsi="宋体" w:eastAsia="宋体" w:cs="宋体"/>
          <w:color w:val="auto"/>
          <w:sz w:val="24"/>
          <w:szCs w:val="24"/>
          <w:highlight w:val="none"/>
          <w:u w:val="single"/>
        </w:rPr>
        <w:t xml:space="preserve">                                            </w:t>
      </w:r>
      <w:r/>
    </w:p>
    <w:p>
      <w:pPr>
        <w:pStyle w:val="817"/>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817"/>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205"/>
        <w:shd w:val="clear" w:color="auto"/>
        <w:rPr>
          <w:rFonts w:hint="eastAsia" w:ascii="宋体" w:hAnsi="宋体" w:eastAsia="宋体" w:cs="宋体"/>
          <w:color w:val="auto"/>
          <w:sz w:val="24"/>
          <w:szCs w:val="20"/>
          <w:highlight w:val="none"/>
        </w:rPr>
        <w:outlineLvl w:val="1"/>
      </w:pP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附法定代表人居民身份证</w:t>
      </w:r>
      <w:r>
        <w:rPr>
          <w:rFonts w:hint="eastAsia" w:ascii="宋体" w:hAnsi="宋体" w:eastAsia="宋体" w:cs="宋体"/>
          <w:b/>
          <w:bCs w:val="0"/>
          <w:color w:val="000000"/>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eastAsia="宋体" w:cs="宋体"/>
          <w:b/>
          <w:bCs w:val="0"/>
          <w:color w:val="000000"/>
          <w:sz w:val="24"/>
          <w:highlight w:val="none"/>
        </w:rPr>
        <w:t xml:space="preserve">居民身份证</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宿迁市2026年（省体育局资助）全民健身器材采购项目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JSZC-321300-SQCY-G2026-0002</w:t>
      </w:r>
      <w:r/>
    </w:p>
    <w:tbl>
      <w:tblPr>
        <w:tblStyle w:val="816"/>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p>
        </w:tc>
      </w:tr>
      <w:tr>
        <w:trPr>
          <w:cantSplit/>
          <w:trHeight w:val="592"/>
        </w:trPr>
        <w:tc>
          <w:tcPr>
            <w:tcW w:w="1725" w:type="dxa"/>
            <w:vAlign w:val="center"/>
            <w:textDirection w:val="lrTb"/>
            <w:noWrap w:val="false"/>
          </w:tcPr>
          <w:p>
            <w:pPr>
              <w:pStyle w:val="992"/>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tc>
        <w:tc>
          <w:tcPr>
            <w:tcW w:w="7809" w:type="dxa"/>
            <w:vAlign w:val="center"/>
            <w:textDirection w:val="lrTb"/>
            <w:noWrap w:val="false"/>
          </w:tcPr>
          <w:p>
            <w:pPr>
              <w:pStyle w:val="992"/>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992"/>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tc>
        <w:tc>
          <w:tcPr>
            <w:tcW w:w="7809" w:type="dxa"/>
            <w:vAlign w:val="center"/>
            <w:textDirection w:val="lrTb"/>
            <w:noWrap w:val="false"/>
          </w:tcPr>
          <w:p>
            <w:pPr>
              <w:pStyle w:val="992"/>
              <w:ind w:firstLine="0"/>
              <w:keepLines w:val="0"/>
              <w:keepNext w:val="0"/>
              <w:pageBreakBefore w:val="0"/>
              <w:spacing w:before="0" w:after="0" w:line="5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金额大写（人民币：元）</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9"/>
          <w:footerReference w:type="default" r:id="rId14"/>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t xml:space="preserve">六、投标报价明细表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6"/>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89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8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4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93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5</w:t>
            </w:r>
            <w:r/>
          </w:p>
        </w:tc>
        <w:tc>
          <w:tcPr>
            <w:tcW w:w="87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6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7</w:t>
            </w:r>
            <w:r/>
          </w:p>
        </w:tc>
        <w:tc>
          <w:tcPr>
            <w:tcW w:w="139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89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标的名称</w:t>
            </w:r>
            <w:r/>
          </w:p>
        </w:tc>
        <w:tc>
          <w:tcPr>
            <w:tcW w:w="108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品牌</w:t>
            </w:r>
            <w:r/>
          </w:p>
        </w:tc>
        <w:tc>
          <w:tcPr>
            <w:tcW w:w="1245" w:type="dxa"/>
            <w:vAlign w:val="center"/>
            <w:textDirection w:val="lrTb"/>
            <w:noWrap w:val="false"/>
          </w:tcPr>
          <w:p>
            <w:pPr>
              <w:jc w:val="both"/>
              <w:spacing w:line="0" w:lineRule="atLeast"/>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W w:w="93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产地</w:t>
            </w:r>
            <w:r/>
          </w:p>
        </w:tc>
        <w:tc>
          <w:tcPr>
            <w:tcW w:w="87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6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分项单价</w:t>
            </w:r>
            <w:r/>
          </w:p>
        </w:tc>
        <w:tc>
          <w:tcPr>
            <w:tcW w:w="139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890" w:type="dxa"/>
            <w:vAlign w:val="center"/>
            <w:textDirection w:val="lrTb"/>
            <w:noWrap w:val="false"/>
          </w:tcPr>
          <w:p>
            <w:pP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890" w:type="dxa"/>
            <w:vAlign w:val="center"/>
            <w:textDirection w:val="lrTb"/>
            <w:noWrap w:val="false"/>
          </w:tcPr>
          <w:p>
            <w:pP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890" w:type="dxa"/>
            <w:vAlign w:val="center"/>
            <w:textDirection w:val="lrTb"/>
            <w:noWrap w:val="false"/>
          </w:tcPr>
          <w:p>
            <w:pP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890" w:type="dxa"/>
            <w:vAlign w:val="center"/>
            <w:textDirection w:val="lrTb"/>
            <w:noWrap w:val="false"/>
          </w:tcPr>
          <w:p>
            <w:pP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tcW w:w="10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总报价（人民币：    ）</w:t>
            </w:r>
            <w:r/>
          </w:p>
        </w:tc>
        <w:tc>
          <w:tcPr>
            <w:tcW w:w="1395" w:type="dxa"/>
            <w:vAlign w:val="center"/>
            <w:textDirection w:val="lrTb"/>
            <w:noWrap w:val="false"/>
          </w:tcPr>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1030"/>
        </w:trPr>
        <w:tc>
          <w:tcPr>
            <w:gridSpan w:val="8"/>
            <w:tcW w:w="9915" w:type="dxa"/>
            <w:vAlign w:val="center"/>
            <w:textDirection w:val="lrTb"/>
            <w:noWrap w:val="false"/>
          </w:tcPr>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 xml:space="preserve">注：本采购包中提供的符合本国产品标准的产品成本之和占该采购包提供的全部产品成本之和的比例为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w:t>
            </w:r>
            <w:r/>
          </w:p>
        </w:tc>
      </w:tr>
    </w:tbl>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auto"/>
          <w:sz w:val="24"/>
          <w:highlight w:val="none"/>
          <w:lang w:eastAsia="zh-CN"/>
        </w:rPr>
        <w:t xml:space="preserve">其他所有</w:t>
      </w:r>
      <w:r>
        <w:rPr>
          <w:rFonts w:hint="eastAsia" w:ascii="宋体" w:hAnsi="宋体" w:eastAsia="宋体" w:cs="宋体"/>
          <w:color w:val="auto"/>
          <w:sz w:val="24"/>
          <w:highlight w:val="none"/>
        </w:rPr>
        <w:t xml:space="preserve">费用。</w:t>
      </w:r>
      <w:r/>
    </w:p>
    <w:p>
      <w:pPr>
        <w:numPr>
          <w:ilvl w:val="0"/>
          <w:numId w:val="0"/>
        </w:numPr>
        <w:ind w:firstLine="720"/>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color w:val="auto"/>
          <w:sz w:val="24"/>
          <w:highlight w:val="none"/>
        </w:rPr>
        <w:t xml:space="preserve">2.“投标总报价”数额应当与“开标一览表”中“报价”数额一致。</w:t>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pStyle w:val="991"/>
        <w:rPr>
          <w:rFonts w:hint="eastAsia" w:ascii="宋体" w:hAnsi="宋体" w:eastAsia="宋体" w:cs="宋体"/>
          <w:b/>
          <w:caps w:val="0"/>
          <w:color w:val="auto"/>
          <w:sz w:val="32"/>
          <w:szCs w:val="32"/>
          <w:lang w:val="en-US" w:eastAsia="zh-CN" w:bidi="ar-SA"/>
        </w:rPr>
      </w:pPr>
      <w:r>
        <w:rPr>
          <w:rFonts w:hint="eastAsia" w:ascii="宋体" w:hAnsi="宋体" w:eastAsia="宋体" w:cs="宋体"/>
          <w:b/>
          <w:caps w:val="0"/>
          <w:color w:val="auto"/>
          <w:sz w:val="32"/>
          <w:szCs w:val="32"/>
          <w:lang w:val="en-US" w:eastAsia="zh-CN" w:bidi="ar-SA"/>
        </w:rPr>
      </w:r>
      <w:r/>
    </w:p>
    <w:p>
      <w:pPr>
        <w:rPr>
          <w:rFonts w:hint="eastAsia" w:ascii="宋体" w:hAnsi="宋体" w:eastAsia="宋体" w:cs="宋体"/>
          <w:lang w:val="en-US" w:eastAsia="zh-CN"/>
        </w:rPr>
      </w:pPr>
      <w:r>
        <w:rPr>
          <w:rFonts w:hint="eastAsia" w:ascii="宋体" w:hAnsi="宋体" w:eastAsia="宋体" w:cs="宋体"/>
          <w:lang w:val="en-US" w:eastAsia="zh-CN"/>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t xml:space="preserve">七、中小（微）企业声明函</w:t>
      </w:r>
      <w:r/>
    </w:p>
    <w:p>
      <w:pPr>
        <w:pStyle w:val="1002"/>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02"/>
        <w:jc w:val="center"/>
        <w:spacing w:line="360" w:lineRule="auto"/>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中小企业声明函（货物）</w:t>
      </w:r>
      <w:r/>
    </w:p>
    <w:p>
      <w:pPr>
        <w:pStyle w:val="100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（项目名称）采购活动，提供的</w:t>
      </w:r>
      <w:r>
        <w:rPr>
          <w:rFonts w:hint="eastAsia" w:ascii="宋体" w:hAnsi="宋体" w:eastAsia="宋体" w:cs="宋体"/>
          <w:b w:val="0"/>
          <w:bCs/>
          <w:color w:val="auto"/>
          <w:sz w:val="24"/>
          <w:highlight w:val="none"/>
          <w:u w:val="single"/>
        </w:rPr>
        <w:t xml:space="preserve">货物全部由符合政策要求的中小企业制造</w:t>
      </w:r>
      <w:r>
        <w:rPr>
          <w:rFonts w:hint="eastAsia" w:ascii="宋体" w:hAnsi="宋体" w:eastAsia="宋体" w:cs="宋体"/>
          <w:b w:val="0"/>
          <w:bCs/>
          <w:color w:val="auto"/>
          <w:sz w:val="24"/>
          <w:highlight w:val="none"/>
        </w:rPr>
        <w:t xml:space="preserve">。相关企业（含签订分包意向协议的中小企业）的具体情况如下：</w:t>
      </w:r>
      <w:r/>
    </w:p>
    <w:p>
      <w:pPr>
        <w:pStyle w:val="100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100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100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3.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100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100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keepLines w:val="0"/>
        <w:keepNext w:val="0"/>
        <w:pageBreakBefore w:val="0"/>
        <w:spacing w:line="360" w:lineRule="auto"/>
        <w:shd w:val="clear" w:color="auto"/>
        <w:widowControl/>
        <w:rPr>
          <w:rFonts w:hint="eastAsia" w:ascii="宋体" w:hAnsi="宋体" w:eastAsia="宋体" w:cs="宋体"/>
          <w:b/>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rFonts w:hint="eastAsia" w:ascii="宋体" w:hAnsi="宋体" w:eastAsia="宋体" w:cs="宋体"/>
          <w:color w:val="auto"/>
          <w:szCs w:val="32"/>
          <w:highlight w:val="none"/>
        </w:rPr>
        <w:br w:type="page" w:clear="all"/>
      </w:r>
      <w:r>
        <w:rPr>
          <w:rFonts w:hint="eastAsia" w:ascii="宋体" w:hAnsi="宋体" w:eastAsia="宋体" w:cs="宋体"/>
          <w:b/>
          <w:color w:val="auto"/>
          <w:sz w:val="36"/>
          <w:szCs w:val="36"/>
          <w:highlight w:val="none"/>
          <w:lang w:val="en-US" w:eastAsia="zh-CN" w:bidi="ar-SA"/>
        </w:rPr>
        <w:t xml:space="preserve">中小企业声明函（工程、服务）</w:t>
      </w:r>
      <w:r/>
    </w:p>
    <w:p>
      <w:pPr>
        <w:pStyle w:val="1002"/>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  </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项目名称）</w:t>
      </w:r>
      <w:r>
        <w:rPr>
          <w:rFonts w:hint="eastAsia" w:ascii="宋体" w:hAnsi="宋体" w:eastAsia="宋体" w:cs="宋体"/>
          <w:b w:val="0"/>
          <w:bCs/>
          <w:color w:val="auto"/>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1002"/>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（中型企业、小型企业、微型企业）；</w:t>
      </w:r>
      <w:r/>
    </w:p>
    <w:p>
      <w:pPr>
        <w:pStyle w:val="1002"/>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（中型企业、小型企业、微型企业）；</w:t>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w:t>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以上企业，不属于大企业的分支机构，不存在控股股东为大企业的情形，也不存在与大企业的负责人为同一人的情形。</w:t>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本企业对上述声明内容的真实性负责。如有虚假，将依法承担相应责任。</w:t>
      </w:r>
      <w:r/>
    </w:p>
    <w:p>
      <w:pPr>
        <w:pStyle w:val="1002"/>
        <w:ind w:firstLine="480"/>
        <w:jc w:val="center"/>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企业名称（电子签章）：</w:t>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从业人员、营业收入、资产总额填报上一年数据，无上一年数据的新成立企业可不填报。</w:t>
      </w:r>
      <w:r/>
    </w:p>
    <w:p>
      <w:pPr>
        <w:jc w:val="center"/>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八、技术要求响应及偏离表</w:t>
      </w:r>
      <w:r/>
    </w:p>
    <w:tbl>
      <w:tblPr>
        <w:tblStyle w:val="816"/>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836"/>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816"/>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36"/>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36"/>
              <w:jc w:val="cente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36"/>
              <w:jc w:val="cente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36"/>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36"/>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836"/>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836"/>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24" w:name="_Toc11176"/>
      <w:r>
        <w:rPr>
          <w:rFonts w:hint="eastAsia" w:ascii="宋体" w:hAnsi="宋体" w:eastAsia="宋体" w:cs="宋体"/>
          <w:b/>
          <w:color w:val="auto"/>
          <w:sz w:val="32"/>
          <w:highlight w:val="none"/>
        </w:rPr>
        <w:t xml:space="preserve">十、</w:t>
      </w:r>
      <w:bookmarkEnd w:id="224"/>
      <w:r>
        <w:rPr>
          <w:rFonts w:hint="eastAsia" w:ascii="宋体" w:hAnsi="宋体" w:eastAsia="宋体" w:cs="宋体"/>
          <w:b/>
          <w:color w:val="auto"/>
          <w:sz w:val="32"/>
          <w:highlight w:val="none"/>
        </w:rPr>
        <w:t xml:space="preserve">企业业绩</w:t>
      </w:r>
      <w:r/>
    </w:p>
    <w:p>
      <w:pPr>
        <w:pStyle w:val="1005"/>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816"/>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0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005"/>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225" w:name="_Toc28140"/>
      <w:r/>
      <w:r/>
    </w:p>
    <w:p>
      <w:pPr>
        <w:pStyle w:val="100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val="en-US" w:eastAsia="zh-CN"/>
        </w:rPr>
        <w:t xml:space="preserve">十一、</w:t>
      </w:r>
      <w:bookmarkEnd w:id="225"/>
      <w:r>
        <w:rPr>
          <w:rFonts w:hint="eastAsia" w:ascii="宋体" w:hAnsi="宋体" w:eastAsia="宋体" w:cs="宋体"/>
          <w:b/>
          <w:color w:val="auto"/>
          <w:sz w:val="32"/>
          <w:szCs w:val="32"/>
          <w:highlight w:val="none"/>
        </w:rPr>
        <w:t xml:space="preserve">关于符合本国产品标准的声明函</w:t>
      </w:r>
      <w:r/>
    </w:p>
    <w:p>
      <w:pPr>
        <w:pStyle w:val="100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2811780</wp:posOffset>
                </wp:positionH>
                <wp:positionV relativeFrom="paragraph">
                  <wp:posOffset>850265</wp:posOffset>
                </wp:positionV>
                <wp:extent cx="816610" cy="147320"/>
                <wp:effectExtent l="635" t="4445" r="1905" b="19685"/>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1133475</wp:posOffset>
                </wp:positionH>
                <wp:positionV relativeFrom="paragraph">
                  <wp:posOffset>824230</wp:posOffset>
                </wp:positionV>
                <wp:extent cx="816610" cy="147320"/>
                <wp:effectExtent l="635" t="4445" r="1905" b="1968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3978910</wp:posOffset>
                </wp:positionH>
                <wp:positionV relativeFrom="paragraph">
                  <wp:posOffset>591185</wp:posOffset>
                </wp:positionV>
                <wp:extent cx="816610" cy="147320"/>
                <wp:effectExtent l="635" t="4445" r="1905" b="19685"/>
                <wp:wrapNone/>
                <wp:docPr id="18"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1951355</wp:posOffset>
                </wp:positionH>
                <wp:positionV relativeFrom="paragraph">
                  <wp:posOffset>603885</wp:posOffset>
                </wp:positionV>
                <wp:extent cx="816610" cy="147320"/>
                <wp:effectExtent l="635" t="4445" r="1905" b="19685"/>
                <wp:wrapNone/>
                <wp:docPr id="19"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9504;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20"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8480;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w:t xml:space="preserve">1.（产品名称1）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2798445</wp:posOffset>
                </wp:positionH>
                <wp:positionV relativeFrom="paragraph">
                  <wp:posOffset>772795</wp:posOffset>
                </wp:positionV>
                <wp:extent cx="773430" cy="221615"/>
                <wp:effectExtent l="1270" t="4445" r="6350" b="21590"/>
                <wp:wrapNone/>
                <wp:docPr id="21"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6432;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3896360</wp:posOffset>
                </wp:positionH>
                <wp:positionV relativeFrom="paragraph">
                  <wp:posOffset>525145</wp:posOffset>
                </wp:positionV>
                <wp:extent cx="780415" cy="212725"/>
                <wp:effectExtent l="1270" t="4445" r="18415" b="11430"/>
                <wp:wrapNone/>
                <wp:docPr id="22"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70528;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1113155</wp:posOffset>
                </wp:positionH>
                <wp:positionV relativeFrom="paragraph">
                  <wp:posOffset>816610</wp:posOffset>
                </wp:positionV>
                <wp:extent cx="816610" cy="147320"/>
                <wp:effectExtent l="635" t="4445" r="1905" b="19685"/>
                <wp:wrapNone/>
                <wp:docPr id="23"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7456;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1939290</wp:posOffset>
                </wp:positionH>
                <wp:positionV relativeFrom="paragraph">
                  <wp:posOffset>578485</wp:posOffset>
                </wp:positionV>
                <wp:extent cx="816610" cy="147320"/>
                <wp:effectExtent l="635" t="4445" r="1905" b="19685"/>
                <wp:wrapNone/>
                <wp:docPr id="24"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71552;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25"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5408;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w:t xml:space="preserve">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562"/>
        <w:jc w:val="both"/>
        <w:spacing w:line="500" w:lineRule="exact"/>
        <w:shd w:val="clear" w:color="auto"/>
        <w:rPr>
          <w:rFonts w:hint="eastAsia" w:ascii="宋体" w:hAnsi="宋体" w:eastAsia="宋体" w:cs="宋体"/>
          <w:color w:val="auto"/>
          <w:sz w:val="20"/>
          <w:highlight w:val="none"/>
        </w:rPr>
      </w:pPr>
      <w:r>
        <w:rPr>
          <w:rFonts w:hint="eastAsia" w:ascii="宋体" w:hAnsi="宋体" w:eastAsia="宋体" w:cs="宋体"/>
          <w:b w:val="0"/>
          <w:bCs/>
          <w:color w:val="auto"/>
          <w:sz w:val="24"/>
          <w:szCs w:val="24"/>
          <w:highlight w:val="none"/>
        </w:rPr>
        <w:t xml:space="preserve">6.用斜线划除的地方无需填写。</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817"/>
        <w:ind w:firstLine="0"/>
        <w:shd w:val="clear" w:color="auto"/>
        <w:rPr>
          <w:rFonts w:hint="eastAsia" w:ascii="宋体" w:hAnsi="宋体" w:eastAsia="宋体" w:cs="宋体"/>
          <w:color w:val="auto"/>
          <w:sz w:val="24"/>
          <w:highlight w:val="none"/>
        </w:rPr>
      </w:pPr>
      <w:r/>
      <w:bookmarkStart w:id="226" w:name="_Hlt26955066"/>
      <w:r/>
      <w:bookmarkEnd w:id="226"/>
      <w:r/>
      <w:bookmarkStart w:id="227" w:name="_Toc462564146"/>
      <w:r/>
      <w:bookmarkEnd w:id="227"/>
      <w:r/>
      <w:bookmarkStart w:id="228" w:name="_Hlt26609389"/>
      <w:r/>
      <w:bookmarkEnd w:id="228"/>
      <w:r/>
      <w:bookmarkStart w:id="229" w:name="_Hlt26671374"/>
      <w:r/>
      <w:bookmarkEnd w:id="229"/>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7"/>
        <w:numPr>
          <w:ilvl w:val="0"/>
          <w:numId w:val="0"/>
        </w:numPr>
        <w:shd w:val="clear" w:color="auto"/>
        <w:rPr>
          <w:rFonts w:hint="eastAsia" w:ascii="宋体" w:hAnsi="宋体" w:eastAsia="宋体" w:cs="宋体"/>
          <w:color w:val="auto"/>
          <w:highlight w:val="none"/>
          <w:lang w:val="en-US" w:eastAsia="zh-CN"/>
        </w:rPr>
        <w:outlineLvl w:val="1"/>
      </w:pPr>
      <w:r/>
      <w:bookmarkStart w:id="230" w:name="_格式2__法定代表人授权书"/>
      <w:r/>
      <w:bookmarkEnd w:id="230"/>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highlight w:val="none"/>
          <w:lang w:val="en-US" w:eastAsia="zh-CN"/>
        </w:rPr>
        <w:t xml:space="preserve">十二、投标所需其他材料</w:t>
      </w:r>
      <w:r/>
    </w:p>
    <w:p>
      <w:pPr>
        <w:pStyle w:val="1008"/>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10"/>
      <w:footerReference w:type="default" r:id="rId15"/>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PUA">
    <w:panose1 w:val="02010600030101010101"/>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SimSun">
    <w:panose1 w:val="02010600030101010101"/>
  </w:font>
  <w:font w:name="宋体">
    <w:panose1 w:val="02010600030101010101"/>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clear" w:pos="7143" w:leader="none"/>
        <w:tab w:val="right" w:pos="8306" w:leader="none"/>
        <w:tab w:val="clear" w:pos="14287"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clear" w:pos="7143" w:leader="none"/>
        <w:tab w:val="right" w:pos="8306" w:leader="none"/>
        <w:tab w:val="clear" w:pos="14287" w:leader="none"/>
      </w:tabs>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clear" w:pos="7143" w:leader="none"/>
        <w:tab w:val="right" w:pos="8306" w:leader="none"/>
        <w:tab w:val="clear" w:pos="14287"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6"/>
      <w:isLgl w:val="false"/>
      <w:suff w:val="nothing"/>
      <w:lvlText w:val="表%1　"/>
      <w:lvlJc w:val="left"/>
      <w:pPr>
        <w:ind w:left="0" w:firstLine="0"/>
      </w:pPr>
      <w:rPr>
        <w:rFonts w:hint="eastAsia" w:ascii="黑体" w:hAnsi="Times New Roman" w:eastAsia="黑体"/>
        <w:b w:val="0"/>
        <w:i w:val="0"/>
        <w:sz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5"/>
      <w:isLgl w:val="false"/>
      <w:suff w:val="nothing"/>
      <w:lvlText w:val="图%1　"/>
      <w:lvlJc w:val="left"/>
      <w:pPr>
        <w:ind w:left="0"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1"/>
    <w:lvlOverride w:ilvl="0">
      <w:startOverride w:val="1"/>
    </w:lvlOverride>
  </w:num>
  <w:num w:numId="4">
    <w:abstractNumId w:val="0"/>
    <w:lvlOverride w:ilvl="0">
      <w:startOverride w:val="1"/>
    </w:lvlOverride>
  </w:num>
  <w:num w:numId="5">
    <w:abstractNumId w:val="9"/>
    <w:lvlOverride w:ilvl="0">
      <w:startOverride w:val="1"/>
    </w:lvlOverride>
  </w:num>
  <w:num w:numId="6">
    <w:abstractNumId w:val="5"/>
    <w:lvlOverride w:ilvl="0">
      <w:startOverride w:val="2"/>
    </w:lvlOverride>
  </w:num>
  <w:num w:numId="7">
    <w:abstractNumId w:val="10"/>
    <w:lvlOverride w:ilvl="0">
      <w:startOverride w:val="6"/>
    </w:lvlOverride>
  </w:num>
  <w:num w:numId="8">
    <w:abstractNumId w:val="1"/>
    <w:lvlOverride w:ilvl="0">
      <w:startOverride w:val="16"/>
    </w:lvlOverride>
  </w:num>
  <w:num w:numId="9">
    <w:abstractNumId w:val="3"/>
    <w:lvlOverride w:ilvl="0">
      <w:startOverride w:val="23"/>
    </w:lvlOverride>
  </w:num>
  <w:num w:numId="10">
    <w:abstractNumId w:val="7"/>
  </w:num>
  <w:num w:numId="11">
    <w:abstractNumId w:val="8"/>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uiPriority w:val="0"/>
    <w:qFormat/>
    <w:rPr>
      <w:rFonts w:hint="default" w:asciiTheme="minorHAnsi" w:hAnsiTheme="minorHAnsi" w:eastAsiaTheme="minorEastAsia" w:cstheme="minorBidi"/>
      <w:sz w:val="21"/>
      <w:szCs w:val="22"/>
      <w:lang w:val="en-US" w:eastAsia="zh-CN" w:bidi="ar-SA"/>
    </w:rPr>
  </w:style>
  <w:style w:type="paragraph" w:styleId="806">
    <w:name w:val="Heading 1"/>
    <w:basedOn w:val="805"/>
    <w:next w:val="805"/>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link w:val="844"/>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17"/>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17"/>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47"/>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48"/>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50"/>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51"/>
    <w:uiPriority w:val="9"/>
    <w:unhideWhenUsed/>
    <w:qFormat/>
    <w:pPr>
      <w:keepLines/>
      <w:keepNext/>
      <w:spacing w:before="320" w:after="200"/>
      <w:outlineLvl w:val="8"/>
    </w:pPr>
    <w:rPr>
      <w:rFonts w:ascii="Arial" w:hAnsi="Arial" w:eastAsia="Arial" w:cs="Arial"/>
      <w:i/>
      <w:iCs/>
      <w:sz w:val="21"/>
      <w:szCs w:val="21"/>
    </w:rPr>
  </w:style>
  <w:style w:type="character" w:styleId="815" w:default="1">
    <w:name w:val="Default Paragraph Font"/>
    <w:uiPriority w:val="0"/>
    <w:semiHidden/>
    <w:qFormat/>
  </w:style>
  <w:style w:type="table" w:styleId="816" w:default="1">
    <w:name w:val="Normal Table"/>
    <w:uiPriority w:val="0"/>
    <w:semiHidden/>
    <w:qFormat/>
    <w:tblPr>
      <w:tblCellMar>
        <w:left w:w="108" w:type="dxa"/>
        <w:top w:w="0" w:type="dxa"/>
        <w:right w:w="108" w:type="dxa"/>
        <w:bottom w:w="0" w:type="dxa"/>
      </w:tblCellMar>
    </w:tblPr>
  </w:style>
  <w:style w:type="paragraph" w:styleId="817">
    <w:name w:val="Normal Indent"/>
    <w:basedOn w:val="805"/>
    <w:next w:val="805"/>
    <w:uiPriority w:val="0"/>
    <w:qFormat/>
    <w:pPr>
      <w:ind w:firstLine="420"/>
    </w:pPr>
  </w:style>
  <w:style w:type="paragraph" w:styleId="818">
    <w:name w:val="toc 7"/>
    <w:basedOn w:val="805"/>
    <w:next w:val="805"/>
    <w:uiPriority w:val="39"/>
    <w:unhideWhenUsed/>
    <w:qFormat/>
    <w:pPr>
      <w:ind w:left="1701" w:right="0" w:firstLine="0"/>
      <w:spacing w:after="57"/>
    </w:pPr>
  </w:style>
  <w:style w:type="paragraph" w:styleId="819">
    <w:name w:val="Caption"/>
    <w:basedOn w:val="805"/>
    <w:next w:val="80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0">
    <w:name w:val="Body Text"/>
    <w:basedOn w:val="805"/>
    <w:next w:val="805"/>
    <w:uiPriority w:val="0"/>
    <w:qFormat/>
    <w:pPr>
      <w:jc w:val="both"/>
      <w:widowControl w:val="off"/>
    </w:pPr>
    <w:rPr>
      <w:rFonts w:ascii="楷体_GB2312" w:hAnsi="Arial" w:eastAsia="楷体_GB2312" w:cs="Times New Roman"/>
      <w:sz w:val="28"/>
      <w:szCs w:val="28"/>
      <w:lang w:val="en-US" w:eastAsia="zh-CN" w:bidi="ar-SA"/>
    </w:rPr>
  </w:style>
  <w:style w:type="paragraph" w:styleId="821">
    <w:name w:val="toc 5"/>
    <w:basedOn w:val="805"/>
    <w:next w:val="805"/>
    <w:uiPriority w:val="39"/>
    <w:unhideWhenUsed/>
    <w:qFormat/>
    <w:pPr>
      <w:ind w:left="1134" w:right="0" w:firstLine="0"/>
      <w:spacing w:after="57"/>
    </w:pPr>
  </w:style>
  <w:style w:type="paragraph" w:styleId="822">
    <w:name w:val="toc 3"/>
    <w:basedOn w:val="805"/>
    <w:next w:val="805"/>
    <w:uiPriority w:val="39"/>
    <w:unhideWhenUsed/>
    <w:qFormat/>
    <w:pPr>
      <w:ind w:left="567" w:right="0" w:firstLine="0"/>
      <w:spacing w:after="57"/>
    </w:pPr>
  </w:style>
  <w:style w:type="paragraph" w:styleId="823">
    <w:name w:val="Plain Text"/>
    <w:basedOn w:val="805"/>
    <w:uiPriority w:val="0"/>
    <w:qFormat/>
    <w:rPr>
      <w:rFonts w:ascii="宋体" w:hAnsi="Courier New" w:cs="Courier New"/>
    </w:rPr>
  </w:style>
  <w:style w:type="paragraph" w:styleId="824">
    <w:name w:val="toc 8"/>
    <w:basedOn w:val="805"/>
    <w:next w:val="805"/>
    <w:uiPriority w:val="39"/>
    <w:unhideWhenUsed/>
    <w:qFormat/>
    <w:pPr>
      <w:ind w:left="1984" w:right="0" w:firstLine="0"/>
      <w:spacing w:after="57"/>
    </w:pPr>
  </w:style>
  <w:style w:type="paragraph" w:styleId="825">
    <w:name w:val="endnote text"/>
    <w:basedOn w:val="805"/>
    <w:link w:val="989"/>
    <w:uiPriority w:val="99"/>
    <w:semiHidden/>
    <w:unhideWhenUsed/>
    <w:qFormat/>
    <w:pPr>
      <w:spacing w:after="0" w:line="240" w:lineRule="auto"/>
    </w:pPr>
    <w:rPr>
      <w:sz w:val="20"/>
    </w:rPr>
  </w:style>
  <w:style w:type="paragraph" w:styleId="826">
    <w:name w:val="Footer"/>
    <w:basedOn w:val="805"/>
    <w:uiPriority w:val="99"/>
    <w:unhideWhenUsed/>
    <w:qFormat/>
    <w:pPr>
      <w:tabs>
        <w:tab w:val="center" w:pos="7143" w:leader="none"/>
        <w:tab w:val="right" w:pos="14287" w:leader="none"/>
      </w:tabs>
    </w:pPr>
  </w:style>
  <w:style w:type="paragraph" w:styleId="827">
    <w:name w:val="Header"/>
    <w:basedOn w:val="805"/>
    <w:uiPriority w:val="99"/>
    <w:unhideWhenUsed/>
    <w:qFormat/>
    <w:pPr>
      <w:tabs>
        <w:tab w:val="center" w:pos="7143" w:leader="none"/>
        <w:tab w:val="right" w:pos="14287" w:leader="none"/>
      </w:tabs>
    </w:pPr>
  </w:style>
  <w:style w:type="paragraph" w:styleId="828">
    <w:name w:val="toc 1"/>
    <w:basedOn w:val="805"/>
    <w:next w:val="805"/>
    <w:uiPriority w:val="39"/>
    <w:unhideWhenUsed/>
    <w:qFormat/>
    <w:pPr>
      <w:spacing w:after="57"/>
    </w:pPr>
  </w:style>
  <w:style w:type="paragraph" w:styleId="829">
    <w:name w:val="toc 4"/>
    <w:basedOn w:val="805"/>
    <w:next w:val="805"/>
    <w:uiPriority w:val="39"/>
    <w:unhideWhenUsed/>
    <w:qFormat/>
    <w:pPr>
      <w:ind w:left="850" w:right="0" w:firstLine="0"/>
      <w:spacing w:after="57"/>
    </w:pPr>
  </w:style>
  <w:style w:type="paragraph" w:styleId="830">
    <w:name w:val="Subtitle"/>
    <w:basedOn w:val="805"/>
    <w:next w:val="805"/>
    <w:link w:val="855"/>
    <w:uiPriority w:val="11"/>
    <w:qFormat/>
    <w:pPr>
      <w:spacing w:before="200" w:after="200"/>
    </w:pPr>
    <w:rPr>
      <w:sz w:val="24"/>
      <w:szCs w:val="24"/>
    </w:rPr>
  </w:style>
  <w:style w:type="paragraph" w:styleId="831">
    <w:name w:val="footnote text"/>
    <w:basedOn w:val="805"/>
    <w:link w:val="988"/>
    <w:uiPriority w:val="99"/>
    <w:semiHidden/>
    <w:unhideWhenUsed/>
    <w:qFormat/>
    <w:pPr>
      <w:spacing w:after="40" w:line="240" w:lineRule="auto"/>
    </w:pPr>
    <w:rPr>
      <w:sz w:val="18"/>
    </w:rPr>
  </w:style>
  <w:style w:type="paragraph" w:styleId="832">
    <w:name w:val="toc 6"/>
    <w:basedOn w:val="805"/>
    <w:next w:val="805"/>
    <w:uiPriority w:val="39"/>
    <w:unhideWhenUsed/>
    <w:qFormat/>
    <w:pPr>
      <w:ind w:left="1417" w:right="0" w:firstLine="0"/>
      <w:spacing w:after="57"/>
    </w:pPr>
  </w:style>
  <w:style w:type="paragraph" w:styleId="833">
    <w:name w:val="table of figures"/>
    <w:basedOn w:val="805"/>
    <w:next w:val="805"/>
    <w:uiPriority w:val="99"/>
    <w:unhideWhenUsed/>
    <w:qFormat/>
    <w:pPr>
      <w:spacing w:after="0" w:afterAutospacing="0"/>
    </w:pPr>
  </w:style>
  <w:style w:type="paragraph" w:styleId="834">
    <w:name w:val="toc 2"/>
    <w:basedOn w:val="805"/>
    <w:next w:val="805"/>
    <w:uiPriority w:val="39"/>
    <w:unhideWhenUsed/>
    <w:qFormat/>
    <w:pPr>
      <w:ind w:left="283" w:right="0" w:firstLine="0"/>
      <w:spacing w:after="57"/>
    </w:pPr>
  </w:style>
  <w:style w:type="paragraph" w:styleId="835">
    <w:name w:val="toc 9"/>
    <w:basedOn w:val="805"/>
    <w:next w:val="805"/>
    <w:uiPriority w:val="39"/>
    <w:unhideWhenUsed/>
    <w:qFormat/>
    <w:pPr>
      <w:ind w:left="2268" w:right="0" w:firstLine="0"/>
      <w:spacing w:after="57"/>
    </w:pPr>
  </w:style>
  <w:style w:type="paragraph" w:styleId="836">
    <w:name w:val="Normal (Web)"/>
    <w:basedOn w:val="805"/>
    <w:uiPriority w:val="99"/>
    <w:qFormat/>
    <w:pPr>
      <w:spacing w:before="100" w:beforeAutospacing="1" w:after="100" w:afterAutospacing="1"/>
    </w:pPr>
    <w:rPr>
      <w:rFonts w:ascii="宋体" w:hAnsi="宋体" w:cs="宋体"/>
      <w:sz w:val="24"/>
      <w:szCs w:val="24"/>
    </w:rPr>
  </w:style>
  <w:style w:type="paragraph" w:styleId="837">
    <w:name w:val="Title"/>
    <w:basedOn w:val="805"/>
    <w:next w:val="805"/>
    <w:link w:val="854"/>
    <w:uiPriority w:val="10"/>
    <w:qFormat/>
    <w:pPr>
      <w:contextualSpacing/>
      <w:spacing w:before="300" w:after="200"/>
    </w:pPr>
    <w:rPr>
      <w:sz w:val="48"/>
      <w:szCs w:val="48"/>
    </w:rPr>
  </w:style>
  <w:style w:type="paragraph" w:styleId="838">
    <w:name w:val="Body Text First Indent"/>
    <w:basedOn w:val="820"/>
    <w:next w:val="805"/>
    <w:uiPriority w:val="0"/>
    <w:qFormat/>
    <w:pPr>
      <w:ind w:firstLine="200"/>
      <w:spacing w:line="360" w:lineRule="auto"/>
    </w:pPr>
    <w:rPr>
      <w:rFonts w:ascii="仿宋_GB2312" w:eastAsia="仿宋_GB2312"/>
    </w:rPr>
  </w:style>
  <w:style w:type="table" w:styleId="839">
    <w:name w:val="Table Grid"/>
    <w:basedOn w:val="81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endnote reference"/>
    <w:basedOn w:val="815"/>
    <w:uiPriority w:val="99"/>
    <w:semiHidden/>
    <w:unhideWhenUsed/>
    <w:qFormat/>
    <w:rPr>
      <w:vertAlign w:val="superscript"/>
    </w:rPr>
  </w:style>
  <w:style w:type="character" w:styleId="841">
    <w:name w:val="Hyperlink"/>
    <w:uiPriority w:val="99"/>
    <w:unhideWhenUsed/>
    <w:qFormat/>
    <w:rPr>
      <w:color w:val="0026e5" w:themeColor="hyperlink"/>
      <w:u w:val="single"/>
      <w14:textFill>
        <w14:solidFill>
          <w14:schemeClr w14:val="hlink"/>
        </w14:solidFill>
      </w14:textFill>
    </w:rPr>
  </w:style>
  <w:style w:type="character" w:styleId="842">
    <w:name w:val="footnote reference"/>
    <w:basedOn w:val="815"/>
    <w:uiPriority w:val="99"/>
    <w:unhideWhenUsed/>
    <w:qFormat/>
    <w:rPr>
      <w:vertAlign w:val="superscript"/>
    </w:rPr>
  </w:style>
  <w:style w:type="character" w:styleId="843" w:customStyle="1">
    <w:name w:val="Heading 1 Char"/>
    <w:basedOn w:val="815"/>
    <w:uiPriority w:val="9"/>
    <w:qFormat/>
    <w:rPr>
      <w:rFonts w:ascii="Arial" w:hAnsi="Arial" w:eastAsia="Arial" w:cs="Arial"/>
      <w:sz w:val="40"/>
      <w:szCs w:val="40"/>
    </w:rPr>
  </w:style>
  <w:style w:type="character" w:styleId="844" w:customStyle="1">
    <w:name w:val="Heading 2 Char"/>
    <w:basedOn w:val="815"/>
    <w:link w:val="807"/>
    <w:uiPriority w:val="9"/>
    <w:qFormat/>
    <w:rPr>
      <w:rFonts w:ascii="Arial" w:hAnsi="Arial" w:eastAsia="Arial" w:cs="Arial"/>
      <w:sz w:val="34"/>
    </w:rPr>
  </w:style>
  <w:style w:type="character" w:styleId="845" w:customStyle="1">
    <w:name w:val="Heading 3 Char"/>
    <w:basedOn w:val="815"/>
    <w:uiPriority w:val="9"/>
    <w:qFormat/>
    <w:rPr>
      <w:rFonts w:ascii="Arial" w:hAnsi="Arial" w:eastAsia="Arial" w:cs="Arial"/>
      <w:sz w:val="30"/>
      <w:szCs w:val="30"/>
    </w:rPr>
  </w:style>
  <w:style w:type="character" w:styleId="846" w:customStyle="1">
    <w:name w:val="Heading 4 Char"/>
    <w:basedOn w:val="815"/>
    <w:uiPriority w:val="9"/>
    <w:qFormat/>
    <w:rPr>
      <w:rFonts w:ascii="Arial" w:hAnsi="Arial" w:eastAsia="Arial" w:cs="Arial"/>
      <w:b/>
      <w:bCs/>
      <w:sz w:val="26"/>
      <w:szCs w:val="26"/>
    </w:rPr>
  </w:style>
  <w:style w:type="character" w:styleId="847" w:customStyle="1">
    <w:name w:val="Heading 5 Char"/>
    <w:basedOn w:val="815"/>
    <w:link w:val="810"/>
    <w:uiPriority w:val="9"/>
    <w:qFormat/>
    <w:rPr>
      <w:rFonts w:ascii="Arial" w:hAnsi="Arial" w:eastAsia="Arial" w:cs="Arial"/>
      <w:b/>
      <w:bCs/>
      <w:sz w:val="24"/>
      <w:szCs w:val="24"/>
    </w:rPr>
  </w:style>
  <w:style w:type="character" w:styleId="848" w:customStyle="1">
    <w:name w:val="Heading 6 Char"/>
    <w:basedOn w:val="815"/>
    <w:link w:val="811"/>
    <w:uiPriority w:val="9"/>
    <w:qFormat/>
    <w:rPr>
      <w:rFonts w:ascii="Arial" w:hAnsi="Arial" w:eastAsia="Arial" w:cs="Arial"/>
      <w:b/>
      <w:bCs/>
      <w:sz w:val="22"/>
      <w:szCs w:val="22"/>
    </w:rPr>
  </w:style>
  <w:style w:type="character" w:styleId="849" w:customStyle="1">
    <w:name w:val="Heading 7 Char"/>
    <w:basedOn w:val="815"/>
    <w:link w:val="812"/>
    <w:uiPriority w:val="9"/>
    <w:qFormat/>
    <w:rPr>
      <w:rFonts w:ascii="Arial" w:hAnsi="Arial" w:eastAsia="Arial" w:cs="Arial"/>
      <w:b/>
      <w:bCs/>
      <w:i/>
      <w:iCs/>
      <w:sz w:val="22"/>
      <w:szCs w:val="22"/>
    </w:rPr>
  </w:style>
  <w:style w:type="character" w:styleId="850" w:customStyle="1">
    <w:name w:val="Heading 8 Char"/>
    <w:basedOn w:val="815"/>
    <w:link w:val="813"/>
    <w:uiPriority w:val="9"/>
    <w:qFormat/>
    <w:rPr>
      <w:rFonts w:ascii="Arial" w:hAnsi="Arial" w:eastAsia="Arial" w:cs="Arial"/>
      <w:i/>
      <w:iCs/>
      <w:sz w:val="22"/>
      <w:szCs w:val="22"/>
    </w:rPr>
  </w:style>
  <w:style w:type="character" w:styleId="851" w:customStyle="1">
    <w:name w:val="Heading 9 Char"/>
    <w:basedOn w:val="815"/>
    <w:link w:val="814"/>
    <w:uiPriority w:val="9"/>
    <w:qFormat/>
    <w:rPr>
      <w:rFonts w:ascii="Arial" w:hAnsi="Arial" w:eastAsia="Arial" w:cs="Arial"/>
      <w:i/>
      <w:iCs/>
      <w:sz w:val="21"/>
      <w:szCs w:val="21"/>
    </w:rPr>
  </w:style>
  <w:style w:type="paragraph" w:styleId="852">
    <w:name w:val="List Paragraph"/>
    <w:basedOn w:val="805"/>
    <w:uiPriority w:val="34"/>
    <w:qFormat/>
    <w:pPr>
      <w:contextualSpacing/>
      <w:ind w:left="720"/>
    </w:pPr>
  </w:style>
  <w:style w:type="paragraph" w:styleId="853">
    <w:name w:val="No Spacing"/>
    <w:uiPriority w:val="1"/>
    <w:qFormat/>
    <w:pPr>
      <w:spacing w:before="0" w:after="0" w:line="240" w:lineRule="auto"/>
    </w:pPr>
    <w:rPr>
      <w:rFonts w:hint="default" w:asciiTheme="minorHAnsi" w:hAnsiTheme="minorHAnsi" w:eastAsiaTheme="minorEastAsia" w:cstheme="minorBidi"/>
    </w:rPr>
  </w:style>
  <w:style w:type="character" w:styleId="854" w:customStyle="1">
    <w:name w:val="Title Char"/>
    <w:basedOn w:val="815"/>
    <w:link w:val="837"/>
    <w:uiPriority w:val="10"/>
    <w:qFormat/>
    <w:rPr>
      <w:sz w:val="48"/>
      <w:szCs w:val="48"/>
    </w:rPr>
  </w:style>
  <w:style w:type="character" w:styleId="855" w:customStyle="1">
    <w:name w:val="Subtitle Char"/>
    <w:basedOn w:val="815"/>
    <w:link w:val="830"/>
    <w:uiPriority w:val="11"/>
    <w:qFormat/>
    <w:rPr>
      <w:sz w:val="24"/>
      <w:szCs w:val="24"/>
    </w:rPr>
  </w:style>
  <w:style w:type="paragraph" w:styleId="856">
    <w:name w:val="Quote"/>
    <w:basedOn w:val="805"/>
    <w:next w:val="805"/>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805"/>
    <w:next w:val="805"/>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Header Char"/>
    <w:basedOn w:val="815"/>
    <w:uiPriority w:val="99"/>
    <w:qFormat/>
  </w:style>
  <w:style w:type="character" w:styleId="861" w:customStyle="1">
    <w:name w:val="Footer Char"/>
    <w:basedOn w:val="815"/>
    <w:uiPriority w:val="99"/>
    <w:qFormat/>
  </w:style>
  <w:style w:type="character" w:styleId="862" w:customStyle="1">
    <w:name w:val="Caption Char"/>
    <w:uiPriority w:val="99"/>
    <w:qFormat/>
  </w:style>
  <w:style w:type="table" w:styleId="863" w:customStyle="1">
    <w:name w:val="Table Grid Light"/>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Plain Table 1"/>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8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8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81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81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81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81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81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81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81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81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81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81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81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81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3" w:customStyle="1">
    <w:name w:val="Grid Table 3"/>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81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81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81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81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81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81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w:basedOn w:val="8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81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2" w:customStyle="1">
    <w:name w:val="Grid Table 4 - Accent 2"/>
    <w:basedOn w:val="81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3" w:customStyle="1">
    <w:name w:val="Grid Table 4 - Accent 3"/>
    <w:basedOn w:val="81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4" w:customStyle="1">
    <w:name w:val="Grid Table 4 - Accent 4"/>
    <w:basedOn w:val="81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5" w:customStyle="1">
    <w:name w:val="Grid Table 4 - Accent 5"/>
    <w:basedOn w:val="81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6" w:customStyle="1">
    <w:name w:val="Grid Table 4 - Accent 6"/>
    <w:basedOn w:val="81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7" w:customStyle="1">
    <w:name w:val="Grid Table 5 Dark"/>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9" w:customStyle="1">
    <w:name w:val="Grid Table 5 Dark - Accent 2"/>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0" w:customStyle="1">
    <w:name w:val="Grid Table 5 Dark - Accent 3"/>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1" w:customStyle="1">
    <w:name w:val="Grid Table 5 Dark- Accent 4"/>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2" w:customStyle="1">
    <w:name w:val="Grid Table 5 Dark - Accent 5"/>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3" w:customStyle="1">
    <w:name w:val="Grid Table 5 Dark - Accent 6"/>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4" w:customStyle="1">
    <w:name w:val="Grid Table 6 Colorful"/>
    <w:basedOn w:val="8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81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81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81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8" w:customStyle="1">
    <w:name w:val="Grid Table 6 Colorful - Accent 4"/>
    <w:basedOn w:val="81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81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0" w:customStyle="1">
    <w:name w:val="Grid Table 6 Colorful - Accent 6"/>
    <w:basedOn w:val="81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1" w:customStyle="1">
    <w:name w:val="Grid Table 7 Colorful"/>
    <w:basedOn w:val="8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81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81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81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81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81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81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w:basedOn w:val="8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81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81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81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81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81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81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5" w:customStyle="1">
    <w:name w:val="List Table 2"/>
    <w:basedOn w:val="8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81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7" w:customStyle="1">
    <w:name w:val="List Table 2 - Accent 2"/>
    <w:basedOn w:val="81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8" w:customStyle="1">
    <w:name w:val="List Table 2 - Accent 3"/>
    <w:basedOn w:val="81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9" w:customStyle="1">
    <w:name w:val="List Table 2 - Accent 4"/>
    <w:basedOn w:val="81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0" w:customStyle="1">
    <w:name w:val="List Table 2 - Accent 5"/>
    <w:basedOn w:val="81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1" w:customStyle="1">
    <w:name w:val="List Table 2 - Accent 6"/>
    <w:basedOn w:val="81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2" w:customStyle="1">
    <w:name w:val="List Table 3"/>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81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4" w:customStyle="1">
    <w:name w:val="List Table 3 - Accent 2"/>
    <w:basedOn w:val="81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81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81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81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81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9" w:customStyle="1">
    <w:name w:val="List Table 4"/>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81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1" w:customStyle="1">
    <w:name w:val="List Table 4 - Accent 2"/>
    <w:basedOn w:val="81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2" w:customStyle="1">
    <w:name w:val="List Table 4 - Accent 3"/>
    <w:basedOn w:val="81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3" w:customStyle="1">
    <w:name w:val="List Table 4 - Accent 4"/>
    <w:basedOn w:val="81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4" w:customStyle="1">
    <w:name w:val="List Table 4 - Accent 5"/>
    <w:basedOn w:val="81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5" w:customStyle="1">
    <w:name w:val="List Table 4 - Accent 6"/>
    <w:basedOn w:val="81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6" w:customStyle="1">
    <w:name w:val="List Table 5 Dark"/>
    <w:basedOn w:val="8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81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81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81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81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81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81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basedOn w:val="8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81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5" w:customStyle="1">
    <w:name w:val="List Table 6 Colorful - Accent 2"/>
    <w:basedOn w:val="81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6" w:customStyle="1">
    <w:name w:val="List Table 6 Colorful - Accent 3"/>
    <w:basedOn w:val="81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7" w:customStyle="1">
    <w:name w:val="List Table 6 Colorful - Accent 4"/>
    <w:basedOn w:val="81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8" w:customStyle="1">
    <w:name w:val="List Table 6 Colorful - Accent 5"/>
    <w:basedOn w:val="81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9" w:customStyle="1">
    <w:name w:val="List Table 6 Colorful - Accent 6"/>
    <w:basedOn w:val="81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0" w:customStyle="1">
    <w:name w:val="List Table 7 Colorful"/>
    <w:basedOn w:val="8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81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81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81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81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81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81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9" w:customStyle="1">
    <w:name w:val="Lined - Accent 2"/>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0" w:customStyle="1">
    <w:name w:val="Lined - Accent 3"/>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1" w:customStyle="1">
    <w:name w:val="Lined - Accent 4"/>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2" w:customStyle="1">
    <w:name w:val="Lined - Accent 5"/>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3" w:customStyle="1">
    <w:name w:val="Lined - Accent 6"/>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4" w:customStyle="1">
    <w:name w:val="Bordered &amp; Lined - Accent"/>
    <w:basedOn w:val="81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81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6" w:customStyle="1">
    <w:name w:val="Bordered &amp; Lined - Accent 2"/>
    <w:basedOn w:val="81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7" w:customStyle="1">
    <w:name w:val="Bordered &amp; Lined - Accent 3"/>
    <w:basedOn w:val="81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8" w:customStyle="1">
    <w:name w:val="Bordered &amp; Lined - Accent 4"/>
    <w:basedOn w:val="81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9" w:customStyle="1">
    <w:name w:val="Bordered &amp; Lined - Accent 5"/>
    <w:basedOn w:val="81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0" w:customStyle="1">
    <w:name w:val="Bordered &amp; Lined - Accent 6"/>
    <w:basedOn w:val="81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1" w:customStyle="1">
    <w:name w:val="Bordered"/>
    <w:basedOn w:val="81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81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3" w:customStyle="1">
    <w:name w:val="Bordered - Accent 2"/>
    <w:basedOn w:val="81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4" w:customStyle="1">
    <w:name w:val="Bordered - Accent 3"/>
    <w:basedOn w:val="81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5" w:customStyle="1">
    <w:name w:val="Bordered - Accent 4"/>
    <w:basedOn w:val="81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6" w:customStyle="1">
    <w:name w:val="Bordered - Accent 5"/>
    <w:basedOn w:val="81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7" w:customStyle="1">
    <w:name w:val="Bordered - Accent 6"/>
    <w:basedOn w:val="81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8" w:customStyle="1">
    <w:name w:val="Footnote Text Char"/>
    <w:link w:val="831"/>
    <w:uiPriority w:val="99"/>
    <w:qFormat/>
    <w:rPr>
      <w:sz w:val="18"/>
    </w:rPr>
  </w:style>
  <w:style w:type="character" w:styleId="989" w:customStyle="1">
    <w:name w:val="Endnote Text Char"/>
    <w:link w:val="825"/>
    <w:uiPriority w:val="99"/>
    <w:qFormat/>
    <w:rPr>
      <w:sz w:val="20"/>
    </w:rPr>
  </w:style>
  <w:style w:type="paragraph" w:styleId="990" w:customStyle="1">
    <w:name w:val="TOC Heading"/>
    <w:uiPriority w:val="39"/>
    <w:unhideWhenUsed/>
    <w:qFormat/>
    <w:rPr>
      <w:rFonts w:hint="default" w:asciiTheme="minorHAnsi" w:hAnsiTheme="minorHAnsi" w:eastAsiaTheme="minorEastAsia" w:cstheme="minorBidi"/>
    </w:rPr>
  </w:style>
  <w:style w:type="paragraph" w:styleId="991" w:customStyle="1">
    <w:name w:val="正文文本缩进11"/>
    <w:basedOn w:val="805"/>
    <w:next w:val="805"/>
    <w:uiPriority w:val="0"/>
    <w:qFormat/>
    <w:pPr>
      <w:ind w:firstLine="225"/>
    </w:pPr>
    <w:rPr>
      <w:rFonts w:ascii="仿宋_GB2312" w:eastAsia="仿宋_GB2312"/>
      <w:sz w:val="32"/>
    </w:rPr>
  </w:style>
  <w:style w:type="paragraph" w:styleId="992" w:customStyle="1">
    <w:name w:val="普通正文"/>
    <w:basedOn w:val="805"/>
    <w:uiPriority w:val="0"/>
    <w:qFormat/>
    <w:pPr>
      <w:ind w:firstLine="480"/>
      <w:spacing w:before="120" w:after="120" w:line="360" w:lineRule="auto"/>
    </w:pPr>
    <w:rPr>
      <w:rFonts w:ascii="Arial" w:hAnsi="Arial"/>
      <w:sz w:val="24"/>
      <w:szCs w:val="24"/>
    </w:rPr>
  </w:style>
  <w:style w:type="paragraph" w:styleId="993" w:customStyle="1">
    <w:name w:val="正文空2字"/>
    <w:basedOn w:val="994"/>
    <w:uiPriority w:val="99"/>
    <w:qFormat/>
    <w:pPr>
      <w:ind w:firstLine="640"/>
      <w:spacing w:line="560" w:lineRule="exact"/>
      <w:widowControl w:val="off"/>
    </w:pPr>
    <w:rPr>
      <w:rFonts w:ascii="仿宋_GB2312" w:hAnsi="仿宋_GB2312" w:cs="仿宋_GB2312"/>
      <w:lang w:val="zh-TW"/>
    </w:rPr>
  </w:style>
  <w:style w:type="paragraph" w:styleId="994" w:customStyle="1">
    <w:name w:val="左对齐正文"/>
    <w:uiPriority w:val="99"/>
    <w:qFormat/>
    <w:rPr>
      <w:rFonts w:hint="default" w:ascii="Calibri" w:hAnsi="Calibri" w:eastAsia="仿宋_GB2312" w:cs="Calibri"/>
      <w:sz w:val="32"/>
      <w:szCs w:val="32"/>
      <w:lang w:val="en-US" w:eastAsia="zh-CN" w:bidi="ar-SA"/>
    </w:rPr>
  </w:style>
  <w:style w:type="paragraph" w:styleId="995" w:customStyle="1">
    <w:name w:val="首行缩进"/>
    <w:basedOn w:val="805"/>
    <w:uiPriority w:val="0"/>
    <w:qFormat/>
    <w:pPr>
      <w:ind w:firstLine="480"/>
    </w:pPr>
    <w:rPr>
      <w:rFonts w:ascii="Times New Roman" w:hAnsi="Times New Roman" w:cs="Times New Roman"/>
      <w:lang w:val="zh-CN"/>
    </w:rPr>
  </w:style>
  <w:style w:type="table" w:styleId="996" w:customStyle="1">
    <w:name w:val="网格型1"/>
    <w:basedOn w:val="997"/>
    <w:uiPriority w:val="0"/>
    <w:qFormat/>
    <w:pPr>
      <w:jc w:val="both"/>
      <w:widowControl w:val="off"/>
    </w:pPr>
    <w:tblPr/>
  </w:style>
  <w:style w:type="table" w:styleId="997" w:customStyle="1">
    <w:name w:val="普通表格1"/>
    <w:uiPriority w:val="99"/>
    <w:unhideWhenUsed/>
    <w:qFormat/>
    <w:tblPr/>
  </w:style>
  <w:style w:type="paragraph" w:styleId="99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9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0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01" w:customStyle="1">
    <w:name w:val="Char"/>
    <w:basedOn w:val="805"/>
    <w:uiPriority w:val="0"/>
    <w:qFormat/>
    <w:pPr>
      <w:ind w:firstLine="200"/>
      <w:tabs>
        <w:tab w:val="left" w:pos="360" w:leader="none"/>
      </w:tabs>
    </w:pPr>
    <w:rPr>
      <w:sz w:val="28"/>
      <w:szCs w:val="30"/>
    </w:rPr>
  </w:style>
  <w:style w:type="paragraph" w:styleId="1002" w:customStyle="1">
    <w:name w:val="Normal_12_0"/>
    <w:uiPriority w:val="0"/>
    <w:qFormat/>
    <w:rPr>
      <w:rFonts w:hint="default" w:ascii="黑体" w:hAnsi="黑体" w:eastAsia="黑体" w:cs="Times New Roman"/>
      <w:b/>
      <w:sz w:val="32"/>
      <w:szCs w:val="24"/>
      <w:lang w:val="en-US" w:eastAsia="zh-CN" w:bidi="ar-SA"/>
    </w:rPr>
  </w:style>
  <w:style w:type="paragraph" w:styleId="1003" w:customStyle="1">
    <w:name w:val="正文_12_0_0_0_0"/>
    <w:basedOn w:val="805"/>
    <w:uiPriority w:val="0"/>
    <w:qFormat/>
    <w:rPr>
      <w:rFonts w:ascii="Times New Roman" w:hAnsi="Times New Roman"/>
      <w:szCs w:val="24"/>
    </w:rPr>
  </w:style>
  <w:style w:type="paragraph" w:styleId="100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0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Normal_20"/>
    <w:uiPriority w:val="0"/>
    <w:qFormat/>
    <w:rPr>
      <w:rFonts w:hint="default" w:ascii="黑体" w:hAnsi="黑体" w:eastAsia="黑体" w:cs="黑体"/>
      <w:b/>
      <w:sz w:val="32"/>
      <w:szCs w:val="24"/>
      <w:lang w:val="en-US" w:eastAsia="zh-CN" w:bidi="ar-SA"/>
    </w:rPr>
  </w:style>
  <w:style w:type="paragraph" w:styleId="100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09" w:customStyle="1">
    <w:name w:val="font11"/>
    <w:basedOn w:val="815"/>
    <w:uiPriority w:val="0"/>
    <w:qFormat/>
    <w:rPr>
      <w:rFonts w:hint="eastAsia" w:ascii="宋体" w:hAnsi="宋体" w:eastAsia="宋体" w:cs="宋体"/>
      <w:color w:val="000000"/>
      <w:sz w:val="20"/>
      <w:szCs w:val="20"/>
      <w:u w:val="none"/>
    </w:rPr>
  </w:style>
  <w:style w:type="character" w:styleId="1010" w:customStyle="1">
    <w:name w:val="font01"/>
    <w:basedOn w:val="815"/>
    <w:uiPriority w:val="0"/>
    <w:qFormat/>
    <w:rPr>
      <w:rFonts w:hint="default" w:ascii="Arial" w:hAnsi="Arial" w:cs="Arial"/>
      <w:color w:val="000000"/>
      <w:sz w:val="20"/>
      <w:szCs w:val="20"/>
      <w:u w:val="none"/>
    </w:rPr>
  </w:style>
  <w:style w:type="paragraph" w:styleId="1011" w:customStyle="1">
    <w:name w:val="普通(网站)1"/>
    <w:basedOn w:val="805"/>
    <w:uiPriority w:val="0"/>
    <w:qFormat/>
    <w:pPr>
      <w:jc w:val="left"/>
      <w:spacing w:beforeAutospacing="1" w:afterAutospacing="1"/>
    </w:pPr>
    <w:rPr>
      <w:sz w:val="24"/>
    </w:rPr>
  </w:style>
  <w:style w:type="paragraph" w:styleId="1012" w:customStyle="1">
    <w:name w:val="章标题"/>
    <w:next w:val="1013"/>
    <w:uiPriority w:val="0"/>
    <w:qFormat/>
    <w:pPr>
      <w:jc w:val="both"/>
      <w:outlineLvl w:val="1"/>
    </w:pPr>
    <w:rPr>
      <w:rFonts w:hint="default" w:ascii="黑体" w:hAnsi="Times New Roman" w:eastAsia="黑体" w:cs="Times New Roman"/>
      <w:sz w:val="21"/>
      <w:szCs w:val="22"/>
      <w:lang w:val="en-US" w:eastAsia="zh-CN" w:bidi="ar-SA"/>
    </w:rPr>
  </w:style>
  <w:style w:type="paragraph" w:styleId="1013" w:customStyle="1">
    <w:name w:val="段"/>
    <w:uiPriority w:val="0"/>
    <w:qFormat/>
    <w:pPr>
      <w:ind w:firstLine="420"/>
      <w:jc w:val="both"/>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014" w:customStyle="1">
    <w:name w:val="一级条标题"/>
    <w:next w:val="1013"/>
    <w:uiPriority w:val="0"/>
    <w:qFormat/>
    <w:pPr>
      <w:outlineLvl w:val="2"/>
    </w:pPr>
    <w:rPr>
      <w:rFonts w:hint="default" w:ascii="黑体" w:hAnsi="Times New Roman" w:eastAsia="黑体" w:cs="Times New Roman"/>
      <w:sz w:val="21"/>
      <w:szCs w:val="21"/>
      <w:lang w:val="en-US" w:eastAsia="zh-CN" w:bidi="ar-SA"/>
    </w:rPr>
  </w:style>
  <w:style w:type="paragraph" w:styleId="1015" w:customStyle="1">
    <w:name w:val="正文图标题"/>
    <w:next w:val="1013"/>
    <w:uiPriority w:val="0"/>
    <w:qFormat/>
    <w:pPr>
      <w:numPr>
        <w:ilvl w:val="0"/>
        <w:numId w:val="1"/>
      </w:numPr>
      <w:jc w:val="center"/>
    </w:pPr>
    <w:rPr>
      <w:rFonts w:hint="default" w:ascii="黑体" w:hAnsi="Times New Roman" w:eastAsia="黑体" w:cs="Times New Roman"/>
      <w:sz w:val="21"/>
      <w:lang w:val="en-US" w:eastAsia="zh-CN" w:bidi="ar-SA"/>
    </w:rPr>
  </w:style>
  <w:style w:type="paragraph" w:styleId="1016" w:customStyle="1">
    <w:name w:val="正文表标题"/>
    <w:next w:val="1013"/>
    <w:uiPriority w:val="0"/>
    <w:qFormat/>
    <w:pPr>
      <w:numPr>
        <w:ilvl w:val="0"/>
        <w:numId w:val="2"/>
      </w:numPr>
      <w:jc w:val="center"/>
    </w:pPr>
    <w:rPr>
      <w:rFonts w:hint="default" w:ascii="黑体" w:hAnsi="Times New Roman" w:eastAsia="黑体" w:cs="Times New Roman"/>
      <w:sz w:val="21"/>
      <w:lang w:val="en-US" w:eastAsia="zh-CN" w:bidi="ar-SA"/>
    </w:rPr>
  </w:style>
  <w:style w:type="paragraph" w:styleId="1017" w:customStyle="1">
    <w:name w:val="二级条标题"/>
    <w:basedOn w:val="1014"/>
    <w:next w:val="1013"/>
    <w:uiPriority w:val="0"/>
    <w:qFormat/>
    <w:pPr>
      <w:spacing w:before="50" w:after="50"/>
      <w:outlineLvl w:val="3"/>
    </w:pPr>
    <w:rPr>
      <w:rFonts w:ascii="黑体" w:hAnsi="Times New Roman" w:eastAsia="黑体" w:cs="Times New Roman"/>
      <w:sz w:val="21"/>
      <w:szCs w:val="21"/>
      <w:lang w:val="en-US" w:eastAsia="zh-CN" w:bidi="ar-SA"/>
    </w:rPr>
  </w:style>
  <w:style w:type="paragraph" w:styleId="1018" w:customStyle="1">
    <w:name w:val="三级条标题"/>
    <w:basedOn w:val="1017"/>
    <w:next w:val="1013"/>
    <w:uiPriority w:val="0"/>
    <w:qFormat/>
    <w:pPr>
      <w:spacing w:before="50" w:after="50"/>
      <w:outlineLvl w:val="4"/>
    </w:pPr>
    <w:rPr>
      <w:rFonts w:ascii="黑体" w:hAnsi="Times New Roman" w:eastAsia="黑体" w:cs="Times New Roman"/>
      <w:sz w:val="21"/>
      <w:szCs w:val="21"/>
      <w:lang w:val="en-US" w:eastAsia="zh-CN" w:bidi="ar-SA"/>
    </w:rPr>
  </w:style>
  <w:style w:type="character" w:styleId="1019" w:customStyle="1">
    <w:name w:val="二级条标题 Char"/>
    <w:uiPriority w:val="0"/>
    <w:qFormat/>
    <w:rPr>
      <w:rFonts w:ascii="黑体" w:eastAsia="黑体" w:cs="黑体"/>
      <w:sz w:val="21"/>
      <w:szCs w:val="21"/>
      <w:lang w:val="en-US" w:eastAsia="zh-CN" w:bidi="ar-SA"/>
    </w:rPr>
  </w:style>
  <w:style w:type="paragraph" w:styleId="1020" w:customStyle="1">
    <w:name w:val="正文1"/>
    <w:basedOn w:val="1021"/>
    <w:uiPriority w:val="0"/>
    <w:qFormat/>
    <w:pPr>
      <w:ind w:left="420" w:firstLine="527"/>
      <w:spacing w:before="120" w:line="360" w:lineRule="auto"/>
    </w:pPr>
    <w:rPr>
      <w:rFonts w:ascii="宋体" w:hAnsi="宋体"/>
    </w:rPr>
  </w:style>
  <w:style w:type="paragraph" w:styleId="1021" w:customStyle="1">
    <w:name w:val="正文11"/>
    <w:next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无间隔11"/>
    <w:uiPriority w:val="0"/>
    <w:qFormat/>
    <w:rPr>
      <w:rFonts w:hint="default" w:ascii="Times New Roman" w:hAnsi="Times New Roman" w:eastAsia="宋体" w:cs="Times New Roman"/>
      <w:sz w:val="22"/>
      <w:szCs w:val="22"/>
      <w:lang w:val="en-US" w:eastAsia="en-US" w:bidi="ar-SA"/>
    </w:rPr>
  </w:style>
  <w:style w:type="paragraph" w:styleId="1023" w:customStyle="1">
    <w:name w:val="附录标识"/>
    <w:next w:val="1013"/>
    <w:uiPriority w:val="0"/>
    <w:qFormat/>
    <w:pPr>
      <w:jc w:val="center"/>
      <w:keepNext/>
      <w:spacing w:before="640" w:after="280"/>
      <w:shd w:val="clear" w:color="ffffff" w:fill="ffffff"/>
      <w:widowControl/>
      <w:tabs>
        <w:tab w:val="left" w:pos="6405" w:leader="none"/>
      </w:tabs>
      <w:outlineLvl w:val="0"/>
    </w:pPr>
    <w:rPr>
      <w:rFonts w:hint="default" w:ascii="黑体" w:hAnsi="Times New Roman" w:eastAsia="黑体" w:cs="Times New Roman"/>
      <w:sz w:val="20"/>
      <w:szCs w:val="20"/>
      <w:lang w:val="en-US" w:eastAsia="zh-CN" w:bidi="ar-SA"/>
    </w:rPr>
  </w:style>
  <w:style w:type="paragraph" w:styleId="1024" w:customStyle="1">
    <w:name w:val="附录章标题"/>
    <w:next w:val="1013"/>
    <w:uiPriority w:val="0"/>
    <w:qFormat/>
    <w:pPr>
      <w:jc w:val="both"/>
      <w:outlineLvl w:val="1"/>
    </w:pPr>
    <w:rPr>
      <w:rFonts w:hint="default" w:ascii="黑体" w:hAnsi="Times New Roman" w:eastAsia="黑体" w:cs="Times New Roman"/>
      <w:sz w:val="21"/>
      <w:lang w:val="en-US" w:eastAsia="zh-CN" w:bidi="ar-SA"/>
    </w:rPr>
  </w:style>
  <w:style w:type="paragraph" w:styleId="1025" w:customStyle="1">
    <w:name w:val="附录图标题"/>
    <w:next w:val="1013"/>
    <w:uiPriority w:val="0"/>
    <w:qFormat/>
    <w:pPr>
      <w:jc w:val="center"/>
      <w:widowControl w:val="off"/>
      <w:tabs>
        <w:tab w:val="left" w:pos="363" w:leader="none"/>
      </w:tabs>
    </w:pPr>
    <w:rPr>
      <w:rFonts w:hint="default" w:ascii="黑体" w:hAnsi="Times New Roman" w:eastAsia="黑体" w:cs="Times New Roman"/>
      <w:sz w:val="21"/>
      <w:szCs w:val="21"/>
      <w:lang w:val="en-US" w:eastAsia="zh-CN" w:bidi="ar-SA"/>
    </w:rPr>
  </w:style>
  <w:style w:type="paragraph" w:styleId="1026" w:customStyle="1">
    <w:name w:val="附录一级条标题"/>
    <w:basedOn w:val="1024"/>
    <w:next w:val="1013"/>
    <w:uiPriority w:val="0"/>
    <w:qFormat/>
    <w:pPr>
      <w:jc w:val="both"/>
      <w:tabs>
        <w:tab w:val="left" w:pos="360" w:leader="none"/>
      </w:tabs>
      <w:outlineLvl w:val="2"/>
    </w:pPr>
    <w:rPr>
      <w:rFonts w:ascii="黑体" w:hAnsi="Times New Roman" w:eastAsia="黑体" w:cs="Times New Roman"/>
      <w:sz w:val="21"/>
      <w:lang w:val="en-US" w:eastAsia="zh-CN" w:bidi="ar-SA"/>
    </w:rPr>
  </w:style>
  <w:style w:type="paragraph" w:styleId="1027" w:customStyle="1">
    <w:name w:val="正文文本首行缩进1"/>
    <w:basedOn w:val="820"/>
    <w:uiPriority w:val="0"/>
    <w:qFormat/>
    <w:pPr>
      <w:ind w:firstLine="420"/>
      <w:jc w:val="left"/>
      <w:spacing w:after="120"/>
      <w:widowControl/>
    </w:pPr>
    <w:rPr>
      <w:rFonts w:ascii="Times New Roman" w:hAnsi="Times New Roman" w:eastAsia="仿宋_GB2312" w:cs="Times New Roman"/>
      <w:sz w:val="21"/>
      <w:szCs w:val="32"/>
      <w:lang w:val="en-US" w:eastAsia="zh-CN" w:bidi="ar-SA"/>
    </w:rPr>
  </w:style>
  <w:style w:type="paragraph" w:styleId="1028" w:customStyle="1">
    <w:name w:val="正文4"/>
    <w:uiPriority w:val="0"/>
    <w:qFormat/>
    <w:rPr>
      <w:rFonts w:ascii="Tahoma" w:hAnsi="Tahoma" w:eastAsia="微软雅黑" w:cs="Times New Roman"/>
      <w:lang w:val="en-US" w:eastAsia="zh-CN" w:bidi="ar-SA"/>
    </w:rPr>
  </w:style>
  <w:style w:type="paragraph" w:styleId="1029" w:customStyle="1">
    <w:name w:val="正文_0_1"/>
    <w:uiPriority w:val="0"/>
    <w:qFormat/>
    <w:pPr>
      <w:jc w:val="both"/>
      <w:widowControl w:val="off"/>
    </w:pPr>
    <w:rPr>
      <w:rFonts w:ascii="Calibri" w:hAnsi="Calibri" w:eastAsia="宋体" w:cs="Times New Roman"/>
      <w:lang w:val="en-US" w:eastAsia="zh-CN" w:bidi="ar-SA"/>
    </w:rPr>
  </w:style>
  <w:style w:type="paragraph" w:styleId="1030" w:customStyle="1">
    <w:name w:val="Body Text First Indent"/>
    <w:uiPriority w:val="99"/>
    <w:unhideWhenUsed/>
    <w:qFormat/>
    <w:pPr>
      <w:ind w:firstLine="420"/>
      <w:spacing w:after="120"/>
    </w:pPr>
    <w:rPr>
      <w:rFonts w:hint="default" w:ascii="黑体" w:hAnsi="黑体" w:eastAsia="黑体" w:cs="黑体"/>
      <w:b/>
      <w:sz w:val="32"/>
      <w:szCs w:val="24"/>
      <w:lang w:val="en-US" w:eastAsia="zh-CN" w:bidi="ar-SA"/>
    </w:rPr>
  </w:style>
  <w:style w:type="paragraph" w:styleId="1031" w:customStyle="1">
    <w:name w:val="Body Text"/>
    <w:uiPriority w:val="99"/>
    <w:unhideWhenUsed/>
    <w:qFormat/>
    <w:pPr>
      <w:spacing w:after="120"/>
    </w:pPr>
    <w:rPr>
      <w:rFonts w:hint="default" w:ascii="黑体" w:hAnsi="黑体" w:eastAsia="黑体" w:cs="黑体"/>
      <w:b/>
      <w:sz w:val="32"/>
      <w:szCs w:val="24"/>
      <w:lang w:val="en-US" w:eastAsia="zh-CN" w:bidi="ar-SA"/>
    </w:rPr>
  </w:style>
  <w:style w:type="paragraph" w:styleId="1032" w:customStyle="1">
    <w:name w:val="正文4_0"/>
    <w:uiPriority w:val="0"/>
    <w:qFormat/>
    <w:rPr>
      <w:rFonts w:ascii="Tahoma" w:hAnsi="Tahoma" w:eastAsia="微软雅黑" w:cs="Times New Roman"/>
      <w:lang w:val="en-US" w:eastAsia="zh-CN" w:bidi="ar-SA"/>
    </w:rPr>
  </w:style>
  <w:style w:type="paragraph" w:styleId="1033" w:customStyle="1">
    <w:name w:val="正文_16"/>
    <w:uiPriority w:val="0"/>
    <w:qFormat/>
    <w:pPr>
      <w:jc w:val="both"/>
      <w:widowControl w:val="off"/>
    </w:pPr>
    <w:rPr>
      <w:rFonts w:ascii="Times New Roman" w:hAnsi="Times New Roman" w:eastAsia="宋体" w:cs="Calibri"/>
      <w:sz w:val="21"/>
      <w:szCs w:val="22"/>
      <w:lang w:val="en-US" w:eastAsia="zh-CN" w:bidi="ar-SA"/>
    </w:rPr>
  </w:style>
  <w:style w:type="paragraph" w:styleId="1034" w:customStyle="1">
    <w:name w:val="正文文本1"/>
    <w:next w:val="805"/>
    <w:uiPriority w:val="0"/>
    <w:qFormat/>
    <w:pPr>
      <w:jc w:val="both"/>
      <w:widowControl w:val="off"/>
    </w:pPr>
    <w:rPr>
      <w:rFonts w:hint="default" w:ascii="楷体_GB2312" w:hAnsi="Arial" w:eastAsia="楷体_GB2312" w:cs="Times New Roman"/>
      <w:sz w:val="28"/>
      <w:szCs w:val="28"/>
      <w:lang w:val="en-US" w:eastAsia="zh-CN" w:bidi="ar-SA"/>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7ed6c6ad-c63c-4ed7-9504-2df7151ddcff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54DEDBED</paraID>
      <start xmlns="http://schemas.wps.cn/vas-ai-hub/contract-review">131</start>
      <end xmlns="http://schemas.wps.cn/vas-ai-hub/contract-review">133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cc06d656-1fb5-4716-be80-3d0c356e3475</errorID>
      <errorWord xmlns="http://schemas.wps.cn/vas-ai-hub/contract-review">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子文</item>
      </candidateList>
      <explain xmlns="http://schemas.wps.cn/vas-ai-hub/contract-review"/>
      <paraID xmlns="http://schemas.wps.cn/vas-ai-hub/contract-review">65B2E549</paraID>
      <start xmlns="http://schemas.wps.cn/vas-ai-hub/contract-review">161</start>
      <end xmlns="http://schemas.wps.cn/vas-ai-hub/contract-review">162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3963fc3f-0bc8-4a42-9e86-df14704dc046</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71BD33F5</paraID>
      <start xmlns="http://schemas.wps.cn/vas-ai-hub/contract-review">68</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52930a3c-13a3-4dd1-b9cd-d5567a09024e</errorID>
      <errorWord xmlns="http://schemas.wps.cn/vas-ai-hub/contract-review">规定的属无效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规定的属于无效</item>
      </candidateList>
      <explain xmlns="http://schemas.wps.cn/vas-ai-hub/contract-review"/>
      <paraID xmlns="http://schemas.wps.cn/vas-ai-hub/contract-review">57DC4894</paraID>
      <start xmlns="http://schemas.wps.cn/vas-ai-hub/contract-review">19</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6c07b99f-6285-4218-9c99-e63b5ed3efb4</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220183EC</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cecc5554-dec2-430f-b1f6-316539fea0e4</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47914E27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e3c5f96b-371b-42a8-84a2-e16d3d2a64ad</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16B4F197</paraID>
      <start xmlns="http://schemas.wps.cn/vas-ai-hub/contract-review">40</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feb7b0f2-70c4-4893-9267-e75463d8e1a4</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应当</item>
      </candidateList>
      <explain xmlns="http://schemas.wps.cn/vas-ai-hub/contract-review"/>
      <paraID xmlns="http://schemas.wps.cn/vas-ai-hub/contract-review">418338CC</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20d9235c-ece3-482e-8403-594e49f51201</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5AAE9D94</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b3d44617-da2e-42ea-b7ea-52a8256b8274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469F9C5</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eb1a6480-d846-4cbb-a35e-e8cdae40e536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469F9C5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17e2230d-7cd8-453d-98dc-8ce5e9aa5fe9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856FE4A</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f34d25bf-629f-4f65-9636-de795cb57434</errorID>
      <errorWord xmlns="http://schemas.wps.cn/vas-ai-hub/contract-review">【2024】12号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〔2024〕12号</item>
      </candidateList>
      <explain xmlns="http://schemas.wps.cn/vas-ai-hub/contract-review">发文字号格式错误。</explain>
      <paraID xmlns="http://schemas.wps.cn/vas-ai-hub/contract-review">212616CA</paraID>
      <start xmlns="http://schemas.wps.cn/vas-ai-hub/contract-review">61</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a8196b29-a3e0-4641-a146-096b03ed2d40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3D49EED4</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ba97475c-f937-4874-94f5-1ddcb7da3d40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5108659A</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6ea0e7e3-9ad9-4f82-b885-232b7e6098f3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4D2BCCAE</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598cf63a-5507-4c79-abbc-70fdf723e487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9BCF33</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72cba55f-8240-4667-9f03-60425ba6393e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6C865EBC</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fa043da2-954e-45cd-b083-6b15c7109249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BAC51A4</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9142ce0e-261e-4c9e-9a66-f1e730ec98e0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5901D572</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91f2267f-546a-4ece-9978-c39f2b42a14b</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 D80A257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7cf1917d-ed3f-46f5-abc8-1ce999f8a9bd</errorID>
      <errorWord xmlns="http://schemas.wps.cn/vas-ai-hub/contract-review">包复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包覆</item>
      </candidateList>
      <explain xmlns="http://schemas.wps.cn/vas-ai-hub/contract-review">存在发音相同字词的误用。</explain>
      <paraID xmlns="http://schemas.wps.cn/vas-ai-hub/contract-review">2D868C75</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ea6ec3ef-82db-4acf-9c0e-a34ef6945dad</errorID>
      <errorWord xmlns="http://schemas.wps.cn/vas-ai-hub/contract-review">皱折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皱褶</item>
      </candidateList>
      <explain xmlns="http://schemas.wps.cn/vas-ai-hub/contract-review">存在发音相同字词的误用。</explain>
      <paraID xmlns="http://schemas.wps.cn/vas-ai-hub/contract-review">32FA1141</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722a8842-b2ed-467c-9e73-cc6920d1b14b</errorID>
      <errorWord xmlns="http://schemas.wps.cn/vas-ai-hub/contract-review">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扇</item>
      </candidateList>
      <explain xmlns="http://schemas.wps.cn/vas-ai-hub/contract-review">请检查“个”是否为量词使用错误，建议修改为“扇”。</explain>
      <paraID xmlns="http://schemas.wps.cn/vas-ai-hub/contract-review">62BCF42F</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d8d34b03-a3a1-451a-99e2-040e969e669e</errorID>
      <errorWord xmlns="http://schemas.wps.cn/vas-ai-hub/contract-review">形位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定位</item>
      </candidateList>
      <explain xmlns="http://schemas.wps.cn/vas-ai-hub/contract-review"/>
      <paraID xmlns="http://schemas.wps.cn/vas-ai-hub/contract-review">4DA0841C</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c0e9297f-e193-40da-a9d1-c04d3489fc83</errorID>
      <errorWord xmlns="http://schemas.wps.cn/vas-ai-hub/contract-review">不匀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不均</item>
      </candidateList>
      <explain xmlns="http://schemas.wps.cn/vas-ai-hub/contract-review"/>
      <paraID xmlns="http://schemas.wps.cn/vas-ai-hub/contract-review">39DD4E99</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7c407848-b0af-4ffb-a65c-842adb7d5030</errorID>
      <errorWord xmlns="http://schemas.wps.cn/vas-ai-hub/contract-review">进厂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进场</item>
      </candidateList>
      <explain xmlns="http://schemas.wps.cn/vas-ai-hub/contract-review"/>
      <paraID xmlns="http://schemas.wps.cn/vas-ai-hub/contract-review">69E1B86C</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823bad17-cb27-455a-a948-da3407fcfd52</errorID>
      <errorWord xmlns="http://schemas.wps.cn/vas-ai-hub/contract-review">笔划</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笔画</item>
      </candidateList>
      <explain xmlns="http://schemas.wps.cn/vas-ai-hub/contract-review">词汇[笔划]的规范词形写作[笔画]。</explain>
      <paraID xmlns="http://schemas.wps.cn/vas-ai-hub/contract-review"> 8E1A3FD</paraID>
      <start xmlns="http://schemas.wps.cn/vas-ai-hub/contract-review">56</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a2d44a10-48c1-4589-8841-37b1a4f9cabd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6E0915A9</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64de98ab-5623-4891-b88a-4c592cad4b07</errorID>
      <errorWord xmlns="http://schemas.wps.cn/vas-ai-hub/contract-review">笔划</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笔画</item>
      </candidateList>
      <explain xmlns="http://schemas.wps.cn/vas-ai-hub/contract-review">词汇[笔划]的规范词形写作[笔画]。</explain>
      <paraID xmlns="http://schemas.wps.cn/vas-ai-hub/contract-review">6E0915A9</paraID>
      <start xmlns="http://schemas.wps.cn/vas-ai-hub/contract-review">46</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6af2785d-fc16-4e88-88c7-fbc81567da88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85571E7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6a995e69-ac52-4e76-aeac-91c2fbf21ef3</errorID>
      <errorWord xmlns="http://schemas.wps.cn/vas-ai-hub/contract-review">其它为</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其他为</item>
      </candidateList>
      <explain xmlns="http://schemas.wps.cn/vas-ai-hub/contract-review">词汇[其它为]为不规范表述或旧称，其规范书面表述为[其他为]。</explain>
      <paraID xmlns="http://schemas.wps.cn/vas-ai-hub/contract-review">37EE4465</paraID>
      <start xmlns="http://schemas.wps.cn/vas-ai-hub/contract-review">117</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d0809b6f-c9ec-4084-bcb1-56a591b18d81</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67C39296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f7ed3efb-36ae-4f55-b96f-be5b5abb5122</errorID>
      <errorWord xmlns="http://schemas.wps.cn/vas-ai-hub/contract-review">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扇</item>
      </candidateList>
      <explain xmlns="http://schemas.wps.cn/vas-ai-hub/contract-review">请检查“个”是否为量词使用错误，建议修改为“扇”。</explain>
      <paraID xmlns="http://schemas.wps.cn/vas-ai-hub/contract-review"> 81D5557</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a1f2086b-1076-4eeb-994a-d081115d50a1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20BEBE3</paraID>
      <start xmlns="http://schemas.wps.cn/vas-ai-hub/contract-review">230</start>
      <end xmlns="http://schemas.wps.cn/vas-ai-hub/contract-review">232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7f0660c5-9a93-4635-9a89-da738a93e0d2</errorID>
      <errorWord xmlns="http://schemas.wps.cn/vas-ai-hub/contract-review">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呈</item>
      </candidateList>
      <explain xmlns="http://schemas.wps.cn/vas-ai-hub/contract-review">存在发音相同字词的误用。</explain>
      <paraID xmlns="http://schemas.wps.cn/vas-ai-hub/contract-review">50B45F62</paraID>
      <start xmlns="http://schemas.wps.cn/vas-ai-hub/contract-review">145</start>
      <end xmlns="http://schemas.wps.cn/vas-ai-hub/contract-review">146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ef18e32b-a910-4109-b99b-3925f25c8118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6FC5C08A</paraID>
      <start xmlns="http://schemas.wps.cn/vas-ai-hub/contract-review">45</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0955611f-c396-4bdd-a83e-422f2527bf28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6FC5C08A</paraID>
      <start xmlns="http://schemas.wps.cn/vas-ai-hub/contract-review">52</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ef888c56-b0b7-4d01-a0ba-80cf21d57d3b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6FC5C08A</paraID>
      <start xmlns="http://schemas.wps.cn/vas-ai-hub/contract-review">65</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4c3ff9fa-15af-4ecf-9789-f0c923a00503</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）严</item>
      </candidateList>
      <explain xmlns="http://schemas.wps.cn/vas-ai-hub/contract-review"/>
      <paraID xmlns="http://schemas.wps.cn/vas-ai-hub/contract-review"> 230A9ED</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f51ab21d-d1ac-4e60-96a9-42bda064e68f</errorID>
      <errorWord xmlns="http://schemas.wps.cn/vas-ai-hub/contract-review">判</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判定</item>
      </candidateList>
      <explain xmlns="http://schemas.wps.cn/vas-ai-hub/contract-review"/>
      <paraID xmlns="http://schemas.wps.cn/vas-ai-hub/contract-review">42519E6E</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727f7729-e312-40cc-a99a-95d47eeb1bf2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3BCB422F</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9083584c-0a0a-4b11-9179-0d534f0d237c</errorID>
      <errorWord xmlns="http://schemas.wps.cn/vas-ai-hub/contract-review">作全</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做全</item>
      </candidateList>
      <explain xmlns="http://schemas.wps.cn/vas-ai-hub/contract-review">词汇[作全]为不规范表述或旧称，其规范书面表述为[做全]。</explain>
      <paraID xmlns="http://schemas.wps.cn/vas-ai-hub/contract-review">7A0CA0F2</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97f0fa53-c631-4069-b029-053d2d25b6af</errorID>
      <errorWord xmlns="http://schemas.wps.cn/vas-ai-hub/contract-review">作全</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做全</item>
      </candidateList>
      <explain xmlns="http://schemas.wps.cn/vas-ai-hub/contract-review">词汇[作全]为不规范表述或旧称，其规范书面表述为[做全]。</explain>
      <paraID xmlns="http://schemas.wps.cn/vas-ai-hub/contract-review">7A0CA0F2</paraID>
      <start xmlns="http://schemas.wps.cn/vas-ai-hub/contract-review">105</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9d3673cc-1773-496c-95fd-a3ab7b1db43a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528DC62A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c657304d-2e5b-46af-b376-6ff8ffe02c6a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528DC62A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95374424-4c46-46cf-b5b2-53213aa4e7e4</errorID>
      <errorWord xmlns="http://schemas.wps.cn/vas-ai-hub/contract-review">顶里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顶</item>
      </candidateList>
      <explain xmlns="http://schemas.wps.cn/vas-ai-hub/contract-review"/>
      <paraID xmlns="http://schemas.wps.cn/vas-ai-hub/contract-review">78EAC6DD</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d39d2dbf-b731-441c-9360-4b412c7213bc</errorID>
      <errorWord xmlns="http://schemas.wps.cn/vas-ai-hub/contract-review">墙里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墙</item>
      </candidateList>
      <explain xmlns="http://schemas.wps.cn/vas-ai-hub/contract-review"/>
      <paraID xmlns="http://schemas.wps.cn/vas-ai-hub/contract-review">1ABD5888</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5d3ebb47-607d-45b4-88a2-bf33c07ea47a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7FA03EB8</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1db12330-29d0-4e5f-9fb2-48e98e14b6fa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615DBF9F</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54ed5931-10db-49f1-a45f-3675a7dab43d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615DBF9F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09c98900-9858-4dca-ab38-5e3a093a0a1e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735FD7A1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36e1834b-8292-4681-8dcc-f346a0407774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735FD7A1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2c2109ca-d109-493e-a5b3-9bad8942a4c4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5B0BC25A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9b10a794-6f06-4015-a571-81489c1e96e8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5B0BC25A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5fa972e2-b4bb-41e3-9d2f-e9dd7d1ced8b</errorID>
      <errorWord xmlns="http://schemas.wps.cn/vas-ai-hub/contract-review">铜板纸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铜版纸</item>
      </candidateList>
      <explain xmlns="http://schemas.wps.cn/vas-ai-hub/contract-review">存在发音相同字词的误用。</explain>
      <paraID xmlns="http://schemas.wps.cn/vas-ai-hub/contract-review">59132F4A</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cd39c350-8886-402c-8d53-5e40d3acd70a</errorID>
      <errorWord xmlns="http://schemas.wps.cn/vas-ai-hub/contract-review">胶板印刷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胶版印刷</item>
      </candidateList>
      <explain xmlns="http://schemas.wps.cn/vas-ai-hub/contract-review">存在发音相同字词的误用。</explain>
      <paraID xmlns="http://schemas.wps.cn/vas-ai-hub/contract-review">2870B841</paraID>
      <start xmlns="http://schemas.wps.cn/vas-ai-hub/contract-review">5</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5a062c8e-37d2-40d1-90f1-1ebacf99370c</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6BA83313</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00e9dc31-96f9-400b-9094-c416359b2382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6C64F122</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efb3a9bd-4ff6-45bd-af9c-c3d726254578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2D3E4F68</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d8adca69-65e1-4f82-aef3-42ca9374c1d1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2D3E4F68</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9d2ccc76-0a6c-455e-a774-2aafdbc4f66a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189ABD9A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83a2bc1a-20ee-46f1-aca0-98aa1a673b05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189ABD9A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032a3f1e-f798-4914-afb1-46844f5187c0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42A3ECC3</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163acb36-dc16-400e-975a-c69b51e3d739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42A3ECC3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3d8c0681-67b0-46aa-b999-68bac7e71e0d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504C2108</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193405e9-990c-45b7-837c-2d39146fd037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311106BB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ec69b370-3ff3-4549-8724-4d9ecdf41f3a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23758108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c56c9d28-2901-4a54-a7cf-2669a5fd6bd1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23758108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d421b08f-5f9d-43f5-b259-1dda40b1df8f</errorID>
      <errorWord xmlns="http://schemas.wps.cn/vas-ai-hub/contract-review">Ｒ</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R</item>
      </candidateList>
      <explain xmlns="http://schemas.wps.cn/vas-ai-hub/contract-review">文本全半角错误。</explain>
      <paraID xmlns="http://schemas.wps.cn/vas-ai-hub/contract-review">4450AF9D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f42dff28-58ed-4323-b010-4a675a52a21e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D3C4B5</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2246a108-f309-4e8d-8e51-98700d44f0ab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D3C4B5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3ee94432-f311-4f7c-b15a-804ffe54949f</errorID>
      <errorWord xmlns="http://schemas.wps.cn/vas-ai-hub/contract-review">抽插</errorWord>
      <group xmlns="http://schemas.wps.cn/vas-ai-hub/contract-review">L1_Sensitive</group>
      <groupName xmlns="http://schemas.wps.cn/vas-ai-hub/contract-review">敏感问题</groupName>
      <ability xmlns="http://schemas.wps.cn/vas-ai-hub/contract-review">L2_Yellow</ability>
      <abilityName xmlns="http://schemas.wps.cn/vas-ai-hub/contract-review">涉黄内容</abilityName>
      <candidateList xmlns="http://schemas.wps.cn/vas-ai-hub/contract-review"/>
      <explain xmlns="http://schemas.wps.cn/vas-ai-hub/contract-review">【涉黄词条】句中包含涉黄敏感词条，请注意甄别。</explain>
      <paraID xmlns="http://schemas.wps.cn/vas-ai-hub/contract-review">19518673</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25e7328f-80e7-4273-abdb-4c52363df78e</errorID>
      <errorWord xmlns="http://schemas.wps.cn/vas-ai-hub/contract-review">11～13%</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11%～13%</item>
      </candidateList>
      <explain xmlns="http://schemas.wps.cn/vas-ai-hub/contract-review">1. “11～13%”中的单位“%”仅出现在后一个数字上，容易引起歧义；根据《现代汉语标点符号数字用法规范手册》，数字表示范围两边需要使用统一的格式。2.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79379029</paraID>
      <start xmlns="http://schemas.wps.cn/vas-ai-hub/contract-review">26</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e13efbb8-a42b-4c11-a189-ca15b9a94615</errorID>
      <errorWord xmlns="http://schemas.wps.cn/vas-ai-hub/contract-review">受权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授权</item>
      </candidateList>
      <explain xmlns="http://schemas.wps.cn/vas-ai-hub/contract-review"/>
      <paraID xmlns="http://schemas.wps.cn/vas-ai-hub/contract-review">50DD4C94</paraID>
      <start xmlns="http://schemas.wps.cn/vas-ai-hub/contract-review">19</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e39b1512-7670-41af-a4ce-204bd9651573</errorID>
      <errorWord xmlns="http://schemas.wps.cn/vas-ai-hub/contract-review">受权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授权</item>
      </candidateList>
      <explain xmlns="http://schemas.wps.cn/vas-ai-hub/contract-review"/>
      <paraID xmlns="http://schemas.wps.cn/vas-ai-hub/contract-review">50DD4C94</paraID>
      <start xmlns="http://schemas.wps.cn/vas-ai-hub/contract-review">73</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6945ce97-272e-4cca-a849-37d4cb34002b</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应根</item>
      </candidateList>
      <explain xmlns="http://schemas.wps.cn/vas-ai-hub/contract-review"/>
      <paraID xmlns="http://schemas.wps.cn/vas-ai-hub/contract-review">6371330F</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f10a2691-b4bd-46cd-9f1c-ab42f0fb58cb</errorID>
      <errorWord xmlns="http://schemas.wps.cn/vas-ai-hub/contract-review">国家市场监督管理局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国家市场监督管理总局</item>
      </candidateList>
      <explain xmlns="http://schemas.wps.cn/vas-ai-hub/contract-review"/>
      <paraID xmlns="http://schemas.wps.cn/vas-ai-hub/contract-review"> 3533880</paraID>
      <start xmlns="http://schemas.wps.cn/vas-ai-hub/contract-review">51</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c602be7c-04df-4cf1-acee-7031789afdfc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22B3720D</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4c654dda-8ef9-4f1d-956d-b65aea596b58</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22B3720D</paraID>
      <start xmlns="http://schemas.wps.cn/vas-ai-hub/contract-review">93</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e6fb47cd-25ee-49f1-81a4-310455e441c3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348DB554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ced070c2-2cea-4be9-8781-d6e1a2c90e1f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28302E7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c3abd0dc-9dbc-4a86-bf87-24949d189330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6C38B26B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6c7b77d7-10ff-4867-b9fa-c43ceca57b5c</errorID>
      <errorWord xmlns="http://schemas.wps.cn/vas-ai-hub/contract-review">相应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响应</item>
      </candidateList>
      <explain xmlns="http://schemas.wps.cn/vas-ai-hub/contract-review">存在发音相同字词的误用。</explain>
      <paraID xmlns="http://schemas.wps.cn/vas-ai-hub/contract-review">6C38B26B</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6b45b402-9658-41fc-9d63-40d566cafa4c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5FBE8037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f0f3b47e-1d49-41c7-b8fe-9026c17fcd98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2F931A99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3981197c-cd08-48b7-b468-a4ee5d296df6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2D20667B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6796b31a-be52-4a20-90ea-4f12ae76f9e7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2D20667B</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50e9e9e0-751f-418d-97f9-5bf8f98f40e2</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2D20667B</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453eff92-586b-4e9d-a1ba-9e5c08cc181b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2F78A624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c3b8a0e5-a172-4a8d-97e8-c9a9c49e54bb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2F78A624</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2586ab71-dfc7-4c39-a161-5d68602df6d9</errorID>
      <errorWord xmlns="http://schemas.wps.cn/vas-ai-hub/contract-review">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求和</item>
      </candidateList>
      <explain xmlns="http://schemas.wps.cn/vas-ai-hub/contract-review"/>
      <paraID xmlns="http://schemas.wps.cn/vas-ai-hub/contract-review">4C143CA9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09b2e02c-2f72-44d1-b432-15eda2ce8909</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4C143CA9</paraID>
      <start xmlns="http://schemas.wps.cn/vas-ai-hub/contract-review">106</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457d5489-143d-446a-bc17-f173918f4a13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7A803905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9d57b47f-ca7e-4e92-87fb-b2e8fc9cc6ba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7A803905</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59bba34f-1562-42ab-b527-57efccfd3d70</errorID>
      <errorWord xmlns="http://schemas.wps.cn/vas-ai-hub/contract-review">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程中</item>
      </candidateList>
      <explain xmlns="http://schemas.wps.cn/vas-ai-hub/contract-review"/>
      <paraID xmlns="http://schemas.wps.cn/vas-ai-hub/contract-review">7A803905</paraID>
      <start xmlns="http://schemas.wps.cn/vas-ai-hub/contract-review">65</start>
      <end xmlns="http://schemas.wps.cn/vas-ai-hub/contract-review">67</end>
      <status xmlns="http://schemas.wps.cn/vas-ai-hub/contract-review">modified</status>
      <modifiedWord xmlns="http://schemas.wps.cn/vas-ai-hub/contract-review">程中</modifiedWord>
      <trackRevisions xmlns="http://schemas.wps.cn/vas-ai-hub/contract-review">false</trackRevisions>
    </reviewItem>
    <reviewItem xmlns="http://schemas.wps.cn/vas-ai-hub/contract-review">
      <errorID xmlns="http://schemas.wps.cn/vas-ai-hub/contract-review">d07b3992-773a-47fc-be12-104d0e940abd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3905CC0D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2c58a4c6-dc33-4a52-969b-b548b1dad569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3905CC0D</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e64d4db5-52db-45e5-bfe0-9d2a4a64e624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2DCB3E5B</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32a06b2c-098e-49ff-a031-02ed30fc8bb1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6844EA1B</paraID>
      <start xmlns="http://schemas.wps.cn/vas-ai-hub/contract-review">114</start>
      <end xmlns="http://schemas.wps.cn/vas-ai-hub/contract-review">115</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5CB1FDB-A2EE-457C-9E06-7FB7F45CD80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沈晨</cp:lastModifiedBy>
  <cp:revision>19</cp:revision>
  <dcterms:created xsi:type="dcterms:W3CDTF">2022-10-10T12:43:00Z</dcterms:created>
  <dcterms:modified xsi:type="dcterms:W3CDTF">2026-08-24T02:57:17Z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4D084690AAF4C7FD83EB5E6A24527EE5_43</vt:lpwstr>
  </property>
  <property fmtid="{D5CDD505-2E9C-101B-9397-08002B2CF9AE}" pid="4" name="KSOTemplateDocerSaveRecord">
    <vt:lpwstr>eyJoZGlkIjoiMjg5M2Y2MjRlNTI1NWM3OTZjZThmM2I5MGEwOTdmNDciLCJ1c2VySWQiOiIyNzA1NTgyNDQifQ==</vt:lpwstr>
  </property>
</Properties>
</file>