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hint="eastAsia" w:ascii="新宋体" w:hAnsi="新宋体" w:eastAsia="新宋体" w:cs="新宋体"/>
          <w:color w:val="auto"/>
          <w:sz w:val="72"/>
          <w:szCs w:val="72"/>
          <w:highlight w:val="none"/>
        </w:rPr>
      </w:pPr>
      <w:r>
        <w:rPr>
          <w:rFonts w:hint="eastAsia" w:ascii="新宋体" w:hAnsi="新宋体" w:eastAsia="新宋体" w:cs="新宋体"/>
          <w:color w:val="auto"/>
          <w:sz w:val="72"/>
          <w:szCs w:val="72"/>
          <w:highlight w:val="none"/>
        </w:rPr>
      </w:r>
      <w:r/>
    </w:p>
    <w:p>
      <w:pPr>
        <w:pStyle w:val="696"/>
        <w:jc w:val="center"/>
        <w:rPr>
          <w:rFonts w:hint="eastAsia" w:asciiTheme="majorEastAsia" w:hAnsiTheme="majorEastAsia" w:eastAsiaTheme="majorEastAsia" w:cstheme="majorEastAsia"/>
          <w:color w:val="auto"/>
          <w:sz w:val="82"/>
          <w:szCs w:val="82"/>
          <w:highlight w:val="none"/>
        </w:rPr>
      </w:pPr>
      <w:r>
        <w:rPr>
          <w:rFonts w:hint="eastAsia" w:asciiTheme="majorEastAsia" w:hAnsiTheme="majorEastAsia" w:eastAsiaTheme="majorEastAsia" w:cstheme="majorEastAsia"/>
          <w:color w:val="auto"/>
          <w:sz w:val="82"/>
          <w:szCs w:val="82"/>
          <w:highlight w:val="none"/>
        </w:rPr>
        <w:t xml:space="preserve">竞争性磋商文件</w:t>
      </w:r>
      <w:r/>
    </w:p>
    <w:p>
      <w:pPr>
        <w:rPr>
          <w:rFonts w:hint="eastAsia"/>
          <w:color w:val="auto"/>
        </w:rPr>
      </w:pPr>
      <w:r>
        <w:rPr>
          <w:rFonts w:hint="eastAsia"/>
          <w:color w:val="auto"/>
        </w:rPr>
      </w:r>
      <w:r/>
    </w:p>
    <w:p>
      <w:pPr>
        <w:pStyle w:val="696"/>
        <w:jc w:val="center"/>
        <w:rPr>
          <w:rFonts w:hint="eastAsia" w:asciiTheme="majorEastAsia" w:hAnsiTheme="majorEastAsia" w:eastAsiaTheme="majorEastAsia" w:cstheme="majorEastAsia"/>
          <w:color w:val="auto"/>
          <w:sz w:val="36"/>
          <w:szCs w:val="36"/>
          <w:highlight w:val="none"/>
        </w:rPr>
      </w:pPr>
      <w:r>
        <w:rPr>
          <w:rFonts w:hint="eastAsia" w:asciiTheme="majorEastAsia" w:hAnsiTheme="majorEastAsia" w:eastAsiaTheme="majorEastAsia" w:cstheme="majorEastAsia"/>
          <w:color w:val="auto"/>
          <w:sz w:val="36"/>
          <w:szCs w:val="36"/>
          <w:highlight w:val="none"/>
        </w:rPr>
        <w:t xml:space="preserve">（服务类项目，</w:t>
      </w:r>
      <w:r>
        <w:rPr>
          <w:rFonts w:hint="eastAsia" w:asciiTheme="majorEastAsia" w:hAnsiTheme="majorEastAsia" w:eastAsiaTheme="majorEastAsia" w:cstheme="majorEastAsia"/>
          <w:color w:val="auto"/>
          <w:sz w:val="36"/>
          <w:szCs w:val="36"/>
          <w:highlight w:val="none"/>
          <w:lang w:val="en-US" w:eastAsia="zh-CN"/>
        </w:rPr>
        <w:t xml:space="preserve">非</w:t>
      </w:r>
      <w:r>
        <w:rPr>
          <w:rFonts w:hint="eastAsia" w:asciiTheme="majorEastAsia" w:hAnsiTheme="majorEastAsia" w:eastAsiaTheme="majorEastAsia" w:cstheme="majorEastAsia"/>
          <w:color w:val="auto"/>
          <w:sz w:val="36"/>
          <w:szCs w:val="36"/>
          <w:highlight w:val="none"/>
        </w:rPr>
        <w:t xml:space="preserve">专门面向中小企业）</w:t>
      </w:r>
      <w:r/>
    </w:p>
    <w:p>
      <w:pPr>
        <w:pStyle w:val="696"/>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r>
      <w:r/>
    </w:p>
    <w:p>
      <w:pPr>
        <w:pStyle w:val="696"/>
        <w:rPr>
          <w:rFonts w:hint="eastAsia" w:asciiTheme="majorEastAsia" w:hAnsiTheme="majorEastAsia" w:eastAsiaTheme="majorEastAsia" w:cstheme="majorEastAsia"/>
          <w:color w:val="auto"/>
          <w:sz w:val="36"/>
          <w:szCs w:val="36"/>
          <w:highlight w:val="none"/>
          <w:lang w:eastAsia="zh-CN"/>
        </w:rPr>
      </w:pPr>
      <w:r>
        <w:rPr>
          <w:rFonts w:hint="eastAsia" w:asciiTheme="majorEastAsia" w:hAnsiTheme="majorEastAsia" w:eastAsiaTheme="majorEastAsia" w:cstheme="majorEastAsia"/>
          <w:color w:val="auto"/>
          <w:sz w:val="36"/>
          <w:szCs w:val="36"/>
          <w:highlight w:val="none"/>
          <w:lang w:eastAsia="zh-CN"/>
        </w:rPr>
      </w:r>
      <w:r/>
    </w:p>
    <w:p>
      <w:pPr>
        <w:pStyle w:val="696"/>
        <w:rPr>
          <w:rFonts w:hint="eastAsia" w:asciiTheme="majorEastAsia" w:hAnsiTheme="majorEastAsia" w:eastAsiaTheme="majorEastAsia" w:cstheme="majorEastAsia"/>
          <w:color w:val="auto"/>
          <w:sz w:val="36"/>
          <w:szCs w:val="36"/>
          <w:highlight w:val="none"/>
          <w:lang w:eastAsia="zh-CN"/>
        </w:rPr>
      </w:pPr>
      <w:r>
        <w:rPr>
          <w:rFonts w:hint="eastAsia" w:asciiTheme="majorEastAsia" w:hAnsiTheme="majorEastAsia" w:eastAsiaTheme="majorEastAsia" w:cstheme="majorEastAsia"/>
          <w:color w:val="auto"/>
          <w:sz w:val="36"/>
          <w:szCs w:val="36"/>
          <w:highlight w:val="none"/>
          <w:lang w:eastAsia="zh-CN"/>
        </w:rPr>
      </w:r>
      <w:r/>
    </w:p>
    <w:p>
      <w:pPr>
        <w:pStyle w:val="696"/>
        <w:rPr>
          <w:rFonts w:hint="eastAsia" w:asciiTheme="majorEastAsia" w:hAnsiTheme="majorEastAsia" w:eastAsiaTheme="majorEastAsia" w:cstheme="majorEastAsia"/>
          <w:color w:val="auto"/>
          <w:sz w:val="36"/>
          <w:szCs w:val="36"/>
          <w:highlight w:val="none"/>
          <w:lang w:eastAsia="zh-CN"/>
        </w:rPr>
      </w:pPr>
      <w:r>
        <w:rPr>
          <w:rFonts w:hint="eastAsia" w:asciiTheme="majorEastAsia" w:hAnsiTheme="majorEastAsia" w:eastAsiaTheme="majorEastAsia" w:cstheme="majorEastAsia"/>
          <w:color w:val="auto"/>
          <w:sz w:val="36"/>
          <w:szCs w:val="36"/>
          <w:highlight w:val="none"/>
          <w:lang w:eastAsia="zh-CN"/>
        </w:rPr>
      </w:r>
      <w:r/>
    </w:p>
    <w:p>
      <w:pPr>
        <w:pStyle w:val="696"/>
        <w:rPr>
          <w:rFonts w:hint="eastAsia" w:asciiTheme="majorEastAsia" w:hAnsiTheme="majorEastAsia" w:eastAsiaTheme="majorEastAsia" w:cstheme="majorEastAsia"/>
          <w:color w:val="auto"/>
          <w:sz w:val="36"/>
          <w:szCs w:val="36"/>
          <w:highlight w:val="none"/>
          <w:lang w:eastAsia="zh-CN"/>
        </w:rPr>
      </w:pPr>
      <w:r>
        <w:rPr>
          <w:rFonts w:hint="eastAsia" w:asciiTheme="majorEastAsia" w:hAnsiTheme="majorEastAsia" w:eastAsiaTheme="majorEastAsia" w:cstheme="majorEastAsia"/>
          <w:color w:val="auto"/>
          <w:sz w:val="36"/>
          <w:szCs w:val="36"/>
          <w:highlight w:val="none"/>
          <w:lang w:eastAsia="zh-CN"/>
        </w:rPr>
      </w:r>
      <w:r/>
    </w:p>
    <w:p>
      <w:pPr>
        <w:pStyle w:val="696"/>
        <w:rPr>
          <w:rFonts w:hint="eastAsia" w:asciiTheme="majorEastAsia" w:hAnsiTheme="majorEastAsia" w:eastAsiaTheme="majorEastAsia" w:cstheme="majorEastAsia"/>
          <w:color w:val="auto"/>
          <w:sz w:val="36"/>
          <w:szCs w:val="36"/>
          <w:highlight w:val="none"/>
          <w:lang w:eastAsia="zh-CN"/>
        </w:rPr>
      </w:pPr>
      <w:r>
        <w:rPr>
          <w:rFonts w:hint="eastAsia" w:asciiTheme="majorEastAsia" w:hAnsiTheme="majorEastAsia" w:eastAsiaTheme="majorEastAsia" w:cstheme="majorEastAsia"/>
          <w:color w:val="auto"/>
          <w:sz w:val="36"/>
          <w:szCs w:val="36"/>
          <w:highlight w:val="none"/>
          <w:lang w:eastAsia="zh-CN"/>
        </w:rPr>
      </w:r>
      <w:r/>
    </w:p>
    <w:p>
      <w:pPr>
        <w:rPr>
          <w:rFonts w:hint="eastAsia"/>
          <w:lang w:eastAsia="zh-CN"/>
        </w:rPr>
      </w:pPr>
      <w:r>
        <w:rPr>
          <w:rFonts w:hint="eastAsia"/>
          <w:lang w:eastAsia="zh-CN"/>
        </w:rPr>
      </w:r>
      <w:r/>
    </w:p>
    <w:p>
      <w:pPr>
        <w:pStyle w:val="696"/>
        <w:rPr>
          <w:rFonts w:hint="eastAsia" w:asciiTheme="majorEastAsia" w:hAnsiTheme="majorEastAsia" w:eastAsiaTheme="majorEastAsia" w:cstheme="majorEastAsia"/>
          <w:color w:val="auto"/>
          <w:sz w:val="36"/>
          <w:szCs w:val="36"/>
          <w:highlight w:val="none"/>
          <w:lang w:eastAsia="zh-CN"/>
        </w:rPr>
      </w:pPr>
      <w:r>
        <w:rPr>
          <w:rFonts w:hint="eastAsia" w:asciiTheme="majorEastAsia" w:hAnsiTheme="majorEastAsia" w:eastAsiaTheme="majorEastAsia" w:cstheme="majorEastAsia"/>
          <w:color w:val="auto"/>
          <w:sz w:val="36"/>
          <w:szCs w:val="36"/>
          <w:highlight w:val="none"/>
          <w:lang w:eastAsia="zh-CN"/>
        </w:rPr>
      </w:r>
      <w:r/>
    </w:p>
    <w:p>
      <w:pPr>
        <w:pStyle w:val="696"/>
        <w:rPr>
          <w:rFonts w:hint="eastAsia" w:asciiTheme="majorEastAsia" w:hAnsiTheme="majorEastAsia" w:eastAsiaTheme="majorEastAsia" w:cstheme="majorEastAsia"/>
          <w:color w:val="auto"/>
          <w:sz w:val="36"/>
          <w:szCs w:val="36"/>
          <w:highlight w:val="none"/>
          <w:lang w:eastAsia="zh-CN"/>
        </w:rPr>
      </w:pPr>
      <w:r>
        <w:rPr>
          <w:rFonts w:hint="eastAsia" w:asciiTheme="majorEastAsia" w:hAnsiTheme="majorEastAsia" w:eastAsiaTheme="majorEastAsia" w:cstheme="majorEastAsia"/>
          <w:color w:val="auto"/>
          <w:sz w:val="36"/>
          <w:szCs w:val="36"/>
          <w:highlight w:val="none"/>
          <w:lang w:eastAsia="zh-CN"/>
        </w:rPr>
      </w:r>
      <w:r/>
    </w:p>
    <w:p>
      <w:pPr>
        <w:pStyle w:val="696"/>
        <w:ind w:firstLine="1084"/>
        <w:rPr>
          <w:rFonts w:hint="eastAsia" w:asciiTheme="majorEastAsia" w:hAnsiTheme="majorEastAsia" w:eastAsiaTheme="majorEastAsia" w:cstheme="majorEastAsia"/>
          <w:color w:val="auto"/>
          <w:sz w:val="36"/>
          <w:szCs w:val="36"/>
          <w:highlight w:val="none"/>
          <w:u w:val="single"/>
          <w:lang w:eastAsia="zh-CN"/>
        </w:rPr>
      </w:pPr>
      <w:r>
        <w:rPr>
          <w:rFonts w:hint="eastAsia" w:asciiTheme="majorEastAsia" w:hAnsiTheme="majorEastAsia" w:eastAsiaTheme="majorEastAsia" w:cstheme="majorEastAsia"/>
          <w:color w:val="auto"/>
          <w:sz w:val="36"/>
          <w:szCs w:val="36"/>
          <w:highlight w:val="none"/>
          <w:lang w:eastAsia="zh-CN"/>
        </w:rPr>
        <w:t xml:space="preserve">项目名称：</w:t>
      </w:r>
      <w:r>
        <w:rPr>
          <w:rFonts w:hint="eastAsia" w:asciiTheme="majorEastAsia" w:hAnsiTheme="majorEastAsia" w:eastAsiaTheme="majorEastAsia" w:cstheme="majorEastAsia"/>
          <w:color w:val="auto"/>
          <w:sz w:val="36"/>
          <w:szCs w:val="36"/>
          <w:highlight w:val="none"/>
          <w:u w:val="single"/>
          <w:lang w:eastAsia="zh-CN"/>
        </w:rPr>
        <w:t xml:space="preserve">宿城区 2026 年工业产品抽检服务</w:t>
      </w:r>
      <w:r/>
    </w:p>
    <w:p>
      <w:pPr>
        <w:pStyle w:val="696"/>
        <w:ind w:firstLine="2891"/>
        <w:rPr>
          <w:rFonts w:hint="default" w:asciiTheme="majorEastAsia" w:hAnsiTheme="majorEastAsia" w:eastAsiaTheme="majorEastAsia" w:cstheme="majorEastAsia"/>
          <w:color w:val="auto"/>
          <w:sz w:val="36"/>
          <w:szCs w:val="36"/>
          <w:highlight w:val="none"/>
          <w:lang w:val="en-US" w:eastAsia="zh-CN"/>
        </w:rPr>
      </w:pPr>
      <w:r>
        <w:rPr>
          <w:rFonts w:hint="eastAsia" w:asciiTheme="majorEastAsia" w:hAnsiTheme="majorEastAsia" w:eastAsiaTheme="majorEastAsia" w:cstheme="majorEastAsia"/>
          <w:color w:val="auto"/>
          <w:sz w:val="36"/>
          <w:szCs w:val="36"/>
          <w:highlight w:val="none"/>
          <w:u w:val="single"/>
          <w:lang w:eastAsia="zh-CN"/>
        </w:rPr>
        <w:t xml:space="preserve">采购项目</w:t>
      </w:r>
      <w:r>
        <w:rPr>
          <w:rFonts w:hint="eastAsia" w:asciiTheme="majorEastAsia" w:hAnsiTheme="majorEastAsia" w:eastAsiaTheme="majorEastAsia" w:cstheme="majorEastAsia"/>
          <w:color w:val="auto"/>
          <w:sz w:val="36"/>
          <w:szCs w:val="36"/>
          <w:highlight w:val="none"/>
          <w:u w:val="single"/>
          <w:lang w:val="en-US" w:eastAsia="zh-CN"/>
        </w:rPr>
        <w:t xml:space="preserve">                      </w:t>
      </w:r>
      <w:r/>
    </w:p>
    <w:p>
      <w:pPr>
        <w:pStyle w:val="696"/>
        <w:ind w:firstLine="1084"/>
        <w:rPr>
          <w:rFonts w:hint="eastAsia" w:asciiTheme="majorEastAsia" w:hAnsiTheme="majorEastAsia" w:eastAsiaTheme="majorEastAsia" w:cstheme="majorEastAsia"/>
          <w:color w:val="auto"/>
          <w:sz w:val="36"/>
          <w:szCs w:val="36"/>
          <w:highlight w:val="none"/>
          <w:u w:val="single"/>
          <w:lang w:val="en-US" w:eastAsia="zh-CN"/>
        </w:rPr>
      </w:pPr>
      <w:r>
        <w:rPr>
          <w:rFonts w:hint="eastAsia" w:asciiTheme="majorEastAsia" w:hAnsiTheme="majorEastAsia" w:eastAsiaTheme="majorEastAsia" w:cstheme="majorEastAsia"/>
          <w:color w:val="auto"/>
          <w:sz w:val="36"/>
          <w:szCs w:val="36"/>
          <w:highlight w:val="none"/>
          <w:lang w:val="en-US" w:eastAsia="zh-CN"/>
        </w:rPr>
        <w:t xml:space="preserve">项目编号：</w:t>
      </w:r>
      <w:r>
        <w:rPr>
          <w:rFonts w:hint="eastAsia" w:asciiTheme="majorEastAsia" w:hAnsiTheme="majorEastAsia" w:eastAsiaTheme="majorEastAsia" w:cstheme="majorEastAsia"/>
          <w:color w:val="auto"/>
          <w:sz w:val="36"/>
          <w:szCs w:val="36"/>
          <w:highlight w:val="none"/>
          <w:u w:val="single"/>
          <w:lang w:val="en-US" w:eastAsia="zh-CN"/>
        </w:rPr>
        <w:t xml:space="preserve">JSZC-321302-JSFY-C2026-0002   </w:t>
      </w:r>
      <w:r/>
    </w:p>
    <w:p>
      <w:pPr>
        <w:pStyle w:val="696"/>
        <w:ind w:firstLine="1084"/>
        <w:rPr>
          <w:rFonts w:hint="default" w:asciiTheme="majorEastAsia" w:hAnsiTheme="majorEastAsia" w:eastAsiaTheme="majorEastAsia" w:cstheme="majorEastAsia"/>
          <w:color w:val="auto"/>
          <w:sz w:val="36"/>
          <w:szCs w:val="36"/>
          <w:highlight w:val="none"/>
          <w:u w:val="single"/>
          <w:lang w:val="en-US" w:eastAsia="zh-CN"/>
        </w:rPr>
      </w:pPr>
      <w:r>
        <w:rPr>
          <w:rFonts w:hint="eastAsia" w:asciiTheme="majorEastAsia" w:hAnsiTheme="majorEastAsia" w:eastAsiaTheme="majorEastAsia" w:cstheme="majorEastAsia"/>
          <w:color w:val="auto"/>
          <w:sz w:val="36"/>
          <w:szCs w:val="36"/>
          <w:highlight w:val="none"/>
          <w:lang w:val="en-US" w:eastAsia="zh-CN"/>
        </w:rPr>
        <w:t xml:space="preserve">采 购 人：</w:t>
      </w:r>
      <w:r>
        <w:rPr>
          <w:rFonts w:hint="eastAsia" w:asciiTheme="majorEastAsia" w:hAnsiTheme="majorEastAsia" w:eastAsiaTheme="majorEastAsia" w:cstheme="majorEastAsia"/>
          <w:color w:val="auto"/>
          <w:sz w:val="36"/>
          <w:szCs w:val="36"/>
          <w:highlight w:val="none"/>
          <w:u w:val="single"/>
          <w:lang w:eastAsia="zh-CN"/>
        </w:rPr>
        <w:t xml:space="preserve">宿迁市宿城区市场监督管理局</w:t>
      </w:r>
      <w:r>
        <w:rPr>
          <w:rFonts w:hint="eastAsia" w:asciiTheme="majorEastAsia" w:hAnsiTheme="majorEastAsia" w:eastAsiaTheme="majorEastAsia" w:cstheme="majorEastAsia"/>
          <w:color w:val="auto"/>
          <w:sz w:val="36"/>
          <w:szCs w:val="36"/>
          <w:highlight w:val="none"/>
          <w:u w:val="single"/>
          <w:lang w:val="en-US" w:eastAsia="zh-CN"/>
        </w:rPr>
        <w:t xml:space="preserve">    </w:t>
      </w:r>
      <w:r/>
    </w:p>
    <w:p>
      <w:pPr>
        <w:pStyle w:val="696"/>
        <w:ind w:firstLine="1084"/>
        <w:rPr>
          <w:rFonts w:hint="default" w:asciiTheme="majorEastAsia" w:hAnsiTheme="majorEastAsia" w:eastAsiaTheme="majorEastAsia" w:cstheme="majorEastAsia"/>
          <w:color w:val="auto"/>
          <w:sz w:val="36"/>
          <w:szCs w:val="36"/>
          <w:highlight w:val="none"/>
          <w:u w:val="single"/>
          <w:lang w:val="en-US" w:eastAsia="zh-CN"/>
        </w:rPr>
      </w:pPr>
      <w:r>
        <w:rPr>
          <w:rFonts w:hint="eastAsia" w:asciiTheme="majorEastAsia" w:hAnsiTheme="majorEastAsia" w:eastAsiaTheme="majorEastAsia" w:cstheme="majorEastAsia"/>
          <w:color w:val="auto"/>
          <w:sz w:val="36"/>
          <w:szCs w:val="36"/>
          <w:highlight w:val="none"/>
          <w:lang w:val="en-US" w:eastAsia="zh-CN"/>
        </w:rPr>
        <w:t xml:space="preserve">代理机构：</w:t>
      </w:r>
      <w:r>
        <w:rPr>
          <w:rFonts w:hint="eastAsia" w:asciiTheme="majorEastAsia" w:hAnsiTheme="majorEastAsia" w:eastAsiaTheme="majorEastAsia" w:cstheme="majorEastAsia"/>
          <w:color w:val="auto"/>
          <w:sz w:val="36"/>
          <w:szCs w:val="36"/>
          <w:highlight w:val="none"/>
          <w:u w:val="single"/>
          <w:lang w:eastAsia="zh-CN"/>
        </w:rPr>
        <w:t xml:space="preserve">江苏方园项目招标管理有限公司</w:t>
      </w:r>
      <w:r>
        <w:rPr>
          <w:rFonts w:hint="eastAsia" w:asciiTheme="majorEastAsia" w:hAnsiTheme="majorEastAsia" w:eastAsiaTheme="majorEastAsia" w:cstheme="majorEastAsia"/>
          <w:color w:val="auto"/>
          <w:sz w:val="36"/>
          <w:szCs w:val="36"/>
          <w:highlight w:val="none"/>
          <w:u w:val="single"/>
          <w:lang w:val="en-US" w:eastAsia="zh-CN"/>
        </w:rPr>
        <w:t xml:space="preserve">  </w:t>
      </w:r>
      <w:r/>
    </w:p>
    <w:p>
      <w:pPr>
        <w:pStyle w:val="696"/>
        <w:rPr>
          <w:rFonts w:hint="eastAsia" w:asciiTheme="majorEastAsia" w:hAnsiTheme="majorEastAsia" w:eastAsiaTheme="majorEastAsia" w:cstheme="majorEastAsia"/>
          <w:color w:val="auto"/>
          <w:sz w:val="36"/>
          <w:szCs w:val="36"/>
          <w:highlight w:val="none"/>
        </w:rPr>
      </w:pPr>
      <w:r>
        <w:rPr>
          <w:rFonts w:hint="eastAsia" w:asciiTheme="majorEastAsia" w:hAnsiTheme="majorEastAsia" w:eastAsiaTheme="majorEastAsia" w:cstheme="majorEastAsia"/>
          <w:color w:val="auto"/>
          <w:sz w:val="36"/>
          <w:szCs w:val="36"/>
          <w:highlight w:val="none"/>
        </w:rPr>
      </w:r>
      <w:r/>
    </w:p>
    <w:p>
      <w:pPr>
        <w:pStyle w:val="696"/>
        <w:rPr>
          <w:rFonts w:hint="eastAsia" w:asciiTheme="majorEastAsia" w:hAnsiTheme="majorEastAsia" w:eastAsiaTheme="majorEastAsia" w:cstheme="majorEastAsia"/>
          <w:color w:val="auto"/>
          <w:sz w:val="36"/>
          <w:szCs w:val="36"/>
          <w:highlight w:val="none"/>
        </w:rPr>
      </w:pPr>
      <w:r>
        <w:rPr>
          <w:rFonts w:hint="eastAsia" w:asciiTheme="majorEastAsia" w:hAnsiTheme="majorEastAsia" w:eastAsiaTheme="majorEastAsia" w:cstheme="majorEastAsia"/>
          <w:color w:val="auto"/>
          <w:sz w:val="36"/>
          <w:szCs w:val="36"/>
          <w:highlight w:val="none"/>
        </w:rPr>
      </w:r>
      <w:r/>
    </w:p>
    <w:p>
      <w:pPr>
        <w:pStyle w:val="696"/>
        <w:jc w:val="center"/>
        <w:rPr>
          <w:rFonts w:hint="eastAsia" w:ascii="新宋体" w:hAnsi="新宋体" w:eastAsia="新宋体" w:cs="新宋体"/>
          <w:color w:val="auto"/>
          <w:sz w:val="36"/>
          <w:szCs w:val="36"/>
          <w:highlight w:val="none"/>
        </w:rPr>
      </w:pPr>
      <w:r>
        <w:rPr>
          <w:rFonts w:hint="eastAsia" w:asciiTheme="majorEastAsia" w:hAnsiTheme="majorEastAsia" w:eastAsiaTheme="majorEastAsia" w:cstheme="majorEastAsia"/>
          <w:color w:val="auto"/>
          <w:sz w:val="36"/>
          <w:szCs w:val="36"/>
          <w:highlight w:val="none"/>
        </w:rPr>
        <w:t xml:space="preserve">2026年</w:t>
      </w:r>
      <w:r>
        <w:rPr>
          <w:rFonts w:hint="eastAsia" w:asciiTheme="majorEastAsia" w:hAnsiTheme="majorEastAsia" w:eastAsiaTheme="majorEastAsia" w:cstheme="majorEastAsia"/>
          <w:color w:val="auto"/>
          <w:sz w:val="36"/>
          <w:szCs w:val="36"/>
          <w:highlight w:val="none"/>
          <w:lang w:val="en-US" w:eastAsia="zh-CN"/>
        </w:rPr>
        <w:t xml:space="preserve">9</w:t>
      </w:r>
      <w:r>
        <w:rPr>
          <w:rFonts w:hint="eastAsia" w:asciiTheme="majorEastAsia" w:hAnsiTheme="majorEastAsia" w:eastAsiaTheme="majorEastAsia" w:cstheme="majorEastAsia"/>
          <w:color w:val="auto"/>
          <w:sz w:val="36"/>
          <w:szCs w:val="36"/>
          <w:highlight w:val="none"/>
        </w:rPr>
        <w:t xml:space="preserve">月</w:t>
      </w:r>
      <w:r>
        <w:rPr>
          <w:rFonts w:hint="eastAsia" w:asciiTheme="majorEastAsia" w:hAnsiTheme="majorEastAsia" w:eastAsiaTheme="majorEastAsia" w:cstheme="majorEastAsia"/>
          <w:color w:val="auto"/>
          <w:sz w:val="36"/>
          <w:szCs w:val="36"/>
          <w:highlight w:val="none"/>
          <w:lang w:val="en-US" w:eastAsia="zh-CN"/>
        </w:rPr>
        <w:t xml:space="preserve">7</w:t>
      </w:r>
      <w:r>
        <w:rPr>
          <w:rFonts w:hint="eastAsia" w:asciiTheme="majorEastAsia" w:hAnsiTheme="majorEastAsia" w:eastAsiaTheme="majorEastAsia" w:cstheme="majorEastAsia"/>
          <w:color w:val="auto"/>
          <w:sz w:val="36"/>
          <w:szCs w:val="36"/>
          <w:highlight w:val="none"/>
        </w:rPr>
        <w:t xml:space="preserve">日</w:t>
      </w:r>
      <w:r/>
    </w:p>
    <w:p>
      <w:pPr>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br w:type="page" w:clear="all"/>
      </w:r>
      <w:r/>
    </w:p>
    <w:sdt>
      <w:sdtPr>
        <w15:appearance w15:val="boundingBox"/>
        <w15:color w:val="dbdbdb"/>
        <w:id w:val="147474123"/>
        <w:docPartObj>
          <w:docPartGallery w:val="Table of Contents"/>
          <w:docPartUnique w:val="true"/>
        </w:docPartObj>
        <w:rPr>
          <w:rFonts w:hint="default" w:ascii="宋体" w:hAnsi="宋体" w:eastAsia="宋体" w:cs="Times New Roman"/>
          <w:color w:val="auto"/>
          <w:sz w:val="21"/>
          <w:szCs w:val="22"/>
          <w:lang w:val="en-US" w:eastAsia="zh-CN" w:bidi="ar-SA"/>
        </w:rPr>
      </w:sdtPr>
      <w:sdtContent>
        <w:p>
          <w:pPr>
            <w:ind w:left="0" w:right="0" w:firstLine="0"/>
            <w:jc w:val="center"/>
            <w:spacing w:before="0" w:after="0" w:line="240" w:lineRule="auto"/>
            <w:rPr>
              <w:color w:val="auto"/>
            </w:rPr>
          </w:pPr>
          <w:r>
            <w:rPr>
              <w:rFonts w:ascii="宋体" w:hAnsi="宋体" w:eastAsia="宋体"/>
              <w:color w:val="auto"/>
              <w:sz w:val="36"/>
              <w:szCs w:val="36"/>
            </w:rPr>
            <w:t xml:space="preserve">目</w:t>
          </w:r>
          <w:r>
            <w:rPr>
              <w:rFonts w:hint="eastAsia" w:ascii="宋体" w:hAnsi="宋体"/>
              <w:color w:val="auto"/>
              <w:sz w:val="36"/>
              <w:szCs w:val="36"/>
              <w:lang w:val="en-US" w:eastAsia="zh-CN"/>
            </w:rPr>
            <w:t xml:space="preserve">      </w:t>
          </w:r>
          <w:r>
            <w:rPr>
              <w:rFonts w:ascii="宋体" w:hAnsi="宋体" w:eastAsia="宋体"/>
              <w:color w:val="auto"/>
              <w:sz w:val="36"/>
              <w:szCs w:val="36"/>
            </w:rPr>
            <w:t xml:space="preserve">录</w:t>
          </w:r>
          <w:r/>
        </w:p>
        <w:p>
          <w:pPr>
            <w:pStyle w:val="696"/>
            <w:tabs>
              <w:tab w:val="right" w:pos="9072" w:leader="dot"/>
            </w:tabs>
          </w:pPr>
          <w:r>
            <w:rPr>
              <w:rFonts w:hint="eastAsia" w:ascii="新宋体" w:hAnsi="新宋体" w:eastAsia="新宋体" w:cs="新宋体"/>
              <w:color w:val="auto"/>
              <w:sz w:val="24"/>
              <w:szCs w:val="24"/>
              <w:highlight w:val="none"/>
            </w:rPr>
            <w:fldChar w:fldCharType="begin"/>
          </w:r>
          <w:r>
            <w:rPr>
              <w:rFonts w:hint="eastAsia" w:ascii="新宋体" w:hAnsi="新宋体" w:eastAsia="新宋体" w:cs="新宋体"/>
              <w:color w:val="auto"/>
              <w:sz w:val="24"/>
              <w:szCs w:val="24"/>
              <w:highlight w:val="none"/>
            </w:rPr>
            <w:instrText xml:space="preserve">TOC \o "1-2" \h \u </w:instrText>
          </w:r>
          <w:r>
            <w:rPr>
              <w:rFonts w:hint="eastAsia" w:ascii="新宋体" w:hAnsi="新宋体" w:eastAsia="新宋体" w:cs="新宋体"/>
              <w:color w:val="auto"/>
              <w:sz w:val="24"/>
              <w:szCs w:val="24"/>
              <w:highlight w:val="none"/>
            </w:rPr>
            <w:fldChar w:fldCharType="separate"/>
          </w:r>
          <w:r>
            <w:rPr>
              <w:rFonts w:hint="eastAsia" w:ascii="新宋体" w:hAnsi="新宋体" w:eastAsia="新宋体" w:cs="新宋体"/>
              <w:color w:val="auto"/>
              <w:szCs w:val="24"/>
              <w:highlight w:val="none"/>
            </w:rPr>
            <w:fldChar w:fldCharType="begin"/>
          </w:r>
          <w:r>
            <w:rPr>
              <w:rFonts w:hint="eastAsia" w:ascii="新宋体" w:hAnsi="新宋体" w:eastAsia="新宋体" w:cs="新宋体"/>
              <w:szCs w:val="24"/>
              <w:highlight w:val="none"/>
            </w:rPr>
            <w:instrText xml:space="preserve"> HYPERLINK \l _Toc24608 </w:instrText>
          </w:r>
          <w:r>
            <w:rPr>
              <w:rFonts w:hint="eastAsia" w:ascii="新宋体" w:hAnsi="新宋体" w:eastAsia="新宋体" w:cs="新宋体"/>
              <w:szCs w:val="24"/>
              <w:highlight w:val="none"/>
            </w:rPr>
            <w:fldChar w:fldCharType="separate"/>
          </w:r>
          <w:r>
            <w:rPr>
              <w:rFonts w:hint="eastAsia" w:ascii="新宋体" w:hAnsi="新宋体" w:eastAsia="新宋体" w:cs="新宋体"/>
              <w:szCs w:val="32"/>
              <w:highlight w:val="none"/>
              <w:lang w:val="en-US" w:eastAsia="zh-CN" w:bidi="ar-SA"/>
            </w:rPr>
            <w:t xml:space="preserve">第一章  </w:t>
          </w:r>
          <w:r>
            <w:rPr>
              <w:rFonts w:hint="eastAsia" w:ascii="新宋体" w:hAnsi="新宋体" w:eastAsia="新宋体" w:cs="新宋体"/>
              <w:bCs w:val="0"/>
              <w:szCs w:val="32"/>
              <w:highlight w:val="none"/>
            </w:rPr>
            <w:t xml:space="preserve">竞争性磋商邀请</w:t>
          </w:r>
          <w:r>
            <w:tab/>
          </w:r>
          <w:r>
            <w:fldChar w:fldCharType="begin"/>
          </w:r>
          <w:r>
            <w:instrText xml:space="preserve"> PAGEREF _Toc24608 \h </w:instrText>
          </w:r>
          <w:r>
            <w:fldChar w:fldCharType="separate"/>
          </w:r>
          <w:r>
            <w:t xml:space="preserve">1</w:t>
          </w:r>
          <w:r>
            <w:fldChar w:fldCharType="end"/>
          </w:r>
          <w:r>
            <w:rPr>
              <w:rFonts w:hint="eastAsia" w:ascii="新宋体" w:hAnsi="新宋体" w:eastAsia="新宋体" w:cs="新宋体"/>
              <w:color w:val="auto"/>
              <w:szCs w:val="24"/>
              <w:highlight w:val="none"/>
            </w:rPr>
            <w:fldChar w:fldCharType="end"/>
          </w:r>
          <w:r/>
        </w:p>
        <w:p>
          <w:pPr>
            <w:pStyle w:val="702"/>
            <w:tabs>
              <w:tab w:val="right" w:pos="9072" w:leader="dot"/>
            </w:tabs>
          </w:pPr>
          <w:r>
            <w:rPr>
              <w:rFonts w:hint="eastAsia" w:ascii="新宋体" w:hAnsi="新宋体" w:eastAsia="新宋体" w:cs="新宋体"/>
              <w:color w:val="auto"/>
              <w:szCs w:val="24"/>
              <w:highlight w:val="none"/>
            </w:rPr>
            <w:fldChar w:fldCharType="begin"/>
          </w:r>
          <w:r>
            <w:rPr>
              <w:rFonts w:hint="eastAsia" w:ascii="新宋体" w:hAnsi="新宋体" w:eastAsia="新宋体" w:cs="新宋体"/>
              <w:szCs w:val="24"/>
              <w:highlight w:val="none"/>
            </w:rPr>
            <w:instrText xml:space="preserve"> HYPERLINK \l _Toc20967 </w:instrText>
          </w:r>
          <w:r>
            <w:rPr>
              <w:rFonts w:hint="eastAsia" w:ascii="新宋体" w:hAnsi="新宋体" w:eastAsia="新宋体" w:cs="新宋体"/>
              <w:szCs w:val="24"/>
              <w:highlight w:val="none"/>
            </w:rPr>
            <w:fldChar w:fldCharType="separate"/>
          </w:r>
          <w:r>
            <w:rPr>
              <w:rFonts w:hint="eastAsia" w:ascii="新宋体" w:hAnsi="新宋体" w:eastAsia="新宋体" w:cs="新宋体"/>
              <w:bCs/>
              <w:szCs w:val="24"/>
              <w:highlight w:val="none"/>
            </w:rPr>
            <w:t xml:space="preserve">一、项目基本情况</w:t>
          </w:r>
          <w:r>
            <w:tab/>
          </w:r>
          <w:r>
            <w:fldChar w:fldCharType="begin"/>
          </w:r>
          <w:r>
            <w:instrText xml:space="preserve"> PAGEREF _Toc20967 \h </w:instrText>
          </w:r>
          <w:r>
            <w:fldChar w:fldCharType="separate"/>
          </w:r>
          <w:r>
            <w:t xml:space="preserve">1</w:t>
          </w:r>
          <w:r>
            <w:fldChar w:fldCharType="end"/>
          </w:r>
          <w:r>
            <w:rPr>
              <w:rFonts w:hint="eastAsia" w:ascii="新宋体" w:hAnsi="新宋体" w:eastAsia="新宋体" w:cs="新宋体"/>
              <w:color w:val="auto"/>
              <w:szCs w:val="24"/>
              <w:highlight w:val="none"/>
            </w:rPr>
            <w:fldChar w:fldCharType="end"/>
          </w:r>
          <w:r/>
        </w:p>
        <w:p>
          <w:pPr>
            <w:pStyle w:val="702"/>
            <w:tabs>
              <w:tab w:val="right" w:pos="9072" w:leader="dot"/>
            </w:tabs>
          </w:pPr>
          <w:r>
            <w:rPr>
              <w:rFonts w:hint="eastAsia" w:ascii="新宋体" w:hAnsi="新宋体" w:eastAsia="新宋体" w:cs="新宋体"/>
              <w:color w:val="auto"/>
              <w:szCs w:val="24"/>
              <w:highlight w:val="none"/>
            </w:rPr>
            <w:fldChar w:fldCharType="begin"/>
          </w:r>
          <w:r>
            <w:rPr>
              <w:rFonts w:hint="eastAsia" w:ascii="新宋体" w:hAnsi="新宋体" w:eastAsia="新宋体" w:cs="新宋体"/>
              <w:szCs w:val="24"/>
              <w:highlight w:val="none"/>
            </w:rPr>
            <w:instrText xml:space="preserve"> HYPERLINK \l _Toc24495 </w:instrText>
          </w:r>
          <w:r>
            <w:rPr>
              <w:rFonts w:hint="eastAsia" w:ascii="新宋体" w:hAnsi="新宋体" w:eastAsia="新宋体" w:cs="新宋体"/>
              <w:szCs w:val="24"/>
              <w:highlight w:val="none"/>
            </w:rPr>
            <w:fldChar w:fldCharType="separate"/>
          </w:r>
          <w:r>
            <w:rPr>
              <w:rFonts w:hint="eastAsia" w:ascii="新宋体" w:hAnsi="新宋体" w:eastAsia="新宋体" w:cs="新宋体"/>
              <w:bCs/>
              <w:szCs w:val="24"/>
              <w:highlight w:val="none"/>
            </w:rPr>
            <w:t xml:space="preserve">二、申请人的资格要求</w:t>
          </w:r>
          <w:r>
            <w:tab/>
          </w:r>
          <w:r>
            <w:fldChar w:fldCharType="begin"/>
          </w:r>
          <w:r>
            <w:instrText xml:space="preserve"> PAGEREF _Toc24495 \h </w:instrText>
          </w:r>
          <w:r>
            <w:fldChar w:fldCharType="separate"/>
          </w:r>
          <w:r>
            <w:t xml:space="preserve">2</w:t>
          </w:r>
          <w:r>
            <w:fldChar w:fldCharType="end"/>
          </w:r>
          <w:r>
            <w:rPr>
              <w:rFonts w:hint="eastAsia" w:ascii="新宋体" w:hAnsi="新宋体" w:eastAsia="新宋体" w:cs="新宋体"/>
              <w:color w:val="auto"/>
              <w:szCs w:val="24"/>
              <w:highlight w:val="none"/>
            </w:rPr>
            <w:fldChar w:fldCharType="end"/>
          </w:r>
          <w:r/>
        </w:p>
        <w:p>
          <w:pPr>
            <w:pStyle w:val="702"/>
            <w:tabs>
              <w:tab w:val="right" w:pos="9072" w:leader="dot"/>
            </w:tabs>
          </w:pPr>
          <w:r>
            <w:rPr>
              <w:rFonts w:hint="eastAsia" w:ascii="新宋体" w:hAnsi="新宋体" w:eastAsia="新宋体" w:cs="新宋体"/>
              <w:color w:val="auto"/>
              <w:szCs w:val="24"/>
              <w:highlight w:val="none"/>
            </w:rPr>
            <w:fldChar w:fldCharType="begin"/>
          </w:r>
          <w:r>
            <w:rPr>
              <w:rFonts w:hint="eastAsia" w:ascii="新宋体" w:hAnsi="新宋体" w:eastAsia="新宋体" w:cs="新宋体"/>
              <w:szCs w:val="24"/>
              <w:highlight w:val="none"/>
            </w:rPr>
            <w:instrText xml:space="preserve"> HYPERLINK \l _Toc620 </w:instrText>
          </w:r>
          <w:r>
            <w:rPr>
              <w:rFonts w:hint="eastAsia" w:ascii="新宋体" w:hAnsi="新宋体" w:eastAsia="新宋体" w:cs="新宋体"/>
              <w:szCs w:val="24"/>
              <w:highlight w:val="none"/>
            </w:rPr>
            <w:fldChar w:fldCharType="separate"/>
          </w:r>
          <w:r>
            <w:rPr>
              <w:rFonts w:hint="eastAsia" w:ascii="新宋体" w:hAnsi="新宋体" w:eastAsia="新宋体" w:cs="新宋体"/>
              <w:bCs/>
              <w:szCs w:val="24"/>
              <w:highlight w:val="none"/>
            </w:rPr>
            <w:t xml:space="preserve">三、获取磋商文件</w:t>
          </w:r>
          <w:r>
            <w:tab/>
          </w:r>
          <w:r>
            <w:fldChar w:fldCharType="begin"/>
          </w:r>
          <w:r>
            <w:instrText xml:space="preserve"> PAGEREF _Toc620 \h </w:instrText>
          </w:r>
          <w:r>
            <w:fldChar w:fldCharType="separate"/>
          </w:r>
          <w:r>
            <w:t xml:space="preserve">3</w:t>
          </w:r>
          <w:r>
            <w:fldChar w:fldCharType="end"/>
          </w:r>
          <w:r>
            <w:rPr>
              <w:rFonts w:hint="eastAsia" w:ascii="新宋体" w:hAnsi="新宋体" w:eastAsia="新宋体" w:cs="新宋体"/>
              <w:color w:val="auto"/>
              <w:szCs w:val="24"/>
              <w:highlight w:val="none"/>
            </w:rPr>
            <w:fldChar w:fldCharType="end"/>
          </w:r>
          <w:r/>
        </w:p>
        <w:p>
          <w:pPr>
            <w:pStyle w:val="702"/>
            <w:tabs>
              <w:tab w:val="right" w:pos="9072" w:leader="dot"/>
            </w:tabs>
          </w:pPr>
          <w:r>
            <w:rPr>
              <w:rFonts w:hint="eastAsia" w:ascii="新宋体" w:hAnsi="新宋体" w:eastAsia="新宋体" w:cs="新宋体"/>
              <w:color w:val="auto"/>
              <w:szCs w:val="24"/>
              <w:highlight w:val="none"/>
            </w:rPr>
            <w:fldChar w:fldCharType="begin"/>
          </w:r>
          <w:r>
            <w:rPr>
              <w:rFonts w:hint="eastAsia" w:ascii="新宋体" w:hAnsi="新宋体" w:eastAsia="新宋体" w:cs="新宋体"/>
              <w:szCs w:val="24"/>
              <w:highlight w:val="none"/>
            </w:rPr>
            <w:instrText xml:space="preserve"> HYPERLINK \l _Toc5545 </w:instrText>
          </w:r>
          <w:r>
            <w:rPr>
              <w:rFonts w:hint="eastAsia" w:ascii="新宋体" w:hAnsi="新宋体" w:eastAsia="新宋体" w:cs="新宋体"/>
              <w:szCs w:val="24"/>
              <w:highlight w:val="none"/>
            </w:rPr>
            <w:fldChar w:fldCharType="separate"/>
          </w:r>
          <w:r>
            <w:rPr>
              <w:rFonts w:hint="eastAsia" w:ascii="新宋体" w:hAnsi="新宋体" w:eastAsia="新宋体" w:cs="新宋体"/>
              <w:bCs/>
              <w:szCs w:val="24"/>
              <w:highlight w:val="none"/>
            </w:rPr>
            <w:t xml:space="preserve">四、</w:t>
          </w:r>
          <w:r>
            <w:rPr>
              <w:rFonts w:hint="eastAsia" w:ascii="新宋体" w:hAnsi="新宋体" w:eastAsia="新宋体" w:cs="新宋体"/>
              <w:bCs/>
              <w:szCs w:val="24"/>
              <w:highlight w:val="none"/>
              <w:lang w:val="en-US" w:eastAsia="zh-CN"/>
            </w:rPr>
            <w:t xml:space="preserve">首次</w:t>
          </w:r>
          <w:r>
            <w:rPr>
              <w:rFonts w:hint="eastAsia" w:ascii="新宋体" w:hAnsi="新宋体" w:eastAsia="新宋体" w:cs="新宋体"/>
              <w:bCs/>
              <w:szCs w:val="24"/>
              <w:highlight w:val="none"/>
            </w:rPr>
            <w:t xml:space="preserve">提交响应文件截止时间、磋商时间及地点</w:t>
          </w:r>
          <w:r>
            <w:tab/>
          </w:r>
          <w:r>
            <w:fldChar w:fldCharType="begin"/>
          </w:r>
          <w:r>
            <w:instrText xml:space="preserve"> PAGEREF _Toc5545 \h </w:instrText>
          </w:r>
          <w:r>
            <w:fldChar w:fldCharType="separate"/>
          </w:r>
          <w:r>
            <w:t xml:space="preserve">3</w:t>
          </w:r>
          <w:r>
            <w:fldChar w:fldCharType="end"/>
          </w:r>
          <w:r>
            <w:rPr>
              <w:rFonts w:hint="eastAsia" w:ascii="新宋体" w:hAnsi="新宋体" w:eastAsia="新宋体" w:cs="新宋体"/>
              <w:color w:val="auto"/>
              <w:szCs w:val="24"/>
              <w:highlight w:val="none"/>
            </w:rPr>
            <w:fldChar w:fldCharType="end"/>
          </w:r>
          <w:r/>
        </w:p>
        <w:p>
          <w:pPr>
            <w:pStyle w:val="702"/>
            <w:tabs>
              <w:tab w:val="right" w:pos="9072" w:leader="dot"/>
            </w:tabs>
          </w:pPr>
          <w:r>
            <w:rPr>
              <w:rFonts w:hint="eastAsia" w:ascii="新宋体" w:hAnsi="新宋体" w:eastAsia="新宋体" w:cs="新宋体"/>
              <w:color w:val="auto"/>
              <w:szCs w:val="24"/>
              <w:highlight w:val="none"/>
            </w:rPr>
            <w:fldChar w:fldCharType="begin"/>
          </w:r>
          <w:r>
            <w:rPr>
              <w:rFonts w:hint="eastAsia" w:ascii="新宋体" w:hAnsi="新宋体" w:eastAsia="新宋体" w:cs="新宋体"/>
              <w:szCs w:val="24"/>
              <w:highlight w:val="none"/>
            </w:rPr>
            <w:instrText xml:space="preserve"> HYPERLINK \l _Toc2696 </w:instrText>
          </w:r>
          <w:r>
            <w:rPr>
              <w:rFonts w:hint="eastAsia" w:ascii="新宋体" w:hAnsi="新宋体" w:eastAsia="新宋体" w:cs="新宋体"/>
              <w:szCs w:val="24"/>
              <w:highlight w:val="none"/>
            </w:rPr>
            <w:fldChar w:fldCharType="separate"/>
          </w:r>
          <w:r>
            <w:rPr>
              <w:rFonts w:hint="eastAsia" w:ascii="新宋体" w:hAnsi="新宋体" w:eastAsia="新宋体" w:cs="新宋体"/>
              <w:bCs/>
              <w:szCs w:val="24"/>
              <w:highlight w:val="none"/>
            </w:rPr>
            <w:t xml:space="preserve">五、公告期限</w:t>
          </w:r>
          <w:r>
            <w:tab/>
          </w:r>
          <w:r>
            <w:fldChar w:fldCharType="begin"/>
          </w:r>
          <w:r>
            <w:instrText xml:space="preserve"> PAGEREF _Toc2696 \h </w:instrText>
          </w:r>
          <w:r>
            <w:fldChar w:fldCharType="separate"/>
          </w:r>
          <w:r>
            <w:t xml:space="preserve">3</w:t>
          </w:r>
          <w:r>
            <w:fldChar w:fldCharType="end"/>
          </w:r>
          <w:r>
            <w:rPr>
              <w:rFonts w:hint="eastAsia" w:ascii="新宋体" w:hAnsi="新宋体" w:eastAsia="新宋体" w:cs="新宋体"/>
              <w:color w:val="auto"/>
              <w:szCs w:val="24"/>
              <w:highlight w:val="none"/>
            </w:rPr>
            <w:fldChar w:fldCharType="end"/>
          </w:r>
          <w:r/>
        </w:p>
        <w:p>
          <w:pPr>
            <w:pStyle w:val="702"/>
            <w:tabs>
              <w:tab w:val="right" w:pos="9072" w:leader="dot"/>
            </w:tabs>
          </w:pPr>
          <w:r>
            <w:rPr>
              <w:rFonts w:hint="eastAsia" w:ascii="新宋体" w:hAnsi="新宋体" w:eastAsia="新宋体" w:cs="新宋体"/>
              <w:color w:val="auto"/>
              <w:szCs w:val="24"/>
              <w:highlight w:val="none"/>
            </w:rPr>
            <w:fldChar w:fldCharType="begin"/>
          </w:r>
          <w:r>
            <w:rPr>
              <w:rFonts w:hint="eastAsia" w:ascii="新宋体" w:hAnsi="新宋体" w:eastAsia="新宋体" w:cs="新宋体"/>
              <w:szCs w:val="24"/>
              <w:highlight w:val="none"/>
            </w:rPr>
            <w:instrText xml:space="preserve"> HYPERLINK \l _Toc32089 </w:instrText>
          </w:r>
          <w:r>
            <w:rPr>
              <w:rFonts w:hint="eastAsia" w:ascii="新宋体" w:hAnsi="新宋体" w:eastAsia="新宋体" w:cs="新宋体"/>
              <w:szCs w:val="24"/>
              <w:highlight w:val="none"/>
            </w:rPr>
            <w:fldChar w:fldCharType="separate"/>
          </w:r>
          <w:r>
            <w:rPr>
              <w:rFonts w:hint="eastAsia" w:ascii="新宋体" w:hAnsi="新宋体" w:eastAsia="新宋体" w:cs="新宋体"/>
              <w:bCs/>
              <w:szCs w:val="24"/>
              <w:highlight w:val="none"/>
            </w:rPr>
            <w:t xml:space="preserve">六、其他补充事宜</w:t>
          </w:r>
          <w:r>
            <w:tab/>
          </w:r>
          <w:r>
            <w:fldChar w:fldCharType="begin"/>
          </w:r>
          <w:r>
            <w:instrText xml:space="preserve"> PAGEREF _Toc32089 \h </w:instrText>
          </w:r>
          <w:r>
            <w:fldChar w:fldCharType="separate"/>
          </w:r>
          <w:r>
            <w:t xml:space="preserve">3</w:t>
          </w:r>
          <w:r>
            <w:fldChar w:fldCharType="end"/>
          </w:r>
          <w:r>
            <w:rPr>
              <w:rFonts w:hint="eastAsia" w:ascii="新宋体" w:hAnsi="新宋体" w:eastAsia="新宋体" w:cs="新宋体"/>
              <w:color w:val="auto"/>
              <w:szCs w:val="24"/>
              <w:highlight w:val="none"/>
            </w:rPr>
            <w:fldChar w:fldCharType="end"/>
          </w:r>
          <w:r/>
        </w:p>
        <w:p>
          <w:pPr>
            <w:pStyle w:val="702"/>
            <w:tabs>
              <w:tab w:val="right" w:pos="9072" w:leader="dot"/>
            </w:tabs>
          </w:pPr>
          <w:r>
            <w:rPr>
              <w:rFonts w:hint="eastAsia" w:ascii="新宋体" w:hAnsi="新宋体" w:eastAsia="新宋体" w:cs="新宋体"/>
              <w:color w:val="auto"/>
              <w:szCs w:val="24"/>
              <w:highlight w:val="none"/>
            </w:rPr>
            <w:fldChar w:fldCharType="begin"/>
          </w:r>
          <w:r>
            <w:rPr>
              <w:rFonts w:hint="eastAsia" w:ascii="新宋体" w:hAnsi="新宋体" w:eastAsia="新宋体" w:cs="新宋体"/>
              <w:szCs w:val="24"/>
              <w:highlight w:val="none"/>
            </w:rPr>
            <w:instrText xml:space="preserve"> HYPERLINK \l _Toc22792 </w:instrText>
          </w:r>
          <w:r>
            <w:rPr>
              <w:rFonts w:hint="eastAsia" w:ascii="新宋体" w:hAnsi="新宋体" w:eastAsia="新宋体" w:cs="新宋体"/>
              <w:szCs w:val="24"/>
              <w:highlight w:val="none"/>
            </w:rPr>
            <w:fldChar w:fldCharType="separate"/>
          </w:r>
          <w:r>
            <w:rPr>
              <w:rFonts w:hint="eastAsia" w:ascii="新宋体" w:hAnsi="新宋体" w:eastAsia="新宋体" w:cs="新宋体"/>
              <w:bCs/>
              <w:szCs w:val="24"/>
              <w:highlight w:val="none"/>
            </w:rPr>
            <w:t xml:space="preserve">七、本次磋商联系方式</w:t>
          </w:r>
          <w:r>
            <w:tab/>
          </w:r>
          <w:r>
            <w:fldChar w:fldCharType="begin"/>
          </w:r>
          <w:r>
            <w:instrText xml:space="preserve"> PAGEREF _Toc22792 \h </w:instrText>
          </w:r>
          <w:r>
            <w:fldChar w:fldCharType="separate"/>
          </w:r>
          <w:r>
            <w:t xml:space="preserve">3</w:t>
          </w:r>
          <w:r>
            <w:fldChar w:fldCharType="end"/>
          </w:r>
          <w:r>
            <w:rPr>
              <w:rFonts w:hint="eastAsia" w:ascii="新宋体" w:hAnsi="新宋体" w:eastAsia="新宋体" w:cs="新宋体"/>
              <w:color w:val="auto"/>
              <w:szCs w:val="24"/>
              <w:highlight w:val="none"/>
            </w:rPr>
            <w:fldChar w:fldCharType="end"/>
          </w:r>
          <w:r/>
        </w:p>
        <w:p>
          <w:pPr>
            <w:pStyle w:val="702"/>
            <w:tabs>
              <w:tab w:val="right" w:pos="9072" w:leader="dot"/>
            </w:tabs>
          </w:pPr>
          <w:r>
            <w:rPr>
              <w:rFonts w:hint="eastAsia" w:ascii="新宋体" w:hAnsi="新宋体" w:eastAsia="新宋体" w:cs="新宋体"/>
              <w:color w:val="auto"/>
              <w:szCs w:val="24"/>
              <w:highlight w:val="none"/>
            </w:rPr>
            <w:fldChar w:fldCharType="begin"/>
          </w:r>
          <w:r>
            <w:rPr>
              <w:rFonts w:hint="eastAsia" w:ascii="新宋体" w:hAnsi="新宋体" w:eastAsia="新宋体" w:cs="新宋体"/>
              <w:szCs w:val="24"/>
              <w:highlight w:val="none"/>
            </w:rPr>
            <w:instrText xml:space="preserve"> HYPERLINK \l _Toc28741 </w:instrText>
          </w:r>
          <w:r>
            <w:rPr>
              <w:rFonts w:hint="eastAsia" w:ascii="新宋体" w:hAnsi="新宋体" w:eastAsia="新宋体" w:cs="新宋体"/>
              <w:szCs w:val="24"/>
              <w:highlight w:val="none"/>
            </w:rPr>
            <w:fldChar w:fldCharType="separate"/>
          </w:r>
          <w:r>
            <w:rPr>
              <w:rFonts w:hint="eastAsia" w:ascii="新宋体" w:hAnsi="新宋体" w:eastAsia="新宋体" w:cs="新宋体"/>
              <w:bCs/>
              <w:szCs w:val="24"/>
              <w:highlight w:val="none"/>
            </w:rPr>
            <w:t xml:space="preserve">八、其他</w:t>
          </w:r>
          <w:r>
            <w:tab/>
          </w:r>
          <w:r>
            <w:fldChar w:fldCharType="begin"/>
          </w:r>
          <w:r>
            <w:instrText xml:space="preserve"> PAGEREF _Toc28741 \h </w:instrText>
          </w:r>
          <w:r>
            <w:fldChar w:fldCharType="separate"/>
          </w:r>
          <w:r>
            <w:t xml:space="preserve">4</w:t>
          </w:r>
          <w:r>
            <w:fldChar w:fldCharType="end"/>
          </w:r>
          <w:r>
            <w:rPr>
              <w:rFonts w:hint="eastAsia" w:ascii="新宋体" w:hAnsi="新宋体" w:eastAsia="新宋体" w:cs="新宋体"/>
              <w:color w:val="auto"/>
              <w:szCs w:val="24"/>
              <w:highlight w:val="none"/>
            </w:rPr>
            <w:fldChar w:fldCharType="end"/>
          </w:r>
          <w:r/>
        </w:p>
        <w:p>
          <w:pPr>
            <w:pStyle w:val="696"/>
            <w:tabs>
              <w:tab w:val="right" w:pos="9072" w:leader="dot"/>
            </w:tabs>
          </w:pPr>
          <w:r>
            <w:rPr>
              <w:rFonts w:hint="eastAsia" w:ascii="新宋体" w:hAnsi="新宋体" w:eastAsia="新宋体" w:cs="新宋体"/>
              <w:color w:val="auto"/>
              <w:szCs w:val="24"/>
              <w:highlight w:val="none"/>
            </w:rPr>
            <w:fldChar w:fldCharType="begin"/>
          </w:r>
          <w:r>
            <w:rPr>
              <w:rFonts w:hint="eastAsia" w:ascii="新宋体" w:hAnsi="新宋体" w:eastAsia="新宋体" w:cs="新宋体"/>
              <w:szCs w:val="24"/>
              <w:highlight w:val="none"/>
            </w:rPr>
            <w:instrText xml:space="preserve"> HYPERLINK \l _Toc6048 </w:instrText>
          </w:r>
          <w:r>
            <w:rPr>
              <w:rFonts w:hint="eastAsia" w:ascii="新宋体" w:hAnsi="新宋体" w:eastAsia="新宋体" w:cs="新宋体"/>
              <w:szCs w:val="24"/>
              <w:highlight w:val="none"/>
            </w:rPr>
            <w:fldChar w:fldCharType="separate"/>
          </w:r>
          <w:r>
            <w:rPr>
              <w:rFonts w:hint="eastAsia" w:ascii="新宋体" w:hAnsi="新宋体" w:eastAsia="新宋体" w:cs="新宋体"/>
              <w:szCs w:val="32"/>
              <w:highlight w:val="none"/>
              <w:lang w:val="en-US" w:eastAsia="zh-CN" w:bidi="ar-SA"/>
            </w:rPr>
            <w:t xml:space="preserve">第二章  供应商须知</w:t>
          </w:r>
          <w:r>
            <w:tab/>
          </w:r>
          <w:r>
            <w:fldChar w:fldCharType="begin"/>
          </w:r>
          <w:r>
            <w:instrText xml:space="preserve"> PAGEREF _Toc6048 \h </w:instrText>
          </w:r>
          <w:r>
            <w:fldChar w:fldCharType="separate"/>
          </w:r>
          <w:r>
            <w:t xml:space="preserve">5</w:t>
          </w:r>
          <w:r>
            <w:fldChar w:fldCharType="end"/>
          </w:r>
          <w:r>
            <w:rPr>
              <w:rFonts w:hint="eastAsia" w:ascii="新宋体" w:hAnsi="新宋体" w:eastAsia="新宋体" w:cs="新宋体"/>
              <w:color w:val="auto"/>
              <w:szCs w:val="24"/>
              <w:highlight w:val="none"/>
            </w:rPr>
            <w:fldChar w:fldCharType="end"/>
          </w:r>
          <w:r/>
        </w:p>
        <w:p>
          <w:pPr>
            <w:pStyle w:val="696"/>
            <w:tabs>
              <w:tab w:val="right" w:pos="9072" w:leader="dot"/>
            </w:tabs>
          </w:pPr>
          <w:r>
            <w:rPr>
              <w:rFonts w:hint="eastAsia" w:ascii="新宋体" w:hAnsi="新宋体" w:eastAsia="新宋体" w:cs="新宋体"/>
              <w:color w:val="auto"/>
              <w:szCs w:val="24"/>
              <w:highlight w:val="none"/>
            </w:rPr>
            <w:fldChar w:fldCharType="begin"/>
          </w:r>
          <w:r>
            <w:rPr>
              <w:rFonts w:hint="eastAsia" w:ascii="新宋体" w:hAnsi="新宋体" w:eastAsia="新宋体" w:cs="新宋体"/>
              <w:szCs w:val="24"/>
              <w:highlight w:val="none"/>
            </w:rPr>
            <w:instrText xml:space="preserve"> HYPERLINK \l _Toc22154 </w:instrText>
          </w:r>
          <w:r>
            <w:rPr>
              <w:rFonts w:hint="eastAsia" w:ascii="新宋体" w:hAnsi="新宋体" w:eastAsia="新宋体" w:cs="新宋体"/>
              <w:szCs w:val="24"/>
              <w:highlight w:val="none"/>
            </w:rPr>
            <w:fldChar w:fldCharType="separate"/>
          </w:r>
          <w:r>
            <w:rPr>
              <w:rFonts w:hint="eastAsia" w:ascii="新宋体" w:hAnsi="新宋体" w:eastAsia="新宋体" w:cs="新宋体"/>
              <w:bCs/>
              <w:szCs w:val="32"/>
              <w:highlight w:val="none"/>
            </w:rPr>
            <w:t xml:space="preserve">第三章  评审方法与评审标准</w:t>
          </w:r>
          <w:r>
            <w:tab/>
          </w:r>
          <w:r>
            <w:fldChar w:fldCharType="begin"/>
          </w:r>
          <w:r>
            <w:instrText xml:space="preserve"> PAGEREF _Toc22154 \h </w:instrText>
          </w:r>
          <w:r>
            <w:fldChar w:fldCharType="separate"/>
          </w:r>
          <w:r>
            <w:t xml:space="preserve">20</w:t>
          </w:r>
          <w:r>
            <w:fldChar w:fldCharType="end"/>
          </w:r>
          <w:r>
            <w:rPr>
              <w:rFonts w:hint="eastAsia" w:ascii="新宋体" w:hAnsi="新宋体" w:eastAsia="新宋体" w:cs="新宋体"/>
              <w:color w:val="auto"/>
              <w:szCs w:val="24"/>
              <w:highlight w:val="none"/>
            </w:rPr>
            <w:fldChar w:fldCharType="end"/>
          </w:r>
          <w:r/>
        </w:p>
        <w:p>
          <w:pPr>
            <w:pStyle w:val="696"/>
            <w:tabs>
              <w:tab w:val="right" w:pos="9072" w:leader="dot"/>
            </w:tabs>
          </w:pPr>
          <w:r>
            <w:rPr>
              <w:rFonts w:hint="eastAsia" w:ascii="新宋体" w:hAnsi="新宋体" w:eastAsia="新宋体" w:cs="新宋体"/>
              <w:color w:val="auto"/>
              <w:szCs w:val="24"/>
              <w:highlight w:val="none"/>
            </w:rPr>
            <w:fldChar w:fldCharType="begin"/>
          </w:r>
          <w:r>
            <w:rPr>
              <w:rFonts w:hint="eastAsia" w:ascii="新宋体" w:hAnsi="新宋体" w:eastAsia="新宋体" w:cs="新宋体"/>
              <w:szCs w:val="24"/>
              <w:highlight w:val="none"/>
            </w:rPr>
            <w:instrText xml:space="preserve"> HYPERLINK \l _Toc17993 </w:instrText>
          </w:r>
          <w:r>
            <w:rPr>
              <w:rFonts w:hint="eastAsia" w:ascii="新宋体" w:hAnsi="新宋体" w:eastAsia="新宋体" w:cs="新宋体"/>
              <w:szCs w:val="24"/>
              <w:highlight w:val="none"/>
            </w:rPr>
            <w:fldChar w:fldCharType="separate"/>
          </w:r>
          <w:r>
            <w:rPr>
              <w:rFonts w:hint="eastAsia" w:ascii="新宋体" w:hAnsi="新宋体" w:eastAsia="新宋体" w:cs="新宋体"/>
              <w:szCs w:val="32"/>
              <w:highlight w:val="none"/>
            </w:rPr>
            <w:t xml:space="preserve">第四章  采购需求</w:t>
          </w:r>
          <w:r>
            <w:tab/>
          </w:r>
          <w:r>
            <w:fldChar w:fldCharType="begin"/>
          </w:r>
          <w:r>
            <w:instrText xml:space="preserve"> PAGEREF _Toc17993 \h </w:instrText>
          </w:r>
          <w:r>
            <w:fldChar w:fldCharType="separate"/>
          </w:r>
          <w:r>
            <w:t xml:space="preserve">27</w:t>
          </w:r>
          <w:r>
            <w:fldChar w:fldCharType="end"/>
          </w:r>
          <w:r>
            <w:rPr>
              <w:rFonts w:hint="eastAsia" w:ascii="新宋体" w:hAnsi="新宋体" w:eastAsia="新宋体" w:cs="新宋体"/>
              <w:color w:val="auto"/>
              <w:szCs w:val="24"/>
              <w:highlight w:val="none"/>
            </w:rPr>
            <w:fldChar w:fldCharType="end"/>
          </w:r>
          <w:r/>
        </w:p>
        <w:p>
          <w:pPr>
            <w:pStyle w:val="696"/>
            <w:tabs>
              <w:tab w:val="right" w:pos="9072" w:leader="dot"/>
            </w:tabs>
          </w:pPr>
          <w:r>
            <w:rPr>
              <w:rFonts w:hint="eastAsia" w:ascii="新宋体" w:hAnsi="新宋体" w:eastAsia="新宋体" w:cs="新宋体"/>
              <w:color w:val="auto"/>
              <w:szCs w:val="24"/>
              <w:highlight w:val="none"/>
            </w:rPr>
            <w:fldChar w:fldCharType="begin"/>
          </w:r>
          <w:r>
            <w:rPr>
              <w:rFonts w:hint="eastAsia" w:ascii="新宋体" w:hAnsi="新宋体" w:eastAsia="新宋体" w:cs="新宋体"/>
              <w:szCs w:val="24"/>
              <w:highlight w:val="none"/>
            </w:rPr>
            <w:instrText xml:space="preserve"> HYPERLINK \l _Toc20298 </w:instrText>
          </w:r>
          <w:r>
            <w:rPr>
              <w:rFonts w:hint="eastAsia" w:ascii="新宋体" w:hAnsi="新宋体" w:eastAsia="新宋体" w:cs="新宋体"/>
              <w:szCs w:val="24"/>
              <w:highlight w:val="none"/>
            </w:rPr>
            <w:fldChar w:fldCharType="separate"/>
          </w:r>
          <w:r>
            <w:rPr>
              <w:rFonts w:hint="eastAsia" w:ascii="新宋体" w:hAnsi="新宋体" w:eastAsia="新宋体" w:cs="新宋体"/>
              <w:szCs w:val="36"/>
              <w:highlight w:val="none"/>
              <w:lang w:val="en-US" w:eastAsia="zh-CN"/>
            </w:rPr>
            <w:t xml:space="preserve">第五章  合同格式及条款（草案）</w:t>
          </w:r>
          <w:r>
            <w:tab/>
          </w:r>
          <w:r>
            <w:fldChar w:fldCharType="begin"/>
          </w:r>
          <w:r>
            <w:instrText xml:space="preserve"> PAGEREF _Toc20298 \h </w:instrText>
          </w:r>
          <w:r>
            <w:fldChar w:fldCharType="separate"/>
          </w:r>
          <w:r>
            <w:t xml:space="preserve">71</w:t>
          </w:r>
          <w:r>
            <w:fldChar w:fldCharType="end"/>
          </w:r>
          <w:r>
            <w:rPr>
              <w:rFonts w:hint="eastAsia" w:ascii="新宋体" w:hAnsi="新宋体" w:eastAsia="新宋体" w:cs="新宋体"/>
              <w:color w:val="auto"/>
              <w:szCs w:val="24"/>
              <w:highlight w:val="none"/>
            </w:rPr>
            <w:fldChar w:fldCharType="end"/>
          </w:r>
          <w:r/>
        </w:p>
        <w:p>
          <w:pPr>
            <w:pStyle w:val="696"/>
            <w:tabs>
              <w:tab w:val="right" w:pos="9072" w:leader="dot"/>
            </w:tabs>
          </w:pPr>
          <w:r>
            <w:rPr>
              <w:rFonts w:hint="eastAsia" w:ascii="新宋体" w:hAnsi="新宋体" w:eastAsia="新宋体" w:cs="新宋体"/>
              <w:color w:val="auto"/>
              <w:szCs w:val="24"/>
              <w:highlight w:val="none"/>
            </w:rPr>
            <w:fldChar w:fldCharType="begin"/>
          </w:r>
          <w:r>
            <w:rPr>
              <w:rFonts w:hint="eastAsia" w:ascii="新宋体" w:hAnsi="新宋体" w:eastAsia="新宋体" w:cs="新宋体"/>
              <w:szCs w:val="24"/>
              <w:highlight w:val="none"/>
            </w:rPr>
            <w:instrText xml:space="preserve"> HYPERLINK \l _Toc21119 </w:instrText>
          </w:r>
          <w:r>
            <w:rPr>
              <w:rFonts w:hint="eastAsia" w:ascii="新宋体" w:hAnsi="新宋体" w:eastAsia="新宋体" w:cs="新宋体"/>
              <w:szCs w:val="24"/>
              <w:highlight w:val="none"/>
            </w:rPr>
            <w:fldChar w:fldCharType="separate"/>
          </w:r>
          <w:r>
            <w:rPr>
              <w:rFonts w:hint="eastAsia" w:ascii="新宋体" w:hAnsi="新宋体" w:eastAsia="新宋体" w:cs="新宋体"/>
              <w:szCs w:val="32"/>
              <w:highlight w:val="none"/>
            </w:rPr>
            <w:t xml:space="preserve">第六章  响应文件格式</w:t>
          </w:r>
          <w:r>
            <w:tab/>
          </w:r>
          <w:r>
            <w:fldChar w:fldCharType="begin"/>
          </w:r>
          <w:r>
            <w:instrText xml:space="preserve"> PAGEREF _Toc21119 \h </w:instrText>
          </w:r>
          <w:r>
            <w:fldChar w:fldCharType="separate"/>
          </w:r>
          <w:r>
            <w:t xml:space="preserve">77</w:t>
          </w:r>
          <w:r>
            <w:fldChar w:fldCharType="end"/>
          </w:r>
          <w:r>
            <w:rPr>
              <w:rFonts w:hint="eastAsia" w:ascii="新宋体" w:hAnsi="新宋体" w:eastAsia="新宋体" w:cs="新宋体"/>
              <w:color w:val="auto"/>
              <w:szCs w:val="24"/>
              <w:highlight w:val="none"/>
            </w:rPr>
            <w:fldChar w:fldCharType="end"/>
          </w:r>
          <w:r/>
        </w:p>
        <w:p>
          <w:pPr>
            <w:pStyle w:val="702"/>
            <w:tabs>
              <w:tab w:val="right" w:pos="9072" w:leader="dot"/>
            </w:tabs>
          </w:pPr>
          <w:r>
            <w:rPr>
              <w:rFonts w:hint="eastAsia" w:ascii="新宋体" w:hAnsi="新宋体" w:eastAsia="新宋体" w:cs="新宋体"/>
              <w:color w:val="auto"/>
              <w:szCs w:val="24"/>
              <w:highlight w:val="none"/>
            </w:rPr>
            <w:fldChar w:fldCharType="begin"/>
          </w:r>
          <w:r>
            <w:rPr>
              <w:rFonts w:hint="eastAsia" w:ascii="新宋体" w:hAnsi="新宋体" w:eastAsia="新宋体" w:cs="新宋体"/>
              <w:szCs w:val="24"/>
              <w:highlight w:val="none"/>
            </w:rPr>
            <w:instrText xml:space="preserve"> HYPERLINK \l _Toc4502 </w:instrText>
          </w:r>
          <w:r>
            <w:rPr>
              <w:rFonts w:hint="eastAsia" w:ascii="新宋体" w:hAnsi="新宋体" w:eastAsia="新宋体" w:cs="新宋体"/>
              <w:szCs w:val="24"/>
              <w:highlight w:val="none"/>
            </w:rPr>
            <w:fldChar w:fldCharType="separate"/>
          </w:r>
          <w:r>
            <w:rPr>
              <w:rFonts w:hint="eastAsia" w:ascii="新宋体" w:hAnsi="新宋体" w:eastAsia="新宋体" w:cs="新宋体"/>
              <w:bCs/>
              <w:szCs w:val="24"/>
              <w:highlight w:val="none"/>
            </w:rPr>
            <w:t xml:space="preserve">一、磋商响应函</w:t>
          </w:r>
          <w:r>
            <w:tab/>
          </w:r>
          <w:r>
            <w:fldChar w:fldCharType="begin"/>
          </w:r>
          <w:r>
            <w:instrText xml:space="preserve"> PAGEREF _Toc4502 \h </w:instrText>
          </w:r>
          <w:r>
            <w:fldChar w:fldCharType="separate"/>
          </w:r>
          <w:r>
            <w:t xml:space="preserve">79</w:t>
          </w:r>
          <w:r>
            <w:fldChar w:fldCharType="end"/>
          </w:r>
          <w:r>
            <w:rPr>
              <w:rFonts w:hint="eastAsia" w:ascii="新宋体" w:hAnsi="新宋体" w:eastAsia="新宋体" w:cs="新宋体"/>
              <w:color w:val="auto"/>
              <w:szCs w:val="24"/>
              <w:highlight w:val="none"/>
            </w:rPr>
            <w:fldChar w:fldCharType="end"/>
          </w:r>
          <w:r/>
        </w:p>
        <w:p>
          <w:pPr>
            <w:pStyle w:val="702"/>
            <w:tabs>
              <w:tab w:val="right" w:pos="9072" w:leader="dot"/>
            </w:tabs>
          </w:pPr>
          <w:r>
            <w:rPr>
              <w:rFonts w:hint="eastAsia" w:ascii="新宋体" w:hAnsi="新宋体" w:eastAsia="新宋体" w:cs="新宋体"/>
              <w:color w:val="auto"/>
              <w:szCs w:val="24"/>
              <w:highlight w:val="none"/>
            </w:rPr>
            <w:fldChar w:fldCharType="begin"/>
          </w:r>
          <w:r>
            <w:rPr>
              <w:rFonts w:hint="eastAsia" w:ascii="新宋体" w:hAnsi="新宋体" w:eastAsia="新宋体" w:cs="新宋体"/>
              <w:szCs w:val="24"/>
              <w:highlight w:val="none"/>
            </w:rPr>
            <w:instrText xml:space="preserve"> HYPERLINK \l _Toc1803 </w:instrText>
          </w:r>
          <w:r>
            <w:rPr>
              <w:rFonts w:hint="eastAsia" w:ascii="新宋体" w:hAnsi="新宋体" w:eastAsia="新宋体" w:cs="新宋体"/>
              <w:szCs w:val="24"/>
              <w:highlight w:val="none"/>
            </w:rPr>
            <w:fldChar w:fldCharType="separate"/>
          </w:r>
          <w:r>
            <w:rPr>
              <w:rFonts w:hint="eastAsia" w:ascii="新宋体" w:hAnsi="新宋体" w:eastAsia="新宋体" w:cs="新宋体"/>
              <w:bCs/>
              <w:szCs w:val="24"/>
              <w:highlight w:val="none"/>
            </w:rPr>
            <w:t xml:space="preserve">二、法人授权书</w:t>
          </w:r>
          <w:r>
            <w:tab/>
          </w:r>
          <w:r>
            <w:fldChar w:fldCharType="begin"/>
          </w:r>
          <w:r>
            <w:instrText xml:space="preserve"> PAGEREF _Toc1803 \h </w:instrText>
          </w:r>
          <w:r>
            <w:fldChar w:fldCharType="separate"/>
          </w:r>
          <w:r>
            <w:t xml:space="preserve">80</w:t>
          </w:r>
          <w:r>
            <w:fldChar w:fldCharType="end"/>
          </w:r>
          <w:r>
            <w:rPr>
              <w:rFonts w:hint="eastAsia" w:ascii="新宋体" w:hAnsi="新宋体" w:eastAsia="新宋体" w:cs="新宋体"/>
              <w:color w:val="auto"/>
              <w:szCs w:val="24"/>
              <w:highlight w:val="none"/>
            </w:rPr>
            <w:fldChar w:fldCharType="end"/>
          </w:r>
          <w:r/>
        </w:p>
        <w:p>
          <w:pPr>
            <w:pStyle w:val="702"/>
            <w:tabs>
              <w:tab w:val="right" w:pos="9072" w:leader="dot"/>
            </w:tabs>
          </w:pPr>
          <w:r>
            <w:rPr>
              <w:rFonts w:hint="eastAsia" w:ascii="新宋体" w:hAnsi="新宋体" w:eastAsia="新宋体" w:cs="新宋体"/>
              <w:color w:val="auto"/>
              <w:szCs w:val="24"/>
              <w:highlight w:val="none"/>
            </w:rPr>
            <w:fldChar w:fldCharType="begin"/>
          </w:r>
          <w:r>
            <w:rPr>
              <w:rFonts w:hint="eastAsia" w:ascii="新宋体" w:hAnsi="新宋体" w:eastAsia="新宋体" w:cs="新宋体"/>
              <w:szCs w:val="24"/>
              <w:highlight w:val="none"/>
            </w:rPr>
            <w:instrText xml:space="preserve"> HYPERLINK \l _Toc32377 </w:instrText>
          </w:r>
          <w:r>
            <w:rPr>
              <w:rFonts w:hint="eastAsia" w:ascii="新宋体" w:hAnsi="新宋体" w:eastAsia="新宋体" w:cs="新宋体"/>
              <w:szCs w:val="24"/>
              <w:highlight w:val="none"/>
            </w:rPr>
            <w:fldChar w:fldCharType="separate"/>
          </w:r>
          <w:r>
            <w:rPr>
              <w:rFonts w:hint="eastAsia" w:ascii="新宋体" w:hAnsi="新宋体" w:eastAsia="新宋体" w:cs="新宋体"/>
              <w:bCs/>
              <w:szCs w:val="24"/>
              <w:highlight w:val="none"/>
            </w:rPr>
            <w:t xml:space="preserve">三、磋商报价表</w:t>
          </w:r>
          <w:r>
            <w:tab/>
          </w:r>
          <w:r>
            <w:fldChar w:fldCharType="begin"/>
          </w:r>
          <w:r>
            <w:instrText xml:space="preserve"> PAGEREF _Toc32377 \h </w:instrText>
          </w:r>
          <w:r>
            <w:fldChar w:fldCharType="separate"/>
          </w:r>
          <w:r>
            <w:t xml:space="preserve">81</w:t>
          </w:r>
          <w:r>
            <w:fldChar w:fldCharType="end"/>
          </w:r>
          <w:r>
            <w:rPr>
              <w:rFonts w:hint="eastAsia" w:ascii="新宋体" w:hAnsi="新宋体" w:eastAsia="新宋体" w:cs="新宋体"/>
              <w:color w:val="auto"/>
              <w:szCs w:val="24"/>
              <w:highlight w:val="none"/>
            </w:rPr>
            <w:fldChar w:fldCharType="end"/>
          </w:r>
          <w:r/>
        </w:p>
        <w:p>
          <w:pPr>
            <w:pStyle w:val="702"/>
            <w:tabs>
              <w:tab w:val="right" w:pos="9072" w:leader="dot"/>
            </w:tabs>
          </w:pPr>
          <w:r>
            <w:rPr>
              <w:rFonts w:hint="eastAsia" w:ascii="新宋体" w:hAnsi="新宋体" w:eastAsia="新宋体" w:cs="新宋体"/>
              <w:color w:val="auto"/>
              <w:szCs w:val="24"/>
              <w:highlight w:val="none"/>
            </w:rPr>
            <w:fldChar w:fldCharType="begin"/>
          </w:r>
          <w:r>
            <w:rPr>
              <w:rFonts w:hint="eastAsia" w:ascii="新宋体" w:hAnsi="新宋体" w:eastAsia="新宋体" w:cs="新宋体"/>
              <w:szCs w:val="24"/>
              <w:highlight w:val="none"/>
            </w:rPr>
            <w:instrText xml:space="preserve"> HYPERLINK \l _Toc23290 </w:instrText>
          </w:r>
          <w:r>
            <w:rPr>
              <w:rFonts w:hint="eastAsia" w:ascii="新宋体" w:hAnsi="新宋体" w:eastAsia="新宋体" w:cs="新宋体"/>
              <w:szCs w:val="24"/>
              <w:highlight w:val="none"/>
            </w:rPr>
            <w:fldChar w:fldCharType="separate"/>
          </w:r>
          <w:r>
            <w:rPr>
              <w:rFonts w:hint="eastAsia" w:ascii="新宋体" w:hAnsi="新宋体" w:eastAsia="新宋体" w:cs="新宋体"/>
              <w:bCs/>
              <w:szCs w:val="24"/>
              <w:highlight w:val="none"/>
            </w:rPr>
            <w:t xml:space="preserve">四、分项报价表</w:t>
          </w:r>
          <w:r>
            <w:tab/>
          </w:r>
          <w:r>
            <w:fldChar w:fldCharType="begin"/>
          </w:r>
          <w:r>
            <w:instrText xml:space="preserve"> PAGEREF _Toc23290 \h </w:instrText>
          </w:r>
          <w:r>
            <w:fldChar w:fldCharType="separate"/>
          </w:r>
          <w:r>
            <w:t xml:space="preserve">82</w:t>
          </w:r>
          <w:r>
            <w:fldChar w:fldCharType="end"/>
          </w:r>
          <w:r>
            <w:rPr>
              <w:rFonts w:hint="eastAsia" w:ascii="新宋体" w:hAnsi="新宋体" w:eastAsia="新宋体" w:cs="新宋体"/>
              <w:color w:val="auto"/>
              <w:szCs w:val="24"/>
              <w:highlight w:val="none"/>
            </w:rPr>
            <w:fldChar w:fldCharType="end"/>
          </w:r>
          <w:r/>
        </w:p>
        <w:p>
          <w:pPr>
            <w:pStyle w:val="702"/>
            <w:tabs>
              <w:tab w:val="right" w:pos="9072" w:leader="dot"/>
            </w:tabs>
          </w:pPr>
          <w:r>
            <w:rPr>
              <w:rFonts w:hint="eastAsia" w:ascii="新宋体" w:hAnsi="新宋体" w:eastAsia="新宋体" w:cs="新宋体"/>
              <w:color w:val="auto"/>
              <w:szCs w:val="24"/>
              <w:highlight w:val="none"/>
            </w:rPr>
            <w:fldChar w:fldCharType="begin"/>
          </w:r>
          <w:r>
            <w:rPr>
              <w:rFonts w:hint="eastAsia" w:ascii="新宋体" w:hAnsi="新宋体" w:eastAsia="新宋体" w:cs="新宋体"/>
              <w:szCs w:val="24"/>
              <w:highlight w:val="none"/>
            </w:rPr>
            <w:instrText xml:space="preserve"> HYPERLINK \l _Toc24202 </w:instrText>
          </w:r>
          <w:r>
            <w:rPr>
              <w:rFonts w:hint="eastAsia" w:ascii="新宋体" w:hAnsi="新宋体" w:eastAsia="新宋体" w:cs="新宋体"/>
              <w:szCs w:val="24"/>
              <w:highlight w:val="none"/>
            </w:rPr>
            <w:fldChar w:fldCharType="separate"/>
          </w:r>
          <w:r>
            <w:rPr>
              <w:rFonts w:hint="eastAsia" w:ascii="新宋体" w:hAnsi="新宋体" w:eastAsia="新宋体" w:cs="新宋体"/>
              <w:bCs/>
              <w:szCs w:val="24"/>
              <w:highlight w:val="none"/>
            </w:rPr>
            <w:t xml:space="preserve">五、中小企业或残疾人福利性单位声明函</w:t>
          </w:r>
          <w:r>
            <w:tab/>
          </w:r>
          <w:r>
            <w:fldChar w:fldCharType="begin"/>
          </w:r>
          <w:r>
            <w:instrText xml:space="preserve"> PAGEREF _Toc24202 \h </w:instrText>
          </w:r>
          <w:r>
            <w:fldChar w:fldCharType="separate"/>
          </w:r>
          <w:r>
            <w:t xml:space="preserve">83</w:t>
          </w:r>
          <w:r>
            <w:fldChar w:fldCharType="end"/>
          </w:r>
          <w:r>
            <w:rPr>
              <w:rFonts w:hint="eastAsia" w:ascii="新宋体" w:hAnsi="新宋体" w:eastAsia="新宋体" w:cs="新宋体"/>
              <w:color w:val="auto"/>
              <w:szCs w:val="24"/>
              <w:highlight w:val="none"/>
            </w:rPr>
            <w:fldChar w:fldCharType="end"/>
          </w:r>
          <w:r/>
        </w:p>
        <w:p>
          <w:pPr>
            <w:pStyle w:val="702"/>
            <w:tabs>
              <w:tab w:val="right" w:pos="9072" w:leader="dot"/>
            </w:tabs>
          </w:pPr>
          <w:r>
            <w:rPr>
              <w:rFonts w:hint="eastAsia" w:ascii="新宋体" w:hAnsi="新宋体" w:eastAsia="新宋体" w:cs="新宋体"/>
              <w:color w:val="auto"/>
              <w:szCs w:val="24"/>
              <w:highlight w:val="none"/>
            </w:rPr>
            <w:fldChar w:fldCharType="begin"/>
          </w:r>
          <w:r>
            <w:rPr>
              <w:rFonts w:hint="eastAsia" w:ascii="新宋体" w:hAnsi="新宋体" w:eastAsia="新宋体" w:cs="新宋体"/>
              <w:szCs w:val="24"/>
              <w:highlight w:val="none"/>
            </w:rPr>
            <w:instrText xml:space="preserve"> HYPERLINK \l _Toc9296 </w:instrText>
          </w:r>
          <w:r>
            <w:rPr>
              <w:rFonts w:hint="eastAsia" w:ascii="新宋体" w:hAnsi="新宋体" w:eastAsia="新宋体" w:cs="新宋体"/>
              <w:szCs w:val="24"/>
              <w:highlight w:val="none"/>
            </w:rPr>
            <w:fldChar w:fldCharType="separate"/>
          </w:r>
          <w:r>
            <w:rPr>
              <w:rFonts w:hint="eastAsia" w:ascii="新宋体" w:hAnsi="新宋体" w:eastAsia="新宋体" w:cs="新宋体"/>
              <w:bCs/>
              <w:szCs w:val="24"/>
              <w:highlight w:val="none"/>
            </w:rPr>
            <w:t xml:space="preserve">六、技术响应偏离表</w:t>
          </w:r>
          <w:r>
            <w:tab/>
          </w:r>
          <w:r>
            <w:fldChar w:fldCharType="begin"/>
          </w:r>
          <w:r>
            <w:instrText xml:space="preserve"> PAGEREF _Toc9296 \h </w:instrText>
          </w:r>
          <w:r>
            <w:fldChar w:fldCharType="separate"/>
          </w:r>
          <w:r>
            <w:t xml:space="preserve">85</w:t>
          </w:r>
          <w:r>
            <w:fldChar w:fldCharType="end"/>
          </w:r>
          <w:r>
            <w:rPr>
              <w:rFonts w:hint="eastAsia" w:ascii="新宋体" w:hAnsi="新宋体" w:eastAsia="新宋体" w:cs="新宋体"/>
              <w:color w:val="auto"/>
              <w:szCs w:val="24"/>
              <w:highlight w:val="none"/>
            </w:rPr>
            <w:fldChar w:fldCharType="end"/>
          </w:r>
          <w:r/>
        </w:p>
        <w:p>
          <w:pPr>
            <w:pStyle w:val="702"/>
            <w:tabs>
              <w:tab w:val="right" w:pos="9072" w:leader="dot"/>
            </w:tabs>
          </w:pPr>
          <w:r>
            <w:rPr>
              <w:rFonts w:hint="eastAsia" w:ascii="新宋体" w:hAnsi="新宋体" w:eastAsia="新宋体" w:cs="新宋体"/>
              <w:color w:val="auto"/>
              <w:szCs w:val="24"/>
              <w:highlight w:val="none"/>
            </w:rPr>
            <w:fldChar w:fldCharType="begin"/>
          </w:r>
          <w:r>
            <w:rPr>
              <w:rFonts w:hint="eastAsia" w:ascii="新宋体" w:hAnsi="新宋体" w:eastAsia="新宋体" w:cs="新宋体"/>
              <w:szCs w:val="24"/>
              <w:highlight w:val="none"/>
            </w:rPr>
            <w:instrText xml:space="preserve"> HYPERLINK \l _Toc20108 </w:instrText>
          </w:r>
          <w:r>
            <w:rPr>
              <w:rFonts w:hint="eastAsia" w:ascii="新宋体" w:hAnsi="新宋体" w:eastAsia="新宋体" w:cs="新宋体"/>
              <w:szCs w:val="24"/>
              <w:highlight w:val="none"/>
            </w:rPr>
            <w:fldChar w:fldCharType="separate"/>
          </w:r>
          <w:r>
            <w:rPr>
              <w:rFonts w:hint="eastAsia" w:ascii="新宋体" w:hAnsi="新宋体" w:eastAsia="新宋体" w:cs="新宋体"/>
              <w:szCs w:val="24"/>
              <w:highlight w:val="none"/>
            </w:rPr>
            <w:t xml:space="preserve">七、</w:t>
          </w:r>
          <w:r>
            <w:rPr>
              <w:rFonts w:hint="eastAsia" w:ascii="新宋体" w:hAnsi="新宋体" w:eastAsia="新宋体" w:cs="新宋体"/>
              <w:szCs w:val="24"/>
              <w:highlight w:val="none"/>
              <w:lang w:val="en-US" w:eastAsia="zh-CN"/>
            </w:rPr>
            <w:t xml:space="preserve">商务</w:t>
          </w:r>
          <w:r>
            <w:rPr>
              <w:rFonts w:hint="eastAsia" w:ascii="新宋体" w:hAnsi="新宋体" w:eastAsia="新宋体" w:cs="新宋体"/>
              <w:szCs w:val="24"/>
              <w:highlight w:val="none"/>
            </w:rPr>
            <w:t xml:space="preserve">响应偏离表</w:t>
          </w:r>
          <w:r>
            <w:tab/>
          </w:r>
          <w:r>
            <w:fldChar w:fldCharType="begin"/>
          </w:r>
          <w:r>
            <w:instrText xml:space="preserve"> PAGEREF _Toc20108 \h </w:instrText>
          </w:r>
          <w:r>
            <w:fldChar w:fldCharType="separate"/>
          </w:r>
          <w:r>
            <w:t xml:space="preserve">86</w:t>
          </w:r>
          <w:r>
            <w:fldChar w:fldCharType="end"/>
          </w:r>
          <w:r>
            <w:rPr>
              <w:rFonts w:hint="eastAsia" w:ascii="新宋体" w:hAnsi="新宋体" w:eastAsia="新宋体" w:cs="新宋体"/>
              <w:color w:val="auto"/>
              <w:szCs w:val="24"/>
              <w:highlight w:val="none"/>
            </w:rPr>
            <w:fldChar w:fldCharType="end"/>
          </w:r>
          <w:r/>
        </w:p>
        <w:p>
          <w:pPr>
            <w:pStyle w:val="702"/>
            <w:tabs>
              <w:tab w:val="right" w:pos="9072" w:leader="dot"/>
            </w:tabs>
          </w:pPr>
          <w:r>
            <w:rPr>
              <w:rFonts w:hint="eastAsia" w:ascii="新宋体" w:hAnsi="新宋体" w:eastAsia="新宋体" w:cs="新宋体"/>
              <w:color w:val="auto"/>
              <w:szCs w:val="24"/>
              <w:highlight w:val="none"/>
            </w:rPr>
            <w:fldChar w:fldCharType="begin"/>
          </w:r>
          <w:r>
            <w:rPr>
              <w:rFonts w:hint="eastAsia" w:ascii="新宋体" w:hAnsi="新宋体" w:eastAsia="新宋体" w:cs="新宋体"/>
              <w:szCs w:val="24"/>
              <w:highlight w:val="none"/>
            </w:rPr>
            <w:instrText xml:space="preserve"> HYPERLINK \l _Toc22114 </w:instrText>
          </w:r>
          <w:r>
            <w:rPr>
              <w:rFonts w:hint="eastAsia" w:ascii="新宋体" w:hAnsi="新宋体" w:eastAsia="新宋体" w:cs="新宋体"/>
              <w:szCs w:val="24"/>
              <w:highlight w:val="none"/>
            </w:rPr>
            <w:fldChar w:fldCharType="separate"/>
          </w:r>
          <w:r>
            <w:rPr>
              <w:rFonts w:hint="eastAsia" w:ascii="新宋体" w:hAnsi="新宋体" w:eastAsia="新宋体" w:cs="新宋体"/>
              <w:szCs w:val="24"/>
              <w:highlight w:val="none"/>
              <w:lang w:val="en-US" w:eastAsia="zh-CN"/>
            </w:rPr>
            <w:t xml:space="preserve">八、</w:t>
          </w:r>
          <w:r>
            <w:rPr>
              <w:rFonts w:hint="eastAsia" w:ascii="新宋体" w:hAnsi="新宋体" w:eastAsia="新宋体" w:cs="新宋体"/>
              <w:szCs w:val="24"/>
              <w:highlight w:val="none"/>
            </w:rPr>
            <w:t xml:space="preserve">项目组人员</w:t>
          </w:r>
          <w:r>
            <w:tab/>
          </w:r>
          <w:r>
            <w:fldChar w:fldCharType="begin"/>
          </w:r>
          <w:r>
            <w:instrText xml:space="preserve"> PAGEREF _Toc22114 \h </w:instrText>
          </w:r>
          <w:r>
            <w:fldChar w:fldCharType="separate"/>
          </w:r>
          <w:r>
            <w:t xml:space="preserve">87</w:t>
          </w:r>
          <w:r>
            <w:fldChar w:fldCharType="end"/>
          </w:r>
          <w:r>
            <w:rPr>
              <w:rFonts w:hint="eastAsia" w:ascii="新宋体" w:hAnsi="新宋体" w:eastAsia="新宋体" w:cs="新宋体"/>
              <w:color w:val="auto"/>
              <w:szCs w:val="24"/>
              <w:highlight w:val="none"/>
            </w:rPr>
            <w:fldChar w:fldCharType="end"/>
          </w:r>
          <w:r/>
        </w:p>
        <w:p>
          <w:pPr>
            <w:pStyle w:val="702"/>
            <w:tabs>
              <w:tab w:val="right" w:pos="9072" w:leader="dot"/>
            </w:tabs>
          </w:pPr>
          <w:r>
            <w:rPr>
              <w:rFonts w:hint="eastAsia" w:ascii="新宋体" w:hAnsi="新宋体" w:eastAsia="新宋体" w:cs="新宋体"/>
              <w:color w:val="auto"/>
              <w:szCs w:val="24"/>
              <w:highlight w:val="none"/>
            </w:rPr>
            <w:fldChar w:fldCharType="begin"/>
          </w:r>
          <w:r>
            <w:rPr>
              <w:rFonts w:hint="eastAsia" w:ascii="新宋体" w:hAnsi="新宋体" w:eastAsia="新宋体" w:cs="新宋体"/>
              <w:szCs w:val="24"/>
              <w:highlight w:val="none"/>
            </w:rPr>
            <w:instrText xml:space="preserve"> HYPERLINK \l _Toc32688 </w:instrText>
          </w:r>
          <w:r>
            <w:rPr>
              <w:rFonts w:hint="eastAsia" w:ascii="新宋体" w:hAnsi="新宋体" w:eastAsia="新宋体" w:cs="新宋体"/>
              <w:szCs w:val="24"/>
              <w:highlight w:val="none"/>
            </w:rPr>
            <w:fldChar w:fldCharType="separate"/>
          </w:r>
          <w:r>
            <w:rPr>
              <w:rFonts w:hint="eastAsia" w:ascii="新宋体" w:hAnsi="新宋体" w:eastAsia="新宋体" w:cs="新宋体"/>
              <w:bCs/>
              <w:szCs w:val="24"/>
              <w:highlight w:val="none"/>
              <w:lang w:val="en-US" w:eastAsia="zh-CN"/>
            </w:rPr>
            <w:t xml:space="preserve">九</w:t>
          </w:r>
          <w:r>
            <w:rPr>
              <w:rFonts w:hint="eastAsia" w:ascii="新宋体" w:hAnsi="新宋体" w:eastAsia="新宋体" w:cs="新宋体"/>
              <w:bCs/>
              <w:szCs w:val="24"/>
              <w:highlight w:val="none"/>
            </w:rPr>
            <w:t xml:space="preserve">、企业业绩</w:t>
          </w:r>
          <w:r>
            <w:tab/>
          </w:r>
          <w:r>
            <w:fldChar w:fldCharType="begin"/>
          </w:r>
          <w:r>
            <w:instrText xml:space="preserve"> PAGEREF _Toc32688 \h </w:instrText>
          </w:r>
          <w:r>
            <w:fldChar w:fldCharType="separate"/>
          </w:r>
          <w:r>
            <w:t xml:space="preserve">89</w:t>
          </w:r>
          <w:r>
            <w:fldChar w:fldCharType="end"/>
          </w:r>
          <w:r>
            <w:rPr>
              <w:rFonts w:hint="eastAsia" w:ascii="新宋体" w:hAnsi="新宋体" w:eastAsia="新宋体" w:cs="新宋体"/>
              <w:color w:val="auto"/>
              <w:szCs w:val="24"/>
              <w:highlight w:val="none"/>
            </w:rPr>
            <w:fldChar w:fldCharType="end"/>
          </w:r>
          <w:r/>
        </w:p>
        <w:p>
          <w:pPr>
            <w:pStyle w:val="702"/>
            <w:tabs>
              <w:tab w:val="right" w:pos="9072" w:leader="dot"/>
            </w:tabs>
          </w:pPr>
          <w:r>
            <w:rPr>
              <w:rFonts w:hint="eastAsia" w:ascii="新宋体" w:hAnsi="新宋体" w:eastAsia="新宋体" w:cs="新宋体"/>
              <w:color w:val="auto"/>
              <w:szCs w:val="24"/>
              <w:highlight w:val="none"/>
            </w:rPr>
            <w:fldChar w:fldCharType="begin"/>
          </w:r>
          <w:r>
            <w:rPr>
              <w:rFonts w:hint="eastAsia" w:ascii="新宋体" w:hAnsi="新宋体" w:eastAsia="新宋体" w:cs="新宋体"/>
              <w:szCs w:val="24"/>
              <w:highlight w:val="none"/>
            </w:rPr>
            <w:instrText xml:space="preserve"> HYPERLINK \l _Toc1027 </w:instrText>
          </w:r>
          <w:r>
            <w:rPr>
              <w:rFonts w:hint="eastAsia" w:ascii="新宋体" w:hAnsi="新宋体" w:eastAsia="新宋体" w:cs="新宋体"/>
              <w:szCs w:val="24"/>
              <w:highlight w:val="none"/>
            </w:rPr>
            <w:fldChar w:fldCharType="separate"/>
          </w:r>
          <w:r>
            <w:rPr>
              <w:rFonts w:hint="eastAsia" w:ascii="新宋体" w:hAnsi="新宋体" w:eastAsia="新宋体" w:cs="新宋体"/>
              <w:bCs/>
              <w:szCs w:val="24"/>
              <w:highlight w:val="none"/>
              <w:lang w:val="en-US" w:eastAsia="zh-CN"/>
            </w:rPr>
            <w:t xml:space="preserve">十、实施方案</w:t>
          </w:r>
          <w:r>
            <w:tab/>
          </w:r>
          <w:r>
            <w:fldChar w:fldCharType="begin"/>
          </w:r>
          <w:r>
            <w:instrText xml:space="preserve"> PAGEREF _Toc1027 \h </w:instrText>
          </w:r>
          <w:r>
            <w:fldChar w:fldCharType="separate"/>
          </w:r>
          <w:r>
            <w:t xml:space="preserve">90</w:t>
          </w:r>
          <w:r>
            <w:fldChar w:fldCharType="end"/>
          </w:r>
          <w:r>
            <w:rPr>
              <w:rFonts w:hint="eastAsia" w:ascii="新宋体" w:hAnsi="新宋体" w:eastAsia="新宋体" w:cs="新宋体"/>
              <w:color w:val="auto"/>
              <w:szCs w:val="24"/>
              <w:highlight w:val="none"/>
            </w:rPr>
            <w:fldChar w:fldCharType="end"/>
          </w:r>
          <w:r/>
        </w:p>
        <w:p>
          <w:pPr>
            <w:pStyle w:val="702"/>
            <w:tabs>
              <w:tab w:val="right" w:pos="9072" w:leader="dot"/>
            </w:tabs>
          </w:pPr>
          <w:r>
            <w:rPr>
              <w:rFonts w:hint="eastAsia" w:ascii="新宋体" w:hAnsi="新宋体" w:eastAsia="新宋体" w:cs="新宋体"/>
              <w:color w:val="auto"/>
              <w:szCs w:val="24"/>
              <w:highlight w:val="none"/>
            </w:rPr>
            <w:fldChar w:fldCharType="begin"/>
          </w:r>
          <w:r>
            <w:rPr>
              <w:rFonts w:hint="eastAsia" w:ascii="新宋体" w:hAnsi="新宋体" w:eastAsia="新宋体" w:cs="新宋体"/>
              <w:szCs w:val="24"/>
              <w:highlight w:val="none"/>
            </w:rPr>
            <w:instrText xml:space="preserve"> HYPERLINK \l _Toc28227 </w:instrText>
          </w:r>
          <w:r>
            <w:rPr>
              <w:rFonts w:hint="eastAsia" w:ascii="新宋体" w:hAnsi="新宋体" w:eastAsia="新宋体" w:cs="新宋体"/>
              <w:szCs w:val="24"/>
              <w:highlight w:val="none"/>
            </w:rPr>
            <w:fldChar w:fldCharType="separate"/>
          </w:r>
          <w:r>
            <w:rPr>
              <w:rFonts w:hint="eastAsia" w:ascii="新宋体" w:hAnsi="新宋体" w:eastAsia="新宋体" w:cs="新宋体"/>
              <w:bCs/>
              <w:szCs w:val="24"/>
              <w:highlight w:val="none"/>
              <w:lang w:val="en-US" w:eastAsia="zh-CN" w:bidi="ar-SA"/>
            </w:rPr>
            <w:t xml:space="preserve">十一、磋商所需其他材料</w:t>
          </w:r>
          <w:r>
            <w:tab/>
          </w:r>
          <w:r>
            <w:fldChar w:fldCharType="begin"/>
          </w:r>
          <w:r>
            <w:instrText xml:space="preserve"> PAGEREF _Toc28227 \h </w:instrText>
          </w:r>
          <w:r>
            <w:fldChar w:fldCharType="separate"/>
          </w:r>
          <w:r>
            <w:t xml:space="preserve">91</w:t>
          </w:r>
          <w:r>
            <w:fldChar w:fldCharType="end"/>
          </w:r>
          <w:r>
            <w:rPr>
              <w:rFonts w:hint="eastAsia" w:ascii="新宋体" w:hAnsi="新宋体" w:eastAsia="新宋体" w:cs="新宋体"/>
              <w:color w:val="auto"/>
              <w:szCs w:val="24"/>
              <w:highlight w:val="none"/>
            </w:rPr>
            <w:fldChar w:fldCharType="end"/>
          </w:r>
          <w:r/>
        </w:p>
        <w:p>
          <w:pPr>
            <w:pStyle w:val="702"/>
            <w:tabs>
              <w:tab w:val="right" w:pos="9072" w:leader="dot"/>
            </w:tabs>
          </w:pPr>
          <w:r>
            <w:rPr>
              <w:rFonts w:hint="eastAsia" w:ascii="新宋体" w:hAnsi="新宋体" w:eastAsia="新宋体" w:cs="新宋体"/>
              <w:color w:val="auto"/>
              <w:szCs w:val="24"/>
              <w:highlight w:val="none"/>
            </w:rPr>
            <w:fldChar w:fldCharType="begin"/>
          </w:r>
          <w:r>
            <w:rPr>
              <w:rFonts w:hint="eastAsia" w:ascii="新宋体" w:hAnsi="新宋体" w:eastAsia="新宋体" w:cs="新宋体"/>
              <w:szCs w:val="24"/>
              <w:highlight w:val="none"/>
            </w:rPr>
            <w:instrText xml:space="preserve"> HYPERLINK \l _Toc8716 </w:instrText>
          </w:r>
          <w:r>
            <w:rPr>
              <w:rFonts w:hint="eastAsia" w:ascii="新宋体" w:hAnsi="新宋体" w:eastAsia="新宋体" w:cs="新宋体"/>
              <w:szCs w:val="24"/>
              <w:highlight w:val="none"/>
            </w:rPr>
            <w:fldChar w:fldCharType="separate"/>
          </w:r>
          <w:r>
            <w:rPr>
              <w:rFonts w:hint="eastAsia" w:ascii="新宋体" w:hAnsi="新宋体" w:eastAsia="新宋体" w:cs="新宋体"/>
              <w:bCs/>
              <w:szCs w:val="32"/>
              <w:highlight w:val="none"/>
              <w:lang w:val="en-US" w:eastAsia="zh-CN" w:bidi="ar-SA"/>
            </w:rPr>
            <w:t xml:space="preserve">十二、联合体协议书</w:t>
          </w:r>
          <w:r>
            <w:tab/>
          </w:r>
          <w:r>
            <w:fldChar w:fldCharType="begin"/>
          </w:r>
          <w:r>
            <w:instrText xml:space="preserve"> PAGEREF _Toc8716 \h </w:instrText>
          </w:r>
          <w:r>
            <w:fldChar w:fldCharType="separate"/>
          </w:r>
          <w:r>
            <w:t xml:space="preserve">92</w:t>
          </w:r>
          <w:r>
            <w:fldChar w:fldCharType="end"/>
          </w:r>
          <w:r>
            <w:rPr>
              <w:rFonts w:hint="eastAsia" w:ascii="新宋体" w:hAnsi="新宋体" w:eastAsia="新宋体" w:cs="新宋体"/>
              <w:color w:val="auto"/>
              <w:szCs w:val="24"/>
              <w:highlight w:val="none"/>
            </w:rPr>
            <w:fldChar w:fldCharType="end"/>
          </w:r>
          <w:r/>
        </w:p>
        <w:p>
          <w:pPr>
            <w:jc w:val="center"/>
            <w:rPr>
              <w:rFonts w:hint="eastAsia" w:ascii="新宋体" w:hAnsi="新宋体" w:eastAsia="新宋体" w:cs="新宋体"/>
              <w:color w:val="auto"/>
              <w:sz w:val="21"/>
              <w:szCs w:val="24"/>
              <w:highlight w:val="none"/>
              <w:lang w:val="en-US" w:eastAsia="zh-CN" w:bidi="ar-SA"/>
            </w:rPr>
          </w:pPr>
          <w:r>
            <w:rPr>
              <w:rFonts w:hint="eastAsia" w:ascii="新宋体" w:hAnsi="新宋体" w:eastAsia="新宋体" w:cs="新宋体"/>
              <w:color w:val="auto"/>
              <w:szCs w:val="24"/>
              <w:highlight w:val="none"/>
            </w:rPr>
            <w:fldChar w:fldCharType="end"/>
          </w:r>
          <w:r/>
        </w:p>
      </w:sdtContent>
    </w:sdt>
    <w:p>
      <w:pPr>
        <w:jc w:val="center"/>
        <w:rPr>
          <w:rFonts w:hint="eastAsia" w:ascii="新宋体" w:hAnsi="新宋体" w:eastAsia="新宋体" w:cs="新宋体"/>
          <w:color w:val="auto"/>
          <w:sz w:val="21"/>
          <w:szCs w:val="24"/>
          <w:highlight w:val="none"/>
          <w:lang w:val="en-US" w:eastAsia="zh-CN" w:bidi="ar-SA"/>
        </w:rPr>
      </w:pPr>
      <w:r>
        <w:rPr>
          <w:rFonts w:hint="eastAsia" w:ascii="新宋体" w:hAnsi="新宋体" w:eastAsia="新宋体" w:cs="新宋体"/>
          <w:color w:val="auto"/>
          <w:sz w:val="21"/>
          <w:szCs w:val="24"/>
          <w:highlight w:val="none"/>
          <w:lang w:val="en-US" w:eastAsia="zh-CN" w:bidi="ar-SA"/>
        </w:rPr>
      </w:r>
      <w:r/>
    </w:p>
    <w:p>
      <w:pPr>
        <w:jc w:val="center"/>
        <w:spacing w:line="700" w:lineRule="exact"/>
        <w:rPr>
          <w:rFonts w:hint="eastAsia" w:ascii="新宋体" w:hAnsi="新宋体" w:eastAsia="新宋体" w:cs="新宋体"/>
          <w:color w:val="auto"/>
          <w:sz w:val="24"/>
          <w:szCs w:val="24"/>
          <w:highlight w:val="none"/>
        </w:rPr>
        <w:sectPr>
          <w:footerReference w:type="default" r:id="rId9"/>
          <w:footnotePr/>
          <w:endnotePr/>
          <w:type w:val="nextPage"/>
          <w:pgSz w:w="11906" w:h="16838" w:orient="portrait"/>
          <w:pgMar w:top="1440" w:right="1417" w:bottom="1440" w:left="1417" w:header="851" w:footer="992" w:gutter="0"/>
          <w:cols w:num="1" w:sep="0" w:space="720" w:equalWidth="1"/>
          <w:docGrid w:linePitch="360"/>
        </w:sectPr>
      </w:pPr>
      <w:r>
        <w:rPr>
          <w:rFonts w:hint="eastAsia" w:ascii="新宋体" w:hAnsi="新宋体" w:eastAsia="新宋体" w:cs="新宋体"/>
          <w:color w:val="auto"/>
          <w:sz w:val="24"/>
          <w:szCs w:val="24"/>
          <w:highlight w:val="none"/>
        </w:rPr>
      </w:r>
      <w:r/>
    </w:p>
    <w:p>
      <w:pPr>
        <w:pStyle w:val="668"/>
        <w:jc w:val="center"/>
        <w:spacing w:before="200"/>
        <w:rPr>
          <w:rFonts w:hint="eastAsia" w:ascii="新宋体" w:hAnsi="新宋体" w:eastAsia="新宋体" w:cs="新宋体"/>
          <w:b/>
          <w:color w:val="auto"/>
          <w:sz w:val="32"/>
          <w:szCs w:val="32"/>
          <w:highlight w:val="none"/>
          <w:lang w:val="en-US" w:eastAsia="zh-CN" w:bidi="ar-SA"/>
        </w:rPr>
      </w:pPr>
      <w:r/>
      <w:bookmarkStart w:id="128" w:name="_GoBack"/>
      <w:r/>
      <w:bookmarkEnd w:id="128"/>
      <w:r/>
      <w:bookmarkStart w:id="0" w:name="_Toc13414"/>
      <w:r/>
      <w:bookmarkStart w:id="1" w:name="_Toc27259"/>
      <w:r/>
      <w:bookmarkStart w:id="2" w:name="_Toc16525"/>
      <w:r/>
      <w:bookmarkStart w:id="3" w:name="_Toc24608"/>
      <w:r/>
      <w:bookmarkStart w:id="4" w:name="_Toc141869960"/>
      <w:r>
        <w:rPr>
          <w:rFonts w:hint="eastAsia" w:ascii="新宋体" w:hAnsi="新宋体" w:eastAsia="新宋体" w:cs="新宋体"/>
          <w:b/>
          <w:color w:val="auto"/>
          <w:sz w:val="32"/>
          <w:szCs w:val="32"/>
          <w:highlight w:val="none"/>
          <w:lang w:val="en-US" w:eastAsia="zh-CN" w:bidi="ar-SA"/>
        </w:rPr>
        <w:t xml:space="preserve">第一章  </w:t>
      </w:r>
      <w:bookmarkEnd w:id="0"/>
      <w:r/>
      <w:bookmarkEnd w:id="1"/>
      <w:r/>
      <w:bookmarkEnd w:id="2"/>
      <w:r>
        <w:rPr>
          <w:rFonts w:hint="eastAsia" w:ascii="新宋体" w:hAnsi="新宋体" w:eastAsia="新宋体" w:cs="新宋体"/>
          <w:b/>
          <w:bCs w:val="0"/>
          <w:color w:val="auto"/>
          <w:sz w:val="32"/>
          <w:szCs w:val="32"/>
          <w:highlight w:val="none"/>
        </w:rPr>
        <w:t xml:space="preserve">竞争性磋商邀请</w:t>
      </w:r>
      <w:bookmarkEnd w:id="3"/>
      <w:r/>
      <w:r/>
    </w:p>
    <w:p>
      <w:pPr>
        <w:ind w:firstLine="480"/>
        <w:spacing w:line="52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受</w:t>
      </w:r>
      <w:r>
        <w:rPr>
          <w:rFonts w:hint="eastAsia" w:ascii="新宋体" w:hAnsi="新宋体" w:eastAsia="新宋体" w:cs="新宋体"/>
          <w:color w:val="auto"/>
          <w:sz w:val="24"/>
          <w:szCs w:val="24"/>
          <w:highlight w:val="none"/>
          <w:u w:val="single"/>
          <w:lang w:eastAsia="zh-CN"/>
        </w:rPr>
        <w:t xml:space="preserve">宿迁市宿城区市场监督管理局</w:t>
      </w:r>
      <w:r>
        <w:rPr>
          <w:rFonts w:hint="eastAsia" w:ascii="新宋体" w:hAnsi="新宋体" w:eastAsia="新宋体" w:cs="新宋体"/>
          <w:color w:val="auto"/>
          <w:sz w:val="24"/>
          <w:szCs w:val="24"/>
          <w:highlight w:val="none"/>
        </w:rPr>
        <w:t xml:space="preserve">的委托，</w:t>
      </w:r>
      <w:r>
        <w:rPr>
          <w:rFonts w:hint="eastAsia" w:ascii="新宋体" w:hAnsi="新宋体" w:eastAsia="新宋体" w:cs="新宋体"/>
          <w:color w:val="auto"/>
          <w:sz w:val="24"/>
          <w:szCs w:val="24"/>
          <w:highlight w:val="none"/>
          <w:u w:val="single"/>
          <w:lang w:eastAsia="zh-CN"/>
        </w:rPr>
        <w:t xml:space="preserve">江苏方园项目招标管理有限公司</w:t>
      </w:r>
      <w:r>
        <w:rPr>
          <w:rFonts w:hint="eastAsia" w:ascii="新宋体" w:hAnsi="新宋体" w:eastAsia="新宋体" w:cs="新宋体"/>
          <w:color w:val="auto"/>
          <w:sz w:val="24"/>
          <w:szCs w:val="24"/>
          <w:highlight w:val="none"/>
        </w:rPr>
        <w:t xml:space="preserve">就</w:t>
      </w:r>
      <w:r>
        <w:rPr>
          <w:rFonts w:hint="eastAsia" w:ascii="新宋体" w:hAnsi="新宋体" w:eastAsia="新宋体" w:cs="新宋体"/>
          <w:color w:val="auto"/>
          <w:sz w:val="24"/>
          <w:szCs w:val="24"/>
          <w:highlight w:val="none"/>
          <w:u w:val="single"/>
          <w:lang w:eastAsia="zh-CN"/>
        </w:rPr>
        <w:t xml:space="preserve">宿城区2026年工业产品质量监督抽查服务采购项目</w:t>
      </w:r>
      <w:r>
        <w:rPr>
          <w:rFonts w:hint="eastAsia" w:ascii="新宋体" w:hAnsi="新宋体" w:eastAsia="新宋体" w:cs="新宋体"/>
          <w:color w:val="auto"/>
          <w:sz w:val="24"/>
          <w:szCs w:val="24"/>
          <w:highlight w:val="none"/>
        </w:rPr>
        <w:t xml:space="preserve">(</w:t>
      </w:r>
      <w:r>
        <w:rPr>
          <w:rFonts w:hint="eastAsia" w:ascii="新宋体" w:hAnsi="新宋体" w:eastAsia="新宋体" w:cs="新宋体"/>
          <w:color w:val="auto"/>
          <w:sz w:val="24"/>
          <w:szCs w:val="24"/>
          <w:highlight w:val="none"/>
          <w:u w:val="single"/>
          <w:lang w:val="en-US" w:eastAsia="zh-CN"/>
        </w:rPr>
        <w:t xml:space="preserve">项目编号：JSZC-321302-JSFY-C2026-0002</w:t>
      </w:r>
      <w:r>
        <w:rPr>
          <w:rFonts w:hint="eastAsia" w:ascii="新宋体" w:hAnsi="新宋体" w:eastAsia="新宋体" w:cs="新宋体"/>
          <w:color w:val="auto"/>
          <w:sz w:val="24"/>
          <w:szCs w:val="24"/>
          <w:highlight w:val="none"/>
        </w:rPr>
        <w:t xml:space="preserve">)进行竞争性磋商采购，欢迎符合条件的供应商参加磋商。</w:t>
      </w:r>
      <w:r/>
    </w:p>
    <w:p>
      <w:pPr>
        <w:spacing w:line="500" w:lineRule="exact"/>
        <w:rPr>
          <w:rFonts w:hint="eastAsia" w:ascii="新宋体" w:hAnsi="新宋体" w:eastAsia="新宋体" w:cs="新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新宋体" w:hAnsi="新宋体" w:eastAsia="新宋体" w:cs="新宋体"/>
          <w:color w:val="auto"/>
          <w:sz w:val="24"/>
          <w:szCs w:val="24"/>
          <w:highlight w:val="none"/>
        </w:rPr>
        <w:t xml:space="preserve">项目概况</w:t>
      </w:r>
      <w:r/>
    </w:p>
    <w:p>
      <w:pPr>
        <w:ind w:firstLine="480"/>
        <w:spacing w:line="500" w:lineRule="exact"/>
        <w:rPr>
          <w:rFonts w:hint="eastAsia" w:ascii="新宋体" w:hAnsi="新宋体" w:eastAsia="新宋体" w:cs="新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新宋体" w:hAnsi="新宋体" w:eastAsia="新宋体" w:cs="新宋体"/>
          <w:color w:val="auto"/>
          <w:sz w:val="24"/>
          <w:szCs w:val="24"/>
          <w:highlight w:val="none"/>
          <w:u w:val="single"/>
          <w:lang w:eastAsia="zh-CN"/>
        </w:rPr>
        <w:t xml:space="preserve">宿城区2026年工业产品质量监督抽查服务采购项目</w:t>
      </w:r>
      <w:r>
        <w:rPr>
          <w:rFonts w:hint="eastAsia" w:ascii="新宋体" w:hAnsi="新宋体" w:eastAsia="新宋体" w:cs="新宋体"/>
          <w:color w:val="auto"/>
          <w:sz w:val="24"/>
          <w:szCs w:val="24"/>
          <w:highlight w:val="none"/>
        </w:rPr>
        <w:t xml:space="preserve">的潜在供应商可在“江苏政府采购网”、“宿迁市政府采购网”自行免费获取磋商文件，并于</w:t>
      </w:r>
      <w:r>
        <w:rPr>
          <w:rFonts w:hint="eastAsia" w:ascii="新宋体" w:hAnsi="新宋体" w:eastAsia="新宋体" w:cs="新宋体"/>
          <w:color w:val="auto"/>
          <w:sz w:val="24"/>
          <w:szCs w:val="24"/>
          <w:highlight w:val="none"/>
          <w:u w:val="single"/>
        </w:rPr>
        <w:t xml:space="preserve">2026年</w:t>
      </w:r>
      <w:r>
        <w:rPr>
          <w:rFonts w:hint="eastAsia" w:ascii="新宋体" w:hAnsi="新宋体" w:eastAsia="新宋体" w:cs="新宋体"/>
          <w:color w:val="auto"/>
          <w:sz w:val="24"/>
          <w:szCs w:val="24"/>
          <w:highlight w:val="none"/>
          <w:u w:val="single"/>
          <w:lang w:val="en-US" w:eastAsia="zh-CN"/>
        </w:rPr>
        <w:t xml:space="preserve">9</w:t>
      </w:r>
      <w:r>
        <w:rPr>
          <w:rFonts w:hint="eastAsia" w:ascii="新宋体" w:hAnsi="新宋体" w:eastAsia="新宋体" w:cs="新宋体"/>
          <w:color w:val="auto"/>
          <w:sz w:val="24"/>
          <w:szCs w:val="24"/>
          <w:highlight w:val="none"/>
          <w:u w:val="single"/>
        </w:rPr>
        <w:t xml:space="preserve">月</w:t>
      </w:r>
      <w:r>
        <w:rPr>
          <w:rFonts w:hint="eastAsia" w:ascii="新宋体" w:hAnsi="新宋体" w:eastAsia="新宋体" w:cs="新宋体"/>
          <w:color w:val="auto"/>
          <w:sz w:val="24"/>
          <w:szCs w:val="24"/>
          <w:highlight w:val="none"/>
          <w:u w:val="single"/>
          <w:lang w:val="en-US" w:eastAsia="zh-CN"/>
        </w:rPr>
        <w:t xml:space="preserve">20</w:t>
      </w:r>
      <w:r>
        <w:rPr>
          <w:rFonts w:hint="eastAsia" w:ascii="新宋体" w:hAnsi="新宋体" w:eastAsia="新宋体" w:cs="新宋体"/>
          <w:color w:val="auto"/>
          <w:sz w:val="24"/>
          <w:szCs w:val="24"/>
          <w:highlight w:val="none"/>
          <w:u w:val="single"/>
        </w:rPr>
        <w:t xml:space="preserve">日</w:t>
      </w:r>
      <w:r>
        <w:rPr>
          <w:rFonts w:hint="eastAsia" w:ascii="新宋体" w:hAnsi="新宋体" w:eastAsia="新宋体" w:cs="新宋体"/>
          <w:bCs/>
          <w:color w:val="auto"/>
          <w:sz w:val="24"/>
          <w:szCs w:val="24"/>
          <w:highlight w:val="none"/>
          <w:u w:val="single"/>
          <w:lang w:val="en-US" w:eastAsia="zh-CN"/>
        </w:rPr>
        <w:t xml:space="preserve">9</w:t>
      </w:r>
      <w:r>
        <w:rPr>
          <w:rFonts w:hint="eastAsia" w:ascii="新宋体" w:hAnsi="新宋体" w:eastAsia="新宋体" w:cs="新宋体"/>
          <w:bCs/>
          <w:color w:val="auto"/>
          <w:sz w:val="24"/>
          <w:szCs w:val="24"/>
          <w:highlight w:val="none"/>
          <w:u w:val="single"/>
        </w:rPr>
        <w:t xml:space="preserve">点30分（</w:t>
      </w:r>
      <w:r>
        <w:rPr>
          <w:rFonts w:hint="eastAsia" w:ascii="新宋体" w:hAnsi="新宋体" w:eastAsia="新宋体" w:cs="新宋体"/>
          <w:bCs/>
          <w:color w:val="auto"/>
          <w:sz w:val="24"/>
          <w:szCs w:val="24"/>
          <w:highlight w:val="none"/>
        </w:rPr>
        <w:t xml:space="preserve">北京时间）前递交响应文件</w:t>
      </w:r>
      <w:r>
        <w:rPr>
          <w:rFonts w:hint="eastAsia" w:ascii="新宋体" w:hAnsi="新宋体" w:eastAsia="新宋体" w:cs="新宋体"/>
          <w:color w:val="auto"/>
          <w:sz w:val="24"/>
          <w:szCs w:val="24"/>
          <w:highlight w:val="none"/>
        </w:rPr>
        <w:t xml:space="preserve">。</w:t>
      </w:r>
      <w:r/>
    </w:p>
    <w:p>
      <w:pPr>
        <w:pStyle w:val="669"/>
        <w:ind w:firstLine="482"/>
        <w:spacing w:before="0" w:after="0" w:line="360" w:lineRule="auto"/>
        <w:rPr>
          <w:rFonts w:hint="eastAsia" w:ascii="新宋体" w:hAnsi="新宋体" w:eastAsia="新宋体" w:cs="新宋体"/>
          <w:b/>
          <w:bCs/>
          <w:color w:val="auto"/>
          <w:sz w:val="24"/>
          <w:szCs w:val="24"/>
          <w:highlight w:val="none"/>
        </w:rPr>
      </w:pPr>
      <w:r/>
      <w:bookmarkStart w:id="5" w:name="_Toc38985263"/>
      <w:r/>
      <w:bookmarkStart w:id="6" w:name="_Toc28359002"/>
      <w:r/>
      <w:bookmarkStart w:id="7" w:name="_Hlk24379207"/>
      <w:r/>
      <w:bookmarkStart w:id="8" w:name="_Toc28359079"/>
      <w:r/>
      <w:bookmarkStart w:id="9" w:name="_Toc35393790"/>
      <w:r/>
      <w:bookmarkStart w:id="10" w:name="_Toc35393621"/>
      <w:r/>
      <w:bookmarkStart w:id="11" w:name="_Toc20967"/>
      <w:r>
        <w:rPr>
          <w:rFonts w:hint="eastAsia" w:ascii="新宋体" w:hAnsi="新宋体" w:eastAsia="新宋体" w:cs="新宋体"/>
          <w:b/>
          <w:bCs/>
          <w:color w:val="auto"/>
          <w:sz w:val="24"/>
          <w:szCs w:val="24"/>
          <w:highlight w:val="none"/>
        </w:rPr>
        <w:t xml:space="preserve">一、项目基本情况</w:t>
      </w:r>
      <w:bookmarkEnd w:id="5"/>
      <w:r/>
      <w:bookmarkEnd w:id="6"/>
      <w:r/>
      <w:bookmarkEnd w:id="7"/>
      <w:r/>
      <w:bookmarkEnd w:id="8"/>
      <w:r/>
      <w:bookmarkEnd w:id="9"/>
      <w:r/>
      <w:bookmarkEnd w:id="10"/>
      <w:r/>
      <w:bookmarkEnd w:id="11"/>
      <w:r/>
      <w:r/>
    </w:p>
    <w:p>
      <w:pPr>
        <w:ind w:firstLine="480"/>
        <w:spacing w:line="360" w:lineRule="auto"/>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1.项目编号：JSZC-321302-JSFY-C2026-0002</w:t>
      </w:r>
      <w:r/>
    </w:p>
    <w:p>
      <w:pPr>
        <w:ind w:firstLine="480"/>
        <w:spacing w:line="360" w:lineRule="auto"/>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2.项目名称：</w:t>
      </w:r>
      <w:r>
        <w:rPr>
          <w:rFonts w:hint="eastAsia" w:ascii="新宋体" w:hAnsi="新宋体" w:eastAsia="新宋体" w:cs="新宋体"/>
          <w:color w:val="auto"/>
          <w:sz w:val="24"/>
          <w:szCs w:val="24"/>
          <w:highlight w:val="none"/>
          <w:lang w:eastAsia="zh-CN"/>
        </w:rPr>
        <w:t xml:space="preserve">宿城区2026年工业产品质量监督抽查服务采购项目</w:t>
      </w:r>
      <w:r/>
    </w:p>
    <w:p>
      <w:pPr>
        <w:ind w:firstLine="480"/>
        <w:spacing w:line="360" w:lineRule="auto"/>
        <w:rPr>
          <w:rFonts w:hint="eastAsia" w:ascii="新宋体" w:hAnsi="新宋体" w:eastAsia="新宋体" w:cs="新宋体"/>
          <w:color w:val="auto"/>
          <w:sz w:val="24"/>
          <w:szCs w:val="24"/>
          <w:highlight w:val="none"/>
          <w:lang w:val="en-US" w:eastAsia="zh-CN"/>
        </w:rPr>
      </w:pPr>
      <w:r>
        <w:rPr>
          <w:rFonts w:hint="eastAsia" w:ascii="新宋体" w:hAnsi="新宋体" w:eastAsia="新宋体" w:cs="新宋体"/>
          <w:color w:val="auto"/>
          <w:sz w:val="24"/>
          <w:szCs w:val="24"/>
          <w:highlight w:val="none"/>
          <w:lang w:eastAsia="zh-CN"/>
        </w:rPr>
        <w:t xml:space="preserve">3.预算金额：</w:t>
      </w:r>
      <w:r>
        <w:rPr>
          <w:rFonts w:hint="eastAsia" w:ascii="新宋体" w:hAnsi="新宋体" w:eastAsia="新宋体" w:cs="新宋体"/>
          <w:color w:val="auto"/>
          <w:sz w:val="24"/>
          <w:szCs w:val="24"/>
          <w:highlight w:val="none"/>
          <w:lang w:val="en-US" w:eastAsia="zh-CN"/>
        </w:rPr>
        <w:t xml:space="preserve">111.00万元  </w:t>
      </w:r>
      <w:r/>
    </w:p>
    <w:p>
      <w:pPr>
        <w:ind w:firstLine="480"/>
        <w:spacing w:line="360" w:lineRule="auto"/>
        <w:rPr>
          <w:rFonts w:hint="eastAsia" w:ascii="新宋体" w:hAnsi="新宋体" w:eastAsia="新宋体" w:cs="新宋体"/>
          <w:color w:val="auto"/>
          <w:sz w:val="24"/>
          <w:szCs w:val="24"/>
          <w:highlight w:val="none"/>
          <w:lang w:eastAsia="zh-CN"/>
        </w:rPr>
      </w:pPr>
      <w:r>
        <w:rPr>
          <w:rFonts w:hint="eastAsia" w:ascii="新宋体" w:hAnsi="新宋体" w:eastAsia="新宋体" w:cs="新宋体"/>
          <w:color w:val="auto"/>
          <w:sz w:val="24"/>
          <w:szCs w:val="24"/>
          <w:highlight w:val="none"/>
          <w:lang w:eastAsia="zh-CN"/>
        </w:rPr>
        <w:t xml:space="preserve">4.本项目设定最高限价，</w:t>
      </w:r>
      <w:r>
        <w:rPr>
          <w:rFonts w:hint="eastAsia" w:ascii="新宋体" w:hAnsi="新宋体" w:eastAsia="新宋体" w:cs="新宋体"/>
          <w:color w:val="auto"/>
          <w:sz w:val="24"/>
          <w:szCs w:val="24"/>
          <w:highlight w:val="none"/>
          <w:lang w:val="en-US" w:eastAsia="zh-CN"/>
        </w:rPr>
        <w:t xml:space="preserve">分包一最高限价40.80万元，分包二最高限价39.60万元，分包三最高限价11.10万元，分包四最高限价19.50万元，磋商报价高于最高限价按无效标处理。</w:t>
      </w:r>
      <w:r/>
    </w:p>
    <w:p>
      <w:pPr>
        <w:pStyle w:val="1277"/>
        <w:ind w:firstLine="480"/>
        <w:jc w:val="left"/>
        <w:spacing w:line="360" w:lineRule="auto"/>
        <w:rPr>
          <w:rFonts w:hint="eastAsia" w:ascii="新宋体" w:hAnsi="新宋体" w:eastAsia="新宋体" w:cs="新宋体"/>
          <w:color w:val="auto"/>
          <w:sz w:val="24"/>
          <w:szCs w:val="24"/>
          <w:highlight w:val="none"/>
          <w:lang w:val="en-US" w:eastAsia="zh-CN" w:bidi="ar-SA"/>
        </w:rPr>
      </w:pPr>
      <w:r>
        <w:rPr>
          <w:rFonts w:hint="eastAsia" w:ascii="新宋体" w:hAnsi="新宋体" w:eastAsia="新宋体" w:cs="新宋体"/>
          <w:color w:val="auto"/>
          <w:sz w:val="24"/>
          <w:szCs w:val="24"/>
          <w:highlight w:val="none"/>
          <w:lang w:val="en-US" w:eastAsia="zh-CN" w:bidi="ar-SA"/>
        </w:rPr>
        <w:t xml:space="preserve">5.采购需求（简介）：宿迁市宿城区市场监督管理局拟定对电动自行车、食品相关产品、儿童和学生用品、老年产品、小家电、燃气用具、消防用品、日用化工品、纺织产品、学生校服、钢化玻璃、成品油、胶黏剂、建筑材料和家具等工业产品的抽检服务进行采购。</w:t>
      </w:r>
      <w:r/>
    </w:p>
    <w:p>
      <w:pPr>
        <w:ind w:firstLine="480"/>
        <w:spacing w:line="360" w:lineRule="auto"/>
        <w:rPr>
          <w:rFonts w:hint="eastAsia" w:ascii="新宋体" w:hAnsi="新宋体" w:eastAsia="新宋体" w:cs="新宋体"/>
          <w:color w:val="auto"/>
          <w:sz w:val="24"/>
          <w:szCs w:val="24"/>
          <w:highlight w:val="none"/>
          <w:lang w:val="en-US" w:eastAsia="zh-CN"/>
        </w:rPr>
      </w:pPr>
      <w:r>
        <w:rPr>
          <w:rFonts w:hint="eastAsia" w:ascii="新宋体" w:hAnsi="新宋体" w:eastAsia="新宋体" w:cs="新宋体"/>
          <w:color w:val="auto"/>
          <w:sz w:val="24"/>
          <w:szCs w:val="24"/>
          <w:highlight w:val="none"/>
          <w:lang w:val="en-US" w:eastAsia="zh-CN"/>
        </w:rPr>
        <w:t xml:space="preserve">供应商承担本项目对应分包产品质量监督抽查全流程服务，包含但不限于购样、样品运输、样品保管、检验检测、数据录入、报告出具、异议处理、复检配合、技术支撑、台账归档、迎检保障、检验结果及时录入“江苏省产品质量安全监督管理系统”等全部工作内容。</w:t>
      </w:r>
      <w:r/>
    </w:p>
    <w:p>
      <w:pPr>
        <w:ind w:firstLine="480"/>
        <w:spacing w:line="360" w:lineRule="auto"/>
        <w:rPr>
          <w:rFonts w:hint="eastAsia" w:ascii="新宋体" w:hAnsi="新宋体" w:eastAsia="新宋体" w:cs="新宋体"/>
          <w:color w:val="auto"/>
          <w:sz w:val="24"/>
          <w:szCs w:val="24"/>
          <w:highlight w:val="none"/>
          <w:lang w:val="en-US" w:eastAsia="zh-CN"/>
        </w:rPr>
      </w:pPr>
      <w:r>
        <w:rPr>
          <w:rFonts w:hint="eastAsia" w:ascii="新宋体" w:hAnsi="新宋体" w:eastAsia="新宋体" w:cs="新宋体"/>
          <w:color w:val="auto"/>
          <w:sz w:val="24"/>
          <w:szCs w:val="24"/>
          <w:highlight w:val="none"/>
          <w:lang w:val="en-US" w:eastAsia="zh-CN"/>
        </w:rPr>
        <w:t xml:space="preserve">本项目共分为四个采购分包，各分包独立采购、独立评审、独立定标、独立签订合同、独立履约结算。供应商可</w:t>
      </w:r>
      <w:r>
        <w:rPr>
          <w:rFonts w:hint="eastAsia" w:ascii="新宋体" w:hAnsi="新宋体" w:eastAsia="新宋体" w:cs="新宋体"/>
          <w:color w:val="auto"/>
          <w:sz w:val="24"/>
          <w:szCs w:val="24"/>
          <w:highlight w:val="none"/>
          <w:lang w:val="en-US" w:eastAsia="zh-CN"/>
        </w:rPr>
        <w:t xml:space="preserve">以参与全部分包竞标，但遵循 “多投单中” 原则：评标顺序：分包一→分包二→分包三→分包四；按照分包一、二、三、四顺序依次评审确定成交候选人，供应商已被推荐为靠前分包第一成交候选人的，后续分包可参与评审打分，但不再推荐为第一成交候选人。单个分包因质疑、投诉、废标导致评审结果变更的，不影响其他分包评审及成交结果效力。联合体视为单一供应商主体，适用本 “多投单中” 规则；联合体被推荐为靠前分包第一成交候选人，则该联合体整体后续分包不再推荐为第一成交候选人，联合体内部单个成员机构不单独触发本限制。具体分包设置如下：</w:t>
      </w:r>
      <w:r/>
    </w:p>
    <w:p>
      <w:pPr>
        <w:ind w:firstLine="480"/>
        <w:keepLines w:val="0"/>
        <w:keepNext w:val="0"/>
        <w:pageBreakBefore w:val="0"/>
        <w:spacing w:line="360" w:lineRule="auto"/>
        <w:widowControl w:val="off"/>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（1）分包一：电动自行车、食品相关产品、儿童学生用品、老年产品、小家电等民用产品抽样检验和技术分析服务，计划抽查234批次。</w:t>
      </w:r>
      <w:r/>
    </w:p>
    <w:p>
      <w:pPr>
        <w:ind w:firstLine="480"/>
        <w:keepLines w:val="0"/>
        <w:keepNext w:val="0"/>
        <w:pageBreakBefore w:val="0"/>
        <w:spacing w:line="360" w:lineRule="auto"/>
        <w:widowControl w:val="off"/>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（2）分包二：燃气用具、消防用品、日用化工品、纺织产品、钢化玻璃等产品抽样检验和技术分析服务，计划抽查246批次。</w:t>
      </w:r>
      <w:r/>
    </w:p>
    <w:p>
      <w:pPr>
        <w:ind w:firstLine="480"/>
        <w:keepLines w:val="0"/>
        <w:keepNext w:val="0"/>
        <w:pageBreakBefore w:val="0"/>
        <w:spacing w:line="360" w:lineRule="auto"/>
        <w:widowControl w:val="off"/>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（3）分包三：成品油、胶黏剂、建筑材料等产品抽样检验和技术分析服务，计划抽查60批次。</w:t>
      </w:r>
      <w:r/>
    </w:p>
    <w:p>
      <w:pPr>
        <w:ind w:firstLine="480"/>
        <w:keepLines w:val="0"/>
        <w:keepNext w:val="0"/>
        <w:pageBreakBefore w:val="0"/>
        <w:spacing w:line="360" w:lineRule="auto"/>
        <w:widowControl w:val="off"/>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（4）分包四：木家具、婴幼儿及儿童家具等家具类产品抽样检验和技术分析服务，计划抽查40批次。</w:t>
      </w:r>
      <w:r/>
    </w:p>
    <w:p>
      <w:pPr>
        <w:ind w:firstLine="480"/>
        <w:keepLines w:val="0"/>
        <w:keepNext w:val="0"/>
        <w:pageBreakBefore w:val="0"/>
        <w:spacing w:line="360" w:lineRule="auto"/>
        <w:widowControl w:val="off"/>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（5）详细内容见本磋商文件第四章“采购需求”。</w:t>
      </w:r>
      <w:r/>
    </w:p>
    <w:p>
      <w:pPr>
        <w:ind w:firstLine="480"/>
        <w:keepLines w:val="0"/>
        <w:keepNext w:val="0"/>
        <w:pageBreakBefore w:val="0"/>
        <w:spacing w:line="360" w:lineRule="auto"/>
        <w:widowControl w:val="off"/>
        <w:rPr>
          <w:rFonts w:hint="eastAsia" w:ascii="宋体" w:hAnsi="宋体" w:eastAsia="宋体" w:cs="宋体"/>
          <w:b w:val="0"/>
          <w:bCs w:val="0"/>
          <w:color w:val="auto"/>
          <w:sz w:val="24"/>
          <w:szCs w:val="24"/>
          <w:lang w:val="en-US" w:eastAsia="zh-CN" w:bidi="ar-SA"/>
        </w:rPr>
      </w:pPr>
      <w:r>
        <w:rPr>
          <w:rFonts w:hint="eastAsia" w:ascii="宋体" w:hAnsi="宋体" w:cs="宋体"/>
          <w:b w:val="0"/>
          <w:bCs w:val="0"/>
          <w:color w:val="auto"/>
          <w:sz w:val="24"/>
          <w:szCs w:val="24"/>
          <w:lang w:val="en-US" w:eastAsia="zh-CN" w:bidi="ar-SA"/>
        </w:rPr>
        <w:t xml:space="preserve">6</w:t>
      </w:r>
      <w:r>
        <w:rPr>
          <w:rFonts w:hint="eastAsia" w:ascii="宋体" w:hAnsi="宋体" w:eastAsia="宋体" w:cs="宋体"/>
          <w:b w:val="0"/>
          <w:bCs w:val="0"/>
          <w:color w:val="auto"/>
          <w:sz w:val="24"/>
          <w:szCs w:val="24"/>
          <w:lang w:val="en-US" w:eastAsia="zh-CN" w:bidi="ar-SA"/>
        </w:rPr>
        <w:t xml:space="preserve">.合同履行期限：自合同签订之日起至2026年12月20日。</w:t>
      </w:r>
      <w:r/>
    </w:p>
    <w:p>
      <w:pPr>
        <w:ind w:firstLine="480"/>
        <w:keepLines w:val="0"/>
        <w:keepNext w:val="0"/>
        <w:pageBreakBefore w:val="0"/>
        <w:spacing w:line="360" w:lineRule="auto"/>
        <w:widowControl w:val="off"/>
        <w:rPr>
          <w:rFonts w:hint="default" w:ascii="宋体" w:hAnsi="宋体" w:eastAsia="宋体" w:cs="宋体"/>
          <w:b w:val="0"/>
          <w:bCs w:val="0"/>
          <w:color w:val="auto"/>
          <w:sz w:val="24"/>
          <w:szCs w:val="24"/>
          <w:lang w:val="en-US" w:eastAsia="zh-CN" w:bidi="ar-SA"/>
        </w:rPr>
      </w:pPr>
      <w:r>
        <w:rPr>
          <w:rFonts w:hint="eastAsia" w:ascii="宋体" w:hAnsi="宋体" w:cs="宋体"/>
          <w:b w:val="0"/>
          <w:bCs w:val="0"/>
          <w:color w:val="auto"/>
          <w:sz w:val="24"/>
          <w:szCs w:val="24"/>
          <w:lang w:val="en-US" w:eastAsia="zh-CN" w:bidi="ar-SA"/>
        </w:rPr>
        <w:t xml:space="preserve">7</w:t>
      </w:r>
      <w:r>
        <w:rPr>
          <w:rFonts w:hint="eastAsia" w:ascii="宋体" w:hAnsi="宋体" w:eastAsia="宋体" w:cs="宋体"/>
          <w:b w:val="0"/>
          <w:bCs w:val="0"/>
          <w:color w:val="auto"/>
          <w:sz w:val="24"/>
          <w:szCs w:val="24"/>
          <w:lang w:val="en-US" w:eastAsia="zh-CN" w:bidi="ar-SA"/>
        </w:rPr>
        <w:t xml:space="preserve">.联合体</w:t>
      </w:r>
      <w:r>
        <w:rPr>
          <w:rFonts w:hint="eastAsia" w:ascii="宋体" w:hAnsi="宋体" w:cs="宋体"/>
          <w:b w:val="0"/>
          <w:bCs w:val="0"/>
          <w:color w:val="auto"/>
          <w:sz w:val="24"/>
          <w:szCs w:val="24"/>
          <w:lang w:val="en-US" w:eastAsia="zh-CN" w:bidi="ar-SA"/>
        </w:rPr>
        <w:t xml:space="preserve">响应</w:t>
      </w:r>
      <w:r>
        <w:rPr>
          <w:rFonts w:hint="eastAsia" w:ascii="宋体" w:hAnsi="宋体" w:eastAsia="宋体" w:cs="宋体"/>
          <w:b w:val="0"/>
          <w:bCs w:val="0"/>
          <w:color w:val="auto"/>
          <w:sz w:val="24"/>
          <w:szCs w:val="24"/>
          <w:lang w:val="en-US" w:eastAsia="zh-CN" w:bidi="ar-SA"/>
        </w:rPr>
        <w:t xml:space="preserve">：接受。</w:t>
      </w:r>
      <w:r/>
    </w:p>
    <w:p>
      <w:pPr>
        <w:pStyle w:val="669"/>
        <w:ind w:firstLine="482"/>
        <w:spacing w:before="0" w:after="0" w:line="360" w:lineRule="auto"/>
        <w:rPr>
          <w:rFonts w:hint="eastAsia"/>
        </w:rPr>
      </w:pPr>
      <w:r/>
      <w:bookmarkStart w:id="12" w:name="_Toc38985264"/>
      <w:r/>
      <w:bookmarkStart w:id="13" w:name="_Toc28359003"/>
      <w:r/>
      <w:bookmarkStart w:id="14" w:name="_Toc28359080"/>
      <w:r/>
      <w:bookmarkStart w:id="15" w:name="_Toc35393791"/>
      <w:r/>
      <w:bookmarkStart w:id="16" w:name="_Toc35393622"/>
      <w:r/>
      <w:bookmarkStart w:id="17" w:name="_Toc24495"/>
      <w:r>
        <w:rPr>
          <w:rFonts w:hint="eastAsia" w:ascii="新宋体" w:hAnsi="新宋体" w:eastAsia="新宋体" w:cs="新宋体"/>
          <w:b/>
          <w:bCs/>
          <w:color w:val="auto"/>
          <w:sz w:val="24"/>
          <w:szCs w:val="24"/>
          <w:highlight w:val="none"/>
        </w:rPr>
        <w:t xml:space="preserve">二、申请人的资格要求</w:t>
      </w:r>
      <w:bookmarkEnd w:id="12"/>
      <w:r/>
      <w:bookmarkEnd w:id="13"/>
      <w:r/>
      <w:bookmarkEnd w:id="14"/>
      <w:r/>
      <w:bookmarkEnd w:id="15"/>
      <w:r/>
      <w:bookmarkEnd w:id="16"/>
      <w:r/>
      <w:bookmarkEnd w:id="17"/>
      <w:r/>
      <w:r/>
    </w:p>
    <w:p>
      <w:pPr>
        <w:ind w:firstLine="482"/>
        <w:spacing w:line="360" w:lineRule="auto"/>
        <w:rPr>
          <w:rFonts w:hint="eastAsia" w:ascii="新宋体" w:hAnsi="新宋体" w:eastAsia="新宋体" w:cs="新宋体"/>
          <w:color w:val="auto"/>
          <w:sz w:val="24"/>
          <w:szCs w:val="24"/>
          <w:highlight w:val="none"/>
        </w:rPr>
      </w:pPr>
      <w:r/>
      <w:bookmarkStart w:id="18" w:name="_Toc28359081"/>
      <w:r/>
      <w:bookmarkStart w:id="19" w:name="_Toc35393792"/>
      <w:r/>
      <w:bookmarkStart w:id="20" w:name="_Toc28359004"/>
      <w:r/>
      <w:bookmarkStart w:id="21" w:name="_Toc38985265"/>
      <w:r/>
      <w:bookmarkStart w:id="22" w:name="_Toc35393623"/>
      <w:r>
        <w:rPr>
          <w:rFonts w:hint="eastAsia" w:ascii="新宋体" w:hAnsi="新宋体" w:eastAsia="新宋体" w:cs="新宋体"/>
          <w:color w:val="auto"/>
          <w:sz w:val="24"/>
          <w:szCs w:val="24"/>
          <w:highlight w:val="none"/>
        </w:rPr>
        <w:t xml:space="preserve">（一）通用资格要求</w:t>
      </w:r>
      <w:r/>
    </w:p>
    <w:p>
      <w:pPr>
        <w:ind w:firstLine="482"/>
        <w:spacing w:line="360" w:lineRule="auto"/>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1.</w:t>
      </w:r>
      <w:bookmarkStart w:id="23" w:name="OLE_LINK11"/>
      <w:r/>
      <w:bookmarkStart w:id="24" w:name="OLE_LINK9"/>
      <w:r>
        <w:rPr>
          <w:rFonts w:hint="eastAsia" w:ascii="新宋体" w:hAnsi="新宋体" w:eastAsia="新宋体" w:cs="新宋体"/>
          <w:color w:val="auto"/>
          <w:sz w:val="24"/>
          <w:szCs w:val="24"/>
          <w:highlight w:val="none"/>
        </w:rPr>
        <w:t xml:space="preserve">具备《中华人民共和国政府采购法》第二十二条第一款规定的6项条件（按要求提供磋商响应函）</w:t>
      </w:r>
      <w:bookmarkEnd w:id="23"/>
      <w:r/>
      <w:bookmarkEnd w:id="24"/>
      <w:r>
        <w:rPr>
          <w:rFonts w:hint="eastAsia" w:ascii="新宋体" w:hAnsi="新宋体" w:eastAsia="新宋体" w:cs="新宋体"/>
          <w:color w:val="auto"/>
          <w:sz w:val="24"/>
          <w:szCs w:val="24"/>
          <w:highlight w:val="none"/>
        </w:rPr>
        <w:t xml:space="preserve">。</w:t>
      </w:r>
      <w:r/>
    </w:p>
    <w:p>
      <w:pPr>
        <w:ind w:firstLine="482"/>
        <w:spacing w:line="360" w:lineRule="auto"/>
        <w:rPr>
          <w:rFonts w:hint="eastAsia" w:ascii="新宋体" w:hAnsi="新宋体" w:eastAsia="新宋体" w:cs="新宋体"/>
          <w:color w:val="auto"/>
          <w:sz w:val="24"/>
          <w:szCs w:val="24"/>
          <w:highlight w:val="none"/>
          <w:lang w:val="en-US" w:eastAsia="zh-CN" w:bidi="ar-SA"/>
        </w:rPr>
      </w:pPr>
      <w:r>
        <w:rPr>
          <w:rFonts w:hint="eastAsia" w:ascii="新宋体" w:hAnsi="新宋体" w:eastAsia="新宋体" w:cs="新宋体"/>
          <w:color w:val="auto"/>
          <w:sz w:val="24"/>
          <w:szCs w:val="24"/>
          <w:highlight w:val="none"/>
          <w:lang w:val="en-US" w:eastAsia="zh-CN"/>
        </w:rPr>
        <w:t xml:space="preserve">2.</w:t>
      </w:r>
      <w:r>
        <w:rPr>
          <w:rFonts w:hint="eastAsia" w:ascii="新宋体" w:hAnsi="新宋体" w:eastAsia="新宋体" w:cs="新宋体"/>
          <w:color w:val="auto"/>
          <w:sz w:val="24"/>
          <w:szCs w:val="24"/>
          <w:highlight w:val="none"/>
          <w:lang w:val="en-US" w:eastAsia="zh-CN" w:bidi="ar-SA"/>
        </w:rPr>
        <w:t xml:space="preserve">联合体响应：（1）联合体各方均须满足《中华人民共和国政府采购法》第二十二条全部资格条件。（2）联合体响应：若单一供应商自身检验检测资质无法覆盖本分包全部抽检产品、检测标准及参数的，可组成联合体参与该分包磋商，联合体各方按协议分工分别具备对应分工范围的 CMA 资质，但联合体整体仍须完整响应该分包全部采购清单，不得删减清单任务。联合体最多由 2 家机构组成。联合体响应的须提交联合体共同竞标协议原件，联合体各方不得再以单独身份、也不得再加入其他联合体参与本项目磋商，否则全部相关响应均无效。</w:t>
      </w:r>
      <w:r/>
    </w:p>
    <w:p>
      <w:pPr>
        <w:ind w:firstLine="482"/>
        <w:spacing w:line="360" w:lineRule="auto"/>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lang w:val="en-US" w:eastAsia="zh-CN"/>
        </w:rPr>
        <w:t xml:space="preserve">3</w:t>
      </w:r>
      <w:r>
        <w:rPr>
          <w:rFonts w:hint="eastAsia" w:ascii="新宋体" w:hAnsi="新宋体" w:eastAsia="新宋体" w:cs="新宋体"/>
          <w:color w:val="auto"/>
          <w:sz w:val="24"/>
          <w:szCs w:val="24"/>
          <w:highlight w:val="none"/>
        </w:rPr>
        <w:t xml:space="preserve">.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r/>
    </w:p>
    <w:p>
      <w:pPr>
        <w:pStyle w:val="1379"/>
        <w:ind w:firstLine="480"/>
        <w:spacing w:after="0" w:line="360" w:lineRule="auto"/>
        <w:tabs>
          <w:tab w:val="left" w:pos="312" w:leader="none"/>
        </w:tabs>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lang w:val="en-US" w:eastAsia="zh-CN"/>
        </w:rPr>
        <w:t xml:space="preserve">（二）</w:t>
      </w:r>
      <w:r>
        <w:rPr>
          <w:rFonts w:hint="eastAsia" w:ascii="新宋体" w:hAnsi="新宋体" w:eastAsia="新宋体" w:cs="新宋体"/>
          <w:color w:val="auto"/>
          <w:sz w:val="24"/>
          <w:szCs w:val="24"/>
          <w:highlight w:val="none"/>
        </w:rPr>
        <w:t xml:space="preserve">落实政府采购政策需满足的资格要求：</w:t>
      </w:r>
      <w:r>
        <w:rPr>
          <w:rFonts w:hint="eastAsia" w:ascii="新宋体" w:hAnsi="新宋体" w:eastAsia="新宋体" w:cs="新宋体"/>
          <w:color w:val="auto"/>
          <w:sz w:val="24"/>
          <w:szCs w:val="24"/>
          <w:highlight w:val="none"/>
          <w:lang w:val="en-US" w:eastAsia="zh-CN"/>
        </w:rPr>
        <w:t xml:space="preserve">无。</w:t>
      </w:r>
      <w:r/>
    </w:p>
    <w:p>
      <w:pPr>
        <w:ind w:firstLine="482"/>
        <w:spacing w:line="360" w:lineRule="auto"/>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w:t>
      </w:r>
      <w:r>
        <w:rPr>
          <w:rFonts w:hint="eastAsia" w:ascii="新宋体" w:hAnsi="新宋体" w:eastAsia="新宋体" w:cs="新宋体"/>
          <w:color w:val="auto"/>
          <w:sz w:val="24"/>
          <w:szCs w:val="24"/>
          <w:highlight w:val="none"/>
          <w:lang w:val="en-US" w:eastAsia="zh-CN"/>
        </w:rPr>
        <w:t xml:space="preserve">三</w:t>
      </w:r>
      <w:r>
        <w:rPr>
          <w:rFonts w:hint="eastAsia" w:ascii="新宋体" w:hAnsi="新宋体" w:eastAsia="新宋体" w:cs="新宋体"/>
          <w:color w:val="auto"/>
          <w:sz w:val="24"/>
          <w:szCs w:val="24"/>
          <w:highlight w:val="none"/>
        </w:rPr>
        <w:t xml:space="preserve">）本项目的特定资格要求：</w:t>
      </w:r>
      <w:r/>
    </w:p>
    <w:p>
      <w:pPr>
        <w:ind w:firstLine="482"/>
        <w:spacing w:line="360" w:lineRule="auto"/>
        <w:rPr>
          <w:rFonts w:hint="eastAsia" w:ascii="新宋体" w:hAnsi="新宋体" w:eastAsia="新宋体" w:cs="新宋体"/>
          <w:color w:val="auto"/>
          <w:sz w:val="24"/>
          <w:szCs w:val="24"/>
          <w:highlight w:val="none"/>
          <w:lang w:val="en-US" w:eastAsia="zh-CN" w:bidi="ar-SA"/>
        </w:rPr>
      </w:pPr>
      <w:r>
        <w:rPr>
          <w:rFonts w:hint="eastAsia" w:ascii="新宋体" w:hAnsi="新宋体" w:eastAsia="新宋体" w:cs="新宋体"/>
          <w:color w:val="auto"/>
          <w:sz w:val="24"/>
          <w:szCs w:val="24"/>
          <w:highlight w:val="none"/>
          <w:lang w:val="en-US" w:eastAsia="zh-CN" w:bidi="ar-SA"/>
        </w:rPr>
        <w:t xml:space="preserve">供应商具备省级市场监督管理部门认定的检验检测机构资质证书。</w:t>
      </w:r>
      <w:r/>
    </w:p>
    <w:p>
      <w:pPr>
        <w:pStyle w:val="669"/>
        <w:ind w:firstLine="321"/>
        <w:spacing w:before="0" w:after="0" w:line="360" w:lineRule="auto"/>
        <w:rPr>
          <w:rFonts w:hint="eastAsia" w:ascii="新宋体" w:hAnsi="新宋体" w:eastAsia="新宋体" w:cs="新宋体"/>
          <w:b/>
          <w:bCs/>
          <w:color w:val="auto"/>
          <w:sz w:val="24"/>
          <w:szCs w:val="24"/>
          <w:highlight w:val="none"/>
        </w:rPr>
      </w:pPr>
      <w:r>
        <w:rPr>
          <w:rFonts w:hint="eastAsia" w:ascii="新宋体" w:hAnsi="新宋体" w:eastAsia="新宋体" w:cs="新宋体"/>
          <w:color w:val="auto"/>
          <w:sz w:val="24"/>
          <w:szCs w:val="24"/>
          <w:highlight w:val="none"/>
          <w:lang w:val="en-US" w:eastAsia="zh-CN"/>
        </w:rPr>
        <w:t xml:space="preserve"> </w:t>
      </w:r>
      <w:bookmarkStart w:id="25" w:name="_Toc620"/>
      <w:r>
        <w:rPr>
          <w:rFonts w:hint="eastAsia" w:ascii="新宋体" w:hAnsi="新宋体" w:eastAsia="新宋体" w:cs="新宋体"/>
          <w:b/>
          <w:bCs/>
          <w:color w:val="auto"/>
          <w:sz w:val="24"/>
          <w:szCs w:val="24"/>
          <w:highlight w:val="none"/>
        </w:rPr>
        <w:t xml:space="preserve">三、获取磋商文件</w:t>
      </w:r>
      <w:bookmarkEnd w:id="18"/>
      <w:r/>
      <w:bookmarkEnd w:id="19"/>
      <w:r/>
      <w:bookmarkEnd w:id="20"/>
      <w:r/>
      <w:bookmarkEnd w:id="21"/>
      <w:r/>
      <w:bookmarkEnd w:id="22"/>
      <w:r/>
      <w:bookmarkEnd w:id="25"/>
      <w:r/>
      <w:r/>
    </w:p>
    <w:p>
      <w:pPr>
        <w:ind w:firstLine="482"/>
        <w:spacing w:line="360" w:lineRule="auto"/>
        <w:rPr>
          <w:rFonts w:hint="eastAsia" w:ascii="新宋体" w:hAnsi="新宋体" w:eastAsia="新宋体" w:cs="新宋体"/>
          <w:color w:val="auto"/>
          <w:sz w:val="24"/>
          <w:szCs w:val="24"/>
          <w:highlight w:val="none"/>
        </w:rPr>
      </w:pPr>
      <w:r/>
      <w:bookmarkStart w:id="26" w:name="_Toc35393793"/>
      <w:r/>
      <w:bookmarkStart w:id="27" w:name="_Toc28359082"/>
      <w:r/>
      <w:bookmarkStart w:id="28" w:name="_Toc35393624"/>
      <w:r/>
      <w:bookmarkStart w:id="29" w:name="_Toc38985266"/>
      <w:r/>
      <w:bookmarkStart w:id="30" w:name="_Toc28359005"/>
      <w:r>
        <w:rPr>
          <w:rFonts w:hint="eastAsia" w:ascii="新宋体" w:hAnsi="新宋体" w:eastAsia="新宋体" w:cs="新宋体"/>
          <w:color w:val="auto"/>
          <w:sz w:val="24"/>
          <w:szCs w:val="24"/>
          <w:highlight w:val="none"/>
        </w:rPr>
        <w:t xml:space="preserve">1.时间：自磋商文件公告发布之日起5个工作日。</w:t>
      </w:r>
      <w:r/>
    </w:p>
    <w:p>
      <w:pPr>
        <w:ind w:firstLine="482"/>
        <w:spacing w:line="360" w:lineRule="auto"/>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2.方式：供应商应在磋商文件提供的时间内，通过“苏采云”系统（网址： https://jszfcg.jsczt.cn/），使用CA锁登录系统后，找到本项目获取磋商文件（后缀名为“.kedt”）。</w:t>
      </w:r>
      <w:r/>
    </w:p>
    <w:p>
      <w:pPr>
        <w:ind w:firstLine="482"/>
        <w:spacing w:line="360" w:lineRule="auto"/>
        <w:rPr>
          <w:rFonts w:hint="eastAsia" w:ascii="新宋体" w:hAnsi="新宋体" w:eastAsia="新宋体" w:cs="新宋体"/>
          <w:color w:val="auto"/>
          <w:sz w:val="24"/>
          <w:szCs w:val="24"/>
          <w:highlight w:val="none"/>
        </w:rPr>
      </w:pPr>
      <w:r/>
      <w:bookmarkStart w:id="31" w:name="EB0c44ff4da61f4af989d119fe214be450"/>
      <w:r>
        <w:rPr>
          <w:rFonts w:hint="eastAsia" w:ascii="新宋体" w:hAnsi="新宋体" w:eastAsia="新宋体" w:cs="新宋体"/>
          <w:color w:val="auto"/>
          <w:sz w:val="24"/>
          <w:szCs w:val="24"/>
          <w:highlight w:val="none"/>
        </w:rPr>
        <w:t xml:space="preserve">3.本项目共分</w:t>
      </w:r>
      <w:r>
        <w:rPr>
          <w:rFonts w:hint="eastAsia" w:ascii="新宋体" w:hAnsi="新宋体" w:eastAsia="新宋体" w:cs="新宋体"/>
          <w:color w:val="auto"/>
          <w:sz w:val="24"/>
          <w:szCs w:val="24"/>
          <w:highlight w:val="none"/>
          <w:lang w:val="en-US" w:eastAsia="zh-CN"/>
        </w:rPr>
        <w:t xml:space="preserve">四</w:t>
      </w:r>
      <w:r>
        <w:rPr>
          <w:rFonts w:hint="eastAsia" w:ascii="新宋体" w:hAnsi="新宋体" w:eastAsia="新宋体" w:cs="新宋体"/>
          <w:color w:val="auto"/>
          <w:sz w:val="24"/>
          <w:szCs w:val="24"/>
          <w:highlight w:val="none"/>
        </w:rPr>
        <w:t xml:space="preserve">个采购包。供应商参与多个采购包磋商的，应按采购包分别获取磋商文件。供应商未按要求获取磋商文件的，后果自负（其响应文件不予接受）。</w:t>
      </w:r>
      <w:bookmarkEnd w:id="26"/>
      <w:r/>
      <w:bookmarkEnd w:id="27"/>
      <w:r/>
      <w:bookmarkEnd w:id="28"/>
      <w:r/>
      <w:bookmarkEnd w:id="29"/>
      <w:r/>
      <w:bookmarkEnd w:id="30"/>
      <w:r/>
      <w:bookmarkEnd w:id="31"/>
      <w:r/>
      <w:r/>
    </w:p>
    <w:p>
      <w:pPr>
        <w:pStyle w:val="669"/>
        <w:ind w:firstLine="482"/>
        <w:spacing w:before="0" w:after="0" w:line="360" w:lineRule="auto"/>
        <w:rPr>
          <w:rFonts w:hint="eastAsia" w:ascii="新宋体" w:hAnsi="新宋体" w:eastAsia="新宋体" w:cs="新宋体"/>
          <w:b/>
          <w:bCs/>
          <w:color w:val="auto"/>
          <w:sz w:val="24"/>
          <w:szCs w:val="24"/>
          <w:highlight w:val="none"/>
        </w:rPr>
      </w:pPr>
      <w:r/>
      <w:bookmarkStart w:id="32" w:name="_Toc5545"/>
      <w:r/>
      <w:bookmarkStart w:id="33" w:name="_Toc28359007"/>
      <w:r/>
      <w:bookmarkStart w:id="34" w:name="_Toc35393794"/>
      <w:r/>
      <w:bookmarkStart w:id="35" w:name="_Toc28359084"/>
      <w:r/>
      <w:bookmarkStart w:id="36" w:name="_Toc38985267"/>
      <w:r/>
      <w:bookmarkStart w:id="37" w:name="_Toc35393625"/>
      <w:r>
        <w:rPr>
          <w:rFonts w:hint="eastAsia" w:ascii="新宋体" w:hAnsi="新宋体" w:eastAsia="新宋体" w:cs="新宋体"/>
          <w:b/>
          <w:bCs/>
          <w:color w:val="auto"/>
          <w:sz w:val="24"/>
          <w:szCs w:val="24"/>
          <w:highlight w:val="none"/>
        </w:rPr>
        <w:t xml:space="preserve">四、</w:t>
      </w:r>
      <w:r>
        <w:rPr>
          <w:rFonts w:hint="eastAsia" w:ascii="新宋体" w:hAnsi="新宋体" w:eastAsia="新宋体" w:cs="新宋体"/>
          <w:b/>
          <w:bCs/>
          <w:color w:val="auto"/>
          <w:sz w:val="24"/>
          <w:szCs w:val="24"/>
          <w:highlight w:val="none"/>
          <w:lang w:val="en-US" w:eastAsia="zh-CN"/>
        </w:rPr>
        <w:t xml:space="preserve">首次</w:t>
      </w:r>
      <w:r>
        <w:rPr>
          <w:rFonts w:hint="eastAsia" w:ascii="新宋体" w:hAnsi="新宋体" w:eastAsia="新宋体" w:cs="新宋体"/>
          <w:b/>
          <w:bCs/>
          <w:color w:val="auto"/>
          <w:sz w:val="24"/>
          <w:szCs w:val="24"/>
          <w:highlight w:val="none"/>
        </w:rPr>
        <w:t xml:space="preserve">提交响应文件截止时间、磋商时间及地点</w:t>
      </w:r>
      <w:bookmarkEnd w:id="32"/>
      <w:r/>
      <w:r/>
    </w:p>
    <w:p>
      <w:pPr>
        <w:ind w:firstLine="482"/>
        <w:spacing w:line="360" w:lineRule="auto"/>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1. </w:t>
      </w:r>
      <w:r>
        <w:rPr>
          <w:rFonts w:hint="eastAsia" w:ascii="新宋体" w:hAnsi="新宋体" w:eastAsia="新宋体" w:cs="新宋体"/>
          <w:color w:val="auto"/>
          <w:sz w:val="24"/>
          <w:szCs w:val="24"/>
          <w:highlight w:val="none"/>
          <w:lang w:val="en-US" w:eastAsia="zh-CN"/>
        </w:rPr>
        <w:t xml:space="preserve">首次</w:t>
      </w:r>
      <w:r>
        <w:rPr>
          <w:rFonts w:hint="eastAsia" w:ascii="新宋体" w:hAnsi="新宋体" w:eastAsia="新宋体" w:cs="新宋体"/>
          <w:color w:val="auto"/>
          <w:sz w:val="24"/>
          <w:szCs w:val="24"/>
          <w:highlight w:val="none"/>
        </w:rPr>
        <w:t xml:space="preserve">提交响应文件截止时间、磋商时间：202</w:t>
      </w:r>
      <w:r>
        <w:rPr>
          <w:rFonts w:hint="eastAsia" w:ascii="新宋体" w:hAnsi="新宋体" w:eastAsia="新宋体" w:cs="新宋体"/>
          <w:color w:val="auto"/>
          <w:sz w:val="24"/>
          <w:szCs w:val="24"/>
          <w:highlight w:val="none"/>
          <w:lang w:val="en-US" w:eastAsia="zh-CN"/>
        </w:rPr>
        <w:t xml:space="preserve">6</w:t>
      </w:r>
      <w:r>
        <w:rPr>
          <w:rFonts w:hint="eastAsia" w:ascii="新宋体" w:hAnsi="新宋体" w:eastAsia="新宋体" w:cs="新宋体"/>
          <w:color w:val="auto"/>
          <w:sz w:val="24"/>
          <w:szCs w:val="24"/>
          <w:highlight w:val="none"/>
        </w:rPr>
        <w:t xml:space="preserve">年</w:t>
      </w:r>
      <w:r>
        <w:rPr>
          <w:rFonts w:hint="eastAsia" w:ascii="新宋体" w:hAnsi="新宋体" w:eastAsia="新宋体" w:cs="新宋体"/>
          <w:color w:val="auto"/>
          <w:sz w:val="24"/>
          <w:szCs w:val="24"/>
          <w:highlight w:val="none"/>
          <w:lang w:val="en-US" w:eastAsia="zh-CN"/>
        </w:rPr>
        <w:t xml:space="preserve">9</w:t>
      </w:r>
      <w:r>
        <w:rPr>
          <w:rFonts w:hint="eastAsia" w:ascii="新宋体" w:hAnsi="新宋体" w:eastAsia="新宋体" w:cs="新宋体"/>
          <w:color w:val="auto"/>
          <w:sz w:val="24"/>
          <w:szCs w:val="24"/>
          <w:highlight w:val="none"/>
        </w:rPr>
        <w:t xml:space="preserve">月</w:t>
      </w:r>
      <w:r>
        <w:rPr>
          <w:rFonts w:hint="eastAsia" w:ascii="新宋体" w:hAnsi="新宋体" w:eastAsia="新宋体" w:cs="新宋体"/>
          <w:color w:val="auto"/>
          <w:sz w:val="24"/>
          <w:szCs w:val="24"/>
          <w:highlight w:val="none"/>
          <w:lang w:val="en-US" w:eastAsia="zh-CN"/>
        </w:rPr>
        <w:t xml:space="preserve">20</w:t>
      </w:r>
      <w:r>
        <w:rPr>
          <w:rFonts w:hint="eastAsia" w:ascii="新宋体" w:hAnsi="新宋体" w:eastAsia="新宋体" w:cs="新宋体"/>
          <w:color w:val="auto"/>
          <w:sz w:val="24"/>
          <w:szCs w:val="24"/>
          <w:highlight w:val="none"/>
        </w:rPr>
        <w:t xml:space="preserve">日</w:t>
      </w:r>
      <w:r>
        <w:rPr>
          <w:rFonts w:hint="eastAsia" w:ascii="新宋体" w:hAnsi="新宋体" w:eastAsia="新宋体" w:cs="新宋体"/>
          <w:color w:val="auto"/>
          <w:sz w:val="24"/>
          <w:szCs w:val="24"/>
          <w:highlight w:val="none"/>
          <w:lang w:val="en-US" w:eastAsia="zh-CN"/>
        </w:rPr>
        <w:t xml:space="preserve">9</w:t>
      </w:r>
      <w:r>
        <w:rPr>
          <w:rFonts w:hint="eastAsia" w:ascii="新宋体" w:hAnsi="新宋体" w:eastAsia="新宋体" w:cs="新宋体"/>
          <w:color w:val="auto"/>
          <w:sz w:val="24"/>
          <w:szCs w:val="24"/>
          <w:highlight w:val="none"/>
        </w:rPr>
        <w:t xml:space="preserve">点30分（北京时间）。</w:t>
      </w:r>
      <w:r/>
    </w:p>
    <w:p>
      <w:pPr>
        <w:ind w:firstLine="482"/>
        <w:spacing w:line="360" w:lineRule="auto"/>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2. 地点：“苏采云”政府采购交易系统网上开标大厅。</w:t>
      </w:r>
      <w:r/>
    </w:p>
    <w:p>
      <w:pPr>
        <w:pStyle w:val="669"/>
        <w:ind w:firstLine="482"/>
        <w:spacing w:before="0" w:after="0" w:line="360" w:lineRule="auto"/>
        <w:rPr>
          <w:rFonts w:hint="eastAsia" w:ascii="新宋体" w:hAnsi="新宋体" w:eastAsia="新宋体" w:cs="新宋体"/>
          <w:b/>
          <w:bCs/>
          <w:color w:val="auto"/>
          <w:sz w:val="24"/>
          <w:szCs w:val="24"/>
          <w:highlight w:val="none"/>
        </w:rPr>
      </w:pPr>
      <w:r/>
      <w:bookmarkStart w:id="38" w:name="_Toc2696"/>
      <w:r>
        <w:rPr>
          <w:rFonts w:hint="eastAsia" w:ascii="新宋体" w:hAnsi="新宋体" w:eastAsia="新宋体" w:cs="新宋体"/>
          <w:b/>
          <w:bCs/>
          <w:color w:val="auto"/>
          <w:sz w:val="24"/>
          <w:szCs w:val="24"/>
          <w:highlight w:val="none"/>
        </w:rPr>
        <w:t xml:space="preserve">五、公告期限</w:t>
      </w:r>
      <w:bookmarkEnd w:id="33"/>
      <w:r/>
      <w:bookmarkEnd w:id="34"/>
      <w:r/>
      <w:bookmarkEnd w:id="35"/>
      <w:r/>
      <w:bookmarkEnd w:id="36"/>
      <w:r/>
      <w:bookmarkEnd w:id="37"/>
      <w:r/>
      <w:bookmarkEnd w:id="38"/>
      <w:r/>
      <w:r/>
    </w:p>
    <w:p>
      <w:pPr>
        <w:ind w:firstLine="482"/>
        <w:spacing w:line="360" w:lineRule="auto"/>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lang w:val="en"/>
        </w:rPr>
        <w:t xml:space="preserve">自本公告发布之日起</w:t>
      </w:r>
      <w:r>
        <w:rPr>
          <w:rFonts w:hint="eastAsia" w:ascii="新宋体" w:hAnsi="新宋体" w:eastAsia="新宋体" w:cs="新宋体"/>
          <w:color w:val="auto"/>
          <w:sz w:val="24"/>
          <w:szCs w:val="24"/>
          <w:highlight w:val="none"/>
        </w:rPr>
        <w:t xml:space="preserve">3</w:t>
      </w:r>
      <w:r>
        <w:rPr>
          <w:rFonts w:hint="eastAsia" w:ascii="新宋体" w:hAnsi="新宋体" w:eastAsia="新宋体" w:cs="新宋体"/>
          <w:color w:val="auto"/>
          <w:sz w:val="24"/>
          <w:szCs w:val="24"/>
          <w:highlight w:val="none"/>
          <w:lang w:val="en"/>
        </w:rPr>
        <w:t xml:space="preserve">个工作日。采购公告发布媒体：宿迁市政府采购网、江苏省政府采购网、江苏省财政部门指定的媒体。</w:t>
      </w:r>
      <w:r/>
    </w:p>
    <w:p>
      <w:pPr>
        <w:pStyle w:val="669"/>
        <w:ind w:firstLine="321"/>
        <w:spacing w:before="0" w:after="0" w:line="360" w:lineRule="auto"/>
        <w:rPr>
          <w:rFonts w:hint="eastAsia" w:ascii="新宋体" w:hAnsi="新宋体" w:eastAsia="新宋体" w:cs="新宋体"/>
          <w:b/>
          <w:bCs/>
          <w:color w:val="auto"/>
          <w:sz w:val="24"/>
          <w:szCs w:val="24"/>
          <w:highlight w:val="none"/>
        </w:rPr>
      </w:pPr>
      <w:r/>
      <w:bookmarkStart w:id="39" w:name="_Toc32089"/>
      <w:r>
        <w:rPr>
          <w:rFonts w:hint="eastAsia" w:ascii="新宋体" w:hAnsi="新宋体" w:eastAsia="新宋体" w:cs="新宋体"/>
          <w:b/>
          <w:bCs/>
          <w:color w:val="auto"/>
          <w:sz w:val="24"/>
          <w:szCs w:val="24"/>
          <w:highlight w:val="none"/>
        </w:rPr>
        <w:t xml:space="preserve">六、其他补充事宜</w:t>
      </w:r>
      <w:bookmarkEnd w:id="39"/>
      <w:r/>
      <w:r/>
    </w:p>
    <w:p>
      <w:pPr>
        <w:ind w:firstLine="482"/>
        <w:spacing w:line="360" w:lineRule="auto"/>
        <w:rPr>
          <w:rFonts w:hint="eastAsia" w:ascii="新宋体" w:hAnsi="新宋体" w:eastAsia="新宋体" w:cs="新宋体"/>
          <w:color w:val="auto"/>
          <w:sz w:val="24"/>
          <w:szCs w:val="24"/>
          <w:highlight w:val="none"/>
          <w:lang w:val="en"/>
        </w:rPr>
      </w:pPr>
      <w:r/>
      <w:bookmarkStart w:id="40" w:name="EB64e1f522fd8c43fcb4d3ba471386b3e7"/>
      <w:r/>
      <w:bookmarkStart w:id="41" w:name="_Toc35393796"/>
      <w:r/>
      <w:bookmarkStart w:id="42" w:name="_Toc28359008"/>
      <w:r/>
      <w:bookmarkStart w:id="43" w:name="_Toc28359085"/>
      <w:r/>
      <w:bookmarkStart w:id="44" w:name="_Toc35393627"/>
      <w:r/>
      <w:bookmarkStart w:id="45" w:name="_Toc38985269"/>
      <w:r>
        <w:rPr>
          <w:rFonts w:hint="eastAsia" w:ascii="新宋体" w:hAnsi="新宋体" w:eastAsia="新宋体" w:cs="新宋体"/>
          <w:color w:val="auto"/>
          <w:sz w:val="24"/>
          <w:szCs w:val="24"/>
          <w:highlight w:val="none"/>
          <w:lang w:val="en"/>
        </w:rPr>
        <w:t xml:space="preserve">1.财政部门监督电话：0527-8296</w:t>
      </w:r>
      <w:r>
        <w:rPr>
          <w:rFonts w:hint="eastAsia" w:ascii="新宋体" w:hAnsi="新宋体" w:eastAsia="新宋体" w:cs="新宋体"/>
          <w:color w:val="auto"/>
          <w:sz w:val="24"/>
          <w:szCs w:val="24"/>
          <w:highlight w:val="none"/>
          <w:lang w:val="en-US" w:eastAsia="zh-CN"/>
        </w:rPr>
        <w:t xml:space="preserve">8860</w:t>
      </w:r>
      <w:r>
        <w:rPr>
          <w:rFonts w:hint="eastAsia" w:ascii="新宋体" w:hAnsi="新宋体" w:eastAsia="新宋体" w:cs="新宋体"/>
          <w:color w:val="auto"/>
          <w:sz w:val="24"/>
          <w:szCs w:val="24"/>
          <w:highlight w:val="none"/>
          <w:lang w:val="en"/>
        </w:rPr>
        <w:t xml:space="preserve">。</w:t>
      </w:r>
      <w:r/>
    </w:p>
    <w:p>
      <w:pPr>
        <w:ind w:firstLine="480"/>
        <w:spacing w:line="360" w:lineRule="auto"/>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2. “CA”数字证书办理：“苏采云”系统目前仅支持“苏采云”系统下的意源CA。省内各地区办理的“苏采云”系统下的意源CA全省通用。宿迁地区CA数字证书办理联系方式：18351098172。</w:t>
      </w:r>
      <w:r/>
    </w:p>
    <w:p>
      <w:pPr>
        <w:ind w:firstLine="480"/>
        <w:spacing w:line="360" w:lineRule="auto"/>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3.宿迁地区“苏采云”系统技术支持客服电话：</w:t>
      </w:r>
      <w:r>
        <w:rPr>
          <w:rFonts w:hint="eastAsia" w:ascii="新宋体" w:hAnsi="新宋体" w:eastAsia="新宋体" w:cs="新宋体"/>
          <w:color w:val="auto"/>
          <w:sz w:val="24"/>
          <w:szCs w:val="24"/>
          <w:highlight w:val="none"/>
          <w:lang w:val="en-US" w:eastAsia="zh-CN"/>
        </w:rPr>
        <w:t xml:space="preserve">0527-84363067</w:t>
      </w:r>
      <w:r>
        <w:rPr>
          <w:rFonts w:hint="eastAsia" w:ascii="新宋体" w:hAnsi="新宋体" w:eastAsia="新宋体" w:cs="新宋体"/>
          <w:color w:val="auto"/>
          <w:sz w:val="24"/>
          <w:szCs w:val="24"/>
          <w:highlight w:val="none"/>
        </w:rPr>
        <w:t xml:space="preserve">、0519-86722806。</w:t>
      </w:r>
      <w:bookmarkEnd w:id="40"/>
      <w:r/>
      <w:r/>
    </w:p>
    <w:p>
      <w:pPr>
        <w:ind w:firstLine="482"/>
        <w:keepLines w:val="0"/>
        <w:keepNext w:val="0"/>
        <w:pageBreakBefore w:val="0"/>
        <w:spacing w:line="360" w:lineRule="auto"/>
        <w:widowControl w:val="off"/>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4.</w:t>
      </w:r>
      <w:r>
        <w:rPr>
          <w:rFonts w:hint="eastAsia" w:ascii="新宋体" w:hAnsi="新宋体" w:eastAsia="新宋体" w:cs="新宋体"/>
          <w:color w:val="auto"/>
          <w:sz w:val="24"/>
          <w:szCs w:val="24"/>
          <w:highlight w:val="none"/>
          <w:lang w:val="en-US"/>
        </w:rPr>
        <w:t xml:space="preserve">如果供应商通过苏采云系统参与政府采购项目，相关操作手册详见链接：http://www.ccgp-jiangsu.gov.cn/jiangsu/zlxz/ee/ee3a4bc5a3454aa2b0d9312230633ce9.html</w:t>
      </w:r>
      <w:r>
        <w:rPr>
          <w:rFonts w:hint="eastAsia" w:ascii="新宋体" w:hAnsi="新宋体" w:eastAsia="新宋体" w:cs="新宋体"/>
          <w:color w:val="auto"/>
          <w:sz w:val="24"/>
          <w:szCs w:val="24"/>
          <w:highlight w:val="none"/>
        </w:rPr>
        <w:t xml:space="preserve">。</w:t>
      </w:r>
      <w:r/>
    </w:p>
    <w:p>
      <w:pPr>
        <w:ind w:firstLine="480"/>
        <w:spacing w:line="360" w:lineRule="auto"/>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lang w:val="en-US" w:eastAsia="zh-CN"/>
        </w:rPr>
        <w:t xml:space="preserve">5.</w:t>
      </w:r>
      <w:r>
        <w:rPr>
          <w:rFonts w:hint="eastAsia" w:ascii="新宋体" w:hAnsi="新宋体" w:eastAsia="新宋体" w:cs="新宋体"/>
          <w:color w:val="auto"/>
          <w:sz w:val="24"/>
          <w:szCs w:val="24"/>
          <w:highlight w:val="none"/>
        </w:rPr>
        <w:t xml:space="preserve">现场勘察及答疑：本项目不组织集中勘察及答疑，供应商如对采购需求有疑问，请咨询采购单位联系人。</w:t>
      </w:r>
      <w:r/>
    </w:p>
    <w:p>
      <w:pPr>
        <w:pStyle w:val="669"/>
        <w:ind w:firstLine="321"/>
        <w:spacing w:before="0" w:after="0" w:line="360" w:lineRule="auto"/>
        <w:rPr>
          <w:rFonts w:hint="eastAsia" w:ascii="新宋体" w:hAnsi="新宋体" w:eastAsia="新宋体" w:cs="新宋体"/>
          <w:b/>
          <w:bCs/>
          <w:color w:val="auto"/>
          <w:sz w:val="24"/>
          <w:szCs w:val="24"/>
          <w:highlight w:val="none"/>
        </w:rPr>
      </w:pPr>
      <w:r/>
      <w:bookmarkStart w:id="46" w:name="_Toc22792"/>
      <w:r>
        <w:rPr>
          <w:rFonts w:hint="eastAsia" w:ascii="新宋体" w:hAnsi="新宋体" w:eastAsia="新宋体" w:cs="新宋体"/>
          <w:b/>
          <w:bCs/>
          <w:color w:val="auto"/>
          <w:sz w:val="24"/>
          <w:szCs w:val="24"/>
          <w:highlight w:val="none"/>
        </w:rPr>
        <w:t xml:space="preserve">七、本次磋商联系方式</w:t>
      </w:r>
      <w:bookmarkEnd w:id="41"/>
      <w:r/>
      <w:bookmarkEnd w:id="42"/>
      <w:r/>
      <w:bookmarkEnd w:id="43"/>
      <w:r/>
      <w:bookmarkEnd w:id="44"/>
      <w:r/>
      <w:bookmarkEnd w:id="45"/>
      <w:r/>
      <w:bookmarkEnd w:id="46"/>
      <w:r/>
      <w:r/>
    </w:p>
    <w:p>
      <w:pPr>
        <w:ind w:firstLine="482"/>
        <w:spacing w:line="360" w:lineRule="auto"/>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1.采购人信息</w:t>
      </w:r>
      <w:r/>
    </w:p>
    <w:p>
      <w:pPr>
        <w:ind w:firstLine="482"/>
        <w:spacing w:line="360" w:lineRule="auto"/>
        <w:rPr>
          <w:rFonts w:hint="eastAsia" w:ascii="新宋体" w:hAnsi="新宋体" w:eastAsia="新宋体" w:cs="新宋体"/>
          <w:color w:val="auto"/>
          <w:sz w:val="24"/>
          <w:szCs w:val="24"/>
          <w:highlight w:val="none"/>
          <w:u w:val="single"/>
        </w:rPr>
      </w:pPr>
      <w:r>
        <w:rPr>
          <w:rFonts w:hint="eastAsia" w:ascii="新宋体" w:hAnsi="新宋体" w:eastAsia="新宋体" w:cs="新宋体"/>
          <w:color w:val="auto"/>
          <w:spacing w:val="90"/>
          <w:sz w:val="24"/>
          <w:szCs w:val="24"/>
          <w:highlight w:val="none"/>
        </w:rPr>
        <w:t xml:space="preserve">名 </w:t>
      </w:r>
      <w:r>
        <w:rPr>
          <w:rFonts w:hint="eastAsia" w:ascii="新宋体" w:hAnsi="新宋体" w:eastAsia="新宋体" w:cs="新宋体"/>
          <w:color w:val="auto"/>
          <w:sz w:val="24"/>
          <w:szCs w:val="24"/>
          <w:highlight w:val="none"/>
        </w:rPr>
        <w:t xml:space="preserve">称：</w:t>
      </w:r>
      <w:r>
        <w:rPr>
          <w:rFonts w:hint="eastAsia" w:ascii="新宋体" w:hAnsi="新宋体" w:eastAsia="新宋体" w:cs="新宋体"/>
          <w:color w:val="auto"/>
          <w:sz w:val="24"/>
          <w:szCs w:val="24"/>
          <w:highlight w:val="none"/>
          <w:lang w:eastAsia="zh-CN"/>
        </w:rPr>
        <w:t xml:space="preserve">宿迁市宿城区市场监督管理局</w:t>
      </w:r>
      <w:r/>
    </w:p>
    <w:p>
      <w:pPr>
        <w:ind w:firstLine="482"/>
        <w:spacing w:line="360" w:lineRule="auto"/>
        <w:rPr>
          <w:rFonts w:hint="eastAsia" w:ascii="新宋体" w:hAnsi="新宋体" w:eastAsia="新宋体" w:cs="新宋体"/>
          <w:color w:val="auto"/>
          <w:sz w:val="24"/>
          <w:szCs w:val="24"/>
          <w:highlight w:val="none"/>
        </w:rPr>
      </w:pPr>
      <w:r>
        <w:rPr>
          <w:rFonts w:hint="eastAsia" w:ascii="新宋体" w:hAnsi="新宋体" w:eastAsia="新宋体" w:cs="新宋体"/>
          <w:color w:val="auto"/>
          <w:spacing w:val="240"/>
          <w:sz w:val="24"/>
          <w:szCs w:val="24"/>
          <w:highlight w:val="none"/>
        </w:rPr>
        <w:t xml:space="preserve">地</w:t>
      </w:r>
      <w:r>
        <w:rPr>
          <w:rFonts w:hint="eastAsia" w:ascii="新宋体" w:hAnsi="新宋体" w:eastAsia="新宋体" w:cs="新宋体"/>
          <w:color w:val="auto"/>
          <w:sz w:val="24"/>
          <w:szCs w:val="24"/>
          <w:highlight w:val="none"/>
        </w:rPr>
        <w:t xml:space="preserve">址：宿迁市宿城区洪泽湖路583号</w:t>
      </w:r>
      <w:r/>
    </w:p>
    <w:p>
      <w:pPr>
        <w:ind w:firstLine="482"/>
        <w:spacing w:line="360" w:lineRule="auto"/>
        <w:rPr>
          <w:rFonts w:hint="default" w:ascii="新宋体" w:hAnsi="新宋体" w:eastAsia="新宋体" w:cs="新宋体"/>
          <w:color w:val="auto"/>
          <w:sz w:val="24"/>
          <w:szCs w:val="24"/>
          <w:highlight w:val="none"/>
          <w:lang w:val="en-US" w:eastAsia="zh-CN"/>
        </w:rPr>
      </w:pPr>
      <w:r>
        <w:rPr>
          <w:rFonts w:hint="eastAsia" w:ascii="新宋体" w:hAnsi="新宋体" w:eastAsia="新宋体" w:cs="新宋体"/>
          <w:color w:val="auto"/>
          <w:sz w:val="24"/>
          <w:szCs w:val="24"/>
          <w:highlight w:val="none"/>
        </w:rPr>
        <w:t xml:space="preserve">联 系 人：</w:t>
      </w:r>
      <w:r>
        <w:rPr>
          <w:rFonts w:hint="eastAsia" w:ascii="新宋体" w:hAnsi="新宋体" w:eastAsia="新宋体" w:cs="新宋体"/>
          <w:color w:val="auto"/>
          <w:sz w:val="24"/>
          <w:szCs w:val="24"/>
          <w:highlight w:val="none"/>
          <w:lang w:val="en-US" w:eastAsia="zh-CN"/>
        </w:rPr>
        <w:t xml:space="preserve"> 任晶晶</w:t>
      </w:r>
      <w:r/>
    </w:p>
    <w:p>
      <w:pPr>
        <w:ind w:firstLine="482"/>
        <w:spacing w:line="360" w:lineRule="auto"/>
        <w:rPr>
          <w:rFonts w:hint="eastAsia" w:ascii="新宋体" w:hAnsi="新宋体" w:eastAsia="新宋体" w:cs="新宋体"/>
          <w:color w:val="auto"/>
          <w:sz w:val="24"/>
          <w:szCs w:val="24"/>
          <w:highlight w:val="none"/>
          <w:u w:val="single"/>
          <w:lang w:eastAsia="zh-CN"/>
        </w:rPr>
      </w:pPr>
      <w:r>
        <w:rPr>
          <w:rFonts w:hint="eastAsia" w:ascii="新宋体" w:hAnsi="新宋体" w:eastAsia="新宋体" w:cs="新宋体"/>
          <w:color w:val="auto"/>
          <w:sz w:val="24"/>
          <w:szCs w:val="24"/>
          <w:highlight w:val="none"/>
        </w:rPr>
        <w:t xml:space="preserve">联系方式</w:t>
      </w:r>
      <w:bookmarkStart w:id="47" w:name="_Toc28359086"/>
      <w:r/>
      <w:bookmarkStart w:id="48" w:name="_Toc28359009"/>
      <w:r>
        <w:rPr>
          <w:rFonts w:hint="eastAsia" w:ascii="新宋体" w:hAnsi="新宋体" w:eastAsia="新宋体" w:cs="新宋体"/>
          <w:color w:val="auto"/>
          <w:sz w:val="24"/>
          <w:szCs w:val="24"/>
          <w:highlight w:val="none"/>
        </w:rPr>
        <w:t xml:space="preserve">：</w:t>
      </w:r>
      <w:r>
        <w:rPr>
          <w:rFonts w:hint="eastAsia" w:ascii="新宋体" w:hAnsi="新宋体" w:eastAsia="新宋体" w:cs="新宋体"/>
          <w:color w:val="auto"/>
          <w:sz w:val="24"/>
          <w:szCs w:val="24"/>
          <w:highlight w:val="none"/>
          <w:lang w:val="en-US" w:eastAsia="zh-CN"/>
        </w:rPr>
        <w:t xml:space="preserve">0527-84395132 </w:t>
      </w:r>
      <w:r/>
    </w:p>
    <w:p>
      <w:pPr>
        <w:ind w:firstLine="482"/>
        <w:spacing w:line="360" w:lineRule="auto"/>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2.采购代理机构信息</w:t>
      </w:r>
      <w:bookmarkEnd w:id="47"/>
      <w:r/>
      <w:bookmarkEnd w:id="48"/>
      <w:r/>
      <w:r/>
    </w:p>
    <w:p>
      <w:pPr>
        <w:ind w:firstLine="482"/>
        <w:spacing w:line="360" w:lineRule="auto"/>
        <w:rPr>
          <w:rFonts w:hint="eastAsia" w:ascii="新宋体" w:hAnsi="新宋体" w:eastAsia="新宋体" w:cs="新宋体"/>
          <w:color w:val="auto"/>
          <w:sz w:val="24"/>
          <w:szCs w:val="24"/>
          <w:highlight w:val="none"/>
          <w:lang w:eastAsia="zh-CN"/>
        </w:rPr>
      </w:pPr>
      <w:r>
        <w:rPr>
          <w:rFonts w:hint="eastAsia" w:ascii="新宋体" w:hAnsi="新宋体" w:eastAsia="新宋体" w:cs="新宋体"/>
          <w:color w:val="auto"/>
          <w:spacing w:val="240"/>
          <w:sz w:val="24"/>
          <w:szCs w:val="24"/>
          <w:highlight w:val="none"/>
        </w:rPr>
        <w:t xml:space="preserve">名</w:t>
      </w:r>
      <w:r>
        <w:rPr>
          <w:rFonts w:hint="eastAsia" w:ascii="新宋体" w:hAnsi="新宋体" w:eastAsia="新宋体" w:cs="新宋体"/>
          <w:color w:val="auto"/>
          <w:sz w:val="24"/>
          <w:szCs w:val="24"/>
          <w:highlight w:val="none"/>
        </w:rPr>
        <w:t xml:space="preserve">称：</w:t>
      </w:r>
      <w:r>
        <w:rPr>
          <w:rFonts w:hint="eastAsia" w:ascii="新宋体" w:hAnsi="新宋体" w:eastAsia="新宋体" w:cs="新宋体"/>
          <w:color w:val="auto"/>
          <w:sz w:val="24"/>
          <w:szCs w:val="24"/>
          <w:highlight w:val="none"/>
          <w:lang w:eastAsia="zh-CN"/>
        </w:rPr>
        <w:t xml:space="preserve">江苏方园项目招标管理有限公司</w:t>
      </w:r>
      <w:r/>
    </w:p>
    <w:p>
      <w:pPr>
        <w:ind w:firstLine="482"/>
        <w:spacing w:line="360" w:lineRule="auto"/>
        <w:rPr>
          <w:rFonts w:hint="eastAsia" w:ascii="新宋体" w:hAnsi="新宋体" w:eastAsia="新宋体" w:cs="新宋体"/>
          <w:color w:val="auto"/>
          <w:sz w:val="24"/>
          <w:szCs w:val="24"/>
          <w:highlight w:val="none"/>
        </w:rPr>
      </w:pPr>
      <w:r>
        <w:rPr>
          <w:rFonts w:hint="eastAsia" w:ascii="新宋体" w:hAnsi="新宋体" w:eastAsia="新宋体" w:cs="新宋体"/>
          <w:color w:val="auto"/>
          <w:spacing w:val="240"/>
          <w:sz w:val="24"/>
          <w:szCs w:val="24"/>
          <w:highlight w:val="none"/>
        </w:rPr>
        <w:t xml:space="preserve">地</w:t>
      </w:r>
      <w:r>
        <w:rPr>
          <w:rFonts w:hint="eastAsia" w:ascii="新宋体" w:hAnsi="新宋体" w:eastAsia="新宋体" w:cs="新宋体"/>
          <w:color w:val="auto"/>
          <w:sz w:val="24"/>
          <w:szCs w:val="24"/>
          <w:highlight w:val="none"/>
        </w:rPr>
        <w:t xml:space="preserve">址：</w:t>
      </w:r>
      <w:r>
        <w:rPr>
          <w:rFonts w:hint="eastAsia" w:ascii="新宋体" w:hAnsi="新宋体" w:eastAsia="新宋体" w:cs="新宋体"/>
          <w:color w:val="auto"/>
          <w:sz w:val="24"/>
          <w:szCs w:val="24"/>
          <w:highlight w:val="none"/>
          <w:lang w:eastAsia="zh-CN"/>
        </w:rPr>
        <w:t xml:space="preserve">宿迁市经济技术开发区世纪大道900号</w:t>
      </w:r>
      <w:r/>
    </w:p>
    <w:p>
      <w:pPr>
        <w:ind w:firstLine="482"/>
        <w:spacing w:line="360" w:lineRule="auto"/>
        <w:rPr>
          <w:rFonts w:hint="eastAsia" w:ascii="新宋体" w:hAnsi="新宋体" w:eastAsia="新宋体" w:cs="新宋体"/>
          <w:color w:val="auto"/>
          <w:sz w:val="24"/>
          <w:szCs w:val="24"/>
          <w:highlight w:val="none"/>
          <w:u w:val="single"/>
          <w:lang w:eastAsia="zh-CN"/>
        </w:rPr>
      </w:pPr>
      <w:r>
        <w:rPr>
          <w:rFonts w:hint="eastAsia" w:ascii="新宋体" w:hAnsi="新宋体" w:eastAsia="新宋体" w:cs="新宋体"/>
          <w:color w:val="auto"/>
          <w:spacing w:val="60"/>
          <w:sz w:val="24"/>
          <w:szCs w:val="24"/>
          <w:highlight w:val="none"/>
        </w:rPr>
        <w:t xml:space="preserve">联系</w:t>
      </w:r>
      <w:r>
        <w:rPr>
          <w:rFonts w:hint="eastAsia" w:ascii="新宋体" w:hAnsi="新宋体" w:eastAsia="新宋体" w:cs="新宋体"/>
          <w:color w:val="auto"/>
          <w:sz w:val="24"/>
          <w:szCs w:val="24"/>
          <w:highlight w:val="none"/>
        </w:rPr>
        <w:t xml:space="preserve">人：</w:t>
      </w:r>
      <w:r>
        <w:rPr>
          <w:rFonts w:hint="eastAsia" w:ascii="新宋体" w:hAnsi="新宋体" w:eastAsia="新宋体" w:cs="新宋体"/>
          <w:color w:val="auto"/>
          <w:sz w:val="24"/>
          <w:szCs w:val="24"/>
          <w:highlight w:val="none"/>
          <w:lang w:val="en-US" w:eastAsia="zh-CN"/>
        </w:rPr>
        <w:t xml:space="preserve">毛秀芸 </w:t>
      </w:r>
      <w:r/>
    </w:p>
    <w:p>
      <w:pPr>
        <w:ind w:firstLine="482"/>
        <w:spacing w:line="360" w:lineRule="auto"/>
        <w:rPr>
          <w:rFonts w:hint="eastAsia" w:ascii="新宋体" w:hAnsi="新宋体" w:eastAsia="新宋体" w:cs="新宋体"/>
          <w:color w:val="auto"/>
          <w:sz w:val="24"/>
          <w:szCs w:val="24"/>
          <w:highlight w:val="none"/>
          <w:lang w:val="en-US" w:eastAsia="zh-CN"/>
        </w:rPr>
      </w:pPr>
      <w:r>
        <w:rPr>
          <w:rFonts w:hint="eastAsia" w:ascii="新宋体" w:hAnsi="新宋体" w:eastAsia="新宋体" w:cs="新宋体"/>
          <w:color w:val="auto"/>
          <w:sz w:val="24"/>
          <w:szCs w:val="24"/>
          <w:highlight w:val="none"/>
        </w:rPr>
        <w:t xml:space="preserve">联系方式：0527-8</w:t>
      </w:r>
      <w:r>
        <w:rPr>
          <w:rFonts w:hint="eastAsia" w:ascii="新宋体" w:hAnsi="新宋体" w:eastAsia="新宋体" w:cs="新宋体"/>
          <w:color w:val="auto"/>
          <w:sz w:val="24"/>
          <w:szCs w:val="24"/>
          <w:highlight w:val="none"/>
          <w:lang w:val="en-US" w:eastAsia="zh-CN"/>
        </w:rPr>
        <w:t xml:space="preserve">6224338</w:t>
      </w:r>
      <w:r/>
    </w:p>
    <w:p>
      <w:pPr>
        <w:pStyle w:val="669"/>
        <w:ind w:firstLine="321"/>
        <w:spacing w:before="0" w:after="0" w:line="360" w:lineRule="auto"/>
        <w:rPr>
          <w:rFonts w:hint="eastAsia" w:ascii="新宋体" w:hAnsi="新宋体" w:eastAsia="新宋体" w:cs="新宋体"/>
          <w:b/>
          <w:bCs/>
          <w:color w:val="auto"/>
          <w:sz w:val="24"/>
          <w:szCs w:val="24"/>
          <w:highlight w:val="none"/>
        </w:rPr>
      </w:pPr>
      <w:r/>
      <w:bookmarkStart w:id="49" w:name="_Toc28741"/>
      <w:r>
        <w:rPr>
          <w:rFonts w:hint="eastAsia" w:ascii="新宋体" w:hAnsi="新宋体" w:eastAsia="新宋体" w:cs="新宋体"/>
          <w:b/>
          <w:bCs/>
          <w:color w:val="auto"/>
          <w:sz w:val="24"/>
          <w:szCs w:val="24"/>
          <w:highlight w:val="none"/>
        </w:rPr>
        <w:t xml:space="preserve">八、其他</w:t>
      </w:r>
      <w:bookmarkEnd w:id="49"/>
      <w:r/>
      <w:r/>
    </w:p>
    <w:p>
      <w:pPr>
        <w:ind w:firstLine="482"/>
        <w:spacing w:line="360" w:lineRule="auto"/>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1.有关本次采购的事项若存在变动或修改，敬请及时关注“宿迁市政府采购网”等平台更正公告。</w:t>
      </w:r>
      <w:r/>
    </w:p>
    <w:p>
      <w:pPr>
        <w:ind w:firstLine="482"/>
        <w:spacing w:line="360" w:lineRule="auto"/>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2.本次磋商不收取磋商保证金。</w:t>
      </w:r>
      <w:r/>
    </w:p>
    <w:p>
      <w:pPr>
        <w:ind w:firstLine="482"/>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r>
      <w:r/>
    </w:p>
    <w:p>
      <w:pPr>
        <w:pStyle w:val="668"/>
        <w:jc w:val="center"/>
        <w:spacing w:before="200"/>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br w:type="page" w:clear="all"/>
      </w:r>
      <w:bookmarkStart w:id="50" w:name="_Toc11816"/>
      <w:r/>
      <w:bookmarkStart w:id="51" w:name="_Toc706"/>
      <w:r/>
      <w:bookmarkStart w:id="52" w:name="_Toc15517"/>
      <w:r/>
      <w:bookmarkStart w:id="53" w:name="_Toc6048"/>
      <w:r>
        <w:rPr>
          <w:rFonts w:hint="eastAsia" w:ascii="新宋体" w:hAnsi="新宋体" w:eastAsia="新宋体" w:cs="新宋体"/>
          <w:b/>
          <w:color w:val="auto"/>
          <w:sz w:val="32"/>
          <w:szCs w:val="32"/>
          <w:highlight w:val="none"/>
          <w:lang w:val="en-US" w:eastAsia="zh-CN" w:bidi="ar-SA"/>
        </w:rPr>
        <w:t xml:space="preserve">第二章  供应商须知</w:t>
      </w:r>
      <w:bookmarkEnd w:id="4"/>
      <w:r/>
      <w:bookmarkEnd w:id="50"/>
      <w:r/>
      <w:bookmarkEnd w:id="51"/>
      <w:r/>
      <w:bookmarkEnd w:id="52"/>
      <w:r/>
      <w:bookmarkEnd w:id="53"/>
      <w:r/>
      <w:bookmarkStart w:id="54" w:name="EBa8c69c4726824205bbf6fbe49f912e2d"/>
      <w:r/>
      <w:bookmarkEnd w:id="54"/>
      <w:r/>
      <w:bookmarkStart w:id="55" w:name="EB154f34bfcea5417199f8cf429c255bfe"/>
      <w:r/>
      <w:bookmarkEnd w:id="55"/>
      <w:r/>
      <w:r/>
    </w:p>
    <w:p>
      <w:pPr>
        <w:spacing w:before="0" w:line="520" w:lineRule="exact"/>
        <w:rPr>
          <w:rFonts w:hint="eastAsia" w:ascii="新宋体" w:hAnsi="新宋体" w:eastAsia="新宋体" w:cs="新宋体"/>
          <w:b/>
          <w:bCs/>
          <w:color w:val="auto"/>
          <w:sz w:val="24"/>
          <w:szCs w:val="24"/>
          <w:highlight w:val="none"/>
        </w:rPr>
        <w:outlineLvl w:val="9"/>
      </w:pPr>
      <w:r/>
      <w:bookmarkStart w:id="56" w:name="_Toc141869961"/>
      <w:r>
        <w:rPr>
          <w:rFonts w:hint="eastAsia" w:ascii="新宋体" w:hAnsi="新宋体" w:eastAsia="新宋体" w:cs="新宋体"/>
          <w:b/>
          <w:bCs/>
          <w:color w:val="auto"/>
          <w:sz w:val="24"/>
          <w:szCs w:val="24"/>
          <w:highlight w:val="none"/>
        </w:rPr>
        <w:t xml:space="preserve">供应商须知前附表：</w:t>
      </w:r>
      <w:bookmarkEnd w:id="56"/>
      <w:r/>
      <w:r/>
    </w:p>
    <w:tbl>
      <w:tblPr>
        <w:tblStyle w:val="678"/>
        <w:tblW w:w="906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01"/>
        <w:gridCol w:w="1984"/>
        <w:gridCol w:w="5975"/>
      </w:tblGrid>
      <w:tr>
        <w:trPr>
          <w:trHeight w:val="378"/>
        </w:trPr>
        <w:tc>
          <w:tcPr>
            <w:tcW w:w="1101"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color w:val="auto"/>
                <w:sz w:val="24"/>
                <w:szCs w:val="24"/>
                <w:highlight w:val="none"/>
              </w:rPr>
              <w:suppressLineNumbers w:val="0"/>
            </w:pPr>
            <w:r>
              <w:rPr>
                <w:rFonts w:hint="eastAsia" w:ascii="新宋体" w:hAnsi="新宋体" w:eastAsia="新宋体" w:cs="新宋体"/>
                <w:b/>
                <w:color w:val="auto"/>
                <w:sz w:val="24"/>
                <w:szCs w:val="24"/>
                <w:highlight w:val="none"/>
              </w:rPr>
              <w:t xml:space="preserve">序号</w:t>
            </w:r>
            <w:r/>
          </w:p>
        </w:tc>
        <w:tc>
          <w:tcPr>
            <w:tcW w:w="1984"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color w:val="auto"/>
                <w:sz w:val="24"/>
                <w:szCs w:val="24"/>
                <w:highlight w:val="none"/>
              </w:rPr>
              <w:suppressLineNumbers w:val="0"/>
            </w:pPr>
            <w:r>
              <w:rPr>
                <w:rFonts w:hint="eastAsia" w:ascii="新宋体" w:hAnsi="新宋体" w:eastAsia="新宋体" w:cs="新宋体"/>
                <w:b/>
                <w:color w:val="auto"/>
                <w:sz w:val="24"/>
                <w:szCs w:val="24"/>
                <w:highlight w:val="none"/>
              </w:rPr>
              <w:t xml:space="preserve">内</w:t>
            </w:r>
            <w:r>
              <w:rPr>
                <w:rFonts w:hint="eastAsia" w:ascii="新宋体" w:hAnsi="新宋体" w:eastAsia="新宋体" w:cs="新宋体"/>
                <w:b/>
                <w:color w:val="auto"/>
                <w:sz w:val="24"/>
                <w:szCs w:val="24"/>
                <w:highlight w:val="none"/>
                <w:lang w:val="en-US" w:eastAsia="zh-CN"/>
              </w:rPr>
              <w:t xml:space="preserve">   </w:t>
            </w:r>
            <w:r>
              <w:rPr>
                <w:rFonts w:hint="eastAsia" w:ascii="新宋体" w:hAnsi="新宋体" w:eastAsia="新宋体" w:cs="新宋体"/>
                <w:b/>
                <w:color w:val="auto"/>
                <w:sz w:val="24"/>
                <w:szCs w:val="24"/>
                <w:highlight w:val="none"/>
              </w:rPr>
              <w:t xml:space="preserve">容</w:t>
            </w:r>
            <w:r/>
          </w:p>
        </w:tc>
        <w:tc>
          <w:tcPr>
            <w:tcW w:w="5975"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color w:val="auto"/>
                <w:sz w:val="24"/>
                <w:szCs w:val="24"/>
                <w:highlight w:val="none"/>
              </w:rPr>
              <w:suppressLineNumbers w:val="0"/>
            </w:pPr>
            <w:r>
              <w:rPr>
                <w:rFonts w:hint="eastAsia" w:ascii="新宋体" w:hAnsi="新宋体" w:eastAsia="新宋体" w:cs="新宋体"/>
                <w:b/>
                <w:color w:val="auto"/>
                <w:sz w:val="24"/>
                <w:szCs w:val="24"/>
                <w:highlight w:val="none"/>
              </w:rPr>
              <w:t xml:space="preserve">说明及要求</w:t>
            </w:r>
            <w:r/>
          </w:p>
        </w:tc>
      </w:tr>
      <w:tr>
        <w:trPr/>
        <w:tc>
          <w:tcPr>
            <w:tcW w:w="1101" w:type="dxa"/>
            <w:vAlign w:val="center"/>
            <w:textDirection w:val="lrTb"/>
            <w:noWrap w:val="false"/>
          </w:tcPr>
          <w:p>
            <w:pPr>
              <w:ind w:left="0" w:right="0"/>
              <w:jc w:val="center"/>
              <w:keepLines w:val="0"/>
              <w:keepNext w:val="0"/>
              <w:spacing w:before="0" w:beforeAutospacing="0" w:after="0" w:afterAutospacing="0" w:line="360" w:lineRule="exac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t xml:space="preserve">1</w:t>
            </w:r>
            <w:r/>
          </w:p>
        </w:tc>
        <w:tc>
          <w:tcPr>
            <w:tcW w:w="1984" w:type="dxa"/>
            <w:vAlign w:val="center"/>
            <w:textDirection w:val="lrTb"/>
            <w:noWrap w:val="false"/>
          </w:tcPr>
          <w:p>
            <w:pPr>
              <w:ind w:left="0" w:right="0"/>
              <w:jc w:val="center"/>
              <w:keepLines w:val="0"/>
              <w:keepNext w:val="0"/>
              <w:spacing w:before="0" w:beforeAutospacing="0" w:after="0" w:afterAutospacing="0" w:line="360" w:lineRule="exac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t xml:space="preserve">项目类别</w:t>
            </w:r>
            <w:r/>
          </w:p>
        </w:tc>
        <w:tc>
          <w:tcPr>
            <w:tcW w:w="5975" w:type="dxa"/>
            <w:vAlign w:val="center"/>
            <w:textDirection w:val="lrTb"/>
            <w:noWrap w:val="false"/>
          </w:tcPr>
          <w:p>
            <w:pPr>
              <w:ind w:left="0" w:right="0"/>
              <w:jc w:val="left"/>
              <w:keepLines w:val="0"/>
              <w:keepNext w:val="0"/>
              <w:spacing w:before="0" w:beforeAutospacing="0" w:after="0" w:afterAutospacing="0" w:line="360" w:lineRule="exac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t xml:space="preserve">本项目</w:t>
            </w:r>
            <w:bookmarkStart w:id="57" w:name="EB9a5853ee094f4f0ea6ec3169265f6f2c"/>
            <w:r>
              <w:rPr>
                <w:rFonts w:hint="eastAsia" w:ascii="新宋体" w:hAnsi="新宋体" w:eastAsia="新宋体" w:cs="新宋体"/>
                <w:color w:val="auto"/>
                <w:sz w:val="24"/>
                <w:szCs w:val="24"/>
                <w:highlight w:val="none"/>
              </w:rPr>
              <w:t xml:space="preserve">属性按以下第</w:t>
            </w:r>
            <w:r>
              <w:rPr>
                <w:rFonts w:hint="eastAsia" w:ascii="新宋体" w:hAnsi="新宋体" w:eastAsia="新宋体" w:cs="新宋体"/>
                <w:b/>
                <w:bCs/>
                <w:color w:val="auto"/>
                <w:sz w:val="24"/>
                <w:szCs w:val="24"/>
                <w:highlight w:val="none"/>
                <w:u w:val="single"/>
              </w:rPr>
              <w:t xml:space="preserve"> 2 </w:t>
            </w:r>
            <w:r>
              <w:rPr>
                <w:rFonts w:hint="eastAsia" w:ascii="新宋体" w:hAnsi="新宋体" w:eastAsia="新宋体" w:cs="新宋体"/>
                <w:color w:val="auto"/>
                <w:sz w:val="24"/>
                <w:szCs w:val="24"/>
                <w:highlight w:val="none"/>
              </w:rPr>
              <w:t xml:space="preserve">种确定：</w:t>
            </w:r>
            <w:r/>
          </w:p>
          <w:p>
            <w:pPr>
              <w:ind w:left="0" w:right="0"/>
              <w:jc w:val="left"/>
              <w:keepLines w:val="0"/>
              <w:keepNext w:val="0"/>
              <w:spacing w:before="0" w:beforeAutospacing="0" w:after="0" w:afterAutospacing="0" w:line="360" w:lineRule="exac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t xml:space="preserve">1</w:t>
            </w:r>
            <w:bookmarkEnd w:id="57"/>
            <w:r>
              <w:rPr>
                <w:rFonts w:hint="eastAsia" w:ascii="新宋体" w:hAnsi="新宋体" w:eastAsia="新宋体" w:cs="新宋体"/>
                <w:color w:val="auto"/>
                <w:sz w:val="24"/>
                <w:szCs w:val="24"/>
                <w:highlight w:val="none"/>
              </w:rPr>
              <w:t xml:space="preserve">.货物</w:t>
            </w:r>
            <w:bookmarkStart w:id="58" w:name="EBd5c6c026f9674c39b21b31ecd0c1e7fa"/>
            <w:r>
              <w:rPr>
                <w:rFonts w:hint="eastAsia" w:ascii="新宋体" w:hAnsi="新宋体" w:eastAsia="新宋体" w:cs="新宋体"/>
                <w:color w:val="auto"/>
                <w:sz w:val="24"/>
                <w:szCs w:val="24"/>
                <w:highlight w:val="none"/>
              </w:rPr>
              <w:t xml:space="preserve">；2.</w:t>
            </w:r>
            <w:bookmarkEnd w:id="58"/>
            <w:r>
              <w:rPr>
                <w:rFonts w:hint="eastAsia" w:ascii="新宋体" w:hAnsi="新宋体" w:eastAsia="新宋体" w:cs="新宋体"/>
                <w:color w:val="auto"/>
                <w:sz w:val="24"/>
                <w:szCs w:val="24"/>
                <w:highlight w:val="none"/>
              </w:rPr>
              <w:t xml:space="preserve">服务</w:t>
            </w:r>
            <w:bookmarkStart w:id="59" w:name="EBf7d2a4f44ecb4166a93ea852e73be69f"/>
            <w:r>
              <w:rPr>
                <w:rFonts w:hint="eastAsia" w:ascii="新宋体" w:hAnsi="新宋体" w:eastAsia="新宋体" w:cs="新宋体"/>
                <w:color w:val="auto"/>
                <w:sz w:val="24"/>
                <w:szCs w:val="24"/>
                <w:highlight w:val="none"/>
              </w:rPr>
              <w:t xml:space="preserve">；3.</w:t>
            </w:r>
            <w:bookmarkEnd w:id="59"/>
            <w:r>
              <w:rPr>
                <w:rFonts w:hint="eastAsia" w:ascii="新宋体" w:hAnsi="新宋体" w:eastAsia="新宋体" w:cs="新宋体"/>
                <w:color w:val="auto"/>
                <w:sz w:val="24"/>
                <w:szCs w:val="24"/>
                <w:highlight w:val="none"/>
              </w:rPr>
              <w:t xml:space="preserve">工程。</w:t>
            </w:r>
            <w:r/>
          </w:p>
        </w:tc>
      </w:tr>
      <w:tr>
        <w:trPr/>
        <w:tc>
          <w:tcPr>
            <w:tcW w:w="1101" w:type="dxa"/>
            <w:vAlign w:val="center"/>
            <w:textDirection w:val="lrTb"/>
            <w:noWrap w:val="false"/>
          </w:tcPr>
          <w:p>
            <w:pPr>
              <w:ind w:left="0" w:right="0"/>
              <w:jc w:val="center"/>
              <w:keepLines w:val="0"/>
              <w:keepNext w:val="0"/>
              <w:spacing w:before="0" w:beforeAutospacing="0" w:after="0" w:afterAutospacing="0" w:line="360" w:lineRule="exac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t xml:space="preserve">2</w:t>
            </w:r>
            <w:r/>
          </w:p>
        </w:tc>
        <w:tc>
          <w:tcPr>
            <w:tcW w:w="1984" w:type="dxa"/>
            <w:vAlign w:val="center"/>
            <w:textDirection w:val="lrTb"/>
            <w:noWrap w:val="false"/>
          </w:tcPr>
          <w:p>
            <w:pPr>
              <w:ind w:left="0" w:right="0"/>
              <w:jc w:val="center"/>
              <w:keepLines w:val="0"/>
              <w:keepNext w:val="0"/>
              <w:spacing w:before="0" w:beforeAutospacing="0" w:after="0" w:afterAutospacing="0" w:line="360" w:lineRule="exac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t xml:space="preserve">响应有效期</w:t>
            </w:r>
            <w:r/>
          </w:p>
        </w:tc>
        <w:tc>
          <w:tcPr>
            <w:tcW w:w="5975" w:type="dxa"/>
            <w:vAlign w:val="center"/>
            <w:textDirection w:val="lrTb"/>
            <w:noWrap w:val="false"/>
          </w:tcPr>
          <w:p>
            <w:pPr>
              <w:ind w:left="0" w:right="0"/>
              <w:jc w:val="left"/>
              <w:keepLines w:val="0"/>
              <w:keepNext w:val="0"/>
              <w:spacing w:before="0" w:beforeAutospacing="0" w:after="0" w:afterAutospacing="0" w:line="360" w:lineRule="exact"/>
              <w:rPr>
                <w:rFonts w:hint="eastAsia" w:ascii="新宋体" w:hAnsi="新宋体" w:eastAsia="新宋体" w:cs="新宋体"/>
                <w:color w:val="auto"/>
                <w:sz w:val="24"/>
                <w:szCs w:val="24"/>
                <w:highlight w:val="none"/>
              </w:rPr>
              <w:suppressLineNumbers w:val="0"/>
            </w:pPr>
            <w:r/>
            <w:bookmarkStart w:id="60" w:name="EBf2540e281f614ac8b4efc83b6e64d4d2"/>
            <w:r>
              <w:rPr>
                <w:rFonts w:hint="eastAsia" w:ascii="新宋体" w:hAnsi="新宋体" w:eastAsia="新宋体" w:cs="新宋体"/>
                <w:color w:val="auto"/>
                <w:sz w:val="24"/>
                <w:szCs w:val="24"/>
                <w:highlight w:val="none"/>
              </w:rPr>
              <w:t xml:space="preserve">60</w:t>
            </w:r>
            <w:bookmarkEnd w:id="60"/>
            <w:r>
              <w:rPr>
                <w:rFonts w:hint="eastAsia" w:ascii="新宋体" w:hAnsi="新宋体" w:eastAsia="新宋体" w:cs="新宋体"/>
                <w:color w:val="auto"/>
                <w:sz w:val="24"/>
                <w:szCs w:val="24"/>
                <w:highlight w:val="none"/>
              </w:rPr>
              <w:t xml:space="preserve">日（从提交响应文件截止之日起算）</w:t>
            </w:r>
            <w:r/>
          </w:p>
        </w:tc>
      </w:tr>
      <w:tr>
        <w:trPr/>
        <w:tc>
          <w:tcPr>
            <w:tcW w:w="1101" w:type="dxa"/>
            <w:vAlign w:val="center"/>
            <w:textDirection w:val="lrTb"/>
            <w:noWrap w:val="false"/>
          </w:tcPr>
          <w:p>
            <w:pPr>
              <w:ind w:left="0" w:right="0"/>
              <w:jc w:val="center"/>
              <w:keepLines w:val="0"/>
              <w:keepNext w:val="0"/>
              <w:spacing w:before="0" w:beforeAutospacing="0" w:after="0" w:afterAutospacing="0" w:line="360" w:lineRule="exac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t xml:space="preserve">3</w:t>
            </w:r>
            <w:r/>
          </w:p>
        </w:tc>
        <w:tc>
          <w:tcPr>
            <w:tcW w:w="1984" w:type="dxa"/>
            <w:vAlign w:val="center"/>
            <w:textDirection w:val="lrTb"/>
            <w:noWrap w:val="false"/>
          </w:tcPr>
          <w:p>
            <w:pPr>
              <w:ind w:left="0" w:right="0"/>
              <w:jc w:val="center"/>
              <w:keepLines w:val="0"/>
              <w:keepNext w:val="0"/>
              <w:spacing w:before="0" w:beforeAutospacing="0" w:after="0" w:afterAutospacing="0" w:line="360" w:lineRule="exac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t xml:space="preserve">响应文件份数</w:t>
            </w:r>
            <w:r/>
          </w:p>
        </w:tc>
        <w:tc>
          <w:tcPr>
            <w:tcW w:w="5975" w:type="dxa"/>
            <w:vAlign w:val="center"/>
            <w:textDirection w:val="lrTb"/>
            <w:noWrap w:val="false"/>
          </w:tcPr>
          <w:p>
            <w:pPr>
              <w:ind w:left="0" w:right="0"/>
              <w:jc w:val="left"/>
              <w:keepLines w:val="0"/>
              <w:keepNext w:val="0"/>
              <w:spacing w:before="0" w:beforeAutospacing="0" w:after="0" w:afterAutospacing="0" w:line="360" w:lineRule="exact"/>
              <w:widowControl/>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t xml:space="preserve">提交加密电子响应文件1份。</w:t>
            </w:r>
            <w:r/>
          </w:p>
        </w:tc>
      </w:tr>
      <w:tr>
        <w:trPr/>
        <w:tc>
          <w:tcPr>
            <w:tcW w:w="1101" w:type="dxa"/>
            <w:vAlign w:val="center"/>
            <w:textDirection w:val="lrTb"/>
            <w:noWrap w:val="false"/>
          </w:tcPr>
          <w:p>
            <w:pPr>
              <w:ind w:left="0" w:right="0"/>
              <w:jc w:val="center"/>
              <w:keepLines w:val="0"/>
              <w:keepNext w:val="0"/>
              <w:spacing w:before="0" w:beforeAutospacing="0" w:after="0" w:afterAutospacing="0" w:line="360" w:lineRule="exact"/>
              <w:rPr>
                <w:rFonts w:hint="eastAsia" w:ascii="新宋体" w:hAnsi="新宋体" w:eastAsia="新宋体" w:cs="新宋体"/>
                <w:color w:val="auto"/>
                <w:sz w:val="24"/>
                <w:szCs w:val="24"/>
                <w:highlight w:val="none"/>
                <w:lang w:eastAsia="zh-CN"/>
              </w:rPr>
              <w:suppressLineNumbers w:val="0"/>
            </w:pPr>
            <w:r>
              <w:rPr>
                <w:rFonts w:hint="eastAsia" w:ascii="新宋体" w:hAnsi="新宋体" w:eastAsia="新宋体" w:cs="新宋体"/>
                <w:color w:val="auto"/>
                <w:sz w:val="24"/>
                <w:szCs w:val="24"/>
                <w:highlight w:val="none"/>
                <w:lang w:val="en-US" w:eastAsia="zh-CN"/>
              </w:rPr>
              <w:t xml:space="preserve">4</w:t>
            </w:r>
            <w:r/>
          </w:p>
        </w:tc>
        <w:tc>
          <w:tcPr>
            <w:tcW w:w="1984" w:type="dxa"/>
            <w:vAlign w:val="center"/>
            <w:textDirection w:val="lrTb"/>
            <w:noWrap w:val="false"/>
          </w:tcPr>
          <w:p>
            <w:pPr>
              <w:ind w:left="0" w:right="0"/>
              <w:jc w:val="center"/>
              <w:keepLines w:val="0"/>
              <w:keepNext w:val="0"/>
              <w:spacing w:before="0" w:beforeAutospacing="0" w:after="0" w:afterAutospacing="0" w:line="360" w:lineRule="exac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t xml:space="preserve">评审方法</w:t>
            </w:r>
            <w:r/>
          </w:p>
        </w:tc>
        <w:tc>
          <w:tcPr>
            <w:tcW w:w="5975" w:type="dxa"/>
            <w:vAlign w:val="center"/>
            <w:textDirection w:val="lrTb"/>
            <w:noWrap w:val="false"/>
          </w:tcPr>
          <w:p>
            <w:pPr>
              <w:pStyle w:val="959"/>
              <w:ind w:left="0" w:right="0"/>
              <w:keepLines w:val="0"/>
              <w:keepNext w:val="0"/>
              <w:spacing w:before="0" w:beforeAutospacing="0" w:after="0" w:afterAutospacing="0" w:line="360" w:lineRule="exac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t xml:space="preserve">综合评分法。具体细则详见磋商文件评审方法和评审标准部分。</w:t>
            </w:r>
            <w:r/>
          </w:p>
        </w:tc>
      </w:tr>
      <w:tr>
        <w:trPr/>
        <w:tc>
          <w:tcPr>
            <w:tcW w:w="1101" w:type="dxa"/>
            <w:vAlign w:val="center"/>
            <w:textDirection w:val="lrTb"/>
            <w:noWrap w:val="false"/>
          </w:tcPr>
          <w:p>
            <w:pPr>
              <w:ind w:left="0" w:right="0"/>
              <w:jc w:val="center"/>
              <w:keepLines w:val="0"/>
              <w:keepNext w:val="0"/>
              <w:spacing w:before="0" w:beforeAutospacing="0" w:after="0" w:afterAutospacing="0" w:line="360" w:lineRule="exact"/>
              <w:rPr>
                <w:rFonts w:hint="eastAsia" w:ascii="新宋体" w:hAnsi="新宋体" w:eastAsia="新宋体" w:cs="新宋体"/>
                <w:color w:val="auto"/>
                <w:sz w:val="24"/>
                <w:szCs w:val="24"/>
                <w:highlight w:val="none"/>
                <w:lang w:eastAsia="zh-CN"/>
              </w:rPr>
              <w:suppressLineNumbers w:val="0"/>
            </w:pPr>
            <w:r>
              <w:rPr>
                <w:rFonts w:hint="eastAsia" w:ascii="新宋体" w:hAnsi="新宋体" w:eastAsia="新宋体" w:cs="新宋体"/>
                <w:color w:val="auto"/>
                <w:sz w:val="24"/>
                <w:szCs w:val="24"/>
                <w:highlight w:val="none"/>
                <w:lang w:val="en-US" w:eastAsia="zh-CN"/>
              </w:rPr>
              <w:t xml:space="preserve">5</w:t>
            </w:r>
            <w:r/>
          </w:p>
        </w:tc>
        <w:tc>
          <w:tcPr>
            <w:tcW w:w="1984" w:type="dxa"/>
            <w:vAlign w:val="center"/>
            <w:textDirection w:val="lrTb"/>
            <w:noWrap w:val="false"/>
          </w:tcPr>
          <w:p>
            <w:pPr>
              <w:ind w:left="0" w:right="0"/>
              <w:jc w:val="center"/>
              <w:keepLines w:val="0"/>
              <w:keepNext w:val="0"/>
              <w:spacing w:before="0" w:beforeAutospacing="0" w:after="0" w:afterAutospacing="0" w:line="360" w:lineRule="exac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t xml:space="preserve">确定成交人</w:t>
            </w:r>
            <w:r/>
          </w:p>
        </w:tc>
        <w:tc>
          <w:tcPr>
            <w:tcW w:w="5975" w:type="dxa"/>
            <w:vAlign w:val="center"/>
            <w:textDirection w:val="lrTb"/>
            <w:noWrap w:val="false"/>
          </w:tcPr>
          <w:p>
            <w:pPr>
              <w:ind w:left="0" w:right="0"/>
              <w:jc w:val="left"/>
              <w:keepLines w:val="0"/>
              <w:keepNext w:val="0"/>
              <w:spacing w:before="0" w:beforeAutospacing="0" w:after="0" w:afterAutospacing="0" w:line="360" w:lineRule="exact"/>
              <w:widowControl/>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t xml:space="preserve">按以下第</w:t>
            </w:r>
            <w:r>
              <w:rPr>
                <w:rFonts w:hint="eastAsia" w:ascii="新宋体" w:hAnsi="新宋体" w:eastAsia="新宋体" w:cs="新宋体"/>
                <w:b/>
                <w:bCs/>
                <w:color w:val="auto"/>
                <w:sz w:val="24"/>
                <w:szCs w:val="24"/>
                <w:highlight w:val="none"/>
                <w:u w:val="single"/>
              </w:rPr>
              <w:t xml:space="preserve"> 1 </w:t>
            </w:r>
            <w:r>
              <w:rPr>
                <w:rFonts w:hint="eastAsia" w:ascii="新宋体" w:hAnsi="新宋体" w:eastAsia="新宋体" w:cs="新宋体"/>
                <w:color w:val="auto"/>
                <w:sz w:val="24"/>
                <w:szCs w:val="24"/>
                <w:highlight w:val="none"/>
              </w:rPr>
              <w:t xml:space="preserve">种方式确定成交人：</w:t>
            </w:r>
            <w:r/>
          </w:p>
          <w:p>
            <w:pPr>
              <w:numPr>
                <w:ilvl w:val="0"/>
                <w:numId w:val="4"/>
              </w:numPr>
              <w:ind w:left="0" w:right="0"/>
              <w:jc w:val="left"/>
              <w:keepLines w:val="0"/>
              <w:keepNext w:val="0"/>
              <w:spacing w:before="0" w:beforeAutospacing="0" w:after="0" w:afterAutospacing="0" w:line="360" w:lineRule="exact"/>
              <w:widowControl/>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t xml:space="preserve">采购人按照规定在磋商小组推荐的</w:t>
            </w:r>
            <w:r>
              <w:rPr>
                <w:rFonts w:hint="eastAsia" w:ascii="新宋体" w:hAnsi="新宋体" w:eastAsia="新宋体" w:cs="新宋体"/>
                <w:color w:val="auto"/>
                <w:sz w:val="24"/>
                <w:szCs w:val="24"/>
                <w:highlight w:val="none"/>
                <w:lang w:eastAsia="zh-CN"/>
              </w:rPr>
              <w:t xml:space="preserve">成交候选人</w:t>
            </w:r>
            <w:r>
              <w:rPr>
                <w:rFonts w:hint="eastAsia" w:ascii="新宋体" w:hAnsi="新宋体" w:eastAsia="新宋体" w:cs="新宋体"/>
                <w:color w:val="auto"/>
                <w:sz w:val="24"/>
                <w:szCs w:val="24"/>
                <w:highlight w:val="none"/>
              </w:rPr>
              <w:t xml:space="preserve">中确定成交人；</w:t>
            </w:r>
            <w:r/>
          </w:p>
          <w:p>
            <w:pPr>
              <w:numPr>
                <w:ilvl w:val="0"/>
                <w:numId w:val="0"/>
              </w:numPr>
              <w:ind w:left="0" w:right="0"/>
              <w:jc w:val="left"/>
              <w:keepLines w:val="0"/>
              <w:keepNext w:val="0"/>
              <w:spacing w:before="0" w:beforeAutospacing="0" w:after="0" w:afterAutospacing="0" w:line="360" w:lineRule="exact"/>
              <w:widowControl/>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t xml:space="preserve">2.采购人授权磋商小组直接确定成交人；</w:t>
            </w:r>
            <w:r/>
          </w:p>
        </w:tc>
      </w:tr>
      <w:tr>
        <w:trPr/>
        <w:tc>
          <w:tcPr>
            <w:tcW w:w="1101" w:type="dxa"/>
            <w:vAlign w:val="center"/>
            <w:textDirection w:val="lrTb"/>
            <w:noWrap w:val="false"/>
          </w:tcPr>
          <w:p>
            <w:pPr>
              <w:ind w:left="0" w:right="0"/>
              <w:jc w:val="center"/>
              <w:keepLines w:val="0"/>
              <w:keepNext w:val="0"/>
              <w:spacing w:before="0" w:beforeAutospacing="0" w:after="0" w:afterAutospacing="0" w:line="360" w:lineRule="exact"/>
              <w:rPr>
                <w:rFonts w:hint="eastAsia" w:ascii="新宋体" w:hAnsi="新宋体" w:eastAsia="新宋体" w:cs="新宋体"/>
                <w:color w:val="auto"/>
                <w:sz w:val="24"/>
                <w:szCs w:val="24"/>
                <w:highlight w:val="none"/>
                <w:lang w:eastAsia="zh-CN"/>
              </w:rPr>
              <w:suppressLineNumbers w:val="0"/>
            </w:pPr>
            <w:r>
              <w:rPr>
                <w:rFonts w:hint="eastAsia" w:ascii="新宋体" w:hAnsi="新宋体" w:eastAsia="新宋体" w:cs="新宋体"/>
                <w:color w:val="auto"/>
                <w:sz w:val="24"/>
                <w:szCs w:val="24"/>
                <w:highlight w:val="none"/>
                <w:lang w:val="en-US" w:eastAsia="zh-CN"/>
              </w:rPr>
              <w:t xml:space="preserve">6</w:t>
            </w:r>
            <w:r/>
          </w:p>
        </w:tc>
        <w:tc>
          <w:tcPr>
            <w:tcW w:w="1984" w:type="dxa"/>
            <w:vAlign w:val="center"/>
            <w:textDirection w:val="lrTb"/>
            <w:noWrap w:val="false"/>
          </w:tcPr>
          <w:p>
            <w:pPr>
              <w:ind w:left="0" w:right="0"/>
              <w:jc w:val="center"/>
              <w:keepLines w:val="0"/>
              <w:keepNext w:val="0"/>
              <w:spacing w:before="0" w:beforeAutospacing="0" w:after="0" w:afterAutospacing="0" w:line="360" w:lineRule="exac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t xml:space="preserve">分包要求</w:t>
            </w:r>
            <w:r/>
          </w:p>
        </w:tc>
        <w:tc>
          <w:tcPr>
            <w:tcW w:w="5975" w:type="dxa"/>
            <w:vAlign w:val="center"/>
            <w:textDirection w:val="lrTb"/>
            <w:noWrap w:val="false"/>
          </w:tcPr>
          <w:p>
            <w:pPr>
              <w:ind w:left="0" w:right="0"/>
              <w:jc w:val="left"/>
              <w:keepLines w:val="0"/>
              <w:keepNext w:val="0"/>
              <w:spacing w:before="0" w:beforeAutospacing="0" w:after="0" w:afterAutospacing="0" w:line="360" w:lineRule="exact"/>
              <w:widowControl/>
              <w:rPr>
                <w:rFonts w:hint="eastAsia" w:ascii="新宋体" w:hAnsi="新宋体" w:eastAsia="新宋体" w:cs="新宋体"/>
                <w:color w:val="auto"/>
                <w:sz w:val="24"/>
                <w:szCs w:val="24"/>
                <w:highlight w:val="none"/>
              </w:rPr>
              <w:suppressLineNumbers w:val="0"/>
            </w:pPr>
            <w:r/>
            <w:bookmarkStart w:id="61" w:name="EBebac1462c5d9459fbda8a75065c2455d"/>
            <w:r>
              <w:rPr>
                <w:rFonts w:hint="eastAsia" w:ascii="新宋体" w:hAnsi="新宋体" w:eastAsia="新宋体" w:cs="新宋体"/>
                <w:color w:val="auto"/>
                <w:sz w:val="24"/>
                <w:szCs w:val="24"/>
                <w:highlight w:val="none"/>
              </w:rPr>
              <w:t xml:space="preserve">本项目的非主体、非关键性工作是否允许分包按以下第</w:t>
            </w:r>
            <w:r>
              <w:rPr>
                <w:rFonts w:hint="eastAsia" w:ascii="新宋体" w:hAnsi="新宋体" w:eastAsia="新宋体" w:cs="新宋体"/>
                <w:color w:val="auto"/>
                <w:sz w:val="24"/>
                <w:szCs w:val="24"/>
                <w:highlight w:val="none"/>
                <w:u w:val="single"/>
              </w:rPr>
              <w:t xml:space="preserve"> </w:t>
            </w:r>
            <w:r>
              <w:rPr>
                <w:rFonts w:hint="eastAsia" w:ascii="新宋体" w:hAnsi="新宋体" w:eastAsia="新宋体" w:cs="新宋体"/>
                <w:b/>
                <w:bCs/>
                <w:color w:val="auto"/>
                <w:sz w:val="24"/>
                <w:szCs w:val="24"/>
                <w:highlight w:val="none"/>
                <w:u w:val="single"/>
              </w:rPr>
              <w:t xml:space="preserve">2 </w:t>
            </w:r>
            <w:r>
              <w:rPr>
                <w:rFonts w:hint="eastAsia" w:ascii="新宋体" w:hAnsi="新宋体" w:eastAsia="新宋体" w:cs="新宋体"/>
                <w:color w:val="auto"/>
                <w:sz w:val="24"/>
                <w:szCs w:val="24"/>
                <w:highlight w:val="none"/>
              </w:rPr>
              <w:t xml:space="preserve">种方式确定：</w:t>
            </w:r>
            <w:bookmarkEnd w:id="61"/>
            <w:r/>
            <w:r/>
          </w:p>
          <w:p>
            <w:pPr>
              <w:numPr>
                <w:ilvl w:val="0"/>
                <w:numId w:val="5"/>
              </w:numPr>
              <w:ind w:left="0" w:right="0"/>
              <w:jc w:val="left"/>
              <w:keepLines w:val="0"/>
              <w:keepNext w:val="0"/>
              <w:spacing w:before="0" w:beforeAutospacing="0" w:after="0" w:afterAutospacing="0" w:line="360" w:lineRule="exact"/>
              <w:widowControl/>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t xml:space="preserve">允许分包。</w:t>
            </w:r>
            <w:r/>
          </w:p>
          <w:p>
            <w:pPr>
              <w:numPr>
                <w:ilvl w:val="255"/>
                <w:numId w:val="0"/>
              </w:numPr>
              <w:ind w:left="0" w:right="0"/>
              <w:jc w:val="left"/>
              <w:keepLines w:val="0"/>
              <w:keepNext w:val="0"/>
              <w:spacing w:before="0" w:beforeAutospacing="0" w:after="0" w:afterAutospacing="0" w:line="360" w:lineRule="exact"/>
              <w:widowControl/>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t xml:space="preserve">允许分包的内容：</w:t>
            </w:r>
            <w:r/>
          </w:p>
          <w:p>
            <w:pPr>
              <w:ind w:left="0" w:right="0"/>
              <w:jc w:val="left"/>
              <w:keepLines w:val="0"/>
              <w:keepNext w:val="0"/>
              <w:spacing w:before="0" w:beforeAutospacing="0" w:after="0" w:afterAutospacing="0" w:line="360" w:lineRule="exact"/>
              <w:widowControl/>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t xml:space="preserve">2.不允许分包。</w:t>
            </w:r>
            <w:r/>
          </w:p>
        </w:tc>
      </w:tr>
      <w:tr>
        <w:trPr/>
        <w:tc>
          <w:tcPr>
            <w:tcW w:w="1101" w:type="dxa"/>
            <w:vAlign w:val="center"/>
            <w:textDirection w:val="lrTb"/>
            <w:noWrap w:val="false"/>
          </w:tcPr>
          <w:p>
            <w:pPr>
              <w:ind w:left="0" w:right="0"/>
              <w:jc w:val="center"/>
              <w:keepLines w:val="0"/>
              <w:keepNext w:val="0"/>
              <w:spacing w:before="0" w:beforeAutospacing="0" w:after="0" w:afterAutospacing="0" w:line="360" w:lineRule="exact"/>
              <w:rPr>
                <w:rFonts w:hint="eastAsia" w:ascii="新宋体" w:hAnsi="新宋体" w:eastAsia="新宋体" w:cs="新宋体"/>
                <w:color w:val="auto"/>
                <w:sz w:val="24"/>
                <w:szCs w:val="24"/>
                <w:highlight w:val="none"/>
                <w:lang w:eastAsia="zh-CN"/>
              </w:rPr>
              <w:suppressLineNumbers w:val="0"/>
            </w:pPr>
            <w:r>
              <w:rPr>
                <w:rFonts w:hint="eastAsia" w:ascii="新宋体" w:hAnsi="新宋体" w:eastAsia="新宋体" w:cs="新宋体"/>
                <w:color w:val="auto"/>
                <w:sz w:val="24"/>
                <w:szCs w:val="24"/>
                <w:highlight w:val="none"/>
                <w:lang w:val="en-US" w:eastAsia="zh-CN"/>
              </w:rPr>
              <w:t xml:space="preserve">7</w:t>
            </w:r>
            <w:r/>
          </w:p>
        </w:tc>
        <w:tc>
          <w:tcPr>
            <w:tcW w:w="1984" w:type="dxa"/>
            <w:vAlign w:val="center"/>
            <w:textDirection w:val="lrTb"/>
            <w:noWrap w:val="false"/>
          </w:tcPr>
          <w:p>
            <w:pPr>
              <w:ind w:left="0" w:right="0"/>
              <w:jc w:val="left"/>
              <w:keepLines w:val="0"/>
              <w:keepNext w:val="0"/>
              <w:spacing w:before="0" w:beforeAutospacing="0" w:after="0" w:afterAutospacing="0" w:line="360" w:lineRule="exact"/>
              <w:widowControl/>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t xml:space="preserve">代理费用收取方式及标准</w:t>
            </w:r>
            <w:r/>
          </w:p>
        </w:tc>
        <w:tc>
          <w:tcPr>
            <w:tcW w:w="5975" w:type="dxa"/>
            <w:vAlign w:val="center"/>
            <w:textDirection w:val="lrTb"/>
            <w:noWrap w:val="false"/>
          </w:tcPr>
          <w:p>
            <w:pPr>
              <w:ind w:left="0" w:right="0"/>
              <w:jc w:val="left"/>
              <w:keepLines w:val="0"/>
              <w:keepNext w:val="0"/>
              <w:spacing w:before="0" w:beforeAutospacing="0" w:after="0" w:afterAutospacing="0" w:line="360" w:lineRule="exact"/>
              <w:widowControl/>
              <w:rPr>
                <w:rFonts w:hint="default" w:ascii="新宋体" w:hAnsi="新宋体" w:eastAsia="新宋体" w:cs="新宋体"/>
                <w:color w:val="auto"/>
                <w:sz w:val="24"/>
                <w:szCs w:val="24"/>
                <w:highlight w:val="none"/>
                <w:lang w:val="en-US" w:eastAsia="zh-CN"/>
              </w:rPr>
              <w:suppressLineNumbers w:val="0"/>
            </w:pPr>
            <w:r>
              <w:rPr>
                <w:rFonts w:hint="eastAsia" w:ascii="新宋体" w:hAnsi="新宋体" w:eastAsia="新宋体" w:cs="新宋体"/>
                <w:color w:val="auto"/>
                <w:sz w:val="24"/>
                <w:szCs w:val="24"/>
                <w:highlight w:val="none"/>
              </w:rPr>
              <w:t xml:space="preserve">代理费用收取方式及标准：按以下第2种方式执行</w:t>
            </w:r>
            <w:r>
              <w:rPr>
                <w:rFonts w:hint="eastAsia" w:ascii="新宋体" w:hAnsi="新宋体" w:eastAsia="新宋体" w:cs="新宋体"/>
                <w:color w:val="auto"/>
                <w:sz w:val="24"/>
                <w:szCs w:val="24"/>
                <w:highlight w:val="none"/>
                <w:lang w:eastAsia="zh-CN"/>
              </w:rPr>
              <w:t xml:space="preserve">，</w:t>
            </w:r>
            <w:r>
              <w:rPr>
                <w:rFonts w:hint="eastAsia" w:ascii="新宋体" w:hAnsi="新宋体" w:eastAsia="新宋体" w:cs="新宋体"/>
                <w:color w:val="auto"/>
                <w:sz w:val="24"/>
                <w:szCs w:val="24"/>
                <w:highlight w:val="none"/>
                <w:lang w:val="en-US" w:eastAsia="zh-CN"/>
              </w:rPr>
              <w:t xml:space="preserve">供应商在领取成交通知书时支付。</w:t>
            </w:r>
            <w:r/>
          </w:p>
          <w:p>
            <w:pPr>
              <w:ind w:left="0" w:right="0"/>
              <w:jc w:val="left"/>
              <w:keepLines w:val="0"/>
              <w:keepNext w:val="0"/>
              <w:spacing w:before="0" w:beforeAutospacing="0" w:after="0" w:afterAutospacing="0" w:line="360" w:lineRule="exact"/>
              <w:widowControl/>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lang w:val="en-US" w:eastAsia="zh-CN"/>
              </w:rPr>
              <w:t xml:space="preserve">1.</w:t>
            </w:r>
            <w:r>
              <w:rPr>
                <w:rFonts w:hint="eastAsia" w:ascii="新宋体" w:hAnsi="新宋体" w:eastAsia="新宋体" w:cs="新宋体"/>
                <w:color w:val="auto"/>
                <w:sz w:val="24"/>
                <w:szCs w:val="24"/>
                <w:highlight w:val="none"/>
              </w:rPr>
              <w:t xml:space="preserve">无需支付；</w:t>
            </w:r>
            <w:r/>
          </w:p>
          <w:p>
            <w:pPr>
              <w:ind w:left="0" w:right="0"/>
              <w:jc w:val="left"/>
              <w:keepLines w:val="0"/>
              <w:keepNext w:val="0"/>
              <w:spacing w:before="0" w:beforeAutospacing="0" w:after="0" w:afterAutospacing="0" w:line="360" w:lineRule="exact"/>
              <w:widowControl/>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lang w:val="en-US" w:eastAsia="zh-CN"/>
              </w:rPr>
              <w:t xml:space="preserve">2.</w:t>
            </w:r>
            <w:r>
              <w:rPr>
                <w:rFonts w:hint="eastAsia" w:ascii="新宋体" w:hAnsi="新宋体" w:eastAsia="新宋体" w:cs="新宋体"/>
                <w:color w:val="auto"/>
                <w:sz w:val="24"/>
                <w:szCs w:val="24"/>
                <w:highlight w:val="none"/>
              </w:rPr>
              <w:t xml:space="preserve">具体方式及标准为：</w:t>
            </w:r>
            <w:r/>
          </w:p>
          <w:p>
            <w:pPr>
              <w:ind w:left="0" w:right="0"/>
              <w:jc w:val="left"/>
              <w:keepLines w:val="0"/>
              <w:keepNext w:val="0"/>
              <w:spacing w:before="0" w:beforeAutospacing="0" w:after="0" w:afterAutospacing="0" w:line="360" w:lineRule="exact"/>
              <w:widowControl/>
              <w:rPr>
                <w:rFonts w:hint="eastAsia" w:ascii="新宋体" w:hAnsi="新宋体" w:eastAsia="新宋体" w:cs="新宋体"/>
                <w:color w:val="auto"/>
                <w:sz w:val="24"/>
                <w:szCs w:val="24"/>
                <w:highlight w:val="none"/>
                <w:lang w:val="en-US" w:eastAsia="zh-CN"/>
              </w:rPr>
              <w:suppressLineNumbers w:val="0"/>
            </w:pPr>
            <w:r>
              <w:rPr>
                <w:rFonts w:hint="eastAsia" w:ascii="新宋体" w:hAnsi="新宋体" w:eastAsia="新宋体" w:cs="新宋体"/>
                <w:color w:val="auto"/>
                <w:sz w:val="24"/>
                <w:szCs w:val="24"/>
                <w:highlight w:val="none"/>
                <w:lang w:val="en-US" w:eastAsia="zh-CN"/>
              </w:rPr>
              <w:t xml:space="preserve">分包一：成交</w:t>
            </w:r>
            <w:r>
              <w:rPr>
                <w:rFonts w:hint="eastAsia" w:ascii="新宋体" w:hAnsi="新宋体" w:eastAsia="新宋体" w:cs="新宋体"/>
                <w:color w:val="auto"/>
                <w:sz w:val="24"/>
                <w:szCs w:val="24"/>
                <w:highlight w:val="none"/>
              </w:rPr>
              <w:t xml:space="preserve">人在</w:t>
            </w:r>
            <w:r>
              <w:rPr>
                <w:rFonts w:hint="eastAsia" w:ascii="新宋体" w:hAnsi="新宋体" w:eastAsia="新宋体" w:cs="新宋体"/>
                <w:color w:val="auto"/>
                <w:sz w:val="24"/>
                <w:szCs w:val="24"/>
                <w:highlight w:val="none"/>
                <w:lang w:val="en-US" w:eastAsia="zh-CN"/>
              </w:rPr>
              <w:t xml:space="preserve">成交结果</w:t>
            </w:r>
            <w:r>
              <w:rPr>
                <w:rFonts w:hint="eastAsia" w:ascii="新宋体" w:hAnsi="新宋体" w:eastAsia="新宋体" w:cs="新宋体"/>
                <w:color w:val="auto"/>
                <w:sz w:val="24"/>
                <w:szCs w:val="24"/>
                <w:highlight w:val="none"/>
              </w:rPr>
              <w:t xml:space="preserve">公告发出后7个工作日内</w:t>
            </w:r>
            <w:r>
              <w:rPr>
                <w:rFonts w:hint="eastAsia" w:ascii="新宋体" w:hAnsi="新宋体" w:eastAsia="新宋体" w:cs="新宋体"/>
                <w:color w:val="auto"/>
                <w:sz w:val="24"/>
                <w:szCs w:val="24"/>
                <w:highlight w:val="none"/>
                <w:lang w:eastAsia="zh-CN"/>
              </w:rPr>
              <w:t xml:space="preserve">，</w:t>
            </w:r>
            <w:r>
              <w:rPr>
                <w:rFonts w:hint="eastAsia" w:ascii="新宋体" w:hAnsi="新宋体" w:eastAsia="新宋体" w:cs="新宋体"/>
                <w:color w:val="auto"/>
                <w:sz w:val="24"/>
                <w:szCs w:val="24"/>
                <w:highlight w:val="none"/>
              </w:rPr>
              <w:t xml:space="preserve">按照“苏招协【2022】002号”文件标准</w:t>
            </w:r>
            <w:r>
              <w:rPr>
                <w:rFonts w:hint="eastAsia" w:ascii="新宋体" w:hAnsi="新宋体" w:eastAsia="新宋体" w:cs="新宋体"/>
                <w:color w:val="auto"/>
                <w:sz w:val="24"/>
                <w:szCs w:val="24"/>
                <w:highlight w:val="none"/>
                <w:lang w:val="en-US" w:eastAsia="zh-CN"/>
              </w:rPr>
              <w:t xml:space="preserve">*60%；</w:t>
            </w:r>
            <w:r/>
          </w:p>
          <w:p>
            <w:pPr>
              <w:ind w:left="0" w:right="0"/>
              <w:jc w:val="left"/>
              <w:keepLines w:val="0"/>
              <w:keepNext w:val="0"/>
              <w:spacing w:before="0" w:beforeAutospacing="0" w:after="0" w:afterAutospacing="0" w:line="360" w:lineRule="exact"/>
              <w:widowControl/>
              <w:rPr>
                <w:rFonts w:hint="eastAsia" w:ascii="新宋体" w:hAnsi="新宋体" w:eastAsia="新宋体" w:cs="新宋体"/>
                <w:color w:val="auto"/>
                <w:sz w:val="24"/>
                <w:szCs w:val="24"/>
                <w:highlight w:val="none"/>
                <w:lang w:val="en-US" w:eastAsia="zh-CN"/>
              </w:rPr>
              <w:suppressLineNumbers w:val="0"/>
            </w:pPr>
            <w:r>
              <w:rPr>
                <w:rFonts w:hint="eastAsia" w:ascii="新宋体" w:hAnsi="新宋体" w:eastAsia="新宋体" w:cs="新宋体"/>
                <w:color w:val="auto"/>
                <w:sz w:val="24"/>
                <w:szCs w:val="24"/>
                <w:highlight w:val="none"/>
                <w:lang w:val="en-US" w:eastAsia="zh-CN"/>
              </w:rPr>
              <w:t xml:space="preserve">分包二：成交</w:t>
            </w:r>
            <w:r>
              <w:rPr>
                <w:rFonts w:hint="eastAsia" w:ascii="新宋体" w:hAnsi="新宋体" w:eastAsia="新宋体" w:cs="新宋体"/>
                <w:color w:val="auto"/>
                <w:sz w:val="24"/>
                <w:szCs w:val="24"/>
                <w:highlight w:val="none"/>
              </w:rPr>
              <w:t xml:space="preserve">人在</w:t>
            </w:r>
            <w:r>
              <w:rPr>
                <w:rFonts w:hint="eastAsia" w:ascii="新宋体" w:hAnsi="新宋体" w:eastAsia="新宋体" w:cs="新宋体"/>
                <w:color w:val="auto"/>
                <w:sz w:val="24"/>
                <w:szCs w:val="24"/>
                <w:highlight w:val="none"/>
                <w:lang w:val="en-US" w:eastAsia="zh-CN"/>
              </w:rPr>
              <w:t xml:space="preserve">成交结果</w:t>
            </w:r>
            <w:r>
              <w:rPr>
                <w:rFonts w:hint="eastAsia" w:ascii="新宋体" w:hAnsi="新宋体" w:eastAsia="新宋体" w:cs="新宋体"/>
                <w:color w:val="auto"/>
                <w:sz w:val="24"/>
                <w:szCs w:val="24"/>
                <w:highlight w:val="none"/>
              </w:rPr>
              <w:t xml:space="preserve">公告发出后7个工作日内</w:t>
            </w:r>
            <w:r>
              <w:rPr>
                <w:rFonts w:hint="eastAsia" w:ascii="新宋体" w:hAnsi="新宋体" w:eastAsia="新宋体" w:cs="新宋体"/>
                <w:color w:val="auto"/>
                <w:sz w:val="24"/>
                <w:szCs w:val="24"/>
                <w:highlight w:val="none"/>
                <w:lang w:eastAsia="zh-CN"/>
              </w:rPr>
              <w:t xml:space="preserve">，</w:t>
            </w:r>
            <w:r>
              <w:rPr>
                <w:rFonts w:hint="eastAsia" w:ascii="新宋体" w:hAnsi="新宋体" w:eastAsia="新宋体" w:cs="新宋体"/>
                <w:color w:val="auto"/>
                <w:sz w:val="24"/>
                <w:szCs w:val="24"/>
                <w:highlight w:val="none"/>
              </w:rPr>
              <w:t xml:space="preserve">按照“苏招协【2022】002号”文件标准</w:t>
            </w:r>
            <w:r>
              <w:rPr>
                <w:rFonts w:hint="eastAsia" w:ascii="新宋体" w:hAnsi="新宋体" w:eastAsia="新宋体" w:cs="新宋体"/>
                <w:color w:val="auto"/>
                <w:sz w:val="24"/>
                <w:szCs w:val="24"/>
                <w:highlight w:val="none"/>
                <w:lang w:val="en-US" w:eastAsia="zh-CN"/>
              </w:rPr>
              <w:t xml:space="preserve">*60%；</w:t>
            </w:r>
            <w:r/>
          </w:p>
          <w:p>
            <w:pPr>
              <w:ind w:left="0" w:right="0"/>
              <w:jc w:val="left"/>
              <w:keepLines w:val="0"/>
              <w:keepNext w:val="0"/>
              <w:spacing w:before="0" w:beforeAutospacing="0" w:after="0" w:afterAutospacing="0" w:line="360" w:lineRule="exact"/>
              <w:widowControl/>
              <w:rPr>
                <w:rFonts w:hint="eastAsia" w:ascii="新宋体" w:hAnsi="新宋体" w:eastAsia="新宋体" w:cs="新宋体"/>
                <w:color w:val="auto"/>
                <w:sz w:val="24"/>
                <w:szCs w:val="24"/>
                <w:highlight w:val="none"/>
                <w:lang w:val="en-US" w:eastAsia="zh-CN"/>
              </w:rPr>
              <w:suppressLineNumbers w:val="0"/>
            </w:pPr>
            <w:r>
              <w:rPr>
                <w:rFonts w:hint="eastAsia" w:ascii="新宋体" w:hAnsi="新宋体" w:eastAsia="新宋体" w:cs="新宋体"/>
                <w:color w:val="auto"/>
                <w:sz w:val="24"/>
                <w:szCs w:val="24"/>
                <w:highlight w:val="none"/>
                <w:lang w:val="en-US" w:eastAsia="zh-CN"/>
              </w:rPr>
              <w:t xml:space="preserve">分包三：成交</w:t>
            </w:r>
            <w:r>
              <w:rPr>
                <w:rFonts w:hint="eastAsia" w:ascii="新宋体" w:hAnsi="新宋体" w:eastAsia="新宋体" w:cs="新宋体"/>
                <w:color w:val="auto"/>
                <w:sz w:val="24"/>
                <w:szCs w:val="24"/>
                <w:highlight w:val="none"/>
              </w:rPr>
              <w:t xml:space="preserve">人在</w:t>
            </w:r>
            <w:r>
              <w:rPr>
                <w:rFonts w:hint="eastAsia" w:ascii="新宋体" w:hAnsi="新宋体" w:eastAsia="新宋体" w:cs="新宋体"/>
                <w:color w:val="auto"/>
                <w:sz w:val="24"/>
                <w:szCs w:val="24"/>
                <w:highlight w:val="none"/>
                <w:lang w:val="en-US" w:eastAsia="zh-CN"/>
              </w:rPr>
              <w:t xml:space="preserve">成交结果</w:t>
            </w:r>
            <w:r>
              <w:rPr>
                <w:rFonts w:hint="eastAsia" w:ascii="新宋体" w:hAnsi="新宋体" w:eastAsia="新宋体" w:cs="新宋体"/>
                <w:color w:val="auto"/>
                <w:sz w:val="24"/>
                <w:szCs w:val="24"/>
                <w:highlight w:val="none"/>
              </w:rPr>
              <w:t xml:space="preserve">公告发出后7个工作日内</w:t>
            </w:r>
            <w:r>
              <w:rPr>
                <w:rFonts w:hint="eastAsia" w:ascii="新宋体" w:hAnsi="新宋体" w:eastAsia="新宋体" w:cs="新宋体"/>
                <w:color w:val="auto"/>
                <w:sz w:val="24"/>
                <w:szCs w:val="24"/>
                <w:highlight w:val="none"/>
                <w:lang w:eastAsia="zh-CN"/>
              </w:rPr>
              <w:t xml:space="preserve">，</w:t>
            </w:r>
            <w:r>
              <w:rPr>
                <w:rFonts w:hint="eastAsia" w:ascii="新宋体" w:hAnsi="新宋体" w:eastAsia="新宋体" w:cs="新宋体"/>
                <w:color w:val="auto"/>
                <w:sz w:val="24"/>
                <w:szCs w:val="24"/>
                <w:highlight w:val="none"/>
              </w:rPr>
              <w:t xml:space="preserve">按照“苏招协【2022】002号”文件标准</w:t>
            </w:r>
            <w:r>
              <w:rPr>
                <w:rFonts w:hint="eastAsia" w:ascii="新宋体" w:hAnsi="新宋体" w:eastAsia="新宋体" w:cs="新宋体"/>
                <w:color w:val="auto"/>
                <w:sz w:val="24"/>
                <w:szCs w:val="24"/>
                <w:highlight w:val="none"/>
                <w:lang w:val="en-US" w:eastAsia="zh-CN"/>
              </w:rPr>
              <w:t xml:space="preserve">*20%；</w:t>
            </w:r>
            <w:r/>
          </w:p>
          <w:p>
            <w:pPr>
              <w:ind w:left="0" w:right="0"/>
              <w:jc w:val="left"/>
              <w:keepLines w:val="0"/>
              <w:keepNext w:val="0"/>
              <w:spacing w:before="0" w:beforeAutospacing="0" w:after="0" w:afterAutospacing="0" w:line="360" w:lineRule="exact"/>
              <w:widowControl/>
              <w:rPr>
                <w:rFonts w:hint="default" w:ascii="新宋体" w:hAnsi="新宋体" w:eastAsia="新宋体" w:cs="新宋体"/>
                <w:color w:val="auto"/>
                <w:sz w:val="24"/>
                <w:szCs w:val="24"/>
                <w:highlight w:val="none"/>
                <w:lang w:val="en-US" w:eastAsia="zh-CN"/>
              </w:rPr>
              <w:suppressLineNumbers w:val="0"/>
            </w:pPr>
            <w:r>
              <w:rPr>
                <w:rFonts w:hint="eastAsia" w:ascii="新宋体" w:hAnsi="新宋体" w:eastAsia="新宋体" w:cs="新宋体"/>
                <w:color w:val="auto"/>
                <w:sz w:val="24"/>
                <w:szCs w:val="24"/>
                <w:highlight w:val="none"/>
                <w:lang w:val="en-US" w:eastAsia="zh-CN"/>
              </w:rPr>
              <w:t xml:space="preserve">分包四：成交</w:t>
            </w:r>
            <w:r>
              <w:rPr>
                <w:rFonts w:hint="eastAsia" w:ascii="新宋体" w:hAnsi="新宋体" w:eastAsia="新宋体" w:cs="新宋体"/>
                <w:color w:val="auto"/>
                <w:sz w:val="24"/>
                <w:szCs w:val="24"/>
                <w:highlight w:val="none"/>
              </w:rPr>
              <w:t xml:space="preserve">人在</w:t>
            </w:r>
            <w:r>
              <w:rPr>
                <w:rFonts w:hint="eastAsia" w:ascii="新宋体" w:hAnsi="新宋体" w:eastAsia="新宋体" w:cs="新宋体"/>
                <w:color w:val="auto"/>
                <w:sz w:val="24"/>
                <w:szCs w:val="24"/>
                <w:highlight w:val="none"/>
                <w:lang w:val="en-US" w:eastAsia="zh-CN"/>
              </w:rPr>
              <w:t xml:space="preserve">成交结果</w:t>
            </w:r>
            <w:r>
              <w:rPr>
                <w:rFonts w:hint="eastAsia" w:ascii="新宋体" w:hAnsi="新宋体" w:eastAsia="新宋体" w:cs="新宋体"/>
                <w:color w:val="auto"/>
                <w:sz w:val="24"/>
                <w:szCs w:val="24"/>
                <w:highlight w:val="none"/>
              </w:rPr>
              <w:t xml:space="preserve">公告发出后7个工作日内</w:t>
            </w:r>
            <w:r>
              <w:rPr>
                <w:rFonts w:hint="eastAsia" w:ascii="新宋体" w:hAnsi="新宋体" w:eastAsia="新宋体" w:cs="新宋体"/>
                <w:color w:val="auto"/>
                <w:sz w:val="24"/>
                <w:szCs w:val="24"/>
                <w:highlight w:val="none"/>
                <w:lang w:eastAsia="zh-CN"/>
              </w:rPr>
              <w:t xml:space="preserve">，</w:t>
            </w:r>
            <w:r>
              <w:rPr>
                <w:rFonts w:hint="eastAsia" w:ascii="新宋体" w:hAnsi="新宋体" w:eastAsia="新宋体" w:cs="新宋体"/>
                <w:color w:val="auto"/>
                <w:sz w:val="24"/>
                <w:szCs w:val="24"/>
                <w:highlight w:val="none"/>
              </w:rPr>
              <w:t xml:space="preserve">按照“苏招协【2022】002号”文件标准</w:t>
            </w:r>
            <w:r>
              <w:rPr>
                <w:rFonts w:hint="eastAsia" w:ascii="新宋体" w:hAnsi="新宋体" w:eastAsia="新宋体" w:cs="新宋体"/>
                <w:color w:val="auto"/>
                <w:sz w:val="24"/>
                <w:szCs w:val="24"/>
                <w:highlight w:val="none"/>
                <w:lang w:val="en-US" w:eastAsia="zh-CN"/>
              </w:rPr>
              <w:t xml:space="preserve">*30%。</w:t>
            </w:r>
            <w:r/>
          </w:p>
          <w:p>
            <w:pPr>
              <w:ind w:left="0" w:right="0"/>
              <w:jc w:val="left"/>
              <w:keepLines w:val="0"/>
              <w:keepNext w:val="0"/>
              <w:spacing w:before="0" w:beforeAutospacing="0" w:after="0" w:afterAutospacing="0" w:line="360" w:lineRule="exact"/>
              <w:widowControl/>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lang w:val="en-US" w:eastAsia="zh-CN"/>
              </w:rPr>
              <w:t xml:space="preserve">评审费均按实收取，成交</w:t>
            </w:r>
            <w:r>
              <w:rPr>
                <w:rFonts w:hint="eastAsia" w:ascii="新宋体" w:hAnsi="新宋体" w:eastAsia="新宋体" w:cs="新宋体"/>
                <w:color w:val="auto"/>
                <w:sz w:val="24"/>
                <w:szCs w:val="24"/>
                <w:highlight w:val="none"/>
              </w:rPr>
              <w:t xml:space="preserve">人应将其综合考虑在</w:t>
            </w:r>
            <w:r>
              <w:rPr>
                <w:rFonts w:hint="eastAsia" w:ascii="新宋体" w:hAnsi="新宋体" w:eastAsia="新宋体" w:cs="新宋体"/>
                <w:color w:val="auto"/>
                <w:sz w:val="24"/>
                <w:szCs w:val="24"/>
                <w:highlight w:val="none"/>
                <w:lang w:val="en-US" w:eastAsia="zh-CN"/>
              </w:rPr>
              <w:t xml:space="preserve">响应</w:t>
            </w:r>
            <w:r>
              <w:rPr>
                <w:rFonts w:hint="eastAsia" w:ascii="新宋体" w:hAnsi="新宋体" w:eastAsia="新宋体" w:cs="新宋体"/>
                <w:color w:val="auto"/>
                <w:sz w:val="24"/>
                <w:szCs w:val="24"/>
                <w:highlight w:val="none"/>
              </w:rPr>
              <w:t xml:space="preserve">报价中，不单独列项（可采用数字人民币方式）。</w:t>
            </w:r>
            <w:r/>
          </w:p>
        </w:tc>
      </w:tr>
    </w:tbl>
    <w:p>
      <w:pPr>
        <w:pStyle w:val="670"/>
        <w:ind w:firstLine="482"/>
        <w:spacing w:before="0" w:after="0" w:line="520" w:lineRule="exact"/>
        <w:rPr>
          <w:rFonts w:hint="eastAsia" w:ascii="新宋体" w:hAnsi="新宋体" w:eastAsia="新宋体" w:cs="新宋体"/>
          <w:b/>
          <w:bCs/>
          <w:color w:val="auto"/>
          <w:sz w:val="24"/>
          <w:szCs w:val="24"/>
          <w:highlight w:val="none"/>
        </w:rPr>
        <w:outlineLvl w:val="2"/>
      </w:pPr>
      <w:r/>
      <w:bookmarkStart w:id="62" w:name="EBc9d8a0a6c333409599b28034cbc893d2"/>
      <w:r/>
      <w:bookmarkEnd w:id="62"/>
      <w:r/>
      <w:bookmarkStart w:id="63" w:name="_Toc141869962"/>
      <w:r>
        <w:rPr>
          <w:rFonts w:hint="eastAsia" w:ascii="新宋体" w:hAnsi="新宋体" w:eastAsia="新宋体" w:cs="新宋体"/>
          <w:b/>
          <w:bCs/>
          <w:color w:val="auto"/>
          <w:sz w:val="24"/>
          <w:szCs w:val="24"/>
          <w:highlight w:val="none"/>
        </w:rPr>
        <w:t xml:space="preserve">一、总 则</w:t>
      </w:r>
      <w:bookmarkEnd w:id="63"/>
      <w:r/>
      <w:r/>
    </w:p>
    <w:p>
      <w:pPr>
        <w:ind w:firstLine="482"/>
        <w:spacing w:line="480" w:lineRule="exact"/>
        <w:rPr>
          <w:rFonts w:hint="eastAsia" w:ascii="新宋体" w:hAnsi="新宋体" w:eastAsia="新宋体" w:cs="新宋体"/>
          <w:b/>
          <w:color w:val="auto"/>
          <w:sz w:val="24"/>
          <w:szCs w:val="24"/>
          <w:highlight w:val="none"/>
        </w:rPr>
      </w:pPr>
      <w:r>
        <w:rPr>
          <w:rFonts w:hint="eastAsia" w:ascii="新宋体" w:hAnsi="新宋体" w:eastAsia="新宋体" w:cs="新宋体"/>
          <w:b/>
          <w:color w:val="auto"/>
          <w:sz w:val="24"/>
          <w:szCs w:val="24"/>
          <w:highlight w:val="none"/>
        </w:rPr>
        <w:t xml:space="preserve">1、采购方式</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本次采购采取竞争性磋商方式。</w:t>
      </w:r>
      <w:r/>
    </w:p>
    <w:p>
      <w:pPr>
        <w:ind w:firstLine="482"/>
        <w:spacing w:line="480" w:lineRule="exact"/>
        <w:rPr>
          <w:rFonts w:hint="eastAsia" w:ascii="新宋体" w:hAnsi="新宋体" w:eastAsia="新宋体" w:cs="新宋体"/>
          <w:b/>
          <w:color w:val="auto"/>
          <w:sz w:val="24"/>
          <w:szCs w:val="24"/>
          <w:highlight w:val="none"/>
        </w:rPr>
      </w:pPr>
      <w:r>
        <w:rPr>
          <w:rFonts w:hint="eastAsia" w:ascii="新宋体" w:hAnsi="新宋体" w:eastAsia="新宋体" w:cs="新宋体"/>
          <w:b/>
          <w:color w:val="auto"/>
          <w:sz w:val="24"/>
          <w:szCs w:val="24"/>
          <w:highlight w:val="none"/>
        </w:rPr>
        <w:t xml:space="preserve">2、合格的供应商</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2.1合格的供应商必须符合磋商文件第一章《</w:t>
      </w:r>
      <w:r>
        <w:rPr>
          <w:rFonts w:hint="eastAsia" w:ascii="新宋体" w:hAnsi="新宋体" w:eastAsia="新宋体" w:cs="新宋体"/>
          <w:color w:val="auto"/>
          <w:sz w:val="24"/>
          <w:szCs w:val="24"/>
          <w:highlight w:val="none"/>
          <w:lang w:val="en-US" w:eastAsia="zh-CN"/>
        </w:rPr>
        <w:t xml:space="preserve">竞争性</w:t>
      </w:r>
      <w:r>
        <w:rPr>
          <w:rFonts w:hint="eastAsia" w:ascii="新宋体" w:hAnsi="新宋体" w:eastAsia="新宋体" w:cs="新宋体"/>
          <w:color w:val="auto"/>
          <w:sz w:val="24"/>
          <w:szCs w:val="24"/>
          <w:highlight w:val="none"/>
        </w:rPr>
        <w:t xml:space="preserve">磋商邀请》第二条及供应商须知前附表相关规定，且具备完成本项目的能力，成交后不允许转包。</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2.2满足本文件实质性要求的规定。</w:t>
      </w:r>
      <w:r/>
    </w:p>
    <w:p>
      <w:pPr>
        <w:ind w:firstLine="482"/>
        <w:spacing w:line="480" w:lineRule="exact"/>
        <w:rPr>
          <w:rFonts w:hint="eastAsia" w:ascii="新宋体" w:hAnsi="新宋体" w:eastAsia="新宋体" w:cs="新宋体"/>
          <w:b/>
          <w:color w:val="auto"/>
          <w:sz w:val="24"/>
          <w:szCs w:val="24"/>
          <w:highlight w:val="none"/>
        </w:rPr>
      </w:pPr>
      <w:r>
        <w:rPr>
          <w:rFonts w:hint="eastAsia" w:ascii="新宋体" w:hAnsi="新宋体" w:eastAsia="新宋体" w:cs="新宋体"/>
          <w:b/>
          <w:color w:val="auto"/>
          <w:sz w:val="24"/>
          <w:szCs w:val="24"/>
          <w:highlight w:val="none"/>
        </w:rPr>
        <w:t xml:space="preserve">3、适用法律</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本次磋商及由磋商产生的合同受中华人民共和国的相关法律、法规制约和保护。</w:t>
      </w:r>
      <w:r/>
    </w:p>
    <w:p>
      <w:pPr>
        <w:ind w:firstLine="482"/>
        <w:spacing w:line="480" w:lineRule="exact"/>
        <w:rPr>
          <w:rFonts w:hint="eastAsia" w:ascii="新宋体" w:hAnsi="新宋体" w:eastAsia="新宋体" w:cs="新宋体"/>
          <w:b/>
          <w:color w:val="auto"/>
          <w:sz w:val="24"/>
          <w:szCs w:val="24"/>
          <w:highlight w:val="none"/>
        </w:rPr>
      </w:pPr>
      <w:r>
        <w:rPr>
          <w:rFonts w:hint="eastAsia" w:ascii="新宋体" w:hAnsi="新宋体" w:eastAsia="新宋体" w:cs="新宋体"/>
          <w:b/>
          <w:color w:val="auto"/>
          <w:sz w:val="24"/>
          <w:szCs w:val="24"/>
          <w:highlight w:val="none"/>
        </w:rPr>
        <w:t xml:space="preserve">4、费用</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供应商应自行承担所有参加磋商活动有关的费用。</w:t>
      </w:r>
      <w:r/>
    </w:p>
    <w:p>
      <w:pPr>
        <w:pStyle w:val="670"/>
        <w:ind w:firstLine="320"/>
        <w:spacing w:before="0" w:after="0" w:line="520" w:lineRule="exact"/>
        <w:rPr>
          <w:rFonts w:hint="eastAsia" w:ascii="新宋体" w:hAnsi="新宋体" w:eastAsia="新宋体" w:cs="新宋体"/>
          <w:b/>
          <w:bCs/>
          <w:color w:val="auto"/>
          <w:sz w:val="24"/>
          <w:szCs w:val="24"/>
          <w:highlight w:val="none"/>
        </w:rPr>
        <w:outlineLvl w:val="2"/>
      </w:pPr>
      <w:r/>
      <w:bookmarkStart w:id="64" w:name="_Toc141869963"/>
      <w:r>
        <w:rPr>
          <w:rFonts w:hint="eastAsia" w:ascii="新宋体" w:hAnsi="新宋体" w:eastAsia="新宋体" w:cs="新宋体"/>
          <w:b/>
          <w:bCs/>
          <w:color w:val="auto"/>
          <w:sz w:val="24"/>
          <w:szCs w:val="24"/>
          <w:highlight w:val="none"/>
        </w:rPr>
        <w:t xml:space="preserve">二、竞争性磋商文件</w:t>
      </w:r>
      <w:bookmarkEnd w:id="64"/>
      <w:r/>
      <w:r/>
    </w:p>
    <w:p>
      <w:pPr>
        <w:ind w:firstLine="482"/>
        <w:spacing w:line="480" w:lineRule="exact"/>
        <w:rPr>
          <w:rFonts w:hint="eastAsia" w:ascii="新宋体" w:hAnsi="新宋体" w:eastAsia="新宋体" w:cs="新宋体"/>
          <w:b/>
          <w:color w:val="auto"/>
          <w:sz w:val="24"/>
          <w:szCs w:val="24"/>
          <w:highlight w:val="none"/>
        </w:rPr>
      </w:pPr>
      <w:r>
        <w:rPr>
          <w:rFonts w:hint="eastAsia" w:ascii="新宋体" w:hAnsi="新宋体" w:eastAsia="新宋体" w:cs="新宋体"/>
          <w:b/>
          <w:color w:val="auto"/>
          <w:sz w:val="24"/>
          <w:szCs w:val="24"/>
          <w:highlight w:val="none"/>
        </w:rPr>
        <w:t xml:space="preserve">5、磋商文件构成</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5.1磋商文件由以下部分组成：</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第一章：磋商邀请；</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第二章：供应商须知；</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第三章：评审方法与评审标准；</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第四章：采购需求；</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第五章：合同文本；</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第六章：响应文件格式。</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请仔细检查磋商文件是否齐全，如有缺漏请立即与代理机构联系解决。</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5.2供应商应认真阅读磋商文件中所有的事项、格式、条款和规范等要求。按磋商文件要求和规定编制响应文件，并保证所提供的全部资料的真实性，以使其响应文件对磋商文件作出实质性响应，否则风险由供应商自行承担。</w:t>
      </w:r>
      <w:r/>
    </w:p>
    <w:p>
      <w:pPr>
        <w:ind w:firstLine="482"/>
        <w:spacing w:line="480" w:lineRule="exact"/>
        <w:rPr>
          <w:rFonts w:hint="eastAsia" w:ascii="新宋体" w:hAnsi="新宋体" w:eastAsia="新宋体" w:cs="新宋体"/>
          <w:b/>
          <w:color w:val="auto"/>
          <w:sz w:val="24"/>
          <w:szCs w:val="24"/>
          <w:highlight w:val="none"/>
        </w:rPr>
      </w:pPr>
      <w:r>
        <w:rPr>
          <w:rFonts w:hint="eastAsia" w:ascii="新宋体" w:hAnsi="新宋体" w:eastAsia="新宋体" w:cs="新宋体"/>
          <w:b/>
          <w:color w:val="auto"/>
          <w:sz w:val="24"/>
          <w:szCs w:val="24"/>
          <w:highlight w:val="none"/>
        </w:rPr>
        <w:t xml:space="preserve">6、政府采购政策</w:t>
      </w:r>
      <w:r/>
    </w:p>
    <w:p>
      <w:pPr>
        <w:ind w:firstLine="482"/>
        <w:spacing w:line="480" w:lineRule="exact"/>
        <w:rPr>
          <w:rFonts w:hint="eastAsia" w:ascii="新宋体" w:hAnsi="新宋体" w:eastAsia="新宋体" w:cs="新宋体"/>
          <w:b/>
          <w:color w:val="auto"/>
          <w:sz w:val="24"/>
          <w:szCs w:val="24"/>
          <w:highlight w:val="none"/>
          <w:u w:val="single"/>
        </w:rPr>
      </w:pPr>
      <w:r>
        <w:rPr>
          <w:rFonts w:hint="eastAsia" w:ascii="新宋体" w:hAnsi="新宋体" w:eastAsia="新宋体" w:cs="新宋体"/>
          <w:b/>
          <w:bCs/>
          <w:color w:val="auto"/>
          <w:sz w:val="24"/>
          <w:szCs w:val="24"/>
          <w:highlight w:val="none"/>
        </w:rPr>
        <w:t xml:space="preserve">本项目落实的政府采购政策对应序号为</w:t>
      </w:r>
      <w:r>
        <w:rPr>
          <w:rFonts w:hint="eastAsia" w:ascii="新宋体" w:hAnsi="新宋体" w:eastAsia="新宋体" w:cs="新宋体"/>
          <w:b/>
          <w:bCs/>
          <w:color w:val="auto"/>
          <w:sz w:val="24"/>
          <w:szCs w:val="24"/>
          <w:highlight w:val="none"/>
          <w:u w:val="single"/>
        </w:rPr>
        <w:t xml:space="preserve"> 6.1 </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6.1中小企业政策</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本项目按以下第</w:t>
      </w:r>
      <w:r>
        <w:rPr>
          <w:rFonts w:hint="eastAsia" w:ascii="新宋体" w:hAnsi="新宋体" w:eastAsia="新宋体" w:cs="新宋体"/>
          <w:b/>
          <w:bCs/>
          <w:color w:val="auto"/>
          <w:sz w:val="24"/>
          <w:szCs w:val="24"/>
          <w:highlight w:val="none"/>
          <w:u w:val="single"/>
        </w:rPr>
        <w:t xml:space="preserve">（</w:t>
      </w:r>
      <w:r>
        <w:rPr>
          <w:rFonts w:hint="eastAsia" w:ascii="新宋体" w:hAnsi="新宋体" w:eastAsia="新宋体" w:cs="新宋体"/>
          <w:b/>
          <w:bCs/>
          <w:color w:val="auto"/>
          <w:sz w:val="24"/>
          <w:szCs w:val="24"/>
          <w:highlight w:val="none"/>
          <w:u w:val="single"/>
          <w:lang w:val="en-US" w:eastAsia="zh-CN"/>
        </w:rPr>
        <w:t xml:space="preserve">2</w:t>
      </w:r>
      <w:r>
        <w:rPr>
          <w:rFonts w:hint="eastAsia" w:ascii="新宋体" w:hAnsi="新宋体" w:eastAsia="新宋体" w:cs="新宋体"/>
          <w:b/>
          <w:bCs/>
          <w:color w:val="auto"/>
          <w:sz w:val="24"/>
          <w:szCs w:val="24"/>
          <w:highlight w:val="none"/>
          <w:u w:val="single"/>
        </w:rPr>
        <w:t xml:space="preserve">）</w:t>
      </w:r>
      <w:r>
        <w:rPr>
          <w:rFonts w:hint="eastAsia" w:ascii="新宋体" w:hAnsi="新宋体" w:eastAsia="新宋体" w:cs="新宋体"/>
          <w:color w:val="auto"/>
          <w:sz w:val="24"/>
          <w:szCs w:val="24"/>
          <w:highlight w:val="none"/>
        </w:rPr>
        <w:t xml:space="preserve">种政策确定本项目落实的中小企业政策：</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（1）本项目专门面向中小微企业（含监狱企业或残疾人福利性单位）采购。</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（2）对符合规定情形的小微企业报价给予</w:t>
      </w:r>
      <w:r>
        <w:rPr>
          <w:rFonts w:hint="eastAsia" w:ascii="新宋体" w:hAnsi="新宋体" w:eastAsia="新宋体" w:cs="新宋体"/>
          <w:color w:val="auto"/>
          <w:sz w:val="24"/>
          <w:szCs w:val="24"/>
          <w:highlight w:val="none"/>
          <w:lang w:val="en-US" w:eastAsia="zh-CN"/>
        </w:rPr>
        <w:t xml:space="preserve">10%</w:t>
      </w:r>
      <w:r>
        <w:rPr>
          <w:rFonts w:hint="eastAsia" w:ascii="新宋体" w:hAnsi="新宋体" w:eastAsia="新宋体" w:cs="新宋体"/>
          <w:color w:val="auto"/>
          <w:sz w:val="24"/>
          <w:szCs w:val="24"/>
          <w:highlight w:val="none"/>
        </w:rPr>
        <w:t xml:space="preserve"> 扣除，用扣除后的价格参加评审。</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在服务采购项目中，服务由中小企业承接，即提供服务的人员为中小企业依照《中华人民共和国劳动合同法》订立劳动合同的从业人员。</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在货物采购项目中，货物由中小企业制造，即货物由中小企业生产且使用该中小企业商号或者注册商标。</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注：①参加磋商的中小企业，应当按照《政府采购促进中小企业发展管理办法》（财库〔2020〕46号）规定，出具《中小企业声明函》，中小企业划型依据《关于印发中小企业划型标准规定的通知》（工信部联企业〔2011〕300号）。</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②参加磋商的监狱企业，视同小型、微型企业。监狱企业应当按照《财政部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响应文件中上传加盖出具单位公章的电子件）。</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③参加磋商的残疾人福利性单位，视同小型、微型企业。残疾人福利性单位应当按照《财政部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新宋体" w:hAnsi="新宋体" w:eastAsia="新宋体" w:cs="新宋体"/>
          <w:color w:val="auto"/>
          <w:sz w:val="24"/>
          <w:szCs w:val="24"/>
          <w:highlight w:val="none"/>
          <w:u w:val="single"/>
        </w:rPr>
        <w:t xml:space="preserve">5</w:t>
      </w:r>
      <w:r>
        <w:rPr>
          <w:rFonts w:hint="eastAsia" w:ascii="新宋体" w:hAnsi="新宋体" w:eastAsia="新宋体" w:cs="新宋体"/>
          <w:color w:val="auto"/>
          <w:sz w:val="24"/>
          <w:szCs w:val="24"/>
          <w:highlight w:val="none"/>
        </w:rPr>
        <w:t xml:space="preserve">%（工程项目为</w:t>
      </w:r>
      <w:r>
        <w:rPr>
          <w:rFonts w:hint="eastAsia" w:ascii="新宋体" w:hAnsi="新宋体" w:eastAsia="新宋体" w:cs="新宋体"/>
          <w:color w:val="auto"/>
          <w:sz w:val="24"/>
          <w:szCs w:val="24"/>
          <w:highlight w:val="none"/>
          <w:u w:val="single"/>
        </w:rPr>
        <w:t xml:space="preserve">2</w:t>
      </w:r>
      <w:r>
        <w:rPr>
          <w:rFonts w:hint="eastAsia" w:ascii="新宋体" w:hAnsi="新宋体" w:eastAsia="新宋体" w:cs="新宋体"/>
          <w:color w:val="auto"/>
          <w:sz w:val="24"/>
          <w:szCs w:val="24"/>
          <w:highlight w:val="none"/>
        </w:rPr>
        <w:t xml:space="preserve">%）的扣除，用扣除后的价格参加评审。（是否接受联合体以“项目基本情况”相关内容为准，是否允许大中型企业向一家或者多家小微企业分包以“供应商须知前附表”、“采购需求”相关内容为准。）</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⑤联合体各方均为小型、微型企业（残疾人福利单位、监狱企业）的，联合体享受</w:t>
      </w:r>
      <w:r>
        <w:rPr>
          <w:rFonts w:hint="eastAsia" w:ascii="新宋体" w:hAnsi="新宋体" w:eastAsia="新宋体" w:cs="新宋体"/>
          <w:color w:val="auto"/>
          <w:sz w:val="24"/>
          <w:szCs w:val="24"/>
          <w:highlight w:val="none"/>
          <w:lang w:eastAsia="zh-CN"/>
        </w:rPr>
        <w:t xml:space="preserve">10%</w:t>
      </w:r>
      <w:r>
        <w:rPr>
          <w:rFonts w:hint="eastAsia" w:ascii="新宋体" w:hAnsi="新宋体" w:eastAsia="新宋体" w:cs="新宋体"/>
          <w:color w:val="auto"/>
          <w:sz w:val="24"/>
          <w:szCs w:val="24"/>
          <w:highlight w:val="none"/>
        </w:rPr>
        <w:t xml:space="preserve">价格扣除，用扣除后的价格参与评审。</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6.2节能产品、环境标志产品</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拟采购的产品属于品目清单范围的，采购人将依据国家确定的认证机构出具的、处于有效期之内的节能产品、环境标志产品认证证书，对获得证书的产品实施政府优先采购或强制采购。</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6.2.1拟采购的产品属于政府强制采购的节能产品品目清单范围的，供应商须提供国家确定的认证机构出具的、处于有效期之内的节能产品认证证书，否则其响应文件按无效标处理。</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6.2.2拟采购的产品属于优先采购的节能环保品目清单范围的，对提供有效节能产品或环境标志产品认证证书的供应商加分。</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6.3政府采购需求标准</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6.3.1商品包装、快递包装政府采购需求标准（试行）</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按照财政部印发的《商品包装政府采购需求标准（试行）》《快递包装政府采购需求标准（试行）》要求执行，本项目商品包装和快递包装的具体需求详见第四章采购需求。</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6.3.2绿色数据中心政府采购需求标准（试行）</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按照财政部 生态环境部 工业和信息化部关于印发《绿色数据中心政府采购需求标准（试行）》的通知）要求执行，本项目绿色数据中心的具体需求详见第四章采购需求。</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6.3.3绿色建材政府采购需求标准</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按照财政部 住房和城乡建设部 工业和信息化部关于印发《关于扩大政府采购支持绿色建材促进建筑品质提升政策实施范围的通知》要求执行，本项目绿色建材的具体需求详见第四章采购需求。</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6.4采购产品中涉及涂料、胶黏剂、油墨、清洗剂等挥发性有机物产品的，属于强制性标准的，供应商应当提供符合国家和江苏省相关VOCs含量限制标准的产品。采购产品中涉及通用类货物、家具的，供应商应当优先使用低挥发性原辅材料，采购人将使用低VOCs含量的涂料、胶黏剂等纳入政府采购合同条款的，供应商必须严格执行。</w:t>
      </w:r>
      <w:r/>
    </w:p>
    <w:p>
      <w:pPr>
        <w:ind w:firstLine="482"/>
        <w:spacing w:line="480" w:lineRule="exact"/>
        <w:rPr>
          <w:rFonts w:hint="eastAsia" w:ascii="新宋体" w:hAnsi="新宋体" w:eastAsia="新宋体" w:cs="新宋体"/>
          <w:b/>
          <w:color w:val="auto"/>
          <w:sz w:val="24"/>
          <w:szCs w:val="24"/>
          <w:highlight w:val="none"/>
        </w:rPr>
      </w:pPr>
      <w:r>
        <w:rPr>
          <w:rFonts w:hint="eastAsia" w:ascii="新宋体" w:hAnsi="新宋体" w:eastAsia="新宋体" w:cs="新宋体"/>
          <w:b/>
          <w:color w:val="auto"/>
          <w:sz w:val="24"/>
          <w:szCs w:val="24"/>
          <w:highlight w:val="none"/>
        </w:rPr>
        <w:t xml:space="preserve">7、磋商文件的澄清或修改</w:t>
      </w:r>
      <w:r/>
    </w:p>
    <w:p>
      <w:pPr>
        <w:ind w:firstLine="482"/>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7.1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在提交首次响应文件截止时间至少5日前，以书面形式通知所有获取磋商文件的供应商；不足5日的，采购人、采购代理机构应顺延提交首次响应文件截止时间。</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7.2磋商文件的澄清或者修改将在原公告媒体上发布更正公告，澄清、修改文件均作为磋商文件的组成部分，并对供应商具有约束力。</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7.3供应商应及时登录“苏采云”系统获取澄清答疑文件（修改后磋商文件），如供应商未能及时下载澄清和修改后的磋商文件，造成的相关责任由供应商承担。</w:t>
      </w:r>
      <w:r/>
    </w:p>
    <w:p>
      <w:pPr>
        <w:pStyle w:val="670"/>
        <w:ind w:firstLine="482"/>
        <w:spacing w:before="0" w:after="0" w:line="520" w:lineRule="exact"/>
        <w:rPr>
          <w:rFonts w:hint="eastAsia" w:ascii="新宋体" w:hAnsi="新宋体" w:eastAsia="新宋体" w:cs="新宋体"/>
          <w:b/>
          <w:bCs/>
          <w:color w:val="auto"/>
          <w:sz w:val="24"/>
          <w:szCs w:val="24"/>
          <w:highlight w:val="none"/>
        </w:rPr>
        <w:outlineLvl w:val="2"/>
      </w:pPr>
      <w:r/>
      <w:bookmarkStart w:id="65" w:name="_Toc141869964"/>
      <w:r>
        <w:rPr>
          <w:rFonts w:hint="eastAsia" w:ascii="新宋体" w:hAnsi="新宋体" w:eastAsia="新宋体" w:cs="新宋体"/>
          <w:b/>
          <w:bCs/>
          <w:color w:val="auto"/>
          <w:sz w:val="24"/>
          <w:szCs w:val="24"/>
          <w:highlight w:val="none"/>
        </w:rPr>
        <w:t xml:space="preserve">三、响应文件的编制</w:t>
      </w:r>
      <w:bookmarkEnd w:id="65"/>
      <w:r/>
      <w:r/>
    </w:p>
    <w:p>
      <w:pPr>
        <w:ind w:firstLine="482"/>
        <w:spacing w:line="480" w:lineRule="exact"/>
        <w:rPr>
          <w:rFonts w:hint="eastAsia" w:ascii="新宋体" w:hAnsi="新宋体" w:eastAsia="新宋体" w:cs="新宋体"/>
          <w:b/>
          <w:color w:val="auto"/>
          <w:sz w:val="24"/>
          <w:szCs w:val="24"/>
          <w:highlight w:val="none"/>
        </w:rPr>
      </w:pPr>
      <w:r>
        <w:rPr>
          <w:rFonts w:hint="eastAsia" w:ascii="新宋体" w:hAnsi="新宋体" w:eastAsia="新宋体" w:cs="新宋体"/>
          <w:b/>
          <w:color w:val="auto"/>
          <w:sz w:val="24"/>
          <w:szCs w:val="24"/>
          <w:highlight w:val="none"/>
        </w:rPr>
        <w:t xml:space="preserve">8、响应文件的编制要求</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8.1供应商应仔细阅读“磋商文件”的所有内容，保证所提供的全部资料的真实性、完整性及有效性，以使其响应对“磋商文件”作出实质性响应。</w:t>
      </w:r>
      <w:r/>
    </w:p>
    <w:p>
      <w:pPr>
        <w:ind w:firstLine="480"/>
        <w:spacing w:line="480" w:lineRule="exact"/>
        <w:rPr>
          <w:rFonts w:hint="eastAsia" w:ascii="新宋体" w:hAnsi="新宋体" w:eastAsia="新宋体" w:cs="新宋体"/>
          <w:color w:val="auto"/>
          <w:sz w:val="24"/>
          <w:szCs w:val="24"/>
          <w:highlight w:val="none"/>
          <w:lang w:eastAsia="zh-CN"/>
        </w:rPr>
      </w:pPr>
      <w:r>
        <w:rPr>
          <w:rFonts w:hint="eastAsia" w:ascii="新宋体" w:hAnsi="新宋体" w:eastAsia="新宋体" w:cs="新宋体"/>
          <w:color w:val="auto"/>
          <w:sz w:val="24"/>
          <w:szCs w:val="24"/>
          <w:highlight w:val="none"/>
        </w:rPr>
        <w:t xml:space="preserve">8.2响应文件要求加盖电子签章之处，应按要求加盖供应商数字证书的电子签章。其他需要盖章但未明确要求电子签章的，供应商可按要求盖公章后上传材料电子件或直接盖电子签章</w:t>
      </w:r>
      <w:r>
        <w:rPr>
          <w:rFonts w:hint="eastAsia" w:ascii="新宋体" w:hAnsi="新宋体" w:eastAsia="新宋体" w:cs="新宋体"/>
          <w:color w:val="auto"/>
          <w:sz w:val="24"/>
          <w:szCs w:val="24"/>
          <w:highlight w:val="none"/>
          <w:lang w:eastAsia="zh-CN"/>
        </w:rPr>
        <w:t xml:space="preserve">。</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8.3本项目通过“苏采云”系统进行电子磋商，供应商使用政府采购客户端工具制作并通过“苏采云”系统提交响应文件，如</w:t>
      </w:r>
      <w:r>
        <w:rPr>
          <w:rFonts w:hint="eastAsia" w:ascii="新宋体" w:hAnsi="新宋体" w:eastAsia="新宋体" w:cs="新宋体"/>
          <w:color w:val="auto"/>
          <w:sz w:val="24"/>
          <w:szCs w:val="24"/>
          <w:highlight w:val="none"/>
          <w:lang w:val="en-US" w:eastAsia="zh-CN"/>
        </w:rPr>
        <w:t xml:space="preserve">响应文件</w:t>
      </w:r>
      <w:r>
        <w:rPr>
          <w:rFonts w:hint="eastAsia" w:ascii="新宋体" w:hAnsi="新宋体" w:eastAsia="新宋体" w:cs="新宋体"/>
          <w:color w:val="auto"/>
          <w:sz w:val="24"/>
          <w:szCs w:val="24"/>
          <w:highlight w:val="none"/>
        </w:rPr>
        <w:t xml:space="preserve">制作工具中格式和内容与“江苏政府采购网”“宿迁市政府采购网”发布的磋商文件不一致的，以“江苏政府采购网”“宿迁市政府采购网”发布的磋商文件为准。</w:t>
      </w:r>
      <w:r/>
    </w:p>
    <w:p>
      <w:pPr>
        <w:ind w:firstLine="482"/>
        <w:spacing w:line="480" w:lineRule="exact"/>
        <w:rPr>
          <w:rFonts w:hint="eastAsia" w:ascii="新宋体" w:hAnsi="新宋体" w:eastAsia="新宋体" w:cs="新宋体"/>
          <w:b/>
          <w:color w:val="auto"/>
          <w:sz w:val="24"/>
          <w:szCs w:val="24"/>
          <w:highlight w:val="none"/>
        </w:rPr>
      </w:pPr>
      <w:r>
        <w:rPr>
          <w:rFonts w:hint="eastAsia" w:ascii="新宋体" w:hAnsi="新宋体" w:eastAsia="新宋体" w:cs="新宋体"/>
          <w:b/>
          <w:color w:val="auto"/>
          <w:sz w:val="24"/>
          <w:szCs w:val="24"/>
          <w:highlight w:val="none"/>
        </w:rPr>
        <w:t xml:space="preserve">9、响应文件构成</w:t>
      </w:r>
      <w:r/>
    </w:p>
    <w:p>
      <w:pPr>
        <w:ind w:firstLine="482"/>
        <w:spacing w:line="480" w:lineRule="exact"/>
        <w:rPr>
          <w:rFonts w:hint="eastAsia" w:ascii="新宋体" w:hAnsi="新宋体" w:eastAsia="新宋体" w:cs="新宋体"/>
          <w:b/>
          <w:color w:val="auto"/>
          <w:sz w:val="24"/>
          <w:szCs w:val="24"/>
          <w:highlight w:val="none"/>
        </w:rPr>
      </w:pPr>
      <w:r/>
      <w:bookmarkStart w:id="66" w:name="EBd2e6df6607b447c7a4370e6531238d19"/>
      <w:r>
        <w:rPr>
          <w:rFonts w:hint="eastAsia" w:ascii="新宋体" w:hAnsi="新宋体" w:eastAsia="新宋体" w:cs="新宋体"/>
          <w:color w:val="auto"/>
          <w:sz w:val="24"/>
          <w:szCs w:val="24"/>
          <w:highlight w:val="none"/>
        </w:rPr>
        <w:t xml:space="preserve">9.1响应文件包括资格证明文件、实质性要求响应及偏离表、分项报价表、响应及偏离表、磋商申请函、其他证明文件等部分。响应文件构成资料为非中文时应提供中文译版。</w:t>
      </w:r>
      <w:r/>
    </w:p>
    <w:p>
      <w:pPr>
        <w:ind w:firstLine="482"/>
        <w:spacing w:line="480" w:lineRule="exact"/>
        <w:rPr>
          <w:rFonts w:hint="eastAsia" w:ascii="新宋体" w:hAnsi="新宋体" w:eastAsia="新宋体" w:cs="新宋体"/>
          <w:b/>
          <w:color w:val="auto"/>
          <w:sz w:val="24"/>
          <w:szCs w:val="24"/>
          <w:highlight w:val="none"/>
        </w:rPr>
      </w:pPr>
      <w:r>
        <w:rPr>
          <w:rFonts w:hint="eastAsia" w:ascii="新宋体" w:hAnsi="新宋体" w:eastAsia="新宋体" w:cs="新宋体"/>
          <w:b/>
          <w:color w:val="auto"/>
          <w:sz w:val="24"/>
          <w:szCs w:val="24"/>
          <w:highlight w:val="none"/>
        </w:rPr>
        <w:t xml:space="preserve">9.2磋商文件要求提供证书证件等原件电子件的，供应商提供的电子件应是对证书证件等原件通过扫描、拍照等方式进行数字化的可被</w:t>
      </w:r>
      <w:r>
        <w:rPr>
          <w:rFonts w:hint="eastAsia" w:ascii="新宋体" w:hAnsi="新宋体" w:eastAsia="新宋体" w:cs="新宋体"/>
          <w:b/>
          <w:bCs/>
          <w:color w:val="auto"/>
          <w:sz w:val="24"/>
          <w:szCs w:val="24"/>
          <w:highlight w:val="none"/>
        </w:rPr>
        <w:t xml:space="preserve">“苏采云”</w:t>
      </w:r>
      <w:r>
        <w:rPr>
          <w:rFonts w:hint="eastAsia" w:ascii="新宋体" w:hAnsi="新宋体" w:eastAsia="新宋体" w:cs="新宋体"/>
          <w:b/>
          <w:color w:val="auto"/>
          <w:sz w:val="24"/>
          <w:szCs w:val="24"/>
          <w:highlight w:val="none"/>
        </w:rPr>
        <w:t xml:space="preserve">系统识别的数字文件，否则磋商小组可以视其未提供。无论何种原因，即使供应商磋商时携带了证书证明资料的原件，但电子响应文件中未包含相关资料电子件的，磋商小组可以视同其未提供。</w:t>
      </w:r>
      <w:bookmarkEnd w:id="66"/>
      <w:r/>
      <w:r/>
    </w:p>
    <w:p>
      <w:pPr>
        <w:ind w:firstLine="482"/>
        <w:spacing w:line="480" w:lineRule="exact"/>
        <w:rPr>
          <w:rFonts w:hint="eastAsia" w:ascii="新宋体" w:hAnsi="新宋体" w:eastAsia="新宋体" w:cs="新宋体"/>
          <w:b/>
          <w:color w:val="auto"/>
          <w:sz w:val="24"/>
          <w:szCs w:val="24"/>
          <w:highlight w:val="none"/>
        </w:rPr>
      </w:pPr>
      <w:r>
        <w:rPr>
          <w:rFonts w:hint="eastAsia" w:ascii="新宋体" w:hAnsi="新宋体" w:eastAsia="新宋体" w:cs="新宋体"/>
          <w:b/>
          <w:color w:val="auto"/>
          <w:sz w:val="24"/>
          <w:szCs w:val="24"/>
          <w:highlight w:val="none"/>
        </w:rPr>
        <w:t xml:space="preserve">10、响应文件的报价</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10.1分次报价，供应商响应文件中的</w:t>
      </w:r>
      <w:r>
        <w:rPr>
          <w:rFonts w:hint="eastAsia" w:ascii="新宋体" w:hAnsi="新宋体" w:eastAsia="新宋体" w:cs="新宋体"/>
          <w:color w:val="auto"/>
          <w:sz w:val="24"/>
          <w:szCs w:val="24"/>
          <w:highlight w:val="none"/>
          <w:lang w:val="en-US" w:eastAsia="zh-CN"/>
        </w:rPr>
        <w:t xml:space="preserve">首次</w:t>
      </w:r>
      <w:r>
        <w:rPr>
          <w:rFonts w:hint="eastAsia" w:ascii="新宋体" w:hAnsi="新宋体" w:eastAsia="新宋体" w:cs="新宋体"/>
          <w:color w:val="auto"/>
          <w:sz w:val="24"/>
          <w:szCs w:val="24"/>
          <w:highlight w:val="none"/>
        </w:rPr>
        <w:t xml:space="preserve">报价作为第一次报价，不公开；以最</w:t>
      </w:r>
      <w:r>
        <w:rPr>
          <w:rFonts w:hint="eastAsia" w:ascii="新宋体" w:hAnsi="新宋体" w:eastAsia="新宋体" w:cs="新宋体"/>
          <w:color w:val="auto"/>
          <w:sz w:val="24"/>
          <w:szCs w:val="24"/>
          <w:highlight w:val="none"/>
          <w:lang w:val="en-US" w:eastAsia="zh-CN"/>
        </w:rPr>
        <w:t xml:space="preserve">后</w:t>
      </w:r>
      <w:r>
        <w:rPr>
          <w:rFonts w:hint="eastAsia" w:ascii="新宋体" w:hAnsi="新宋体" w:eastAsia="新宋体" w:cs="新宋体"/>
          <w:color w:val="auto"/>
          <w:sz w:val="24"/>
          <w:szCs w:val="24"/>
          <w:highlight w:val="none"/>
        </w:rPr>
        <w:t xml:space="preserve">报价作为价格分计算</w:t>
      </w:r>
      <w:r>
        <w:rPr>
          <w:rFonts w:hint="eastAsia" w:ascii="新宋体" w:hAnsi="新宋体" w:eastAsia="新宋体" w:cs="新宋体"/>
          <w:color w:val="auto"/>
          <w:sz w:val="24"/>
          <w:szCs w:val="24"/>
          <w:highlight w:val="none"/>
          <w:lang w:val="en-US" w:eastAsia="zh-CN"/>
        </w:rPr>
        <w:t xml:space="preserve">依据</w:t>
      </w:r>
      <w:r>
        <w:rPr>
          <w:rFonts w:hint="eastAsia" w:ascii="新宋体" w:hAnsi="新宋体" w:eastAsia="新宋体" w:cs="新宋体"/>
          <w:color w:val="auto"/>
          <w:sz w:val="24"/>
          <w:szCs w:val="24"/>
          <w:highlight w:val="none"/>
        </w:rPr>
        <w:t xml:space="preserve">。</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10.2报价注意事项：报价一律以人民币计算，以元为单位标注，最多保留至小数点后两位，磋商文件有规定的按磋商文件执行。</w:t>
      </w:r>
      <w:r/>
    </w:p>
    <w:p>
      <w:pPr>
        <w:ind w:firstLine="482"/>
        <w:spacing w:line="480" w:lineRule="exact"/>
        <w:rPr>
          <w:rFonts w:hint="eastAsia" w:ascii="新宋体" w:hAnsi="新宋体" w:eastAsia="新宋体" w:cs="新宋体"/>
          <w:b/>
          <w:color w:val="auto"/>
          <w:sz w:val="24"/>
          <w:szCs w:val="24"/>
          <w:highlight w:val="none"/>
        </w:rPr>
      </w:pPr>
      <w:r>
        <w:rPr>
          <w:rFonts w:hint="eastAsia" w:ascii="新宋体" w:hAnsi="新宋体" w:eastAsia="新宋体" w:cs="新宋体"/>
          <w:b/>
          <w:color w:val="auto"/>
          <w:sz w:val="24"/>
          <w:szCs w:val="24"/>
          <w:highlight w:val="none"/>
        </w:rPr>
        <w:t xml:space="preserve">11、磋商保证金</w:t>
      </w:r>
      <w:r/>
    </w:p>
    <w:p>
      <w:pPr>
        <w:ind w:firstLine="480"/>
        <w:spacing w:line="480" w:lineRule="exact"/>
        <w:rPr>
          <w:rFonts w:hint="eastAsia" w:ascii="新宋体" w:hAnsi="新宋体" w:eastAsia="新宋体" w:cs="新宋体"/>
          <w:color w:val="auto"/>
          <w:sz w:val="24"/>
          <w:szCs w:val="24"/>
          <w:highlight w:val="none"/>
        </w:rPr>
      </w:pPr>
      <w:r/>
      <w:bookmarkStart w:id="67" w:name="EB2c6535ca97b046d89f956e109e785ae2"/>
      <w:r>
        <w:rPr>
          <w:rFonts w:hint="eastAsia" w:ascii="新宋体" w:hAnsi="新宋体" w:eastAsia="新宋体" w:cs="新宋体"/>
          <w:color w:val="auto"/>
          <w:sz w:val="24"/>
          <w:szCs w:val="24"/>
          <w:highlight w:val="none"/>
        </w:rPr>
        <w:t xml:space="preserve">本项目不收取磋商保证金。</w:t>
      </w:r>
      <w:bookmarkEnd w:id="67"/>
      <w:r/>
      <w:r/>
    </w:p>
    <w:p>
      <w:pPr>
        <w:ind w:firstLine="482"/>
        <w:spacing w:line="480" w:lineRule="exact"/>
        <w:rPr>
          <w:rFonts w:hint="eastAsia" w:ascii="新宋体" w:hAnsi="新宋体" w:eastAsia="新宋体" w:cs="新宋体"/>
          <w:b/>
          <w:color w:val="auto"/>
          <w:sz w:val="24"/>
          <w:szCs w:val="24"/>
          <w:highlight w:val="none"/>
        </w:rPr>
      </w:pPr>
      <w:r>
        <w:rPr>
          <w:rFonts w:hint="eastAsia" w:ascii="新宋体" w:hAnsi="新宋体" w:eastAsia="新宋体" w:cs="新宋体"/>
          <w:b/>
          <w:color w:val="auto"/>
          <w:sz w:val="24"/>
          <w:szCs w:val="24"/>
          <w:highlight w:val="none"/>
        </w:rPr>
        <w:t xml:space="preserve">12、响应有效期</w:t>
      </w:r>
      <w:r/>
    </w:p>
    <w:p>
      <w:pPr>
        <w:ind w:firstLine="480"/>
        <w:spacing w:line="480" w:lineRule="exact"/>
        <w:rPr>
          <w:rFonts w:hint="eastAsia" w:ascii="新宋体" w:hAnsi="新宋体" w:eastAsia="新宋体" w:cs="新宋体"/>
          <w:color w:val="auto"/>
          <w:sz w:val="24"/>
          <w:szCs w:val="24"/>
          <w:highlight w:val="none"/>
        </w:rPr>
      </w:pPr>
      <w:r/>
      <w:bookmarkStart w:id="68" w:name="_Toc141869965"/>
      <w:r>
        <w:rPr>
          <w:rFonts w:hint="eastAsia" w:ascii="新宋体" w:hAnsi="新宋体" w:eastAsia="新宋体" w:cs="新宋体"/>
          <w:color w:val="auto"/>
          <w:sz w:val="24"/>
          <w:szCs w:val="24"/>
          <w:highlight w:val="none"/>
        </w:rPr>
        <w:t xml:space="preserve">12.1在供应商须知前附表规定的响应有效期内，响应有效期从提交响应文件的截止之日起算。响应有效期比规定短的将被视为未实质性响应磋商文件。</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12.2</w:t>
      </w:r>
      <w:r>
        <w:rPr>
          <w:rFonts w:hint="eastAsia" w:ascii="新宋体" w:hAnsi="新宋体" w:eastAsia="新宋体" w:cs="新宋体"/>
          <w:bCs/>
          <w:color w:val="auto"/>
          <w:sz w:val="24"/>
          <w:szCs w:val="24"/>
          <w:highlight w:val="none"/>
        </w:rPr>
        <w:t xml:space="preserve">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允许修改其响应文件。</w:t>
      </w:r>
      <w:r>
        <w:rPr>
          <w:rFonts w:hint="eastAsia" w:ascii="新宋体" w:hAnsi="新宋体" w:eastAsia="新宋体" w:cs="新宋体"/>
          <w:color w:val="auto"/>
          <w:sz w:val="24"/>
          <w:szCs w:val="24"/>
          <w:highlight w:val="none"/>
        </w:rPr>
        <w:t xml:space="preserve">受磋商有效期约束的所有权利与义务均延长至新的有效期</w:t>
      </w:r>
      <w:r>
        <w:rPr>
          <w:rFonts w:hint="eastAsia" w:ascii="新宋体" w:hAnsi="新宋体" w:eastAsia="新宋体" w:cs="新宋体"/>
          <w:bCs/>
          <w:color w:val="auto"/>
          <w:sz w:val="24"/>
          <w:szCs w:val="24"/>
          <w:highlight w:val="none"/>
        </w:rPr>
        <w:t xml:space="preserve">。</w:t>
      </w:r>
      <w:r/>
    </w:p>
    <w:p>
      <w:pPr>
        <w:pStyle w:val="670"/>
        <w:ind w:firstLine="482"/>
        <w:spacing w:before="0" w:after="0" w:line="520" w:lineRule="exact"/>
        <w:rPr>
          <w:rFonts w:hint="eastAsia" w:ascii="新宋体" w:hAnsi="新宋体" w:eastAsia="新宋体" w:cs="新宋体"/>
          <w:b/>
          <w:bCs/>
          <w:color w:val="auto"/>
          <w:sz w:val="24"/>
          <w:szCs w:val="24"/>
          <w:highlight w:val="none"/>
        </w:rPr>
        <w:outlineLvl w:val="2"/>
      </w:pPr>
      <w:r>
        <w:rPr>
          <w:rFonts w:hint="eastAsia" w:ascii="新宋体" w:hAnsi="新宋体" w:eastAsia="新宋体" w:cs="新宋体"/>
          <w:b/>
          <w:bCs/>
          <w:color w:val="auto"/>
          <w:sz w:val="24"/>
          <w:szCs w:val="24"/>
          <w:highlight w:val="none"/>
        </w:rPr>
        <w:t xml:space="preserve">四、响应文件的提交</w:t>
      </w:r>
      <w:bookmarkEnd w:id="68"/>
      <w:r/>
      <w:r/>
    </w:p>
    <w:p>
      <w:pPr>
        <w:ind w:firstLine="482"/>
        <w:spacing w:line="480" w:lineRule="exact"/>
        <w:rPr>
          <w:rFonts w:hint="eastAsia" w:ascii="新宋体" w:hAnsi="新宋体" w:eastAsia="新宋体" w:cs="新宋体"/>
          <w:b/>
          <w:color w:val="auto"/>
          <w:sz w:val="24"/>
          <w:szCs w:val="24"/>
          <w:highlight w:val="none"/>
        </w:rPr>
      </w:pPr>
      <w:r>
        <w:rPr>
          <w:rFonts w:hint="eastAsia" w:ascii="新宋体" w:hAnsi="新宋体" w:eastAsia="新宋体" w:cs="新宋体"/>
          <w:b/>
          <w:color w:val="auto"/>
          <w:sz w:val="24"/>
          <w:szCs w:val="24"/>
          <w:highlight w:val="none"/>
        </w:rPr>
        <w:t xml:space="preserve">13、响应文件的提交</w:t>
      </w:r>
      <w:r/>
    </w:p>
    <w:p>
      <w:pPr>
        <w:ind w:firstLine="480"/>
        <w:spacing w:line="480" w:lineRule="exact"/>
        <w:widowControl/>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13.1供应商应在磋商文件规定的响应截止时间前提交响应文件。供应商应将电子响应文件上传至“苏采云”系统对应的采购包中。除磋商文件另有规定外，供应商所提交的响应文件不予退还。</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13.2响应文件的修改或撤回：在响应截止时间前，供应商可以撤回或重新提交响应文件。响应文件以最终完成上传的为准。</w:t>
      </w:r>
      <w:r/>
    </w:p>
    <w:p>
      <w:pPr>
        <w:ind w:right="105" w:firstLine="480"/>
        <w:spacing w:line="480" w:lineRule="exact"/>
        <w:rPr>
          <w:rFonts w:hint="eastAsia" w:ascii="新宋体" w:hAnsi="新宋体" w:eastAsia="新宋体" w:cs="新宋体"/>
          <w:b/>
          <w:color w:val="auto"/>
          <w:sz w:val="24"/>
          <w:szCs w:val="24"/>
          <w:highlight w:val="none"/>
          <w:u w:val="single"/>
        </w:rPr>
      </w:pPr>
      <w:r>
        <w:rPr>
          <w:rFonts w:hint="eastAsia" w:ascii="新宋体" w:hAnsi="新宋体" w:eastAsia="新宋体" w:cs="新宋体"/>
          <w:color w:val="auto"/>
          <w:sz w:val="24"/>
          <w:szCs w:val="24"/>
          <w:highlight w:val="none"/>
        </w:rPr>
        <w:t xml:space="preserve">13.3采购人、采购代理机构可以通过修改磋商文件酌情延长响应文件接收截止日期，在此情况下，供应商的所有权利和义务以及供应商受制约的截止日期均应以延长后新的截止日期为准。</w:t>
      </w:r>
      <w:r/>
    </w:p>
    <w:p>
      <w:pPr>
        <w:ind w:firstLine="482"/>
        <w:spacing w:line="480" w:lineRule="exact"/>
        <w:rPr>
          <w:rFonts w:hint="eastAsia" w:ascii="新宋体" w:hAnsi="新宋体" w:eastAsia="新宋体" w:cs="新宋体"/>
          <w:b/>
          <w:color w:val="auto"/>
          <w:sz w:val="24"/>
          <w:szCs w:val="24"/>
          <w:highlight w:val="none"/>
        </w:rPr>
      </w:pPr>
      <w:r>
        <w:rPr>
          <w:rFonts w:hint="eastAsia" w:ascii="新宋体" w:hAnsi="新宋体" w:eastAsia="新宋体" w:cs="新宋体"/>
          <w:b/>
          <w:color w:val="auto"/>
          <w:sz w:val="24"/>
          <w:szCs w:val="24"/>
          <w:highlight w:val="none"/>
        </w:rPr>
        <w:t xml:space="preserve">14、响应文件被拒绝接收的情形</w:t>
      </w:r>
      <w:r/>
    </w:p>
    <w:p>
      <w:pPr>
        <w:ind w:right="105"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在磋商文件规定的响应截止时间后上传的响应文件。</w:t>
      </w:r>
      <w:r/>
    </w:p>
    <w:p>
      <w:pPr>
        <w:pStyle w:val="670"/>
        <w:ind w:firstLine="482"/>
        <w:spacing w:before="0" w:after="0" w:line="520" w:lineRule="exact"/>
        <w:rPr>
          <w:rFonts w:hint="eastAsia" w:ascii="新宋体" w:hAnsi="新宋体" w:eastAsia="新宋体" w:cs="新宋体"/>
          <w:b/>
          <w:bCs/>
          <w:color w:val="auto"/>
          <w:sz w:val="24"/>
          <w:szCs w:val="24"/>
          <w:highlight w:val="none"/>
        </w:rPr>
        <w:outlineLvl w:val="2"/>
      </w:pPr>
      <w:r/>
      <w:bookmarkStart w:id="69" w:name="_Toc141869967"/>
      <w:r>
        <w:rPr>
          <w:rFonts w:hint="eastAsia" w:ascii="新宋体" w:hAnsi="新宋体" w:eastAsia="新宋体" w:cs="新宋体"/>
          <w:b/>
          <w:bCs/>
          <w:color w:val="auto"/>
          <w:sz w:val="24"/>
          <w:szCs w:val="24"/>
          <w:highlight w:val="none"/>
        </w:rPr>
        <w:t xml:space="preserve">五、磋商程序及最后报价</w:t>
      </w:r>
      <w:bookmarkEnd w:id="69"/>
      <w:r/>
      <w:r/>
    </w:p>
    <w:p>
      <w:pPr>
        <w:ind w:firstLine="482"/>
        <w:spacing w:line="480" w:lineRule="exact"/>
        <w:rPr>
          <w:rFonts w:hint="eastAsia" w:ascii="新宋体" w:hAnsi="新宋体" w:eastAsia="新宋体" w:cs="新宋体"/>
          <w:b/>
          <w:color w:val="auto"/>
          <w:sz w:val="24"/>
          <w:szCs w:val="24"/>
          <w:highlight w:val="none"/>
        </w:rPr>
      </w:pPr>
      <w:r>
        <w:rPr>
          <w:rFonts w:hint="eastAsia" w:ascii="新宋体" w:hAnsi="新宋体" w:eastAsia="新宋体" w:cs="新宋体"/>
          <w:b/>
          <w:color w:val="auto"/>
          <w:sz w:val="24"/>
          <w:szCs w:val="24"/>
          <w:highlight w:val="none"/>
        </w:rPr>
        <w:t xml:space="preserve">15、磋商会议</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15.1采购代理机构按磋商文件规定的时间、地点组织磋商。供应商应当按照《操作手册》规定，在“苏采云”系统规定的时间内对磋商响应文件进行解密。</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b/>
          <w:color w:val="auto"/>
          <w:sz w:val="24"/>
          <w:szCs w:val="24"/>
          <w:highlight w:val="none"/>
        </w:rPr>
        <w:t xml:space="preserve">15.2供应商用于解密的CA证书应为该响应文件生成加密、上传的同一把CA证书。供应商应登录“苏采云”系统进入“开标大厅”，在系统约定时间内使用CA证书解密，未成功解密的，视为其放弃磋商。</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15.3供应商在磋商全过程中应保持通讯畅通，及时登录</w:t>
      </w:r>
      <w:r>
        <w:rPr>
          <w:rFonts w:hint="eastAsia" w:ascii="新宋体" w:hAnsi="新宋体" w:eastAsia="新宋体" w:cs="新宋体"/>
          <w:b/>
          <w:bCs/>
          <w:color w:val="auto"/>
          <w:sz w:val="24"/>
          <w:szCs w:val="24"/>
          <w:highlight w:val="none"/>
        </w:rPr>
        <w:t xml:space="preserve">“苏采云”系统</w:t>
      </w:r>
      <w:r>
        <w:rPr>
          <w:rFonts w:hint="eastAsia" w:ascii="新宋体" w:hAnsi="新宋体" w:eastAsia="新宋体" w:cs="新宋体"/>
          <w:color w:val="auto"/>
          <w:sz w:val="24"/>
          <w:szCs w:val="24"/>
          <w:highlight w:val="none"/>
        </w:rPr>
        <w:t xml:space="preserve">查阅、答复相关信息。</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b/>
          <w:color w:val="auto"/>
          <w:sz w:val="24"/>
          <w:szCs w:val="24"/>
          <w:highlight w:val="none"/>
        </w:rPr>
        <w:t xml:space="preserve">16、磋商小组</w:t>
      </w:r>
      <w:bookmarkStart w:id="70" w:name="OLE_LINK3"/>
      <w:r/>
      <w:r/>
    </w:p>
    <w:p>
      <w:pPr>
        <w:ind w:firstLine="482"/>
        <w:spacing w:line="480" w:lineRule="exact"/>
        <w:rPr>
          <w:rFonts w:hint="eastAsia" w:ascii="新宋体" w:hAnsi="新宋体" w:eastAsia="新宋体" w:cs="新宋体"/>
          <w:b/>
          <w:color w:val="auto"/>
          <w:sz w:val="24"/>
          <w:szCs w:val="24"/>
          <w:highlight w:val="none"/>
        </w:rPr>
      </w:pPr>
      <w:r>
        <w:rPr>
          <w:rFonts w:hint="eastAsia" w:ascii="新宋体" w:hAnsi="新宋体" w:eastAsia="新宋体" w:cs="新宋体"/>
          <w:color w:val="auto"/>
          <w:sz w:val="24"/>
          <w:szCs w:val="24"/>
          <w:highlight w:val="none"/>
        </w:rPr>
        <w:t xml:space="preserve">磋商小组由采购人代表和有关技术、经济等方面的专家组成，且人员构成符合政府采购有关规定。</w:t>
      </w:r>
      <w:bookmarkEnd w:id="70"/>
      <w:r>
        <w:rPr>
          <w:rFonts w:hint="eastAsia" w:ascii="新宋体" w:hAnsi="新宋体" w:eastAsia="新宋体" w:cs="新宋体"/>
          <w:color w:val="auto"/>
          <w:sz w:val="24"/>
          <w:szCs w:val="24"/>
          <w:highlight w:val="none"/>
        </w:rPr>
        <w:t xml:space="preserve">磋商小组负责具体评审事务，按客观、公正、审慎的原则独立履行相关职责。</w:t>
      </w:r>
      <w:r/>
    </w:p>
    <w:p>
      <w:pPr>
        <w:ind w:firstLine="482"/>
        <w:spacing w:line="480" w:lineRule="exact"/>
        <w:rPr>
          <w:rFonts w:hint="eastAsia" w:ascii="新宋体" w:hAnsi="新宋体" w:eastAsia="新宋体" w:cs="新宋体"/>
          <w:b/>
          <w:color w:val="auto"/>
          <w:sz w:val="24"/>
          <w:szCs w:val="24"/>
          <w:highlight w:val="none"/>
        </w:rPr>
      </w:pPr>
      <w:r>
        <w:rPr>
          <w:rFonts w:hint="eastAsia" w:ascii="新宋体" w:hAnsi="新宋体" w:eastAsia="新宋体" w:cs="新宋体"/>
          <w:b/>
          <w:color w:val="auto"/>
          <w:sz w:val="24"/>
          <w:szCs w:val="24"/>
          <w:highlight w:val="none"/>
        </w:rPr>
        <w:t xml:space="preserve">17、磋商程序</w:t>
      </w:r>
      <w:r/>
    </w:p>
    <w:p>
      <w:pPr>
        <w:ind w:firstLine="480"/>
        <w:spacing w:line="460" w:lineRule="exact"/>
        <w:rPr>
          <w:rFonts w:hint="eastAsia" w:ascii="新宋体" w:hAnsi="新宋体" w:eastAsia="新宋体" w:cs="新宋体"/>
          <w:bCs/>
          <w:color w:val="auto"/>
          <w:sz w:val="24"/>
          <w:szCs w:val="24"/>
          <w:highlight w:val="none"/>
        </w:rPr>
      </w:pPr>
      <w:r>
        <w:rPr>
          <w:rFonts w:hint="eastAsia" w:ascii="新宋体" w:hAnsi="新宋体" w:eastAsia="新宋体" w:cs="新宋体"/>
          <w:bCs/>
          <w:color w:val="auto"/>
          <w:sz w:val="24"/>
          <w:szCs w:val="24"/>
          <w:highlight w:val="none"/>
        </w:rPr>
        <w:t xml:space="preserve">17.1资格审查</w:t>
      </w:r>
      <w:r/>
    </w:p>
    <w:p>
      <w:pPr>
        <w:ind w:firstLine="480"/>
        <w:spacing w:line="460" w:lineRule="exact"/>
        <w:rPr>
          <w:rFonts w:hint="eastAsia" w:ascii="新宋体" w:hAnsi="新宋体" w:eastAsia="新宋体" w:cs="新宋体"/>
          <w:bCs/>
          <w:color w:val="auto"/>
          <w:sz w:val="24"/>
          <w:szCs w:val="24"/>
          <w:highlight w:val="none"/>
        </w:rPr>
      </w:pPr>
      <w:r>
        <w:rPr>
          <w:rFonts w:hint="eastAsia" w:ascii="新宋体" w:hAnsi="新宋体" w:eastAsia="新宋体" w:cs="新宋体"/>
          <w:bCs/>
          <w:color w:val="auto"/>
          <w:sz w:val="24"/>
          <w:szCs w:val="24"/>
          <w:highlight w:val="none"/>
        </w:rPr>
        <w:t xml:space="preserve">由磋商小组依据法律法规和磋商文件的规定，对响应文件中的资格证明文件进行审查，以确定供应商是否具备参加磋商的资格。</w:t>
      </w:r>
      <w:r/>
    </w:p>
    <w:p>
      <w:pPr>
        <w:ind w:firstLine="480"/>
        <w:spacing w:line="46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信用信息查询：磋商小组查询供应商的信用信息，以确定供应商是否具备磋商资格。查询结果留存并归档。</w:t>
      </w:r>
      <w:r/>
    </w:p>
    <w:p>
      <w:pPr>
        <w:ind w:firstLine="480"/>
        <w:spacing w:line="480" w:lineRule="exact"/>
        <w:rPr>
          <w:rFonts w:hint="eastAsia" w:ascii="新宋体" w:hAnsi="新宋体" w:eastAsia="新宋体" w:cs="新宋体"/>
          <w:bCs/>
          <w:color w:val="auto"/>
          <w:sz w:val="24"/>
          <w:szCs w:val="24"/>
          <w:highlight w:val="none"/>
        </w:rPr>
      </w:pPr>
      <w:r>
        <w:rPr>
          <w:rFonts w:hint="eastAsia" w:ascii="新宋体" w:hAnsi="新宋体" w:eastAsia="新宋体" w:cs="新宋体"/>
          <w:bCs/>
          <w:color w:val="auto"/>
          <w:sz w:val="24"/>
          <w:szCs w:val="24"/>
          <w:highlight w:val="none"/>
        </w:rPr>
        <w:t xml:space="preserve">17.2符合性审查</w:t>
      </w:r>
      <w:r/>
    </w:p>
    <w:p>
      <w:pPr>
        <w:ind w:firstLine="480"/>
        <w:spacing w:line="480" w:lineRule="exact"/>
        <w:rPr>
          <w:rFonts w:hint="eastAsia" w:ascii="新宋体" w:hAnsi="新宋体" w:eastAsia="新宋体" w:cs="新宋体"/>
          <w:bCs/>
          <w:color w:val="auto"/>
          <w:sz w:val="24"/>
          <w:szCs w:val="24"/>
          <w:highlight w:val="none"/>
        </w:rPr>
      </w:pPr>
      <w:r>
        <w:rPr>
          <w:rFonts w:hint="eastAsia" w:ascii="新宋体" w:hAnsi="新宋体" w:eastAsia="新宋体" w:cs="新宋体"/>
          <w:bCs/>
          <w:color w:val="auto"/>
          <w:sz w:val="24"/>
          <w:szCs w:val="24"/>
          <w:highlight w:val="none"/>
        </w:rPr>
        <w:t xml:space="preserve">17.2.1依据磋商文件的规定，由磋商小组从响应文件的有效性、完整性和对磋商文件的响应程度进行审查，以确定是否对磋商文件的实质性要求作出响应。</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17.2.2在详细评审之前，磋商小组将首先审查每份响应文件是否实质性响应了磋商文件的要求。实质性响应的响应文件应该是与磋商文件要求的条款、条件和规格相符，没有重大偏离。所谓重大偏离是指与磋商文件规定的实质性要求存在负偏离，或者在实质上与磋商文件不一致，纠正这些偏离将会对其他实质性响应要求的供应商的竞争产生不公正的影响。重大偏离由磋商小组按照少数服从多数的原则认定。</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bCs/>
          <w:color w:val="auto"/>
          <w:sz w:val="24"/>
          <w:szCs w:val="24"/>
          <w:highlight w:val="none"/>
        </w:rPr>
        <w:t xml:space="preserve">17.3未通过资格审查或符合性审查的供应商，磋商小组将在</w:t>
      </w:r>
      <w:r>
        <w:rPr>
          <w:rFonts w:hint="eastAsia" w:ascii="新宋体" w:hAnsi="新宋体" w:eastAsia="新宋体" w:cs="新宋体"/>
          <w:color w:val="auto"/>
          <w:sz w:val="24"/>
          <w:szCs w:val="24"/>
          <w:highlight w:val="none"/>
        </w:rPr>
        <w:t xml:space="preserve">“苏采云”系统</w:t>
      </w:r>
      <w:r>
        <w:rPr>
          <w:rFonts w:hint="eastAsia" w:ascii="新宋体" w:hAnsi="新宋体" w:eastAsia="新宋体" w:cs="新宋体"/>
          <w:bCs/>
          <w:color w:val="auto"/>
          <w:sz w:val="24"/>
          <w:szCs w:val="24"/>
          <w:highlight w:val="none"/>
        </w:rPr>
        <w:t xml:space="preserve">中告知未通过资格审查或符合性审查的原因，评审结束后，磋商小组将不再告知未通过资格审查或符合性审查的原因。</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17.4磋商小组认定响应文件的响应性，仅根据响应文件本身的内容，而不寻求外部的证据。对于未实质性响应的响应文件，供应商不能通过修正或撤销不符之处，而使其成为实质性响应。</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17.5相同品牌产品响应</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提供相同品牌产品且通过资格审查、符合性审查的不同供应商参加同一合同项下响应的，按一家供应商计算，评审后得分最高的同品牌供应商获得成交供应商推荐资格；评审得分相同的，报价最低的同品牌供应商获得成交供应商推荐资格；评审得分且报价相同的，采取随机抽取方式确定，其他同品牌供应商不作为成交候选人。</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bCs/>
          <w:color w:val="auto"/>
          <w:sz w:val="24"/>
          <w:szCs w:val="24"/>
          <w:highlight w:val="none"/>
        </w:rPr>
        <w:t xml:space="preserve">17.6磋商</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bCs/>
          <w:color w:val="auto"/>
          <w:sz w:val="24"/>
          <w:szCs w:val="24"/>
          <w:highlight w:val="none"/>
        </w:rPr>
        <w:t xml:space="preserve">17.6.1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bCs/>
          <w:color w:val="auto"/>
          <w:sz w:val="24"/>
          <w:szCs w:val="24"/>
          <w:highlight w:val="none"/>
        </w:rPr>
        <w:t xml:space="preserve">17.6.2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bCs/>
          <w:color w:val="auto"/>
          <w:sz w:val="24"/>
          <w:szCs w:val="24"/>
          <w:highlight w:val="none"/>
        </w:rPr>
        <w:t xml:space="preserve">17.7有关问题的澄清</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对磋商文件中含义不明确、同类问题表述不一致或者有明显文字和计算错误的内容，磋商小组通过“苏采云”系统向供应商发出“澄清要求函”，要求供应商作出必要的澄清、说明或者更正。供应商的澄清、说明或者更正应当采用书面形式且不得超出响应文件的范围或者改变响应文件的实质性内容。供应商的澄清、说明或者更正应加盖电子公章，或者由法定代表人或其授权的代表签章（或签字）。澄清、说明或者更正的内容作为响应文件的补充部分。</w:t>
      </w:r>
      <w:r/>
    </w:p>
    <w:p>
      <w:pPr>
        <w:ind w:firstLine="480"/>
        <w:spacing w:line="480" w:lineRule="exact"/>
        <w:tabs>
          <w:tab w:val="left" w:pos="900" w:leader="none"/>
        </w:tabs>
        <w:rPr>
          <w:rFonts w:hint="eastAsia" w:ascii="新宋体" w:hAnsi="新宋体" w:eastAsia="新宋体" w:cs="新宋体"/>
          <w:color w:val="auto"/>
          <w:sz w:val="24"/>
          <w:szCs w:val="24"/>
          <w:highlight w:val="none"/>
        </w:rPr>
      </w:pPr>
      <w:r>
        <w:rPr>
          <w:rFonts w:hint="eastAsia" w:ascii="新宋体" w:hAnsi="新宋体" w:eastAsia="新宋体" w:cs="新宋体"/>
          <w:bCs/>
          <w:color w:val="auto"/>
          <w:sz w:val="24"/>
          <w:szCs w:val="24"/>
          <w:highlight w:val="none"/>
        </w:rPr>
        <w:t xml:space="preserve">17.8最后报价</w:t>
      </w:r>
      <w:r/>
    </w:p>
    <w:p>
      <w:pPr>
        <w:ind w:firstLine="480"/>
        <w:spacing w:line="480" w:lineRule="exact"/>
        <w:tabs>
          <w:tab w:val="left" w:pos="900" w:leader="none"/>
        </w:tabs>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17.8.1磋商结束后，磋商小组将在“苏采云”系统向所有实质性响应的供应商发布“最后报价要求函”及最后报价格式表，并要求在规定时间内提交最后报价。在提交最后报价之前，供应商可以根据情况退出磋商，并在“苏采云”系统中提交“退出磋商函”并加盖CA电子公章。因供应商原因导致未提交最后报价或供应商退出磋商的，磋商小组应将其作为无效标处理。最后报价是供应商响应文件的有效组成部分。</w:t>
      </w:r>
      <w:bookmarkStart w:id="71" w:name="EB7c676092b0b54336b4f7c76350bf2f81"/>
      <w:r/>
      <w:r/>
    </w:p>
    <w:p>
      <w:pPr>
        <w:ind w:firstLine="482"/>
        <w:spacing w:line="480" w:lineRule="exact"/>
        <w:tabs>
          <w:tab w:val="left" w:pos="900" w:leader="none"/>
        </w:tabs>
        <w:rPr>
          <w:rFonts w:hint="eastAsia" w:ascii="新宋体" w:hAnsi="新宋体" w:eastAsia="新宋体" w:cs="新宋体"/>
          <w:color w:val="auto"/>
          <w:sz w:val="24"/>
          <w:szCs w:val="24"/>
          <w:highlight w:val="none"/>
        </w:rPr>
      </w:pPr>
      <w:r>
        <w:rPr>
          <w:rFonts w:hint="eastAsia" w:ascii="新宋体" w:hAnsi="新宋体" w:eastAsia="新宋体" w:cs="新宋体"/>
          <w:b/>
          <w:color w:val="auto"/>
          <w:sz w:val="24"/>
          <w:szCs w:val="24"/>
          <w:highlight w:val="none"/>
        </w:rPr>
        <w:t xml:space="preserve">17.8.2最后报价在“苏采云”系统内进行，供应商应使用内含电子印章（企业公章、法定代表人或授权代表签章）的CA证书在平台设定的时限内进行最后报价。报价所需的计算机设备和网络由供应商自行准备。除因系统故障导致所有供应商均不能报价情形外，本项目不接受纸质的报价文件。</w:t>
      </w:r>
      <w:r/>
    </w:p>
    <w:p>
      <w:pPr>
        <w:ind w:firstLine="480"/>
        <w:spacing w:line="480" w:lineRule="exact"/>
        <w:tabs>
          <w:tab w:val="left" w:pos="900" w:leader="none"/>
        </w:tabs>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17.8.3供应商在首次响应文件中的报价为首次报价。最后报价是供应商响应文件的有效组成部分。最后报价时如磋商小组未要求分项报价的，供应商各分项报价按首次报价（总价）与最后报价（总价）比例进行同比调整。</w:t>
      </w:r>
      <w:bookmarkEnd w:id="71"/>
      <w:r/>
      <w:r/>
    </w:p>
    <w:p>
      <w:pPr>
        <w:ind w:firstLine="480"/>
        <w:spacing w:line="480" w:lineRule="exact"/>
        <w:tabs>
          <w:tab w:val="left" w:pos="900" w:leader="none"/>
        </w:tabs>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17.8.4磋商报价表中大、小写应一致，如出现不一致情况的，以大写为准。磋商报价表内容与分项报价表内容应一致。如出现不一致情况，以磋商报价表内容为准，修正分项报价表。</w:t>
      </w:r>
      <w:r/>
    </w:p>
    <w:p>
      <w:pPr>
        <w:ind w:firstLine="480"/>
        <w:spacing w:line="480" w:lineRule="exact"/>
        <w:tabs>
          <w:tab w:val="left" w:pos="900" w:leader="none"/>
        </w:tabs>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17.8.5项目评审中，不得去掉最后报价中的最高报价和最低报价。</w:t>
      </w:r>
      <w:r/>
    </w:p>
    <w:p>
      <w:pPr>
        <w:ind w:firstLine="482"/>
        <w:jc w:val="left"/>
        <w:keepLines w:val="0"/>
        <w:keepNext w:val="0"/>
        <w:pageBreakBefore w:val="0"/>
        <w:spacing w:line="480" w:lineRule="exact"/>
        <w:widowControl w:val="off"/>
        <w:tabs>
          <w:tab w:val="left" w:pos="900" w:leader="none"/>
        </w:tabs>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17.8.6符合《政府采购竞争性磋商采购方式管理暂行办法》第三条第一款第四项及《财政部关于竞争性磋商采购方式管理暂行办法有关问题的补充通知》（财库〔2015〕124号）规定情形的，提交最后报价的供应商可以为2家。</w:t>
      </w:r>
      <w:r/>
    </w:p>
    <w:p>
      <w:pPr>
        <w:ind w:firstLine="482"/>
        <w:jc w:val="left"/>
        <w:keepLines w:val="0"/>
        <w:keepNext w:val="0"/>
        <w:pageBreakBefore w:val="0"/>
        <w:spacing w:line="480" w:lineRule="exact"/>
        <w:widowControl w:val="off"/>
        <w:tabs>
          <w:tab w:val="left" w:pos="900" w:leader="none"/>
        </w:tabs>
        <w:rPr>
          <w:rFonts w:hint="eastAsia" w:ascii="新宋体" w:hAnsi="新宋体" w:eastAsia="新宋体" w:cs="新宋体"/>
          <w:color w:val="auto"/>
          <w:sz w:val="24"/>
          <w:szCs w:val="24"/>
          <w:highlight w:val="none"/>
        </w:rPr>
      </w:pPr>
      <w:r/>
      <w:bookmarkStart w:id="72" w:name="_Hlk204074773"/>
      <w:r>
        <w:rPr>
          <w:rFonts w:hint="eastAsia" w:ascii="新宋体" w:hAnsi="新宋体" w:eastAsia="新宋体" w:cs="新宋体"/>
          <w:color w:val="auto"/>
          <w:sz w:val="24"/>
          <w:szCs w:val="24"/>
          <w:highlight w:val="none"/>
        </w:rPr>
        <w:t xml:space="preserve">17.9异常低价响应审查</w:t>
      </w:r>
      <w:r/>
    </w:p>
    <w:p>
      <w:pPr>
        <w:ind w:firstLine="480"/>
        <w:spacing w:line="480" w:lineRule="exact"/>
        <w:tabs>
          <w:tab w:val="left" w:pos="900" w:leader="none"/>
        </w:tabs>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17.9.1评审过程中出现下列情形之一的，磋商小组应当启动异常低价响应审查程序：</w:t>
      </w:r>
      <w:r/>
    </w:p>
    <w:p>
      <w:pPr>
        <w:ind w:firstLine="482"/>
        <w:jc w:val="left"/>
        <w:keepLines w:val="0"/>
        <w:keepNext w:val="0"/>
        <w:pageBreakBefore w:val="0"/>
        <w:spacing w:line="480" w:lineRule="exact"/>
        <w:widowControl w:val="off"/>
        <w:tabs>
          <w:tab w:val="left" w:pos="900" w:leader="none"/>
        </w:tabs>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1.磋商报价低于全部通过符合性审查供应商磋商报价平均值50%的，即磋商报价&lt;全部通过符合性审查供应商磋商报价平均值×50%；</w:t>
      </w:r>
      <w:r/>
    </w:p>
    <w:p>
      <w:pPr>
        <w:ind w:firstLine="482"/>
        <w:jc w:val="left"/>
        <w:keepLines w:val="0"/>
        <w:keepNext w:val="0"/>
        <w:pageBreakBefore w:val="0"/>
        <w:spacing w:line="480" w:lineRule="exact"/>
        <w:widowControl w:val="off"/>
        <w:tabs>
          <w:tab w:val="left" w:pos="900" w:leader="none"/>
        </w:tabs>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2.磋商报价低于通过符合性审查的次低报价供应商磋商报价50%的，即磋商报价&lt;通过符合性审查的次低报价供应商磋商报价×50%；</w:t>
      </w:r>
      <w:r/>
    </w:p>
    <w:p>
      <w:pPr>
        <w:ind w:firstLine="482"/>
        <w:jc w:val="left"/>
        <w:keepLines w:val="0"/>
        <w:keepNext w:val="0"/>
        <w:pageBreakBefore w:val="0"/>
        <w:spacing w:line="480" w:lineRule="exact"/>
        <w:widowControl w:val="off"/>
        <w:tabs>
          <w:tab w:val="left" w:pos="900" w:leader="none"/>
        </w:tabs>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3.磋商报价低于采购项目最高限价45%的，即磋商报价&lt;采购项目最高限价×45%；</w:t>
      </w:r>
      <w:r/>
    </w:p>
    <w:p>
      <w:pPr>
        <w:ind w:firstLine="482"/>
        <w:jc w:val="left"/>
        <w:keepLines w:val="0"/>
        <w:keepNext w:val="0"/>
        <w:pageBreakBefore w:val="0"/>
        <w:spacing w:line="480" w:lineRule="exact"/>
        <w:widowControl w:val="off"/>
        <w:tabs>
          <w:tab w:val="left" w:pos="900" w:leader="none"/>
        </w:tabs>
        <w:rPr>
          <w:rFonts w:hint="eastAsia" w:ascii="新宋体" w:hAnsi="新宋体" w:eastAsia="新宋体" w:cs="新宋体"/>
          <w:color w:val="auto"/>
          <w:sz w:val="24"/>
          <w:szCs w:val="24"/>
          <w:highlight w:val="green"/>
        </w:rPr>
      </w:pPr>
      <w:r>
        <w:rPr>
          <w:rFonts w:hint="eastAsia" w:ascii="新宋体" w:hAnsi="新宋体" w:eastAsia="新宋体" w:cs="新宋体"/>
          <w:color w:val="auto"/>
          <w:sz w:val="24"/>
          <w:szCs w:val="24"/>
          <w:highlight w:val="none"/>
        </w:rPr>
        <w:t xml:space="preserve">4.磋商小组基于专业判断，认为供应商报价过低，有可能影响产品质量或者不能诚信履约的其他情形。</w:t>
      </w:r>
      <w:r/>
    </w:p>
    <w:p>
      <w:pPr>
        <w:ind w:firstLine="480"/>
        <w:spacing w:line="480" w:lineRule="exact"/>
        <w:tabs>
          <w:tab w:val="left" w:pos="900" w:leader="none"/>
        </w:tabs>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17.9.2磋商小组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r/>
    </w:p>
    <w:p>
      <w:pPr>
        <w:ind w:firstLine="480"/>
        <w:spacing w:line="360" w:lineRule="auto"/>
        <w:tabs>
          <w:tab w:val="left" w:pos="900" w:leader="none"/>
        </w:tabs>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17.9.3磋商小组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评审委员会应当将其作为无效响应处理。</w:t>
      </w:r>
      <w:r/>
    </w:p>
    <w:p>
      <w:pPr>
        <w:ind w:firstLine="480"/>
        <w:spacing w:line="360" w:lineRule="auto"/>
        <w:tabs>
          <w:tab w:val="left" w:pos="900" w:leader="none"/>
        </w:tabs>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17.9.4异常低价响应审查的启动原因、审查意见和审查结果应当在评审报告中记录，并随供应商提供的相关书面说明及证明材料，以及磋商小组有关互联网浏览、查询历史一并归档。</w:t>
      </w:r>
      <w:bookmarkEnd w:id="72"/>
      <w:r/>
      <w:r/>
    </w:p>
    <w:p>
      <w:pPr>
        <w:ind w:firstLine="480"/>
        <w:spacing w:line="360" w:lineRule="auto"/>
        <w:tabs>
          <w:tab w:val="left" w:pos="900" w:leader="none"/>
        </w:tabs>
        <w:rPr>
          <w:rFonts w:hint="eastAsia" w:ascii="新宋体" w:hAnsi="新宋体" w:eastAsia="新宋体" w:cs="新宋体"/>
          <w:color w:val="auto"/>
          <w:sz w:val="24"/>
          <w:szCs w:val="24"/>
          <w:highlight w:val="none"/>
        </w:rPr>
      </w:pPr>
      <w:r/>
      <w:bookmarkStart w:id="73" w:name="_Toc141869966"/>
      <w:r>
        <w:rPr>
          <w:rFonts w:hint="eastAsia" w:ascii="新宋体" w:hAnsi="新宋体" w:eastAsia="新宋体" w:cs="新宋体"/>
          <w:bCs/>
          <w:color w:val="auto"/>
          <w:sz w:val="24"/>
          <w:szCs w:val="24"/>
          <w:highlight w:val="none"/>
        </w:rPr>
        <w:t xml:space="preserve">17.10推荐成交候选供应商</w:t>
      </w:r>
      <w:r/>
    </w:p>
    <w:p>
      <w:pPr>
        <w:ind w:firstLine="476"/>
        <w:keepLines w:val="0"/>
        <w:keepNext w:val="0"/>
        <w:pageBreakBefore w:val="0"/>
        <w:spacing w:line="360" w:lineRule="auto"/>
        <w:widowControl w:val="off"/>
        <w:tabs>
          <w:tab w:val="left" w:pos="900" w:leader="none"/>
        </w:tabs>
        <w:rPr>
          <w:rFonts w:hint="eastAsia" w:ascii="新宋体" w:hAnsi="新宋体" w:eastAsia="新宋体" w:cs="新宋体"/>
          <w:color w:val="auto"/>
          <w:sz w:val="24"/>
          <w:szCs w:val="24"/>
          <w:highlight w:val="none"/>
        </w:rPr>
      </w:pPr>
      <w:r/>
      <w:bookmarkStart w:id="74" w:name="OLE_LINK5"/>
      <w:r>
        <w:rPr>
          <w:rFonts w:hint="eastAsia" w:ascii="新宋体" w:hAnsi="新宋体" w:eastAsia="新宋体" w:cs="新宋体"/>
          <w:color w:val="auto"/>
          <w:sz w:val="24"/>
          <w:szCs w:val="24"/>
          <w:highlight w:val="none"/>
        </w:rPr>
        <w:t xml:space="preserve">磋商小组根据综合评分情况，按照评审得分由高到低顺序推荐3名成交候选供应商，并编写评审报告</w:t>
      </w:r>
      <w:bookmarkEnd w:id="74"/>
      <w:r>
        <w:rPr>
          <w:rFonts w:hint="eastAsia" w:ascii="新宋体" w:hAnsi="新宋体" w:eastAsia="新宋体" w:cs="新宋体"/>
          <w:color w:val="auto"/>
          <w:sz w:val="24"/>
          <w:szCs w:val="24"/>
          <w:highlight w:val="none"/>
        </w:rPr>
        <w:t xml:space="preserve">。符合本磋商文件17.8.6情形的，可以推荐2名成交候选供应商。评审得分相同的，按照最后报价由低到高的顺序推荐。评审得分且最后报价相同的，按照技术指标优劣顺序推荐。</w:t>
      </w:r>
      <w:r/>
    </w:p>
    <w:p>
      <w:pPr>
        <w:ind w:firstLine="476"/>
        <w:keepLines w:val="0"/>
        <w:keepNext w:val="0"/>
        <w:pageBreakBefore w:val="0"/>
        <w:spacing w:line="360" w:lineRule="auto"/>
        <w:widowControl w:val="off"/>
        <w:tabs>
          <w:tab w:val="left" w:pos="900" w:leader="none"/>
        </w:tabs>
        <w:rPr>
          <w:rFonts w:hint="eastAsia" w:ascii="新宋体" w:hAnsi="新宋体" w:eastAsia="新宋体" w:cs="新宋体"/>
          <w:b/>
          <w:bCs/>
          <w:color w:val="auto"/>
          <w:sz w:val="24"/>
          <w:szCs w:val="24"/>
          <w:highlight w:val="none"/>
        </w:rPr>
        <w:outlineLvl w:val="2"/>
      </w:pPr>
      <w:r>
        <w:rPr>
          <w:rFonts w:hint="eastAsia" w:ascii="新宋体" w:hAnsi="新宋体" w:eastAsia="新宋体" w:cs="新宋体"/>
          <w:b/>
          <w:bCs/>
          <w:color w:val="auto"/>
          <w:sz w:val="24"/>
          <w:szCs w:val="24"/>
          <w:highlight w:val="none"/>
        </w:rPr>
        <w:t xml:space="preserve">六、无效响应、采购活动终止、</w:t>
      </w:r>
      <w:bookmarkEnd w:id="73"/>
      <w:r>
        <w:rPr>
          <w:rFonts w:hint="eastAsia" w:ascii="新宋体" w:hAnsi="新宋体" w:eastAsia="新宋体" w:cs="新宋体"/>
          <w:b/>
          <w:bCs/>
          <w:color w:val="auto"/>
          <w:sz w:val="24"/>
          <w:szCs w:val="24"/>
          <w:highlight w:val="none"/>
        </w:rPr>
        <w:t xml:space="preserve">恶意串通及取消成交候选资格情形</w:t>
      </w:r>
      <w:r/>
    </w:p>
    <w:p>
      <w:pPr>
        <w:ind w:firstLine="482"/>
        <w:spacing w:line="360" w:lineRule="auto"/>
        <w:rPr>
          <w:rFonts w:hint="eastAsia" w:ascii="新宋体" w:hAnsi="新宋体" w:eastAsia="新宋体" w:cs="新宋体"/>
          <w:b/>
          <w:color w:val="auto"/>
          <w:sz w:val="24"/>
          <w:szCs w:val="24"/>
          <w:highlight w:val="none"/>
        </w:rPr>
      </w:pPr>
      <w:r>
        <w:rPr>
          <w:rFonts w:hint="eastAsia" w:ascii="新宋体" w:hAnsi="新宋体" w:eastAsia="新宋体" w:cs="新宋体"/>
          <w:b/>
          <w:color w:val="auto"/>
          <w:sz w:val="24"/>
          <w:szCs w:val="24"/>
          <w:highlight w:val="none"/>
        </w:rPr>
        <w:t xml:space="preserve">18、无效响应情形</w:t>
      </w:r>
      <w:r/>
    </w:p>
    <w:p>
      <w:pPr>
        <w:ind w:firstLine="482"/>
        <w:spacing w:line="360" w:lineRule="auto"/>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18.1供应商同一采购包提交两个以上（含两个）不同的响应文件或者最后报价的。</w:t>
      </w:r>
      <w:r/>
    </w:p>
    <w:p>
      <w:pPr>
        <w:ind w:firstLine="482"/>
        <w:spacing w:line="360" w:lineRule="auto"/>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18.2供应商不符合磋商文件规定资格要求的或响应文件未按规定提交资质证件的。</w:t>
      </w:r>
      <w:r/>
    </w:p>
    <w:p>
      <w:pPr>
        <w:ind w:firstLine="480"/>
        <w:spacing w:line="360" w:lineRule="auto"/>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18.3供应商的报价超过了采购预算或最高限价的。</w:t>
      </w:r>
      <w:r/>
    </w:p>
    <w:p>
      <w:pPr>
        <w:ind w:firstLine="480"/>
        <w:spacing w:line="360" w:lineRule="auto"/>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18.4响应文件未通过符合性审查的。</w:t>
      </w:r>
      <w:r/>
    </w:p>
    <w:p>
      <w:pPr>
        <w:ind w:firstLine="480"/>
        <w:spacing w:line="360" w:lineRule="auto"/>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18.5响应文件出现重大偏离，不符合磋商文件中规定的实质性要求的（★部分为实质性要求）。</w:t>
      </w:r>
      <w:r/>
    </w:p>
    <w:p>
      <w:pPr>
        <w:ind w:firstLine="480"/>
        <w:spacing w:line="360" w:lineRule="auto"/>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18.6响应文件未按照磋商文件要求加盖CA电子公章的。</w:t>
      </w:r>
      <w:r/>
    </w:p>
    <w:p>
      <w:pPr>
        <w:ind w:firstLine="482"/>
        <w:spacing w:line="360" w:lineRule="auto"/>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18.7磋商小组启动异常低价响应审查后，供应商不提供书面说明、证明材料，或者磋商小组认为供应商提供的书面说明、证明材料不能证明其最后报价合理性的。</w:t>
      </w:r>
      <w:r/>
    </w:p>
    <w:p>
      <w:pPr>
        <w:ind w:firstLine="482"/>
        <w:spacing w:line="360" w:lineRule="auto"/>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18.8响应文件含有采购人不能接受的附加条件的。</w:t>
      </w:r>
      <w:r/>
    </w:p>
    <w:p>
      <w:pPr>
        <w:ind w:firstLine="482"/>
        <w:spacing w:line="360" w:lineRule="auto"/>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18.9供应商有本磋商文件规定的恶意串通情形的。</w:t>
      </w:r>
      <w:r/>
    </w:p>
    <w:p>
      <w:pPr>
        <w:ind w:firstLine="482"/>
        <w:spacing w:line="360" w:lineRule="auto"/>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18.10法律、法规规定的其他情况。</w:t>
      </w:r>
      <w:r/>
    </w:p>
    <w:p>
      <w:pPr>
        <w:ind w:firstLine="482"/>
        <w:spacing w:line="360" w:lineRule="auto"/>
        <w:rPr>
          <w:rFonts w:hint="eastAsia" w:ascii="新宋体" w:hAnsi="新宋体" w:eastAsia="新宋体" w:cs="新宋体"/>
          <w:b/>
          <w:color w:val="auto"/>
          <w:sz w:val="24"/>
          <w:szCs w:val="24"/>
          <w:highlight w:val="none"/>
        </w:rPr>
      </w:pPr>
      <w:r>
        <w:rPr>
          <w:rFonts w:hint="eastAsia" w:ascii="新宋体" w:hAnsi="新宋体" w:eastAsia="新宋体" w:cs="新宋体"/>
          <w:b/>
          <w:color w:val="auto"/>
          <w:sz w:val="24"/>
          <w:szCs w:val="24"/>
          <w:highlight w:val="none"/>
        </w:rPr>
        <w:t xml:space="preserve">19、采购活动终止情形</w:t>
      </w:r>
      <w:r/>
    </w:p>
    <w:p>
      <w:pPr>
        <w:ind w:firstLine="482"/>
        <w:spacing w:line="360" w:lineRule="auto"/>
        <w:rPr>
          <w:rFonts w:hint="eastAsia" w:ascii="新宋体" w:hAnsi="新宋体" w:eastAsia="新宋体" w:cs="新宋体"/>
          <w:bCs/>
          <w:color w:val="auto"/>
          <w:sz w:val="24"/>
          <w:szCs w:val="24"/>
          <w:highlight w:val="none"/>
        </w:rPr>
      </w:pPr>
      <w:r>
        <w:rPr>
          <w:rFonts w:hint="eastAsia" w:ascii="新宋体" w:hAnsi="新宋体" w:eastAsia="新宋体" w:cs="新宋体"/>
          <w:bCs/>
          <w:color w:val="auto"/>
          <w:sz w:val="24"/>
          <w:szCs w:val="24"/>
          <w:highlight w:val="none"/>
        </w:rPr>
        <w:t xml:space="preserve">19.1因情况变化，不再符合规定的竞争性磋商采购方式适用情形的；</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19.2符合专业条件的供应商或者对磋商文件作实质响应的供应商不足3家的（符合17.8.6情形除外）。</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19.3出现影响采购公正的违法、违规行为的。</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19.4因重大变故，采购任务取消的。</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19.5磋商小组认定磋商文件存在歧义、重大缺陷导致评审工作无法进行。</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19.6在苏采云系统规定时间内成功解密电子响应文件的供应商不足3家的。</w:t>
      </w:r>
      <w:r/>
    </w:p>
    <w:p>
      <w:pPr>
        <w:ind w:firstLine="482"/>
        <w:spacing w:line="480" w:lineRule="exact"/>
        <w:rPr>
          <w:rFonts w:hint="eastAsia" w:ascii="新宋体" w:hAnsi="新宋体" w:eastAsia="新宋体" w:cs="新宋体"/>
          <w:b/>
          <w:color w:val="auto"/>
          <w:sz w:val="24"/>
          <w:szCs w:val="24"/>
          <w:highlight w:val="none"/>
        </w:rPr>
      </w:pPr>
      <w:r>
        <w:rPr>
          <w:rFonts w:hint="eastAsia" w:ascii="新宋体" w:hAnsi="新宋体" w:eastAsia="新宋体" w:cs="新宋体"/>
          <w:b/>
          <w:color w:val="auto"/>
          <w:sz w:val="24"/>
          <w:szCs w:val="24"/>
          <w:highlight w:val="none"/>
        </w:rPr>
        <w:t xml:space="preserve">20、恶意串通情形</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20.1供应商直接或间接从采购人或采购代理机构处获得其他供应商的相关情况并修改其响应文件；</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20.2供应商接受采购人或采购代理机构授意撤换、修改响应文件；</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20.3供应商之间协商报价、技术方案等响应文件实质性内容；</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20.4属于同一集团、协会、商会等组织成员的供应商按照该组织要求协同参与政府采购活动的；</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20.5供应商之间事先约定由某一特定供应商成交；</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20.6供应商之间商定部分供应商放弃参加政府采购活动或者放弃成交；</w:t>
      </w:r>
      <w:r/>
    </w:p>
    <w:p>
      <w:pPr>
        <w:ind w:firstLine="482"/>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20.7供应商与采购人或采购代理机构之间、供应商相互之间为谋求特定供应商成交或者排斥其他供应商的其他串通行为。</w:t>
      </w:r>
      <w:r/>
    </w:p>
    <w:p>
      <w:pPr>
        <w:ind w:firstLine="482"/>
        <w:spacing w:line="480" w:lineRule="exact"/>
        <w:rPr>
          <w:rFonts w:hint="eastAsia" w:ascii="新宋体" w:hAnsi="新宋体" w:eastAsia="新宋体" w:cs="新宋体"/>
          <w:b/>
          <w:color w:val="auto"/>
          <w:sz w:val="24"/>
          <w:szCs w:val="24"/>
          <w:highlight w:val="none"/>
        </w:rPr>
      </w:pPr>
      <w:r>
        <w:rPr>
          <w:rFonts w:hint="eastAsia" w:ascii="新宋体" w:hAnsi="新宋体" w:eastAsia="新宋体" w:cs="新宋体"/>
          <w:b/>
          <w:color w:val="auto"/>
          <w:sz w:val="24"/>
          <w:szCs w:val="24"/>
          <w:highlight w:val="none"/>
        </w:rPr>
        <w:t xml:space="preserve">21、</w:t>
      </w:r>
      <w:bookmarkStart w:id="75" w:name="OLE_LINK2"/>
      <w:r>
        <w:rPr>
          <w:rFonts w:hint="eastAsia" w:ascii="新宋体" w:hAnsi="新宋体" w:eastAsia="新宋体" w:cs="新宋体"/>
          <w:b/>
          <w:color w:val="auto"/>
          <w:sz w:val="24"/>
          <w:szCs w:val="24"/>
          <w:highlight w:val="none"/>
        </w:rPr>
        <w:t xml:space="preserve">取消成交（候选）供应商资格</w:t>
      </w:r>
      <w:bookmarkEnd w:id="75"/>
      <w:r>
        <w:rPr>
          <w:rFonts w:hint="eastAsia" w:ascii="新宋体" w:hAnsi="新宋体" w:eastAsia="新宋体" w:cs="新宋体"/>
          <w:b/>
          <w:color w:val="auto"/>
          <w:sz w:val="24"/>
          <w:szCs w:val="24"/>
          <w:highlight w:val="none"/>
        </w:rPr>
        <w:t xml:space="preserve">条款</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21.1提供虚假材料谋取成交的；</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21.2采取不正当手段诋毁、排挤其他供应商的；</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21.3与采购人、其他供应商或者采购代理机构恶意串通的；</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21.4向采购人、采购代理机构行贿或者提供其他不正当利益的；</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21.5未在规定时间内与采购人签订采购合同的；</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21.6法律、法规规定的其他情况。</w:t>
      </w:r>
      <w:r/>
    </w:p>
    <w:p>
      <w:pPr>
        <w:pStyle w:val="670"/>
        <w:ind w:firstLine="320"/>
        <w:spacing w:before="0" w:after="0" w:line="520" w:lineRule="exact"/>
        <w:rPr>
          <w:rFonts w:hint="eastAsia" w:ascii="新宋体" w:hAnsi="新宋体" w:eastAsia="新宋体" w:cs="新宋体"/>
          <w:b/>
          <w:bCs/>
          <w:color w:val="auto"/>
          <w:sz w:val="24"/>
          <w:szCs w:val="24"/>
          <w:highlight w:val="none"/>
        </w:rPr>
        <w:outlineLvl w:val="2"/>
      </w:pPr>
      <w:r/>
      <w:bookmarkStart w:id="76" w:name="_Toc141869968"/>
      <w:r>
        <w:rPr>
          <w:rFonts w:hint="eastAsia" w:ascii="新宋体" w:hAnsi="新宋体" w:eastAsia="新宋体" w:cs="新宋体"/>
          <w:b/>
          <w:bCs/>
          <w:color w:val="auto"/>
          <w:sz w:val="24"/>
          <w:szCs w:val="24"/>
          <w:highlight w:val="none"/>
        </w:rPr>
        <w:t xml:space="preserve">七、成交及合同签订</w:t>
      </w:r>
      <w:bookmarkEnd w:id="76"/>
      <w:r/>
      <w:r/>
    </w:p>
    <w:p>
      <w:pPr>
        <w:ind w:firstLine="482"/>
        <w:spacing w:line="480" w:lineRule="exact"/>
        <w:rPr>
          <w:rFonts w:hint="eastAsia" w:ascii="新宋体" w:hAnsi="新宋体" w:eastAsia="新宋体" w:cs="新宋体"/>
          <w:b/>
          <w:color w:val="auto"/>
          <w:sz w:val="24"/>
          <w:szCs w:val="24"/>
          <w:highlight w:val="none"/>
        </w:rPr>
      </w:pPr>
      <w:r>
        <w:rPr>
          <w:rFonts w:hint="eastAsia" w:ascii="新宋体" w:hAnsi="新宋体" w:eastAsia="新宋体" w:cs="新宋体"/>
          <w:b/>
          <w:color w:val="auto"/>
          <w:sz w:val="24"/>
          <w:szCs w:val="24"/>
          <w:highlight w:val="none"/>
        </w:rPr>
        <w:t xml:space="preserve">22、确定成交供应商</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22.1采购人应当在收到评审报告后5个工作日内，从评审报告提出的成交候选供应商中，按照排序由高到低的原则确定成交供应商。</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22.2在成交供应商确定后2个工作日内，采购人或采购代理机构将在财政部门指定信息媒体上发布成交结果，成交公告的公告期限为1个工作日。</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22.3采购人确定正被列为失信被执行人的供应商为成交人的，成交结果无效。</w:t>
      </w:r>
      <w:r/>
    </w:p>
    <w:p>
      <w:pPr>
        <w:ind w:firstLine="482"/>
        <w:spacing w:line="480" w:lineRule="exact"/>
        <w:rPr>
          <w:rFonts w:hint="eastAsia" w:ascii="新宋体" w:hAnsi="新宋体" w:eastAsia="新宋体" w:cs="新宋体"/>
          <w:b/>
          <w:color w:val="auto"/>
          <w:sz w:val="24"/>
          <w:szCs w:val="24"/>
          <w:highlight w:val="none"/>
        </w:rPr>
      </w:pPr>
      <w:r>
        <w:rPr>
          <w:rFonts w:hint="eastAsia" w:ascii="新宋体" w:hAnsi="新宋体" w:eastAsia="新宋体" w:cs="新宋体"/>
          <w:b/>
          <w:color w:val="auto"/>
          <w:sz w:val="24"/>
          <w:szCs w:val="24"/>
          <w:highlight w:val="none"/>
        </w:rPr>
        <w:t xml:space="preserve">23、成交通知书</w:t>
      </w:r>
      <w:r/>
    </w:p>
    <w:p>
      <w:pPr>
        <w:ind w:firstLine="482"/>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23.1在公告成交结果的同时，采购代理机构向成交供应商发出成交通知书。成交供应商使用CA数字证书登录“苏采云”系统及时下载成交通知书。</w:t>
      </w:r>
      <w:r/>
    </w:p>
    <w:p>
      <w:pPr>
        <w:ind w:firstLine="482"/>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23.2成交通知书发出后，采购人改变成交结果的或者成交供应商放弃成交项目的，应当依法承担法律责任。</w:t>
      </w:r>
      <w:r/>
    </w:p>
    <w:p>
      <w:pPr>
        <w:ind w:firstLine="482"/>
        <w:spacing w:line="480" w:lineRule="exact"/>
        <w:rPr>
          <w:rFonts w:hint="eastAsia" w:ascii="新宋体" w:hAnsi="新宋体" w:eastAsia="新宋体" w:cs="新宋体"/>
          <w:b/>
          <w:color w:val="auto"/>
          <w:sz w:val="24"/>
          <w:szCs w:val="24"/>
          <w:highlight w:val="none"/>
        </w:rPr>
      </w:pPr>
      <w:r>
        <w:rPr>
          <w:rFonts w:hint="eastAsia" w:ascii="新宋体" w:hAnsi="新宋体" w:eastAsia="新宋体" w:cs="新宋体"/>
          <w:b/>
          <w:color w:val="auto"/>
          <w:sz w:val="24"/>
          <w:szCs w:val="24"/>
          <w:highlight w:val="none"/>
        </w:rPr>
        <w:t xml:space="preserve">24、签订和公告合同</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24.1采购人与成交供应商应当在成交通知书发出之日起15日内，按照磋商文件确定的事项与采购人签订政府采购合同。竞争性磋商文件、成交供应商的响应文件以及磋商过程中有关澄清文件均作为合同附件。</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24.2成交供应商拒绝签订合同的，采购人可以按照评审报告推荐的成交候选人名单排序，确定下一候选人为成交供应商，也可以重新开展政府采购活动。拒绝签订政府采购合同的成交供应商不得参加对该项目重新开展的采购活动。</w:t>
      </w:r>
      <w:r/>
    </w:p>
    <w:p>
      <w:pPr>
        <w:ind w:firstLine="480"/>
        <w:spacing w:line="480" w:lineRule="exact"/>
        <w:shd w:val="clear" w:color="auto"/>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24.3采购人在自合同签订之日起2个工作日内，将合同在指定的媒体上公告。</w:t>
      </w:r>
      <w:r/>
    </w:p>
    <w:p>
      <w:pPr>
        <w:ind w:firstLine="482"/>
        <w:spacing w:line="480" w:lineRule="exact"/>
        <w:shd w:val="clear" w:color="auto"/>
        <w:rPr>
          <w:rFonts w:hint="eastAsia" w:ascii="新宋体" w:hAnsi="新宋体" w:eastAsia="新宋体" w:cs="新宋体"/>
          <w:b/>
          <w:color w:val="auto"/>
          <w:sz w:val="24"/>
          <w:szCs w:val="24"/>
          <w:highlight w:val="none"/>
        </w:rPr>
      </w:pPr>
      <w:r/>
      <w:bookmarkStart w:id="77" w:name="_Toc141869969"/>
      <w:r>
        <w:rPr>
          <w:rFonts w:hint="eastAsia" w:ascii="新宋体" w:hAnsi="新宋体" w:eastAsia="新宋体" w:cs="新宋体"/>
          <w:b/>
          <w:color w:val="auto"/>
          <w:sz w:val="24"/>
          <w:szCs w:val="24"/>
          <w:highlight w:val="none"/>
        </w:rPr>
        <w:t xml:space="preserve">25、履约保证金</w:t>
      </w:r>
      <w:r/>
    </w:p>
    <w:p>
      <w:pPr>
        <w:ind w:firstLine="480"/>
        <w:spacing w:line="480" w:lineRule="exact"/>
        <w:shd w:val="clear" w:color="auto"/>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lang w:val="zh-CN"/>
        </w:rPr>
        <w:t xml:space="preserve">按照以下第</w:t>
      </w:r>
      <w:r>
        <w:rPr>
          <w:rFonts w:hint="eastAsia" w:ascii="新宋体" w:hAnsi="新宋体" w:eastAsia="新宋体" w:cs="新宋体"/>
          <w:color w:val="auto"/>
          <w:sz w:val="24"/>
          <w:szCs w:val="24"/>
          <w:highlight w:val="none"/>
          <w:u w:val="single"/>
        </w:rPr>
        <w:t xml:space="preserve">（1）</w:t>
      </w:r>
      <w:r>
        <w:rPr>
          <w:rFonts w:hint="eastAsia" w:ascii="新宋体" w:hAnsi="新宋体" w:eastAsia="新宋体" w:cs="新宋体"/>
          <w:color w:val="auto"/>
          <w:sz w:val="24"/>
          <w:szCs w:val="24"/>
          <w:highlight w:val="none"/>
          <w:lang w:val="zh-CN"/>
        </w:rPr>
        <w:t xml:space="preserve">方式确定履约保证</w:t>
      </w:r>
      <w:r>
        <w:rPr>
          <w:rFonts w:hint="eastAsia" w:ascii="新宋体" w:hAnsi="新宋体" w:eastAsia="新宋体" w:cs="新宋体"/>
          <w:color w:val="auto"/>
          <w:sz w:val="24"/>
          <w:szCs w:val="24"/>
          <w:highlight w:val="none"/>
        </w:rPr>
        <w:t xml:space="preserve">金</w:t>
      </w:r>
      <w:r>
        <w:rPr>
          <w:rFonts w:hint="eastAsia" w:ascii="新宋体" w:hAnsi="新宋体" w:eastAsia="新宋体" w:cs="新宋体"/>
          <w:color w:val="auto"/>
          <w:sz w:val="24"/>
          <w:szCs w:val="24"/>
          <w:highlight w:val="none"/>
          <w:lang w:val="zh-CN"/>
        </w:rPr>
        <w:t xml:space="preserve">收取方式。</w:t>
      </w:r>
      <w:r/>
    </w:p>
    <w:p>
      <w:pPr>
        <w:ind w:firstLine="480"/>
        <w:spacing w:line="480" w:lineRule="exact"/>
        <w:shd w:val="clear" w:color="auto"/>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（1）本项目不收取履约保证金。</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（2）本项目收取履约保证金。</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25.1履约保证金提交形式</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履约保证金应在采购合同签订前提交，除银行电汇、网上银行、数字人民币外，供应商还可选用银行保函、担保公司的保证担保或保险公司的保证保险等多种形式向采购人缴纳。</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25.2履约保证金提交金额</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按采购合同总价的</w:t>
      </w:r>
      <w:r>
        <w:rPr>
          <w:rFonts w:hint="eastAsia" w:ascii="新宋体" w:hAnsi="新宋体" w:eastAsia="新宋体" w:cs="新宋体"/>
          <w:color w:val="auto"/>
          <w:sz w:val="24"/>
          <w:szCs w:val="24"/>
          <w:highlight w:val="none"/>
          <w:u w:val="single"/>
        </w:rPr>
        <w:t xml:space="preserve"> / </w:t>
      </w:r>
      <w:r>
        <w:rPr>
          <w:rFonts w:hint="eastAsia" w:ascii="新宋体" w:hAnsi="新宋体" w:eastAsia="新宋体" w:cs="新宋体"/>
          <w:color w:val="auto"/>
          <w:sz w:val="24"/>
          <w:szCs w:val="24"/>
          <w:highlight w:val="none"/>
        </w:rPr>
        <w:t xml:space="preserve">%提交。</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支持和鼓励成交供应商使用江苏政府采购电子履约保函（保险）代替缴纳履约保证金，成交供应商如使用江苏政府采购电子履约保函（保险）的，可按采购合同总价的</w:t>
      </w:r>
      <w:r>
        <w:rPr>
          <w:rFonts w:hint="eastAsia" w:ascii="新宋体" w:hAnsi="新宋体" w:eastAsia="新宋体" w:cs="新宋体"/>
          <w:color w:val="auto"/>
          <w:sz w:val="24"/>
          <w:szCs w:val="24"/>
          <w:highlight w:val="none"/>
          <w:u w:val="single"/>
        </w:rPr>
        <w:t xml:space="preserve"> / </w:t>
      </w:r>
      <w:r>
        <w:rPr>
          <w:rFonts w:hint="eastAsia" w:ascii="新宋体" w:hAnsi="新宋体" w:eastAsia="新宋体" w:cs="新宋体"/>
          <w:color w:val="auto"/>
          <w:sz w:val="24"/>
          <w:szCs w:val="24"/>
          <w:highlight w:val="none"/>
        </w:rPr>
        <w:t xml:space="preserve">% （</w:t>
      </w:r>
      <w:bookmarkStart w:id="78" w:name="_Hlk187763955"/>
      <w:r>
        <w:rPr>
          <w:rFonts w:hint="eastAsia" w:ascii="新宋体" w:hAnsi="新宋体" w:eastAsia="新宋体" w:cs="新宋体"/>
          <w:color w:val="auto"/>
          <w:sz w:val="24"/>
          <w:szCs w:val="24"/>
          <w:highlight w:val="none"/>
        </w:rPr>
        <w:t xml:space="preserve">履约保证金原提交金额的6折</w:t>
      </w:r>
      <w:bookmarkEnd w:id="78"/>
      <w:r>
        <w:rPr>
          <w:rFonts w:hint="eastAsia" w:ascii="新宋体" w:hAnsi="新宋体" w:eastAsia="新宋体" w:cs="新宋体"/>
          <w:color w:val="auto"/>
          <w:sz w:val="24"/>
          <w:szCs w:val="24"/>
          <w:highlight w:val="none"/>
        </w:rPr>
        <w:t xml:space="preserve">）提交。</w:t>
      </w:r>
      <w:bookmarkStart w:id="79" w:name="_Hlk187842952"/>
      <w:r>
        <w:rPr>
          <w:rFonts w:hint="eastAsia" w:ascii="新宋体" w:hAnsi="新宋体" w:eastAsia="新宋体" w:cs="新宋体"/>
          <w:color w:val="auto"/>
          <w:sz w:val="24"/>
          <w:szCs w:val="24"/>
          <w:highlight w:val="none"/>
        </w:rPr>
        <w:t xml:space="preserve">办理流程、偿付等内容见江苏政府采购网“保险保函”模块。</w:t>
      </w:r>
      <w:bookmarkEnd w:id="79"/>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25.3履约保证金退还方式</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以银行电汇、网上银行、数字人民币形式缴纳履约保证金的，退回至成交供应商存款账户或数字人民币账户；以保函、担保、保险等形式缴纳履约保证金的，在保函、担保、保险约定的保证期限届满之日起自行失效。</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25.4履约保证金退还条件</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具有验收合格相关证明材料。</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25.5履约保证金退还时间</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采购人收到成交供应商退付申请后5个工作日内退还。</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25.6履约保证金不予退还情形</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除不可抗力外，成交供应商不履行与采购人订立的采购合同的，履约保证金不予退还，给采购人造成的损失超过履约保证金数额的，还应对超过部分予以赔偿。</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25.7逾期退还履约保证金违约责任</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采购人逾期退还履约保证金的，除应退还履约保证金外，还应按中国人民银行同期贷款基准利率上浮20％后的利率支付超期资金占用费，但因成交供应商自身原因导致无法及时退还的除外。</w:t>
      </w:r>
      <w:r/>
    </w:p>
    <w:p>
      <w:pPr>
        <w:ind w:firstLine="482"/>
        <w:spacing w:line="480" w:lineRule="exact"/>
        <w:rPr>
          <w:rFonts w:hint="eastAsia" w:ascii="新宋体" w:hAnsi="新宋体" w:eastAsia="新宋体" w:cs="新宋体"/>
          <w:b/>
          <w:bCs/>
          <w:color w:val="auto"/>
          <w:sz w:val="24"/>
          <w:szCs w:val="24"/>
          <w:highlight w:val="none"/>
        </w:rPr>
      </w:pPr>
      <w:r>
        <w:rPr>
          <w:rFonts w:hint="eastAsia" w:ascii="新宋体" w:hAnsi="新宋体" w:eastAsia="新宋体" w:cs="新宋体"/>
          <w:b/>
          <w:color w:val="auto"/>
          <w:sz w:val="24"/>
          <w:szCs w:val="24"/>
          <w:highlight w:val="none"/>
        </w:rPr>
        <w:t xml:space="preserve">26、线上融资</w:t>
      </w:r>
      <w:r/>
    </w:p>
    <w:p>
      <w:pPr>
        <w:ind w:firstLine="480"/>
        <w:spacing w:line="480" w:lineRule="exact"/>
        <w:rPr>
          <w:rFonts w:hint="eastAsia" w:ascii="新宋体" w:hAnsi="新宋体" w:eastAsia="新宋体" w:cs="新宋体"/>
          <w:b/>
          <w:bCs/>
          <w:color w:val="auto"/>
          <w:sz w:val="24"/>
          <w:szCs w:val="24"/>
          <w:highlight w:val="none"/>
        </w:rPr>
      </w:pPr>
      <w:r>
        <w:rPr>
          <w:rFonts w:hint="eastAsia" w:ascii="新宋体" w:hAnsi="新宋体" w:eastAsia="新宋体" w:cs="新宋体"/>
          <w:bCs/>
          <w:color w:val="auto"/>
          <w:sz w:val="24"/>
          <w:szCs w:val="24"/>
          <w:highlight w:val="none"/>
        </w:rPr>
        <w:t xml:space="preserve">成交供应商可凭政府采购合同办理融资贷款，详情见江苏政府采购网“政采贷”专栏。</w:t>
      </w:r>
      <w:r/>
    </w:p>
    <w:p>
      <w:pPr>
        <w:ind w:firstLine="482"/>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b/>
          <w:color w:val="auto"/>
          <w:sz w:val="24"/>
          <w:szCs w:val="24"/>
          <w:highlight w:val="none"/>
        </w:rPr>
        <w:t xml:space="preserve">27、合同履行</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27.1政府采购合同订立后，合同各方不得擅自变更、中止或者终止合同。</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27.2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77"/>
      <w:r/>
      <w:r/>
    </w:p>
    <w:p>
      <w:pPr>
        <w:pStyle w:val="670"/>
        <w:ind w:firstLine="320"/>
        <w:spacing w:before="0" w:after="0" w:line="520" w:lineRule="exact"/>
        <w:rPr>
          <w:rFonts w:hint="eastAsia" w:ascii="新宋体" w:hAnsi="新宋体" w:eastAsia="新宋体" w:cs="新宋体"/>
          <w:b/>
          <w:bCs/>
          <w:color w:val="auto"/>
          <w:sz w:val="24"/>
          <w:szCs w:val="24"/>
          <w:highlight w:val="none"/>
        </w:rPr>
        <w:outlineLvl w:val="2"/>
      </w:pPr>
      <w:r/>
      <w:bookmarkStart w:id="80" w:name="_Toc141869970"/>
      <w:r>
        <w:rPr>
          <w:rFonts w:hint="eastAsia" w:ascii="新宋体" w:hAnsi="新宋体" w:eastAsia="新宋体" w:cs="新宋体"/>
          <w:b/>
          <w:bCs/>
          <w:color w:val="auto"/>
          <w:sz w:val="24"/>
          <w:szCs w:val="24"/>
          <w:highlight w:val="none"/>
        </w:rPr>
        <w:t xml:space="preserve">八、质疑与投诉</w:t>
      </w:r>
      <w:bookmarkEnd w:id="80"/>
      <w:r/>
      <w:r/>
    </w:p>
    <w:p>
      <w:pPr>
        <w:ind w:firstLine="482"/>
        <w:spacing w:line="480" w:lineRule="exact"/>
        <w:rPr>
          <w:rFonts w:hint="eastAsia" w:ascii="新宋体" w:hAnsi="新宋体" w:eastAsia="新宋体" w:cs="新宋体"/>
          <w:b/>
          <w:color w:val="auto"/>
          <w:sz w:val="24"/>
          <w:szCs w:val="24"/>
          <w:highlight w:val="none"/>
        </w:rPr>
      </w:pPr>
      <w:r>
        <w:rPr>
          <w:rFonts w:hint="eastAsia" w:ascii="新宋体" w:hAnsi="新宋体" w:eastAsia="新宋体" w:cs="新宋体"/>
          <w:b/>
          <w:color w:val="auto"/>
          <w:sz w:val="24"/>
          <w:szCs w:val="24"/>
          <w:highlight w:val="none"/>
        </w:rPr>
        <w:t xml:space="preserve">28、质疑</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28.1供应商认为采购文件、采购过程和中标结果使自己的权益受到损害的，可以在知道或者应知其权益受到损害之日起七个工作日内，以书面形式根据下述2</w:t>
      </w:r>
      <w:r>
        <w:rPr>
          <w:rFonts w:hint="eastAsia" w:ascii="新宋体" w:hAnsi="新宋体" w:eastAsia="新宋体" w:cs="新宋体"/>
          <w:color w:val="auto"/>
          <w:sz w:val="24"/>
          <w:szCs w:val="24"/>
          <w:highlight w:val="none"/>
          <w:lang w:val="en-US" w:eastAsia="zh-CN"/>
        </w:rPr>
        <w:t xml:space="preserve">8</w:t>
      </w:r>
      <w:r>
        <w:rPr>
          <w:rFonts w:hint="eastAsia" w:ascii="新宋体" w:hAnsi="新宋体" w:eastAsia="新宋体" w:cs="新宋体"/>
          <w:color w:val="auto"/>
          <w:sz w:val="24"/>
          <w:szCs w:val="24"/>
          <w:highlight w:val="none"/>
        </w:rPr>
        <w:t xml:space="preserve">.6条款的规定向采购代理机构或招标人提出质疑。</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28.2供应商应知其权益受到损害之日，是指：</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（1）对本项目采购文件提出质疑的，为获取采购文件之日或者采购文件公告期限届满之日；</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（2）对本项目采购过程提出质疑的，为各采购程序环节结束之日；</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（3）对本项目中标或者成交结果提出质疑的，为中标或者成交结果公告期限届满之日。</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28.3 质疑供应商应当是参与所质疑项目采购活动的供应商。潜在供应商已依法获取其可质疑的采购文件的，方可对该文件提出质疑。供应商在法定质疑期内应一次性提出针对同一采购程序环节的质疑。供应商如在法定期限内对同一采购程序环节提出多次质疑的，采购代理机构、采购人将只对供应商第一次质疑作出答复。</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28.4供应商提出质疑应当提交质疑函和必要的证明材料。质疑函的必备内容：</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（1）供应商的姓名或者名称、地址、邮编、联系人及联系电话；</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（2）质疑项目的名称、编号；</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（3）获取采购文件的时间；</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（4）具体、明确的质疑事项和质疑事项相关的请求；</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（5）事实依据；</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（6）必要的法律依据；</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（7）提出质疑的日期；</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（8）供应商为自然人的，由本人签字；供应商为法人或者其他组织的，应当由法定代表人、主要负责人，或者其授权代表签字或者盖章，并盖公章。</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盖单位公章。</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28.5采购人、采购代理机构在收到质疑函后7个工作日内作出答复，并以书面形式通知质疑供应商和其他有关供应商，但质疑答复的内容不涉及商业秘密。</w:t>
      </w:r>
      <w:r/>
    </w:p>
    <w:p>
      <w:pPr>
        <w:ind w:firstLine="480"/>
        <w:pageBreakBefore w:val="0"/>
        <w:spacing w:line="480" w:lineRule="exact"/>
        <w:widowControl w:val="off"/>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2</w:t>
      </w:r>
      <w:r>
        <w:rPr>
          <w:rFonts w:hint="eastAsia" w:ascii="新宋体" w:hAnsi="新宋体" w:eastAsia="新宋体" w:cs="新宋体"/>
          <w:color w:val="auto"/>
          <w:sz w:val="24"/>
          <w:szCs w:val="24"/>
          <w:highlight w:val="none"/>
          <w:lang w:val="en-US" w:eastAsia="zh-CN"/>
        </w:rPr>
        <w:t xml:space="preserve">8</w:t>
      </w:r>
      <w:r>
        <w:rPr>
          <w:rFonts w:hint="eastAsia" w:ascii="新宋体" w:hAnsi="新宋体" w:eastAsia="新宋体" w:cs="新宋体"/>
          <w:color w:val="auto"/>
          <w:sz w:val="24"/>
          <w:szCs w:val="24"/>
          <w:highlight w:val="none"/>
        </w:rPr>
        <w:t xml:space="preserve">.</w:t>
      </w:r>
      <w:r>
        <w:rPr>
          <w:rFonts w:hint="eastAsia" w:ascii="新宋体" w:hAnsi="新宋体" w:eastAsia="新宋体" w:cs="新宋体"/>
          <w:color w:val="auto"/>
          <w:sz w:val="24"/>
          <w:szCs w:val="24"/>
          <w:highlight w:val="none"/>
          <w:lang w:val="en-US" w:eastAsia="zh-CN"/>
        </w:rPr>
        <w:t xml:space="preserve">6</w:t>
      </w:r>
      <w:r>
        <w:rPr>
          <w:rFonts w:hint="eastAsia" w:ascii="新宋体" w:hAnsi="新宋体" w:eastAsia="新宋体" w:cs="新宋体"/>
          <w:color w:val="auto"/>
          <w:sz w:val="24"/>
          <w:szCs w:val="24"/>
          <w:highlight w:val="none"/>
        </w:rPr>
        <w:t xml:space="preserve">供应商应以书面形式向采购人或者其委托的采购代理机构提出质疑。质疑超出采购机构代理范围的，供应商应当向采购人提出。</w:t>
      </w:r>
      <w:r/>
    </w:p>
    <w:p>
      <w:pPr>
        <w:ind w:firstLine="480"/>
        <w:pageBreakBefore w:val="0"/>
        <w:spacing w:line="480" w:lineRule="exact"/>
        <w:widowControl w:val="off"/>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接收质疑函的方式：现场接收或邮寄接收。</w:t>
      </w:r>
      <w:r/>
    </w:p>
    <w:p>
      <w:pPr>
        <w:ind w:firstLine="480"/>
        <w:pageBreakBefore w:val="0"/>
        <w:spacing w:line="480" w:lineRule="exact"/>
        <w:widowControl w:val="off"/>
        <w:rPr>
          <w:rFonts w:hint="eastAsia" w:ascii="新宋体" w:hAnsi="新宋体" w:eastAsia="新宋体" w:cs="新宋体"/>
          <w:color w:val="auto"/>
          <w:sz w:val="24"/>
          <w:szCs w:val="24"/>
          <w:highlight w:val="none"/>
          <w:u w:val="none"/>
          <w:lang w:val="en-US" w:eastAsia="zh-CN"/>
        </w:rPr>
      </w:pPr>
      <w:r>
        <w:rPr>
          <w:rFonts w:hint="eastAsia" w:ascii="新宋体" w:hAnsi="新宋体" w:eastAsia="新宋体" w:cs="新宋体"/>
          <w:color w:val="auto"/>
          <w:sz w:val="24"/>
          <w:szCs w:val="24"/>
          <w:highlight w:val="none"/>
        </w:rPr>
        <w:t xml:space="preserve">联系部门：宿迁市宿城区市场监督管理局</w:t>
      </w:r>
      <w:r>
        <w:rPr>
          <w:rFonts w:hint="eastAsia" w:ascii="新宋体" w:hAnsi="新宋体" w:eastAsia="新宋体" w:cs="新宋体"/>
          <w:color w:val="auto"/>
          <w:sz w:val="24"/>
          <w:szCs w:val="24"/>
          <w:highlight w:val="none"/>
          <w:u w:val="none"/>
          <w:lang w:eastAsia="zh-CN"/>
        </w:rPr>
        <w:t xml:space="preserve">、</w:t>
      </w:r>
      <w:r>
        <w:rPr>
          <w:rFonts w:hint="eastAsia" w:ascii="新宋体" w:hAnsi="新宋体" w:eastAsia="新宋体" w:cs="新宋体"/>
          <w:color w:val="auto"/>
          <w:sz w:val="24"/>
          <w:szCs w:val="24"/>
          <w:highlight w:val="none"/>
          <w:u w:val="none"/>
          <w:lang w:val="en-US" w:eastAsia="zh-CN"/>
        </w:rPr>
        <w:t xml:space="preserve">江苏方园项目招标管理有限公司</w:t>
      </w:r>
      <w:r/>
    </w:p>
    <w:p>
      <w:pPr>
        <w:ind w:firstLine="482"/>
        <w:spacing w:line="360" w:lineRule="auto"/>
        <w:rPr>
          <w:rFonts w:hint="eastAsia" w:ascii="新宋体" w:hAnsi="新宋体" w:eastAsia="新宋体" w:cs="新宋体"/>
          <w:color w:val="auto"/>
          <w:sz w:val="24"/>
          <w:szCs w:val="24"/>
          <w:highlight w:val="none"/>
          <w:u w:val="single"/>
          <w:lang w:val="en-US"/>
        </w:rPr>
      </w:pPr>
      <w:r>
        <w:rPr>
          <w:rFonts w:hint="eastAsia" w:ascii="新宋体" w:hAnsi="新宋体" w:eastAsia="新宋体" w:cs="新宋体"/>
          <w:color w:val="auto"/>
          <w:sz w:val="24"/>
          <w:szCs w:val="24"/>
          <w:highlight w:val="none"/>
        </w:rPr>
        <w:t xml:space="preserve">联系电话：</w:t>
      </w:r>
      <w:r>
        <w:rPr>
          <w:rFonts w:hint="eastAsia" w:ascii="新宋体" w:hAnsi="新宋体" w:eastAsia="新宋体" w:cs="新宋体"/>
          <w:color w:val="auto"/>
          <w:sz w:val="24"/>
          <w:szCs w:val="24"/>
          <w:highlight w:val="none"/>
          <w:lang w:val="en-US" w:eastAsia="zh-CN"/>
        </w:rPr>
        <w:t xml:space="preserve">0527-84395132 </w:t>
      </w:r>
      <w:r>
        <w:rPr>
          <w:rFonts w:hint="eastAsia" w:ascii="新宋体" w:hAnsi="新宋体" w:eastAsia="新宋体" w:cs="新宋体"/>
          <w:color w:val="auto"/>
          <w:sz w:val="24"/>
          <w:szCs w:val="24"/>
          <w:highlight w:val="none"/>
          <w:u w:val="none"/>
          <w:lang w:val="en-US" w:eastAsia="zh-CN"/>
        </w:rPr>
        <w:t xml:space="preserve">、0527-86224338</w:t>
      </w:r>
      <w:r/>
    </w:p>
    <w:p>
      <w:pPr>
        <w:ind w:firstLine="480"/>
        <w:spacing w:line="480" w:lineRule="exact"/>
        <w:rPr>
          <w:rFonts w:hint="eastAsia" w:ascii="新宋体" w:hAnsi="新宋体" w:eastAsia="新宋体" w:cs="新宋体"/>
          <w:color w:val="auto"/>
          <w:sz w:val="24"/>
          <w:szCs w:val="24"/>
          <w:highlight w:val="none"/>
          <w:lang w:eastAsia="zh-CN"/>
        </w:rPr>
      </w:pPr>
      <w:r>
        <w:rPr>
          <w:rFonts w:hint="eastAsia" w:ascii="新宋体" w:hAnsi="新宋体" w:eastAsia="新宋体" w:cs="新宋体"/>
          <w:color w:val="auto"/>
          <w:sz w:val="24"/>
          <w:szCs w:val="24"/>
          <w:highlight w:val="none"/>
        </w:rPr>
        <w:t xml:space="preserve">通讯地址：宿迁市宿城区洪泽湖路583号</w:t>
      </w:r>
      <w:r>
        <w:rPr>
          <w:rFonts w:hint="eastAsia" w:ascii="新宋体" w:hAnsi="新宋体" w:eastAsia="新宋体" w:cs="新宋体"/>
          <w:color w:val="auto"/>
          <w:sz w:val="24"/>
          <w:szCs w:val="24"/>
          <w:highlight w:val="none"/>
          <w:lang w:eastAsia="zh-CN"/>
        </w:rPr>
        <w:t xml:space="preserve">、宿迁市经济技术开发区世纪大道900号</w:t>
      </w:r>
      <w:r/>
    </w:p>
    <w:p>
      <w:pPr>
        <w:ind w:firstLine="480"/>
        <w:pageBreakBefore w:val="0"/>
        <w:spacing w:line="480" w:lineRule="exact"/>
        <w:widowControl w:val="off"/>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lang w:val="en-US" w:eastAsia="zh-CN"/>
        </w:rPr>
        <w:t xml:space="preserve">28.7</w:t>
      </w:r>
      <w:r>
        <w:rPr>
          <w:rFonts w:hint="eastAsia" w:ascii="新宋体" w:hAnsi="新宋体" w:eastAsia="新宋体" w:cs="新宋体"/>
          <w:color w:val="auto"/>
          <w:sz w:val="24"/>
          <w:szCs w:val="24"/>
          <w:highlight w:val="none"/>
        </w:rPr>
        <w:t xml:space="preserve">以下情形的质疑不予受理</w:t>
      </w:r>
      <w:r/>
    </w:p>
    <w:p>
      <w:pPr>
        <w:ind w:firstLine="480"/>
        <w:pageBreakBefore w:val="0"/>
        <w:spacing w:line="480" w:lineRule="exact"/>
        <w:widowControl w:val="off"/>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lang w:val="en-US" w:eastAsia="zh-CN"/>
        </w:rPr>
        <w:t xml:space="preserve">28.7</w:t>
      </w:r>
      <w:r>
        <w:rPr>
          <w:rFonts w:hint="eastAsia" w:ascii="新宋体" w:hAnsi="新宋体" w:eastAsia="新宋体" w:cs="新宋体"/>
          <w:color w:val="auto"/>
          <w:sz w:val="24"/>
          <w:szCs w:val="24"/>
          <w:highlight w:val="none"/>
        </w:rPr>
        <w:t xml:space="preserve">.1内容不符合《政府采购质疑和投诉办法》第十二条规定的质疑。</w:t>
      </w:r>
      <w:r/>
    </w:p>
    <w:p>
      <w:pPr>
        <w:ind w:firstLine="480"/>
        <w:pageBreakBefore w:val="0"/>
        <w:spacing w:line="480" w:lineRule="exact"/>
        <w:widowControl w:val="off"/>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lang w:val="en-US" w:eastAsia="zh-CN"/>
        </w:rPr>
        <w:t xml:space="preserve">28.7</w:t>
      </w:r>
      <w:r>
        <w:rPr>
          <w:rFonts w:hint="eastAsia" w:ascii="新宋体" w:hAnsi="新宋体" w:eastAsia="新宋体" w:cs="新宋体"/>
          <w:color w:val="auto"/>
          <w:sz w:val="24"/>
          <w:szCs w:val="24"/>
          <w:highlight w:val="none"/>
        </w:rPr>
        <w:t xml:space="preserve">.2超出政府采购法定期限的质疑。</w:t>
      </w:r>
      <w:r/>
    </w:p>
    <w:p>
      <w:pPr>
        <w:ind w:firstLine="480"/>
        <w:pageBreakBefore w:val="0"/>
        <w:spacing w:line="480" w:lineRule="exact"/>
        <w:widowControl w:val="off"/>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lang w:val="en-US" w:eastAsia="zh-CN"/>
        </w:rPr>
        <w:t xml:space="preserve">28.7</w:t>
      </w:r>
      <w:r>
        <w:rPr>
          <w:rFonts w:hint="eastAsia" w:ascii="新宋体" w:hAnsi="新宋体" w:eastAsia="新宋体" w:cs="新宋体"/>
          <w:color w:val="auto"/>
          <w:sz w:val="24"/>
          <w:szCs w:val="24"/>
          <w:highlight w:val="none"/>
        </w:rPr>
        <w:t xml:space="preserve">.3以传真、电子邮件等方式递交的非原件形式的质疑。</w:t>
      </w:r>
      <w:r/>
    </w:p>
    <w:p>
      <w:pPr>
        <w:ind w:firstLine="480"/>
        <w:pageBreakBefore w:val="0"/>
        <w:spacing w:line="480" w:lineRule="exact"/>
        <w:widowControl w:val="off"/>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lang w:val="en-US" w:eastAsia="zh-CN"/>
        </w:rPr>
        <w:t xml:space="preserve">28.7</w:t>
      </w:r>
      <w:r>
        <w:rPr>
          <w:rFonts w:hint="eastAsia" w:ascii="新宋体" w:hAnsi="新宋体" w:eastAsia="新宋体" w:cs="新宋体"/>
          <w:color w:val="auto"/>
          <w:sz w:val="24"/>
          <w:szCs w:val="24"/>
          <w:highlight w:val="none"/>
        </w:rPr>
        <w:t xml:space="preserve">.4未参加磋商活动的供应商或在磋商活动中自身权益未受到损害的供应商所提出的质疑。</w:t>
      </w:r>
      <w:r/>
    </w:p>
    <w:p>
      <w:pPr>
        <w:ind w:firstLine="480"/>
        <w:pageBreakBefore w:val="0"/>
        <w:spacing w:line="480" w:lineRule="exact"/>
        <w:widowControl w:val="off"/>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lang w:val="en-US" w:eastAsia="zh-CN"/>
        </w:rPr>
        <w:t xml:space="preserve">28.7</w:t>
      </w:r>
      <w:r>
        <w:rPr>
          <w:rFonts w:hint="eastAsia" w:ascii="新宋体" w:hAnsi="新宋体" w:eastAsia="新宋体" w:cs="新宋体"/>
          <w:color w:val="auto"/>
          <w:sz w:val="24"/>
          <w:szCs w:val="24"/>
          <w:highlight w:val="none"/>
        </w:rPr>
        <w:t xml:space="preserve">.5供应商组成联合体参加磋商，联合体中任何一方或多方未按要求签字、盖章、加盖公章的质疑。</w:t>
      </w:r>
      <w:r/>
    </w:p>
    <w:p>
      <w:pPr>
        <w:ind w:firstLine="480"/>
        <w:spacing w:line="480" w:lineRule="exact"/>
        <w:rPr>
          <w:rFonts w:hint="eastAsia" w:ascii="新宋体" w:hAnsi="新宋体" w:eastAsia="新宋体" w:cs="新宋体"/>
          <w:color w:val="auto"/>
          <w:sz w:val="24"/>
          <w:szCs w:val="24"/>
          <w:highlight w:val="none"/>
          <w:lang w:eastAsia="zh-CN"/>
        </w:rPr>
      </w:pPr>
      <w:r>
        <w:rPr>
          <w:rFonts w:hint="eastAsia" w:ascii="新宋体" w:hAnsi="新宋体" w:eastAsia="新宋体" w:cs="新宋体"/>
          <w:color w:val="auto"/>
          <w:sz w:val="24"/>
          <w:szCs w:val="24"/>
          <w:highlight w:val="none"/>
          <w:lang w:val="en-US" w:eastAsia="zh-CN"/>
        </w:rPr>
        <w:t xml:space="preserve">28.8</w:t>
      </w:r>
      <w:r>
        <w:rPr>
          <w:rFonts w:hint="eastAsia" w:ascii="新宋体" w:hAnsi="新宋体" w:eastAsia="新宋体" w:cs="新宋体"/>
          <w:color w:val="auto"/>
          <w:sz w:val="24"/>
          <w:szCs w:val="24"/>
          <w:highlight w:val="none"/>
        </w:rPr>
        <w:t xml:space="preserve">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482"/>
        <w:spacing w:line="480" w:lineRule="exact"/>
        <w:rPr>
          <w:rFonts w:hint="eastAsia" w:ascii="新宋体" w:hAnsi="新宋体" w:eastAsia="新宋体" w:cs="新宋体"/>
          <w:b/>
          <w:color w:val="auto"/>
          <w:sz w:val="24"/>
          <w:szCs w:val="24"/>
          <w:highlight w:val="none"/>
        </w:rPr>
      </w:pPr>
      <w:r>
        <w:rPr>
          <w:rFonts w:hint="eastAsia" w:ascii="新宋体" w:hAnsi="新宋体" w:eastAsia="新宋体" w:cs="新宋体"/>
          <w:b/>
          <w:color w:val="auto"/>
          <w:sz w:val="24"/>
          <w:szCs w:val="24"/>
          <w:highlight w:val="none"/>
        </w:rPr>
        <w:t xml:space="preserve">29、投诉</w:t>
      </w:r>
      <w:r/>
    </w:p>
    <w:p>
      <w:pPr>
        <w:ind w:firstLine="482"/>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质疑供应商对采购人、采购代理机构的答复不满意，或者采购人、采购代理机构未在规定时间内作出答复的，可以在答复期满后15个工作日内向同级财政部门提起投诉。</w:t>
      </w:r>
      <w:r/>
    </w:p>
    <w:p>
      <w:pPr>
        <w:ind w:firstLine="482"/>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r>
      <w:r/>
    </w:p>
    <w:p>
      <w:pPr>
        <w:ind w:firstLine="482"/>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br w:type="page" w:clear="all"/>
      </w:r>
      <w:r/>
    </w:p>
    <w:p>
      <w:pPr>
        <w:pStyle w:val="668"/>
        <w:jc w:val="center"/>
        <w:spacing w:before="200"/>
        <w:rPr>
          <w:rFonts w:hint="eastAsia" w:ascii="新宋体" w:hAnsi="新宋体" w:eastAsia="新宋体" w:cs="新宋体"/>
          <w:b/>
          <w:bCs/>
          <w:color w:val="auto"/>
          <w:sz w:val="32"/>
          <w:szCs w:val="32"/>
          <w:highlight w:val="none"/>
        </w:rPr>
      </w:pPr>
      <w:r/>
      <w:bookmarkStart w:id="81" w:name="_Toc14692"/>
      <w:r/>
      <w:bookmarkStart w:id="82" w:name="_Toc141869971"/>
      <w:r/>
      <w:bookmarkStart w:id="83" w:name="_Toc3418"/>
      <w:r/>
      <w:bookmarkStart w:id="84" w:name="_Toc20912"/>
      <w:r/>
      <w:bookmarkStart w:id="85" w:name="_Toc22154"/>
      <w:r>
        <w:rPr>
          <w:rFonts w:hint="eastAsia" w:ascii="新宋体" w:hAnsi="新宋体" w:eastAsia="新宋体" w:cs="新宋体"/>
          <w:b/>
          <w:bCs/>
          <w:color w:val="auto"/>
          <w:sz w:val="32"/>
          <w:szCs w:val="32"/>
          <w:highlight w:val="none"/>
        </w:rPr>
        <w:t xml:space="preserve">第三章  </w:t>
      </w:r>
      <w:bookmarkEnd w:id="81"/>
      <w:r/>
      <w:bookmarkEnd w:id="82"/>
      <w:r/>
      <w:bookmarkEnd w:id="83"/>
      <w:r>
        <w:rPr>
          <w:rFonts w:hint="eastAsia" w:ascii="新宋体" w:hAnsi="新宋体" w:eastAsia="新宋体" w:cs="新宋体"/>
          <w:b/>
          <w:bCs/>
          <w:color w:val="auto"/>
          <w:sz w:val="32"/>
          <w:szCs w:val="32"/>
          <w:highlight w:val="none"/>
        </w:rPr>
        <w:t xml:space="preserve">评审方法与评审标准</w:t>
      </w:r>
      <w:bookmarkEnd w:id="84"/>
      <w:r/>
      <w:bookmarkEnd w:id="85"/>
      <w:r/>
      <w:r/>
    </w:p>
    <w:p>
      <w:pPr>
        <w:ind w:firstLine="482"/>
        <w:jc w:val="left"/>
        <w:spacing w:line="480" w:lineRule="exact"/>
        <w:rPr>
          <w:rFonts w:hint="eastAsia" w:ascii="新宋体" w:hAnsi="新宋体" w:eastAsia="新宋体" w:cs="新宋体"/>
          <w:b/>
          <w:bCs/>
          <w:color w:val="auto"/>
          <w:sz w:val="24"/>
          <w:szCs w:val="24"/>
          <w:highlight w:val="none"/>
        </w:rPr>
      </w:pPr>
      <w:r>
        <w:rPr>
          <w:rFonts w:hint="eastAsia" w:ascii="新宋体" w:hAnsi="新宋体" w:eastAsia="新宋体" w:cs="新宋体"/>
          <w:b/>
          <w:bCs/>
          <w:color w:val="auto"/>
          <w:sz w:val="24"/>
          <w:szCs w:val="24"/>
          <w:highlight w:val="none"/>
        </w:rPr>
        <w:t xml:space="preserve">一、资格审查</w:t>
      </w:r>
      <w:r/>
    </w:p>
    <w:p>
      <w:pPr>
        <w:ind w:firstLine="480"/>
        <w:jc w:val="left"/>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资格审查人员按照下列指标对各供应商的资格进行审查，未通过审查的为无效标，不参与评审。</w:t>
      </w:r>
      <w:r/>
    </w:p>
    <w:tbl>
      <w:tblPr>
        <w:tblStyle w:val="678"/>
        <w:tblW w:w="9025" w:type="dxa"/>
        <w:tblInd w:w="-10"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5331"/>
        <w:gridCol w:w="3694"/>
      </w:tblGrid>
      <w:tr>
        <w:trPr/>
        <w:tc>
          <w:tcPr>
            <w:tcBorders>
              <w:top w:val="single" w:color="auto" w:sz="6" w:space="0"/>
              <w:left w:val="single" w:color="auto" w:sz="6" w:space="0"/>
              <w:bottom w:val="single" w:color="auto" w:sz="6" w:space="0"/>
              <w:right w:val="single" w:color="auto" w:sz="6" w:space="0"/>
            </w:tcBorders>
            <w:tcW w:w="5331"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t xml:space="preserve">资格审查因素</w:t>
            </w:r>
            <w:r/>
          </w:p>
        </w:tc>
        <w:tc>
          <w:tcPr>
            <w:tcBorders>
              <w:top w:val="single" w:color="auto" w:sz="6" w:space="0"/>
              <w:left w:val="single" w:color="auto" w:sz="6" w:space="0"/>
              <w:bottom w:val="single" w:color="auto" w:sz="6" w:space="0"/>
              <w:right w:val="single" w:color="auto" w:sz="6" w:space="0"/>
            </w:tcBorders>
            <w:tcW w:w="3694" w:type="dxa"/>
            <w:vAlign w:val="center"/>
            <w:textDirection w:val="lrTb"/>
            <w:noWrap w:val="false"/>
          </w:tcPr>
          <w:p>
            <w:pPr>
              <w:ind w:left="0" w:right="0"/>
              <w:jc w:val="center"/>
              <w:keepLines w:val="0"/>
              <w:keepNext w:val="0"/>
              <w:spacing w:before="0" w:beforeAutospacing="0" w:after="0" w:afterAutospacing="0" w:line="240" w:lineRule="auto"/>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t xml:space="preserve">审查标准</w:t>
            </w:r>
            <w:r/>
          </w:p>
        </w:tc>
      </w:tr>
      <w:tr>
        <w:trPr/>
        <w:tc>
          <w:tcPr>
            <w:tcBorders>
              <w:top w:val="single" w:color="auto" w:sz="6" w:space="0"/>
              <w:left w:val="single" w:color="auto" w:sz="6" w:space="0"/>
              <w:bottom w:val="single" w:color="auto" w:sz="6" w:space="0"/>
              <w:right w:val="single" w:color="auto" w:sz="6" w:space="0"/>
            </w:tcBorders>
            <w:tcW w:w="5331" w:type="dxa"/>
            <w:vAlign w:val="center"/>
            <w:textDirection w:val="lrTb"/>
            <w:noWrap w:val="false"/>
          </w:tcPr>
          <w:p>
            <w:pPr>
              <w:ind w:left="0" w:right="0" w:firstLine="480"/>
              <w:jc w:val="left"/>
              <w:keepLines w:val="0"/>
              <w:keepNext w:val="0"/>
              <w:pageBreakBefore w:val="0"/>
              <w:spacing w:before="0" w:beforeAutospacing="0" w:after="0" w:afterAutospacing="0" w:line="240" w:lineRule="auto"/>
              <w:widowControl w:val="off"/>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t xml:space="preserve">磋商响应函</w:t>
            </w:r>
            <w:r/>
          </w:p>
        </w:tc>
        <w:tc>
          <w:tcPr>
            <w:tcBorders>
              <w:top w:val="single" w:color="auto" w:sz="6" w:space="0"/>
              <w:left w:val="single" w:color="auto" w:sz="6" w:space="0"/>
              <w:bottom w:val="single" w:color="auto" w:sz="6" w:space="0"/>
              <w:right w:val="single" w:color="auto" w:sz="6" w:space="0"/>
            </w:tcBorders>
            <w:tcW w:w="3694" w:type="dxa"/>
            <w:vAlign w:val="center"/>
            <w:textDirection w:val="lrTb"/>
            <w:noWrap w:val="false"/>
          </w:tcPr>
          <w:p>
            <w:pPr>
              <w:ind w:left="0" w:right="0" w:firstLine="480"/>
              <w:jc w:val="both"/>
              <w:keepLines w:val="0"/>
              <w:keepNext w:val="0"/>
              <w:pageBreakBefore w:val="0"/>
              <w:spacing w:before="0" w:beforeAutospacing="0" w:after="0" w:afterAutospacing="0" w:line="240" w:lineRule="auto"/>
              <w:widowControl w:val="off"/>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t xml:space="preserve">符合磋商文件要求</w:t>
            </w:r>
            <w:r/>
          </w:p>
        </w:tc>
      </w:tr>
      <w:tr>
        <w:trPr/>
        <w:tc>
          <w:tcPr>
            <w:tcBorders>
              <w:top w:val="single" w:color="auto" w:sz="6" w:space="0"/>
              <w:left w:val="single" w:color="auto" w:sz="6" w:space="0"/>
              <w:bottom w:val="single" w:color="auto" w:sz="6" w:space="0"/>
              <w:right w:val="single" w:color="auto" w:sz="6" w:space="0"/>
            </w:tcBorders>
            <w:tcW w:w="5331" w:type="dxa"/>
            <w:vAlign w:val="center"/>
            <w:textDirection w:val="lrTb"/>
            <w:noWrap w:val="false"/>
          </w:tcPr>
          <w:p>
            <w:pPr>
              <w:ind w:left="0" w:right="0" w:firstLine="480"/>
              <w:jc w:val="left"/>
              <w:keepLines w:val="0"/>
              <w:keepNext w:val="0"/>
              <w:pageBreakBefore w:val="0"/>
              <w:spacing w:before="0" w:beforeAutospacing="0" w:after="0" w:afterAutospacing="0" w:line="240" w:lineRule="auto"/>
              <w:widowControl w:val="off"/>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t xml:space="preserve">信用信息</w:t>
            </w:r>
            <w:r/>
          </w:p>
        </w:tc>
        <w:tc>
          <w:tcPr>
            <w:tcBorders>
              <w:top w:val="single" w:color="auto" w:sz="6" w:space="0"/>
              <w:left w:val="single" w:color="auto" w:sz="6" w:space="0"/>
              <w:bottom w:val="single" w:color="auto" w:sz="6" w:space="0"/>
              <w:right w:val="single" w:color="auto" w:sz="6" w:space="0"/>
            </w:tcBorders>
            <w:tcW w:w="3694" w:type="dxa"/>
            <w:vAlign w:val="center"/>
            <w:textDirection w:val="lrTb"/>
            <w:noWrap w:val="false"/>
          </w:tcPr>
          <w:p>
            <w:pPr>
              <w:ind w:left="0" w:right="0" w:firstLine="480"/>
              <w:jc w:val="both"/>
              <w:keepLines w:val="0"/>
              <w:keepNext w:val="0"/>
              <w:pageBreakBefore w:val="0"/>
              <w:spacing w:before="0" w:beforeAutospacing="0" w:after="0" w:afterAutospacing="0" w:line="240" w:lineRule="auto"/>
              <w:widowControl w:val="off"/>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t xml:space="preserve">符合磋商文件要求</w:t>
            </w:r>
            <w:r/>
          </w:p>
        </w:tc>
      </w:tr>
      <w:tr>
        <w:trPr/>
        <w:tc>
          <w:tcPr>
            <w:tcBorders>
              <w:top w:val="single" w:color="auto" w:sz="6" w:space="0"/>
              <w:left w:val="single" w:color="auto" w:sz="6" w:space="0"/>
              <w:bottom w:val="single" w:color="auto" w:sz="6" w:space="0"/>
              <w:right w:val="single" w:color="auto" w:sz="6" w:space="0"/>
            </w:tcBorders>
            <w:tcW w:w="5331" w:type="dxa"/>
            <w:vAlign w:val="center"/>
            <w:textDirection w:val="lrTb"/>
            <w:noWrap w:val="false"/>
          </w:tcPr>
          <w:p>
            <w:pPr>
              <w:ind w:left="0" w:right="0" w:firstLine="480"/>
              <w:jc w:val="left"/>
              <w:keepLines w:val="0"/>
              <w:keepNext w:val="0"/>
              <w:pageBreakBefore w:val="0"/>
              <w:spacing w:before="0" w:beforeAutospacing="0" w:after="0" w:afterAutospacing="0" w:line="240" w:lineRule="auto"/>
              <w:widowControl w:val="off"/>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lang w:val="en-US" w:eastAsia="zh-CN"/>
              </w:rPr>
              <w:t xml:space="preserve">特定</w:t>
            </w:r>
            <w:r>
              <w:rPr>
                <w:rFonts w:hint="eastAsia" w:ascii="新宋体" w:hAnsi="新宋体" w:eastAsia="新宋体" w:cs="新宋体"/>
                <w:color w:val="auto"/>
                <w:sz w:val="24"/>
                <w:szCs w:val="24"/>
                <w:highlight w:val="none"/>
              </w:rPr>
              <w:t xml:space="preserve">资格要求</w:t>
            </w:r>
            <w:r/>
          </w:p>
        </w:tc>
        <w:tc>
          <w:tcPr>
            <w:tcBorders>
              <w:top w:val="single" w:color="auto" w:sz="6" w:space="0"/>
              <w:left w:val="single" w:color="auto" w:sz="6" w:space="0"/>
              <w:bottom w:val="single" w:color="auto" w:sz="6" w:space="0"/>
              <w:right w:val="single" w:color="auto" w:sz="6" w:space="0"/>
            </w:tcBorders>
            <w:tcW w:w="3694" w:type="dxa"/>
            <w:vAlign w:val="center"/>
            <w:textDirection w:val="lrTb"/>
            <w:noWrap w:val="false"/>
          </w:tcPr>
          <w:p>
            <w:pPr>
              <w:ind w:left="0" w:right="0" w:firstLine="480"/>
              <w:jc w:val="both"/>
              <w:keepLines w:val="0"/>
              <w:keepNext w:val="0"/>
              <w:pageBreakBefore w:val="0"/>
              <w:spacing w:before="0" w:beforeAutospacing="0" w:after="0" w:afterAutospacing="0" w:line="240" w:lineRule="auto"/>
              <w:widowControl w:val="off"/>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t xml:space="preserve">符合磋商文件要求</w:t>
            </w:r>
            <w:r/>
          </w:p>
        </w:tc>
      </w:tr>
      <w:tr>
        <w:trPr/>
        <w:tc>
          <w:tcPr>
            <w:tcBorders>
              <w:top w:val="single" w:color="auto" w:sz="6" w:space="0"/>
              <w:left w:val="single" w:color="auto" w:sz="6" w:space="0"/>
              <w:bottom w:val="single" w:color="auto" w:sz="6" w:space="0"/>
              <w:right w:val="single" w:color="auto" w:sz="6" w:space="0"/>
            </w:tcBorders>
            <w:tcW w:w="5331" w:type="dxa"/>
            <w:vAlign w:val="center"/>
            <w:textDirection w:val="lrTb"/>
            <w:noWrap w:val="false"/>
          </w:tcPr>
          <w:p>
            <w:pPr>
              <w:ind w:left="0" w:right="0" w:firstLine="480"/>
              <w:jc w:val="left"/>
              <w:keepLines w:val="0"/>
              <w:keepNext w:val="0"/>
              <w:pageBreakBefore w:val="0"/>
              <w:spacing w:before="0" w:beforeAutospacing="0" w:after="0" w:afterAutospacing="0" w:line="240" w:lineRule="auto"/>
              <w:widowControl w:val="off"/>
              <w:rPr>
                <w:rFonts w:hint="default" w:ascii="新宋体" w:hAnsi="新宋体" w:eastAsia="新宋体" w:cs="新宋体"/>
                <w:color w:val="auto"/>
                <w:sz w:val="24"/>
                <w:szCs w:val="24"/>
                <w:highlight w:val="none"/>
                <w:lang w:val="en-US" w:eastAsia="zh-CN"/>
              </w:rPr>
              <w:suppressLineNumbers w:val="0"/>
            </w:pPr>
            <w:r>
              <w:rPr>
                <w:rFonts w:hint="eastAsia" w:ascii="新宋体" w:hAnsi="新宋体" w:eastAsia="新宋体" w:cs="新宋体"/>
                <w:color w:val="auto"/>
                <w:sz w:val="24"/>
                <w:szCs w:val="24"/>
                <w:highlight w:val="none"/>
                <w:lang w:val="en-US" w:eastAsia="zh-CN"/>
              </w:rPr>
              <w:t xml:space="preserve">联合体响应</w:t>
            </w:r>
            <w:r/>
          </w:p>
        </w:tc>
        <w:tc>
          <w:tcPr>
            <w:tcBorders>
              <w:top w:val="single" w:color="auto" w:sz="6" w:space="0"/>
              <w:left w:val="single" w:color="auto" w:sz="6" w:space="0"/>
              <w:bottom w:val="single" w:color="auto" w:sz="6" w:space="0"/>
              <w:right w:val="single" w:color="auto" w:sz="6" w:space="0"/>
            </w:tcBorders>
            <w:tcW w:w="3694" w:type="dxa"/>
            <w:vAlign w:val="center"/>
            <w:textDirection w:val="lrTb"/>
            <w:noWrap w:val="false"/>
          </w:tcPr>
          <w:p>
            <w:pPr>
              <w:ind w:left="0" w:right="0" w:firstLine="480"/>
              <w:jc w:val="both"/>
              <w:keepLines w:val="0"/>
              <w:keepNext w:val="0"/>
              <w:pageBreakBefore w:val="0"/>
              <w:spacing w:before="0" w:beforeAutospacing="0" w:after="0" w:afterAutospacing="0" w:line="240" w:lineRule="auto"/>
              <w:widowControl w:val="off"/>
              <w:rPr>
                <w:rFonts w:hint="default" w:ascii="新宋体" w:hAnsi="新宋体" w:eastAsia="新宋体" w:cs="新宋体"/>
                <w:color w:val="auto"/>
                <w:sz w:val="24"/>
                <w:szCs w:val="24"/>
                <w:highlight w:val="none"/>
                <w:lang w:val="en-US" w:eastAsia="zh-CN"/>
              </w:rPr>
              <w:suppressLineNumbers w:val="0"/>
            </w:pPr>
            <w:r>
              <w:rPr>
                <w:rFonts w:hint="eastAsia" w:ascii="新宋体" w:hAnsi="新宋体" w:eastAsia="新宋体" w:cs="新宋体"/>
                <w:color w:val="auto"/>
                <w:sz w:val="24"/>
                <w:szCs w:val="24"/>
                <w:highlight w:val="none"/>
                <w:lang w:val="en-US" w:eastAsia="zh-CN"/>
              </w:rPr>
              <w:t xml:space="preserve">接受联合体</w:t>
            </w:r>
            <w:r/>
          </w:p>
        </w:tc>
      </w:tr>
    </w:tbl>
    <w:p>
      <w:pPr>
        <w:ind w:firstLine="482"/>
        <w:jc w:val="left"/>
        <w:spacing w:line="480" w:lineRule="exact"/>
        <w:rPr>
          <w:rFonts w:hint="eastAsia" w:ascii="新宋体" w:hAnsi="新宋体" w:eastAsia="新宋体" w:cs="新宋体"/>
          <w:b/>
          <w:bCs/>
          <w:color w:val="auto"/>
          <w:sz w:val="24"/>
          <w:szCs w:val="24"/>
          <w:highlight w:val="none"/>
        </w:rPr>
      </w:pPr>
      <w:r>
        <w:rPr>
          <w:rFonts w:hint="eastAsia" w:ascii="新宋体" w:hAnsi="新宋体" w:eastAsia="新宋体" w:cs="新宋体"/>
          <w:b/>
          <w:bCs/>
          <w:color w:val="auto"/>
          <w:sz w:val="24"/>
          <w:szCs w:val="24"/>
          <w:highlight w:val="none"/>
        </w:rPr>
        <w:t xml:space="preserve">二、符合性审查</w:t>
      </w:r>
      <w:r/>
    </w:p>
    <w:p>
      <w:pPr>
        <w:ind w:firstLine="480"/>
        <w:jc w:val="left"/>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磋商小组对符合资格的供应商的响应文件进行符合性审查，未通过审查的为无效标，不再参与评审。</w:t>
      </w:r>
      <w:r/>
    </w:p>
    <w:tbl>
      <w:tblPr>
        <w:tblStyle w:val="678"/>
        <w:tblW w:w="9037" w:type="dxa"/>
        <w:tblInd w:w="3"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5343"/>
        <w:gridCol w:w="3694"/>
      </w:tblGrid>
      <w:tr>
        <w:trPr/>
        <w:tc>
          <w:tcPr>
            <w:tcBorders>
              <w:top w:val="single" w:color="auto" w:sz="6" w:space="0"/>
              <w:left w:val="single" w:color="auto" w:sz="6" w:space="0"/>
              <w:bottom w:val="single" w:color="auto" w:sz="6" w:space="0"/>
              <w:right w:val="single" w:color="auto" w:sz="6" w:space="0"/>
            </w:tcBorders>
            <w:tcW w:w="5343"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t xml:space="preserve">符合性审查因素</w:t>
            </w:r>
            <w:r/>
          </w:p>
        </w:tc>
        <w:tc>
          <w:tcPr>
            <w:tcBorders>
              <w:top w:val="single" w:color="auto" w:sz="6" w:space="0"/>
              <w:left w:val="single" w:color="auto" w:sz="6" w:space="0"/>
              <w:bottom w:val="single" w:color="auto" w:sz="6" w:space="0"/>
              <w:right w:val="single" w:color="auto" w:sz="6" w:space="0"/>
            </w:tcBorders>
            <w:tcW w:w="3694" w:type="dxa"/>
            <w:vAlign w:val="center"/>
            <w:textDirection w:val="lrTb"/>
            <w:noWrap w:val="false"/>
          </w:tcPr>
          <w:p>
            <w:pPr>
              <w:ind w:left="0" w:right="0"/>
              <w:jc w:val="center"/>
              <w:keepLines w:val="0"/>
              <w:keepNext w:val="0"/>
              <w:spacing w:before="0" w:beforeAutospacing="0" w:after="0" w:afterAutospacing="0" w:line="240" w:lineRule="auto"/>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t xml:space="preserve">审查标准</w:t>
            </w:r>
            <w:r/>
          </w:p>
        </w:tc>
      </w:tr>
      <w:tr>
        <w:trPr/>
        <w:tc>
          <w:tcPr>
            <w:tcBorders>
              <w:top w:val="single" w:color="auto" w:sz="6" w:space="0"/>
              <w:left w:val="single" w:color="auto" w:sz="6" w:space="0"/>
              <w:bottom w:val="single" w:color="auto" w:sz="6" w:space="0"/>
              <w:right w:val="single" w:color="auto" w:sz="6" w:space="0"/>
            </w:tcBorders>
            <w:tcW w:w="5343" w:type="dxa"/>
            <w:vAlign w:val="center"/>
            <w:textDirection w:val="lrTb"/>
            <w:noWrap w:val="false"/>
          </w:tcPr>
          <w:p>
            <w:pPr>
              <w:ind w:left="0" w:right="0" w:firstLine="480"/>
              <w:jc w:val="left"/>
              <w:keepLines w:val="0"/>
              <w:keepNext w:val="0"/>
              <w:pageBreakBefore w:val="0"/>
              <w:spacing w:before="0" w:beforeAutospacing="0" w:after="0" w:afterAutospacing="0" w:line="240" w:lineRule="auto"/>
              <w:widowControl w:val="off"/>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t xml:space="preserve">磋商报价表</w:t>
            </w:r>
            <w:r/>
          </w:p>
        </w:tc>
        <w:tc>
          <w:tcPr>
            <w:tcBorders>
              <w:top w:val="single" w:color="auto" w:sz="6" w:space="0"/>
              <w:left w:val="single" w:color="auto" w:sz="6" w:space="0"/>
              <w:bottom w:val="single" w:color="auto" w:sz="6" w:space="0"/>
              <w:right w:val="single" w:color="auto" w:sz="6" w:space="0"/>
            </w:tcBorders>
            <w:tcW w:w="3694" w:type="dxa"/>
            <w:vAlign w:val="center"/>
            <w:textDirection w:val="lrTb"/>
            <w:noWrap w:val="false"/>
          </w:tcPr>
          <w:p>
            <w:pPr>
              <w:ind w:left="0" w:right="0"/>
              <w:jc w:val="center"/>
              <w:keepLines w:val="0"/>
              <w:keepNext w:val="0"/>
              <w:spacing w:before="0" w:beforeAutospacing="0" w:after="0" w:afterAutospacing="0" w:line="240" w:lineRule="auto"/>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t xml:space="preserve">符合磋商文件要求</w:t>
            </w:r>
            <w:r/>
          </w:p>
        </w:tc>
      </w:tr>
      <w:tr>
        <w:trPr/>
        <w:tc>
          <w:tcPr>
            <w:tcBorders>
              <w:top w:val="single" w:color="auto" w:sz="6" w:space="0"/>
              <w:left w:val="single" w:color="auto" w:sz="6" w:space="0"/>
              <w:bottom w:val="single" w:color="auto" w:sz="6" w:space="0"/>
              <w:right w:val="single" w:color="auto" w:sz="6" w:space="0"/>
            </w:tcBorders>
            <w:tcW w:w="5343" w:type="dxa"/>
            <w:vAlign w:val="center"/>
            <w:textDirection w:val="lrTb"/>
            <w:noWrap w:val="false"/>
          </w:tcPr>
          <w:p>
            <w:pPr>
              <w:ind w:left="0" w:right="0" w:firstLine="480"/>
              <w:jc w:val="left"/>
              <w:keepLines w:val="0"/>
              <w:keepNext w:val="0"/>
              <w:pageBreakBefore w:val="0"/>
              <w:spacing w:before="0" w:beforeAutospacing="0" w:after="0" w:afterAutospacing="0" w:line="240" w:lineRule="auto"/>
              <w:widowControl w:val="off"/>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t xml:space="preserve">法定代表人身份证明或授权委托书</w:t>
            </w:r>
            <w:r/>
          </w:p>
        </w:tc>
        <w:tc>
          <w:tcPr>
            <w:tcBorders>
              <w:top w:val="single" w:color="auto" w:sz="6" w:space="0"/>
              <w:left w:val="single" w:color="auto" w:sz="6" w:space="0"/>
              <w:bottom w:val="single" w:color="auto" w:sz="6" w:space="0"/>
              <w:right w:val="single" w:color="auto" w:sz="6" w:space="0"/>
            </w:tcBorders>
            <w:tcW w:w="3694" w:type="dxa"/>
            <w:vAlign w:val="center"/>
            <w:textDirection w:val="lrTb"/>
            <w:noWrap w:val="false"/>
          </w:tcPr>
          <w:p>
            <w:pPr>
              <w:ind w:left="0" w:right="0"/>
              <w:jc w:val="center"/>
              <w:keepLines w:val="0"/>
              <w:keepNext w:val="0"/>
              <w:spacing w:before="0" w:beforeAutospacing="0" w:after="0" w:afterAutospacing="0" w:line="240" w:lineRule="auto"/>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t xml:space="preserve">符合磋商文件要求</w:t>
            </w:r>
            <w:r/>
          </w:p>
        </w:tc>
      </w:tr>
      <w:tr>
        <w:trPr/>
        <w:tc>
          <w:tcPr>
            <w:tcBorders>
              <w:top w:val="single" w:color="auto" w:sz="6" w:space="0"/>
              <w:left w:val="single" w:color="auto" w:sz="6" w:space="0"/>
              <w:bottom w:val="single" w:color="auto" w:sz="6" w:space="0"/>
              <w:right w:val="single" w:color="auto" w:sz="6" w:space="0"/>
            </w:tcBorders>
            <w:tcW w:w="5343" w:type="dxa"/>
            <w:vAlign w:val="center"/>
            <w:textDirection w:val="lrTb"/>
            <w:noWrap w:val="false"/>
          </w:tcPr>
          <w:p>
            <w:pPr>
              <w:ind w:left="0" w:right="0" w:firstLine="480"/>
              <w:jc w:val="left"/>
              <w:keepLines w:val="0"/>
              <w:keepNext w:val="0"/>
              <w:pageBreakBefore w:val="0"/>
              <w:spacing w:before="0" w:beforeAutospacing="0" w:after="0" w:afterAutospacing="0" w:line="240" w:lineRule="auto"/>
              <w:widowControl w:val="off"/>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t xml:space="preserve">技术标准和要求</w:t>
            </w:r>
            <w:r/>
          </w:p>
        </w:tc>
        <w:tc>
          <w:tcPr>
            <w:tcBorders>
              <w:top w:val="single" w:color="auto" w:sz="6" w:space="0"/>
              <w:left w:val="single" w:color="auto" w:sz="6" w:space="0"/>
              <w:bottom w:val="single" w:color="auto" w:sz="6" w:space="0"/>
              <w:right w:val="single" w:color="auto" w:sz="6" w:space="0"/>
            </w:tcBorders>
            <w:tcW w:w="3694" w:type="dxa"/>
            <w:vAlign w:val="center"/>
            <w:textDirection w:val="lrTb"/>
            <w:noWrap w:val="false"/>
          </w:tcPr>
          <w:p>
            <w:pPr>
              <w:ind w:left="0" w:right="0"/>
              <w:jc w:val="center"/>
              <w:keepLines w:val="0"/>
              <w:keepNext w:val="0"/>
              <w:spacing w:before="0" w:beforeAutospacing="0" w:after="0" w:afterAutospacing="0" w:line="240" w:lineRule="auto"/>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t xml:space="preserve">符合磋商文件要求</w:t>
            </w:r>
            <w:r/>
          </w:p>
        </w:tc>
      </w:tr>
      <w:tr>
        <w:trPr/>
        <w:tc>
          <w:tcPr>
            <w:tcBorders>
              <w:top w:val="single" w:color="auto" w:sz="6" w:space="0"/>
              <w:left w:val="single" w:color="auto" w:sz="6" w:space="0"/>
              <w:bottom w:val="single" w:color="auto" w:sz="6" w:space="0"/>
              <w:right w:val="single" w:color="auto" w:sz="6" w:space="0"/>
            </w:tcBorders>
            <w:tcW w:w="5343" w:type="dxa"/>
            <w:vAlign w:val="center"/>
            <w:textDirection w:val="lrTb"/>
            <w:noWrap w:val="false"/>
          </w:tcPr>
          <w:p>
            <w:pPr>
              <w:ind w:left="0" w:right="0" w:firstLine="480"/>
              <w:jc w:val="left"/>
              <w:keepLines w:val="0"/>
              <w:keepNext w:val="0"/>
              <w:pageBreakBefore w:val="0"/>
              <w:spacing w:before="0" w:beforeAutospacing="0" w:after="0" w:afterAutospacing="0" w:line="240" w:lineRule="auto"/>
              <w:widowControl w:val="off"/>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t xml:space="preserve">其他</w:t>
            </w:r>
            <w:r/>
          </w:p>
        </w:tc>
        <w:tc>
          <w:tcPr>
            <w:tcBorders>
              <w:top w:val="single" w:color="auto" w:sz="6" w:space="0"/>
              <w:left w:val="single" w:color="auto" w:sz="6" w:space="0"/>
              <w:bottom w:val="single" w:color="auto" w:sz="6" w:space="0"/>
              <w:right w:val="single" w:color="auto" w:sz="6" w:space="0"/>
            </w:tcBorders>
            <w:tcW w:w="3694" w:type="dxa"/>
            <w:vAlign w:val="center"/>
            <w:textDirection w:val="lrTb"/>
            <w:noWrap w:val="false"/>
          </w:tcPr>
          <w:p>
            <w:pPr>
              <w:ind w:left="0" w:right="0"/>
              <w:jc w:val="center"/>
              <w:keepLines w:val="0"/>
              <w:keepNext w:val="0"/>
              <w:spacing w:before="0" w:beforeAutospacing="0" w:after="0" w:afterAutospacing="0" w:line="240" w:lineRule="auto"/>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t xml:space="preserve">符合磋商文件要求</w:t>
            </w:r>
            <w:r/>
          </w:p>
        </w:tc>
      </w:tr>
    </w:tbl>
    <w:p>
      <w:pPr>
        <w:ind w:firstLine="480"/>
        <w:jc w:val="both"/>
        <w:spacing w:line="500" w:lineRule="exact"/>
        <w:rPr>
          <w:rFonts w:hint="eastAsia" w:ascii="仿宋_GB2312" w:hAnsi="Times New Roman" w:eastAsia="仿宋_GB2312" w:cs="Times New Roman"/>
          <w:b/>
          <w:color w:val="auto"/>
          <w:sz w:val="28"/>
          <w:szCs w:val="22"/>
          <w:highlight w:val="white"/>
          <w:lang w:val="en-US" w:eastAsia="zh-CN"/>
        </w:rPr>
      </w:pPr>
      <w:r>
        <w:rPr>
          <w:rFonts w:hint="eastAsia" w:ascii="新宋体" w:hAnsi="新宋体" w:eastAsia="新宋体" w:cs="新宋体"/>
          <w:color w:val="auto"/>
          <w:sz w:val="24"/>
          <w:szCs w:val="24"/>
          <w:highlight w:val="none"/>
        </w:rPr>
        <w:t xml:space="preserve">三、</w:t>
      </w:r>
      <w:r>
        <w:rPr>
          <w:rFonts w:hint="eastAsia" w:ascii="新宋体" w:hAnsi="新宋体" w:eastAsia="新宋体" w:cs="新宋体"/>
          <w:b/>
          <w:color w:val="auto"/>
          <w:sz w:val="24"/>
          <w:szCs w:val="24"/>
          <w:highlight w:val="none"/>
        </w:rPr>
        <w:t xml:space="preserve">评审方法</w:t>
      </w:r>
      <w:r>
        <w:rPr>
          <w:rFonts w:hint="eastAsia" w:ascii="仿宋_GB2312" w:hAnsi="Times New Roman" w:eastAsia="仿宋_GB2312" w:cs="Times New Roman"/>
          <w:b/>
          <w:color w:val="auto"/>
          <w:sz w:val="28"/>
          <w:szCs w:val="22"/>
          <w:highlight w:val="white"/>
          <w:lang w:val="en-US" w:eastAsia="zh-CN"/>
        </w:rPr>
        <w:t xml:space="preserve">—综合评分法</w:t>
      </w:r>
      <w:r/>
    </w:p>
    <w:p>
      <w:pPr>
        <w:ind w:firstLine="480"/>
        <w:spacing w:line="500" w:lineRule="exact"/>
        <w:rPr>
          <w:rFonts w:hint="eastAsia" w:ascii="新宋体" w:hAnsi="新宋体" w:eastAsia="新宋体" w:cs="新宋体"/>
          <w:color w:val="auto"/>
          <w:sz w:val="24"/>
          <w:szCs w:val="24"/>
          <w:lang w:val="en-US" w:eastAsia="zh-CN"/>
        </w:rPr>
      </w:pPr>
      <w:r/>
      <w:bookmarkStart w:id="86" w:name="EB1a5d8b2c3833482f95a1f101c76adb9d"/>
      <w:r>
        <w:rPr>
          <w:rFonts w:hint="eastAsia" w:ascii="新宋体" w:hAnsi="新宋体" w:eastAsia="新宋体" w:cs="新宋体"/>
          <w:color w:val="auto"/>
          <w:sz w:val="24"/>
          <w:szCs w:val="24"/>
          <w:lang w:val="en-US" w:eastAsia="zh-CN"/>
        </w:rPr>
        <w:t xml:space="preserve">（一）评审办法：本次评审采用综合评分法，磋商小组成员根据磋商文件规定进行独立评审，对需要共同认定的客观分存在争议的，应当按照少数服从多数的原则作出结论。持不同意见的磋商小组成员应当在评审报告上签署不同意见及理由，否则视为同意评审报告。评审过程中，不得去掉报价中的最高报价和最低报价。因落实政府采购政策进行价格调整的，以调整后的价格计算磋商基准价和最后磋商报价。本次评审按得分高低顺序推荐成交候选人。得分相同的，按报价从低到高顺序排列；得分且报价相同的，按技术指标优劣顺序排列。</w:t>
      </w:r>
      <w:r/>
    </w:p>
    <w:p>
      <w:pPr>
        <w:ind w:firstLine="480"/>
        <w:spacing w:line="500" w:lineRule="exact"/>
        <w:rPr>
          <w:rFonts w:hint="eastAsia" w:ascii="新宋体" w:hAnsi="新宋体" w:eastAsia="新宋体" w:cs="新宋体"/>
          <w:color w:val="auto"/>
          <w:sz w:val="24"/>
          <w:szCs w:val="24"/>
          <w:lang w:val="en-US" w:eastAsia="zh-CN"/>
        </w:rPr>
      </w:pPr>
      <w:r>
        <w:rPr>
          <w:rFonts w:hint="eastAsia" w:ascii="新宋体" w:hAnsi="新宋体" w:eastAsia="新宋体" w:cs="新宋体"/>
          <w:color w:val="auto"/>
          <w:sz w:val="24"/>
          <w:szCs w:val="24"/>
          <w:lang w:val="en-US" w:eastAsia="zh-CN"/>
        </w:rPr>
        <w:t xml:space="preserve">磋商小组根据评审后供应商排序推荐3名成交候选人。响应文件满足磋商文件全部实质性要求，且评审后排序第一的供应商为第一成交候选人，依此类推。综合评分保留至小数点后两位。 </w:t>
      </w:r>
      <w:r/>
    </w:p>
    <w:p>
      <w:pPr>
        <w:numPr>
          <w:ilvl w:val="0"/>
          <w:numId w:val="6"/>
        </w:numPr>
        <w:ind w:firstLine="480"/>
        <w:spacing w:line="500" w:lineRule="exact"/>
        <w:rPr>
          <w:rFonts w:hint="eastAsia" w:ascii="新宋体" w:hAnsi="新宋体" w:eastAsia="新宋体" w:cs="新宋体"/>
          <w:color w:val="auto"/>
          <w:sz w:val="24"/>
          <w:szCs w:val="24"/>
          <w:lang w:val="en-US" w:eastAsia="zh-CN"/>
        </w:rPr>
      </w:pPr>
      <w:r>
        <w:rPr>
          <w:rFonts w:hint="eastAsia" w:ascii="新宋体" w:hAnsi="新宋体" w:eastAsia="新宋体" w:cs="新宋体"/>
          <w:color w:val="auto"/>
          <w:sz w:val="24"/>
          <w:szCs w:val="24"/>
          <w:lang w:val="en-US" w:eastAsia="zh-CN"/>
        </w:rPr>
        <w:t xml:space="preserve">详细评审。磋商小组按照竞争性磋商文件规定的评分标准，对各响应文件进行详细评审打分(打分保留两位小数)。磋商小组组长对各评审专家的打分情况进行复核无误后汇总。</w:t>
      </w:r>
      <w:r/>
    </w:p>
    <w:tbl>
      <w:tblPr>
        <w:tblStyle w:val="70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11"/>
        <w:gridCol w:w="993"/>
        <w:gridCol w:w="957"/>
        <w:gridCol w:w="5561"/>
      </w:tblGrid>
      <w:tr>
        <w:trPr>
          <w:jc w:val="center"/>
        </w:trPr>
        <w:tc>
          <w:tcPr>
            <w:gridSpan w:val="2"/>
            <w:tcW w:w="2004" w:type="dxa"/>
            <w:vAlign w:val="center"/>
            <w:textDirection w:val="lrTb"/>
            <w:noWrap w:val="false"/>
          </w:tcPr>
          <w:p>
            <w:pPr>
              <w:jc w:val="center"/>
              <w:spacing w:after="0" w:line="240" w:lineRule="auto"/>
              <w:rPr>
                <w:color w:val="auto"/>
              </w:rPr>
            </w:pPr>
            <w:r>
              <w:rPr>
                <w:rFonts w:ascii="新宋体" w:hAnsi="新宋体" w:eastAsia="新宋体"/>
                <w:color w:val="auto"/>
                <w:sz w:val="24"/>
              </w:rPr>
              <w:t xml:space="preserve">评审因素</w:t>
            </w:r>
            <w:r/>
          </w:p>
        </w:tc>
        <w:tc>
          <w:tcPr>
            <w:tcW w:w="957" w:type="dxa"/>
            <w:vAlign w:val="center"/>
            <w:textDirection w:val="lrTb"/>
            <w:noWrap w:val="false"/>
          </w:tcPr>
          <w:p>
            <w:pPr>
              <w:jc w:val="center"/>
              <w:spacing w:after="0" w:line="240" w:lineRule="auto"/>
              <w:rPr>
                <w:color w:val="auto"/>
              </w:rPr>
            </w:pPr>
            <w:r>
              <w:rPr>
                <w:rFonts w:ascii="新宋体" w:hAnsi="新宋体" w:eastAsia="新宋体"/>
                <w:color w:val="auto"/>
                <w:sz w:val="24"/>
              </w:rPr>
              <w:t xml:space="preserve">权值</w:t>
            </w:r>
            <w:r/>
          </w:p>
        </w:tc>
        <w:tc>
          <w:tcPr>
            <w:tcW w:w="5561" w:type="dxa"/>
            <w:vAlign w:val="center"/>
            <w:textDirection w:val="lrTb"/>
            <w:noWrap w:val="false"/>
          </w:tcPr>
          <w:p>
            <w:pPr>
              <w:jc w:val="center"/>
              <w:spacing w:after="0" w:line="240" w:lineRule="auto"/>
              <w:rPr>
                <w:color w:val="auto"/>
              </w:rPr>
            </w:pPr>
            <w:r>
              <w:rPr>
                <w:rFonts w:ascii="新宋体" w:hAnsi="新宋体" w:eastAsia="新宋体"/>
                <w:color w:val="auto"/>
                <w:sz w:val="24"/>
              </w:rPr>
              <w:t xml:space="preserve">评审标准</w:t>
            </w:r>
            <w:r/>
          </w:p>
        </w:tc>
      </w:tr>
      <w:tr>
        <w:trPr>
          <w:jc w:val="center"/>
        </w:trPr>
        <w:tc>
          <w:tcPr>
            <w:tcW w:w="1011" w:type="dxa"/>
            <w:vAlign w:val="center"/>
            <w:textDirection w:val="lrTb"/>
            <w:noWrap w:val="false"/>
          </w:tcPr>
          <w:p>
            <w:pPr>
              <w:jc w:val="center"/>
              <w:spacing w:after="0" w:line="240" w:lineRule="auto"/>
              <w:rPr>
                <w:color w:val="auto"/>
              </w:rPr>
            </w:pPr>
            <w:r>
              <w:rPr>
                <w:rFonts w:ascii="新宋体" w:hAnsi="新宋体" w:eastAsia="新宋体"/>
                <w:color w:val="auto"/>
                <w:sz w:val="24"/>
              </w:rPr>
              <w:t xml:space="preserve">磋商</w:t>
            </w:r>
            <w:r>
              <w:rPr>
                <w:rFonts w:hint="eastAsia"/>
                <w:color w:val="auto"/>
                <w:sz w:val="24"/>
                <w:lang w:val="en-US" w:eastAsia="zh-CN"/>
              </w:rPr>
              <w:t xml:space="preserve"> </w:t>
            </w:r>
            <w:r>
              <w:rPr>
                <w:rFonts w:ascii="新宋体" w:hAnsi="新宋体" w:eastAsia="新宋体"/>
                <w:color w:val="auto"/>
                <w:sz w:val="24"/>
              </w:rPr>
              <w:t xml:space="preserve">报价</w:t>
            </w:r>
            <w:r/>
          </w:p>
        </w:tc>
        <w:tc>
          <w:tcPr>
            <w:tcW w:w="993" w:type="dxa"/>
            <w:vAlign w:val="center"/>
            <w:textDirection w:val="lrTb"/>
            <w:noWrap w:val="false"/>
          </w:tcPr>
          <w:p>
            <w:pPr>
              <w:jc w:val="center"/>
              <w:spacing w:after="0" w:line="240" w:lineRule="auto"/>
              <w:rPr>
                <w:color w:val="auto"/>
              </w:rPr>
            </w:pPr>
            <w:r>
              <w:rPr>
                <w:rFonts w:ascii="新宋体" w:hAnsi="新宋体" w:eastAsia="新宋体"/>
                <w:color w:val="auto"/>
                <w:sz w:val="24"/>
              </w:rPr>
              <w:t xml:space="preserve">磋商</w:t>
            </w:r>
            <w:r>
              <w:rPr>
                <w:rFonts w:hint="eastAsia"/>
                <w:color w:val="auto"/>
                <w:sz w:val="24"/>
                <w:lang w:val="en-US" w:eastAsia="zh-CN"/>
              </w:rPr>
              <w:t xml:space="preserve"> </w:t>
            </w:r>
            <w:r>
              <w:rPr>
                <w:rFonts w:ascii="新宋体" w:hAnsi="新宋体" w:eastAsia="新宋体"/>
                <w:color w:val="auto"/>
                <w:sz w:val="24"/>
              </w:rPr>
              <w:t xml:space="preserve">报价</w:t>
            </w:r>
            <w:r/>
          </w:p>
        </w:tc>
        <w:tc>
          <w:tcPr>
            <w:tcW w:w="957" w:type="dxa"/>
            <w:vAlign w:val="center"/>
            <w:textDirection w:val="lrTb"/>
            <w:noWrap w:val="false"/>
          </w:tcPr>
          <w:p>
            <w:pPr>
              <w:jc w:val="center"/>
              <w:spacing w:after="0" w:line="240" w:lineRule="auto"/>
              <w:rPr>
                <w:color w:val="auto"/>
              </w:rPr>
            </w:pPr>
            <w:r>
              <w:rPr>
                <w:rFonts w:hint="eastAsia"/>
                <w:color w:val="auto"/>
                <w:sz w:val="24"/>
                <w:lang w:val="en-US" w:eastAsia="zh-CN"/>
              </w:rPr>
              <w:t xml:space="preserve">15</w:t>
            </w:r>
            <w:r>
              <w:rPr>
                <w:rFonts w:ascii="新宋体" w:hAnsi="新宋体" w:eastAsia="新宋体"/>
                <w:color w:val="auto"/>
                <w:sz w:val="24"/>
              </w:rPr>
              <w:t xml:space="preserve">.00</w:t>
            </w:r>
            <w:r/>
          </w:p>
        </w:tc>
        <w:tc>
          <w:tcPr>
            <w:tcW w:w="5561" w:type="dxa"/>
            <w:vAlign w:val="center"/>
            <w:textDirection w:val="lrTb"/>
            <w:noWrap w:val="false"/>
          </w:tcPr>
          <w:p>
            <w:pPr>
              <w:jc w:val="left"/>
              <w:spacing w:after="0" w:line="240" w:lineRule="auto"/>
              <w:rPr>
                <w:color w:val="auto"/>
              </w:rPr>
            </w:pPr>
            <w:r>
              <w:rPr>
                <w:rFonts w:ascii="新宋体" w:hAnsi="新宋体" w:eastAsia="新宋体"/>
                <w:color w:val="auto"/>
                <w:sz w:val="24"/>
              </w:rPr>
              <w:t xml:space="preserve">1、价格分统一采用低价优先法计算，即满足磋商文件要求且最后报价最低的供应商的价格为磋商基准价，其价格分为满分。其他供应商的价格分统一按照下列公式计算：磋商报价得分=（磋商基准价/最后磋商报价）×价格权值×100。</w:t>
            </w:r>
            <w:r/>
          </w:p>
          <w:p>
            <w:pPr>
              <w:jc w:val="left"/>
              <w:spacing w:after="0" w:line="240" w:lineRule="auto"/>
              <w:rPr>
                <w:color w:val="auto"/>
              </w:rPr>
            </w:pPr>
            <w:r>
              <w:rPr>
                <w:rFonts w:ascii="新宋体" w:hAnsi="新宋体" w:eastAsia="新宋体"/>
                <w:color w:val="auto"/>
                <w:sz w:val="24"/>
              </w:rPr>
              <w:t xml:space="preserve">2、本项目评审不剔除最高、最低报价，所有通过符合性审查的报价均参与评审计算。</w:t>
            </w:r>
            <w:r/>
          </w:p>
          <w:p>
            <w:pPr>
              <w:jc w:val="left"/>
              <w:spacing w:after="0" w:line="240" w:lineRule="auto"/>
              <w:rPr>
                <w:color w:val="auto"/>
              </w:rPr>
            </w:pPr>
            <w:r>
              <w:rPr>
                <w:rFonts w:ascii="新宋体" w:hAnsi="新宋体" w:eastAsia="新宋体"/>
                <w:color w:val="auto"/>
                <w:sz w:val="24"/>
              </w:rPr>
              <w:t xml:space="preserve">3、供应商报价明显低于其他有效供应商报价且无法合理说明、无法提供成本佐证材料的，视为恶意低价，作无效响应处理。</w:t>
            </w:r>
            <w:r/>
          </w:p>
          <w:p>
            <w:pPr>
              <w:jc w:val="left"/>
              <w:spacing w:after="0" w:line="240" w:lineRule="auto"/>
              <w:rPr>
                <w:rFonts w:ascii="新宋体" w:hAnsi="新宋体" w:eastAsia="新宋体"/>
                <w:color w:val="auto"/>
                <w:sz w:val="24"/>
              </w:rPr>
            </w:pPr>
            <w:r>
              <w:rPr>
                <w:rFonts w:ascii="新宋体" w:hAnsi="新宋体" w:eastAsia="新宋体"/>
                <w:color w:val="auto"/>
                <w:sz w:val="24"/>
              </w:rPr>
              <w:t xml:space="preserve">4、政府采购价格扶持政策：（1）小微企业：提供有效《中小企业声明函》，评审报价扣除10%；（2）监狱企业、残疾人福利性单位：提供官方有效证明材料，视同小微企业，评审报价扣除10%；（3）大中型企业与小微企业组成联合体或小微企业分包占比≥30%的，评审报价扣除5%；</w:t>
            </w:r>
            <w:r/>
          </w:p>
          <w:p>
            <w:pPr>
              <w:jc w:val="left"/>
              <w:spacing w:after="0" w:line="240" w:lineRule="auto"/>
              <w:rPr>
                <w:color w:val="auto"/>
              </w:rPr>
            </w:pPr>
            <w:r>
              <w:rPr>
                <w:rFonts w:ascii="新宋体" w:hAnsi="新宋体" w:eastAsia="新宋体"/>
                <w:color w:val="auto"/>
                <w:sz w:val="24"/>
              </w:rPr>
              <w:t xml:space="preserve">（4）全部由小微企业组成的联合体，评审报价扣除10%。</w:t>
            </w:r>
            <w:r/>
          </w:p>
          <w:p>
            <w:pPr>
              <w:jc w:val="left"/>
              <w:spacing w:after="0" w:line="240" w:lineRule="auto"/>
              <w:rPr>
                <w:color w:val="auto"/>
              </w:rPr>
            </w:pPr>
            <w:r>
              <w:rPr>
                <w:rFonts w:ascii="新宋体" w:hAnsi="新宋体" w:eastAsia="新宋体"/>
                <w:color w:val="auto"/>
                <w:sz w:val="24"/>
              </w:rPr>
              <w:t xml:space="preserve">5、所有价格扶持主体必须提供真实、有效、完整的佐证材料并加盖公章，材料不齐、不符、虚假的，不予享受价格扣除政策。</w:t>
            </w:r>
            <w:r/>
          </w:p>
        </w:tc>
      </w:tr>
      <w:tr>
        <w:trPr>
          <w:jc w:val="center"/>
        </w:trPr>
        <w:tc>
          <w:tcPr>
            <w:tcW w:w="1011" w:type="dxa"/>
            <w:vAlign w:val="center"/>
            <w:textDirection w:val="lrTb"/>
            <w:noWrap w:val="false"/>
          </w:tcPr>
          <w:p>
            <w:pPr>
              <w:jc w:val="center"/>
              <w:spacing w:after="0" w:line="240" w:lineRule="auto"/>
              <w:rPr>
                <w:rFonts w:hint="eastAsia" w:ascii="新宋体" w:hAnsi="新宋体" w:eastAsia="新宋体"/>
                <w:color w:val="auto"/>
                <w:sz w:val="24"/>
                <w:lang w:val="en-US" w:eastAsia="zh-CN"/>
              </w:rPr>
            </w:pPr>
            <w:r>
              <w:rPr>
                <w:rFonts w:hint="eastAsia" w:ascii="新宋体" w:hAnsi="新宋体" w:eastAsia="新宋体"/>
                <w:color w:val="auto"/>
                <w:sz w:val="24"/>
                <w:lang w:val="en-US" w:eastAsia="zh-CN"/>
              </w:rPr>
              <w:t xml:space="preserve">企业</w:t>
            </w:r>
            <w:r/>
          </w:p>
          <w:p>
            <w:pPr>
              <w:jc w:val="center"/>
              <w:spacing w:after="0" w:line="240" w:lineRule="auto"/>
              <w:rPr>
                <w:rFonts w:hint="default" w:ascii="新宋体" w:hAnsi="新宋体" w:eastAsia="新宋体"/>
                <w:color w:val="auto"/>
                <w:sz w:val="24"/>
                <w:lang w:val="en-US" w:eastAsia="zh-CN"/>
              </w:rPr>
            </w:pPr>
            <w:r>
              <w:rPr>
                <w:rFonts w:hint="eastAsia" w:ascii="新宋体" w:hAnsi="新宋体" w:eastAsia="新宋体"/>
                <w:color w:val="auto"/>
                <w:sz w:val="24"/>
                <w:lang w:val="en-US" w:eastAsia="zh-CN"/>
              </w:rPr>
              <w:t xml:space="preserve">业绩</w:t>
            </w:r>
            <w:r/>
          </w:p>
        </w:tc>
        <w:tc>
          <w:tcPr>
            <w:tcW w:w="993" w:type="dxa"/>
            <w:vAlign w:val="center"/>
            <w:textDirection w:val="lrTb"/>
            <w:noWrap w:val="false"/>
          </w:tcPr>
          <w:p>
            <w:pPr>
              <w:jc w:val="center"/>
              <w:spacing w:after="0" w:line="240" w:lineRule="auto"/>
              <w:rPr>
                <w:rFonts w:ascii="新宋体" w:hAnsi="新宋体" w:eastAsia="新宋体"/>
                <w:color w:val="auto"/>
                <w:sz w:val="24"/>
              </w:rPr>
            </w:pPr>
            <w:r>
              <w:rPr>
                <w:rFonts w:hint="eastAsia" w:ascii="新宋体" w:hAnsi="新宋体" w:eastAsia="新宋体"/>
                <w:color w:val="auto"/>
                <w:sz w:val="24"/>
                <w:lang w:val="en-US" w:eastAsia="zh-CN"/>
              </w:rPr>
              <w:t xml:space="preserve">企业</w:t>
            </w:r>
            <w:r>
              <w:rPr>
                <w:rFonts w:ascii="新宋体" w:hAnsi="新宋体" w:eastAsia="新宋体"/>
                <w:color w:val="auto"/>
                <w:sz w:val="24"/>
              </w:rPr>
              <w:t xml:space="preserve">业绩</w:t>
            </w:r>
            <w:r/>
          </w:p>
        </w:tc>
        <w:tc>
          <w:tcPr>
            <w:tcW w:w="957" w:type="dxa"/>
            <w:vAlign w:val="center"/>
            <w:textDirection w:val="lrTb"/>
            <w:noWrap w:val="false"/>
          </w:tcPr>
          <w:p>
            <w:pPr>
              <w:jc w:val="center"/>
              <w:spacing w:after="0" w:line="240" w:lineRule="auto"/>
              <w:rPr>
                <w:rFonts w:hint="eastAsia"/>
                <w:color w:val="auto"/>
                <w:sz w:val="24"/>
                <w:lang w:val="en-US" w:eastAsia="zh-CN"/>
              </w:rPr>
            </w:pPr>
            <w:r>
              <w:rPr>
                <w:rFonts w:hint="eastAsia"/>
                <w:color w:val="auto"/>
                <w:sz w:val="24"/>
                <w:lang w:val="en-US" w:eastAsia="zh-CN"/>
              </w:rPr>
              <w:t xml:space="preserve">12</w:t>
            </w:r>
            <w:r>
              <w:rPr>
                <w:rFonts w:ascii="新宋体" w:hAnsi="新宋体" w:eastAsia="新宋体"/>
                <w:color w:val="auto"/>
                <w:sz w:val="24"/>
              </w:rPr>
              <w:t xml:space="preserve">.00</w:t>
            </w:r>
            <w:r/>
          </w:p>
        </w:tc>
        <w:tc>
          <w:tcPr>
            <w:tcW w:w="5561" w:type="dxa"/>
            <w:vAlign w:val="center"/>
            <w:textDirection w:val="lrTb"/>
            <w:noWrap w:val="false"/>
          </w:tcPr>
          <w:p>
            <w:pPr>
              <w:jc w:val="left"/>
              <w:spacing w:after="0" w:line="240" w:lineRule="auto"/>
              <w:rPr>
                <w:color w:val="auto"/>
              </w:rPr>
            </w:pPr>
            <w:r>
              <w:rPr>
                <w:rFonts w:ascii="新宋体" w:hAnsi="新宋体" w:eastAsia="新宋体"/>
                <w:color w:val="auto"/>
                <w:sz w:val="24"/>
              </w:rPr>
              <w:t xml:space="preserve">供应商202</w:t>
            </w:r>
            <w:r>
              <w:rPr>
                <w:rFonts w:hint="eastAsia" w:ascii="新宋体" w:hAnsi="新宋体" w:eastAsia="新宋体"/>
                <w:color w:val="auto"/>
                <w:sz w:val="24"/>
                <w:lang w:val="en-US" w:eastAsia="zh-CN"/>
              </w:rPr>
              <w:t xml:space="preserve">3</w:t>
            </w:r>
            <w:r>
              <w:rPr>
                <w:rFonts w:ascii="新宋体" w:hAnsi="新宋体" w:eastAsia="新宋体"/>
                <w:color w:val="auto"/>
                <w:sz w:val="24"/>
              </w:rPr>
              <w:t xml:space="preserve">年1月1日（以合同签订日期为准）以来，承担过</w:t>
            </w:r>
            <w:r>
              <w:rPr>
                <w:rFonts w:hint="eastAsia" w:ascii="新宋体" w:hAnsi="新宋体" w:eastAsia="新宋体"/>
                <w:color w:val="auto"/>
                <w:sz w:val="24"/>
                <w:lang w:val="en-US" w:eastAsia="zh-CN"/>
              </w:rPr>
              <w:t xml:space="preserve">类似工业产品质量监督抽查服务业绩</w:t>
            </w:r>
            <w:r>
              <w:rPr>
                <w:rFonts w:ascii="新宋体" w:hAnsi="新宋体" w:eastAsia="新宋体"/>
                <w:color w:val="auto"/>
                <w:sz w:val="24"/>
              </w:rPr>
              <w:t xml:space="preserve">的，每有1个有效业绩得</w:t>
            </w:r>
            <w:r>
              <w:rPr>
                <w:rFonts w:hint="eastAsia"/>
                <w:color w:val="auto"/>
                <w:sz w:val="24"/>
                <w:lang w:val="en-US" w:eastAsia="zh-CN"/>
              </w:rPr>
              <w:t xml:space="preserve">3</w:t>
            </w:r>
            <w:r>
              <w:rPr>
                <w:rFonts w:ascii="新宋体" w:hAnsi="新宋体" w:eastAsia="新宋体"/>
                <w:color w:val="auto"/>
                <w:sz w:val="24"/>
              </w:rPr>
              <w:t xml:space="preserve">分，最高</w:t>
            </w:r>
            <w:r>
              <w:rPr>
                <w:rFonts w:hint="eastAsia"/>
                <w:color w:val="auto"/>
                <w:sz w:val="24"/>
                <w:lang w:val="en-US" w:eastAsia="zh-CN"/>
              </w:rPr>
              <w:t xml:space="preserve">12</w:t>
            </w:r>
            <w:r>
              <w:rPr>
                <w:rFonts w:ascii="新宋体" w:hAnsi="新宋体" w:eastAsia="新宋体"/>
                <w:color w:val="auto"/>
                <w:sz w:val="24"/>
              </w:rPr>
              <w:t xml:space="preserve">分。</w:t>
            </w:r>
            <w:r/>
          </w:p>
          <w:p>
            <w:pPr>
              <w:jc w:val="left"/>
              <w:spacing w:after="0" w:line="240" w:lineRule="auto"/>
              <w:rPr>
                <w:rFonts w:ascii="新宋体" w:hAnsi="新宋体" w:eastAsia="新宋体"/>
                <w:color w:val="auto"/>
                <w:sz w:val="24"/>
              </w:rPr>
            </w:pPr>
            <w:r>
              <w:rPr>
                <w:rFonts w:ascii="新宋体" w:hAnsi="新宋体" w:eastAsia="新宋体"/>
                <w:color w:val="auto"/>
                <w:sz w:val="24"/>
              </w:rPr>
              <w:t xml:space="preserve">注：</w:t>
            </w:r>
            <w:r>
              <w:rPr>
                <w:rFonts w:hint="eastAsia" w:ascii="新宋体" w:hAnsi="新宋体" w:eastAsia="新宋体"/>
                <w:color w:val="auto"/>
                <w:sz w:val="24"/>
                <w:lang w:val="en-US" w:eastAsia="zh-CN"/>
              </w:rPr>
              <w:t xml:space="preserve">（1）</w:t>
            </w:r>
            <w:r>
              <w:rPr>
                <w:rFonts w:ascii="新宋体" w:hAnsi="新宋体" w:eastAsia="新宋体"/>
                <w:color w:val="auto"/>
                <w:sz w:val="24"/>
              </w:rPr>
              <w:t xml:space="preserve">须同时提供中标（成交）通知书、项目合同清晰扫描件/复印件并加盖供应商公章，可清晰体现项目内容、签订时间、甲乙双方信息。材料不全、未盖章、超期、非</w:t>
            </w:r>
            <w:r>
              <w:rPr>
                <w:rFonts w:hint="eastAsia" w:ascii="新宋体" w:hAnsi="新宋体" w:eastAsia="新宋体"/>
                <w:color w:val="auto"/>
                <w:sz w:val="24"/>
                <w:lang w:val="en-US" w:eastAsia="zh-CN"/>
              </w:rPr>
              <w:t xml:space="preserve">类似工业产品质量监督抽查服务</w:t>
            </w:r>
            <w:r>
              <w:rPr>
                <w:rFonts w:ascii="新宋体" w:hAnsi="新宋体" w:eastAsia="新宋体"/>
                <w:color w:val="auto"/>
                <w:sz w:val="24"/>
              </w:rPr>
              <w:t xml:space="preserve">项目、无法核验的业绩不予计分。</w:t>
            </w:r>
            <w:r>
              <w:rPr>
                <w:rFonts w:hint="eastAsia" w:ascii="新宋体" w:hAnsi="新宋体" w:eastAsia="新宋体"/>
                <w:color w:val="auto"/>
                <w:sz w:val="24"/>
                <w:lang w:eastAsia="zh-CN"/>
              </w:rPr>
              <w:t xml:space="preserve">（</w:t>
            </w:r>
            <w:r>
              <w:rPr>
                <w:rFonts w:hint="eastAsia" w:ascii="新宋体" w:hAnsi="新宋体" w:eastAsia="新宋体"/>
                <w:color w:val="auto"/>
                <w:sz w:val="24"/>
                <w:lang w:val="en-US" w:eastAsia="zh-CN"/>
              </w:rPr>
              <w:t xml:space="preserve">2</w:t>
            </w:r>
            <w:r>
              <w:rPr>
                <w:rFonts w:hint="eastAsia" w:ascii="新宋体" w:hAnsi="新宋体" w:eastAsia="新宋体"/>
                <w:color w:val="auto"/>
                <w:sz w:val="24"/>
                <w:lang w:eastAsia="zh-CN"/>
              </w:rPr>
              <w:t xml:space="preserve">）联合体各成员有效业绩均可参与本项计分，提供对应成员证明材料。</w:t>
            </w:r>
            <w:r/>
          </w:p>
        </w:tc>
      </w:tr>
      <w:tr>
        <w:trPr>
          <w:jc w:val="center"/>
        </w:trPr>
        <w:tc>
          <w:tcPr>
            <w:tcW w:w="1011" w:type="dxa"/>
            <w:vAlign w:val="center"/>
            <w:vMerge w:val="restart"/>
            <w:textDirection w:val="lrTb"/>
            <w:noWrap w:val="false"/>
          </w:tcPr>
          <w:p>
            <w:pPr>
              <w:jc w:val="center"/>
              <w:spacing w:after="0" w:line="240" w:lineRule="auto"/>
              <w:rPr>
                <w:color w:val="auto"/>
              </w:rPr>
            </w:pPr>
            <w:r>
              <w:rPr>
                <w:rFonts w:ascii="新宋体" w:hAnsi="新宋体" w:eastAsia="新宋体"/>
                <w:color w:val="auto"/>
                <w:sz w:val="24"/>
              </w:rPr>
              <w:t xml:space="preserve">技术或服务水平</w:t>
            </w:r>
            <w:r/>
          </w:p>
        </w:tc>
        <w:tc>
          <w:tcPr>
            <w:tcW w:w="993" w:type="dxa"/>
            <w:vAlign w:val="center"/>
            <w:textDirection w:val="lrTb"/>
            <w:noWrap w:val="false"/>
          </w:tcPr>
          <w:p>
            <w:pPr>
              <w:jc w:val="center"/>
              <w:spacing w:after="0" w:line="240" w:lineRule="auto"/>
              <w:rPr>
                <w:color w:val="auto"/>
              </w:rPr>
            </w:pPr>
            <w:r>
              <w:rPr>
                <w:rFonts w:ascii="新宋体" w:hAnsi="新宋体" w:eastAsia="新宋体"/>
                <w:color w:val="auto"/>
                <w:sz w:val="24"/>
              </w:rPr>
              <w:t xml:space="preserve">检测服务方案</w:t>
            </w:r>
            <w:r/>
          </w:p>
        </w:tc>
        <w:tc>
          <w:tcPr>
            <w:tcW w:w="957" w:type="dxa"/>
            <w:vAlign w:val="center"/>
            <w:textDirection w:val="lrTb"/>
            <w:noWrap w:val="false"/>
          </w:tcPr>
          <w:p>
            <w:pPr>
              <w:jc w:val="center"/>
              <w:spacing w:after="0" w:line="240" w:lineRule="auto"/>
              <w:rPr>
                <w:color w:val="auto"/>
              </w:rPr>
            </w:pPr>
            <w:r>
              <w:rPr>
                <w:rFonts w:ascii="新宋体" w:hAnsi="新宋体" w:eastAsia="新宋体"/>
                <w:color w:val="auto"/>
                <w:sz w:val="24"/>
              </w:rPr>
              <w:t xml:space="preserve">1</w:t>
            </w:r>
            <w:r>
              <w:rPr>
                <w:rFonts w:hint="eastAsia"/>
                <w:color w:val="auto"/>
                <w:sz w:val="24"/>
                <w:lang w:val="en-US" w:eastAsia="zh-CN"/>
              </w:rPr>
              <w:t xml:space="preserve">2</w:t>
            </w:r>
            <w:r>
              <w:rPr>
                <w:rFonts w:ascii="新宋体" w:hAnsi="新宋体" w:eastAsia="新宋体"/>
                <w:color w:val="auto"/>
                <w:sz w:val="24"/>
              </w:rPr>
              <w:t xml:space="preserve">.00</w:t>
            </w:r>
            <w:r/>
          </w:p>
        </w:tc>
        <w:tc>
          <w:tcPr>
            <w:tcW w:w="5561" w:type="dxa"/>
            <w:vAlign w:val="center"/>
            <w:textDirection w:val="lrTb"/>
            <w:noWrap w:val="false"/>
          </w:tcPr>
          <w:p>
            <w:pPr>
              <w:jc w:val="left"/>
              <w:spacing w:after="0" w:line="240" w:lineRule="auto"/>
              <w:rPr>
                <w:color w:val="auto"/>
              </w:rPr>
            </w:pPr>
            <w:r>
              <w:rPr>
                <w:rFonts w:ascii="新宋体" w:hAnsi="新宋体" w:eastAsia="新宋体"/>
                <w:color w:val="auto"/>
                <w:sz w:val="24"/>
              </w:rPr>
              <w:t xml:space="preserve">磋商小组根据供应商响应文件中提供的检测服务方案，进行评分：</w:t>
            </w:r>
            <w:r/>
          </w:p>
          <w:p>
            <w:pPr>
              <w:jc w:val="left"/>
              <w:spacing w:after="0" w:line="240" w:lineRule="auto"/>
              <w:rPr>
                <w:color w:val="auto"/>
              </w:rPr>
            </w:pPr>
            <w:r>
              <w:rPr>
                <w:rFonts w:ascii="新宋体" w:hAnsi="新宋体" w:eastAsia="新宋体"/>
                <w:color w:val="auto"/>
                <w:sz w:val="24"/>
              </w:rPr>
              <w:t xml:space="preserve">1、方案完整覆盖本项目全部采购需求，组织架构清晰、岗位职责明确，分品类抽样方案、标准化检测作业流程、全流程管控措施、档案管理制度完善详实，完全贴合本项目抽检工作特点、可落地性强，得1</w:t>
            </w:r>
            <w:r>
              <w:rPr>
                <w:rFonts w:hint="eastAsia"/>
                <w:color w:val="auto"/>
                <w:sz w:val="24"/>
                <w:lang w:val="en-US" w:eastAsia="zh-CN"/>
              </w:rPr>
              <w:t xml:space="preserve">2</w:t>
            </w:r>
            <w:r>
              <w:rPr>
                <w:rFonts w:ascii="新宋体" w:hAnsi="新宋体" w:eastAsia="新宋体"/>
                <w:color w:val="auto"/>
                <w:sz w:val="24"/>
              </w:rPr>
              <w:t xml:space="preserve">分；</w:t>
            </w:r>
            <w:r/>
          </w:p>
          <w:p>
            <w:pPr>
              <w:jc w:val="left"/>
              <w:spacing w:after="0" w:line="240" w:lineRule="auto"/>
              <w:rPr>
                <w:color w:val="auto"/>
              </w:rPr>
            </w:pPr>
            <w:r>
              <w:rPr>
                <w:rFonts w:ascii="新宋体" w:hAnsi="新宋体" w:eastAsia="新宋体"/>
                <w:color w:val="auto"/>
                <w:sz w:val="24"/>
              </w:rPr>
              <w:t xml:space="preserve">2、方案覆盖项目核心需求，组织架构、作业流程、档案制度基本齐全、无实质性缺失错误，可正常满足项目履约要求，得</w:t>
            </w:r>
            <w:r>
              <w:rPr>
                <w:rFonts w:hint="eastAsia"/>
                <w:color w:val="auto"/>
                <w:sz w:val="24"/>
                <w:lang w:val="en-US" w:eastAsia="zh-CN"/>
              </w:rPr>
              <w:t xml:space="preserve">8</w:t>
            </w:r>
            <w:r>
              <w:rPr>
                <w:rFonts w:ascii="新宋体" w:hAnsi="新宋体" w:eastAsia="新宋体"/>
                <w:color w:val="auto"/>
                <w:sz w:val="24"/>
              </w:rPr>
              <w:t xml:space="preserve">分；</w:t>
            </w:r>
            <w:r/>
          </w:p>
          <w:p>
            <w:pPr>
              <w:jc w:val="left"/>
              <w:spacing w:after="0" w:line="240" w:lineRule="auto"/>
              <w:rPr>
                <w:color w:val="auto"/>
              </w:rPr>
            </w:pPr>
            <w:r>
              <w:rPr>
                <w:rFonts w:ascii="新宋体" w:hAnsi="新宋体" w:eastAsia="新宋体"/>
                <w:color w:val="auto"/>
                <w:sz w:val="24"/>
              </w:rPr>
              <w:t xml:space="preserve">3、方案内容存在缺失、不完善，需大幅优化方可满足采购需求的，得</w:t>
            </w:r>
            <w:r>
              <w:rPr>
                <w:rFonts w:hint="eastAsia"/>
                <w:color w:val="auto"/>
                <w:sz w:val="24"/>
                <w:lang w:val="en-US" w:eastAsia="zh-CN"/>
              </w:rPr>
              <w:t xml:space="preserve">4</w:t>
            </w:r>
            <w:r>
              <w:rPr>
                <w:rFonts w:ascii="新宋体" w:hAnsi="新宋体" w:eastAsia="新宋体"/>
                <w:color w:val="auto"/>
                <w:sz w:val="24"/>
              </w:rPr>
              <w:t xml:space="preserve">分；</w:t>
            </w:r>
            <w:r/>
          </w:p>
          <w:p>
            <w:pPr>
              <w:jc w:val="left"/>
              <w:spacing w:after="0" w:line="240" w:lineRule="auto"/>
              <w:rPr>
                <w:color w:val="auto"/>
              </w:rPr>
            </w:pPr>
            <w:r>
              <w:rPr>
                <w:rFonts w:ascii="新宋体" w:hAnsi="新宋体" w:eastAsia="新宋体"/>
                <w:color w:val="auto"/>
                <w:sz w:val="24"/>
              </w:rPr>
              <w:t xml:space="preserve">4、未提供方案、方案内容与本项目无关、存在根本性错误的，得0分。</w:t>
            </w:r>
            <w:r/>
          </w:p>
        </w:tc>
      </w:tr>
      <w:tr>
        <w:trPr>
          <w:jc w:val="center"/>
        </w:trPr>
        <w:tc>
          <w:tcPr>
            <w:tcW w:w="1011" w:type="dxa"/>
            <w:vMerge w:val="continue"/>
            <w:textDirection w:val="lrTb"/>
            <w:noWrap w:val="false"/>
          </w:tcPr>
          <w:p>
            <w:pPr>
              <w:spacing w:after="0" w:line="240" w:lineRule="auto"/>
              <w:rPr>
                <w:color w:val="auto"/>
              </w:rPr>
            </w:pPr>
            <w:r>
              <w:rPr>
                <w:color w:val="auto"/>
              </w:rPr>
            </w:r>
            <w:r/>
          </w:p>
        </w:tc>
        <w:tc>
          <w:tcPr>
            <w:tcW w:w="993" w:type="dxa"/>
            <w:vAlign w:val="center"/>
            <w:textDirection w:val="lrTb"/>
            <w:noWrap w:val="false"/>
          </w:tcPr>
          <w:p>
            <w:pPr>
              <w:jc w:val="center"/>
              <w:spacing w:after="0" w:line="240" w:lineRule="auto"/>
              <w:rPr>
                <w:color w:val="auto"/>
              </w:rPr>
            </w:pPr>
            <w:r>
              <w:rPr>
                <w:rFonts w:ascii="新宋体" w:hAnsi="新宋体" w:eastAsia="新宋体"/>
                <w:color w:val="auto"/>
                <w:sz w:val="24"/>
              </w:rPr>
              <w:t xml:space="preserve">质量控制方案</w:t>
            </w:r>
            <w:r/>
          </w:p>
        </w:tc>
        <w:tc>
          <w:tcPr>
            <w:tcW w:w="957" w:type="dxa"/>
            <w:vAlign w:val="center"/>
            <w:textDirection w:val="lrTb"/>
            <w:noWrap w:val="false"/>
          </w:tcPr>
          <w:p>
            <w:pPr>
              <w:jc w:val="center"/>
              <w:spacing w:after="0" w:line="240" w:lineRule="auto"/>
              <w:rPr>
                <w:color w:val="auto"/>
              </w:rPr>
            </w:pPr>
            <w:r>
              <w:rPr>
                <w:rFonts w:ascii="新宋体" w:hAnsi="新宋体" w:eastAsia="新宋体"/>
                <w:color w:val="auto"/>
                <w:sz w:val="24"/>
              </w:rPr>
              <w:t xml:space="preserve">12.00</w:t>
            </w:r>
            <w:r/>
          </w:p>
        </w:tc>
        <w:tc>
          <w:tcPr>
            <w:tcW w:w="5561" w:type="dxa"/>
            <w:vAlign w:val="center"/>
            <w:textDirection w:val="lrTb"/>
            <w:noWrap w:val="false"/>
          </w:tcPr>
          <w:p>
            <w:pPr>
              <w:jc w:val="left"/>
              <w:spacing w:after="0" w:line="240" w:lineRule="auto"/>
              <w:rPr>
                <w:color w:val="auto"/>
              </w:rPr>
            </w:pPr>
            <w:r>
              <w:rPr>
                <w:rFonts w:ascii="新宋体" w:hAnsi="新宋体" w:eastAsia="新宋体"/>
                <w:color w:val="auto"/>
                <w:sz w:val="24"/>
              </w:rPr>
              <w:t xml:space="preserve">磋商小组根据供应商响应文件中提供的质量控制方案，进行评分：</w:t>
            </w:r>
            <w:r/>
          </w:p>
          <w:p>
            <w:pPr>
              <w:jc w:val="left"/>
              <w:spacing w:after="0" w:line="240" w:lineRule="auto"/>
              <w:rPr>
                <w:color w:val="auto"/>
              </w:rPr>
            </w:pPr>
            <w:r>
              <w:rPr>
                <w:rFonts w:ascii="新宋体" w:hAnsi="新宋体" w:eastAsia="新宋体"/>
                <w:color w:val="auto"/>
                <w:sz w:val="24"/>
              </w:rPr>
              <w:t xml:space="preserve">1、质量控制组织架构、岗位职责、管控制度、全流程质控措施、纠错整改机制完整健全，覆盖抽样、检测、出报告、数据录入、样品管理全环节，贴合本项目多品类抽检场景、可行性强，得12分；</w:t>
            </w:r>
            <w:r/>
          </w:p>
          <w:p>
            <w:pPr>
              <w:jc w:val="left"/>
              <w:spacing w:after="0" w:line="240" w:lineRule="auto"/>
              <w:rPr>
                <w:color w:val="auto"/>
              </w:rPr>
            </w:pPr>
            <w:r>
              <w:rPr>
                <w:rFonts w:ascii="新宋体" w:hAnsi="新宋体" w:eastAsia="新宋体"/>
                <w:color w:val="auto"/>
                <w:sz w:val="24"/>
              </w:rPr>
              <w:t xml:space="preserve">2、质量控制方案核心内容齐全，制度、流程、措施基本完善，无重大漏洞，可满足项目常规质控要求，得8分；</w:t>
            </w:r>
            <w:r/>
          </w:p>
          <w:p>
            <w:pPr>
              <w:jc w:val="left"/>
              <w:spacing w:after="0" w:line="240" w:lineRule="auto"/>
              <w:rPr>
                <w:color w:val="auto"/>
              </w:rPr>
            </w:pPr>
            <w:r>
              <w:rPr>
                <w:rFonts w:ascii="新宋体" w:hAnsi="新宋体" w:eastAsia="新宋体"/>
                <w:color w:val="auto"/>
                <w:sz w:val="24"/>
              </w:rPr>
              <w:t xml:space="preserve">3、方案内容不完善、条款笼统、管控措施不足，需完善后方可实施的，得4分；</w:t>
            </w:r>
            <w:r/>
          </w:p>
          <w:p>
            <w:pPr>
              <w:jc w:val="left"/>
              <w:spacing w:after="0" w:line="240" w:lineRule="auto"/>
              <w:rPr>
                <w:color w:val="auto"/>
              </w:rPr>
            </w:pPr>
            <w:r>
              <w:rPr>
                <w:rFonts w:ascii="新宋体" w:hAnsi="新宋体" w:eastAsia="新宋体"/>
                <w:color w:val="auto"/>
                <w:sz w:val="24"/>
              </w:rPr>
              <w:t xml:space="preserve">4、未提供方案、内容无关、存在根本性错误的，得0分。</w:t>
            </w:r>
            <w:r/>
          </w:p>
        </w:tc>
      </w:tr>
      <w:tr>
        <w:trPr>
          <w:jc w:val="center"/>
        </w:trPr>
        <w:tc>
          <w:tcPr>
            <w:tcW w:w="1011" w:type="dxa"/>
            <w:vMerge w:val="continue"/>
            <w:textDirection w:val="lrTb"/>
            <w:noWrap w:val="false"/>
          </w:tcPr>
          <w:p>
            <w:pPr>
              <w:spacing w:after="0" w:line="240" w:lineRule="auto"/>
              <w:rPr>
                <w:color w:val="auto"/>
              </w:rPr>
            </w:pPr>
            <w:r>
              <w:rPr>
                <w:color w:val="auto"/>
              </w:rPr>
            </w:r>
            <w:r/>
          </w:p>
        </w:tc>
        <w:tc>
          <w:tcPr>
            <w:tcW w:w="993" w:type="dxa"/>
            <w:vAlign w:val="center"/>
            <w:textDirection w:val="lrTb"/>
            <w:noWrap w:val="false"/>
          </w:tcPr>
          <w:p>
            <w:pPr>
              <w:jc w:val="center"/>
              <w:spacing w:after="0" w:line="240" w:lineRule="auto"/>
              <w:rPr>
                <w:color w:val="auto"/>
              </w:rPr>
            </w:pPr>
            <w:r>
              <w:rPr>
                <w:rFonts w:ascii="新宋体" w:hAnsi="新宋体" w:eastAsia="新宋体"/>
                <w:color w:val="auto"/>
                <w:sz w:val="24"/>
              </w:rPr>
              <w:t xml:space="preserve">检验工作实施方案</w:t>
            </w:r>
            <w:r/>
          </w:p>
        </w:tc>
        <w:tc>
          <w:tcPr>
            <w:tcW w:w="957" w:type="dxa"/>
            <w:vAlign w:val="center"/>
            <w:textDirection w:val="lrTb"/>
            <w:noWrap w:val="false"/>
          </w:tcPr>
          <w:p>
            <w:pPr>
              <w:jc w:val="center"/>
              <w:spacing w:after="0" w:line="240" w:lineRule="auto"/>
              <w:rPr>
                <w:color w:val="auto"/>
              </w:rPr>
            </w:pPr>
            <w:r>
              <w:rPr>
                <w:rFonts w:ascii="新宋体" w:hAnsi="新宋体" w:eastAsia="新宋体"/>
                <w:color w:val="auto"/>
                <w:sz w:val="24"/>
              </w:rPr>
              <w:t xml:space="preserve">1</w:t>
            </w:r>
            <w:r>
              <w:rPr>
                <w:rFonts w:hint="eastAsia"/>
                <w:color w:val="auto"/>
                <w:sz w:val="24"/>
                <w:lang w:val="en-US" w:eastAsia="zh-CN"/>
              </w:rPr>
              <w:t xml:space="preserve">2</w:t>
            </w:r>
            <w:r>
              <w:rPr>
                <w:rFonts w:ascii="新宋体" w:hAnsi="新宋体" w:eastAsia="新宋体"/>
                <w:color w:val="auto"/>
                <w:sz w:val="24"/>
              </w:rPr>
              <w:t xml:space="preserve">.00</w:t>
            </w:r>
            <w:r/>
          </w:p>
        </w:tc>
        <w:tc>
          <w:tcPr>
            <w:tcW w:w="5561" w:type="dxa"/>
            <w:vAlign w:val="center"/>
            <w:textDirection w:val="lrTb"/>
            <w:noWrap w:val="false"/>
          </w:tcPr>
          <w:p>
            <w:pPr>
              <w:jc w:val="left"/>
              <w:spacing w:after="0" w:line="240" w:lineRule="auto"/>
              <w:rPr>
                <w:color w:val="auto"/>
              </w:rPr>
            </w:pPr>
            <w:r>
              <w:rPr>
                <w:rFonts w:ascii="新宋体" w:hAnsi="新宋体" w:eastAsia="新宋体"/>
                <w:color w:val="auto"/>
                <w:sz w:val="24"/>
              </w:rPr>
              <w:t xml:space="preserve">磋商小组根据供应商响应文件中提供的检验工作实施方案，进行评分：</w:t>
            </w:r>
            <w:r/>
          </w:p>
          <w:p>
            <w:pPr>
              <w:jc w:val="left"/>
              <w:spacing w:after="0" w:line="240" w:lineRule="auto"/>
              <w:rPr>
                <w:color w:val="auto"/>
              </w:rPr>
            </w:pPr>
            <w:r>
              <w:rPr>
                <w:rFonts w:ascii="新宋体" w:hAnsi="新宋体" w:eastAsia="新宋体"/>
                <w:color w:val="auto"/>
                <w:sz w:val="24"/>
              </w:rPr>
              <w:t xml:space="preserve">1、实施方案完整覆盖抽样、送样、检验、数据核验、系统上报、进度管控、异议配合、复检协助等全部环节，流程科学、措施详实、落地性强，得1</w:t>
            </w:r>
            <w:r>
              <w:rPr>
                <w:rFonts w:hint="eastAsia"/>
                <w:color w:val="auto"/>
                <w:sz w:val="24"/>
                <w:lang w:val="en-US" w:eastAsia="zh-CN"/>
              </w:rPr>
              <w:t xml:space="preserve">2</w:t>
            </w:r>
            <w:r>
              <w:rPr>
                <w:rFonts w:ascii="新宋体" w:hAnsi="新宋体" w:eastAsia="新宋体"/>
                <w:color w:val="auto"/>
                <w:sz w:val="24"/>
              </w:rPr>
              <w:t xml:space="preserve">分；</w:t>
            </w:r>
            <w:r/>
          </w:p>
          <w:p>
            <w:pPr>
              <w:jc w:val="left"/>
              <w:spacing w:after="0" w:line="240" w:lineRule="auto"/>
              <w:rPr>
                <w:color w:val="auto"/>
              </w:rPr>
            </w:pPr>
            <w:r>
              <w:rPr>
                <w:rFonts w:ascii="新宋体" w:hAnsi="新宋体" w:eastAsia="新宋体"/>
                <w:color w:val="auto"/>
                <w:sz w:val="24"/>
              </w:rPr>
              <w:t xml:space="preserve">2、实施方案内容全面、流程规范，可完整满足本项目采购需求，得</w:t>
            </w:r>
            <w:r>
              <w:rPr>
                <w:rFonts w:hint="eastAsia"/>
                <w:color w:val="auto"/>
                <w:sz w:val="24"/>
                <w:lang w:val="en-US" w:eastAsia="zh-CN"/>
              </w:rPr>
              <w:t xml:space="preserve">8</w:t>
            </w:r>
            <w:r>
              <w:rPr>
                <w:rFonts w:ascii="新宋体" w:hAnsi="新宋体" w:eastAsia="新宋体"/>
                <w:color w:val="auto"/>
                <w:sz w:val="24"/>
              </w:rPr>
              <w:t xml:space="preserve">分；</w:t>
            </w:r>
            <w:r/>
          </w:p>
          <w:p>
            <w:pPr>
              <w:jc w:val="left"/>
              <w:spacing w:after="0" w:line="240" w:lineRule="auto"/>
              <w:rPr>
                <w:color w:val="auto"/>
              </w:rPr>
            </w:pPr>
            <w:r>
              <w:rPr>
                <w:rFonts w:ascii="新宋体" w:hAnsi="新宋体" w:eastAsia="新宋体"/>
                <w:color w:val="auto"/>
                <w:sz w:val="24"/>
              </w:rPr>
              <w:t xml:space="preserve">3、方案内容笼统、环节缺失，无法完全覆盖采购需求，需整改完善方可实施的，得</w:t>
            </w:r>
            <w:r>
              <w:rPr>
                <w:rFonts w:hint="eastAsia"/>
                <w:color w:val="auto"/>
                <w:sz w:val="24"/>
                <w:lang w:val="en-US" w:eastAsia="zh-CN"/>
              </w:rPr>
              <w:t xml:space="preserve">4</w:t>
            </w:r>
            <w:r>
              <w:rPr>
                <w:rFonts w:ascii="新宋体" w:hAnsi="新宋体" w:eastAsia="新宋体"/>
                <w:color w:val="auto"/>
                <w:sz w:val="24"/>
              </w:rPr>
              <w:t xml:space="preserve">分；</w:t>
            </w:r>
            <w:r/>
          </w:p>
          <w:p>
            <w:pPr>
              <w:jc w:val="left"/>
              <w:spacing w:after="0" w:line="240" w:lineRule="auto"/>
              <w:rPr>
                <w:color w:val="auto"/>
              </w:rPr>
            </w:pPr>
            <w:r>
              <w:rPr>
                <w:rFonts w:ascii="新宋体" w:hAnsi="新宋体" w:eastAsia="新宋体"/>
                <w:color w:val="auto"/>
                <w:sz w:val="24"/>
              </w:rPr>
              <w:t xml:space="preserve">4、未提供方案、内容与项目无关、存在实质性错误的，得0分。</w:t>
            </w:r>
            <w:r/>
          </w:p>
        </w:tc>
      </w:tr>
      <w:tr>
        <w:trPr>
          <w:jc w:val="center"/>
        </w:trPr>
        <w:tc>
          <w:tcPr>
            <w:tcW w:w="1011" w:type="dxa"/>
            <w:vMerge w:val="continue"/>
            <w:textDirection w:val="lrTb"/>
            <w:noWrap w:val="false"/>
          </w:tcPr>
          <w:p>
            <w:pPr>
              <w:spacing w:after="0" w:line="240" w:lineRule="auto"/>
              <w:rPr>
                <w:color w:val="auto"/>
              </w:rPr>
            </w:pPr>
            <w:r>
              <w:rPr>
                <w:color w:val="auto"/>
              </w:rPr>
            </w:r>
            <w:r/>
          </w:p>
        </w:tc>
        <w:tc>
          <w:tcPr>
            <w:tcW w:w="993" w:type="dxa"/>
            <w:vAlign w:val="center"/>
            <w:textDirection w:val="lrTb"/>
            <w:noWrap w:val="false"/>
          </w:tcPr>
          <w:p>
            <w:pPr>
              <w:jc w:val="center"/>
              <w:spacing w:after="0" w:line="240" w:lineRule="auto"/>
              <w:rPr>
                <w:color w:val="auto"/>
              </w:rPr>
            </w:pPr>
            <w:r>
              <w:rPr>
                <w:rFonts w:ascii="新宋体" w:hAnsi="新宋体" w:eastAsia="新宋体"/>
                <w:color w:val="auto"/>
                <w:sz w:val="24"/>
              </w:rPr>
              <w:t xml:space="preserve">样品及台账管理方案</w:t>
            </w:r>
            <w:r/>
          </w:p>
        </w:tc>
        <w:tc>
          <w:tcPr>
            <w:tcW w:w="957" w:type="dxa"/>
            <w:vAlign w:val="center"/>
            <w:textDirection w:val="lrTb"/>
            <w:noWrap w:val="false"/>
          </w:tcPr>
          <w:p>
            <w:pPr>
              <w:jc w:val="center"/>
              <w:spacing w:after="0" w:line="240" w:lineRule="auto"/>
              <w:rPr>
                <w:color w:val="auto"/>
              </w:rPr>
            </w:pPr>
            <w:r>
              <w:rPr>
                <w:rFonts w:ascii="新宋体" w:hAnsi="新宋体" w:eastAsia="新宋体"/>
                <w:color w:val="auto"/>
                <w:sz w:val="24"/>
              </w:rPr>
              <w:t xml:space="preserve">6.00</w:t>
            </w:r>
            <w:r/>
          </w:p>
        </w:tc>
        <w:tc>
          <w:tcPr>
            <w:tcW w:w="5561" w:type="dxa"/>
            <w:vAlign w:val="center"/>
            <w:textDirection w:val="lrTb"/>
            <w:noWrap w:val="false"/>
          </w:tcPr>
          <w:p>
            <w:pPr>
              <w:jc w:val="left"/>
              <w:spacing w:after="0" w:line="240" w:lineRule="auto"/>
              <w:rPr>
                <w:color w:val="auto"/>
              </w:rPr>
            </w:pPr>
            <w:r>
              <w:rPr>
                <w:rFonts w:ascii="新宋体" w:hAnsi="新宋体" w:eastAsia="新宋体"/>
                <w:color w:val="auto"/>
                <w:sz w:val="24"/>
              </w:rPr>
              <w:t xml:space="preserve">磋商小组根据供应商响应文件中提供的样品及台账管理方案，进行评分：</w:t>
            </w:r>
            <w:r/>
          </w:p>
          <w:p>
            <w:pPr>
              <w:jc w:val="left"/>
              <w:spacing w:after="0" w:line="240" w:lineRule="auto"/>
              <w:rPr>
                <w:color w:val="auto"/>
              </w:rPr>
            </w:pPr>
            <w:r>
              <w:rPr>
                <w:rFonts w:ascii="新宋体" w:hAnsi="新宋体" w:eastAsia="新宋体"/>
                <w:color w:val="auto"/>
                <w:sz w:val="24"/>
              </w:rPr>
              <w:t xml:space="preserve">1、方案完整建立抽样登记、样品入库、分类保管、恒温恒湿存储、样品流转、异议处置、复检对接、结果上报、样品到期处置全流程管理制度，符合</w:t>
            </w:r>
            <w:r>
              <w:rPr>
                <w:rFonts w:hint="eastAsia"/>
                <w:color w:val="auto"/>
                <w:sz w:val="24"/>
                <w:lang w:val="en-US" w:eastAsia="zh-CN"/>
              </w:rPr>
              <w:t xml:space="preserve">相关</w:t>
            </w:r>
            <w:r>
              <w:rPr>
                <w:rFonts w:ascii="新宋体" w:hAnsi="新宋体" w:eastAsia="新宋体"/>
                <w:color w:val="auto"/>
                <w:sz w:val="24"/>
              </w:rPr>
              <w:t xml:space="preserve">要求，电子台账、纸质台账同步归档、全程可追溯，条款详实、管控闭环，得6分；</w:t>
            </w:r>
            <w:r/>
          </w:p>
          <w:p>
            <w:pPr>
              <w:jc w:val="left"/>
              <w:spacing w:after="0" w:line="240" w:lineRule="auto"/>
              <w:rPr>
                <w:color w:val="auto"/>
              </w:rPr>
            </w:pPr>
            <w:r>
              <w:rPr>
                <w:rFonts w:ascii="新宋体" w:hAnsi="新宋体" w:eastAsia="新宋体"/>
                <w:color w:val="auto"/>
                <w:sz w:val="24"/>
              </w:rPr>
              <w:t xml:space="preserve">2、样品及台账管理制度完整、流程清晰，可全面满足项目履约及档案验收要求，得4分；</w:t>
            </w:r>
            <w:r/>
          </w:p>
          <w:p>
            <w:pPr>
              <w:jc w:val="left"/>
              <w:spacing w:after="0" w:line="240" w:lineRule="auto"/>
              <w:rPr>
                <w:color w:val="auto"/>
              </w:rPr>
            </w:pPr>
            <w:r>
              <w:rPr>
                <w:rFonts w:ascii="新宋体" w:hAnsi="新宋体" w:eastAsia="新宋体"/>
                <w:color w:val="auto"/>
                <w:sz w:val="24"/>
              </w:rPr>
              <w:t xml:space="preserve">3、方案内容不全、管控环节缺失，需完善后方可落地实施的，得2分；</w:t>
            </w:r>
            <w:r/>
          </w:p>
          <w:p>
            <w:pPr>
              <w:jc w:val="left"/>
              <w:spacing w:after="0" w:line="240" w:lineRule="auto"/>
              <w:rPr>
                <w:color w:val="auto"/>
              </w:rPr>
            </w:pPr>
            <w:r>
              <w:rPr>
                <w:rFonts w:ascii="新宋体" w:hAnsi="新宋体" w:eastAsia="新宋体"/>
                <w:color w:val="auto"/>
                <w:sz w:val="24"/>
              </w:rPr>
              <w:t xml:space="preserve">4、未提供方案、内容空洞、无针对性的，得0分。</w:t>
            </w:r>
            <w:r/>
          </w:p>
        </w:tc>
      </w:tr>
      <w:tr>
        <w:trPr>
          <w:jc w:val="center"/>
        </w:trPr>
        <w:tc>
          <w:tcPr>
            <w:tcW w:w="1011" w:type="dxa"/>
            <w:vMerge w:val="continue"/>
            <w:textDirection w:val="lrTb"/>
            <w:noWrap w:val="false"/>
          </w:tcPr>
          <w:p>
            <w:pPr>
              <w:spacing w:after="0" w:line="240" w:lineRule="auto"/>
              <w:rPr>
                <w:color w:val="auto"/>
              </w:rPr>
            </w:pPr>
            <w:r>
              <w:rPr>
                <w:color w:val="auto"/>
              </w:rPr>
            </w:r>
            <w:r/>
          </w:p>
        </w:tc>
        <w:tc>
          <w:tcPr>
            <w:tcW w:w="993" w:type="dxa"/>
            <w:vAlign w:val="center"/>
            <w:textDirection w:val="lrTb"/>
            <w:noWrap w:val="false"/>
          </w:tcPr>
          <w:p>
            <w:pPr>
              <w:jc w:val="center"/>
              <w:spacing w:after="0" w:line="240" w:lineRule="auto"/>
              <w:rPr>
                <w:color w:val="auto"/>
              </w:rPr>
            </w:pPr>
            <w:r>
              <w:rPr>
                <w:rFonts w:ascii="新宋体" w:hAnsi="新宋体" w:eastAsia="新宋体"/>
                <w:color w:val="auto"/>
                <w:sz w:val="24"/>
              </w:rPr>
              <w:t xml:space="preserve">应急管理方案</w:t>
            </w:r>
            <w:r/>
          </w:p>
        </w:tc>
        <w:tc>
          <w:tcPr>
            <w:tcW w:w="957" w:type="dxa"/>
            <w:vAlign w:val="center"/>
            <w:textDirection w:val="lrTb"/>
            <w:noWrap w:val="false"/>
          </w:tcPr>
          <w:p>
            <w:pPr>
              <w:jc w:val="center"/>
              <w:spacing w:after="0" w:line="240" w:lineRule="auto"/>
              <w:rPr>
                <w:color w:val="auto"/>
              </w:rPr>
            </w:pPr>
            <w:r>
              <w:rPr>
                <w:rFonts w:hint="eastAsia"/>
                <w:color w:val="auto"/>
                <w:sz w:val="24"/>
                <w:lang w:val="en-US" w:eastAsia="zh-CN"/>
              </w:rPr>
              <w:t xml:space="preserve">6</w:t>
            </w:r>
            <w:r>
              <w:rPr>
                <w:rFonts w:ascii="新宋体" w:hAnsi="新宋体" w:eastAsia="新宋体"/>
                <w:color w:val="auto"/>
                <w:sz w:val="24"/>
              </w:rPr>
              <w:t xml:space="preserve">.00</w:t>
            </w:r>
            <w:r/>
          </w:p>
        </w:tc>
        <w:tc>
          <w:tcPr>
            <w:tcW w:w="5561" w:type="dxa"/>
            <w:vAlign w:val="center"/>
            <w:textDirection w:val="lrTb"/>
            <w:noWrap w:val="false"/>
          </w:tcPr>
          <w:p>
            <w:pPr>
              <w:jc w:val="left"/>
              <w:spacing w:after="0" w:line="240" w:lineRule="auto"/>
              <w:rPr>
                <w:color w:val="auto"/>
              </w:rPr>
            </w:pPr>
            <w:r>
              <w:rPr>
                <w:rFonts w:ascii="新宋体" w:hAnsi="新宋体" w:eastAsia="新宋体"/>
                <w:color w:val="auto"/>
                <w:sz w:val="24"/>
              </w:rPr>
              <w:t xml:space="preserve">磋商小组根据供应商响应文件中提供的突发事件应急处置预案及应急响应保障方案，进行评分：</w:t>
            </w:r>
            <w:r/>
          </w:p>
          <w:p>
            <w:pPr>
              <w:jc w:val="left"/>
              <w:spacing w:after="0" w:line="240" w:lineRule="auto"/>
              <w:rPr>
                <w:color w:val="auto"/>
              </w:rPr>
            </w:pPr>
            <w:r>
              <w:rPr>
                <w:rFonts w:ascii="新宋体" w:hAnsi="新宋体" w:eastAsia="新宋体"/>
                <w:color w:val="auto"/>
                <w:sz w:val="24"/>
              </w:rPr>
              <w:t xml:space="preserve">1、应急预案全面覆盖紧急抽检、临时加急任务、样品异常、设备故障、检测故障、上级突击核查、突发质量事件处置等全部场景，组织架构、人员分工、处置流程、质控保障、兜底措施、复盘整改机制完整详实；建立7×24小时应急响应机制，承诺常规响应不超过3小时、支持1小时极速到场处置，得</w:t>
            </w:r>
            <w:r>
              <w:rPr>
                <w:rFonts w:hint="eastAsia" w:ascii="新宋体" w:hAnsi="新宋体" w:eastAsia="新宋体"/>
                <w:color w:val="auto"/>
                <w:sz w:val="24"/>
                <w:lang w:val="en-US" w:eastAsia="zh-CN"/>
              </w:rPr>
              <w:t xml:space="preserve">6</w:t>
            </w:r>
            <w:r>
              <w:rPr>
                <w:rFonts w:ascii="新宋体" w:hAnsi="新宋体" w:eastAsia="新宋体"/>
                <w:color w:val="auto"/>
                <w:sz w:val="24"/>
              </w:rPr>
              <w:t xml:space="preserve">分；</w:t>
            </w:r>
            <w:r/>
          </w:p>
          <w:p>
            <w:pPr>
              <w:jc w:val="left"/>
              <w:spacing w:after="0" w:line="240" w:lineRule="auto"/>
              <w:rPr>
                <w:color w:val="auto"/>
              </w:rPr>
            </w:pPr>
            <w:r>
              <w:rPr>
                <w:rFonts w:ascii="新宋体" w:hAnsi="新宋体" w:eastAsia="新宋体"/>
                <w:color w:val="auto"/>
                <w:sz w:val="24"/>
              </w:rPr>
              <w:t xml:space="preserve">2、应急预案流程完整、措施合理，具备完善应急响应制度、专人对接机制，可2小时内完成应急响应处置，满足项目常规应急需求的，得</w:t>
            </w:r>
            <w:r>
              <w:rPr>
                <w:rFonts w:hint="eastAsia" w:ascii="新宋体" w:hAnsi="新宋体" w:eastAsia="新宋体"/>
                <w:color w:val="auto"/>
                <w:sz w:val="24"/>
                <w:lang w:val="en-US" w:eastAsia="zh-CN"/>
              </w:rPr>
              <w:t xml:space="preserve">4</w:t>
            </w:r>
            <w:r>
              <w:rPr>
                <w:rFonts w:ascii="新宋体" w:hAnsi="新宋体" w:eastAsia="新宋体"/>
                <w:color w:val="auto"/>
                <w:sz w:val="24"/>
              </w:rPr>
              <w:t xml:space="preserve">分；</w:t>
            </w:r>
            <w:r/>
          </w:p>
          <w:p>
            <w:pPr>
              <w:jc w:val="left"/>
              <w:spacing w:after="0" w:line="240" w:lineRule="auto"/>
              <w:rPr>
                <w:color w:val="auto"/>
              </w:rPr>
            </w:pPr>
            <w:r>
              <w:rPr>
                <w:rFonts w:ascii="新宋体" w:hAnsi="新宋体" w:eastAsia="新宋体"/>
                <w:color w:val="auto"/>
                <w:sz w:val="24"/>
              </w:rPr>
              <w:t xml:space="preserve">3、预案内容简略、场景覆盖不全、响应时效承诺仅满足基本履约要求的，得</w:t>
            </w:r>
            <w:r>
              <w:rPr>
                <w:rFonts w:hint="eastAsia" w:ascii="新宋体" w:hAnsi="新宋体" w:eastAsia="新宋体"/>
                <w:color w:val="auto"/>
                <w:sz w:val="24"/>
                <w:lang w:val="en-US" w:eastAsia="zh-CN"/>
              </w:rPr>
              <w:t xml:space="preserve">2</w:t>
            </w:r>
            <w:r>
              <w:rPr>
                <w:rFonts w:ascii="新宋体" w:hAnsi="新宋体" w:eastAsia="新宋体"/>
                <w:color w:val="auto"/>
                <w:sz w:val="24"/>
              </w:rPr>
              <w:t xml:space="preserve">分；</w:t>
            </w:r>
            <w:r/>
          </w:p>
          <w:p>
            <w:pPr>
              <w:jc w:val="left"/>
              <w:spacing w:after="0" w:line="240" w:lineRule="auto"/>
              <w:rPr>
                <w:color w:val="auto"/>
              </w:rPr>
            </w:pPr>
            <w:r>
              <w:rPr>
                <w:rFonts w:ascii="新宋体" w:hAnsi="新宋体" w:eastAsia="新宋体"/>
                <w:color w:val="auto"/>
                <w:sz w:val="24"/>
              </w:rPr>
              <w:t xml:space="preserve">4、未提供预案、无响应机制、无时效承诺、内容与项目无关的，得0分。</w:t>
            </w:r>
            <w:r/>
          </w:p>
        </w:tc>
      </w:tr>
      <w:tr>
        <w:trPr>
          <w:jc w:val="center"/>
        </w:trPr>
        <w:tc>
          <w:tcPr>
            <w:tcW w:w="1011" w:type="dxa"/>
            <w:vMerge w:val="continue"/>
            <w:textDirection w:val="lrTb"/>
            <w:noWrap w:val="false"/>
          </w:tcPr>
          <w:p>
            <w:pPr>
              <w:spacing w:after="0" w:line="240" w:lineRule="auto"/>
              <w:rPr>
                <w:color w:val="auto"/>
              </w:rPr>
            </w:pPr>
            <w:r>
              <w:rPr>
                <w:color w:val="auto"/>
              </w:rPr>
            </w:r>
            <w:r/>
          </w:p>
        </w:tc>
        <w:tc>
          <w:tcPr>
            <w:tcW w:w="993" w:type="dxa"/>
            <w:vAlign w:val="center"/>
            <w:textDirection w:val="lrTb"/>
            <w:noWrap w:val="false"/>
          </w:tcPr>
          <w:p>
            <w:pPr>
              <w:jc w:val="center"/>
              <w:spacing w:after="0" w:line="240" w:lineRule="auto"/>
              <w:rPr>
                <w:color w:val="auto"/>
              </w:rPr>
            </w:pPr>
            <w:r>
              <w:rPr>
                <w:rFonts w:ascii="新宋体" w:hAnsi="新宋体" w:eastAsia="新宋体"/>
                <w:color w:val="auto"/>
                <w:sz w:val="24"/>
              </w:rPr>
              <w:t xml:space="preserve">保密管理措施</w:t>
            </w:r>
            <w:r/>
          </w:p>
        </w:tc>
        <w:tc>
          <w:tcPr>
            <w:tcW w:w="957" w:type="dxa"/>
            <w:vAlign w:val="center"/>
            <w:textDirection w:val="lrTb"/>
            <w:noWrap w:val="false"/>
          </w:tcPr>
          <w:p>
            <w:pPr>
              <w:jc w:val="center"/>
              <w:spacing w:after="0" w:line="240" w:lineRule="auto"/>
              <w:rPr>
                <w:color w:val="auto"/>
              </w:rPr>
            </w:pPr>
            <w:r>
              <w:rPr>
                <w:rFonts w:hint="eastAsia"/>
                <w:color w:val="auto"/>
                <w:sz w:val="24"/>
                <w:lang w:val="en-US" w:eastAsia="zh-CN"/>
              </w:rPr>
              <w:t xml:space="preserve">6</w:t>
            </w:r>
            <w:r>
              <w:rPr>
                <w:rFonts w:ascii="新宋体" w:hAnsi="新宋体" w:eastAsia="新宋体"/>
                <w:color w:val="auto"/>
                <w:sz w:val="24"/>
              </w:rPr>
              <w:t xml:space="preserve">.00</w:t>
            </w:r>
            <w:r/>
          </w:p>
        </w:tc>
        <w:tc>
          <w:tcPr>
            <w:tcW w:w="5561" w:type="dxa"/>
            <w:vAlign w:val="center"/>
            <w:textDirection w:val="lrTb"/>
            <w:noWrap w:val="false"/>
          </w:tcPr>
          <w:p>
            <w:pPr>
              <w:jc w:val="left"/>
              <w:spacing w:after="0" w:line="240" w:lineRule="auto"/>
              <w:rPr>
                <w:color w:val="auto"/>
              </w:rPr>
            </w:pPr>
            <w:r>
              <w:rPr>
                <w:rFonts w:ascii="新宋体" w:hAnsi="新宋体" w:eastAsia="新宋体"/>
                <w:color w:val="auto"/>
                <w:sz w:val="24"/>
              </w:rPr>
              <w:t xml:space="preserve">磋商小组根据供应商响应文件中提供的保密管理措施，进行评分：</w:t>
            </w:r>
            <w:r/>
          </w:p>
          <w:p>
            <w:pPr>
              <w:jc w:val="left"/>
              <w:spacing w:after="0" w:line="240" w:lineRule="auto"/>
              <w:rPr>
                <w:color w:val="auto"/>
              </w:rPr>
            </w:pPr>
            <w:r>
              <w:rPr>
                <w:rFonts w:ascii="新宋体" w:hAnsi="新宋体" w:eastAsia="新宋体"/>
                <w:color w:val="auto"/>
                <w:sz w:val="24"/>
              </w:rPr>
              <w:t xml:space="preserve">1、保密管理制度、工作登记追溯制度健全，对抽检计划、企业信息、样品信息、检测数据、未公开结果、台账资料的保密措施完善，明确永久保密承诺及泄密追责机制的，得</w:t>
            </w:r>
            <w:r>
              <w:rPr>
                <w:rFonts w:hint="eastAsia"/>
                <w:color w:val="auto"/>
                <w:sz w:val="24"/>
                <w:lang w:val="en-US" w:eastAsia="zh-CN"/>
              </w:rPr>
              <w:t xml:space="preserve">6</w:t>
            </w:r>
            <w:r>
              <w:rPr>
                <w:rFonts w:ascii="新宋体" w:hAnsi="新宋体" w:eastAsia="新宋体"/>
                <w:color w:val="auto"/>
                <w:sz w:val="24"/>
              </w:rPr>
              <w:t xml:space="preserve">分；</w:t>
            </w:r>
            <w:r/>
          </w:p>
          <w:p>
            <w:pPr>
              <w:jc w:val="left"/>
              <w:spacing w:after="0" w:line="240" w:lineRule="auto"/>
              <w:rPr>
                <w:color w:val="auto"/>
              </w:rPr>
            </w:pPr>
            <w:r>
              <w:rPr>
                <w:rFonts w:ascii="新宋体" w:hAnsi="新宋体" w:eastAsia="新宋体"/>
                <w:color w:val="auto"/>
                <w:sz w:val="24"/>
              </w:rPr>
              <w:t xml:space="preserve">2、具备基本保密制度，保密措施可满足项目基本要求的，得</w:t>
            </w:r>
            <w:r>
              <w:rPr>
                <w:rFonts w:hint="eastAsia"/>
                <w:color w:val="auto"/>
                <w:sz w:val="24"/>
                <w:lang w:val="en-US" w:eastAsia="zh-CN"/>
              </w:rPr>
              <w:t xml:space="preserve">4</w:t>
            </w:r>
            <w:r>
              <w:rPr>
                <w:rFonts w:ascii="新宋体" w:hAnsi="新宋体" w:eastAsia="新宋体"/>
                <w:color w:val="auto"/>
                <w:sz w:val="24"/>
              </w:rPr>
              <w:t xml:space="preserve">分；</w:t>
            </w:r>
            <w:r/>
          </w:p>
          <w:p>
            <w:pPr>
              <w:jc w:val="left"/>
              <w:spacing w:after="0" w:line="240" w:lineRule="auto"/>
              <w:rPr>
                <w:color w:val="auto"/>
              </w:rPr>
            </w:pPr>
            <w:r>
              <w:rPr>
                <w:rFonts w:ascii="新宋体" w:hAnsi="新宋体" w:eastAsia="新宋体"/>
                <w:color w:val="auto"/>
                <w:sz w:val="24"/>
              </w:rPr>
              <w:t xml:space="preserve">3、保密措施笼统、不完善的，得</w:t>
            </w:r>
            <w:r>
              <w:rPr>
                <w:rFonts w:hint="eastAsia"/>
                <w:color w:val="auto"/>
                <w:sz w:val="24"/>
                <w:lang w:val="en-US" w:eastAsia="zh-CN"/>
              </w:rPr>
              <w:t xml:space="preserve">2</w:t>
            </w:r>
            <w:r>
              <w:rPr>
                <w:rFonts w:ascii="新宋体" w:hAnsi="新宋体" w:eastAsia="新宋体"/>
                <w:color w:val="auto"/>
                <w:sz w:val="24"/>
              </w:rPr>
              <w:t xml:space="preserve">分；</w:t>
            </w:r>
            <w:r/>
          </w:p>
          <w:p>
            <w:pPr>
              <w:jc w:val="left"/>
              <w:spacing w:after="0" w:line="240" w:lineRule="auto"/>
              <w:rPr>
                <w:color w:val="auto"/>
              </w:rPr>
            </w:pPr>
            <w:r>
              <w:rPr>
                <w:rFonts w:ascii="新宋体" w:hAnsi="新宋体" w:eastAsia="新宋体"/>
                <w:color w:val="auto"/>
                <w:sz w:val="24"/>
              </w:rPr>
              <w:t xml:space="preserve">4、未提供保密措施或内容与本项目无关的，得0分。</w:t>
            </w:r>
            <w:r/>
          </w:p>
        </w:tc>
      </w:tr>
      <w:tr>
        <w:trPr>
          <w:jc w:val="center"/>
          <w:trHeight w:val="903"/>
        </w:trPr>
        <w:tc>
          <w:tcPr>
            <w:tcW w:w="1011" w:type="dxa"/>
            <w:vMerge w:val="continue"/>
            <w:textDirection w:val="lrTb"/>
            <w:noWrap w:val="false"/>
          </w:tcPr>
          <w:p>
            <w:pPr>
              <w:spacing w:after="0" w:line="240" w:lineRule="auto"/>
              <w:rPr>
                <w:color w:val="auto"/>
              </w:rPr>
            </w:pPr>
            <w:r>
              <w:rPr>
                <w:color w:val="auto"/>
              </w:rPr>
            </w:r>
            <w:r/>
          </w:p>
        </w:tc>
        <w:tc>
          <w:tcPr>
            <w:tcW w:w="993" w:type="dxa"/>
            <w:vAlign w:val="center"/>
            <w:textDirection w:val="lrTb"/>
            <w:noWrap w:val="false"/>
          </w:tcPr>
          <w:p>
            <w:pPr>
              <w:jc w:val="center"/>
              <w:spacing w:after="0" w:line="240" w:lineRule="auto"/>
              <w:rPr>
                <w:color w:val="auto"/>
              </w:rPr>
            </w:pPr>
            <w:r>
              <w:rPr>
                <w:rFonts w:ascii="新宋体" w:hAnsi="新宋体" w:eastAsia="新宋体"/>
                <w:color w:val="auto"/>
                <w:sz w:val="24"/>
              </w:rPr>
              <w:t xml:space="preserve">项目团队配置</w:t>
            </w:r>
            <w:r/>
          </w:p>
        </w:tc>
        <w:tc>
          <w:tcPr>
            <w:tcW w:w="957" w:type="dxa"/>
            <w:vAlign w:val="center"/>
            <w:textDirection w:val="lrTb"/>
            <w:noWrap w:val="false"/>
          </w:tcPr>
          <w:p>
            <w:pPr>
              <w:jc w:val="center"/>
              <w:spacing w:after="0" w:line="240" w:lineRule="auto"/>
              <w:rPr>
                <w:color w:val="auto"/>
              </w:rPr>
            </w:pPr>
            <w:r>
              <w:rPr>
                <w:rFonts w:ascii="新宋体" w:hAnsi="新宋体" w:eastAsia="新宋体"/>
                <w:color w:val="auto"/>
                <w:sz w:val="24"/>
              </w:rPr>
              <w:t xml:space="preserve">6.00</w:t>
            </w:r>
            <w:r/>
          </w:p>
        </w:tc>
        <w:tc>
          <w:tcPr>
            <w:tcW w:w="5561" w:type="dxa"/>
            <w:vAlign w:val="center"/>
            <w:textDirection w:val="lrTb"/>
            <w:noWrap w:val="false"/>
          </w:tcPr>
          <w:p>
            <w:pPr>
              <w:jc w:val="left"/>
              <w:spacing w:after="0" w:line="240" w:lineRule="auto"/>
              <w:rPr>
                <w:color w:val="auto"/>
              </w:rPr>
            </w:pPr>
            <w:r>
              <w:rPr>
                <w:rFonts w:ascii="新宋体" w:hAnsi="新宋体" w:eastAsia="新宋体"/>
                <w:color w:val="auto"/>
                <w:sz w:val="24"/>
              </w:rPr>
              <w:t xml:space="preserve">本项满分6分，分项累加、总分封顶：</w:t>
            </w:r>
            <w:r/>
          </w:p>
          <w:p>
            <w:pPr>
              <w:jc w:val="left"/>
              <w:spacing w:after="0" w:line="240" w:lineRule="auto"/>
              <w:rPr>
                <w:color w:val="auto"/>
              </w:rPr>
            </w:pPr>
            <w:r>
              <w:rPr>
                <w:rFonts w:ascii="新宋体" w:hAnsi="新宋体" w:eastAsia="新宋体"/>
                <w:color w:val="auto"/>
                <w:sz w:val="24"/>
              </w:rPr>
              <w:t xml:space="preserve">1、项目负责人具备</w:t>
            </w:r>
            <w:r>
              <w:rPr>
                <w:rFonts w:hint="eastAsia" w:ascii="新宋体" w:hAnsi="新宋体" w:eastAsia="新宋体"/>
                <w:color w:val="auto"/>
                <w:sz w:val="24"/>
                <w:lang w:val="en-US" w:eastAsia="zh-CN"/>
              </w:rPr>
              <w:t xml:space="preserve">工业产品质量监督抽查服务</w:t>
            </w:r>
            <w:r>
              <w:rPr>
                <w:rFonts w:ascii="新宋体" w:hAnsi="新宋体" w:eastAsia="新宋体"/>
                <w:color w:val="auto"/>
                <w:sz w:val="24"/>
              </w:rPr>
              <w:t xml:space="preserve">项目</w:t>
            </w:r>
            <w:r>
              <w:rPr>
                <w:rFonts w:hint="eastAsia" w:ascii="新宋体" w:hAnsi="新宋体" w:eastAsia="新宋体"/>
                <w:color w:val="auto"/>
                <w:sz w:val="24"/>
                <w:lang w:val="en-US" w:eastAsia="zh-CN"/>
              </w:rPr>
              <w:t xml:space="preserve">类似</w:t>
            </w:r>
            <w:r>
              <w:rPr>
                <w:rFonts w:ascii="新宋体" w:hAnsi="新宋体" w:eastAsia="新宋体"/>
                <w:color w:val="auto"/>
                <w:sz w:val="24"/>
              </w:rPr>
              <w:t xml:space="preserve">管理经验，提供项目负责人任命书</w:t>
            </w:r>
            <w:r>
              <w:rPr>
                <w:rFonts w:hint="eastAsia" w:ascii="新宋体" w:hAnsi="新宋体" w:eastAsia="新宋体"/>
                <w:color w:val="auto"/>
                <w:sz w:val="24"/>
                <w:lang w:val="en-US" w:eastAsia="zh-CN"/>
              </w:rPr>
              <w:t xml:space="preserve">或类似</w:t>
            </w:r>
            <w:r>
              <w:rPr>
                <w:rFonts w:ascii="新宋体" w:hAnsi="新宋体" w:eastAsia="新宋体"/>
                <w:color w:val="auto"/>
                <w:sz w:val="24"/>
              </w:rPr>
              <w:t xml:space="preserve">项目管理经验证明材料，满足得2分，不满足得0分；</w:t>
            </w:r>
            <w:r/>
          </w:p>
          <w:p>
            <w:pPr>
              <w:jc w:val="left"/>
              <w:spacing w:after="0" w:line="240" w:lineRule="auto"/>
              <w:rPr>
                <w:color w:val="auto"/>
              </w:rPr>
            </w:pPr>
            <w:r>
              <w:rPr>
                <w:rFonts w:ascii="新宋体" w:hAnsi="新宋体" w:eastAsia="新宋体"/>
                <w:color w:val="auto"/>
                <w:sz w:val="24"/>
              </w:rPr>
              <w:t xml:space="preserve">2、专职抽样人员满足采购最低</w:t>
            </w:r>
            <w:r>
              <w:rPr>
                <w:rFonts w:hint="eastAsia" w:ascii="新宋体" w:hAnsi="新宋体" w:eastAsia="新宋体"/>
                <w:color w:val="auto"/>
                <w:sz w:val="24"/>
                <w:lang w:val="en-US" w:eastAsia="zh-CN"/>
              </w:rPr>
              <w:t xml:space="preserve">2</w:t>
            </w:r>
            <w:r>
              <w:rPr>
                <w:rFonts w:ascii="新宋体" w:hAnsi="新宋体" w:eastAsia="新宋体"/>
                <w:color w:val="auto"/>
                <w:sz w:val="24"/>
              </w:rPr>
              <w:t xml:space="preserve">人要求的基础上，每增加1名专职抽样人员得1分，最高得2分；</w:t>
            </w:r>
            <w:r/>
          </w:p>
          <w:p>
            <w:pPr>
              <w:jc w:val="left"/>
              <w:spacing w:after="0" w:line="240" w:lineRule="auto"/>
              <w:rPr>
                <w:color w:val="auto"/>
              </w:rPr>
            </w:pPr>
            <w:r>
              <w:rPr>
                <w:rFonts w:ascii="新宋体" w:hAnsi="新宋体" w:eastAsia="新宋体"/>
                <w:color w:val="auto"/>
                <w:sz w:val="24"/>
              </w:rPr>
              <w:t xml:space="preserve">3、专职检验人员满足采购最低</w:t>
            </w:r>
            <w:r>
              <w:rPr>
                <w:rFonts w:hint="eastAsia" w:ascii="新宋体" w:hAnsi="新宋体" w:eastAsia="新宋体"/>
                <w:color w:val="auto"/>
                <w:sz w:val="24"/>
                <w:lang w:val="en-US" w:eastAsia="zh-CN"/>
              </w:rPr>
              <w:t xml:space="preserve">2</w:t>
            </w:r>
            <w:r>
              <w:rPr>
                <w:rFonts w:ascii="新宋体" w:hAnsi="新宋体" w:eastAsia="新宋体"/>
                <w:color w:val="auto"/>
                <w:sz w:val="24"/>
              </w:rPr>
              <w:t xml:space="preserve">人要求的基础上，每增加1名专职检验人员得1分，最高得2分；</w:t>
            </w:r>
            <w:r/>
          </w:p>
          <w:p>
            <w:pPr>
              <w:jc w:val="left"/>
              <w:spacing w:after="0" w:line="240" w:lineRule="auto"/>
              <w:rPr>
                <w:color w:val="auto"/>
              </w:rPr>
            </w:pPr>
            <w:r>
              <w:rPr>
                <w:rFonts w:ascii="新宋体" w:hAnsi="新宋体" w:eastAsia="新宋体"/>
                <w:color w:val="auto"/>
                <w:sz w:val="24"/>
              </w:rPr>
              <w:t xml:space="preserve">4、</w:t>
            </w:r>
            <w:r>
              <w:rPr>
                <w:rFonts w:hint="eastAsia" w:ascii="新宋体" w:hAnsi="新宋体" w:eastAsia="新宋体"/>
                <w:color w:val="auto"/>
                <w:sz w:val="24"/>
                <w:lang w:val="en-US" w:eastAsia="zh-CN"/>
              </w:rPr>
              <w:t xml:space="preserve">备注</w:t>
            </w:r>
            <w:r>
              <w:rPr>
                <w:rFonts w:ascii="新宋体" w:hAnsi="新宋体" w:eastAsia="新宋体"/>
                <w:color w:val="auto"/>
                <w:sz w:val="24"/>
              </w:rPr>
              <w:t xml:space="preserve">：须提供完整人员名单、2026年6月以来任意一个月的社保证明（退休返聘和劳务派遣的提供相关合同证明），服务团队成员出自联合体不同成员的提供各自公司的社保证明。材料齐全有效方可计分，无佐证不计分。</w:t>
            </w:r>
            <w:r/>
          </w:p>
        </w:tc>
      </w:tr>
      <w:tr>
        <w:trPr>
          <w:jc w:val="center"/>
        </w:trPr>
        <w:tc>
          <w:tcPr>
            <w:tcW w:w="1011" w:type="dxa"/>
            <w:vAlign w:val="center"/>
            <w:vMerge w:val="restart"/>
            <w:textDirection w:val="lrTb"/>
            <w:noWrap w:val="false"/>
          </w:tcPr>
          <w:p>
            <w:pPr>
              <w:jc w:val="center"/>
              <w:spacing w:after="0" w:line="240" w:lineRule="auto"/>
              <w:rPr>
                <w:color w:val="auto"/>
              </w:rPr>
            </w:pPr>
            <w:r>
              <w:rPr>
                <w:rFonts w:ascii="新宋体" w:hAnsi="新宋体" w:eastAsia="新宋体"/>
                <w:color w:val="auto"/>
                <w:sz w:val="24"/>
              </w:rPr>
              <w:t xml:space="preserve">售后服务</w:t>
            </w:r>
            <w:r/>
          </w:p>
        </w:tc>
        <w:tc>
          <w:tcPr>
            <w:tcW w:w="993" w:type="dxa"/>
            <w:vAlign w:val="center"/>
            <w:textDirection w:val="lrTb"/>
            <w:noWrap w:val="false"/>
          </w:tcPr>
          <w:p>
            <w:pPr>
              <w:jc w:val="center"/>
              <w:spacing w:after="0" w:line="240" w:lineRule="auto"/>
              <w:rPr>
                <w:color w:val="auto"/>
              </w:rPr>
            </w:pPr>
            <w:r>
              <w:rPr>
                <w:rFonts w:ascii="新宋体" w:hAnsi="新宋体" w:eastAsia="新宋体"/>
                <w:color w:val="auto"/>
                <w:sz w:val="24"/>
              </w:rPr>
              <w:t xml:space="preserve">异议处理与复检配合方案</w:t>
            </w:r>
            <w:r/>
          </w:p>
        </w:tc>
        <w:tc>
          <w:tcPr>
            <w:tcW w:w="957" w:type="dxa"/>
            <w:vAlign w:val="center"/>
            <w:textDirection w:val="lrTb"/>
            <w:noWrap w:val="false"/>
          </w:tcPr>
          <w:p>
            <w:pPr>
              <w:jc w:val="center"/>
              <w:spacing w:after="0" w:line="240" w:lineRule="auto"/>
              <w:rPr>
                <w:color w:val="auto"/>
              </w:rPr>
            </w:pPr>
            <w:r>
              <w:rPr>
                <w:rFonts w:hint="eastAsia"/>
                <w:color w:val="auto"/>
                <w:sz w:val="24"/>
                <w:lang w:val="en-US" w:eastAsia="zh-CN"/>
              </w:rPr>
              <w:t xml:space="preserve">5</w:t>
            </w:r>
            <w:r>
              <w:rPr>
                <w:rFonts w:ascii="新宋体" w:hAnsi="新宋体" w:eastAsia="新宋体"/>
                <w:color w:val="auto"/>
                <w:sz w:val="24"/>
              </w:rPr>
              <w:t xml:space="preserve">.00</w:t>
            </w:r>
            <w:r/>
          </w:p>
        </w:tc>
        <w:tc>
          <w:tcPr>
            <w:tcW w:w="5561" w:type="dxa"/>
            <w:vAlign w:val="center"/>
            <w:textDirection w:val="lrTb"/>
            <w:noWrap w:val="false"/>
          </w:tcPr>
          <w:p>
            <w:pPr>
              <w:jc w:val="left"/>
              <w:spacing w:after="0" w:line="240" w:lineRule="auto"/>
              <w:rPr>
                <w:color w:val="auto"/>
              </w:rPr>
            </w:pPr>
            <w:r>
              <w:rPr>
                <w:rFonts w:ascii="新宋体" w:hAnsi="新宋体" w:eastAsia="新宋体"/>
                <w:color w:val="auto"/>
                <w:sz w:val="24"/>
              </w:rPr>
              <w:t xml:space="preserve">磋商小组根据供应商响应文件中提供的异议处理与复检配合方案，进行评分：</w:t>
            </w:r>
            <w:r/>
          </w:p>
          <w:p>
            <w:pPr>
              <w:jc w:val="left"/>
              <w:spacing w:after="0" w:line="240" w:lineRule="auto"/>
              <w:rPr>
                <w:rFonts w:ascii="新宋体" w:hAnsi="新宋体" w:eastAsia="新宋体"/>
                <w:color w:val="auto"/>
                <w:sz w:val="24"/>
              </w:rPr>
            </w:pPr>
            <w:r>
              <w:rPr>
                <w:rFonts w:ascii="新宋体" w:hAnsi="新宋体" w:eastAsia="新宋体"/>
                <w:color w:val="auto"/>
                <w:sz w:val="24"/>
              </w:rPr>
              <w:t xml:space="preserve">1、方案建立完善的抽检结果异议受理、答复机制，明确复检对接流程、时限承诺，异议处理台账健全，与采购人、生产企业、复检联动机制完善的，得</w:t>
            </w:r>
            <w:r>
              <w:rPr>
                <w:rFonts w:hint="eastAsia" w:ascii="新宋体" w:hAnsi="新宋体" w:eastAsia="新宋体"/>
                <w:color w:val="auto"/>
                <w:sz w:val="24"/>
                <w:lang w:val="en-US" w:eastAsia="zh-CN"/>
              </w:rPr>
              <w:t xml:space="preserve">5</w:t>
            </w:r>
            <w:r>
              <w:rPr>
                <w:rFonts w:ascii="新宋体" w:hAnsi="新宋体" w:eastAsia="新宋体"/>
                <w:color w:val="auto"/>
                <w:sz w:val="24"/>
              </w:rPr>
              <w:t xml:space="preserve">分；</w:t>
            </w:r>
            <w:r/>
          </w:p>
          <w:p>
            <w:pPr>
              <w:jc w:val="left"/>
              <w:spacing w:after="0" w:line="240" w:lineRule="auto"/>
              <w:rPr>
                <w:color w:val="auto"/>
              </w:rPr>
            </w:pPr>
            <w:r>
              <w:rPr>
                <w:rFonts w:ascii="新宋体" w:hAnsi="新宋体" w:eastAsia="新宋体"/>
                <w:color w:val="auto"/>
                <w:sz w:val="24"/>
              </w:rPr>
              <w:t xml:space="preserve">2、具备基本异议处理与复检配合流程，可满足项目常规要求的，得3分；</w:t>
            </w:r>
            <w:r/>
          </w:p>
          <w:p>
            <w:pPr>
              <w:jc w:val="left"/>
              <w:spacing w:after="0" w:line="240" w:lineRule="auto"/>
              <w:rPr>
                <w:color w:val="auto"/>
              </w:rPr>
            </w:pPr>
            <w:r>
              <w:rPr>
                <w:rFonts w:ascii="新宋体" w:hAnsi="新宋体" w:eastAsia="新宋体"/>
                <w:color w:val="auto"/>
                <w:sz w:val="24"/>
              </w:rPr>
              <w:t xml:space="preserve">3、方案内容简略、流程不完整，需完善后方可实施的，得1分；</w:t>
            </w:r>
            <w:r/>
          </w:p>
          <w:p>
            <w:pPr>
              <w:jc w:val="left"/>
              <w:spacing w:after="0" w:line="240" w:lineRule="auto"/>
              <w:rPr>
                <w:color w:val="auto"/>
              </w:rPr>
            </w:pPr>
            <w:r>
              <w:rPr>
                <w:rFonts w:ascii="新宋体" w:hAnsi="新宋体" w:eastAsia="新宋体"/>
                <w:color w:val="auto"/>
                <w:sz w:val="24"/>
              </w:rPr>
              <w:t xml:space="preserve">4、未提供方案、内容与项目无关的，得0分。</w:t>
            </w:r>
            <w:r/>
          </w:p>
        </w:tc>
      </w:tr>
      <w:tr>
        <w:trPr>
          <w:jc w:val="center"/>
        </w:trPr>
        <w:tc>
          <w:tcPr>
            <w:tcW w:w="1011" w:type="dxa"/>
            <w:vMerge w:val="continue"/>
            <w:textDirection w:val="lrTb"/>
            <w:noWrap w:val="false"/>
          </w:tcPr>
          <w:p>
            <w:pPr>
              <w:spacing w:after="0" w:line="240" w:lineRule="auto"/>
              <w:rPr>
                <w:color w:val="auto"/>
              </w:rPr>
            </w:pPr>
            <w:r>
              <w:rPr>
                <w:color w:val="auto"/>
              </w:rPr>
            </w:r>
            <w:r/>
          </w:p>
        </w:tc>
        <w:tc>
          <w:tcPr>
            <w:tcW w:w="993" w:type="dxa"/>
            <w:vAlign w:val="center"/>
            <w:textDirection w:val="lrTb"/>
            <w:noWrap w:val="false"/>
          </w:tcPr>
          <w:p>
            <w:pPr>
              <w:jc w:val="center"/>
              <w:spacing w:after="0" w:line="240" w:lineRule="auto"/>
              <w:rPr>
                <w:color w:val="auto"/>
              </w:rPr>
            </w:pPr>
            <w:r>
              <w:rPr>
                <w:rFonts w:ascii="新宋体" w:hAnsi="新宋体" w:eastAsia="新宋体"/>
                <w:color w:val="auto"/>
                <w:sz w:val="24"/>
              </w:rPr>
              <w:t xml:space="preserve">报告与数据服务</w:t>
            </w:r>
            <w:r/>
          </w:p>
        </w:tc>
        <w:tc>
          <w:tcPr>
            <w:tcW w:w="957" w:type="dxa"/>
            <w:vAlign w:val="center"/>
            <w:textDirection w:val="lrTb"/>
            <w:noWrap w:val="false"/>
          </w:tcPr>
          <w:p>
            <w:pPr>
              <w:jc w:val="center"/>
              <w:spacing w:after="0" w:line="240" w:lineRule="auto"/>
              <w:rPr>
                <w:color w:val="auto"/>
              </w:rPr>
            </w:pPr>
            <w:r>
              <w:rPr>
                <w:rFonts w:ascii="新宋体" w:hAnsi="新宋体" w:eastAsia="新宋体"/>
                <w:color w:val="auto"/>
                <w:sz w:val="24"/>
              </w:rPr>
              <w:t xml:space="preserve">3.00</w:t>
            </w:r>
            <w:r/>
          </w:p>
        </w:tc>
        <w:tc>
          <w:tcPr>
            <w:tcW w:w="5561" w:type="dxa"/>
            <w:vAlign w:val="center"/>
            <w:textDirection w:val="lrTb"/>
            <w:noWrap w:val="false"/>
          </w:tcPr>
          <w:p>
            <w:pPr>
              <w:jc w:val="left"/>
              <w:spacing w:after="0" w:line="240" w:lineRule="auto"/>
              <w:rPr>
                <w:color w:val="auto"/>
              </w:rPr>
            </w:pPr>
            <w:r>
              <w:rPr>
                <w:rFonts w:ascii="新宋体" w:hAnsi="新宋体" w:eastAsia="新宋体"/>
                <w:color w:val="auto"/>
                <w:sz w:val="24"/>
              </w:rPr>
              <w:t xml:space="preserve">磋商小组根据供应商响应文件中提供的报告与数据服务承诺，进行评分：</w:t>
            </w:r>
            <w:r/>
          </w:p>
          <w:p>
            <w:pPr>
              <w:jc w:val="left"/>
              <w:spacing w:after="0" w:line="240" w:lineRule="auto"/>
              <w:rPr>
                <w:color w:val="auto"/>
              </w:rPr>
            </w:pPr>
            <w:r>
              <w:rPr>
                <w:rFonts w:ascii="新宋体" w:hAnsi="新宋体" w:eastAsia="新宋体"/>
                <w:color w:val="auto"/>
                <w:sz w:val="24"/>
              </w:rPr>
              <w:t xml:space="preserve">1、明确检验报告出具时限承诺，检测数据录入与省监管系统上报的及时性、准确性承诺，并提供报告解释、技术咨询、结果跟踪服务的，得3分；</w:t>
            </w:r>
            <w:r/>
          </w:p>
          <w:p>
            <w:pPr>
              <w:jc w:val="left"/>
              <w:spacing w:after="0" w:line="240" w:lineRule="auto"/>
              <w:rPr>
                <w:color w:val="auto"/>
              </w:rPr>
            </w:pPr>
            <w:r>
              <w:rPr>
                <w:rFonts w:ascii="新宋体" w:hAnsi="新宋体" w:eastAsia="新宋体"/>
                <w:color w:val="auto"/>
                <w:sz w:val="24"/>
              </w:rPr>
              <w:t xml:space="preserve">2、具备基本报告出具和数据上报安排，满足项目基本要求的，得2分；</w:t>
            </w:r>
            <w:r/>
          </w:p>
          <w:p>
            <w:pPr>
              <w:jc w:val="left"/>
              <w:spacing w:after="0" w:line="240" w:lineRule="auto"/>
              <w:rPr>
                <w:color w:val="auto"/>
              </w:rPr>
            </w:pPr>
            <w:r>
              <w:rPr>
                <w:rFonts w:ascii="新宋体" w:hAnsi="新宋体" w:eastAsia="新宋体"/>
                <w:color w:val="auto"/>
                <w:sz w:val="24"/>
              </w:rPr>
              <w:t xml:space="preserve">3、报告与数据服务安排不明确的，得1分；</w:t>
            </w:r>
            <w:r/>
          </w:p>
          <w:p>
            <w:pPr>
              <w:jc w:val="left"/>
              <w:spacing w:after="0" w:line="240" w:lineRule="auto"/>
              <w:rPr>
                <w:color w:val="auto"/>
              </w:rPr>
            </w:pPr>
            <w:r>
              <w:rPr>
                <w:rFonts w:ascii="新宋体" w:hAnsi="新宋体" w:eastAsia="新宋体"/>
                <w:color w:val="auto"/>
                <w:sz w:val="24"/>
              </w:rPr>
              <w:t xml:space="preserve">4、未提供相关承诺的，得0分。</w:t>
            </w:r>
            <w:r/>
          </w:p>
        </w:tc>
      </w:tr>
      <w:tr>
        <w:trPr>
          <w:jc w:val="center"/>
        </w:trPr>
        <w:tc>
          <w:tcPr>
            <w:tcW w:w="1011" w:type="dxa"/>
            <w:vMerge w:val="continue"/>
            <w:textDirection w:val="lrTb"/>
            <w:noWrap w:val="false"/>
          </w:tcPr>
          <w:p>
            <w:pPr>
              <w:spacing w:after="0" w:line="240" w:lineRule="auto"/>
              <w:rPr>
                <w:color w:val="auto"/>
              </w:rPr>
            </w:pPr>
            <w:r>
              <w:rPr>
                <w:color w:val="auto"/>
              </w:rPr>
            </w:r>
            <w:r/>
          </w:p>
        </w:tc>
        <w:tc>
          <w:tcPr>
            <w:tcW w:w="993" w:type="dxa"/>
            <w:vAlign w:val="center"/>
            <w:textDirection w:val="lrTb"/>
            <w:noWrap w:val="false"/>
          </w:tcPr>
          <w:p>
            <w:pPr>
              <w:jc w:val="center"/>
              <w:spacing w:after="0" w:line="240" w:lineRule="auto"/>
              <w:rPr>
                <w:color w:val="auto"/>
              </w:rPr>
            </w:pPr>
            <w:r>
              <w:rPr>
                <w:rFonts w:ascii="新宋体" w:hAnsi="新宋体" w:eastAsia="新宋体"/>
                <w:color w:val="auto"/>
                <w:sz w:val="24"/>
              </w:rPr>
              <w:t xml:space="preserve">服务保障与技术支持</w:t>
            </w:r>
            <w:r/>
          </w:p>
        </w:tc>
        <w:tc>
          <w:tcPr>
            <w:tcW w:w="957" w:type="dxa"/>
            <w:vAlign w:val="center"/>
            <w:textDirection w:val="lrTb"/>
            <w:noWrap w:val="false"/>
          </w:tcPr>
          <w:p>
            <w:pPr>
              <w:jc w:val="center"/>
              <w:spacing w:after="0" w:line="240" w:lineRule="auto"/>
              <w:rPr>
                <w:color w:val="auto"/>
              </w:rPr>
            </w:pPr>
            <w:r>
              <w:rPr>
                <w:rFonts w:hint="eastAsia"/>
                <w:color w:val="auto"/>
                <w:sz w:val="24"/>
                <w:lang w:val="en-US" w:eastAsia="zh-CN"/>
              </w:rPr>
              <w:t xml:space="preserve">5</w:t>
            </w:r>
            <w:r>
              <w:rPr>
                <w:rFonts w:ascii="新宋体" w:hAnsi="新宋体" w:eastAsia="新宋体"/>
                <w:color w:val="auto"/>
                <w:sz w:val="24"/>
              </w:rPr>
              <w:t xml:space="preserve">.00</w:t>
            </w:r>
            <w:r/>
          </w:p>
        </w:tc>
        <w:tc>
          <w:tcPr>
            <w:tcW w:w="5561" w:type="dxa"/>
            <w:vAlign w:val="center"/>
            <w:textDirection w:val="lrTb"/>
            <w:noWrap w:val="false"/>
          </w:tcPr>
          <w:p>
            <w:pPr>
              <w:jc w:val="left"/>
              <w:spacing w:after="0" w:line="240" w:lineRule="auto"/>
              <w:rPr>
                <w:color w:val="auto"/>
              </w:rPr>
            </w:pPr>
            <w:r>
              <w:rPr>
                <w:rFonts w:ascii="新宋体" w:hAnsi="新宋体" w:eastAsia="新宋体"/>
                <w:color w:val="auto"/>
                <w:sz w:val="24"/>
              </w:rPr>
              <w:t xml:space="preserve">磋商小组根据供应商响应文件中提供的履约服务保障措施，进行评分：</w:t>
            </w:r>
            <w:r/>
          </w:p>
          <w:p>
            <w:pPr>
              <w:jc w:val="left"/>
              <w:spacing w:after="0" w:line="240" w:lineRule="auto"/>
              <w:rPr>
                <w:color w:val="auto"/>
              </w:rPr>
            </w:pPr>
            <w:r>
              <w:rPr>
                <w:rFonts w:ascii="新宋体" w:hAnsi="新宋体" w:eastAsia="新宋体"/>
                <w:color w:val="auto"/>
                <w:sz w:val="24"/>
              </w:rPr>
              <w:t xml:space="preserve">1、明确履约期内的迎检保障、问题整改闭环机制，提供临时技术支撑、结果汇总分析服务，并对采购人考核、验收的配合作出具体承诺的，得</w:t>
            </w:r>
            <w:r>
              <w:rPr>
                <w:rFonts w:hint="eastAsia"/>
                <w:color w:val="auto"/>
                <w:sz w:val="24"/>
                <w:lang w:val="en-US" w:eastAsia="zh-CN"/>
              </w:rPr>
              <w:t xml:space="preserve">5</w:t>
            </w:r>
            <w:r>
              <w:rPr>
                <w:rFonts w:ascii="新宋体" w:hAnsi="新宋体" w:eastAsia="新宋体"/>
                <w:color w:val="auto"/>
                <w:sz w:val="24"/>
              </w:rPr>
              <w:t xml:space="preserve">分；</w:t>
            </w:r>
            <w:r/>
          </w:p>
          <w:p>
            <w:pPr>
              <w:jc w:val="left"/>
              <w:spacing w:after="0" w:line="240" w:lineRule="auto"/>
              <w:rPr>
                <w:color w:val="auto"/>
              </w:rPr>
            </w:pPr>
            <w:r>
              <w:rPr>
                <w:rFonts w:ascii="新宋体" w:hAnsi="新宋体" w:eastAsia="新宋体"/>
                <w:color w:val="auto"/>
                <w:sz w:val="24"/>
              </w:rPr>
              <w:t xml:space="preserve">2、具备基本服务保障措施，可满足项目基本履约要求的，得</w:t>
            </w:r>
            <w:r>
              <w:rPr>
                <w:rFonts w:hint="eastAsia"/>
                <w:color w:val="auto"/>
                <w:sz w:val="24"/>
                <w:lang w:val="en-US" w:eastAsia="zh-CN"/>
              </w:rPr>
              <w:t xml:space="preserve">3</w:t>
            </w:r>
            <w:r>
              <w:rPr>
                <w:rFonts w:ascii="新宋体" w:hAnsi="新宋体" w:eastAsia="新宋体"/>
                <w:color w:val="auto"/>
                <w:sz w:val="24"/>
              </w:rPr>
              <w:t xml:space="preserve">分；</w:t>
            </w:r>
            <w:r/>
          </w:p>
          <w:p>
            <w:pPr>
              <w:jc w:val="left"/>
              <w:spacing w:after="0" w:line="240" w:lineRule="auto"/>
              <w:rPr>
                <w:color w:val="auto"/>
              </w:rPr>
            </w:pPr>
            <w:r>
              <w:rPr>
                <w:rFonts w:ascii="新宋体" w:hAnsi="新宋体" w:eastAsia="新宋体"/>
                <w:color w:val="auto"/>
                <w:sz w:val="24"/>
              </w:rPr>
              <w:t xml:space="preserve">3、服务保障措施笼统、不具体的，得1分；</w:t>
            </w:r>
            <w:r/>
          </w:p>
          <w:p>
            <w:pPr>
              <w:jc w:val="left"/>
              <w:spacing w:after="0" w:line="240" w:lineRule="auto"/>
              <w:rPr>
                <w:color w:val="auto"/>
              </w:rPr>
            </w:pPr>
            <w:r>
              <w:rPr>
                <w:rFonts w:ascii="新宋体" w:hAnsi="新宋体" w:eastAsia="新宋体"/>
                <w:color w:val="auto"/>
                <w:sz w:val="24"/>
              </w:rPr>
              <w:t xml:space="preserve">4、未提供的，得0分。</w:t>
            </w:r>
            <w:r/>
          </w:p>
        </w:tc>
      </w:tr>
    </w:tbl>
    <w:p>
      <w:pPr>
        <w:ind w:firstLine="482"/>
        <w:jc w:val="left"/>
        <w:keepLines w:val="0"/>
        <w:keepNext w:val="0"/>
        <w:pageBreakBefore w:val="0"/>
        <w:spacing w:before="181" w:line="360" w:lineRule="auto"/>
        <w:widowControl w:val="off"/>
        <w:rPr>
          <w:rFonts w:hint="eastAsia" w:ascii="新宋体" w:hAnsi="新宋体" w:eastAsia="新宋体" w:cs="新宋体"/>
          <w:b/>
          <w:color w:val="auto"/>
          <w:sz w:val="24"/>
          <w:szCs w:val="24"/>
          <w:highlight w:val="none"/>
        </w:rPr>
      </w:pPr>
      <w:r>
        <w:rPr>
          <w:rFonts w:hint="eastAsia" w:ascii="新宋体" w:hAnsi="新宋体" w:eastAsia="新宋体" w:cs="新宋体"/>
          <w:b/>
          <w:color w:val="auto"/>
          <w:sz w:val="24"/>
          <w:szCs w:val="24"/>
          <w:highlight w:val="none"/>
        </w:rPr>
        <w:t xml:space="preserve">四、</w:t>
      </w:r>
      <w:bookmarkEnd w:id="86"/>
      <w:r>
        <w:rPr>
          <w:rFonts w:hint="eastAsia" w:ascii="宋体" w:hAnsi="宋体" w:cs="宋体"/>
          <w:bCs/>
          <w:color w:val="auto"/>
          <w:sz w:val="24"/>
          <w:highlight w:val="white"/>
        </w:rPr>
        <w:t xml:space="preserve">评审结果。磋商小组按照本办法规定推荐成交候选人，并形成评审报告。</w:t>
      </w:r>
      <w:bookmarkStart w:id="87" w:name="EBd5bea3a3c3254523b93c8abaa514fb10"/>
      <w:r/>
      <w:bookmarkEnd w:id="87"/>
      <w:r/>
      <w:bookmarkStart w:id="88" w:name="_Toc10422"/>
      <w:r/>
      <w:r/>
    </w:p>
    <w:p>
      <w:pPr>
        <w:ind w:firstLine="482"/>
        <w:spacing w:line="360" w:lineRule="auto"/>
        <w:rPr>
          <w:rFonts w:hint="default" w:ascii="新宋体" w:hAnsi="新宋体" w:eastAsia="新宋体" w:cs="新宋体"/>
          <w:b/>
          <w:bCs/>
          <w:color w:val="auto"/>
          <w:sz w:val="24"/>
          <w:szCs w:val="24"/>
          <w:lang w:val="en-US" w:eastAsia="zh-CN" w:bidi="ar-SA"/>
        </w:rPr>
      </w:pPr>
      <w:r/>
      <w:bookmarkStart w:id="89" w:name="_Toc31956"/>
      <w:r>
        <w:rPr>
          <w:rFonts w:hint="eastAsia" w:ascii="新宋体" w:hAnsi="新宋体" w:eastAsia="新宋体" w:cs="新宋体"/>
          <w:b/>
          <w:bCs/>
          <w:color w:val="auto"/>
          <w:sz w:val="24"/>
          <w:szCs w:val="24"/>
          <w:lang w:val="en-US" w:eastAsia="zh-CN" w:bidi="ar-SA"/>
        </w:rPr>
        <w:t xml:space="preserve">五、评审依据及启动异常低价审查程序</w:t>
      </w:r>
      <w:r/>
    </w:p>
    <w:p>
      <w:pPr>
        <w:ind w:firstLine="480"/>
        <w:jc w:val="left"/>
        <w:keepLines w:val="0"/>
        <w:keepNext w:val="0"/>
        <w:spacing w:line="360" w:lineRule="auto"/>
        <w:widowControl/>
        <w:rPr>
          <w:rFonts w:hint="eastAsia" w:ascii="新宋体" w:hAnsi="新宋体" w:eastAsia="新宋体" w:cs="新宋体"/>
          <w:color w:val="auto"/>
          <w:sz w:val="24"/>
          <w:szCs w:val="24"/>
          <w:lang w:val="en-US" w:eastAsia="zh-CN" w:bidi="ar-SA"/>
        </w:rPr>
        <w:suppressLineNumbers w:val="0"/>
      </w:pPr>
      <w:r>
        <w:rPr>
          <w:rFonts w:hint="eastAsia" w:ascii="新宋体" w:hAnsi="新宋体" w:eastAsia="新宋体" w:cs="新宋体"/>
          <w:color w:val="auto"/>
          <w:sz w:val="24"/>
          <w:szCs w:val="24"/>
          <w:lang w:val="en-US" w:eastAsia="zh-CN" w:bidi="ar-SA"/>
        </w:rPr>
        <w:t xml:space="preserve">（一）评审的依据：</w:t>
      </w:r>
      <w:r/>
    </w:p>
    <w:p>
      <w:pPr>
        <w:ind w:firstLine="480"/>
        <w:spacing w:line="360" w:lineRule="auto"/>
        <w:rPr>
          <w:rFonts w:hint="default" w:ascii="新宋体" w:hAnsi="新宋体" w:eastAsia="新宋体" w:cs="新宋体"/>
          <w:color w:val="auto"/>
          <w:sz w:val="24"/>
          <w:szCs w:val="24"/>
          <w:lang w:val="en-US" w:eastAsia="zh-CN" w:bidi="ar-SA"/>
        </w:rPr>
      </w:pPr>
      <w:r>
        <w:rPr>
          <w:rFonts w:hint="default" w:ascii="新宋体" w:hAnsi="新宋体" w:eastAsia="新宋体" w:cs="新宋体"/>
          <w:color w:val="auto"/>
          <w:sz w:val="24"/>
          <w:szCs w:val="24"/>
          <w:lang w:val="en-US" w:eastAsia="zh-CN" w:bidi="ar-SA"/>
        </w:rPr>
        <w:t xml:space="preserve">本次评审唯一依据为正式发布的磋商文件、供应商有效响应文件及双方确认的补充答疑文件，评审判断仅以响应文件书面内容为准，不采信任何外部口头证据、事后补充材料。</w:t>
      </w:r>
      <w:r/>
    </w:p>
    <w:p>
      <w:pPr>
        <w:ind w:firstLine="480"/>
        <w:spacing w:line="360" w:lineRule="auto"/>
        <w:rPr>
          <w:rFonts w:hint="eastAsia" w:ascii="新宋体" w:hAnsi="新宋体" w:eastAsia="新宋体" w:cs="新宋体"/>
          <w:color w:val="auto"/>
          <w:sz w:val="24"/>
          <w:szCs w:val="24"/>
          <w:lang w:val="en-US" w:eastAsia="zh-CN" w:bidi="ar-SA"/>
        </w:rPr>
      </w:pPr>
      <w:r>
        <w:rPr>
          <w:rFonts w:hint="eastAsia" w:ascii="新宋体" w:hAnsi="新宋体" w:eastAsia="新宋体" w:cs="新宋体"/>
          <w:color w:val="auto"/>
          <w:sz w:val="24"/>
          <w:szCs w:val="24"/>
          <w:lang w:val="en-US" w:eastAsia="zh-CN" w:bidi="ar-SA"/>
        </w:rPr>
        <w:t xml:space="preserve">（二）启动异常低价审查程序：</w:t>
      </w:r>
      <w:r/>
    </w:p>
    <w:p>
      <w:pPr>
        <w:ind w:firstLine="480"/>
        <w:spacing w:line="360" w:lineRule="auto"/>
        <w:rPr>
          <w:rFonts w:hint="default" w:ascii="新宋体" w:hAnsi="新宋体" w:eastAsia="新宋体" w:cs="新宋体"/>
          <w:color w:val="auto"/>
          <w:sz w:val="24"/>
          <w:szCs w:val="24"/>
          <w:lang w:val="en-US" w:eastAsia="zh-CN" w:bidi="ar-SA"/>
        </w:rPr>
      </w:pPr>
      <w:r>
        <w:rPr>
          <w:rFonts w:hint="default" w:ascii="新宋体" w:hAnsi="新宋体" w:eastAsia="新宋体" w:cs="新宋体"/>
          <w:color w:val="auto"/>
          <w:sz w:val="24"/>
          <w:szCs w:val="24"/>
          <w:lang w:val="en-US" w:eastAsia="zh-CN" w:bidi="ar-SA"/>
        </w:rPr>
        <w:t xml:space="preserve">评审过程中，出现以下任一量化情形，磋商小组必须启动异常低价审查程序：</w:t>
      </w:r>
      <w:r/>
    </w:p>
    <w:p>
      <w:pPr>
        <w:ind w:firstLine="480"/>
        <w:spacing w:line="360" w:lineRule="auto"/>
        <w:rPr>
          <w:rFonts w:hint="eastAsia" w:ascii="新宋体" w:hAnsi="新宋体" w:eastAsia="新宋体" w:cs="新宋体"/>
          <w:color w:val="auto"/>
          <w:sz w:val="24"/>
          <w:szCs w:val="24"/>
          <w:lang w:val="en-US" w:eastAsia="zh-CN" w:bidi="ar-SA"/>
        </w:rPr>
      </w:pPr>
      <w:r>
        <w:rPr>
          <w:rFonts w:hint="eastAsia" w:ascii="新宋体" w:hAnsi="新宋体" w:eastAsia="新宋体" w:cs="新宋体"/>
          <w:color w:val="auto"/>
          <w:sz w:val="24"/>
          <w:szCs w:val="24"/>
          <w:lang w:val="en-US" w:eastAsia="zh-CN" w:bidi="ar-SA"/>
        </w:rPr>
        <w:t xml:space="preserve">1.磋商报价低于全部通过符合性审查供应商磋商报价平均值50%的，即磋商报价&lt;全部通过符合性审查供应商磋商报价平均值×50%；</w:t>
      </w:r>
      <w:r/>
    </w:p>
    <w:p>
      <w:pPr>
        <w:ind w:firstLine="480"/>
        <w:spacing w:line="360" w:lineRule="auto"/>
        <w:rPr>
          <w:rFonts w:hint="eastAsia" w:ascii="新宋体" w:hAnsi="新宋体" w:eastAsia="新宋体" w:cs="新宋体"/>
          <w:color w:val="auto"/>
          <w:sz w:val="24"/>
          <w:szCs w:val="24"/>
          <w:lang w:val="en-US" w:eastAsia="zh-CN" w:bidi="ar-SA"/>
        </w:rPr>
      </w:pPr>
      <w:r>
        <w:rPr>
          <w:rFonts w:hint="eastAsia" w:ascii="新宋体" w:hAnsi="新宋体" w:eastAsia="新宋体" w:cs="新宋体"/>
          <w:color w:val="auto"/>
          <w:sz w:val="24"/>
          <w:szCs w:val="24"/>
          <w:lang w:val="en-US" w:eastAsia="zh-CN" w:bidi="ar-SA"/>
        </w:rPr>
        <w:t xml:space="preserve">2.磋商报价低于通过符合性审查的次低报价供应商磋商报价50%的，即磋商报价&lt;通过符合性审查的次低报价供应商磋商报价×50%；</w:t>
      </w:r>
      <w:r/>
    </w:p>
    <w:p>
      <w:pPr>
        <w:ind w:firstLine="480"/>
        <w:spacing w:line="360" w:lineRule="auto"/>
        <w:rPr>
          <w:rFonts w:hint="eastAsia" w:ascii="新宋体" w:hAnsi="新宋体" w:eastAsia="新宋体" w:cs="新宋体"/>
          <w:color w:val="auto"/>
          <w:sz w:val="24"/>
          <w:szCs w:val="24"/>
          <w:lang w:val="en-US" w:eastAsia="zh-CN" w:bidi="ar-SA"/>
        </w:rPr>
      </w:pPr>
      <w:r>
        <w:rPr>
          <w:rFonts w:hint="eastAsia" w:ascii="新宋体" w:hAnsi="新宋体" w:eastAsia="新宋体" w:cs="新宋体"/>
          <w:color w:val="auto"/>
          <w:sz w:val="24"/>
          <w:szCs w:val="24"/>
          <w:lang w:val="en-US" w:eastAsia="zh-CN" w:bidi="ar-SA"/>
        </w:rPr>
        <w:t xml:space="preserve">3.磋商报价低于采购项目最高限价45%的，即磋商报价&lt;采购项目最高限价×45%；</w:t>
      </w:r>
      <w:r/>
    </w:p>
    <w:p>
      <w:pPr>
        <w:ind w:firstLine="480"/>
        <w:spacing w:line="360" w:lineRule="auto"/>
        <w:rPr>
          <w:rFonts w:hint="default" w:ascii="新宋体" w:hAnsi="新宋体" w:eastAsia="新宋体" w:cs="新宋体"/>
          <w:color w:val="auto"/>
          <w:sz w:val="24"/>
          <w:szCs w:val="24"/>
          <w:lang w:val="en-US" w:eastAsia="zh-CN" w:bidi="ar-SA"/>
        </w:rPr>
      </w:pPr>
      <w:r>
        <w:rPr>
          <w:rFonts w:hint="eastAsia" w:ascii="新宋体" w:hAnsi="新宋体" w:eastAsia="新宋体" w:cs="新宋体"/>
          <w:color w:val="auto"/>
          <w:sz w:val="24"/>
          <w:szCs w:val="24"/>
          <w:lang w:val="en-US" w:eastAsia="zh-CN" w:bidi="ar-SA"/>
        </w:rPr>
        <w:t xml:space="preserve">4.磋商小组基于专业判断，认为供应商报价过低，有可能影响产品质量或者不能诚信履约的其他情形。</w:t>
      </w:r>
      <w:r/>
    </w:p>
    <w:p>
      <w:pPr>
        <w:ind w:firstLine="480"/>
        <w:spacing w:line="360" w:lineRule="auto"/>
        <w:rPr>
          <w:rFonts w:hint="eastAsia" w:ascii="新宋体" w:hAnsi="新宋体" w:eastAsia="新宋体" w:cs="新宋体"/>
          <w:color w:val="auto"/>
          <w:sz w:val="24"/>
          <w:szCs w:val="24"/>
          <w:lang w:val="en-US" w:eastAsia="zh-CN" w:bidi="ar-SA"/>
        </w:rPr>
      </w:pPr>
      <w:r>
        <w:rPr>
          <w:rFonts w:hint="eastAsia" w:ascii="新宋体" w:hAnsi="新宋体" w:eastAsia="新宋体" w:cs="新宋体"/>
          <w:color w:val="auto"/>
          <w:sz w:val="24"/>
          <w:szCs w:val="24"/>
          <w:lang w:val="en-US" w:eastAsia="zh-CN" w:bidi="ar-SA"/>
        </w:rPr>
        <w:t xml:space="preserve">4.启动异常低价响应审查后，</w:t>
      </w:r>
      <w:r>
        <w:rPr>
          <w:rFonts w:hint="default" w:ascii="新宋体" w:hAnsi="新宋体" w:eastAsia="新宋体" w:cs="新宋体"/>
          <w:color w:val="auto"/>
          <w:sz w:val="24"/>
          <w:szCs w:val="24"/>
          <w:lang w:val="en-US" w:eastAsia="zh-CN" w:bidi="ar-SA"/>
        </w:rPr>
        <w:t xml:space="preserve">供应商须在评审小组规定时限内，提交详细成本测算表（人工、设备、耗材、交通、税费、管理成本等）、成本佐证材料、履约保障说明。评审小组结合行业薪资标准、同类项目市场均价、本地服务成本等维度综合研判。供应商逾期未提交、材料无法佐证报价合理性的，直接判定为无效响应，作废标处理，相关审查情况全程记录至评审报告。</w:t>
      </w:r>
      <w:r/>
    </w:p>
    <w:p>
      <w:pPr>
        <w:ind w:left="0" w:right="0" w:firstLine="567"/>
        <w:jc w:val="both"/>
        <w:keepLines w:val="0"/>
        <w:keepNext w:val="0"/>
        <w:spacing w:before="0" w:beforeAutospacing="0" w:after="0" w:afterAutospacing="0" w:line="360" w:lineRule="auto"/>
        <w:widowControl w:val="off"/>
        <w:rPr>
          <w:rFonts w:hint="eastAsia" w:ascii="新宋体" w:hAnsi="新宋体" w:eastAsia="新宋体" w:cs="新宋体"/>
          <w:b/>
          <w:bCs/>
          <w:color w:val="auto"/>
          <w:sz w:val="24"/>
          <w:szCs w:val="24"/>
          <w:highlight w:val="none"/>
        </w:rPr>
        <w:suppressLineNumbers w:val="0"/>
      </w:pPr>
      <w:r>
        <w:rPr>
          <w:rFonts w:hint="eastAsia" w:ascii="新宋体" w:hAnsi="新宋体" w:eastAsia="新宋体" w:cs="新宋体"/>
          <w:b/>
          <w:bCs/>
          <w:color w:val="auto"/>
          <w:sz w:val="24"/>
          <w:szCs w:val="24"/>
          <w:highlight w:val="none"/>
          <w:lang w:val="en-US" w:eastAsia="zh-CN" w:bidi="ar"/>
        </w:rPr>
        <w:t xml:space="preserve">六、采购标的需实现的功能或者目标，以及为落实政府采购政策需满足的要求；</w:t>
      </w:r>
      <w:r/>
    </w:p>
    <w:p>
      <w:pPr>
        <w:ind w:firstLine="480"/>
        <w:keepLines w:val="0"/>
        <w:keepNext w:val="0"/>
        <w:pageBreakBefore w:val="0"/>
        <w:spacing w:line="360" w:lineRule="auto"/>
        <w:widowControl w:val="off"/>
        <w:rPr>
          <w:rFonts w:hint="eastAsia" w:ascii="宋体" w:hAnsi="宋体" w:eastAsia="宋体" w:cs="宋体"/>
          <w:b/>
          <w:bCs/>
          <w:caps w:val="0"/>
          <w:color w:val="auto"/>
          <w:sz w:val="24"/>
          <w:highlight w:val="white"/>
        </w:rPr>
        <w:outlineLvl w:val="9"/>
      </w:pPr>
      <w:r>
        <w:rPr>
          <w:rFonts w:hint="eastAsia" w:ascii="宋体" w:hAnsi="宋体" w:eastAsia="宋体" w:cs="宋体"/>
          <w:b/>
          <w:bCs/>
          <w:caps w:val="0"/>
          <w:color w:val="auto"/>
          <w:sz w:val="24"/>
          <w:highlight w:val="white"/>
        </w:rPr>
        <w:t xml:space="preserve">本项目落实的政府采购政策</w:t>
      </w:r>
      <w:r>
        <w:rPr>
          <w:rFonts w:hint="eastAsia" w:ascii="宋体" w:hAnsi="宋体" w:eastAsia="宋体" w:cs="宋体"/>
          <w:b/>
          <w:bCs/>
          <w:caps w:val="0"/>
          <w:color w:val="auto"/>
          <w:sz w:val="24"/>
          <w:highlight w:val="white"/>
          <w:lang w:val="en-US" w:eastAsia="zh-CN"/>
        </w:rPr>
        <w:t xml:space="preserve">对应以下序号为：1、2</w:t>
      </w:r>
      <w:r/>
    </w:p>
    <w:p>
      <w:pPr>
        <w:ind w:left="0" w:right="0" w:firstLine="567"/>
        <w:jc w:val="both"/>
        <w:keepLines w:val="0"/>
        <w:keepNext w:val="0"/>
        <w:spacing w:before="0" w:beforeAutospacing="0" w:after="0" w:afterAutospacing="0" w:line="360" w:lineRule="auto"/>
        <w:widowControl w:val="off"/>
        <w:rPr>
          <w:rFonts w:hint="eastAsia" w:ascii="新宋体" w:hAnsi="新宋体" w:eastAsia="新宋体" w:cs="新宋体"/>
          <w:b/>
          <w:bCs/>
          <w:color w:val="auto"/>
          <w:sz w:val="24"/>
          <w:szCs w:val="24"/>
          <w:highlight w:val="none"/>
        </w:rPr>
        <w:suppressLineNumbers w:val="0"/>
      </w:pPr>
      <w:r>
        <w:rPr>
          <w:rFonts w:hint="eastAsia" w:ascii="新宋体" w:hAnsi="新宋体" w:eastAsia="新宋体" w:cs="新宋体"/>
          <w:b/>
          <w:bCs/>
          <w:color w:val="auto"/>
          <w:sz w:val="24"/>
          <w:szCs w:val="24"/>
          <w:highlight w:val="none"/>
          <w:lang w:val="en-US" w:eastAsia="zh-CN" w:bidi="ar"/>
        </w:rPr>
        <w:t xml:space="preserve">1、采购本国货物、工程和服务</w:t>
      </w:r>
      <w:r/>
    </w:p>
    <w:p>
      <w:pPr>
        <w:ind w:left="0" w:right="0" w:firstLine="567"/>
        <w:jc w:val="both"/>
        <w:keepLines w:val="0"/>
        <w:keepNext w:val="0"/>
        <w:spacing w:before="0" w:beforeAutospacing="0" w:after="0" w:afterAutospacing="0" w:line="360" w:lineRule="auto"/>
        <w:widowControl w:val="off"/>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lang w:val="en-US" w:eastAsia="zh-CN" w:bidi="ar"/>
        </w:rPr>
        <w:t xml:space="preserve">政府采购应当采购本国货物、工程和服务，但有《中华人民共和国政府采购法》第十条规定情形的除外。</w:t>
      </w:r>
      <w:r/>
    </w:p>
    <w:p>
      <w:pPr>
        <w:ind w:firstLine="482"/>
        <w:jc w:val="left"/>
        <w:keepLines w:val="0"/>
        <w:keepNext w:val="0"/>
        <w:spacing w:line="360" w:lineRule="auto"/>
        <w:widowControl/>
        <w:rPr>
          <w:b/>
          <w:bCs/>
          <w:color w:val="auto"/>
        </w:rPr>
        <w:suppressLineNumbers w:val="0"/>
      </w:pPr>
      <w:r>
        <w:rPr>
          <w:rFonts w:hint="eastAsia" w:ascii="新宋体" w:hAnsi="新宋体" w:eastAsia="新宋体" w:cs="新宋体"/>
          <w:b/>
          <w:bCs/>
          <w:color w:val="auto"/>
          <w:sz w:val="24"/>
          <w:szCs w:val="24"/>
          <w:highlight w:val="none"/>
          <w:lang w:val="en-US" w:eastAsia="zh-CN" w:bidi="ar"/>
        </w:rPr>
        <w:t xml:space="preserve">2、</w:t>
      </w:r>
      <w:r>
        <w:rPr>
          <w:rFonts w:hint="default" w:ascii="宋体" w:hAnsi="宋体" w:eastAsia="宋体" w:cs="宋体"/>
          <w:b/>
          <w:bCs/>
          <w:color w:val="auto"/>
          <w:sz w:val="24"/>
          <w:szCs w:val="24"/>
          <w:lang w:val="en-US" w:eastAsia="zh-CN" w:bidi="ar"/>
        </w:rPr>
        <w:t xml:space="preserve">中小企业价格扶持政策</w:t>
      </w:r>
      <w:r/>
    </w:p>
    <w:p>
      <w:pPr>
        <w:ind w:firstLine="480"/>
        <w:spacing w:line="360" w:lineRule="auto"/>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本项目按以下第</w:t>
      </w:r>
      <w:r>
        <w:rPr>
          <w:rFonts w:hint="eastAsia" w:ascii="新宋体" w:hAnsi="新宋体" w:eastAsia="新宋体" w:cs="新宋体"/>
          <w:b/>
          <w:bCs/>
          <w:color w:val="auto"/>
          <w:sz w:val="24"/>
          <w:szCs w:val="24"/>
          <w:highlight w:val="none"/>
          <w:u w:val="single"/>
        </w:rPr>
        <w:t xml:space="preserve">（</w:t>
      </w:r>
      <w:r>
        <w:rPr>
          <w:rFonts w:hint="eastAsia" w:ascii="新宋体" w:hAnsi="新宋体" w:eastAsia="新宋体" w:cs="新宋体"/>
          <w:b/>
          <w:bCs/>
          <w:color w:val="auto"/>
          <w:sz w:val="24"/>
          <w:szCs w:val="24"/>
          <w:highlight w:val="none"/>
          <w:u w:val="single"/>
          <w:lang w:val="en-US" w:eastAsia="zh-CN"/>
        </w:rPr>
        <w:t xml:space="preserve">2</w:t>
      </w:r>
      <w:r>
        <w:rPr>
          <w:rFonts w:hint="eastAsia" w:ascii="新宋体" w:hAnsi="新宋体" w:eastAsia="新宋体" w:cs="新宋体"/>
          <w:b/>
          <w:bCs/>
          <w:color w:val="auto"/>
          <w:sz w:val="24"/>
          <w:szCs w:val="24"/>
          <w:highlight w:val="none"/>
          <w:u w:val="single"/>
        </w:rPr>
        <w:t xml:space="preserve">）</w:t>
      </w:r>
      <w:r>
        <w:rPr>
          <w:rFonts w:hint="eastAsia" w:ascii="新宋体" w:hAnsi="新宋体" w:eastAsia="新宋体" w:cs="新宋体"/>
          <w:color w:val="auto"/>
          <w:sz w:val="24"/>
          <w:szCs w:val="24"/>
          <w:highlight w:val="none"/>
        </w:rPr>
        <w:t xml:space="preserve">种政策确定本项目落实的中小企业政策：</w:t>
      </w:r>
      <w:r/>
    </w:p>
    <w:p>
      <w:pPr>
        <w:ind w:firstLine="480"/>
        <w:spacing w:line="360" w:lineRule="auto"/>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（1）本项目专门面向中小微企业（含监狱企业或残疾人福利性单位）采购。</w:t>
      </w:r>
      <w:r/>
    </w:p>
    <w:p>
      <w:pPr>
        <w:ind w:firstLine="480"/>
        <w:spacing w:line="360" w:lineRule="auto"/>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（2）对符合规定情形的小微企业报价给予</w:t>
      </w:r>
      <w:r>
        <w:rPr>
          <w:rFonts w:hint="eastAsia" w:ascii="新宋体" w:hAnsi="新宋体" w:eastAsia="新宋体" w:cs="新宋体"/>
          <w:color w:val="auto"/>
          <w:sz w:val="24"/>
          <w:szCs w:val="24"/>
          <w:highlight w:val="none"/>
          <w:lang w:val="en-US" w:eastAsia="zh-CN"/>
        </w:rPr>
        <w:t xml:space="preserve">10%</w:t>
      </w:r>
      <w:r>
        <w:rPr>
          <w:rFonts w:hint="eastAsia" w:ascii="新宋体" w:hAnsi="新宋体" w:eastAsia="新宋体" w:cs="新宋体"/>
          <w:color w:val="auto"/>
          <w:sz w:val="24"/>
          <w:szCs w:val="24"/>
          <w:highlight w:val="none"/>
        </w:rPr>
        <w:t xml:space="preserve">扣除，用扣除后的价格参加评审。</w:t>
      </w:r>
      <w:r/>
    </w:p>
    <w:p>
      <w:pPr>
        <w:ind w:firstLine="480"/>
        <w:spacing w:line="360" w:lineRule="auto"/>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在服务采购项目中，服务由中小企业承接，即提供服务的人员为中小企业依照《中华人民共和国劳动合同法》订立劳动合同的从业人员。</w:t>
      </w:r>
      <w:r/>
    </w:p>
    <w:p>
      <w:pPr>
        <w:ind w:firstLine="480"/>
        <w:spacing w:line="360" w:lineRule="auto"/>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在货物采购项目中，货物由中小企业制造，即货物由中小企业生产且使用该中小企业商号或者注册商标。</w:t>
      </w:r>
      <w:r/>
    </w:p>
    <w:p>
      <w:pPr>
        <w:ind w:firstLine="480"/>
        <w:spacing w:line="360" w:lineRule="auto"/>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注：①参加磋商的中小企业，应当按照《政府采购促进中小企业发展管理办法》（财库〔2020〕46号）规定，出具《中小企业声明函》，中小企业划型依据《关于印发中小企业划型标准规定的通知》（工信部联企业〔2011〕300号）。</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②参加磋商的监狱企业，视同小型、微型企业。监狱企业应当按照《财政部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响应文件中上传加盖出具单位公章的电子件）。</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③参加磋商的残疾人福利性单位，视同小型、微型企业。残疾人福利性单位应当按照《财政部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新宋体" w:hAnsi="新宋体" w:eastAsia="新宋体" w:cs="新宋体"/>
          <w:color w:val="auto"/>
          <w:sz w:val="24"/>
          <w:szCs w:val="24"/>
          <w:highlight w:val="none"/>
          <w:u w:val="single"/>
        </w:rPr>
        <w:t xml:space="preserve">5</w:t>
      </w:r>
      <w:r>
        <w:rPr>
          <w:rFonts w:hint="eastAsia" w:ascii="新宋体" w:hAnsi="新宋体" w:eastAsia="新宋体" w:cs="新宋体"/>
          <w:color w:val="auto"/>
          <w:sz w:val="24"/>
          <w:szCs w:val="24"/>
          <w:highlight w:val="none"/>
        </w:rPr>
        <w:t xml:space="preserve">%（工程项目为</w:t>
      </w:r>
      <w:r>
        <w:rPr>
          <w:rFonts w:hint="eastAsia" w:ascii="新宋体" w:hAnsi="新宋体" w:eastAsia="新宋体" w:cs="新宋体"/>
          <w:color w:val="auto"/>
          <w:sz w:val="24"/>
          <w:szCs w:val="24"/>
          <w:highlight w:val="none"/>
          <w:u w:val="single"/>
        </w:rPr>
        <w:t xml:space="preserve">2</w:t>
      </w:r>
      <w:r>
        <w:rPr>
          <w:rFonts w:hint="eastAsia" w:ascii="新宋体" w:hAnsi="新宋体" w:eastAsia="新宋体" w:cs="新宋体"/>
          <w:color w:val="auto"/>
          <w:sz w:val="24"/>
          <w:szCs w:val="24"/>
          <w:highlight w:val="none"/>
        </w:rPr>
        <w:t xml:space="preserve">%）的扣除，用扣除后的价格参加评审。（是否接受联合体以“项目基本情况”相关内容为准，是否允许大中型企业向一家或者多家小微企业分包以“供应商须知前附表”、“采购需求”相关内容为准。）</w:t>
      </w:r>
      <w:r/>
    </w:p>
    <w:p>
      <w:pPr>
        <w:ind w:firstLine="480"/>
        <w:spacing w:line="480" w:lineRule="exact"/>
        <w:rPr>
          <w:rFonts w:hint="eastAsia" w:ascii="新宋体" w:hAnsi="新宋体" w:eastAsia="新宋体" w:cs="新宋体"/>
          <w:b/>
          <w:color w:val="auto"/>
          <w:sz w:val="24"/>
          <w:szCs w:val="24"/>
          <w:highlight w:val="none"/>
        </w:rPr>
      </w:pPr>
      <w:r>
        <w:rPr>
          <w:rFonts w:hint="eastAsia" w:ascii="新宋体" w:hAnsi="新宋体" w:eastAsia="新宋体" w:cs="新宋体"/>
          <w:color w:val="auto"/>
          <w:sz w:val="24"/>
          <w:szCs w:val="24"/>
          <w:highlight w:val="none"/>
        </w:rPr>
        <w:t xml:space="preserve">⑤联合体各方均为小型、微型企业（残疾人福利单位、监狱企业）的，联合体享受</w:t>
      </w:r>
      <w:r>
        <w:rPr>
          <w:rFonts w:hint="eastAsia" w:ascii="新宋体" w:hAnsi="新宋体" w:eastAsia="新宋体" w:cs="新宋体"/>
          <w:color w:val="auto"/>
          <w:sz w:val="24"/>
          <w:szCs w:val="24"/>
          <w:highlight w:val="none"/>
          <w:lang w:eastAsia="zh-CN"/>
        </w:rPr>
        <w:t xml:space="preserve">10%</w:t>
      </w:r>
      <w:r>
        <w:rPr>
          <w:rFonts w:hint="eastAsia" w:ascii="新宋体" w:hAnsi="新宋体" w:eastAsia="新宋体" w:cs="新宋体"/>
          <w:color w:val="auto"/>
          <w:sz w:val="24"/>
          <w:szCs w:val="24"/>
          <w:highlight w:val="none"/>
        </w:rPr>
        <w:t xml:space="preserve">价格扣除，用扣除后的价格参与评审。</w:t>
      </w:r>
      <w:r>
        <w:rPr>
          <w:rFonts w:hint="eastAsia" w:ascii="新宋体" w:hAnsi="新宋体" w:eastAsia="新宋体" w:cs="新宋体"/>
          <w:color w:val="auto"/>
          <w:sz w:val="24"/>
          <w:szCs w:val="24"/>
          <w:highlight w:val="none"/>
        </w:rPr>
        <w:br w:type="page" w:clear="all"/>
      </w:r>
      <w:r/>
    </w:p>
    <w:p>
      <w:pPr>
        <w:jc w:val="both"/>
        <w:spacing w:line="500" w:lineRule="exact"/>
        <w:rPr>
          <w:rFonts w:hint="eastAsia" w:ascii="新宋体" w:hAnsi="新宋体" w:eastAsia="新宋体" w:cs="新宋体"/>
          <w:b/>
          <w:color w:val="auto"/>
          <w:sz w:val="24"/>
          <w:szCs w:val="24"/>
          <w:highlight w:val="none"/>
        </w:rPr>
        <w:sectPr>
          <w:footerReference w:type="default" r:id="rId10"/>
          <w:footnotePr/>
          <w:endnotePr/>
          <w:type w:val="nextPage"/>
          <w:pgSz w:w="11906" w:h="16838" w:orient="portrait"/>
          <w:pgMar w:top="1440" w:right="1417" w:bottom="1440" w:left="1417" w:header="851" w:footer="992" w:gutter="0"/>
          <w:pgNumType w:start="1"/>
          <w:cols w:num="1" w:sep="0" w:space="720" w:equalWidth="1"/>
          <w:docGrid w:linePitch="360"/>
        </w:sectPr>
        <w:outlineLvl w:val="0"/>
      </w:pPr>
      <w:r>
        <w:rPr>
          <w:rFonts w:hint="eastAsia" w:ascii="新宋体" w:hAnsi="新宋体" w:eastAsia="新宋体" w:cs="新宋体"/>
          <w:b/>
          <w:color w:val="auto"/>
          <w:sz w:val="24"/>
          <w:szCs w:val="24"/>
          <w:highlight w:val="none"/>
        </w:rPr>
      </w:r>
      <w:r/>
    </w:p>
    <w:p>
      <w:pPr>
        <w:jc w:val="center"/>
        <w:spacing w:line="500" w:lineRule="exact"/>
        <w:rPr>
          <w:rFonts w:hint="eastAsia" w:ascii="新宋体" w:hAnsi="新宋体" w:eastAsia="新宋体" w:cs="新宋体"/>
          <w:b/>
          <w:color w:val="auto"/>
          <w:sz w:val="32"/>
          <w:szCs w:val="32"/>
          <w:highlight w:val="none"/>
        </w:rPr>
        <w:outlineLvl w:val="0"/>
      </w:pPr>
      <w:r/>
      <w:bookmarkStart w:id="90" w:name="_Toc5025"/>
      <w:r/>
      <w:bookmarkStart w:id="91" w:name="_Toc17993"/>
      <w:r>
        <w:rPr>
          <w:rFonts w:hint="eastAsia" w:ascii="新宋体" w:hAnsi="新宋体" w:eastAsia="新宋体" w:cs="新宋体"/>
          <w:b/>
          <w:color w:val="auto"/>
          <w:sz w:val="32"/>
          <w:szCs w:val="32"/>
          <w:highlight w:val="none"/>
        </w:rPr>
        <w:t xml:space="preserve">第四章  采购需求</w:t>
      </w:r>
      <w:bookmarkEnd w:id="88"/>
      <w:r/>
      <w:bookmarkEnd w:id="89"/>
      <w:r/>
      <w:bookmarkEnd w:id="90"/>
      <w:r/>
      <w:bookmarkEnd w:id="91"/>
      <w:r/>
      <w:r/>
    </w:p>
    <w:p>
      <w:pPr>
        <w:ind w:firstLine="480"/>
        <w:spacing w:line="480" w:lineRule="exact"/>
        <w:rPr>
          <w:rFonts w:hint="eastAsia" w:ascii="新宋体" w:hAnsi="新宋体" w:eastAsia="新宋体" w:cs="新宋体"/>
          <w:color w:val="auto"/>
          <w:sz w:val="24"/>
          <w:szCs w:val="24"/>
          <w:highlight w:val="none"/>
        </w:rPr>
      </w:pPr>
      <w:r/>
      <w:bookmarkStart w:id="92" w:name="_Toc17639"/>
      <w:r/>
      <w:bookmarkStart w:id="93" w:name="_Toc22280"/>
      <w:r>
        <w:rPr>
          <w:rFonts w:hint="eastAsia" w:ascii="新宋体" w:hAnsi="新宋体" w:eastAsia="新宋体" w:cs="新宋体"/>
          <w:color w:val="auto"/>
          <w:sz w:val="24"/>
          <w:szCs w:val="24"/>
          <w:highlight w:val="none"/>
        </w:rPr>
        <w:t xml:space="preserve">项目属性：服务类项目</w:t>
      </w:r>
      <w:r>
        <w:rPr>
          <w:rFonts w:hint="eastAsia" w:ascii="新宋体" w:hAnsi="新宋体" w:eastAsia="新宋体" w:cs="新宋体"/>
          <w:color w:val="auto"/>
          <w:sz w:val="24"/>
          <w:szCs w:val="24"/>
          <w:highlight w:val="none"/>
          <w:lang w:eastAsia="zh-CN"/>
        </w:rPr>
        <w:t xml:space="preserve">。</w:t>
      </w:r>
      <w:r/>
    </w:p>
    <w:p>
      <w:pPr>
        <w:ind w:firstLine="480"/>
        <w:spacing w:line="480" w:lineRule="exact"/>
        <w:rPr>
          <w:rFonts w:hint="eastAsia" w:ascii="新宋体" w:hAnsi="新宋体" w:eastAsia="新宋体" w:cs="新宋体"/>
          <w:color w:val="auto"/>
          <w:sz w:val="24"/>
          <w:szCs w:val="24"/>
          <w:highlight w:val="none"/>
          <w:lang w:val="en-US" w:eastAsia="zh-CN"/>
        </w:rPr>
      </w:pPr>
      <w:r>
        <w:rPr>
          <w:rFonts w:hint="eastAsia" w:ascii="新宋体" w:hAnsi="新宋体" w:eastAsia="新宋体" w:cs="新宋体"/>
          <w:color w:val="auto"/>
          <w:sz w:val="24"/>
          <w:szCs w:val="24"/>
          <w:highlight w:val="none"/>
        </w:rPr>
        <w:t xml:space="preserve">本项目采购标的对应的中小企业划分标准所属行业：</w:t>
      </w:r>
      <w:r>
        <w:rPr>
          <w:rFonts w:hint="eastAsia" w:ascii="新宋体" w:hAnsi="新宋体" w:eastAsia="新宋体" w:cs="新宋体"/>
          <w:color w:val="auto"/>
          <w:sz w:val="24"/>
          <w:szCs w:val="24"/>
          <w:highlight w:val="none"/>
          <w:lang w:val="en-US" w:eastAsia="zh-CN"/>
        </w:rPr>
        <w:t xml:space="preserve">其他未列明行业。</w:t>
      </w:r>
      <w:r/>
    </w:p>
    <w:p>
      <w:pPr>
        <w:pStyle w:val="1277"/>
        <w:ind w:firstLine="482"/>
        <w:spacing w:line="360" w:lineRule="auto"/>
        <w:rPr>
          <w:rFonts w:ascii="宋体" w:hAnsi="宋体" w:cs="宋体"/>
          <w:b/>
          <w:color w:val="auto"/>
          <w:sz w:val="24"/>
        </w:rPr>
        <w:outlineLvl w:val="9"/>
      </w:pPr>
      <w:r>
        <w:rPr>
          <w:rFonts w:hint="eastAsia" w:ascii="宋体" w:hAnsi="宋体" w:cs="宋体"/>
          <w:b/>
          <w:color w:val="auto"/>
          <w:sz w:val="24"/>
        </w:rPr>
        <w:t xml:space="preserve">一、项目概况</w:t>
      </w:r>
      <w:r/>
    </w:p>
    <w:p>
      <w:pPr>
        <w:pStyle w:val="1277"/>
        <w:ind w:firstLine="480"/>
        <w:jc w:val="left"/>
        <w:spacing w:line="360" w:lineRule="auto"/>
        <w:rPr>
          <w:rFonts w:hint="eastAsia" w:ascii="宋体" w:hAnsi="宋体" w:cs="宋体"/>
          <w:bCs/>
          <w:color w:val="auto"/>
          <w:sz w:val="24"/>
        </w:rPr>
      </w:pPr>
      <w:r>
        <w:rPr>
          <w:rFonts w:hint="eastAsia" w:ascii="宋体" w:hAnsi="宋体" w:cs="宋体"/>
          <w:bCs/>
          <w:color w:val="auto"/>
          <w:sz w:val="24"/>
        </w:rPr>
        <w:t xml:space="preserve">（一）项目内容</w:t>
      </w:r>
      <w:r/>
    </w:p>
    <w:p>
      <w:pPr>
        <w:pStyle w:val="1277"/>
        <w:ind w:firstLine="480"/>
        <w:jc w:val="left"/>
        <w:spacing w:line="360" w:lineRule="auto"/>
        <w:rPr>
          <w:rFonts w:hint="eastAsia" w:ascii="新宋体" w:hAnsi="新宋体" w:eastAsia="新宋体" w:cs="新宋体"/>
          <w:color w:val="auto"/>
          <w:sz w:val="24"/>
          <w:szCs w:val="24"/>
          <w:highlight w:val="none"/>
          <w:lang w:val="en-US" w:eastAsia="zh-CN" w:bidi="ar-SA"/>
        </w:rPr>
      </w:pPr>
      <w:r>
        <w:rPr>
          <w:rFonts w:hint="eastAsia" w:ascii="新宋体" w:hAnsi="新宋体" w:eastAsia="新宋体" w:cs="新宋体"/>
          <w:color w:val="auto"/>
          <w:sz w:val="24"/>
          <w:szCs w:val="24"/>
          <w:highlight w:val="none"/>
          <w:lang w:val="en-US" w:eastAsia="zh-CN" w:bidi="ar-SA"/>
        </w:rPr>
        <w:t xml:space="preserve">1、宿迁市宿城区市场监督管理局拟定对电动自行车、食品相关产品、儿童和学生用品、老年产品、小家电、燃气用具、消防用品、日用化工品、纺织产品、学生校服、钢化玻璃、成品油、胶黏剂、建筑材料和家具等工业产品的抽检服务进行采购。</w:t>
      </w:r>
      <w:r/>
    </w:p>
    <w:p>
      <w:pPr>
        <w:ind w:firstLine="480"/>
        <w:spacing w:line="360" w:lineRule="auto"/>
        <w:rPr>
          <w:rFonts w:hint="eastAsia" w:ascii="新宋体" w:hAnsi="新宋体" w:eastAsia="新宋体" w:cs="新宋体"/>
          <w:color w:val="auto"/>
          <w:sz w:val="24"/>
          <w:szCs w:val="24"/>
          <w:highlight w:val="none"/>
          <w:lang w:val="en-US" w:eastAsia="zh-CN"/>
        </w:rPr>
      </w:pPr>
      <w:r>
        <w:rPr>
          <w:rFonts w:hint="eastAsia" w:ascii="新宋体" w:hAnsi="新宋体" w:eastAsia="新宋体" w:cs="新宋体"/>
          <w:color w:val="auto"/>
          <w:sz w:val="24"/>
          <w:szCs w:val="24"/>
          <w:highlight w:val="none"/>
          <w:lang w:val="en-US" w:eastAsia="zh-CN"/>
        </w:rPr>
        <w:t xml:space="preserve">2.供应商承担本项目对应分包产品质量监督抽查全流程服务，包含但不限于购样、样品运输、样品保管、检验检测、数据录入、报告出具、异议处理、复检配合、技术支撑、台账归档、迎检保障、检验结果及时录入“江苏省产品质量安全监督管理系统”等全部工作内容。</w:t>
      </w:r>
      <w:r/>
    </w:p>
    <w:p>
      <w:pPr>
        <w:pStyle w:val="1277"/>
        <w:ind w:firstLine="480"/>
        <w:jc w:val="left"/>
        <w:spacing w:line="360" w:lineRule="auto"/>
        <w:rPr>
          <w:rFonts w:hint="eastAsia" w:ascii="新宋体" w:hAnsi="新宋体" w:eastAsia="新宋体" w:cs="新宋体"/>
          <w:color w:val="0000ff"/>
          <w:sz w:val="24"/>
          <w:szCs w:val="24"/>
          <w:highlight w:val="none"/>
          <w:lang w:val="en-US" w:eastAsia="zh-CN"/>
        </w:rPr>
      </w:pPr>
      <w:r>
        <w:rPr>
          <w:rFonts w:hint="eastAsia" w:ascii="新宋体" w:hAnsi="新宋体" w:eastAsia="新宋体" w:cs="新宋体"/>
          <w:color w:val="0000ff"/>
          <w:sz w:val="24"/>
          <w:szCs w:val="24"/>
          <w:highlight w:val="none"/>
          <w:lang w:val="en-US" w:eastAsia="zh-CN"/>
        </w:rPr>
        <w:t xml:space="preserve">3、本项目共分为四个采购分包，各分包独立采购、独立评审、独立定标、独立签订合同、独立</w:t>
      </w:r>
      <w:r>
        <w:rPr>
          <w:rFonts w:hint="eastAsia" w:ascii="新宋体" w:hAnsi="新宋体" w:eastAsia="新宋体" w:cs="新宋体"/>
          <w:color w:val="0000ff"/>
          <w:sz w:val="24"/>
          <w:szCs w:val="24"/>
          <w:highlight w:val="none"/>
          <w:lang w:val="en-US" w:eastAsia="zh-CN"/>
        </w:rPr>
        <w:t xml:space="preserve">履约结算。供应商可以参与全部分包竞标，但遵循 “多投单中” 原则：评标顺序：分包一→分包二→分包三→分包四；按照分包一、二、三、四顺序依次评审确定成交候选人，供应商已被推荐为靠前分包第一成交候选人的，后续分包可参与评审打分，但不再推荐为第一成交候选人。单个分包因质疑、投诉、废标导致评审结果变更的，不影响其他分包评审及成交结果效力。联合体视为单一供应商主体，适用本 “多投单中” 规则；联合体被推荐为靠前分包第一成交候选人，则该联合体整体后续分包不再推荐为第一成交候选人，联合体内部单个成员机构不单独触发本限制。</w:t>
      </w:r>
      <w:r/>
    </w:p>
    <w:p>
      <w:pPr>
        <w:pStyle w:val="1277"/>
        <w:ind w:firstLine="480"/>
        <w:jc w:val="left"/>
        <w:spacing w:line="360" w:lineRule="auto"/>
        <w:rPr>
          <w:rFonts w:hint="eastAsia" w:ascii="宋体" w:hAnsi="宋体" w:cs="宋体"/>
          <w:bCs/>
          <w:color w:val="0000ff"/>
          <w:sz w:val="24"/>
        </w:rPr>
      </w:pPr>
      <w:r>
        <w:rPr>
          <w:rFonts w:hint="eastAsia" w:ascii="宋体" w:hAnsi="宋体" w:cs="宋体"/>
          <w:bCs/>
          <w:color w:val="0000ff"/>
          <w:sz w:val="24"/>
        </w:rPr>
        <w:t xml:space="preserve">（二）付款方式</w:t>
      </w:r>
      <w:r/>
    </w:p>
    <w:p>
      <w:pPr>
        <w:pStyle w:val="1277"/>
        <w:ind w:firstLine="480"/>
        <w:jc w:val="left"/>
        <w:spacing w:line="360" w:lineRule="auto"/>
        <w:rPr>
          <w:rFonts w:hint="eastAsia" w:ascii="宋体" w:hAnsi="宋体" w:cs="宋体"/>
          <w:bCs/>
          <w:color w:val="0000ff"/>
          <w:sz w:val="24"/>
        </w:rPr>
      </w:pPr>
      <w:r>
        <w:rPr>
          <w:rFonts w:hint="eastAsia" w:ascii="宋体" w:hAnsi="宋体" w:cs="宋体"/>
          <w:bCs/>
          <w:color w:val="0000ff"/>
          <w:sz w:val="24"/>
        </w:rPr>
        <w:t xml:space="preserve">1、</w:t>
      </w:r>
      <w:r>
        <w:rPr>
          <w:rFonts w:hint="eastAsia" w:ascii="宋体" w:hAnsi="宋体" w:cs="宋体"/>
          <w:color w:val="0000ff"/>
          <w:sz w:val="24"/>
          <w:szCs w:val="24"/>
          <w:highlight w:val="none"/>
          <w:lang w:val="en-US" w:eastAsia="zh-CN" w:bidi="ar-SA"/>
        </w:rPr>
        <w:t xml:space="preserve">预付款：</w:t>
      </w:r>
      <w:r>
        <w:rPr>
          <w:rFonts w:hint="eastAsia" w:ascii="宋体" w:hAnsi="宋体" w:eastAsia="宋体" w:cs="宋体"/>
          <w:color w:val="0000ff"/>
          <w:sz w:val="24"/>
          <w:szCs w:val="24"/>
          <w:highlight w:val="none"/>
          <w:lang w:val="en-US" w:eastAsia="zh-CN" w:bidi="ar-SA"/>
        </w:rPr>
        <w:t xml:space="preserve">合同签订生效，成交供应商提交合规票据后10个工作日内，</w:t>
      </w:r>
      <w:r>
        <w:rPr>
          <w:rFonts w:hint="eastAsia" w:ascii="宋体" w:hAnsi="宋体" w:cs="宋体"/>
          <w:color w:val="0000ff"/>
          <w:sz w:val="24"/>
          <w:szCs w:val="24"/>
          <w:highlight w:val="none"/>
          <w:lang w:val="en-US" w:eastAsia="zh-CN" w:bidi="ar-SA"/>
        </w:rPr>
        <w:t xml:space="preserve">采购人</w:t>
      </w:r>
      <w:r>
        <w:rPr>
          <w:rFonts w:hint="eastAsia" w:ascii="宋体" w:hAnsi="宋体" w:eastAsia="宋体" w:cs="宋体"/>
          <w:color w:val="0000ff"/>
          <w:sz w:val="24"/>
          <w:szCs w:val="24"/>
          <w:highlight w:val="none"/>
          <w:lang w:val="en-US" w:eastAsia="zh-CN" w:bidi="ar-SA"/>
        </w:rPr>
        <w:t xml:space="preserve">支付合同金额10%作为项目预付款。成交供应商可书面申请放弃预付款或降低预付款比例，</w:t>
      </w:r>
      <w:r>
        <w:rPr>
          <w:rFonts w:hint="eastAsia" w:ascii="宋体" w:hAnsi="宋体" w:cs="宋体"/>
          <w:color w:val="0000ff"/>
          <w:sz w:val="24"/>
          <w:szCs w:val="24"/>
          <w:highlight w:val="none"/>
          <w:lang w:val="en-US" w:eastAsia="zh-CN" w:bidi="ar-SA"/>
        </w:rPr>
        <w:t xml:space="preserve">采购人</w:t>
      </w:r>
      <w:r>
        <w:rPr>
          <w:rFonts w:hint="eastAsia" w:ascii="宋体" w:hAnsi="宋体" w:eastAsia="宋体" w:cs="宋体"/>
          <w:color w:val="0000ff"/>
          <w:sz w:val="24"/>
          <w:szCs w:val="24"/>
          <w:highlight w:val="none"/>
          <w:lang w:val="en-US" w:eastAsia="zh-CN" w:bidi="ar-SA"/>
        </w:rPr>
        <w:t xml:space="preserve">予以免付或按申请比例支付。</w:t>
      </w:r>
      <w:r/>
    </w:p>
    <w:p>
      <w:pPr>
        <w:pStyle w:val="1277"/>
        <w:ind w:firstLine="480"/>
        <w:jc w:val="left"/>
        <w:spacing w:line="360" w:lineRule="auto"/>
        <w:rPr>
          <w:rFonts w:hint="eastAsia" w:ascii="宋体" w:hAnsi="宋体" w:cs="宋体"/>
          <w:bCs/>
          <w:color w:val="0000ff"/>
          <w:sz w:val="24"/>
          <w:lang w:val="en-US" w:eastAsia="zh-CN"/>
        </w:rPr>
      </w:pPr>
      <w:r>
        <w:rPr>
          <w:rFonts w:hint="eastAsia" w:ascii="宋体" w:hAnsi="宋体" w:cs="宋体"/>
          <w:bCs/>
          <w:color w:val="0000ff"/>
          <w:sz w:val="24"/>
          <w:lang w:val="en-US" w:eastAsia="zh-CN"/>
        </w:rPr>
        <w:t xml:space="preserve">2、尾款结算：成交供应商完成合同约定全部抽检工作、提交全部成果资料、通过采购人一次性整体履约验收，采购人自收到供应商发票后10日内，采购人一次性付清剩余款项。因政策调整、任务缩减、非成交供应商原因未完成计划批次的，按实际合格完成批次据实结算。</w:t>
      </w:r>
      <w:r/>
    </w:p>
    <w:p>
      <w:pPr>
        <w:ind w:firstLine="480"/>
        <w:spacing w:line="480" w:lineRule="exact"/>
        <w:rPr>
          <w:rFonts w:hint="eastAsia" w:ascii="宋体" w:hAnsi="宋体" w:cs="宋体"/>
          <w:bCs/>
          <w:color w:val="0000ff"/>
          <w:sz w:val="24"/>
          <w:lang w:val="en-US" w:eastAsia="zh-CN"/>
        </w:rPr>
      </w:pPr>
      <w:r>
        <w:rPr>
          <w:rFonts w:hint="eastAsia" w:ascii="宋体" w:hAnsi="宋体" w:cs="宋体"/>
          <w:bCs/>
          <w:color w:val="0000ff"/>
          <w:sz w:val="24"/>
          <w:lang w:val="en-US" w:eastAsia="zh-CN"/>
        </w:rPr>
        <w:t xml:space="preserve">3、付款前置：成交供应商须先行提供合法合规、对应金额的有效发票，否则采购人有权顺延付款，不承担逾期付款责任。​</w:t>
      </w:r>
      <w:r/>
    </w:p>
    <w:p>
      <w:pPr>
        <w:ind w:firstLine="480"/>
        <w:spacing w:line="360" w:lineRule="auto"/>
        <w:rPr>
          <w:rFonts w:hint="eastAsia" w:ascii="宋体" w:hAnsi="宋体" w:cs="宋体"/>
          <w:bCs/>
          <w:color w:val="0000ff"/>
          <w:sz w:val="24"/>
          <w:lang w:val="en-US" w:eastAsia="zh-CN"/>
        </w:rPr>
      </w:pPr>
      <w:r>
        <w:rPr>
          <w:rFonts w:hint="eastAsia" w:ascii="宋体" w:hAnsi="宋体" w:cs="宋体"/>
          <w:bCs/>
          <w:color w:val="0000ff"/>
          <w:sz w:val="24"/>
          <w:lang w:val="en-US" w:eastAsia="zh-CN"/>
        </w:rPr>
        <w:t xml:space="preserve">4、本项目支持数字人民币支付，成交供应商须配合完成数字人民币收款相关流程。</w:t>
      </w:r>
      <w:r/>
    </w:p>
    <w:p>
      <w:pPr>
        <w:ind w:firstLine="480"/>
        <w:spacing w:line="360" w:lineRule="auto"/>
        <w:rPr>
          <w:rFonts w:hint="eastAsia" w:ascii="宋体" w:hAnsi="宋体" w:cs="宋体"/>
          <w:bCs/>
          <w:color w:val="auto"/>
          <w:sz w:val="24"/>
          <w:lang w:val="en-US" w:eastAsia="zh-CN"/>
        </w:rPr>
      </w:pPr>
      <w:r>
        <w:rPr>
          <w:rFonts w:hint="eastAsia" w:ascii="宋体" w:hAnsi="宋体" w:cs="宋体"/>
          <w:bCs/>
          <w:color w:val="0000ff"/>
          <w:sz w:val="24"/>
          <w:lang w:val="en-US" w:eastAsia="zh-CN"/>
        </w:rPr>
        <w:t xml:space="preserve">5、预付款抵扣：项目尾款结算时，采购人优先抵扣已支付预付款。</w:t>
      </w:r>
      <w:r/>
    </w:p>
    <w:p>
      <w:pPr>
        <w:ind w:firstLine="480"/>
        <w:spacing w:line="360" w:lineRule="auto"/>
        <w:rPr>
          <w:rFonts w:hint="eastAsia" w:ascii="新宋体" w:hAnsi="新宋体" w:eastAsia="新宋体" w:cs="新宋体"/>
          <w:color w:val="auto"/>
          <w:sz w:val="24"/>
          <w:szCs w:val="24"/>
          <w:highlight w:val="none"/>
          <w:lang w:val="en-US" w:eastAsia="zh-CN"/>
        </w:rPr>
      </w:pPr>
      <w:r>
        <w:rPr>
          <w:rFonts w:hint="eastAsia" w:ascii="新宋体" w:hAnsi="新宋体" w:eastAsia="新宋体" w:cs="新宋体"/>
          <w:color w:val="auto"/>
          <w:sz w:val="24"/>
          <w:szCs w:val="24"/>
          <w:highlight w:val="none"/>
          <w:lang w:eastAsia="zh-CN"/>
        </w:rPr>
        <w:t xml:space="preserve">（</w:t>
      </w:r>
      <w:r>
        <w:rPr>
          <w:rFonts w:hint="eastAsia" w:ascii="新宋体" w:hAnsi="新宋体" w:eastAsia="新宋体" w:cs="新宋体"/>
          <w:color w:val="auto"/>
          <w:sz w:val="24"/>
          <w:szCs w:val="24"/>
          <w:highlight w:val="none"/>
          <w:lang w:val="en-US" w:eastAsia="zh-CN"/>
        </w:rPr>
        <w:t xml:space="preserve">三</w:t>
      </w:r>
      <w:r>
        <w:rPr>
          <w:rFonts w:hint="eastAsia" w:ascii="新宋体" w:hAnsi="新宋体" w:eastAsia="新宋体" w:cs="新宋体"/>
          <w:color w:val="auto"/>
          <w:sz w:val="24"/>
          <w:szCs w:val="24"/>
          <w:highlight w:val="none"/>
          <w:lang w:eastAsia="zh-CN"/>
        </w:rPr>
        <w:t xml:space="preserve">）</w:t>
      </w:r>
      <w:r>
        <w:rPr>
          <w:rFonts w:hint="eastAsia" w:ascii="新宋体" w:hAnsi="新宋体" w:eastAsia="新宋体" w:cs="新宋体"/>
          <w:color w:val="auto"/>
          <w:sz w:val="24"/>
          <w:szCs w:val="24"/>
          <w:highlight w:val="none"/>
        </w:rPr>
        <w:t xml:space="preserve">合同履行期限：自合同签订之日起至2026年12月</w:t>
      </w:r>
      <w:r>
        <w:rPr>
          <w:rFonts w:hint="eastAsia" w:ascii="新宋体" w:hAnsi="新宋体" w:eastAsia="新宋体" w:cs="新宋体"/>
          <w:color w:val="auto"/>
          <w:sz w:val="24"/>
          <w:szCs w:val="24"/>
          <w:highlight w:val="none"/>
          <w:lang w:val="en-US" w:eastAsia="zh-CN"/>
        </w:rPr>
        <w:t xml:space="preserve">20</w:t>
      </w:r>
      <w:r>
        <w:rPr>
          <w:rFonts w:hint="eastAsia" w:ascii="新宋体" w:hAnsi="新宋体" w:eastAsia="新宋体" w:cs="新宋体"/>
          <w:color w:val="auto"/>
          <w:sz w:val="24"/>
          <w:szCs w:val="24"/>
          <w:highlight w:val="none"/>
        </w:rPr>
        <w:t xml:space="preserve">日</w:t>
      </w:r>
      <w:r>
        <w:rPr>
          <w:rFonts w:hint="eastAsia" w:ascii="新宋体" w:hAnsi="新宋体" w:eastAsia="新宋体" w:cs="新宋体"/>
          <w:color w:val="auto"/>
          <w:sz w:val="24"/>
          <w:szCs w:val="24"/>
          <w:highlight w:val="none"/>
          <w:lang w:eastAsia="zh-CN"/>
        </w:rPr>
        <w:t xml:space="preserve">。</w:t>
      </w:r>
      <w:r/>
    </w:p>
    <w:p>
      <w:pPr>
        <w:pStyle w:val="1277"/>
        <w:ind w:firstLine="480"/>
        <w:jc w:val="left"/>
        <w:spacing w:line="360" w:lineRule="auto"/>
        <w:rPr>
          <w:rFonts w:hint="eastAsia" w:ascii="宋体" w:hAnsi="宋体" w:cs="宋体"/>
          <w:bCs/>
          <w:color w:val="auto"/>
          <w:sz w:val="24"/>
        </w:rPr>
      </w:pPr>
      <w:r>
        <w:rPr>
          <w:rFonts w:hint="eastAsia" w:ascii="宋体" w:hAnsi="宋体" w:cs="宋体"/>
          <w:bCs/>
          <w:color w:val="auto"/>
          <w:sz w:val="24"/>
        </w:rPr>
        <w:t xml:space="preserve">（四）服务地点：采购人指定</w:t>
      </w:r>
      <w:r>
        <w:rPr>
          <w:rFonts w:hint="eastAsia" w:ascii="宋体" w:hAnsi="宋体" w:cs="宋体"/>
          <w:bCs/>
          <w:color w:val="auto"/>
          <w:sz w:val="24"/>
          <w:lang w:val="en-US" w:eastAsia="zh-CN"/>
        </w:rPr>
        <w:t xml:space="preserve">区域</w:t>
      </w:r>
      <w:r>
        <w:rPr>
          <w:rFonts w:hint="eastAsia" w:ascii="宋体" w:hAnsi="宋体" w:cs="宋体"/>
          <w:bCs/>
          <w:color w:val="auto"/>
          <w:sz w:val="24"/>
        </w:rPr>
        <w:t xml:space="preserve">。</w:t>
      </w:r>
      <w:r/>
    </w:p>
    <w:p>
      <w:pPr>
        <w:pStyle w:val="705"/>
        <w:ind w:left="0" w:right="0" w:firstLine="723"/>
        <w:keepLines w:val="0"/>
        <w:keepNext w:val="0"/>
        <w:pageBreakBefore w:val="0"/>
        <w:spacing w:before="0" w:beforeAutospacing="0" w:line="360" w:lineRule="auto"/>
        <w:widowControl/>
        <w:rPr>
          <w:rFonts w:hint="default" w:ascii="宋体" w:hAnsi="宋体" w:eastAsia="宋体" w:cs="宋体"/>
          <w:b/>
          <w:color w:val="auto"/>
          <w:lang w:val="en-US" w:eastAsia="zh-CN" w:bidi="ar-SA"/>
        </w:rPr>
        <w:outlineLvl w:val="9"/>
        <w:suppressLineNumbers w:val="0"/>
      </w:pPr>
      <w:r>
        <w:rPr>
          <w:rFonts w:hint="eastAsia" w:ascii="宋体" w:hAnsi="宋体" w:eastAsia="宋体" w:cs="宋体"/>
          <w:b/>
          <w:color w:val="auto"/>
          <w:lang w:val="en-US" w:bidi="ar-SA"/>
        </w:rPr>
        <w:t xml:space="preserve">二</w:t>
      </w:r>
      <w:r>
        <w:rPr>
          <w:rFonts w:hint="eastAsia" w:ascii="宋体" w:hAnsi="宋体" w:eastAsia="宋体" w:cs="宋体"/>
          <w:b/>
          <w:color w:val="auto"/>
          <w:lang w:bidi="ar-SA"/>
        </w:rPr>
        <w:t xml:space="preserve">、</w:t>
      </w:r>
      <w:r>
        <w:rPr>
          <w:rFonts w:hint="eastAsia" w:ascii="宋体" w:hAnsi="宋体" w:eastAsia="宋体" w:cs="宋体"/>
          <w:b/>
          <w:color w:val="auto"/>
          <w:lang w:val="en-US" w:bidi="ar-SA"/>
        </w:rPr>
        <w:t xml:space="preserve">采购清单</w:t>
      </w:r>
      <w:r>
        <w:rPr>
          <w:rFonts w:hint="eastAsia" w:ascii="宋体" w:hAnsi="宋体" w:eastAsia="宋体" w:cs="宋体"/>
          <w:b/>
          <w:color w:val="ff0000"/>
          <w:lang w:val="en-US" w:eastAsia="zh-CN" w:bidi="ar-SA"/>
        </w:rPr>
        <w:t xml:space="preserve">（★采购清单内容供应商须作为一个整体完全响应本分包全部清单内容，不得删减、舍弃清单内任何产品及检测服务内容，未能完全响应的作无效标处理）</w:t>
      </w:r>
      <w:r>
        <w:rPr>
          <w:rFonts w:hint="eastAsia" w:ascii="宋体" w:hAnsi="宋体" w:eastAsia="宋体" w:cs="宋体"/>
          <w:b/>
          <w:color w:val="ff0000"/>
          <w:lang w:val="en-US" w:eastAsia="zh-CN" w:bidi="ar-SA"/>
        </w:rPr>
        <w:br/>
      </w:r>
      <w:r>
        <w:rPr>
          <w:rFonts w:hint="eastAsia" w:cs="宋体"/>
          <w:b/>
          <w:color w:val="ff0000"/>
          <w:lang w:val="en-US" w:eastAsia="zh-CN" w:bidi="ar-SA"/>
        </w:rPr>
        <w:t xml:space="preserve">  </w:t>
      </w:r>
      <w:r>
        <w:rPr>
          <w:rFonts w:hint="eastAsia" w:ascii="宋体" w:hAnsi="宋体" w:eastAsia="宋体" w:cs="宋体"/>
          <w:b/>
          <w:color w:val="auto"/>
          <w:lang w:val="en-US" w:eastAsia="zh-CN" w:bidi="ar-SA"/>
        </w:rPr>
        <w:t xml:space="preserve">（一）分包一：</w:t>
      </w:r>
      <w:r>
        <w:rPr>
          <w:rFonts w:hint="eastAsia" w:ascii="宋体" w:hAnsi="宋体" w:eastAsia="宋体" w:cs="宋体"/>
          <w:b w:val="0"/>
          <w:bCs w:val="0"/>
          <w:color w:val="auto"/>
          <w:sz w:val="24"/>
          <w:szCs w:val="24"/>
          <w:lang w:val="en-US" w:eastAsia="zh-CN" w:bidi="ar-SA"/>
        </w:rPr>
        <w:t xml:space="preserve">电动自行车、食品相关产品、儿童学生用品、老年产品、小家电等民用产品抽样检验和技术分析服务，计划抽查234批次。</w:t>
      </w:r>
      <w:r/>
    </w:p>
    <w:tbl>
      <w:tblPr>
        <w:tblStyle w:val="678"/>
        <w:tblW w:w="9616" w:type="dxa"/>
        <w:tblInd w:w="-272"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51"/>
        <w:gridCol w:w="879"/>
        <w:gridCol w:w="913"/>
        <w:gridCol w:w="2648"/>
        <w:gridCol w:w="2799"/>
        <w:gridCol w:w="775"/>
        <w:gridCol w:w="951"/>
      </w:tblGrid>
      <w:tr>
        <w:trPr>
          <w:trHeight w:val="90"/>
        </w:trPr>
        <w:tc>
          <w:tcPr>
            <w:shd w:val="clear" w:color="auto" w:fill="c7daf1" w:themeFill="text2" w:themeFillTint="32"/>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序号</w:t>
            </w:r>
            <w:r/>
          </w:p>
        </w:tc>
        <w:tc>
          <w:tcPr>
            <w:shd w:val="clear" w:color="auto" w:fill="c7daf1" w:themeFill="text2" w:themeFillTint="32"/>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类别</w:t>
            </w:r>
            <w:r/>
          </w:p>
        </w:tc>
        <w:tc>
          <w:tcPr>
            <w:shd w:val="clear" w:color="auto" w:fill="c7daf1" w:themeFill="text2" w:themeFillTint="32"/>
            <w:tcBorders>
              <w:top w:val="single" w:color="000000" w:sz="4" w:space="0"/>
              <w:left w:val="single" w:color="000000" w:sz="4" w:space="0"/>
              <w:bottom w:val="single" w:color="000000" w:sz="4" w:space="0"/>
              <w:right w:val="single" w:color="000000" w:sz="4" w:space="0"/>
            </w:tcBorders>
            <w:tcW w:w="91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名称</w:t>
            </w:r>
            <w:r/>
          </w:p>
        </w:tc>
        <w:tc>
          <w:tcPr>
            <w:shd w:val="clear" w:color="auto" w:fill="c7daf1" w:themeFill="text2" w:themeFillTint="32"/>
            <w:tcBorders>
              <w:top w:val="single" w:color="000000" w:sz="4" w:space="0"/>
              <w:left w:val="single" w:color="000000" w:sz="4" w:space="0"/>
              <w:bottom w:val="single" w:color="000000" w:sz="4" w:space="0"/>
              <w:right w:val="single" w:color="000000" w:sz="4" w:space="0"/>
            </w:tcBorders>
            <w:tcW w:w="2648"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产品检测标准</w:t>
            </w:r>
            <w:r/>
          </w:p>
        </w:tc>
        <w:tc>
          <w:tcPr>
            <w:shd w:val="clear" w:color="auto" w:fill="c7daf1" w:themeFill="text2" w:themeFillTint="32"/>
            <w:tcBorders>
              <w:top w:val="single" w:color="000000" w:sz="4" w:space="0"/>
              <w:left w:val="single" w:color="000000" w:sz="4" w:space="0"/>
              <w:bottom w:val="single" w:color="000000" w:sz="4" w:space="0"/>
              <w:right w:val="single" w:color="000000" w:sz="4" w:space="0"/>
            </w:tcBorders>
            <w:tcW w:w="2799"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产品检测项目</w:t>
            </w:r>
            <w:r/>
          </w:p>
        </w:tc>
        <w:tc>
          <w:tcPr>
            <w:shd w:val="clear" w:color="auto" w:fill="c7daf1" w:themeFill="text2" w:themeFillTint="32"/>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b w:val="0"/>
                <w:bCs w:val="0"/>
                <w:i w:val="0"/>
                <w:iCs w:val="0"/>
                <w:color w:val="auto"/>
                <w:sz w:val="21"/>
                <w:szCs w:val="21"/>
                <w:u w:val="none"/>
                <w:lang w:val="en-US" w:eastAsia="zh-CN" w:bidi="ar"/>
              </w:rPr>
              <w:suppressLineNumbers w:val="0"/>
            </w:pPr>
            <w:r>
              <w:rPr>
                <w:rFonts w:hint="eastAsia" w:ascii="宋体" w:hAnsi="宋体" w:cs="宋体"/>
                <w:b w:val="0"/>
                <w:bCs w:val="0"/>
                <w:i w:val="0"/>
                <w:iCs w:val="0"/>
                <w:color w:val="auto"/>
                <w:sz w:val="21"/>
                <w:szCs w:val="21"/>
                <w:u w:val="none"/>
                <w:lang w:val="en-US" w:eastAsia="zh-CN" w:bidi="ar"/>
              </w:rPr>
              <w:t xml:space="preserve">单位</w:t>
            </w:r>
            <w:r/>
          </w:p>
        </w:tc>
        <w:tc>
          <w:tcPr>
            <w:shd w:val="clear" w:color="auto" w:fill="c7daf1" w:themeFill="text2" w:themeFillTint="32"/>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b w:val="0"/>
                <w:bCs w:val="0"/>
                <w:i w:val="0"/>
                <w:iCs w:val="0"/>
                <w:color w:val="auto"/>
                <w:sz w:val="21"/>
                <w:szCs w:val="21"/>
                <w:u w:val="none"/>
                <w:lang w:val="en-US" w:eastAsia="zh-CN" w:bidi="ar"/>
              </w:rPr>
              <w:suppressLineNumbers w:val="0"/>
            </w:pPr>
            <w:r>
              <w:rPr>
                <w:rFonts w:hint="eastAsia" w:ascii="宋体" w:hAnsi="宋体" w:cs="宋体"/>
                <w:b w:val="0"/>
                <w:bCs w:val="0"/>
                <w:i w:val="0"/>
                <w:iCs w:val="0"/>
                <w:color w:val="auto"/>
                <w:sz w:val="21"/>
                <w:szCs w:val="21"/>
                <w:u w:val="none"/>
                <w:lang w:val="en-US" w:eastAsia="zh-CN" w:bidi="ar"/>
              </w:rPr>
              <w:t xml:space="preserve">数量</w:t>
            </w:r>
            <w:r/>
          </w:p>
        </w:tc>
      </w:tr>
      <w:tr>
        <w:trPr>
          <w:trHeight w:val="1680"/>
        </w:trPr>
        <w:tc>
          <w:tcPr>
            <w:shd w:val="clear" w:color="auto" w:fill="auto"/>
            <w:tcBorders>
              <w:top w:val="single" w:color="000000" w:sz="4" w:space="0"/>
              <w:left w:val="single" w:color="000000" w:sz="4" w:space="0"/>
              <w:bottom w:val="single" w:color="000000" w:sz="4" w:space="0"/>
              <w:right w:val="single" w:color="000000" w:sz="4" w:space="0"/>
            </w:tcBorders>
            <w:tcW w:w="651"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电动自行车及其相关产品</w:t>
            </w:r>
            <w:r/>
          </w:p>
        </w:tc>
        <w:tc>
          <w:tcPr>
            <w:shd w:val="clear" w:color="auto" w:fill="auto"/>
            <w:tcBorders>
              <w:top w:val="single" w:color="000000" w:sz="4" w:space="0"/>
              <w:left w:val="single" w:color="000000" w:sz="4" w:space="0"/>
              <w:bottom w:val="single" w:color="000000" w:sz="4" w:space="0"/>
              <w:right w:val="single" w:color="000000" w:sz="4" w:space="0"/>
            </w:tcBorders>
            <w:tcW w:w="91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电动自行车</w:t>
            </w:r>
            <w:r/>
          </w:p>
        </w:tc>
        <w:tc>
          <w:tcPr>
            <w:shd w:val="clear" w:color="auto" w:fill="auto"/>
            <w:tcBorders>
              <w:top w:val="single" w:color="000000" w:sz="4" w:space="0"/>
              <w:left w:val="single" w:color="000000" w:sz="4" w:space="0"/>
              <w:bottom w:val="single" w:color="000000" w:sz="4" w:space="0"/>
              <w:right w:val="single" w:color="000000" w:sz="4" w:space="0"/>
            </w:tcBorders>
            <w:tcW w:w="2648"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b w:val="0"/>
                <w:bCs w:val="0"/>
                <w:color w:val="auto"/>
                <w:lang w:val="en-US" w:eastAsia="zh-CN"/>
              </w:rPr>
              <w:suppressLineNumbers w:val="0"/>
            </w:pPr>
            <w:r>
              <w:rPr>
                <w:rFonts w:hint="eastAsia" w:ascii="宋体" w:hAnsi="宋体" w:eastAsia="宋体" w:cs="宋体"/>
                <w:b w:val="0"/>
                <w:bCs w:val="0"/>
                <w:color w:val="auto"/>
                <w:lang w:val="en-US" w:eastAsia="zh-CN"/>
              </w:rPr>
              <w:t xml:space="preserve">1、《电动自行车安全技术规范》GB 17761—2024；</w:t>
            </w:r>
            <w:r/>
          </w:p>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color w:val="auto"/>
                <w:lang w:val="en-US" w:eastAsia="zh-CN"/>
              </w:rPr>
              <w:t xml:space="preserve">2、《电动自行车电气安全要求及第1号修改单》GB 42295—2022。</w:t>
            </w:r>
            <w:r/>
          </w:p>
        </w:tc>
        <w:tc>
          <w:tcPr>
            <w:shd w:val="clear" w:color="auto" w:fill="auto"/>
            <w:tcBorders>
              <w:top w:val="single" w:color="000000" w:sz="4" w:space="0"/>
              <w:left w:val="single" w:color="000000" w:sz="4" w:space="0"/>
              <w:bottom w:val="single" w:color="000000" w:sz="4" w:space="0"/>
              <w:right w:val="single" w:color="000000" w:sz="4" w:space="0"/>
            </w:tcBorders>
            <w:tcW w:w="2799"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整车质量 、尺寸限值 、结构 、车速限值、车速提示音 、电气装置 、制动性能、铭牌 、塑料占比、电池组防篡改 、控制器防篡改 、限速器防篡改 、标识与警示语 、互认协同充电、短路防护。</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b w:val="0"/>
                <w:bCs w:val="0"/>
                <w:i w:val="0"/>
                <w:iCs w:val="0"/>
                <w:color w:val="auto"/>
                <w:sz w:val="21"/>
                <w:szCs w:val="21"/>
                <w:u w:val="none"/>
                <w:lang w:val="en-US" w:eastAsia="zh-CN" w:bidi="ar"/>
              </w:rPr>
              <w:suppressLineNumbers w:val="0"/>
            </w:pPr>
            <w:r>
              <w:rPr>
                <w:rFonts w:hint="eastAsia" w:ascii="宋体" w:hAnsi="宋体" w:cs="宋体"/>
                <w:b w:val="0"/>
                <w:bCs w:val="0"/>
                <w:i w:val="0"/>
                <w:iCs w:val="0"/>
                <w:color w:val="auto"/>
                <w:sz w:val="21"/>
                <w:szCs w:val="21"/>
                <w:u w:val="none"/>
                <w:lang w:val="en-US" w:eastAsia="zh-CN" w:bidi="ar"/>
              </w:rPr>
              <w:t xml:space="preserve">批次</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30</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锂离子蓄电池</w:t>
            </w:r>
            <w:r/>
          </w:p>
        </w:tc>
        <w:tc>
          <w:tcPr>
            <w:shd w:val="clear" w:color="auto" w:fill="auto"/>
            <w:tcBorders>
              <w:top w:val="single" w:color="000000" w:sz="4" w:space="0"/>
              <w:left w:val="single" w:color="000000" w:sz="4" w:space="0"/>
              <w:bottom w:val="single" w:color="000000" w:sz="4" w:space="0"/>
              <w:right w:val="single" w:color="000000" w:sz="4" w:space="0"/>
            </w:tcBorders>
            <w:tcW w:w="2648"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《电动自行车用锂离子蓄电池安全技术规范》GB 43854—2024。</w:t>
            </w:r>
            <w:r/>
          </w:p>
        </w:tc>
        <w:tc>
          <w:tcPr>
            <w:shd w:val="clear" w:color="auto" w:fill="auto"/>
            <w:tcBorders>
              <w:top w:val="single" w:color="000000" w:sz="4" w:space="0"/>
              <w:left w:val="single" w:color="000000" w:sz="4" w:space="0"/>
              <w:bottom w:val="single" w:color="000000" w:sz="4" w:space="0"/>
              <w:right w:val="single" w:color="000000" w:sz="4" w:space="0"/>
            </w:tcBorders>
            <w:tcW w:w="2799"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I2(A)放电、过充电、过放电、外部短路、温度保护。</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cs="宋体"/>
                <w:b w:val="0"/>
                <w:bCs w:val="0"/>
                <w:i w:val="0"/>
                <w:iCs w:val="0"/>
                <w:color w:val="auto"/>
                <w:sz w:val="21"/>
                <w:szCs w:val="21"/>
                <w:u w:val="none"/>
                <w:lang w:val="en-US" w:eastAsia="zh-CN" w:bidi="ar"/>
              </w:rPr>
              <w:t xml:space="preserve">批次</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10</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电动自行车用充电器</w:t>
            </w:r>
            <w:r/>
          </w:p>
        </w:tc>
        <w:tc>
          <w:tcPr>
            <w:shd w:val="clear" w:color="auto" w:fill="auto"/>
            <w:tcBorders>
              <w:top w:val="single" w:color="000000" w:sz="4" w:space="0"/>
              <w:left w:val="single" w:color="000000" w:sz="4" w:space="0"/>
              <w:bottom w:val="single" w:color="000000" w:sz="4" w:space="0"/>
              <w:right w:val="single" w:color="000000" w:sz="4" w:space="0"/>
            </w:tcBorders>
            <w:tcW w:w="2648"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color w:val="auto"/>
                <w:lang w:val="en-US" w:eastAsia="zh-CN"/>
              </w:rPr>
              <w:t xml:space="preserve">《电动自行车用充电器安全技术要求及第1号修改单》GB 42296—2022。</w:t>
            </w:r>
            <w:r/>
          </w:p>
        </w:tc>
        <w:tc>
          <w:tcPr>
            <w:shd w:val="clear" w:color="auto" w:fill="auto"/>
            <w:tcBorders>
              <w:top w:val="single" w:color="000000" w:sz="4" w:space="0"/>
              <w:left w:val="single" w:color="000000" w:sz="4" w:space="0"/>
              <w:bottom w:val="single" w:color="000000" w:sz="4" w:space="0"/>
              <w:right w:val="single" w:color="000000" w:sz="4" w:space="0"/>
            </w:tcBorders>
            <w:tcW w:w="2799"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编码，外壳冲击、工作温度下的泄漏电流、电气强度、防触电保护。</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cs="宋体"/>
                <w:b w:val="0"/>
                <w:bCs w:val="0"/>
                <w:i w:val="0"/>
                <w:iCs w:val="0"/>
                <w:color w:val="auto"/>
                <w:sz w:val="21"/>
                <w:szCs w:val="21"/>
                <w:u w:val="none"/>
                <w:lang w:val="en-US" w:eastAsia="zh-CN" w:bidi="ar"/>
              </w:rPr>
              <w:t xml:space="preserve">批次</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10</w:t>
            </w:r>
            <w:r/>
          </w:p>
        </w:tc>
      </w:tr>
      <w:tr>
        <w:trPr>
          <w:trHeight w:val="948"/>
        </w:trPr>
        <w:tc>
          <w:tcPr>
            <w:shd w:val="clear" w:color="auto" w:fill="auto"/>
            <w:tcBorders>
              <w:top w:val="single" w:color="000000" w:sz="4" w:space="0"/>
              <w:left w:val="single" w:color="000000" w:sz="4" w:space="0"/>
              <w:bottom w:val="single" w:color="000000" w:sz="4" w:space="0"/>
              <w:right w:val="single" w:color="000000" w:sz="4" w:space="0"/>
            </w:tcBorders>
            <w:tcW w:w="651"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食品相关产品</w:t>
            </w:r>
            <w:r/>
          </w:p>
        </w:tc>
        <w:tc>
          <w:tcPr>
            <w:shd w:val="clear" w:color="auto" w:fill="auto"/>
            <w:tcBorders>
              <w:top w:val="single" w:color="000000" w:sz="4" w:space="0"/>
              <w:left w:val="single" w:color="000000" w:sz="4" w:space="0"/>
              <w:bottom w:val="single" w:color="000000" w:sz="4" w:space="0"/>
              <w:right w:val="single" w:color="000000" w:sz="4" w:space="0"/>
            </w:tcBorders>
            <w:tcW w:w="91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一次性餐饮具</w:t>
            </w:r>
            <w:r/>
          </w:p>
        </w:tc>
        <w:tc>
          <w:tcPr>
            <w:shd w:val="clear" w:color="auto" w:fill="auto"/>
            <w:tcBorders>
              <w:top w:val="single" w:color="000000" w:sz="4" w:space="0"/>
              <w:left w:val="single" w:color="000000" w:sz="4" w:space="0"/>
              <w:bottom w:val="single" w:color="000000" w:sz="4" w:space="0"/>
              <w:right w:val="single" w:color="000000" w:sz="4" w:space="0"/>
            </w:tcBorders>
            <w:tcW w:w="2648"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b w:val="0"/>
                <w:bCs w:val="0"/>
                <w:color w:val="auto"/>
              </w:rPr>
              <w:suppressLineNumbers w:val="0"/>
            </w:pPr>
            <w:r>
              <w:rPr>
                <w:rFonts w:hint="eastAsia" w:ascii="宋体" w:hAnsi="宋体" w:eastAsia="宋体" w:cs="宋体"/>
                <w:b w:val="0"/>
                <w:bCs w:val="0"/>
                <w:color w:val="auto"/>
              </w:rPr>
              <w:t xml:space="preserve">1、《食品安全国家标准 食品接触材料及制品通用安全要求》GB 4806.1-2016；</w:t>
            </w:r>
            <w:r/>
          </w:p>
          <w:p>
            <w:pPr>
              <w:ind w:left="0" w:right="0"/>
              <w:keepLines w:val="0"/>
              <w:keepNext w:val="0"/>
              <w:spacing w:before="0" w:beforeAutospacing="0" w:after="0" w:afterAutospacing="0"/>
              <w:rPr>
                <w:rFonts w:hint="eastAsia" w:ascii="宋体" w:hAnsi="宋体" w:eastAsia="宋体" w:cs="宋体"/>
                <w:b w:val="0"/>
                <w:bCs w:val="0"/>
                <w:color w:val="auto"/>
              </w:rPr>
              <w:suppressLineNumbers w:val="0"/>
            </w:pPr>
            <w:r>
              <w:rPr>
                <w:rFonts w:hint="eastAsia" w:ascii="宋体" w:hAnsi="宋体" w:eastAsia="宋体" w:cs="宋体"/>
                <w:b w:val="0"/>
                <w:bCs w:val="0"/>
                <w:color w:val="auto"/>
              </w:rPr>
              <w:t xml:space="preserve">2、《食品安全国家标准 食品接触用塑料树脂》GB 4806.6-2016；</w:t>
            </w:r>
            <w:r/>
          </w:p>
          <w:p>
            <w:pPr>
              <w:ind w:left="0" w:right="0"/>
              <w:keepLines w:val="0"/>
              <w:keepNext w:val="0"/>
              <w:spacing w:before="0" w:beforeAutospacing="0" w:after="0" w:afterAutospacing="0"/>
              <w:rPr>
                <w:rFonts w:hint="eastAsia" w:ascii="宋体" w:hAnsi="宋体" w:eastAsia="宋体" w:cs="宋体"/>
                <w:b w:val="0"/>
                <w:bCs w:val="0"/>
                <w:color w:val="auto"/>
              </w:rPr>
              <w:suppressLineNumbers w:val="0"/>
            </w:pPr>
            <w:r>
              <w:rPr>
                <w:rFonts w:hint="eastAsia" w:ascii="宋体" w:hAnsi="宋体" w:eastAsia="宋体" w:cs="宋体"/>
                <w:b w:val="0"/>
                <w:bCs w:val="0"/>
                <w:color w:val="auto"/>
              </w:rPr>
              <w:t xml:space="preserve">3、《食品安全国家标准 食品接触用塑料材料及制品》GB 4806.7-2023；</w:t>
            </w:r>
            <w:r/>
          </w:p>
          <w:p>
            <w:pPr>
              <w:ind w:left="0" w:right="0"/>
              <w:keepLines w:val="0"/>
              <w:keepNext w:val="0"/>
              <w:spacing w:before="0" w:beforeAutospacing="0" w:after="0" w:afterAutospacing="0"/>
              <w:rPr>
                <w:rFonts w:hint="eastAsia" w:ascii="宋体" w:hAnsi="宋体" w:eastAsia="宋体" w:cs="宋体"/>
                <w:b w:val="0"/>
                <w:bCs w:val="0"/>
                <w:color w:val="auto"/>
              </w:rPr>
              <w:suppressLineNumbers w:val="0"/>
            </w:pPr>
            <w:r>
              <w:rPr>
                <w:rFonts w:hint="eastAsia" w:ascii="宋体" w:hAnsi="宋体" w:eastAsia="宋体" w:cs="宋体"/>
                <w:b w:val="0"/>
                <w:bCs w:val="0"/>
                <w:color w:val="auto"/>
              </w:rPr>
              <w:t xml:space="preserve">4、《食品安全国家标准 食品接触材料及制品总迁移量的测定》GB 31604.8-2021；</w:t>
            </w:r>
            <w:r/>
          </w:p>
          <w:p>
            <w:pPr>
              <w:ind w:left="0" w:right="0"/>
              <w:keepLines w:val="0"/>
              <w:keepNext w:val="0"/>
              <w:spacing w:before="0" w:beforeAutospacing="0" w:after="0" w:afterAutospacing="0"/>
              <w:rPr>
                <w:rFonts w:hint="eastAsia" w:ascii="宋体" w:hAnsi="宋体" w:eastAsia="宋体" w:cs="宋体"/>
                <w:b w:val="0"/>
                <w:bCs w:val="0"/>
                <w:color w:val="auto"/>
              </w:rPr>
              <w:suppressLineNumbers w:val="0"/>
            </w:pPr>
            <w:r>
              <w:rPr>
                <w:rFonts w:hint="eastAsia" w:ascii="宋体" w:hAnsi="宋体" w:eastAsia="宋体" w:cs="宋体"/>
                <w:b w:val="0"/>
                <w:bCs w:val="0"/>
                <w:color w:val="auto"/>
              </w:rPr>
              <w:t xml:space="preserve">5、《食品安全国家标准 食品接触材料及制品高锰酸钾消耗量的测定》GB 31604.2-2016；</w:t>
            </w:r>
            <w:r/>
          </w:p>
          <w:p>
            <w:pPr>
              <w:ind w:left="0" w:right="0"/>
              <w:keepLines w:val="0"/>
              <w:keepNext w:val="0"/>
              <w:spacing w:before="0" w:beforeAutospacing="0" w:after="0" w:afterAutospacing="0"/>
              <w:rPr>
                <w:rFonts w:hint="eastAsia" w:ascii="宋体" w:hAnsi="宋体" w:eastAsia="宋体" w:cs="宋体"/>
                <w:b w:val="0"/>
                <w:bCs w:val="0"/>
                <w:color w:val="auto"/>
              </w:rPr>
              <w:suppressLineNumbers w:val="0"/>
            </w:pPr>
            <w:r>
              <w:rPr>
                <w:rFonts w:hint="eastAsia" w:ascii="宋体" w:hAnsi="宋体" w:eastAsia="宋体" w:cs="宋体"/>
                <w:b w:val="0"/>
                <w:bCs w:val="0"/>
                <w:color w:val="auto"/>
              </w:rPr>
              <w:t xml:space="preserve">6、《食品安全国家标准 食品接触材料及制品食品模拟物中重金属的测定》GB 31604.9-2016；</w:t>
            </w:r>
            <w:r/>
          </w:p>
          <w:p>
            <w:pPr>
              <w:ind w:left="0" w:right="0"/>
              <w:keepLines w:val="0"/>
              <w:keepNext w:val="0"/>
              <w:spacing w:before="0" w:beforeAutospacing="0" w:after="0" w:afterAutospacing="0"/>
              <w:rPr>
                <w:rFonts w:hint="eastAsia" w:ascii="宋体" w:hAnsi="宋体" w:eastAsia="宋体" w:cs="宋体"/>
                <w:b w:val="0"/>
                <w:bCs w:val="0"/>
                <w:color w:val="auto"/>
              </w:rPr>
              <w:suppressLineNumbers w:val="0"/>
            </w:pPr>
            <w:r>
              <w:rPr>
                <w:rFonts w:hint="eastAsia" w:ascii="宋体" w:hAnsi="宋体" w:eastAsia="宋体" w:cs="宋体"/>
                <w:b w:val="0"/>
                <w:bCs w:val="0"/>
                <w:color w:val="auto"/>
              </w:rPr>
              <w:t xml:space="preserve">7、《食品安全国家标准 食品接触材料及制品脱色试验》GB 31604.7-2023；</w:t>
            </w:r>
            <w:r/>
          </w:p>
          <w:p>
            <w:pPr>
              <w:ind w:left="0" w:right="0"/>
              <w:keepLines w:val="0"/>
              <w:keepNext w:val="0"/>
              <w:spacing w:before="0" w:beforeAutospacing="0" w:after="0" w:afterAutospacing="0"/>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color w:val="auto"/>
              </w:rPr>
              <w:t xml:space="preserve">8、《食品安全国家标准 食品接触材料及制品芳香族伯胺迁移量的测定》GB 31604.52-2021。</w:t>
            </w:r>
            <w:r/>
          </w:p>
        </w:tc>
        <w:tc>
          <w:tcPr>
            <w:shd w:val="clear" w:color="auto" w:fill="auto"/>
            <w:tcBorders>
              <w:top w:val="single" w:color="000000" w:sz="4" w:space="0"/>
              <w:left w:val="single" w:color="000000" w:sz="4" w:space="0"/>
              <w:bottom w:val="single" w:color="000000" w:sz="4" w:space="0"/>
              <w:right w:val="single" w:color="000000" w:sz="4" w:space="0"/>
            </w:tcBorders>
            <w:tcW w:w="2799"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感官要求、浸泡液、脱色试验、总迁移量、高锰酸钾消耗量、重金属（以Pb计）、标签标识、芳香族伯胺迁移总量。</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cs="宋体"/>
                <w:b w:val="0"/>
                <w:bCs w:val="0"/>
                <w:i w:val="0"/>
                <w:iCs w:val="0"/>
                <w:color w:val="auto"/>
                <w:sz w:val="21"/>
                <w:szCs w:val="21"/>
                <w:u w:val="none"/>
                <w:lang w:val="en-US" w:eastAsia="zh-CN" w:bidi="ar"/>
              </w:rPr>
              <w:t xml:space="preserve">批次</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20</w:t>
            </w:r>
            <w:r/>
          </w:p>
        </w:tc>
      </w:tr>
      <w:tr>
        <w:trPr>
          <w:trHeight w:val="1269"/>
        </w:trPr>
        <w:tc>
          <w:tcPr>
            <w:shd w:val="clear" w:color="auto" w:fill="auto"/>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婴幼儿用塑料奶瓶和奶嘴</w:t>
            </w:r>
            <w:r/>
          </w:p>
        </w:tc>
        <w:tc>
          <w:tcPr>
            <w:shd w:val="clear" w:color="auto" w:fill="auto"/>
            <w:tcBorders>
              <w:top w:val="single" w:color="000000" w:sz="4" w:space="0"/>
              <w:left w:val="single" w:color="000000" w:sz="4" w:space="0"/>
              <w:bottom w:val="single" w:color="000000" w:sz="4" w:space="0"/>
              <w:right w:val="single" w:color="000000" w:sz="4" w:space="0"/>
            </w:tcBorders>
            <w:tcW w:w="2648"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b w:val="0"/>
                <w:bCs w:val="0"/>
                <w:color w:val="auto"/>
              </w:rPr>
              <w:suppressLineNumbers w:val="0"/>
            </w:pPr>
            <w:r>
              <w:rPr>
                <w:rFonts w:hint="eastAsia" w:ascii="宋体" w:hAnsi="宋体" w:eastAsia="宋体" w:cs="宋体"/>
                <w:b w:val="0"/>
                <w:bCs w:val="0"/>
                <w:color w:val="auto"/>
              </w:rPr>
              <w:t xml:space="preserve">1、《食品安全国家标准 奶嘴》GB 4806.2-2015；</w:t>
            </w:r>
            <w:r/>
          </w:p>
          <w:p>
            <w:pPr>
              <w:ind w:left="0" w:right="0"/>
              <w:keepLines w:val="0"/>
              <w:keepNext w:val="0"/>
              <w:spacing w:before="0" w:beforeAutospacing="0" w:after="0" w:afterAutospacing="0"/>
              <w:rPr>
                <w:rFonts w:hint="eastAsia" w:ascii="宋体" w:hAnsi="宋体" w:eastAsia="宋体" w:cs="宋体"/>
                <w:b w:val="0"/>
                <w:bCs w:val="0"/>
                <w:color w:val="auto"/>
              </w:rPr>
              <w:suppressLineNumbers w:val="0"/>
            </w:pPr>
            <w:r>
              <w:rPr>
                <w:rFonts w:hint="eastAsia" w:ascii="宋体" w:hAnsi="宋体" w:eastAsia="宋体" w:cs="宋体"/>
                <w:b w:val="0"/>
                <w:bCs w:val="0"/>
                <w:color w:val="auto"/>
              </w:rPr>
              <w:t xml:space="preserve">2、《食品安全国家标准 食品接触材料及制品总迁移量的测定》GB 31604.8-2021；</w:t>
            </w:r>
            <w:r/>
          </w:p>
          <w:p>
            <w:pPr>
              <w:ind w:left="0" w:right="0"/>
              <w:keepLines w:val="0"/>
              <w:keepNext w:val="0"/>
              <w:spacing w:before="0" w:beforeAutospacing="0" w:after="0" w:afterAutospacing="0"/>
              <w:rPr>
                <w:rFonts w:hint="eastAsia" w:ascii="宋体" w:hAnsi="宋体" w:eastAsia="宋体" w:cs="宋体"/>
                <w:b w:val="0"/>
                <w:bCs w:val="0"/>
                <w:color w:val="auto"/>
              </w:rPr>
              <w:suppressLineNumbers w:val="0"/>
            </w:pPr>
            <w:r>
              <w:rPr>
                <w:rFonts w:hint="eastAsia" w:ascii="宋体" w:hAnsi="宋体" w:eastAsia="宋体" w:cs="宋体"/>
                <w:b w:val="0"/>
                <w:bCs w:val="0"/>
                <w:color w:val="auto"/>
              </w:rPr>
              <w:t xml:space="preserve">3、《食品安全国家标准 食品接触材料及制品高锰酸钾消耗量的测定》GB 31604.2-2016；</w:t>
            </w:r>
            <w:r/>
          </w:p>
          <w:p>
            <w:pPr>
              <w:ind w:left="0" w:right="0"/>
              <w:keepLines w:val="0"/>
              <w:keepNext w:val="0"/>
              <w:spacing w:before="0" w:beforeAutospacing="0" w:after="0" w:afterAutospacing="0"/>
              <w:rPr>
                <w:rFonts w:hint="eastAsia" w:ascii="宋体" w:hAnsi="宋体" w:eastAsia="宋体" w:cs="宋体"/>
                <w:b w:val="0"/>
                <w:bCs w:val="0"/>
                <w:color w:val="auto"/>
              </w:rPr>
              <w:suppressLineNumbers w:val="0"/>
            </w:pPr>
            <w:r>
              <w:rPr>
                <w:rFonts w:hint="eastAsia" w:ascii="宋体" w:hAnsi="宋体" w:eastAsia="宋体" w:cs="宋体"/>
                <w:b w:val="0"/>
                <w:bCs w:val="0"/>
                <w:color w:val="auto"/>
              </w:rPr>
              <w:t xml:space="preserve">4、《食品安全国家标准 食品接触材料及制品食品模拟物中重金属的测定》GB 31604.9-2016；</w:t>
            </w:r>
            <w:r/>
          </w:p>
          <w:p>
            <w:pPr>
              <w:ind w:left="0" w:right="0"/>
              <w:keepLines w:val="0"/>
              <w:keepNext w:val="0"/>
              <w:spacing w:before="0" w:beforeAutospacing="0" w:after="0" w:afterAutospacing="0"/>
              <w:rPr>
                <w:rFonts w:hint="eastAsia" w:ascii="宋体" w:hAnsi="宋体" w:eastAsia="宋体" w:cs="宋体"/>
                <w:b w:val="0"/>
                <w:bCs w:val="0"/>
                <w:color w:val="auto"/>
              </w:rPr>
              <w:suppressLineNumbers w:val="0"/>
            </w:pPr>
            <w:r>
              <w:rPr>
                <w:rFonts w:hint="eastAsia" w:ascii="宋体" w:hAnsi="宋体" w:eastAsia="宋体" w:cs="宋体"/>
                <w:b w:val="0"/>
                <w:bCs w:val="0"/>
                <w:color w:val="auto"/>
              </w:rPr>
              <w:t xml:space="preserve">5、《食品安全国家标准 食品接触材料及制品多元素的测定和多元素迁移量的测定》GB 31604.49-2023；</w:t>
            </w:r>
            <w:r/>
          </w:p>
          <w:p>
            <w:pPr>
              <w:ind w:left="0" w:right="0"/>
              <w:keepLines w:val="0"/>
              <w:keepNext w:val="0"/>
              <w:spacing w:before="0" w:beforeAutospacing="0" w:after="0" w:afterAutospacing="0"/>
              <w:rPr>
                <w:rFonts w:hint="eastAsia" w:ascii="宋体" w:hAnsi="宋体" w:eastAsia="宋体" w:cs="宋体"/>
                <w:b w:val="0"/>
                <w:bCs w:val="0"/>
                <w:color w:val="auto"/>
              </w:rPr>
              <w:suppressLineNumbers w:val="0"/>
            </w:pPr>
            <w:r>
              <w:rPr>
                <w:rFonts w:hint="eastAsia" w:ascii="宋体" w:hAnsi="宋体" w:eastAsia="宋体" w:cs="宋体"/>
                <w:b w:val="0"/>
                <w:bCs w:val="0"/>
                <w:color w:val="auto"/>
              </w:rPr>
              <w:t xml:space="preserve">6、《婴幼儿安抚奶嘴安全要求》GB 28482-2012；</w:t>
            </w:r>
            <w:r/>
          </w:p>
          <w:p>
            <w:pPr>
              <w:ind w:left="0" w:right="0"/>
              <w:keepLines w:val="0"/>
              <w:keepNext w:val="0"/>
              <w:spacing w:before="0" w:beforeAutospacing="0" w:after="0" w:afterAutospacing="0"/>
              <w:rPr>
                <w:rFonts w:hint="eastAsia" w:ascii="宋体" w:hAnsi="宋体" w:eastAsia="宋体" w:cs="宋体"/>
                <w:b w:val="0"/>
                <w:bCs w:val="0"/>
                <w:color w:val="auto"/>
              </w:rPr>
              <w:suppressLineNumbers w:val="0"/>
            </w:pPr>
            <w:r>
              <w:rPr>
                <w:rFonts w:hint="eastAsia" w:ascii="宋体" w:hAnsi="宋体" w:eastAsia="宋体" w:cs="宋体"/>
                <w:b w:val="0"/>
                <w:bCs w:val="0"/>
                <w:color w:val="auto"/>
              </w:rPr>
              <w:t xml:space="preserve">7、《食品安全国家标准 食品接触材料及制品通用安全要求》GB 4806.1-2016；</w:t>
            </w:r>
            <w:r/>
          </w:p>
          <w:p>
            <w:pPr>
              <w:ind w:left="0" w:right="0"/>
              <w:keepLines w:val="0"/>
              <w:keepNext w:val="0"/>
              <w:spacing w:before="0" w:beforeAutospacing="0" w:after="0" w:afterAutospacing="0"/>
              <w:rPr>
                <w:rFonts w:hint="eastAsia" w:ascii="宋体" w:hAnsi="宋体" w:eastAsia="宋体" w:cs="宋体"/>
                <w:b w:val="0"/>
                <w:bCs w:val="0"/>
                <w:color w:val="auto"/>
              </w:rPr>
              <w:suppressLineNumbers w:val="0"/>
            </w:pPr>
            <w:r>
              <w:rPr>
                <w:rFonts w:hint="eastAsia" w:ascii="宋体" w:hAnsi="宋体" w:eastAsia="宋体" w:cs="宋体"/>
                <w:b w:val="0"/>
                <w:bCs w:val="0"/>
                <w:color w:val="auto"/>
              </w:rPr>
              <w:t xml:space="preserve">8、《食品安全国家标准 食品接触用塑料材料及制品》GB 4806.7-2023；</w:t>
            </w:r>
            <w:r/>
          </w:p>
          <w:p>
            <w:pPr>
              <w:ind w:left="0" w:right="0"/>
              <w:keepLines w:val="0"/>
              <w:keepNext w:val="0"/>
              <w:spacing w:before="0" w:beforeAutospacing="0" w:after="0" w:afterAutospacing="0"/>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color w:val="auto"/>
              </w:rPr>
              <w:t xml:space="preserve">9、《食品安全国家标准 食品接触材料及制品脱色试验》GB 31604.7-2023。</w:t>
            </w:r>
            <w:r/>
          </w:p>
        </w:tc>
        <w:tc>
          <w:tcPr>
            <w:shd w:val="clear" w:color="auto" w:fill="auto"/>
            <w:tcBorders>
              <w:top w:val="single" w:color="000000" w:sz="4" w:space="0"/>
              <w:left w:val="single" w:color="000000" w:sz="4" w:space="0"/>
              <w:bottom w:val="single" w:color="000000" w:sz="4" w:space="0"/>
              <w:right w:val="single" w:color="000000" w:sz="4" w:space="0"/>
            </w:tcBorders>
            <w:tcW w:w="2799"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感官要求、总迁移量、高锰酸钾消耗量、重金属（以 Pb 计）、脱色试验、锌（Zn）迁移量、挥发性物质、标签标识。</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cs="宋体"/>
                <w:b w:val="0"/>
                <w:bCs w:val="0"/>
                <w:i w:val="0"/>
                <w:iCs w:val="0"/>
                <w:color w:val="auto"/>
                <w:sz w:val="21"/>
                <w:szCs w:val="21"/>
                <w:u w:val="none"/>
                <w:lang w:val="en-US" w:eastAsia="zh-CN" w:bidi="ar"/>
              </w:rPr>
              <w:t xml:space="preserve">批次</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5</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竹木砧板等竹木制品</w:t>
            </w:r>
            <w:r/>
          </w:p>
        </w:tc>
        <w:tc>
          <w:tcPr>
            <w:shd w:val="clear" w:color="auto" w:fill="auto"/>
            <w:tcBorders>
              <w:top w:val="single" w:color="000000" w:sz="4" w:space="0"/>
              <w:left w:val="single" w:color="000000" w:sz="4" w:space="0"/>
              <w:bottom w:val="single" w:color="000000" w:sz="4" w:space="0"/>
              <w:right w:val="single" w:color="000000" w:sz="4" w:space="0"/>
            </w:tcBorders>
            <w:tcW w:w="2648"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b w:val="0"/>
                <w:bCs w:val="0"/>
                <w:color w:val="auto"/>
              </w:rPr>
              <w:suppressLineNumbers w:val="0"/>
            </w:pPr>
            <w:r>
              <w:rPr>
                <w:rFonts w:hint="eastAsia" w:ascii="宋体" w:hAnsi="宋体" w:eastAsia="宋体" w:cs="宋体"/>
                <w:b w:val="0"/>
                <w:bCs w:val="0"/>
                <w:color w:val="auto"/>
              </w:rPr>
              <w:t xml:space="preserve">1、《食品安全国家标准 食品接触材料及制品通用安全要求》GB 4806.1-2016；</w:t>
            </w:r>
            <w:r/>
          </w:p>
          <w:p>
            <w:pPr>
              <w:ind w:left="0" w:right="0"/>
              <w:keepLines w:val="0"/>
              <w:keepNext w:val="0"/>
              <w:spacing w:before="0" w:beforeAutospacing="0" w:after="0" w:afterAutospacing="0"/>
              <w:rPr>
                <w:rFonts w:hint="eastAsia" w:ascii="宋体" w:hAnsi="宋体" w:eastAsia="宋体" w:cs="宋体"/>
                <w:b w:val="0"/>
                <w:bCs w:val="0"/>
                <w:color w:val="auto"/>
              </w:rPr>
              <w:suppressLineNumbers w:val="0"/>
            </w:pPr>
            <w:r>
              <w:rPr>
                <w:rFonts w:hint="eastAsia" w:ascii="宋体" w:hAnsi="宋体" w:eastAsia="宋体" w:cs="宋体"/>
                <w:b w:val="0"/>
                <w:bCs w:val="0"/>
                <w:color w:val="auto"/>
              </w:rPr>
              <w:t xml:space="preserve">2、《食品安全国家标准 食品接触用竹木材料及制品》GB 4806.12-2022；</w:t>
            </w:r>
            <w:r/>
          </w:p>
          <w:p>
            <w:pPr>
              <w:ind w:left="0" w:right="0"/>
              <w:keepLines w:val="0"/>
              <w:keepNext w:val="0"/>
              <w:spacing w:before="0" w:beforeAutospacing="0" w:after="0" w:afterAutospacing="0"/>
              <w:rPr>
                <w:rFonts w:hint="eastAsia" w:ascii="宋体" w:hAnsi="宋体" w:eastAsia="宋体" w:cs="宋体"/>
                <w:b w:val="0"/>
                <w:bCs w:val="0"/>
                <w:color w:val="auto"/>
              </w:rPr>
              <w:suppressLineNumbers w:val="0"/>
            </w:pPr>
            <w:r>
              <w:rPr>
                <w:rFonts w:hint="eastAsia" w:ascii="宋体" w:hAnsi="宋体" w:eastAsia="宋体" w:cs="宋体"/>
                <w:b w:val="0"/>
                <w:bCs w:val="0"/>
                <w:color w:val="auto"/>
              </w:rPr>
              <w:t xml:space="preserve">3、《食品安全国家标准 食品接触材料及制品总迁移量的测定》GB 31604.8-2021；</w:t>
            </w:r>
            <w:r/>
          </w:p>
          <w:p>
            <w:pPr>
              <w:ind w:left="0" w:right="0"/>
              <w:keepLines w:val="0"/>
              <w:keepNext w:val="0"/>
              <w:spacing w:before="0" w:beforeAutospacing="0" w:after="0" w:afterAutospacing="0"/>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color w:val="auto"/>
              </w:rPr>
              <w:t xml:space="preserve">4、《食品安全国家标准 食品接触材料及制品甲醛迁移量的测定》GB 31604.48-2016。</w:t>
            </w:r>
            <w:r/>
          </w:p>
        </w:tc>
        <w:tc>
          <w:tcPr>
            <w:shd w:val="clear" w:color="auto" w:fill="auto"/>
            <w:tcBorders>
              <w:top w:val="single" w:color="000000" w:sz="4" w:space="0"/>
              <w:left w:val="single" w:color="000000" w:sz="4" w:space="0"/>
              <w:bottom w:val="single" w:color="000000" w:sz="4" w:space="0"/>
              <w:right w:val="single" w:color="000000" w:sz="4" w:space="0"/>
            </w:tcBorders>
            <w:tcW w:w="2799"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感官要求、浸泡液、总迁移量、甲醛、标签标识、二氧化硫迁移量。</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cs="宋体"/>
                <w:b w:val="0"/>
                <w:bCs w:val="0"/>
                <w:i w:val="0"/>
                <w:iCs w:val="0"/>
                <w:color w:val="auto"/>
                <w:sz w:val="21"/>
                <w:szCs w:val="21"/>
                <w:u w:val="none"/>
                <w:lang w:val="en-US" w:eastAsia="zh-CN" w:bidi="ar"/>
              </w:rPr>
              <w:t xml:space="preserve">批次</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5</w:t>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餐具洗涤剂</w:t>
            </w:r>
            <w:r/>
          </w:p>
        </w:tc>
        <w:tc>
          <w:tcPr>
            <w:shd w:val="clear" w:color="auto" w:fill="auto"/>
            <w:tcBorders>
              <w:top w:val="single" w:color="000000" w:sz="4" w:space="0"/>
              <w:left w:val="single" w:color="000000" w:sz="4" w:space="0"/>
              <w:bottom w:val="single" w:color="000000" w:sz="4" w:space="0"/>
              <w:right w:val="single" w:color="000000" w:sz="4" w:space="0"/>
            </w:tcBorders>
            <w:tcW w:w="2648"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b w:val="0"/>
                <w:bCs w:val="0"/>
                <w:color w:val="auto"/>
              </w:rPr>
              <w:suppressLineNumbers w:val="0"/>
            </w:pPr>
            <w:r>
              <w:rPr>
                <w:rFonts w:hint="eastAsia" w:ascii="宋体" w:hAnsi="宋体" w:eastAsia="宋体" w:cs="宋体"/>
                <w:b w:val="0"/>
                <w:bCs w:val="0"/>
                <w:color w:val="auto"/>
              </w:rPr>
              <w:t xml:space="preserve">1、《食品用洗涤剂试验方法 甲醇的测定》GB/T 30795-2014；</w:t>
            </w:r>
            <w:r/>
          </w:p>
          <w:p>
            <w:pPr>
              <w:ind w:left="0" w:right="0"/>
              <w:keepLines w:val="0"/>
              <w:keepNext w:val="0"/>
              <w:spacing w:before="0" w:beforeAutospacing="0" w:after="0" w:afterAutospacing="0"/>
              <w:rPr>
                <w:rFonts w:hint="eastAsia" w:ascii="宋体" w:hAnsi="宋体" w:eastAsia="宋体" w:cs="宋体"/>
                <w:b w:val="0"/>
                <w:bCs w:val="0"/>
                <w:color w:val="auto"/>
              </w:rPr>
              <w:suppressLineNumbers w:val="0"/>
            </w:pPr>
            <w:r>
              <w:rPr>
                <w:rFonts w:hint="eastAsia" w:ascii="宋体" w:hAnsi="宋体" w:eastAsia="宋体" w:cs="宋体"/>
                <w:b w:val="0"/>
                <w:bCs w:val="0"/>
                <w:color w:val="auto"/>
              </w:rPr>
              <w:t xml:space="preserve">2、《食品用洗涤剂试验方法 甲醛的测定》GB/T 30796-2014；</w:t>
            </w:r>
            <w:r/>
          </w:p>
          <w:p>
            <w:pPr>
              <w:ind w:left="0" w:right="0"/>
              <w:keepLines w:val="0"/>
              <w:keepNext w:val="0"/>
              <w:spacing w:before="0" w:beforeAutospacing="0" w:after="0" w:afterAutospacing="0"/>
              <w:rPr>
                <w:rFonts w:hint="eastAsia" w:ascii="宋体" w:hAnsi="宋体" w:eastAsia="宋体" w:cs="宋体"/>
                <w:b w:val="0"/>
                <w:bCs w:val="0"/>
                <w:color w:val="auto"/>
              </w:rPr>
              <w:suppressLineNumbers w:val="0"/>
            </w:pPr>
            <w:r>
              <w:rPr>
                <w:rFonts w:hint="eastAsia" w:ascii="宋体" w:hAnsi="宋体" w:eastAsia="宋体" w:cs="宋体"/>
                <w:b w:val="0"/>
                <w:bCs w:val="0"/>
                <w:color w:val="auto"/>
              </w:rPr>
              <w:t xml:space="preserve">3、《食品用洗涤剂试验方法 重金属的测定》GB/T 30799-2014；</w:t>
            </w:r>
            <w:r/>
          </w:p>
          <w:p>
            <w:pPr>
              <w:ind w:left="0" w:right="0"/>
              <w:keepLines w:val="0"/>
              <w:keepNext w:val="0"/>
              <w:spacing w:before="0" w:beforeAutospacing="0" w:after="0" w:afterAutospacing="0"/>
              <w:rPr>
                <w:rFonts w:hint="eastAsia" w:ascii="宋体" w:hAnsi="宋体" w:eastAsia="宋体" w:cs="宋体"/>
                <w:b w:val="0"/>
                <w:bCs w:val="0"/>
                <w:color w:val="auto"/>
              </w:rPr>
              <w:suppressLineNumbers w:val="0"/>
            </w:pPr>
            <w:r>
              <w:rPr>
                <w:rFonts w:hint="eastAsia" w:ascii="宋体" w:hAnsi="宋体" w:eastAsia="宋体" w:cs="宋体"/>
                <w:b w:val="0"/>
                <w:bCs w:val="0"/>
                <w:color w:val="auto"/>
              </w:rPr>
              <w:t xml:space="preserve">4、《手洗餐具用洗涤剂》GB/T 9985-2022；</w:t>
            </w:r>
            <w:r/>
          </w:p>
          <w:p>
            <w:pPr>
              <w:ind w:left="0" w:right="0"/>
              <w:keepLines w:val="0"/>
              <w:keepNext w:val="0"/>
              <w:spacing w:before="0" w:beforeAutospacing="0" w:after="0" w:afterAutospacing="0"/>
              <w:rPr>
                <w:rFonts w:hint="eastAsia" w:ascii="宋体" w:hAnsi="宋体" w:eastAsia="宋体" w:cs="宋体"/>
                <w:b w:val="0"/>
                <w:bCs w:val="0"/>
                <w:color w:val="auto"/>
              </w:rPr>
              <w:suppressLineNumbers w:val="0"/>
            </w:pPr>
            <w:r>
              <w:rPr>
                <w:rFonts w:hint="eastAsia" w:ascii="宋体" w:hAnsi="宋体" w:eastAsia="宋体" w:cs="宋体"/>
                <w:b w:val="0"/>
                <w:bCs w:val="0"/>
                <w:color w:val="auto"/>
              </w:rPr>
              <w:t xml:space="preserve">5、《表面活性剂 洗涤剂试验方法》GB/T 13173-2021；</w:t>
            </w:r>
            <w:r/>
          </w:p>
          <w:p>
            <w:pPr>
              <w:ind w:left="0" w:right="0"/>
              <w:keepLines w:val="0"/>
              <w:keepNext w:val="0"/>
              <w:spacing w:before="0" w:beforeAutospacing="0" w:after="0" w:afterAutospacing="0"/>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color w:val="auto"/>
              </w:rPr>
              <w:t xml:space="preserve">6、《表面活性剂 水溶液pH值的测定 电位法》GB/T 6368-2008。</w:t>
            </w:r>
            <w:r/>
          </w:p>
        </w:tc>
        <w:tc>
          <w:tcPr>
            <w:shd w:val="clear" w:color="auto" w:fill="auto"/>
            <w:tcBorders>
              <w:top w:val="single" w:color="000000" w:sz="4" w:space="0"/>
              <w:left w:val="single" w:color="000000" w:sz="4" w:space="0"/>
              <w:bottom w:val="single" w:color="000000" w:sz="4" w:space="0"/>
              <w:right w:val="single" w:color="000000" w:sz="4" w:space="0"/>
            </w:tcBorders>
            <w:tcW w:w="2799"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甲醇；甲醛；重金属； 去污力；рH值；气味。</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cs="宋体"/>
                <w:b w:val="0"/>
                <w:bCs w:val="0"/>
                <w:i w:val="0"/>
                <w:iCs w:val="0"/>
                <w:color w:val="auto"/>
                <w:sz w:val="21"/>
                <w:szCs w:val="21"/>
                <w:u w:val="none"/>
                <w:lang w:val="en-US" w:eastAsia="zh-CN" w:bidi="ar"/>
              </w:rPr>
              <w:t xml:space="preserve">批次</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5</w:t>
            </w:r>
            <w:r/>
          </w:p>
        </w:tc>
      </w:tr>
      <w:tr>
        <w:trPr>
          <w:trHeight w:val="310"/>
        </w:trPr>
        <w:tc>
          <w:tcPr>
            <w:shd w:val="clear" w:color="auto" w:fill="auto"/>
            <w:tcBorders>
              <w:top w:val="single" w:color="000000" w:sz="4" w:space="0"/>
              <w:left w:val="single" w:color="000000" w:sz="4" w:space="0"/>
              <w:bottom w:val="single" w:color="000000" w:sz="4" w:space="0"/>
              <w:right w:val="single" w:color="000000" w:sz="4" w:space="0"/>
            </w:tcBorders>
            <w:tcW w:w="651"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儿童和学生用品</w:t>
            </w:r>
            <w:r/>
          </w:p>
        </w:tc>
        <w:tc>
          <w:tcPr>
            <w:shd w:val="clear" w:color="auto" w:fill="auto"/>
            <w:tcBorders>
              <w:top w:val="single" w:color="000000" w:sz="4" w:space="0"/>
              <w:left w:val="single" w:color="000000" w:sz="4" w:space="0"/>
              <w:bottom w:val="single" w:color="000000" w:sz="4" w:space="0"/>
              <w:right w:val="single" w:color="000000" w:sz="4" w:space="0"/>
            </w:tcBorders>
            <w:tcW w:w="91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解压玩具</w:t>
            </w:r>
            <w:r/>
          </w:p>
        </w:tc>
        <w:tc>
          <w:tcPr>
            <w:shd w:val="clear" w:color="auto" w:fill="auto"/>
            <w:tcBorders>
              <w:top w:val="single" w:color="000000" w:sz="4" w:space="0"/>
              <w:left w:val="single" w:color="000000" w:sz="4" w:space="0"/>
              <w:bottom w:val="single" w:color="000000" w:sz="4" w:space="0"/>
              <w:right w:val="single" w:color="000000" w:sz="4" w:space="0"/>
            </w:tcBorders>
            <w:tcW w:w="2648"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b w:val="0"/>
                <w:bCs w:val="0"/>
                <w:color w:val="auto"/>
              </w:rPr>
              <w:suppressLineNumbers w:val="0"/>
            </w:pPr>
            <w:r>
              <w:rPr>
                <w:rFonts w:hint="eastAsia" w:ascii="宋体" w:hAnsi="宋体" w:eastAsia="宋体" w:cs="宋体"/>
                <w:b w:val="0"/>
                <w:bCs w:val="0"/>
                <w:color w:val="auto"/>
              </w:rPr>
              <w:t xml:space="preserve">1、《玩具安全 第4部分：特定元素的迁移》GB 6675.4-2025；</w:t>
            </w:r>
            <w:r/>
          </w:p>
          <w:p>
            <w:pPr>
              <w:ind w:left="0" w:right="0"/>
              <w:keepLines w:val="0"/>
              <w:keepNext w:val="0"/>
              <w:spacing w:before="0" w:beforeAutospacing="0" w:after="0" w:afterAutospacing="0"/>
              <w:rPr>
                <w:rFonts w:hint="eastAsia" w:ascii="宋体" w:hAnsi="宋体" w:eastAsia="宋体" w:cs="宋体"/>
                <w:b w:val="0"/>
                <w:bCs w:val="0"/>
                <w:color w:val="auto"/>
              </w:rPr>
              <w:suppressLineNumbers w:val="0"/>
            </w:pPr>
            <w:r>
              <w:rPr>
                <w:rFonts w:hint="eastAsia" w:ascii="宋体" w:hAnsi="宋体" w:eastAsia="宋体" w:cs="宋体"/>
                <w:b w:val="0"/>
                <w:bCs w:val="0"/>
                <w:color w:val="auto"/>
              </w:rPr>
              <w:t xml:space="preserve">2、《玩具安全 第1部分：基本规范》GB 6675.1-2025；</w:t>
            </w:r>
            <w:r/>
          </w:p>
          <w:p>
            <w:pPr>
              <w:ind w:left="0" w:right="0"/>
              <w:keepLines w:val="0"/>
              <w:keepNext w:val="0"/>
              <w:spacing w:before="0" w:beforeAutospacing="0" w:after="0" w:afterAutospacing="0"/>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color w:val="auto"/>
              </w:rPr>
              <w:t xml:space="preserve">3、《玩具及儿童用品中特定邻苯二甲酸酯增塑剂的测定》GB/T 22048—2022。</w:t>
            </w:r>
            <w:r/>
          </w:p>
        </w:tc>
        <w:tc>
          <w:tcPr>
            <w:shd w:val="clear" w:color="auto" w:fill="auto"/>
            <w:tcBorders>
              <w:top w:val="single" w:color="000000" w:sz="4" w:space="0"/>
              <w:left w:val="single" w:color="000000" w:sz="4" w:space="0"/>
              <w:bottom w:val="single" w:color="000000" w:sz="4" w:space="0"/>
              <w:right w:val="single" w:color="000000" w:sz="4" w:space="0"/>
            </w:tcBorders>
            <w:tcW w:w="2799"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可迁移元素的限量（锑、砷、汞、镉、铬、钡、铅、硒）；限定增塑剂限量要求；游离甲醛的限量。</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cs="宋体"/>
                <w:b w:val="0"/>
                <w:bCs w:val="0"/>
                <w:i w:val="0"/>
                <w:iCs w:val="0"/>
                <w:color w:val="auto"/>
                <w:sz w:val="21"/>
                <w:szCs w:val="21"/>
                <w:u w:val="none"/>
                <w:lang w:val="en-US" w:eastAsia="zh-CN" w:bidi="ar"/>
              </w:rPr>
              <w:t xml:space="preserve">批次</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5</w:t>
            </w:r>
            <w:r/>
          </w:p>
        </w:tc>
      </w:tr>
      <w:tr>
        <w:trPr>
          <w:trHeight w:val="395"/>
        </w:trPr>
        <w:tc>
          <w:tcPr>
            <w:shd w:val="clear" w:color="auto" w:fill="auto"/>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水晶泥</w:t>
            </w:r>
            <w:r/>
          </w:p>
        </w:tc>
        <w:tc>
          <w:tcPr>
            <w:shd w:val="clear" w:color="auto" w:fill="auto"/>
            <w:tcBorders>
              <w:top w:val="single" w:color="000000" w:sz="4" w:space="0"/>
              <w:left w:val="single" w:color="000000" w:sz="4" w:space="0"/>
              <w:bottom w:val="single" w:color="000000" w:sz="4" w:space="0"/>
              <w:right w:val="single" w:color="000000" w:sz="4" w:space="0"/>
            </w:tcBorders>
            <w:tcW w:w="2648"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b w:val="0"/>
                <w:bCs w:val="0"/>
                <w:color w:val="auto"/>
              </w:rPr>
              <w:suppressLineNumbers w:val="0"/>
            </w:pPr>
            <w:r>
              <w:rPr>
                <w:rFonts w:hint="eastAsia" w:ascii="宋体" w:hAnsi="宋体" w:eastAsia="宋体" w:cs="宋体"/>
                <w:b w:val="0"/>
                <w:bCs w:val="0"/>
                <w:color w:val="auto"/>
              </w:rPr>
              <w:t xml:space="preserve">1、《玩具安全 第4部分：特定元素的迁移》GB 6675.4-2025；</w:t>
            </w:r>
            <w:r/>
          </w:p>
          <w:p>
            <w:pPr>
              <w:ind w:left="0" w:right="0"/>
              <w:keepLines w:val="0"/>
              <w:keepNext w:val="0"/>
              <w:spacing w:before="0" w:beforeAutospacing="0" w:after="0" w:afterAutospacing="0"/>
              <w:rPr>
                <w:rFonts w:hint="eastAsia" w:ascii="宋体" w:hAnsi="宋体" w:eastAsia="宋体" w:cs="宋体"/>
                <w:b w:val="0"/>
                <w:bCs w:val="0"/>
                <w:color w:val="auto"/>
              </w:rPr>
              <w:suppressLineNumbers w:val="0"/>
            </w:pPr>
            <w:r>
              <w:rPr>
                <w:rFonts w:hint="eastAsia" w:ascii="宋体" w:hAnsi="宋体" w:eastAsia="宋体" w:cs="宋体"/>
                <w:b w:val="0"/>
                <w:bCs w:val="0"/>
                <w:color w:val="auto"/>
              </w:rPr>
              <w:t xml:space="preserve">2、《玩具安全 第1部分：基本规范》GB 6675.1-2025；</w:t>
            </w:r>
            <w:r/>
          </w:p>
          <w:p>
            <w:pPr>
              <w:ind w:left="0" w:right="0"/>
              <w:keepLines w:val="0"/>
              <w:keepNext w:val="0"/>
              <w:spacing w:before="0" w:beforeAutospacing="0" w:after="0" w:afterAutospacing="0"/>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color w:val="auto"/>
              </w:rPr>
              <w:t xml:space="preserve">3、《玩具及儿童用品中特定邻苯二甲酸酯增塑剂的测定》GB/T 22048—2022。</w:t>
            </w:r>
            <w:r/>
          </w:p>
        </w:tc>
        <w:tc>
          <w:tcPr>
            <w:shd w:val="clear" w:color="auto" w:fill="auto"/>
            <w:tcBorders>
              <w:top w:val="single" w:color="000000" w:sz="4" w:space="0"/>
              <w:left w:val="single" w:color="000000" w:sz="4" w:space="0"/>
              <w:bottom w:val="single" w:color="000000" w:sz="4" w:space="0"/>
              <w:right w:val="single" w:color="000000" w:sz="4" w:space="0"/>
            </w:tcBorders>
            <w:tcW w:w="2799"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可迁移元素最大限量（锑、砷、钡、镉、铬、铅、汞、硒、硼）；游离甲醛。</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cs="宋体"/>
                <w:b w:val="0"/>
                <w:bCs w:val="0"/>
                <w:i w:val="0"/>
                <w:iCs w:val="0"/>
                <w:color w:val="auto"/>
                <w:sz w:val="21"/>
                <w:szCs w:val="21"/>
                <w:u w:val="none"/>
                <w:lang w:val="en-US" w:eastAsia="zh-CN" w:bidi="ar"/>
              </w:rPr>
              <w:t xml:space="preserve">批次</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5</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电玩具</w:t>
            </w:r>
            <w:r/>
          </w:p>
        </w:tc>
        <w:tc>
          <w:tcPr>
            <w:shd w:val="clear" w:color="auto" w:fill="auto"/>
            <w:tcBorders>
              <w:top w:val="single" w:color="000000" w:sz="4" w:space="0"/>
              <w:left w:val="single" w:color="000000" w:sz="4" w:space="0"/>
              <w:bottom w:val="single" w:color="000000" w:sz="4" w:space="0"/>
              <w:right w:val="single" w:color="000000" w:sz="4" w:space="0"/>
            </w:tcBorders>
            <w:tcW w:w="2648"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b w:val="0"/>
                <w:bCs w:val="0"/>
                <w:color w:val="auto"/>
              </w:rPr>
              <w:suppressLineNumbers w:val="0"/>
            </w:pPr>
            <w:r>
              <w:rPr>
                <w:rFonts w:hint="eastAsia" w:ascii="宋体" w:hAnsi="宋体" w:eastAsia="宋体" w:cs="宋体"/>
                <w:b w:val="0"/>
                <w:bCs w:val="0"/>
                <w:color w:val="auto"/>
              </w:rPr>
            </w:r>
            <w:r/>
          </w:p>
          <w:p>
            <w:pPr>
              <w:ind w:left="0" w:right="0"/>
              <w:keepLines w:val="0"/>
              <w:keepNext w:val="0"/>
              <w:spacing w:before="0" w:beforeAutospacing="0" w:after="0" w:afterAutospacing="0"/>
              <w:rPr>
                <w:rFonts w:hint="eastAsia" w:ascii="宋体" w:hAnsi="宋体" w:eastAsia="宋体" w:cs="宋体"/>
                <w:b w:val="0"/>
                <w:bCs w:val="0"/>
                <w:color w:val="auto"/>
              </w:rPr>
              <w:suppressLineNumbers w:val="0"/>
            </w:pPr>
            <w:r>
              <w:rPr>
                <w:rFonts w:hint="eastAsia" w:ascii="宋体" w:hAnsi="宋体" w:eastAsia="宋体" w:cs="宋体"/>
                <w:b w:val="0"/>
                <w:bCs w:val="0"/>
                <w:color w:val="auto"/>
              </w:rPr>
              <w:t xml:space="preserve">1、《玩具安全 第2部分：机械与物理性能》GB 6675.2-2025；</w:t>
            </w:r>
            <w:r/>
          </w:p>
          <w:p>
            <w:pPr>
              <w:ind w:left="0" w:right="0"/>
              <w:keepLines w:val="0"/>
              <w:keepNext w:val="0"/>
              <w:spacing w:before="0" w:beforeAutospacing="0" w:after="0" w:afterAutospacing="0"/>
              <w:rPr>
                <w:rFonts w:hint="eastAsia" w:ascii="宋体" w:hAnsi="宋体" w:eastAsia="宋体" w:cs="宋体"/>
                <w:b w:val="0"/>
                <w:bCs w:val="0"/>
                <w:color w:val="auto"/>
              </w:rPr>
              <w:suppressLineNumbers w:val="0"/>
            </w:pPr>
            <w:r>
              <w:rPr>
                <w:rFonts w:hint="eastAsia" w:ascii="宋体" w:hAnsi="宋体" w:eastAsia="宋体" w:cs="宋体"/>
                <w:b w:val="0"/>
                <w:bCs w:val="0"/>
                <w:color w:val="auto"/>
              </w:rPr>
              <w:t xml:space="preserve">2、《玩具安全 第3部分：易燃性能》GB 6675.3-2025；</w:t>
            </w:r>
            <w:r/>
          </w:p>
          <w:p>
            <w:pPr>
              <w:ind w:left="0" w:right="0"/>
              <w:keepLines w:val="0"/>
              <w:keepNext w:val="0"/>
              <w:spacing w:before="0" w:beforeAutospacing="0" w:after="0" w:afterAutospacing="0"/>
              <w:rPr>
                <w:rFonts w:hint="eastAsia" w:ascii="宋体" w:hAnsi="宋体" w:eastAsia="宋体" w:cs="宋体"/>
                <w:b w:val="0"/>
                <w:bCs w:val="0"/>
                <w:color w:val="auto"/>
              </w:rPr>
              <w:suppressLineNumbers w:val="0"/>
            </w:pPr>
            <w:r>
              <w:rPr>
                <w:rFonts w:hint="eastAsia" w:ascii="宋体" w:hAnsi="宋体" w:eastAsia="宋体" w:cs="宋体"/>
                <w:b w:val="0"/>
                <w:bCs w:val="0"/>
                <w:color w:val="auto"/>
              </w:rPr>
              <w:t xml:space="preserve">3、《玩具安全 第1部分：基本规范》GB 6675.1-2025；</w:t>
            </w:r>
            <w:r/>
          </w:p>
          <w:p>
            <w:pPr>
              <w:ind w:left="0" w:right="0"/>
              <w:keepLines w:val="0"/>
              <w:keepNext w:val="0"/>
              <w:spacing w:before="0" w:beforeAutospacing="0" w:after="0" w:afterAutospacing="0"/>
              <w:rPr>
                <w:rFonts w:hint="eastAsia" w:ascii="宋体" w:hAnsi="宋体" w:eastAsia="宋体" w:cs="宋体"/>
                <w:b w:val="0"/>
                <w:bCs w:val="0"/>
                <w:color w:val="auto"/>
              </w:rPr>
              <w:suppressLineNumbers w:val="0"/>
            </w:pPr>
            <w:r>
              <w:rPr>
                <w:rFonts w:hint="eastAsia" w:ascii="宋体" w:hAnsi="宋体" w:eastAsia="宋体" w:cs="宋体"/>
                <w:b w:val="0"/>
                <w:bCs w:val="0"/>
                <w:color w:val="auto"/>
              </w:rPr>
              <w:t xml:space="preserve">4、《电玩具的安全》GB 19865-2005；</w:t>
            </w:r>
            <w:r/>
          </w:p>
          <w:p>
            <w:pPr>
              <w:ind w:left="0" w:right="0"/>
              <w:keepLines w:val="0"/>
              <w:keepNext w:val="0"/>
              <w:spacing w:before="0" w:beforeAutospacing="0" w:after="0" w:afterAutospacing="0"/>
              <w:rPr>
                <w:rFonts w:hint="eastAsia" w:ascii="宋体" w:hAnsi="宋体" w:eastAsia="宋体" w:cs="宋体"/>
                <w:b w:val="0"/>
                <w:bCs w:val="0"/>
                <w:color w:val="auto"/>
              </w:rPr>
              <w:suppressLineNumbers w:val="0"/>
            </w:pPr>
            <w:r>
              <w:rPr>
                <w:rFonts w:hint="eastAsia" w:ascii="宋体" w:hAnsi="宋体" w:eastAsia="宋体" w:cs="宋体"/>
                <w:b w:val="0"/>
                <w:bCs w:val="0"/>
                <w:color w:val="auto"/>
              </w:rPr>
              <w:t xml:space="preserve">5、《电玩具的安全》GB/T 19865-2024；</w:t>
            </w:r>
            <w:r/>
          </w:p>
          <w:p>
            <w:pPr>
              <w:ind w:left="0" w:right="0"/>
              <w:keepLines w:val="0"/>
              <w:keepNext w:val="0"/>
              <w:spacing w:before="0" w:beforeAutospacing="0" w:after="0" w:afterAutospacing="0"/>
              <w:rPr>
                <w:rFonts w:hint="eastAsia" w:ascii="宋体" w:hAnsi="宋体" w:eastAsia="宋体" w:cs="宋体"/>
                <w:b w:val="0"/>
                <w:bCs w:val="0"/>
                <w:color w:val="auto"/>
              </w:rPr>
              <w:suppressLineNumbers w:val="0"/>
            </w:pPr>
            <w:r>
              <w:rPr>
                <w:rFonts w:hint="eastAsia" w:ascii="宋体" w:hAnsi="宋体" w:eastAsia="宋体" w:cs="宋体"/>
                <w:b w:val="0"/>
                <w:bCs w:val="0"/>
                <w:color w:val="auto"/>
              </w:rPr>
              <w:t xml:space="preserve">6、《玩具及儿童用品中特定邻苯二甲酸酯增塑剂的测定》GB/T 22048-2022；</w:t>
            </w:r>
            <w:r/>
          </w:p>
          <w:p>
            <w:pPr>
              <w:ind w:left="0" w:right="0"/>
              <w:keepLines w:val="0"/>
              <w:keepNext w:val="0"/>
              <w:spacing w:before="0" w:beforeAutospacing="0" w:after="0" w:afterAutospacing="0"/>
              <w:rPr>
                <w:rFonts w:hint="eastAsia" w:ascii="宋体" w:hAnsi="宋体" w:eastAsia="宋体" w:cs="宋体"/>
                <w:b w:val="0"/>
                <w:bCs w:val="0"/>
                <w:color w:val="auto"/>
              </w:rPr>
              <w:suppressLineNumbers w:val="0"/>
            </w:pPr>
            <w:r>
              <w:rPr>
                <w:rFonts w:hint="eastAsia" w:ascii="宋体" w:hAnsi="宋体" w:eastAsia="宋体" w:cs="宋体"/>
                <w:b w:val="0"/>
                <w:bCs w:val="0"/>
                <w:color w:val="auto"/>
              </w:rPr>
              <w:t xml:space="preserve">7、《玩具安全 第4部分：特定元素的迁移》GB 6675.4-2025。</w:t>
            </w:r>
            <w:r/>
          </w:p>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99"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1、机械与物理性能（材料；小零件；挤压玩具、摇铃及类似玩具；小球；毛球；学前玩偶；玩具奶嘴；气球；弹珠；半球形玩具；可触及的金属或玻璃边缘；功能性锐利边缘；金属玩具边缘；模塑玩具边缘；外露螺栓或螺纹杆的边缘；可触及的锐利尖端；功能性锐利尖端；木制玩具；突出物；把手和其他类似的管子；金属丝和杆件；用于包装或玩具中的塑料袋或塑料薄膜；18个月以下儿童使用的玩具上的绳索和弹性绳；18个月以下儿童使用的玩具上的自回缩绳；36个月以下儿童使</w:t>
            </w:r>
            <w:r>
              <w:rPr>
                <w:rFonts w:hint="eastAsia" w:ascii="宋体" w:hAnsi="宋体" w:eastAsia="宋体" w:cs="宋体"/>
                <w:b w:val="0"/>
                <w:bCs w:val="0"/>
                <w:i w:val="0"/>
                <w:iCs w:val="0"/>
                <w:color w:val="auto"/>
                <w:sz w:val="21"/>
                <w:szCs w:val="21"/>
                <w:u w:val="none"/>
                <w:lang w:val="en-US" w:eastAsia="zh-CN" w:bidi="ar"/>
              </w:rPr>
              <w:t xml:space="preserve">用的拖拉玩具上的绳索或弹性绳；玩具袋上的绳索；童床或游戏围栏上的悬挂玩具；童床上的健身玩具及类似玩具；飞行玩具的绳索、细绳或线；玩具推车、玩具婴儿车及类似玩具；带有折叠机构的其他玩具；铰链间隙；刚性材料上的圆孔；活动部件间的间隙；其他驱动机构；发条钥匙；弹簧；封闭式玩具的通风装置；封闭式玩具的关闭件；封闭头部的玩具；仿制防护玩具（头盔、帽子、护目镜）；弹射玩具的一般要求；蓄能弹射玩具；非蓄能弹射玩具；水上玩具；热源玩具；液体填充玩具；口动玩具；玩具滚轴溜冰鞋、单排滚轴溜冰鞋及玩具滑板；玩具火药帽；声响要求；</w:t>
            </w:r>
            <w:r/>
          </w:p>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2、易燃性能（一般要求；头戴玩具；化妆服饰；供儿童进入的玩具；具有毛绒或纺织表面的软体填充玩具（动物和娃娃等））；</w:t>
            </w:r>
            <w:r/>
          </w:p>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3、特定元素的迁移（最大限量要求）；</w:t>
            </w:r>
            <w:r/>
          </w:p>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4、增塑剂（限定增塑剂限量要求）；</w:t>
            </w:r>
            <w:r/>
          </w:p>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5、电性能（标识和说明；输入功率；发热和非正常工作；工作温度下的电气强度；耐潮湿；室温下的电气强度；机械强度；结构；软线和电线的保护；螺钉和连接；电气间隙和爬电距离；耐热和耐燃,潮湿条件下的电气强度；在水中使用的电玩具、使用液体的电玩具和用液体清洁的电玩具）。</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cs="宋体"/>
                <w:b w:val="0"/>
                <w:bCs w:val="0"/>
                <w:i w:val="0"/>
                <w:iCs w:val="0"/>
                <w:color w:val="auto"/>
                <w:sz w:val="21"/>
                <w:szCs w:val="21"/>
                <w:u w:val="none"/>
                <w:lang w:val="en-US" w:eastAsia="zh-CN" w:bidi="ar"/>
              </w:rPr>
              <w:t xml:space="preserve">批次</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5</w:t>
            </w:r>
            <w:r/>
          </w:p>
        </w:tc>
      </w:tr>
      <w:tr>
        <w:trPr>
          <w:trHeight w:val="1258"/>
        </w:trPr>
        <w:tc>
          <w:tcPr>
            <w:shd w:val="clear" w:color="auto" w:fill="auto"/>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儿童真煮玩具</w:t>
            </w:r>
            <w:r/>
          </w:p>
        </w:tc>
        <w:tc>
          <w:tcPr>
            <w:shd w:val="clear" w:color="auto" w:fill="auto"/>
            <w:tcBorders>
              <w:top w:val="single" w:color="000000" w:sz="4" w:space="0"/>
              <w:left w:val="single" w:color="000000" w:sz="4" w:space="0"/>
              <w:bottom w:val="single" w:color="000000" w:sz="4" w:space="0"/>
              <w:right w:val="single" w:color="000000" w:sz="4" w:space="0"/>
            </w:tcBorders>
            <w:tcW w:w="2648"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b w:val="0"/>
                <w:bCs w:val="0"/>
                <w:color w:val="auto"/>
              </w:rPr>
              <w:suppressLineNumbers w:val="0"/>
            </w:pPr>
            <w:r>
              <w:rPr>
                <w:rFonts w:hint="eastAsia" w:ascii="宋体" w:hAnsi="宋体" w:eastAsia="宋体" w:cs="宋体"/>
                <w:b w:val="0"/>
                <w:bCs w:val="0"/>
                <w:color w:val="auto"/>
              </w:rPr>
              <w:t xml:space="preserve">1、《玩具及儿童用品中特定邻苯二甲酸酯增塑剂的测定》GB/T 22048-2022；</w:t>
            </w:r>
            <w:r/>
          </w:p>
          <w:p>
            <w:pPr>
              <w:ind w:left="0" w:right="0"/>
              <w:keepLines w:val="0"/>
              <w:keepNext w:val="0"/>
              <w:spacing w:before="0" w:beforeAutospacing="0" w:after="0" w:afterAutospacing="0"/>
              <w:rPr>
                <w:rFonts w:hint="eastAsia" w:ascii="宋体" w:hAnsi="宋体" w:eastAsia="宋体" w:cs="宋体"/>
                <w:b w:val="0"/>
                <w:bCs w:val="0"/>
                <w:color w:val="auto"/>
              </w:rPr>
              <w:suppressLineNumbers w:val="0"/>
            </w:pPr>
            <w:r>
              <w:rPr>
                <w:rFonts w:hint="eastAsia" w:ascii="宋体" w:hAnsi="宋体" w:eastAsia="宋体" w:cs="宋体"/>
                <w:b w:val="0"/>
                <w:bCs w:val="0"/>
                <w:color w:val="auto"/>
              </w:rPr>
              <w:t xml:space="preserve">2、《玩具安全 第4部分：特定元素的迁移》GB 6675.4-2025；</w:t>
            </w:r>
            <w:r/>
          </w:p>
          <w:p>
            <w:pPr>
              <w:ind w:left="0" w:right="0"/>
              <w:keepLines w:val="0"/>
              <w:keepNext w:val="0"/>
              <w:spacing w:before="0" w:beforeAutospacing="0" w:after="0" w:afterAutospacing="0"/>
              <w:rPr>
                <w:rFonts w:hint="eastAsia" w:ascii="宋体" w:hAnsi="宋体" w:eastAsia="宋体" w:cs="宋体"/>
                <w:b w:val="0"/>
                <w:bCs w:val="0"/>
                <w:color w:val="auto"/>
              </w:rPr>
              <w:suppressLineNumbers w:val="0"/>
            </w:pPr>
            <w:r>
              <w:rPr>
                <w:rFonts w:hint="eastAsia" w:ascii="宋体" w:hAnsi="宋体" w:eastAsia="宋体" w:cs="宋体"/>
                <w:b w:val="0"/>
                <w:bCs w:val="0"/>
                <w:color w:val="auto"/>
              </w:rPr>
              <w:t xml:space="preserve">3、《食品安全国家标准 食品接触材料及制品总迁移量的测定》GB 31604.8-2021；</w:t>
            </w:r>
            <w:r/>
          </w:p>
          <w:p>
            <w:pPr>
              <w:ind w:left="0" w:right="0"/>
              <w:keepLines w:val="0"/>
              <w:keepNext w:val="0"/>
              <w:spacing w:before="0" w:beforeAutospacing="0" w:after="0" w:afterAutospacing="0"/>
              <w:rPr>
                <w:rFonts w:hint="eastAsia" w:ascii="宋体" w:hAnsi="宋体" w:eastAsia="宋体" w:cs="宋体"/>
                <w:b w:val="0"/>
                <w:bCs w:val="0"/>
                <w:color w:val="auto"/>
              </w:rPr>
              <w:suppressLineNumbers w:val="0"/>
            </w:pPr>
            <w:r>
              <w:rPr>
                <w:rFonts w:hint="eastAsia" w:ascii="宋体" w:hAnsi="宋体" w:eastAsia="宋体" w:cs="宋体"/>
                <w:b w:val="0"/>
                <w:bCs w:val="0"/>
                <w:color w:val="auto"/>
              </w:rPr>
              <w:t xml:space="preserve">4、《玩具安全 第1部分：基本规范》GB 6675.1-2025；</w:t>
            </w:r>
            <w:r/>
          </w:p>
          <w:p>
            <w:pPr>
              <w:ind w:left="0" w:right="0"/>
              <w:keepLines w:val="0"/>
              <w:keepNext w:val="0"/>
              <w:spacing w:before="0" w:beforeAutospacing="0" w:after="0" w:afterAutospacing="0"/>
              <w:rPr>
                <w:rFonts w:hint="eastAsia" w:ascii="宋体" w:hAnsi="宋体" w:eastAsia="宋体" w:cs="宋体"/>
                <w:b w:val="0"/>
                <w:bCs w:val="0"/>
                <w:color w:val="auto"/>
              </w:rPr>
              <w:suppressLineNumbers w:val="0"/>
            </w:pPr>
            <w:r>
              <w:rPr>
                <w:rFonts w:hint="eastAsia" w:ascii="宋体" w:hAnsi="宋体" w:eastAsia="宋体" w:cs="宋体"/>
                <w:b w:val="0"/>
                <w:bCs w:val="0"/>
                <w:color w:val="auto"/>
              </w:rPr>
              <w:t xml:space="preserve">5、《家用和类似用途电器的安全 液体加热器的特殊要求》GB 4706.19-2008；</w:t>
            </w:r>
            <w:r/>
          </w:p>
          <w:p>
            <w:pPr>
              <w:ind w:left="0" w:right="0"/>
              <w:keepLines w:val="0"/>
              <w:keepNext w:val="0"/>
              <w:spacing w:before="0" w:beforeAutospacing="0" w:after="0" w:afterAutospacing="0"/>
              <w:rPr>
                <w:rFonts w:hint="eastAsia" w:ascii="宋体" w:hAnsi="宋体" w:eastAsia="宋体" w:cs="宋体"/>
                <w:b w:val="0"/>
                <w:bCs w:val="0"/>
                <w:color w:val="auto"/>
              </w:rPr>
              <w:suppressLineNumbers w:val="0"/>
            </w:pPr>
            <w:r>
              <w:rPr>
                <w:rFonts w:hint="eastAsia" w:ascii="宋体" w:hAnsi="宋体" w:eastAsia="宋体" w:cs="宋体"/>
                <w:b w:val="0"/>
                <w:bCs w:val="0"/>
                <w:color w:val="auto"/>
              </w:rPr>
              <w:t xml:space="preserve">6、《家用和类似用途电器的安全 第19部分:液体加热器的特殊要求》GB/T 4706.19-2024；</w:t>
            </w:r>
            <w:r/>
          </w:p>
          <w:p>
            <w:pPr>
              <w:ind w:left="0" w:right="0"/>
              <w:keepLines w:val="0"/>
              <w:keepNext w:val="0"/>
              <w:spacing w:before="0" w:beforeAutospacing="0" w:after="0" w:afterAutospacing="0"/>
              <w:rPr>
                <w:rFonts w:hint="eastAsia" w:ascii="宋体" w:hAnsi="宋体" w:eastAsia="宋体" w:cs="宋体"/>
                <w:b w:val="0"/>
                <w:bCs w:val="0"/>
                <w:color w:val="auto"/>
              </w:rPr>
              <w:suppressLineNumbers w:val="0"/>
            </w:pPr>
            <w:r>
              <w:rPr>
                <w:rFonts w:hint="eastAsia" w:ascii="宋体" w:hAnsi="宋体" w:eastAsia="宋体" w:cs="宋体"/>
                <w:b w:val="0"/>
                <w:bCs w:val="0"/>
                <w:color w:val="auto"/>
              </w:rPr>
              <w:t xml:space="preserve">7、《家用和类似用途电器的安全第1部分：通用要求》GB 4706.1-2005；</w:t>
            </w:r>
            <w:r/>
          </w:p>
          <w:p>
            <w:pPr>
              <w:ind w:left="0" w:right="0"/>
              <w:keepLines w:val="0"/>
              <w:keepNext w:val="0"/>
              <w:spacing w:before="0" w:beforeAutospacing="0" w:after="0" w:afterAutospacing="0"/>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color w:val="auto"/>
              </w:rPr>
              <w:t xml:space="preserve">8、《家用和类似用途电器的安全 第1部分：通用要求》GB/T 4706.1-2024。</w:t>
            </w:r>
            <w:r/>
          </w:p>
        </w:tc>
        <w:tc>
          <w:tcPr>
            <w:shd w:val="clear" w:color="auto" w:fill="auto"/>
            <w:tcBorders>
              <w:top w:val="single" w:color="000000" w:sz="4" w:space="0"/>
              <w:left w:val="single" w:color="000000" w:sz="4" w:space="0"/>
              <w:bottom w:val="single" w:color="000000" w:sz="4" w:space="0"/>
              <w:right w:val="single" w:color="000000" w:sz="4" w:space="0"/>
            </w:tcBorders>
            <w:tcW w:w="2799"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增塑剂；特定元素的迁移；食品接触材料的总迁移量；电器安全(输入功率与电流、电源连接和外部软线）。</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cs="宋体"/>
                <w:b w:val="0"/>
                <w:bCs w:val="0"/>
                <w:i w:val="0"/>
                <w:iCs w:val="0"/>
                <w:color w:val="auto"/>
                <w:sz w:val="21"/>
                <w:szCs w:val="21"/>
                <w:u w:val="none"/>
                <w:lang w:val="en-US" w:eastAsia="zh-CN" w:bidi="ar"/>
              </w:rPr>
              <w:t xml:space="preserve">批次</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5</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毛绒玩具</w:t>
            </w:r>
            <w:r/>
          </w:p>
        </w:tc>
        <w:tc>
          <w:tcPr>
            <w:shd w:val="clear" w:color="auto" w:fill="auto"/>
            <w:tcBorders>
              <w:top w:val="single" w:color="000000" w:sz="4" w:space="0"/>
              <w:left w:val="single" w:color="000000" w:sz="4" w:space="0"/>
              <w:bottom w:val="single" w:color="000000" w:sz="4" w:space="0"/>
              <w:right w:val="single" w:color="000000" w:sz="4" w:space="0"/>
            </w:tcBorders>
            <w:tcW w:w="2648"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r>
            <w:r/>
          </w:p>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1、《玩具安全 第2部分：机械与物理性能》GB 6675.2-2025；</w:t>
            </w:r>
            <w:r/>
          </w:p>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2、《玩具安全 第3部分：易燃性能》GB 6675.3-2025；</w:t>
            </w:r>
            <w:r/>
          </w:p>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3、《玩具安全 第1部分：基本规范》GB 6675.1-2025；</w:t>
            </w:r>
            <w:r/>
          </w:p>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4、《电玩具的安全》GB 19865-2005；</w:t>
            </w:r>
            <w:r/>
          </w:p>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5、《电玩具的安全》GB/T 19865-2024；</w:t>
            </w:r>
            <w:r/>
          </w:p>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6、《玩具及儿童用品中特定邻苯二甲酸酯增塑剂的测定》GB/T 22048-2022；</w:t>
            </w:r>
            <w:r/>
          </w:p>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7、《玩具安全 第4部分：特定元素的迁移》GB 6675.4-2025。</w:t>
            </w:r>
            <w:r/>
          </w:p>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99"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1、机械与物理性能（材料；小零件；挤压玩具、摇铃及类似玩具；小球；毛球；学前玩偶；玩具奶嘴；气球；弹珠；半球形玩具；可触及的金属或玻璃边缘；功能性锐利边缘；金属玩具边缘；模塑玩具边缘；外露螺栓或螺纹杆的边缘；可触及的锐利尖端；功能性锐利尖端；木制玩具；突出物；把手和其他类似的管子；金属丝和杆件；用于包装或玩具中的塑料袋或塑料薄膜；18个月以下儿童使用的玩具上的绳索和弹性绳；18个月以下儿童使用的玩具上的自回缩绳；36个月以下儿童使</w:t>
            </w:r>
            <w:r>
              <w:rPr>
                <w:rFonts w:hint="eastAsia" w:ascii="宋体" w:hAnsi="宋体" w:eastAsia="宋体" w:cs="宋体"/>
                <w:b w:val="0"/>
                <w:bCs w:val="0"/>
                <w:i w:val="0"/>
                <w:iCs w:val="0"/>
                <w:color w:val="auto"/>
                <w:sz w:val="21"/>
                <w:szCs w:val="21"/>
                <w:u w:val="none"/>
                <w:lang w:val="en-US" w:eastAsia="zh-CN" w:bidi="ar"/>
              </w:rPr>
              <w:t xml:space="preserve">用的拖拉玩具上的绳索或弹性绳；玩具袋上的绳索；童床或游戏围栏上的悬挂玩具；童床上的健身玩具及类似玩具；飞行玩具的绳索、细绳或线；玩具推车、玩具婴儿车及类似玩具；带有折叠机构的其他玩具；铰链间隙；刚性材料上的圆孔；活动部件间的间隙；其他驱动机构；发条钥匙；弹簧；封闭式玩具的通风装置；封闭式玩具的关闭件；封闭头部的玩具；仿制防护玩具（头盔、帽子、护目镜）；弹射玩具的一般要求；蓄能弹射玩具；非蓄能弹射玩具；水上玩具；热源玩具；液体填充玩具；口动玩具；玩具滚轴溜冰鞋、单排滚轴溜冰鞋及玩具滑板；玩具火药帽；声响要求；</w:t>
            </w:r>
            <w:r/>
          </w:p>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2、易燃性能（一般要求；头戴玩具；化妆服饰；供儿童进入的玩具；具有毛绒或纺织表面的软体填充玩具（动物和娃娃等））</w:t>
            </w:r>
            <w:r/>
          </w:p>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3、特定元素的迁移（最大限量要求）</w:t>
            </w:r>
            <w:r/>
          </w:p>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4、增塑剂（限定增塑剂限量要求）</w:t>
            </w:r>
            <w:r/>
          </w:p>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5、电性能（标识和说明；输入功率；发热和非正常工作；工作温度下的电气强度；耐潮湿；室温下的电气强度；机械强度；结构；软线和电线的保护；螺钉和连接；电气间隙和爬电距离；耐热和耐燃,潮湿条件下的电气强度；在水中使用的电玩具、使用液体的电玩具和用液体清洁的电玩具；）</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cs="宋体"/>
                <w:b w:val="0"/>
                <w:bCs w:val="0"/>
                <w:i w:val="0"/>
                <w:iCs w:val="0"/>
                <w:color w:val="auto"/>
                <w:sz w:val="21"/>
                <w:szCs w:val="21"/>
                <w:u w:val="none"/>
                <w:lang w:val="en-US" w:eastAsia="zh-CN" w:bidi="ar"/>
              </w:rPr>
              <w:t xml:space="preserve">批次</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5</w:t>
            </w:r>
            <w:r/>
          </w:p>
        </w:tc>
      </w:tr>
      <w:tr>
        <w:trPr>
          <w:trHeight w:val="1033"/>
        </w:trPr>
        <w:tc>
          <w:tcPr>
            <w:shd w:val="clear" w:color="auto" w:fill="auto"/>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塑胶玩具</w:t>
            </w:r>
            <w:r/>
          </w:p>
        </w:tc>
        <w:tc>
          <w:tcPr>
            <w:shd w:val="clear" w:color="auto" w:fill="auto"/>
            <w:tcBorders>
              <w:top w:val="single" w:color="000000" w:sz="4" w:space="0"/>
              <w:left w:val="single" w:color="000000" w:sz="4" w:space="0"/>
              <w:bottom w:val="single" w:color="000000" w:sz="4" w:space="0"/>
              <w:right w:val="single" w:color="000000" w:sz="4" w:space="0"/>
            </w:tcBorders>
            <w:tcW w:w="2648"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b w:val="0"/>
                <w:bCs w:val="0"/>
                <w:color w:val="auto"/>
              </w:rPr>
              <w:suppressLineNumbers w:val="0"/>
            </w:pPr>
            <w:r>
              <w:rPr>
                <w:rFonts w:hint="eastAsia" w:ascii="宋体" w:hAnsi="宋体" w:eastAsia="宋体" w:cs="宋体"/>
                <w:b w:val="0"/>
                <w:bCs w:val="0"/>
                <w:color w:val="auto"/>
              </w:rPr>
            </w:r>
            <w:r/>
          </w:p>
          <w:p>
            <w:pPr>
              <w:ind w:left="0" w:right="0"/>
              <w:keepLines w:val="0"/>
              <w:keepNext w:val="0"/>
              <w:spacing w:before="0" w:beforeAutospacing="0" w:after="0" w:afterAutospacing="0"/>
              <w:rPr>
                <w:rFonts w:hint="eastAsia" w:ascii="宋体" w:hAnsi="宋体" w:eastAsia="宋体" w:cs="宋体"/>
                <w:b w:val="0"/>
                <w:bCs w:val="0"/>
                <w:color w:val="auto"/>
              </w:rPr>
              <w:suppressLineNumbers w:val="0"/>
            </w:pPr>
            <w:r>
              <w:rPr>
                <w:rFonts w:hint="eastAsia" w:ascii="宋体" w:hAnsi="宋体" w:eastAsia="宋体" w:cs="宋体"/>
                <w:b w:val="0"/>
                <w:bCs w:val="0"/>
                <w:color w:val="auto"/>
              </w:rPr>
              <w:t xml:space="preserve">1、《玩具安全 第2部分：机械与物理性能》GB 6675.2-2025；</w:t>
            </w:r>
            <w:r/>
          </w:p>
          <w:p>
            <w:pPr>
              <w:ind w:left="0" w:right="0"/>
              <w:keepLines w:val="0"/>
              <w:keepNext w:val="0"/>
              <w:spacing w:before="0" w:beforeAutospacing="0" w:after="0" w:afterAutospacing="0"/>
              <w:rPr>
                <w:rFonts w:hint="eastAsia" w:ascii="宋体" w:hAnsi="宋体" w:eastAsia="宋体" w:cs="宋体"/>
                <w:b w:val="0"/>
                <w:bCs w:val="0"/>
                <w:color w:val="auto"/>
              </w:rPr>
              <w:suppressLineNumbers w:val="0"/>
            </w:pPr>
            <w:r>
              <w:rPr>
                <w:rFonts w:hint="eastAsia" w:ascii="宋体" w:hAnsi="宋体" w:eastAsia="宋体" w:cs="宋体"/>
                <w:b w:val="0"/>
                <w:bCs w:val="0"/>
                <w:color w:val="auto"/>
              </w:rPr>
              <w:t xml:space="preserve">2、《玩具安全 第3部分：易燃性能》GB 6675.3-2025；</w:t>
            </w:r>
            <w:r/>
          </w:p>
          <w:p>
            <w:pPr>
              <w:ind w:left="0" w:right="0"/>
              <w:keepLines w:val="0"/>
              <w:keepNext w:val="0"/>
              <w:spacing w:before="0" w:beforeAutospacing="0" w:after="0" w:afterAutospacing="0"/>
              <w:rPr>
                <w:rFonts w:hint="eastAsia" w:ascii="宋体" w:hAnsi="宋体" w:eastAsia="宋体" w:cs="宋体"/>
                <w:b w:val="0"/>
                <w:bCs w:val="0"/>
                <w:color w:val="auto"/>
              </w:rPr>
              <w:suppressLineNumbers w:val="0"/>
            </w:pPr>
            <w:r>
              <w:rPr>
                <w:rFonts w:hint="eastAsia" w:ascii="宋体" w:hAnsi="宋体" w:eastAsia="宋体" w:cs="宋体"/>
                <w:b w:val="0"/>
                <w:bCs w:val="0"/>
                <w:color w:val="auto"/>
              </w:rPr>
              <w:t xml:space="preserve">3、《玩具安全 第1部分：基本规范》GB 6675.1-2025；</w:t>
            </w:r>
            <w:r/>
          </w:p>
          <w:p>
            <w:pPr>
              <w:ind w:left="0" w:right="0"/>
              <w:keepLines w:val="0"/>
              <w:keepNext w:val="0"/>
              <w:spacing w:before="0" w:beforeAutospacing="0" w:after="0" w:afterAutospacing="0"/>
              <w:rPr>
                <w:rFonts w:hint="eastAsia" w:ascii="宋体" w:hAnsi="宋体" w:eastAsia="宋体" w:cs="宋体"/>
                <w:b w:val="0"/>
                <w:bCs w:val="0"/>
                <w:color w:val="auto"/>
              </w:rPr>
              <w:suppressLineNumbers w:val="0"/>
            </w:pPr>
            <w:r>
              <w:rPr>
                <w:rFonts w:hint="eastAsia" w:ascii="宋体" w:hAnsi="宋体" w:eastAsia="宋体" w:cs="宋体"/>
                <w:b w:val="0"/>
                <w:bCs w:val="0"/>
                <w:color w:val="auto"/>
              </w:rPr>
              <w:t xml:space="preserve">4、《电玩具的安全》GB 19865-2005；</w:t>
            </w:r>
            <w:r/>
          </w:p>
          <w:p>
            <w:pPr>
              <w:ind w:left="0" w:right="0"/>
              <w:keepLines w:val="0"/>
              <w:keepNext w:val="0"/>
              <w:spacing w:before="0" w:beforeAutospacing="0" w:after="0" w:afterAutospacing="0"/>
              <w:rPr>
                <w:rFonts w:hint="eastAsia" w:ascii="宋体" w:hAnsi="宋体" w:eastAsia="宋体" w:cs="宋体"/>
                <w:b w:val="0"/>
                <w:bCs w:val="0"/>
                <w:color w:val="auto"/>
              </w:rPr>
              <w:suppressLineNumbers w:val="0"/>
            </w:pPr>
            <w:r>
              <w:rPr>
                <w:rFonts w:hint="eastAsia" w:ascii="宋体" w:hAnsi="宋体" w:eastAsia="宋体" w:cs="宋体"/>
                <w:b w:val="0"/>
                <w:bCs w:val="0"/>
                <w:color w:val="auto"/>
              </w:rPr>
              <w:t xml:space="preserve">5、《电玩具的安全》GB/T 19865-2024；</w:t>
            </w:r>
            <w:r/>
          </w:p>
          <w:p>
            <w:pPr>
              <w:ind w:left="0" w:right="0"/>
              <w:keepLines w:val="0"/>
              <w:keepNext w:val="0"/>
              <w:spacing w:before="0" w:beforeAutospacing="0" w:after="0" w:afterAutospacing="0"/>
              <w:rPr>
                <w:rFonts w:hint="eastAsia" w:ascii="宋体" w:hAnsi="宋体" w:eastAsia="宋体" w:cs="宋体"/>
                <w:b w:val="0"/>
                <w:bCs w:val="0"/>
                <w:color w:val="auto"/>
              </w:rPr>
              <w:suppressLineNumbers w:val="0"/>
            </w:pPr>
            <w:r>
              <w:rPr>
                <w:rFonts w:hint="eastAsia" w:ascii="宋体" w:hAnsi="宋体" w:eastAsia="宋体" w:cs="宋体"/>
                <w:b w:val="0"/>
                <w:bCs w:val="0"/>
                <w:color w:val="auto"/>
              </w:rPr>
              <w:t xml:space="preserve">6、《玩具及儿童用品中特定邻苯二甲酸酯增塑剂的测定》GB/T 22048-2022；</w:t>
            </w:r>
            <w:r/>
          </w:p>
          <w:p>
            <w:pPr>
              <w:ind w:left="0" w:right="0"/>
              <w:keepLines w:val="0"/>
              <w:keepNext w:val="0"/>
              <w:spacing w:before="0" w:beforeAutospacing="0" w:after="0" w:afterAutospacing="0"/>
              <w:rPr>
                <w:rFonts w:hint="eastAsia" w:ascii="宋体" w:hAnsi="宋体" w:eastAsia="宋体" w:cs="宋体"/>
                <w:b w:val="0"/>
                <w:bCs w:val="0"/>
                <w:color w:val="auto"/>
              </w:rPr>
              <w:suppressLineNumbers w:val="0"/>
            </w:pPr>
            <w:r>
              <w:rPr>
                <w:rFonts w:hint="eastAsia" w:ascii="宋体" w:hAnsi="宋体" w:eastAsia="宋体" w:cs="宋体"/>
                <w:b w:val="0"/>
                <w:bCs w:val="0"/>
                <w:color w:val="auto"/>
              </w:rPr>
              <w:t xml:space="preserve">7、《玩具安全 第4部分：特定元素的迁移》GB 6675.4-2025。</w:t>
            </w:r>
            <w:r/>
          </w:p>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99"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1、机械与物理性能（材料；小零件；挤压玩具、摇铃及类似玩具；小球；毛球；学前玩偶；玩具奶嘴；气球；弹珠；半球形玩具；可触及的金属或玻璃边缘；功能性锐利边缘；金属玩具边缘；模塑玩具边缘；外露螺栓或螺纹杆的边缘；可触及的锐利尖端；功能性锐利尖端；木制玩具；突出物；把手和其他类似的管子；金属丝和杆件；用于包装或玩具中的塑料袋或塑料薄膜；18个月以下儿童使用的玩具上的绳索和弹性绳；18个月以下儿童使用的玩具上的自回缩绳；36个月以下儿童使</w:t>
            </w:r>
            <w:r>
              <w:rPr>
                <w:rFonts w:hint="eastAsia" w:ascii="宋体" w:hAnsi="宋体" w:eastAsia="宋体" w:cs="宋体"/>
                <w:b w:val="0"/>
                <w:bCs w:val="0"/>
                <w:i w:val="0"/>
                <w:iCs w:val="0"/>
                <w:color w:val="auto"/>
                <w:sz w:val="21"/>
                <w:szCs w:val="21"/>
                <w:u w:val="none"/>
                <w:lang w:val="en-US" w:eastAsia="zh-CN" w:bidi="ar"/>
              </w:rPr>
              <w:t xml:space="preserve">用的拖拉玩具上的绳索或弹性绳；玩具袋上的绳索；童床或游戏围栏上的悬挂玩具；童床上的健身玩具及类似玩具；飞行玩具的绳索、细绳或线；玩具推车、玩具婴儿车及类似玩具；带有折叠机构的其他玩具；铰链间隙；刚性材料上的圆孔；活动部件间的间隙；其他驱动机构；发条钥匙；弹簧；封闭式玩具的通风装置；封闭式玩具的关闭件；封闭头部的玩具；仿制防护玩具（头盔、帽子、护目镜）；弹射玩具的一般要求；蓄能弹射玩具；非蓄能弹射玩具；水上玩具；热源玩具；液体填充玩具；口动玩具；玩具滚轴溜冰鞋、单排滚轴溜冰鞋及玩具滑板；玩具火药帽；声响要求；</w:t>
            </w:r>
            <w:r/>
          </w:p>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2、易燃性能（一般要求；头戴玩具；化妆服饰；供儿童进入的玩具；具有毛绒或纺织表面的软体填充玩具（动物和娃娃等）；</w:t>
            </w:r>
            <w:r/>
          </w:p>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3、特定元素的迁移（最大限量要求）；</w:t>
            </w:r>
            <w:r/>
          </w:p>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4、增塑剂（限定增塑剂限量要求）；</w:t>
            </w:r>
            <w:r/>
          </w:p>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5、电性能（标识和说明；输入功率；发热和非正常工作；工作温度下的电气强度；耐潮湿；室温下的电气强度；机械强度；结构；软线和电线的保护；螺钉和连接；电气间隙和爬电距离；耐热和耐燃,潮湿条件下的电气强度；在水中使用的电玩具、使用液体的电玩具和用液体清洁的电玩具）。</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cs="宋体"/>
                <w:b w:val="0"/>
                <w:bCs w:val="0"/>
                <w:i w:val="0"/>
                <w:iCs w:val="0"/>
                <w:color w:val="auto"/>
                <w:sz w:val="21"/>
                <w:szCs w:val="21"/>
                <w:u w:val="none"/>
                <w:lang w:val="en-US" w:eastAsia="zh-CN" w:bidi="ar"/>
              </w:rPr>
              <w:t xml:space="preserve">批次</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5</w:t>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笔、纸本、文具</w:t>
            </w:r>
            <w:r/>
          </w:p>
        </w:tc>
        <w:tc>
          <w:tcPr>
            <w:shd w:val="clear" w:color="auto" w:fill="auto"/>
            <w:tcBorders>
              <w:top w:val="single" w:color="000000" w:sz="4" w:space="0"/>
              <w:left w:val="single" w:color="000000" w:sz="4" w:space="0"/>
              <w:bottom w:val="single" w:color="000000" w:sz="4" w:space="0"/>
              <w:right w:val="single" w:color="000000" w:sz="4" w:space="0"/>
            </w:tcBorders>
            <w:tcW w:w="2648" w:type="dxa"/>
            <w:vAlign w:val="center"/>
            <w:textDirection w:val="lrTb"/>
            <w:noWrap w:val="false"/>
          </w:tcPr>
          <w:p>
            <w:pPr>
              <w:ind w:left="0" w:right="0"/>
              <w:jc w:val="both"/>
              <w:keepLines w:val="0"/>
              <w:keepNext w:val="0"/>
              <w:spacing w:before="0" w:beforeAutospacing="0" w:after="0" w:afterAutospacing="0"/>
              <w:rPr>
                <w:rFonts w:hint="eastAsia" w:ascii="宋体" w:hAnsi="宋体" w:eastAsia="宋体" w:cs="宋体"/>
                <w:b w:val="0"/>
                <w:bCs w:val="0"/>
                <w:color w:val="auto"/>
              </w:rPr>
              <w:suppressLineNumbers w:val="0"/>
            </w:pPr>
            <w:r>
              <w:rPr>
                <w:rFonts w:hint="eastAsia" w:ascii="宋体" w:hAnsi="宋体" w:eastAsia="宋体" w:cs="宋体"/>
                <w:b w:val="0"/>
                <w:bCs w:val="0"/>
                <w:color w:val="auto"/>
              </w:rPr>
              <w:t xml:space="preserve">1、《学生用品的安全通用要求》GB 21027-2020；</w:t>
            </w:r>
            <w:r/>
          </w:p>
          <w:p>
            <w:pPr>
              <w:ind w:left="0" w:right="0"/>
              <w:jc w:val="both"/>
              <w:keepLines w:val="0"/>
              <w:keepNext w:val="0"/>
              <w:spacing w:before="0" w:beforeAutospacing="0" w:after="0" w:afterAutospacing="0"/>
              <w:rPr>
                <w:rFonts w:hint="eastAsia" w:ascii="宋体" w:hAnsi="宋体" w:eastAsia="宋体" w:cs="宋体"/>
                <w:b w:val="0"/>
                <w:bCs w:val="0"/>
                <w:color w:val="auto"/>
              </w:rPr>
              <w:suppressLineNumbers w:val="0"/>
            </w:pPr>
            <w:r>
              <w:rPr>
                <w:rFonts w:hint="eastAsia" w:ascii="宋体" w:hAnsi="宋体" w:eastAsia="宋体" w:cs="宋体"/>
                <w:b w:val="0"/>
                <w:bCs w:val="0"/>
                <w:color w:val="auto"/>
              </w:rPr>
              <w:t xml:space="preserve">2、《玩具及儿童用品中特定邻苯二甲酸酯增塑剂的测定》GB/T 22048-2022；</w:t>
            </w:r>
            <w:r/>
          </w:p>
          <w:p>
            <w:pPr>
              <w:ind w:left="0" w:right="0"/>
              <w:jc w:val="both"/>
              <w:keepLines w:val="0"/>
              <w:keepNext w:val="0"/>
              <w:spacing w:before="0" w:beforeAutospacing="0" w:after="0" w:afterAutospacing="0"/>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color w:val="auto"/>
              </w:rPr>
              <w:t xml:space="preserve">3、《玩具安全 第4部分：特定元素的迁移》GB 6675.4-2014。</w:t>
            </w:r>
            <w:r/>
          </w:p>
        </w:tc>
        <w:tc>
          <w:tcPr>
            <w:shd w:val="clear" w:color="auto" w:fill="auto"/>
            <w:tcBorders>
              <w:top w:val="single" w:color="000000" w:sz="4" w:space="0"/>
              <w:left w:val="single" w:color="000000" w:sz="4" w:space="0"/>
              <w:bottom w:val="single" w:color="000000" w:sz="4" w:space="0"/>
              <w:right w:val="single" w:color="000000" w:sz="4" w:space="0"/>
            </w:tcBorders>
            <w:tcW w:w="2799"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1、纸：可迁移元素的限量；亮度/白度/内芯D65亮度；内芯D65荧光亮度；</w:t>
            </w:r>
            <w:r/>
          </w:p>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2、笔：可迁移元素的限量；可触及的塑料件中邻苯二甲酸酯增塑剂的限量；笔套安全；</w:t>
            </w:r>
            <w:r/>
          </w:p>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3、文具：可迁移元素的限量；可触及的塑料件中邻苯二甲酸酯增塑剂的限量；边缘、尖端。</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cs="宋体"/>
                <w:b w:val="0"/>
                <w:bCs w:val="0"/>
                <w:i w:val="0"/>
                <w:iCs w:val="0"/>
                <w:color w:val="auto"/>
                <w:sz w:val="21"/>
                <w:szCs w:val="21"/>
                <w:u w:val="none"/>
                <w:lang w:val="en-US" w:eastAsia="zh-CN" w:bidi="ar"/>
              </w:rPr>
              <w:t xml:space="preserve">批次</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20</w:t>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书包</w:t>
            </w:r>
            <w:r/>
          </w:p>
        </w:tc>
        <w:tc>
          <w:tcPr>
            <w:shd w:val="clear" w:color="auto" w:fill="auto"/>
            <w:tcBorders>
              <w:top w:val="single" w:color="000000" w:sz="4" w:space="0"/>
              <w:left w:val="single" w:color="000000" w:sz="4" w:space="0"/>
              <w:bottom w:val="single" w:color="000000" w:sz="4" w:space="0"/>
              <w:right w:val="single" w:color="000000" w:sz="4" w:space="0"/>
            </w:tcBorders>
            <w:tcW w:w="2648"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b w:val="0"/>
                <w:bCs w:val="0"/>
                <w:color w:val="auto"/>
              </w:rPr>
              <w:suppressLineNumbers w:val="0"/>
            </w:pPr>
            <w:r>
              <w:rPr>
                <w:rFonts w:hint="eastAsia" w:ascii="宋体" w:hAnsi="宋体" w:eastAsia="宋体" w:cs="宋体"/>
                <w:b w:val="0"/>
                <w:bCs w:val="0"/>
                <w:color w:val="auto"/>
              </w:rPr>
              <w:t xml:space="preserve">1、《学生用品的安全通用要求》GB 21027-2020；</w:t>
            </w:r>
            <w:r/>
          </w:p>
          <w:p>
            <w:pPr>
              <w:ind w:left="0" w:right="0"/>
              <w:keepLines w:val="0"/>
              <w:keepNext w:val="0"/>
              <w:spacing w:before="0" w:beforeAutospacing="0" w:after="0" w:afterAutospacing="0"/>
              <w:rPr>
                <w:rFonts w:hint="eastAsia" w:ascii="宋体" w:hAnsi="宋体" w:eastAsia="宋体" w:cs="宋体"/>
                <w:b w:val="0"/>
                <w:bCs w:val="0"/>
                <w:color w:val="auto"/>
              </w:rPr>
              <w:suppressLineNumbers w:val="0"/>
            </w:pPr>
            <w:r>
              <w:rPr>
                <w:rFonts w:hint="eastAsia" w:ascii="宋体" w:hAnsi="宋体" w:eastAsia="宋体" w:cs="宋体"/>
                <w:b w:val="0"/>
                <w:bCs w:val="0"/>
                <w:color w:val="auto"/>
              </w:rPr>
              <w:t xml:space="preserve">2、《背提包》QB/T 1333-2018；</w:t>
            </w:r>
            <w:r/>
          </w:p>
          <w:p>
            <w:pPr>
              <w:ind w:left="0" w:right="0"/>
              <w:keepLines w:val="0"/>
              <w:keepNext w:val="0"/>
              <w:spacing w:before="0" w:beforeAutospacing="0" w:after="0" w:afterAutospacing="0"/>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color w:val="auto"/>
              </w:rPr>
              <w:t xml:space="preserve">3、《玩具及儿童用品中特定邻苯二甲酸酯增塑剂的测定》GB/T 22048-2022。</w:t>
            </w:r>
            <w:r/>
          </w:p>
        </w:tc>
        <w:tc>
          <w:tcPr>
            <w:shd w:val="clear" w:color="auto" w:fill="auto"/>
            <w:tcBorders>
              <w:top w:val="single" w:color="000000" w:sz="4" w:space="0"/>
              <w:left w:val="single" w:color="000000" w:sz="4" w:space="0"/>
              <w:bottom w:val="single" w:color="000000" w:sz="4" w:space="0"/>
              <w:right w:val="single" w:color="000000" w:sz="4" w:space="0"/>
            </w:tcBorders>
            <w:tcW w:w="2799"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可迁移元素的限量；游离甲醛含量；可触及的塑料件中邻苯二甲酸酯增塑剂的限量；可分解有害芳香胺染料；外观质量、振荡冲击性能。</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cs="宋体"/>
                <w:b w:val="0"/>
                <w:bCs w:val="0"/>
                <w:i w:val="0"/>
                <w:iCs w:val="0"/>
                <w:color w:val="auto"/>
                <w:sz w:val="21"/>
                <w:szCs w:val="21"/>
                <w:u w:val="none"/>
                <w:lang w:val="en-US" w:eastAsia="zh-CN" w:bidi="ar"/>
              </w:rPr>
              <w:t xml:space="preserve">批次</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6</w:t>
            </w:r>
            <w:r/>
          </w:p>
        </w:tc>
      </w:tr>
      <w:tr>
        <w:trPr>
          <w:trHeight w:val="1440"/>
        </w:trPr>
        <w:tc>
          <w:tcPr>
            <w:shd w:val="clear" w:color="auto" w:fill="auto"/>
            <w:tcBorders>
              <w:top w:val="single" w:color="000000" w:sz="4" w:space="0"/>
              <w:left w:val="single" w:color="000000" w:sz="4" w:space="0"/>
              <w:bottom w:val="single" w:color="000000" w:sz="4" w:space="0"/>
              <w:right w:val="single" w:color="000000" w:sz="4" w:space="0"/>
            </w:tcBorders>
            <w:tcW w:w="651"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老年产品</w:t>
            </w:r>
            <w:r/>
          </w:p>
        </w:tc>
        <w:tc>
          <w:tcPr>
            <w:shd w:val="clear" w:color="auto" w:fill="auto"/>
            <w:tcBorders>
              <w:top w:val="single" w:color="000000" w:sz="4" w:space="0"/>
              <w:left w:val="single" w:color="000000" w:sz="4" w:space="0"/>
              <w:bottom w:val="single" w:color="000000" w:sz="4" w:space="0"/>
              <w:right w:val="single" w:color="000000" w:sz="4" w:space="0"/>
            </w:tcBorders>
            <w:tcW w:w="91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老年手机</w:t>
            </w:r>
            <w:r/>
          </w:p>
        </w:tc>
        <w:tc>
          <w:tcPr>
            <w:shd w:val="clear" w:color="auto" w:fill="auto"/>
            <w:tcBorders>
              <w:top w:val="single" w:color="000000" w:sz="4" w:space="0"/>
              <w:left w:val="single" w:color="000000" w:sz="4" w:space="0"/>
              <w:bottom w:val="single" w:color="000000" w:sz="4" w:space="0"/>
              <w:right w:val="single" w:color="000000" w:sz="4" w:space="0"/>
            </w:tcBorders>
            <w:tcW w:w="2648"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b w:val="0"/>
                <w:bCs w:val="0"/>
                <w:color w:val="auto"/>
              </w:rPr>
              <w:suppressLineNumbers w:val="0"/>
            </w:pPr>
            <w:r>
              <w:rPr>
                <w:rFonts w:hint="eastAsia" w:ascii="宋体" w:hAnsi="宋体" w:eastAsia="宋体" w:cs="宋体"/>
                <w:b w:val="0"/>
                <w:bCs w:val="0"/>
                <w:color w:val="auto"/>
              </w:rPr>
              <w:t xml:space="preserve">1、《音视频、信息技术和通信技术设备 第1部分：安全要求》GB 4943.1-2022；</w:t>
            </w:r>
            <w:r/>
          </w:p>
          <w:p>
            <w:pPr>
              <w:ind w:left="0" w:right="0"/>
              <w:keepLines w:val="0"/>
              <w:keepNext w:val="0"/>
              <w:spacing w:before="0" w:beforeAutospacing="0" w:after="0" w:afterAutospacing="0"/>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color w:val="auto"/>
              </w:rPr>
              <w:t xml:space="preserve">2、《信息技术设备、多媒体设备和接收机 电磁兼容 第1部分：发射要求》GB/T 9254.1-2021。</w:t>
            </w:r>
            <w:r/>
          </w:p>
        </w:tc>
        <w:tc>
          <w:tcPr>
            <w:shd w:val="clear" w:color="auto" w:fill="auto"/>
            <w:tcBorders>
              <w:top w:val="single" w:color="000000" w:sz="4" w:space="0"/>
              <w:left w:val="single" w:color="000000" w:sz="4" w:space="0"/>
              <w:bottom w:val="single" w:color="000000" w:sz="4" w:space="0"/>
              <w:right w:val="single" w:color="000000" w:sz="4" w:space="0"/>
            </w:tcBorders>
            <w:tcW w:w="2799"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标记和说明、安全防护、抗电强度试验；电气间隙；爬电距离；与交流电网电源的连接；接触电流和保护导体电流。</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cs="宋体"/>
                <w:b w:val="0"/>
                <w:bCs w:val="0"/>
                <w:i w:val="0"/>
                <w:iCs w:val="0"/>
                <w:color w:val="auto"/>
                <w:sz w:val="21"/>
                <w:szCs w:val="21"/>
                <w:u w:val="none"/>
                <w:lang w:val="en-US" w:eastAsia="zh-CN" w:bidi="ar"/>
              </w:rPr>
              <w:t xml:space="preserve">批次</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10</w:t>
            </w:r>
            <w:r/>
          </w:p>
        </w:tc>
      </w:tr>
      <w:tr>
        <w:trPr>
          <w:trHeight w:val="838"/>
        </w:trPr>
        <w:tc>
          <w:tcPr>
            <w:shd w:val="clear" w:color="auto" w:fill="auto"/>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按摩器具</w:t>
            </w:r>
            <w:r/>
          </w:p>
        </w:tc>
        <w:tc>
          <w:tcPr>
            <w:shd w:val="clear" w:color="auto" w:fill="auto"/>
            <w:tcBorders>
              <w:top w:val="single" w:color="000000" w:sz="4" w:space="0"/>
              <w:left w:val="single" w:color="000000" w:sz="4" w:space="0"/>
              <w:bottom w:val="single" w:color="000000" w:sz="4" w:space="0"/>
              <w:right w:val="single" w:color="000000" w:sz="4" w:space="0"/>
            </w:tcBorders>
            <w:tcW w:w="2648"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b w:val="0"/>
                <w:bCs w:val="0"/>
                <w:color w:val="auto"/>
              </w:rPr>
              <w:suppressLineNumbers w:val="0"/>
            </w:pPr>
            <w:r>
              <w:rPr>
                <w:rFonts w:hint="eastAsia" w:ascii="宋体" w:hAnsi="宋体" w:eastAsia="宋体" w:cs="宋体"/>
                <w:b w:val="0"/>
                <w:bCs w:val="0"/>
                <w:color w:val="auto"/>
              </w:rPr>
              <w:t xml:space="preserve">1、《家用和类似用途电器的安全第1部分：通用要求》GB 4706.1-2005；</w:t>
            </w:r>
            <w:r/>
          </w:p>
          <w:p>
            <w:pPr>
              <w:ind w:left="0" w:right="0"/>
              <w:keepLines w:val="0"/>
              <w:keepNext w:val="0"/>
              <w:spacing w:before="0" w:beforeAutospacing="0" w:after="0" w:afterAutospacing="0"/>
              <w:rPr>
                <w:rFonts w:hint="eastAsia" w:ascii="宋体" w:hAnsi="宋体" w:eastAsia="宋体" w:cs="宋体"/>
                <w:b w:val="0"/>
                <w:bCs w:val="0"/>
                <w:color w:val="auto"/>
              </w:rPr>
              <w:suppressLineNumbers w:val="0"/>
            </w:pPr>
            <w:r>
              <w:rPr>
                <w:rFonts w:hint="eastAsia" w:ascii="宋体" w:hAnsi="宋体" w:eastAsia="宋体" w:cs="宋体"/>
                <w:b w:val="0"/>
                <w:bCs w:val="0"/>
                <w:color w:val="auto"/>
              </w:rPr>
              <w:t xml:space="preserve">2、《家用和类似用途电器的安全 第1部分：通用要求》GB/T 4706.1-2024；</w:t>
            </w:r>
            <w:r/>
          </w:p>
          <w:p>
            <w:pPr>
              <w:ind w:left="0" w:right="0"/>
              <w:keepLines w:val="0"/>
              <w:keepNext w:val="0"/>
              <w:spacing w:before="0" w:beforeAutospacing="0" w:after="0" w:afterAutospacing="0"/>
              <w:rPr>
                <w:rFonts w:hint="eastAsia" w:ascii="宋体" w:hAnsi="宋体" w:eastAsia="宋体" w:cs="宋体"/>
                <w:b w:val="0"/>
                <w:bCs w:val="0"/>
                <w:color w:val="auto"/>
              </w:rPr>
              <w:suppressLineNumbers w:val="0"/>
            </w:pPr>
            <w:r>
              <w:rPr>
                <w:rFonts w:hint="eastAsia" w:ascii="宋体" w:hAnsi="宋体" w:eastAsia="宋体" w:cs="宋体"/>
                <w:b w:val="0"/>
                <w:bCs w:val="0"/>
                <w:color w:val="auto"/>
              </w:rPr>
              <w:t xml:space="preserve">3、《家用电器、电动工具和类似器具的电磁兼容要求 第1部分：发射》GB 4343.1-2024；</w:t>
            </w:r>
            <w:r/>
          </w:p>
          <w:p>
            <w:pPr>
              <w:ind w:left="0" w:right="0"/>
              <w:keepLines w:val="0"/>
              <w:keepNext w:val="0"/>
              <w:spacing w:before="0" w:beforeAutospacing="0" w:after="0" w:afterAutospacing="0"/>
              <w:rPr>
                <w:rFonts w:hint="eastAsia" w:ascii="宋体" w:hAnsi="宋体" w:eastAsia="宋体" w:cs="宋体"/>
                <w:b w:val="0"/>
                <w:bCs w:val="0"/>
                <w:color w:val="auto"/>
              </w:rPr>
              <w:suppressLineNumbers w:val="0"/>
            </w:pPr>
            <w:r>
              <w:rPr>
                <w:rFonts w:hint="eastAsia" w:ascii="宋体" w:hAnsi="宋体" w:eastAsia="宋体" w:cs="宋体"/>
                <w:b w:val="0"/>
                <w:bCs w:val="0"/>
                <w:color w:val="auto"/>
              </w:rPr>
              <w:t xml:space="preserve">4、《电磁兼容 限值 第1部分：谐波电流发射限值（设备每相输入电流≤16A）》GB 17625.1-2022；</w:t>
            </w:r>
            <w:r/>
          </w:p>
          <w:p>
            <w:pPr>
              <w:ind w:left="0" w:right="0"/>
              <w:keepLines w:val="0"/>
              <w:keepNext w:val="0"/>
              <w:spacing w:before="0" w:beforeAutospacing="0" w:after="0" w:afterAutospacing="0"/>
              <w:rPr>
                <w:rFonts w:hint="eastAsia" w:ascii="宋体" w:hAnsi="宋体" w:eastAsia="宋体" w:cs="宋体"/>
                <w:b w:val="0"/>
                <w:bCs w:val="0"/>
                <w:color w:val="auto"/>
              </w:rPr>
              <w:suppressLineNumbers w:val="0"/>
            </w:pPr>
            <w:r>
              <w:rPr>
                <w:rFonts w:hint="eastAsia" w:ascii="宋体" w:hAnsi="宋体" w:eastAsia="宋体" w:cs="宋体"/>
                <w:b w:val="0"/>
                <w:bCs w:val="0"/>
                <w:color w:val="auto"/>
              </w:rPr>
              <w:t xml:space="preserve">5、《家用和类似用途电器的安全 按摩器具的特殊要求》GB 4706.10-2008；</w:t>
            </w:r>
            <w:r/>
          </w:p>
          <w:p>
            <w:pPr>
              <w:ind w:left="0" w:right="0"/>
              <w:keepLines w:val="0"/>
              <w:keepNext w:val="0"/>
              <w:spacing w:before="0" w:beforeAutospacing="0" w:after="0" w:afterAutospacing="0"/>
              <w:rPr>
                <w:rFonts w:hint="eastAsia" w:ascii="宋体" w:hAnsi="宋体" w:eastAsia="宋体" w:cs="宋体"/>
                <w:b w:val="0"/>
                <w:bCs w:val="0"/>
                <w:color w:val="auto"/>
              </w:rPr>
              <w:suppressLineNumbers w:val="0"/>
            </w:pPr>
            <w:r>
              <w:rPr>
                <w:rFonts w:hint="eastAsia" w:ascii="宋体" w:hAnsi="宋体" w:eastAsia="宋体" w:cs="宋体"/>
                <w:b w:val="0"/>
                <w:bCs w:val="0"/>
                <w:color w:val="auto"/>
              </w:rPr>
              <w:t xml:space="preserve">6、《家用和类似用途电器的安全 第10部分：按摩器具的特殊要求》GB/T 4706.10-2024；</w:t>
            </w:r>
            <w:r/>
          </w:p>
          <w:p>
            <w:pPr>
              <w:ind w:left="0" w:right="0"/>
              <w:keepLines w:val="0"/>
              <w:keepNext w:val="0"/>
              <w:spacing w:before="0" w:beforeAutospacing="0" w:after="0" w:afterAutospacing="0"/>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color w:val="auto"/>
              </w:rPr>
              <w:t xml:space="preserve">7、《家用和类似用途电器的安全第15部分：皮肤及毛发护理器具的特殊要求》GB/T 4706.15-2024。</w:t>
            </w:r>
            <w:r/>
          </w:p>
        </w:tc>
        <w:tc>
          <w:tcPr>
            <w:shd w:val="clear" w:color="auto" w:fill="auto"/>
            <w:tcBorders>
              <w:top w:val="single" w:color="000000" w:sz="4" w:space="0"/>
              <w:left w:val="single" w:color="000000" w:sz="4" w:space="0"/>
              <w:bottom w:val="single" w:color="000000" w:sz="4" w:space="0"/>
              <w:right w:val="single" w:color="000000" w:sz="4" w:space="0"/>
            </w:tcBorders>
            <w:tcW w:w="2799"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标志和说明，对触及带电部件的防护，输入功率和电流，工作温度下的泄漏电流和电气强度，稳定性和机械危险，机械强度，结构（不包括第 22.46、22.32、和22.3 条的试验），内部布线，电源连接和外部软线，外部导线用接线端子，接地措施，螺钉和连接，电气间隙、爬电距离和固体绝缘，谐波电流。</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cs="宋体"/>
                <w:b w:val="0"/>
                <w:bCs w:val="0"/>
                <w:i w:val="0"/>
                <w:iCs w:val="0"/>
                <w:color w:val="auto"/>
                <w:sz w:val="21"/>
                <w:szCs w:val="21"/>
                <w:u w:val="none"/>
                <w:lang w:val="en-US" w:eastAsia="zh-CN" w:bidi="ar"/>
              </w:rPr>
              <w:t xml:space="preserve">批次</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10</w:t>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足浴盆</w:t>
            </w:r>
            <w:r/>
          </w:p>
        </w:tc>
        <w:tc>
          <w:tcPr>
            <w:shd w:val="clear" w:color="auto" w:fill="auto"/>
            <w:tcBorders>
              <w:top w:val="single" w:color="000000" w:sz="4" w:space="0"/>
              <w:left w:val="single" w:color="000000" w:sz="4" w:space="0"/>
              <w:bottom w:val="single" w:color="000000" w:sz="4" w:space="0"/>
              <w:right w:val="single" w:color="000000" w:sz="4" w:space="0"/>
            </w:tcBorders>
            <w:tcW w:w="2648"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b w:val="0"/>
                <w:bCs w:val="0"/>
                <w:color w:val="auto"/>
              </w:rPr>
              <w:suppressLineNumbers w:val="0"/>
            </w:pPr>
            <w:r>
              <w:rPr>
                <w:rFonts w:hint="eastAsia" w:ascii="宋体" w:hAnsi="宋体" w:eastAsia="宋体" w:cs="宋体"/>
                <w:b w:val="0"/>
                <w:bCs w:val="0"/>
                <w:color w:val="auto"/>
              </w:rPr>
              <w:t xml:space="preserve">1、《家用和类似用途电器的安全第1部分：通用要求》GB 4706.1-2005；</w:t>
            </w:r>
            <w:r/>
          </w:p>
          <w:p>
            <w:pPr>
              <w:ind w:left="0" w:right="0"/>
              <w:keepLines w:val="0"/>
              <w:keepNext w:val="0"/>
              <w:spacing w:before="0" w:beforeAutospacing="0" w:after="0" w:afterAutospacing="0"/>
              <w:rPr>
                <w:rFonts w:hint="eastAsia" w:ascii="宋体" w:hAnsi="宋体" w:eastAsia="宋体" w:cs="宋体"/>
                <w:b w:val="0"/>
                <w:bCs w:val="0"/>
                <w:color w:val="auto"/>
              </w:rPr>
              <w:suppressLineNumbers w:val="0"/>
            </w:pPr>
            <w:r>
              <w:rPr>
                <w:rFonts w:hint="eastAsia" w:ascii="宋体" w:hAnsi="宋体" w:eastAsia="宋体" w:cs="宋体"/>
                <w:b w:val="0"/>
                <w:bCs w:val="0"/>
                <w:color w:val="auto"/>
              </w:rPr>
              <w:t xml:space="preserve">2、《家用和类似用途电器的安全 第1部分：通用要求》GB/T 4706.1-2024；</w:t>
            </w:r>
            <w:r/>
          </w:p>
          <w:p>
            <w:pPr>
              <w:ind w:left="0" w:right="0"/>
              <w:keepLines w:val="0"/>
              <w:keepNext w:val="0"/>
              <w:spacing w:before="0" w:beforeAutospacing="0" w:after="0" w:afterAutospacing="0"/>
              <w:rPr>
                <w:rFonts w:hint="eastAsia" w:ascii="宋体" w:hAnsi="宋体" w:eastAsia="宋体" w:cs="宋体"/>
                <w:b w:val="0"/>
                <w:bCs w:val="0"/>
                <w:color w:val="auto"/>
              </w:rPr>
              <w:suppressLineNumbers w:val="0"/>
            </w:pPr>
            <w:r>
              <w:rPr>
                <w:rFonts w:hint="eastAsia" w:ascii="宋体" w:hAnsi="宋体" w:eastAsia="宋体" w:cs="宋体"/>
                <w:b w:val="0"/>
                <w:bCs w:val="0"/>
                <w:color w:val="auto"/>
              </w:rPr>
              <w:t xml:space="preserve">3、《家用电器、电动工具和类似器具的电磁兼容要求 第1部分：发射》GB 4343.1-2024；</w:t>
            </w:r>
            <w:r/>
          </w:p>
          <w:p>
            <w:pPr>
              <w:ind w:left="0" w:right="0"/>
              <w:keepLines w:val="0"/>
              <w:keepNext w:val="0"/>
              <w:spacing w:before="0" w:beforeAutospacing="0" w:after="0" w:afterAutospacing="0"/>
              <w:rPr>
                <w:rFonts w:hint="eastAsia" w:ascii="宋体" w:hAnsi="宋体" w:eastAsia="宋体" w:cs="宋体"/>
                <w:b w:val="0"/>
                <w:bCs w:val="0"/>
                <w:color w:val="auto"/>
              </w:rPr>
              <w:suppressLineNumbers w:val="0"/>
            </w:pPr>
            <w:r>
              <w:rPr>
                <w:rFonts w:hint="eastAsia" w:ascii="宋体" w:hAnsi="宋体" w:eastAsia="宋体" w:cs="宋体"/>
                <w:b w:val="0"/>
                <w:bCs w:val="0"/>
                <w:color w:val="auto"/>
              </w:rPr>
              <w:t xml:space="preserve">4、《电磁兼容 限值 第1部分：谐波电流发射限值（设备每相输入电流≤16A）》GB 17625.1-2022；</w:t>
            </w:r>
            <w:r/>
          </w:p>
          <w:p>
            <w:pPr>
              <w:ind w:left="0" w:right="0"/>
              <w:keepLines w:val="0"/>
              <w:keepNext w:val="0"/>
              <w:spacing w:before="0" w:beforeAutospacing="0" w:after="0" w:afterAutospacing="0"/>
              <w:rPr>
                <w:rFonts w:hint="eastAsia" w:ascii="宋体" w:hAnsi="宋体" w:eastAsia="宋体" w:cs="宋体"/>
                <w:b w:val="0"/>
                <w:bCs w:val="0"/>
                <w:color w:val="auto"/>
              </w:rPr>
              <w:suppressLineNumbers w:val="0"/>
            </w:pPr>
            <w:r>
              <w:rPr>
                <w:rFonts w:hint="eastAsia" w:ascii="宋体" w:hAnsi="宋体" w:eastAsia="宋体" w:cs="宋体"/>
                <w:b w:val="0"/>
                <w:bCs w:val="0"/>
                <w:color w:val="auto"/>
              </w:rPr>
              <w:t xml:space="preserve">5、《家用和类似用途电器的安全 按摩器具的特殊要求》GB 4706.10-2008；</w:t>
            </w:r>
            <w:r/>
          </w:p>
          <w:p>
            <w:pPr>
              <w:ind w:left="0" w:right="0"/>
              <w:keepLines w:val="0"/>
              <w:keepNext w:val="0"/>
              <w:spacing w:before="0" w:beforeAutospacing="0" w:after="0" w:afterAutospacing="0"/>
              <w:rPr>
                <w:rFonts w:hint="eastAsia" w:ascii="宋体" w:hAnsi="宋体" w:eastAsia="宋体" w:cs="宋体"/>
                <w:b w:val="0"/>
                <w:bCs w:val="0"/>
                <w:color w:val="auto"/>
              </w:rPr>
              <w:suppressLineNumbers w:val="0"/>
            </w:pPr>
            <w:r>
              <w:rPr>
                <w:rFonts w:hint="eastAsia" w:ascii="宋体" w:hAnsi="宋体" w:eastAsia="宋体" w:cs="宋体"/>
                <w:b w:val="0"/>
                <w:bCs w:val="0"/>
                <w:color w:val="auto"/>
              </w:rPr>
              <w:t xml:space="preserve">6、《家用和类似用途电器的安全 第10部分：按摩器具的特殊要求》GB/T 4706.10-2024；</w:t>
            </w:r>
            <w:r/>
          </w:p>
          <w:p>
            <w:pPr>
              <w:ind w:left="0" w:right="0"/>
              <w:keepLines w:val="0"/>
              <w:keepNext w:val="0"/>
              <w:spacing w:before="0" w:beforeAutospacing="0" w:after="0" w:afterAutospacing="0"/>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color w:val="auto"/>
              </w:rPr>
              <w:t xml:space="preserve">7、《家用和类似用途电器的安全第15部分：皮肤及毛发护理器具的特殊要求》GB/T 4706.15-2024。</w:t>
            </w:r>
            <w:r/>
          </w:p>
        </w:tc>
        <w:tc>
          <w:tcPr>
            <w:shd w:val="clear" w:color="auto" w:fill="auto"/>
            <w:tcBorders>
              <w:top w:val="single" w:color="000000" w:sz="4" w:space="0"/>
              <w:left w:val="single" w:color="000000" w:sz="4" w:space="0"/>
              <w:bottom w:val="single" w:color="000000" w:sz="4" w:space="0"/>
              <w:right w:val="single" w:color="000000" w:sz="4" w:space="0"/>
            </w:tcBorders>
            <w:tcW w:w="2799"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标志和说明，对触及带电部件的防护，输入功率和电流，工作温度下的泄漏电流和电气强度，稳定性和机械危险，机械强度，结构（不包括第 22.46、22.32、和22.3 条的试验），内部布线，电源连接和外部软线，外部导线用接线端子，接地措施，螺钉和连接，电气间隙、爬电距离和固体绝缘，谐波电流。</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cs="宋体"/>
                <w:b w:val="0"/>
                <w:bCs w:val="0"/>
                <w:i w:val="0"/>
                <w:iCs w:val="0"/>
                <w:color w:val="auto"/>
                <w:sz w:val="21"/>
                <w:szCs w:val="21"/>
                <w:u w:val="none"/>
                <w:lang w:val="en-US" w:eastAsia="zh-CN" w:bidi="ar"/>
              </w:rPr>
              <w:t xml:space="preserve">批次</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10</w:t>
            </w:r>
            <w:r/>
          </w:p>
        </w:tc>
      </w:tr>
      <w:tr>
        <w:trPr>
          <w:trHeight w:val="860"/>
        </w:trPr>
        <w:tc>
          <w:tcPr>
            <w:shd w:val="clear" w:color="auto" w:fill="auto"/>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小家电</w:t>
            </w:r>
            <w:r/>
          </w:p>
        </w:tc>
        <w:tc>
          <w:tcPr>
            <w:shd w:val="clear" w:color="auto" w:fill="auto"/>
            <w:tcBorders>
              <w:top w:val="single" w:color="000000" w:sz="4" w:space="0"/>
              <w:left w:val="single" w:color="000000" w:sz="4" w:space="0"/>
              <w:bottom w:val="single" w:color="000000" w:sz="4" w:space="0"/>
              <w:right w:val="single" w:color="000000" w:sz="4" w:space="0"/>
            </w:tcBorders>
            <w:tcW w:w="91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小家电</w:t>
            </w:r>
            <w:r/>
          </w:p>
        </w:tc>
        <w:tc>
          <w:tcPr>
            <w:shd w:val="clear" w:color="auto" w:fill="auto"/>
            <w:tcBorders>
              <w:top w:val="single" w:color="000000" w:sz="4" w:space="0"/>
              <w:left w:val="single" w:color="000000" w:sz="4" w:space="0"/>
              <w:bottom w:val="single" w:color="000000" w:sz="4" w:space="0"/>
              <w:right w:val="single" w:color="000000" w:sz="4" w:space="0"/>
            </w:tcBorders>
            <w:tcW w:w="2648"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b w:val="0"/>
                <w:bCs w:val="0"/>
                <w:color w:val="auto"/>
              </w:rPr>
              <w:suppressLineNumbers w:val="0"/>
            </w:pPr>
            <w:r>
              <w:rPr>
                <w:rFonts w:hint="eastAsia" w:ascii="宋体" w:hAnsi="宋体" w:eastAsia="宋体" w:cs="宋体"/>
                <w:b w:val="0"/>
                <w:bCs w:val="0"/>
                <w:color w:val="auto"/>
              </w:rPr>
              <w:t xml:space="preserve">1、《家用和类似用途电器的安全第1部分：通用要求》GB 4706.1-2005；</w:t>
            </w:r>
            <w:r/>
          </w:p>
          <w:p>
            <w:pPr>
              <w:ind w:left="0" w:right="0"/>
              <w:keepLines w:val="0"/>
              <w:keepNext w:val="0"/>
              <w:spacing w:before="0" w:beforeAutospacing="0" w:after="0" w:afterAutospacing="0"/>
              <w:rPr>
                <w:rFonts w:hint="eastAsia" w:ascii="宋体" w:hAnsi="宋体" w:eastAsia="宋体" w:cs="宋体"/>
                <w:b w:val="0"/>
                <w:bCs w:val="0"/>
                <w:color w:val="auto"/>
              </w:rPr>
              <w:suppressLineNumbers w:val="0"/>
            </w:pPr>
            <w:r>
              <w:rPr>
                <w:rFonts w:hint="eastAsia" w:ascii="宋体" w:hAnsi="宋体" w:eastAsia="宋体" w:cs="宋体"/>
                <w:b w:val="0"/>
                <w:bCs w:val="0"/>
                <w:color w:val="auto"/>
              </w:rPr>
              <w:t xml:space="preserve">2、《家用和类似用途电器的安全 第1部分：通用要求》GB/T 4706.1-2024；</w:t>
            </w:r>
            <w:r/>
          </w:p>
          <w:p>
            <w:pPr>
              <w:ind w:left="0" w:right="0"/>
              <w:keepLines w:val="0"/>
              <w:keepNext w:val="0"/>
              <w:spacing w:before="0" w:beforeAutospacing="0" w:after="0" w:afterAutospacing="0"/>
              <w:rPr>
                <w:rFonts w:hint="eastAsia" w:ascii="宋体" w:hAnsi="宋体" w:eastAsia="宋体" w:cs="宋体"/>
                <w:b w:val="0"/>
                <w:bCs w:val="0"/>
                <w:color w:val="auto"/>
              </w:rPr>
              <w:suppressLineNumbers w:val="0"/>
            </w:pPr>
            <w:r>
              <w:rPr>
                <w:rFonts w:hint="eastAsia" w:ascii="宋体" w:hAnsi="宋体" w:eastAsia="宋体" w:cs="宋体"/>
                <w:b w:val="0"/>
                <w:bCs w:val="0"/>
                <w:color w:val="auto"/>
              </w:rPr>
              <w:t xml:space="preserve">3、《家用电器、电动工具和类似器具的电磁兼容要求 第1部分：发射》GB 4343.1-2024；</w:t>
            </w:r>
            <w:r/>
          </w:p>
          <w:p>
            <w:pPr>
              <w:ind w:left="0" w:right="0"/>
              <w:keepLines w:val="0"/>
              <w:keepNext w:val="0"/>
              <w:spacing w:before="0" w:beforeAutospacing="0" w:after="0" w:afterAutospacing="0"/>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color w:val="auto"/>
              </w:rPr>
              <w:t xml:space="preserve">4、《电磁兼容 限值 第1部分：谐波电流发射限值（设备每相输入电流≤16A）》GB 17625.1-2022。</w:t>
            </w:r>
            <w:r/>
          </w:p>
        </w:tc>
        <w:tc>
          <w:tcPr>
            <w:shd w:val="clear" w:color="auto" w:fill="auto"/>
            <w:tcBorders>
              <w:top w:val="single" w:color="000000" w:sz="4" w:space="0"/>
              <w:left w:val="single" w:color="000000" w:sz="4" w:space="0"/>
              <w:bottom w:val="single" w:color="000000" w:sz="4" w:space="0"/>
              <w:right w:val="single" w:color="000000" w:sz="4" w:space="0"/>
            </w:tcBorders>
            <w:tcW w:w="2799"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标志和说明、对触及带电部件的防护、输入功率和电流、稳定性和机械危险、机械强度、结构（不包括第22.46、22.32和22.3条的试验）、内部布线、电源连接和外部软线、外部导线用接线端子、接地措施、螺钉和连接、 电气间隙，爬电距离和固体绝缘；谐波电流。</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cs="宋体"/>
                <w:b w:val="0"/>
                <w:bCs w:val="0"/>
                <w:i w:val="0"/>
                <w:iCs w:val="0"/>
                <w:color w:val="auto"/>
                <w:sz w:val="21"/>
                <w:szCs w:val="21"/>
                <w:u w:val="none"/>
                <w:lang w:val="en-US" w:eastAsia="zh-CN" w:bidi="ar"/>
              </w:rPr>
              <w:t xml:space="preserve">批次</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30</w:t>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移动 电源</w:t>
            </w:r>
            <w:r/>
          </w:p>
        </w:tc>
        <w:tc>
          <w:tcPr>
            <w:shd w:val="clear" w:color="auto" w:fill="auto"/>
            <w:tcBorders>
              <w:top w:val="single" w:color="000000" w:sz="4" w:space="0"/>
              <w:left w:val="single" w:color="000000" w:sz="4" w:space="0"/>
              <w:bottom w:val="single" w:color="000000" w:sz="4" w:space="0"/>
              <w:right w:val="single" w:color="000000" w:sz="4" w:space="0"/>
            </w:tcBorders>
            <w:tcW w:w="91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移动电源</w:t>
            </w:r>
            <w:r/>
          </w:p>
        </w:tc>
        <w:tc>
          <w:tcPr>
            <w:shd w:val="clear" w:color="auto" w:fill="auto"/>
            <w:tcBorders>
              <w:top w:val="single" w:color="000000" w:sz="4" w:space="0"/>
              <w:left w:val="single" w:color="000000" w:sz="4" w:space="0"/>
              <w:bottom w:val="single" w:color="000000" w:sz="4" w:space="0"/>
              <w:right w:val="single" w:color="000000" w:sz="4" w:space="0"/>
            </w:tcBorders>
            <w:tcW w:w="2648"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《便携式电子产品用锂离子电池和电池组 安全技术规范》GB 31241-2022。</w:t>
            </w:r>
            <w:r/>
          </w:p>
        </w:tc>
        <w:tc>
          <w:tcPr>
            <w:shd w:val="clear" w:color="auto" w:fill="auto"/>
            <w:tcBorders>
              <w:top w:val="single" w:color="000000" w:sz="4" w:space="0"/>
              <w:left w:val="single" w:color="000000" w:sz="4" w:space="0"/>
              <w:bottom w:val="single" w:color="000000" w:sz="4" w:space="0"/>
              <w:right w:val="single" w:color="000000" w:sz="4" w:space="0"/>
            </w:tcBorders>
            <w:tcW w:w="2799"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b w:val="0"/>
                <w:bCs w:val="0"/>
                <w:color w:val="auto"/>
                <w:lang w:val="en-US" w:eastAsia="zh-CN"/>
              </w:rPr>
              <w:suppressLineNumbers w:val="0"/>
            </w:pPr>
            <w:r>
              <w:rPr>
                <w:rFonts w:hint="eastAsia" w:ascii="宋体" w:hAnsi="宋体" w:eastAsia="宋体" w:cs="宋体"/>
                <w:b w:val="0"/>
                <w:bCs w:val="0"/>
                <w:color w:val="auto"/>
                <w:lang w:val="en-US" w:eastAsia="zh-CN"/>
              </w:rPr>
              <w:t xml:space="preserve">容量、低气压、外部短路，标识。</w:t>
            </w:r>
            <w:r/>
          </w:p>
          <w:p>
            <w:pPr>
              <w:ind w:left="0" w:right="0"/>
              <w:keepLines w:val="0"/>
              <w:keepNext w:val="0"/>
              <w:spacing w:before="0" w:beforeAutospacing="0" w:after="0" w:afterAutospacing="0"/>
              <w:rPr>
                <w:rFonts w:hint="eastAsia" w:ascii="宋体" w:hAnsi="宋体" w:eastAsia="宋体" w:cs="宋体"/>
                <w:b w:val="0"/>
                <w:bCs w:val="0"/>
                <w:color w:val="auto"/>
              </w:rPr>
              <w:suppressLineNumbers w:val="0"/>
            </w:pPr>
            <w:r>
              <w:rPr>
                <w:rFonts w:hint="eastAsia" w:ascii="宋体" w:hAnsi="宋体" w:eastAsia="宋体" w:cs="宋体"/>
                <w:b w:val="0"/>
                <w:bCs w:val="0"/>
                <w:color w:val="auto"/>
              </w:rPr>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b w:val="0"/>
                <w:bCs w:val="0"/>
                <w:color w:val="auto"/>
                <w:lang w:val="en-US" w:eastAsia="zh-CN"/>
              </w:rPr>
              <w:suppressLineNumbers w:val="0"/>
            </w:pPr>
            <w:r>
              <w:rPr>
                <w:rFonts w:hint="eastAsia" w:ascii="宋体" w:hAnsi="宋体" w:eastAsia="宋体" w:cs="宋体"/>
                <w:b w:val="0"/>
                <w:bCs w:val="0"/>
                <w:color w:val="auto"/>
                <w:lang w:val="en-US" w:eastAsia="zh-CN"/>
              </w:rPr>
              <w:t xml:space="preserve">批次</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ind w:left="0" w:right="0" w:firstLine="210"/>
              <w:keepLines w:val="0"/>
              <w:keepNext w:val="0"/>
              <w:spacing w:before="0" w:beforeAutospacing="0" w:after="0" w:afterAutospacing="0"/>
              <w:rPr>
                <w:rFonts w:hint="eastAsia" w:ascii="宋体" w:hAnsi="宋体" w:eastAsia="宋体" w:cs="宋体"/>
                <w:b w:val="0"/>
                <w:bCs w:val="0"/>
                <w:color w:val="auto"/>
                <w:lang w:val="en-US" w:eastAsia="zh-CN"/>
              </w:rPr>
              <w:suppressLineNumbers w:val="0"/>
            </w:pPr>
            <w:r>
              <w:rPr>
                <w:rFonts w:hint="eastAsia" w:ascii="宋体" w:hAnsi="宋体" w:eastAsia="宋体" w:cs="宋体"/>
                <w:b w:val="0"/>
                <w:bCs w:val="0"/>
                <w:color w:val="auto"/>
                <w:lang w:val="en-US" w:eastAsia="zh-CN"/>
              </w:rPr>
              <w:t xml:space="preserve">20</w:t>
            </w:r>
            <w:r/>
          </w:p>
          <w:p>
            <w:pPr>
              <w:ind w:left="0" w:right="0"/>
              <w:keepLines w:val="0"/>
              <w:keepNext w:val="0"/>
              <w:spacing w:before="0" w:beforeAutospacing="0" w:after="0" w:afterAutospacing="0"/>
              <w:rPr>
                <w:rFonts w:hint="default" w:ascii="宋体" w:hAnsi="宋体" w:eastAsia="宋体" w:cs="宋体"/>
                <w:b w:val="0"/>
                <w:bCs w:val="0"/>
                <w:color w:val="auto"/>
                <w:lang w:val="en-US" w:eastAsia="zh-CN"/>
              </w:rPr>
              <w:suppressLineNumbers w:val="0"/>
            </w:pPr>
            <w:r>
              <w:rPr>
                <w:rFonts w:hint="eastAsia" w:ascii="宋体" w:hAnsi="宋体" w:eastAsia="宋体" w:cs="宋体"/>
                <w:b w:val="0"/>
                <w:bCs w:val="0"/>
                <w:color w:val="auto"/>
                <w:lang w:val="en-US" w:eastAsia="zh-CN"/>
              </w:rPr>
              <w:t xml:space="preserve">(线上5、线下15）</w:t>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电热毯</w:t>
            </w:r>
            <w:r/>
          </w:p>
        </w:tc>
        <w:tc>
          <w:tcPr>
            <w:shd w:val="clear" w:color="auto" w:fill="auto"/>
            <w:tcBorders>
              <w:top w:val="single" w:color="000000" w:sz="4" w:space="0"/>
              <w:left w:val="single" w:color="000000" w:sz="4" w:space="0"/>
              <w:bottom w:val="single" w:color="000000" w:sz="4" w:space="0"/>
              <w:right w:val="single" w:color="000000" w:sz="4" w:space="0"/>
            </w:tcBorders>
            <w:tcW w:w="91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电热毯</w:t>
            </w:r>
            <w:r/>
          </w:p>
        </w:tc>
        <w:tc>
          <w:tcPr>
            <w:shd w:val="clear" w:color="auto" w:fill="auto"/>
            <w:tcBorders>
              <w:top w:val="single" w:color="000000" w:sz="4" w:space="0"/>
              <w:left w:val="single" w:color="000000" w:sz="4" w:space="0"/>
              <w:bottom w:val="single" w:color="000000" w:sz="4" w:space="0"/>
              <w:right w:val="single" w:color="000000" w:sz="4" w:space="0"/>
            </w:tcBorders>
            <w:tcW w:w="2648"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b w:val="0"/>
                <w:bCs w:val="0"/>
                <w:color w:val="auto"/>
              </w:rPr>
              <w:suppressLineNumbers w:val="0"/>
            </w:pPr>
            <w:r>
              <w:rPr>
                <w:rFonts w:hint="eastAsia" w:ascii="宋体" w:hAnsi="宋体" w:eastAsia="宋体" w:cs="宋体"/>
                <w:b w:val="0"/>
                <w:bCs w:val="0"/>
                <w:color w:val="auto"/>
              </w:rPr>
              <w:t xml:space="preserve">1、《家用和类似用途电器的安全第1部分：通用要求》GB 4706.1-2005；</w:t>
            </w:r>
            <w:r/>
          </w:p>
          <w:p>
            <w:pPr>
              <w:ind w:left="0" w:right="0"/>
              <w:keepLines w:val="0"/>
              <w:keepNext w:val="0"/>
              <w:spacing w:before="0" w:beforeAutospacing="0" w:after="0" w:afterAutospacing="0"/>
              <w:rPr>
                <w:rFonts w:hint="eastAsia" w:ascii="宋体" w:hAnsi="宋体" w:eastAsia="宋体" w:cs="宋体"/>
                <w:b w:val="0"/>
                <w:bCs w:val="0"/>
                <w:color w:val="auto"/>
              </w:rPr>
              <w:suppressLineNumbers w:val="0"/>
            </w:pPr>
            <w:r>
              <w:rPr>
                <w:rFonts w:hint="eastAsia" w:ascii="宋体" w:hAnsi="宋体" w:eastAsia="宋体" w:cs="宋体"/>
                <w:b w:val="0"/>
                <w:bCs w:val="0"/>
                <w:color w:val="auto"/>
              </w:rPr>
              <w:t xml:space="preserve">2、《家用和类似用途电器的安全 第1部分：通用要求》GB/T 4706.1-2024；</w:t>
            </w:r>
            <w:r/>
          </w:p>
          <w:p>
            <w:pPr>
              <w:ind w:left="0" w:right="0"/>
              <w:keepLines w:val="0"/>
              <w:keepNext w:val="0"/>
              <w:spacing w:before="0" w:beforeAutospacing="0" w:after="0" w:afterAutospacing="0"/>
              <w:rPr>
                <w:rFonts w:hint="eastAsia" w:ascii="宋体" w:hAnsi="宋体" w:eastAsia="宋体" w:cs="宋体"/>
                <w:b w:val="0"/>
                <w:bCs w:val="0"/>
                <w:color w:val="auto"/>
              </w:rPr>
              <w:suppressLineNumbers w:val="0"/>
            </w:pPr>
            <w:r>
              <w:rPr>
                <w:rFonts w:hint="eastAsia" w:ascii="宋体" w:hAnsi="宋体" w:eastAsia="宋体" w:cs="宋体"/>
                <w:b w:val="0"/>
                <w:bCs w:val="0"/>
                <w:color w:val="auto"/>
              </w:rPr>
              <w:t xml:space="preserve">3、《家用电器、电动工具和类似器具的电磁兼容要求 第1部分：发射》GB 4343.1-2024；</w:t>
            </w:r>
            <w:r/>
          </w:p>
          <w:p>
            <w:pPr>
              <w:ind w:left="0" w:right="0"/>
              <w:keepLines w:val="0"/>
              <w:keepNext w:val="0"/>
              <w:spacing w:before="0" w:beforeAutospacing="0" w:after="0" w:afterAutospacing="0"/>
              <w:rPr>
                <w:rFonts w:hint="eastAsia" w:ascii="宋体" w:hAnsi="宋体" w:eastAsia="宋体" w:cs="宋体"/>
                <w:b w:val="0"/>
                <w:bCs w:val="0"/>
                <w:color w:val="auto"/>
              </w:rPr>
              <w:suppressLineNumbers w:val="0"/>
            </w:pPr>
            <w:r>
              <w:rPr>
                <w:rFonts w:hint="eastAsia" w:ascii="宋体" w:hAnsi="宋体" w:eastAsia="宋体" w:cs="宋体"/>
                <w:b w:val="0"/>
                <w:bCs w:val="0"/>
                <w:color w:val="auto"/>
              </w:rPr>
              <w:t xml:space="preserve">4、《电磁兼容 限值 第1部分：谐波电流发射限值（设备每相输入电流≤16A）》GB 17625.1-2022；</w:t>
            </w:r>
            <w:r/>
          </w:p>
          <w:p>
            <w:pPr>
              <w:ind w:left="0" w:right="0"/>
              <w:keepLines w:val="0"/>
              <w:keepNext w:val="0"/>
              <w:spacing w:before="0" w:beforeAutospacing="0" w:after="0" w:afterAutospacing="0"/>
              <w:rPr>
                <w:rFonts w:hint="eastAsia" w:ascii="宋体" w:hAnsi="宋体" w:eastAsia="宋体" w:cs="宋体"/>
                <w:b w:val="0"/>
                <w:bCs w:val="0"/>
                <w:color w:val="auto"/>
              </w:rPr>
              <w:suppressLineNumbers w:val="0"/>
            </w:pPr>
            <w:r>
              <w:rPr>
                <w:rFonts w:hint="eastAsia" w:ascii="宋体" w:hAnsi="宋体" w:eastAsia="宋体" w:cs="宋体"/>
                <w:b w:val="0"/>
                <w:bCs w:val="0"/>
                <w:color w:val="auto"/>
              </w:rPr>
              <w:t xml:space="preserve">5、《家用和类似用途电器的安全 电热毯、电热垫及类似柔性发热器具的特殊要求》GB 4706.8-2008；</w:t>
            </w:r>
            <w:r/>
          </w:p>
          <w:p>
            <w:pPr>
              <w:ind w:left="0" w:right="0"/>
              <w:keepLines w:val="0"/>
              <w:keepNext w:val="0"/>
              <w:spacing w:before="0" w:beforeAutospacing="0" w:after="0" w:afterAutospacing="0"/>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color w:val="auto"/>
              </w:rPr>
              <w:t xml:space="preserve">6、《家用和类似用途电器的安全 第8部分：电热毯、电热垫、电热衣及类似柔性发热器具的特殊要求》GB/T 4706.8-2024。</w:t>
            </w:r>
            <w:r>
              <w:rPr>
                <w:rFonts w:hint="eastAsia" w:ascii="宋体" w:hAnsi="宋体" w:eastAsia="宋体" w:cs="宋体"/>
                <w:b w:val="0"/>
                <w:bCs w:val="0"/>
                <w:i w:val="0"/>
                <w:iCs w:val="0"/>
                <w:color w:val="auto"/>
                <w:sz w:val="21"/>
                <w:szCs w:val="21"/>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799"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标志和说明、对触及带电部件的防护、输入功率和电流、结构（不包括第 22.46、22.32、和22.3 条的试验）、内部布线、电源连接和外部软线、外部导线用接线端子、螺钉和连接，谐波电流。</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cs="宋体"/>
                <w:b w:val="0"/>
                <w:bCs w:val="0"/>
                <w:i w:val="0"/>
                <w:iCs w:val="0"/>
                <w:color w:val="auto"/>
                <w:sz w:val="21"/>
                <w:szCs w:val="21"/>
                <w:u w:val="none"/>
                <w:lang w:val="en-US" w:eastAsia="zh-CN" w:bidi="ar"/>
              </w:rPr>
              <w:t xml:space="preserve">批次</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5</w:t>
            </w:r>
            <w:r/>
          </w:p>
        </w:tc>
      </w:tr>
      <w:tr>
        <w:trPr>
          <w:trHeight w:val="626"/>
        </w:trPr>
        <w:tc>
          <w:tcPr>
            <w:shd w:val="clear" w:color="auto" w:fill="auto"/>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室内加热器</w:t>
            </w:r>
            <w:r/>
          </w:p>
        </w:tc>
        <w:tc>
          <w:tcPr>
            <w:shd w:val="clear" w:color="auto" w:fill="auto"/>
            <w:tcBorders>
              <w:top w:val="single" w:color="000000" w:sz="4" w:space="0"/>
              <w:left w:val="single" w:color="000000" w:sz="4" w:space="0"/>
              <w:bottom w:val="single" w:color="000000" w:sz="4" w:space="0"/>
              <w:right w:val="single" w:color="000000" w:sz="4" w:space="0"/>
            </w:tcBorders>
            <w:tcW w:w="91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室内加热器</w:t>
            </w:r>
            <w:r/>
          </w:p>
        </w:tc>
        <w:tc>
          <w:tcPr>
            <w:shd w:val="clear" w:color="auto" w:fill="auto"/>
            <w:tcBorders>
              <w:top w:val="single" w:color="000000" w:sz="4" w:space="0"/>
              <w:left w:val="single" w:color="000000" w:sz="4" w:space="0"/>
              <w:bottom w:val="single" w:color="000000" w:sz="4" w:space="0"/>
              <w:right w:val="single" w:color="000000" w:sz="4" w:space="0"/>
            </w:tcBorders>
            <w:tcW w:w="2648"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b w:val="0"/>
                <w:bCs w:val="0"/>
                <w:color w:val="auto"/>
              </w:rPr>
              <w:suppressLineNumbers w:val="0"/>
            </w:pPr>
            <w:r>
              <w:rPr>
                <w:rFonts w:hint="eastAsia" w:ascii="宋体" w:hAnsi="宋体" w:eastAsia="宋体" w:cs="宋体"/>
                <w:b w:val="0"/>
                <w:bCs w:val="0"/>
                <w:color w:val="auto"/>
              </w:rPr>
              <w:t xml:space="preserve">1、《家用和类似用途电器的安全第1部分：通用要求》GB 4706.1-2005；</w:t>
            </w:r>
            <w:r/>
          </w:p>
          <w:p>
            <w:pPr>
              <w:ind w:left="0" w:right="0"/>
              <w:keepLines w:val="0"/>
              <w:keepNext w:val="0"/>
              <w:spacing w:before="0" w:beforeAutospacing="0" w:after="0" w:afterAutospacing="0"/>
              <w:rPr>
                <w:rFonts w:hint="eastAsia" w:ascii="宋体" w:hAnsi="宋体" w:eastAsia="宋体" w:cs="宋体"/>
                <w:b w:val="0"/>
                <w:bCs w:val="0"/>
                <w:color w:val="auto"/>
              </w:rPr>
              <w:suppressLineNumbers w:val="0"/>
            </w:pPr>
            <w:r>
              <w:rPr>
                <w:rFonts w:hint="eastAsia" w:ascii="宋体" w:hAnsi="宋体" w:eastAsia="宋体" w:cs="宋体"/>
                <w:b w:val="0"/>
                <w:bCs w:val="0"/>
                <w:color w:val="auto"/>
              </w:rPr>
              <w:t xml:space="preserve">2、《家用和类似用途电器的安全 第1部分：通用要求》GB/T 4706.1-2024；</w:t>
            </w:r>
            <w:r/>
          </w:p>
          <w:p>
            <w:pPr>
              <w:ind w:left="0" w:right="0"/>
              <w:keepLines w:val="0"/>
              <w:keepNext w:val="0"/>
              <w:spacing w:before="0" w:beforeAutospacing="0" w:after="0" w:afterAutospacing="0"/>
              <w:rPr>
                <w:rFonts w:hint="eastAsia" w:ascii="宋体" w:hAnsi="宋体" w:eastAsia="宋体" w:cs="宋体"/>
                <w:b w:val="0"/>
                <w:bCs w:val="0"/>
                <w:color w:val="auto"/>
              </w:rPr>
              <w:suppressLineNumbers w:val="0"/>
            </w:pPr>
            <w:r>
              <w:rPr>
                <w:rFonts w:hint="eastAsia" w:ascii="宋体" w:hAnsi="宋体" w:eastAsia="宋体" w:cs="宋体"/>
                <w:b w:val="0"/>
                <w:bCs w:val="0"/>
                <w:color w:val="auto"/>
              </w:rPr>
              <w:t xml:space="preserve">3、《家用电器、电动工具和类似器具的电磁兼容要求 第1部分：发射》GB 4343.1-2024；</w:t>
            </w:r>
            <w:r/>
          </w:p>
          <w:p>
            <w:pPr>
              <w:ind w:left="0" w:right="0"/>
              <w:keepLines w:val="0"/>
              <w:keepNext w:val="0"/>
              <w:spacing w:before="0" w:beforeAutospacing="0" w:after="0" w:afterAutospacing="0"/>
              <w:rPr>
                <w:rFonts w:hint="eastAsia" w:ascii="宋体" w:hAnsi="宋体" w:eastAsia="宋体" w:cs="宋体"/>
                <w:b w:val="0"/>
                <w:bCs w:val="0"/>
                <w:color w:val="auto"/>
              </w:rPr>
              <w:suppressLineNumbers w:val="0"/>
            </w:pPr>
            <w:r>
              <w:rPr>
                <w:rFonts w:hint="eastAsia" w:ascii="宋体" w:hAnsi="宋体" w:eastAsia="宋体" w:cs="宋体"/>
                <w:b w:val="0"/>
                <w:bCs w:val="0"/>
                <w:color w:val="auto"/>
              </w:rPr>
              <w:t xml:space="preserve">4、《电磁兼容 限值 第1部分：谐波电流发射限值（设备每相输入电流≤16A）》GB 17625.1-2022；</w:t>
            </w:r>
            <w:r/>
          </w:p>
          <w:p>
            <w:pPr>
              <w:ind w:left="0" w:right="0"/>
              <w:keepLines w:val="0"/>
              <w:keepNext w:val="0"/>
              <w:spacing w:before="0" w:beforeAutospacing="0" w:after="0" w:afterAutospacing="0"/>
              <w:rPr>
                <w:rFonts w:hint="eastAsia" w:ascii="宋体" w:hAnsi="宋体" w:eastAsia="宋体" w:cs="宋体"/>
                <w:b w:val="0"/>
                <w:bCs w:val="0"/>
                <w:color w:val="auto"/>
              </w:rPr>
              <w:suppressLineNumbers w:val="0"/>
            </w:pPr>
            <w:r>
              <w:rPr>
                <w:rFonts w:hint="eastAsia" w:ascii="宋体" w:hAnsi="宋体" w:eastAsia="宋体" w:cs="宋体"/>
                <w:b w:val="0"/>
                <w:bCs w:val="0"/>
                <w:color w:val="auto"/>
              </w:rPr>
              <w:t xml:space="preserve">5、《家用和类似用途电器的安全 第2部分：室内加热器的特殊要求》GB 4706.23-2007；</w:t>
            </w:r>
            <w:r/>
          </w:p>
          <w:p>
            <w:pPr>
              <w:ind w:left="0" w:right="0"/>
              <w:keepLines w:val="0"/>
              <w:keepNext w:val="0"/>
              <w:spacing w:before="0" w:beforeAutospacing="0" w:after="0" w:afterAutospacing="0"/>
              <w:rPr>
                <w:rFonts w:hint="eastAsia" w:ascii="宋体" w:hAnsi="宋体" w:eastAsia="宋体" w:cs="宋体"/>
                <w:b w:val="0"/>
                <w:bCs w:val="0"/>
                <w:color w:val="auto"/>
              </w:rPr>
              <w:suppressLineNumbers w:val="0"/>
            </w:pPr>
            <w:r>
              <w:rPr>
                <w:rFonts w:hint="eastAsia" w:ascii="宋体" w:hAnsi="宋体" w:eastAsia="宋体" w:cs="宋体"/>
                <w:b w:val="0"/>
                <w:bCs w:val="0"/>
                <w:color w:val="auto"/>
              </w:rPr>
              <w:t xml:space="preserve">6、《家用和类似用途电器的安全 第23部分：室内加热器的特殊要求》GB/T 4706.23-2024；</w:t>
            </w:r>
            <w:r/>
          </w:p>
          <w:p>
            <w:pPr>
              <w:ind w:left="0" w:right="0"/>
              <w:keepLines w:val="0"/>
              <w:keepNext w:val="0"/>
              <w:spacing w:before="0" w:beforeAutospacing="0" w:after="0" w:afterAutospacing="0"/>
              <w:rPr>
                <w:rFonts w:hint="eastAsia" w:ascii="宋体" w:hAnsi="宋体" w:eastAsia="宋体" w:cs="宋体"/>
                <w:b w:val="0"/>
                <w:bCs w:val="0"/>
                <w:color w:val="auto"/>
              </w:rPr>
              <w:suppressLineNumbers w:val="0"/>
            </w:pPr>
            <w:r>
              <w:rPr>
                <w:rFonts w:hint="eastAsia" w:ascii="宋体" w:hAnsi="宋体" w:eastAsia="宋体" w:cs="宋体"/>
                <w:b w:val="0"/>
                <w:bCs w:val="0"/>
                <w:color w:val="auto"/>
              </w:rPr>
              <w:t xml:space="preserve">7、《家用和类似用途电器的安全 第2部分：风扇的特殊要求》GB 4706.27-2008；</w:t>
            </w:r>
            <w:r/>
          </w:p>
          <w:p>
            <w:pPr>
              <w:ind w:left="0" w:right="0"/>
              <w:keepLines w:val="0"/>
              <w:keepNext w:val="0"/>
              <w:spacing w:before="0" w:beforeAutospacing="0" w:after="0" w:afterAutospacing="0"/>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color w:val="auto"/>
              </w:rPr>
              <w:t xml:space="preserve">8、《家用和类似用途电器的安全 第27部分：风扇的特殊要求》GB/T 4706.27-2024。</w:t>
            </w:r>
            <w:r/>
          </w:p>
        </w:tc>
        <w:tc>
          <w:tcPr>
            <w:shd w:val="clear" w:color="auto" w:fill="auto"/>
            <w:tcBorders>
              <w:top w:val="single" w:color="000000" w:sz="4" w:space="0"/>
              <w:left w:val="single" w:color="000000" w:sz="4" w:space="0"/>
              <w:bottom w:val="single" w:color="000000" w:sz="4" w:space="0"/>
              <w:right w:val="single" w:color="000000" w:sz="4" w:space="0"/>
            </w:tcBorders>
            <w:tcW w:w="2799"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标志和说明、对触及带电部件的防护、输入功率和电流、机械强度、结构（不包括第 22.46、22.32、和22.3 条的试验）、内部布线、电源连接和外部软线、外部导线用接线端子、接地措施、螺钉和连接、  电气间隙，爬电距离和固体绝缘；谐波电流。</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cs="宋体"/>
                <w:b w:val="0"/>
                <w:bCs w:val="0"/>
                <w:i w:val="0"/>
                <w:iCs w:val="0"/>
                <w:color w:val="auto"/>
                <w:sz w:val="21"/>
                <w:szCs w:val="21"/>
                <w:u w:val="none"/>
                <w:lang w:val="en-US" w:eastAsia="zh-CN" w:bidi="ar"/>
              </w:rPr>
              <w:t xml:space="preserve">批次</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5</w:t>
            </w:r>
            <w:r/>
          </w:p>
        </w:tc>
      </w:tr>
      <w:tr>
        <w:trPr>
          <w:trHeight w:val="572"/>
        </w:trPr>
        <w:tc>
          <w:tcPr>
            <w:shd w:val="clear" w:color="auto" w:fill="auto"/>
            <w:tcBorders>
              <w:top w:val="single" w:color="000000" w:sz="4" w:space="0"/>
              <w:left w:val="single" w:color="000000" w:sz="4" w:space="0"/>
              <w:bottom w:val="single" w:color="000000" w:sz="4" w:space="0"/>
              <w:right w:val="single" w:color="000000" w:sz="4" w:space="0"/>
            </w:tcBorders>
            <w:tcW w:w="651"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电子门锁</w:t>
            </w:r>
            <w:r/>
          </w:p>
        </w:tc>
        <w:tc>
          <w:tcPr>
            <w:shd w:val="clear" w:color="auto" w:fill="auto"/>
            <w:tcBorders>
              <w:top w:val="single" w:color="000000" w:sz="4" w:space="0"/>
              <w:left w:val="single" w:color="000000" w:sz="4" w:space="0"/>
              <w:bottom w:val="single" w:color="000000" w:sz="4" w:space="0"/>
              <w:right w:val="single" w:color="000000" w:sz="4" w:space="0"/>
            </w:tcBorders>
            <w:tcW w:w="91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电子门锁</w:t>
            </w:r>
            <w:r/>
          </w:p>
        </w:tc>
        <w:tc>
          <w:tcPr>
            <w:shd w:val="clear" w:color="auto" w:fill="auto"/>
            <w:tcBorders>
              <w:top w:val="single" w:color="000000" w:sz="4" w:space="0"/>
              <w:left w:val="single" w:color="000000" w:sz="4" w:space="0"/>
              <w:bottom w:val="single" w:color="000000" w:sz="4" w:space="0"/>
              <w:right w:val="single" w:color="000000" w:sz="4" w:space="0"/>
            </w:tcBorders>
            <w:tcW w:w="2648"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b w:val="0"/>
                <w:bCs w:val="0"/>
                <w:color w:val="auto"/>
              </w:rPr>
              <w:suppressLineNumbers w:val="0"/>
            </w:pPr>
            <w:r>
              <w:rPr>
                <w:rFonts w:hint="eastAsia" w:ascii="宋体" w:hAnsi="宋体" w:eastAsia="宋体" w:cs="宋体"/>
                <w:b w:val="0"/>
                <w:bCs w:val="0"/>
                <w:color w:val="auto"/>
              </w:rPr>
              <w:t xml:space="preserve">1、《锁具安全通用技术条件》GB 21556—2008；</w:t>
            </w:r>
            <w:r/>
          </w:p>
          <w:p>
            <w:pPr>
              <w:ind w:left="0" w:right="0"/>
              <w:keepLines w:val="0"/>
              <w:keepNext w:val="0"/>
              <w:spacing w:before="0" w:beforeAutospacing="0" w:after="0" w:afterAutospacing="0"/>
              <w:rPr>
                <w:rFonts w:hint="eastAsia" w:ascii="宋体" w:hAnsi="宋体" w:eastAsia="宋体" w:cs="宋体"/>
                <w:b w:val="0"/>
                <w:bCs w:val="0"/>
                <w:color w:val="auto"/>
              </w:rPr>
              <w:suppressLineNumbers w:val="0"/>
            </w:pPr>
            <w:r>
              <w:rPr>
                <w:rFonts w:hint="eastAsia" w:ascii="宋体" w:hAnsi="宋体" w:eastAsia="宋体" w:cs="宋体"/>
                <w:b w:val="0"/>
                <w:bCs w:val="0"/>
                <w:color w:val="auto"/>
              </w:rPr>
              <w:t xml:space="preserve">2、《锁具安全技术要求 第2部分：防盗锁》GB 21556.2-2025；</w:t>
            </w:r>
            <w:r/>
          </w:p>
          <w:p>
            <w:pPr>
              <w:ind w:left="0" w:right="0"/>
              <w:keepLines w:val="0"/>
              <w:keepNext w:val="0"/>
              <w:spacing w:before="0" w:beforeAutospacing="0" w:after="0" w:afterAutospacing="0"/>
              <w:rPr>
                <w:rFonts w:hint="eastAsia" w:ascii="宋体" w:hAnsi="宋体" w:eastAsia="宋体" w:cs="宋体"/>
                <w:b w:val="0"/>
                <w:bCs w:val="0"/>
                <w:color w:val="auto"/>
              </w:rPr>
              <w:suppressLineNumbers w:val="0"/>
            </w:pPr>
            <w:r>
              <w:rPr>
                <w:rFonts w:hint="eastAsia" w:ascii="宋体" w:hAnsi="宋体" w:eastAsia="宋体" w:cs="宋体"/>
                <w:b w:val="0"/>
                <w:bCs w:val="0"/>
                <w:color w:val="auto"/>
              </w:rPr>
              <w:t xml:space="preserve">3、《电子防盗锁》GA 374—2019。</w:t>
            </w:r>
            <w:r/>
          </w:p>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99"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1、GB 21556—2008：锁舌轴向静载荷、执手承受静拉力及扭矩、信息保存及误识率试验、防破坏报警功能、锁舌伸出长度、抗干扰、稳定性；</w:t>
            </w:r>
            <w:r/>
          </w:p>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2、GB 21556.2—2025：输入错误报警、防拆报警、主锁舌强度（主锁舌抗侧向静压力、主锁舌抗轴向静压力）、手动部件强度、</w:t>
            </w:r>
            <w:r/>
          </w:p>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3、GA 374—2019：主锁舌抗轴向静压力、手动部件强度、信息保存、主锁舌伸出长度、静电放电抗扰度、稳定性。</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cs="宋体"/>
                <w:b w:val="0"/>
                <w:bCs w:val="0"/>
                <w:i w:val="0"/>
                <w:iCs w:val="0"/>
                <w:color w:val="auto"/>
                <w:sz w:val="21"/>
                <w:szCs w:val="21"/>
                <w:u w:val="none"/>
                <w:lang w:val="en-US" w:eastAsia="zh-CN" w:bidi="ar"/>
              </w:rPr>
              <w:t xml:space="preserve">批次</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1</w:t>
            </w:r>
            <w:r/>
          </w:p>
        </w:tc>
      </w:tr>
      <w:tr>
        <w:trPr>
          <w:trHeight w:val="194"/>
        </w:trPr>
        <w:tc>
          <w:tcPr>
            <w:shd w:val="clear" w:color="auto" w:fill="auto"/>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电子防盗锁</w:t>
            </w:r>
            <w:r/>
          </w:p>
        </w:tc>
        <w:tc>
          <w:tcPr>
            <w:shd w:val="clear" w:color="auto" w:fill="auto"/>
            <w:tcBorders>
              <w:top w:val="single" w:color="000000" w:sz="4" w:space="0"/>
              <w:left w:val="single" w:color="000000" w:sz="4" w:space="0"/>
              <w:bottom w:val="single" w:color="000000" w:sz="4" w:space="0"/>
              <w:right w:val="single" w:color="000000" w:sz="4" w:space="0"/>
            </w:tcBorders>
            <w:tcW w:w="2648"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b w:val="0"/>
                <w:bCs w:val="0"/>
                <w:color w:val="auto"/>
              </w:rPr>
              <w:suppressLineNumbers w:val="0"/>
            </w:pPr>
            <w:r>
              <w:rPr>
                <w:rFonts w:hint="eastAsia" w:ascii="宋体" w:hAnsi="宋体" w:eastAsia="宋体" w:cs="宋体"/>
                <w:b w:val="0"/>
                <w:bCs w:val="0"/>
                <w:color w:val="auto"/>
              </w:rPr>
              <w:t xml:space="preserve">1、《锁具安全通用技术条件》GB 21556—2008；</w:t>
            </w:r>
            <w:r/>
          </w:p>
          <w:p>
            <w:pPr>
              <w:ind w:left="0" w:right="0"/>
              <w:keepLines w:val="0"/>
              <w:keepNext w:val="0"/>
              <w:spacing w:before="0" w:beforeAutospacing="0" w:after="0" w:afterAutospacing="0"/>
              <w:rPr>
                <w:rFonts w:hint="eastAsia" w:ascii="宋体" w:hAnsi="宋体" w:eastAsia="宋体" w:cs="宋体"/>
                <w:b w:val="0"/>
                <w:bCs w:val="0"/>
                <w:color w:val="auto"/>
              </w:rPr>
              <w:suppressLineNumbers w:val="0"/>
            </w:pPr>
            <w:r>
              <w:rPr>
                <w:rFonts w:hint="eastAsia" w:ascii="宋体" w:hAnsi="宋体" w:eastAsia="宋体" w:cs="宋体"/>
                <w:b w:val="0"/>
                <w:bCs w:val="0"/>
                <w:color w:val="auto"/>
              </w:rPr>
              <w:t xml:space="preserve">2、《锁具安全技术要求 第2部分：防盗锁》GB 21556.2-2025；</w:t>
            </w:r>
            <w:r/>
          </w:p>
          <w:p>
            <w:pPr>
              <w:ind w:left="0" w:right="0"/>
              <w:keepLines w:val="0"/>
              <w:keepNext w:val="0"/>
              <w:spacing w:before="0" w:beforeAutospacing="0" w:after="0" w:afterAutospacing="0"/>
              <w:rPr>
                <w:rFonts w:hint="eastAsia" w:ascii="宋体" w:hAnsi="宋体" w:eastAsia="宋体" w:cs="宋体"/>
                <w:b w:val="0"/>
                <w:bCs w:val="0"/>
                <w:color w:val="auto"/>
              </w:rPr>
              <w:suppressLineNumbers w:val="0"/>
            </w:pPr>
            <w:r>
              <w:rPr>
                <w:rFonts w:hint="eastAsia" w:ascii="宋体" w:hAnsi="宋体" w:eastAsia="宋体" w:cs="宋体"/>
                <w:b w:val="0"/>
                <w:bCs w:val="0"/>
                <w:color w:val="auto"/>
              </w:rPr>
              <w:t xml:space="preserve">3、《电子防盗锁》GA 374—2019。</w:t>
            </w:r>
            <w:r/>
          </w:p>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99"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1、GB 21556—2008：锁舌轴向静载荷、执手承受静拉力及扭矩、信息保存及误识率试验、防破坏报警功能、锁舌伸出长度、抗干扰、稳定性；</w:t>
            </w:r>
            <w:r/>
          </w:p>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2、GB 21556.2—2025：输入错误报警、防拆报警、主锁舌强度（主锁舌抗侧向静压力、主锁舌抗轴向静压力）、手动部件强度；</w:t>
            </w:r>
            <w:r/>
          </w:p>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3、GA 374—2019：主锁舌抗轴向静压力、手动部件强度、信息保存、主锁舌伸出长度、静电放电抗扰度、稳定性；</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cs="宋体"/>
                <w:b w:val="0"/>
                <w:bCs w:val="0"/>
                <w:i w:val="0"/>
                <w:iCs w:val="0"/>
                <w:color w:val="auto"/>
                <w:sz w:val="21"/>
                <w:szCs w:val="21"/>
                <w:u w:val="none"/>
                <w:lang w:val="en-US" w:eastAsia="zh-CN" w:bidi="ar"/>
              </w:rPr>
              <w:t xml:space="preserve">批次</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1</w:t>
            </w:r>
            <w:r/>
          </w:p>
        </w:tc>
      </w:tr>
      <w:tr>
        <w:trPr>
          <w:trHeight w:val="893"/>
        </w:trPr>
        <w:tc>
          <w:tcPr>
            <w:shd w:val="clear" w:color="auto" w:fill="auto"/>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指纹防盗锁</w:t>
            </w:r>
            <w:r/>
          </w:p>
        </w:tc>
        <w:tc>
          <w:tcPr>
            <w:shd w:val="clear" w:color="auto" w:fill="auto"/>
            <w:tcBorders>
              <w:top w:val="single" w:color="000000" w:sz="4" w:space="0"/>
              <w:left w:val="single" w:color="000000" w:sz="4" w:space="0"/>
              <w:bottom w:val="single" w:color="000000" w:sz="4" w:space="0"/>
              <w:right w:val="single" w:color="000000" w:sz="4" w:space="0"/>
            </w:tcBorders>
            <w:tcW w:w="2648"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b w:val="0"/>
                <w:bCs w:val="0"/>
                <w:color w:val="auto"/>
              </w:rPr>
              <w:suppressLineNumbers w:val="0"/>
            </w:pPr>
            <w:r>
              <w:rPr>
                <w:rFonts w:hint="eastAsia" w:ascii="宋体" w:hAnsi="宋体" w:eastAsia="宋体" w:cs="宋体"/>
                <w:b w:val="0"/>
                <w:bCs w:val="0"/>
                <w:color w:val="auto"/>
              </w:rPr>
              <w:t xml:space="preserve">1、《锁具安全通用技术条件》GB 21556—2008；</w:t>
            </w:r>
            <w:r/>
          </w:p>
          <w:p>
            <w:pPr>
              <w:ind w:left="0" w:right="0"/>
              <w:keepLines w:val="0"/>
              <w:keepNext w:val="0"/>
              <w:spacing w:before="0" w:beforeAutospacing="0" w:after="0" w:afterAutospacing="0"/>
              <w:rPr>
                <w:rFonts w:hint="eastAsia" w:ascii="宋体" w:hAnsi="宋体" w:eastAsia="宋体" w:cs="宋体"/>
                <w:b w:val="0"/>
                <w:bCs w:val="0"/>
                <w:color w:val="auto"/>
              </w:rPr>
              <w:suppressLineNumbers w:val="0"/>
            </w:pPr>
            <w:r>
              <w:rPr>
                <w:rFonts w:hint="eastAsia" w:ascii="宋体" w:hAnsi="宋体" w:eastAsia="宋体" w:cs="宋体"/>
                <w:b w:val="0"/>
                <w:bCs w:val="0"/>
                <w:color w:val="auto"/>
              </w:rPr>
              <w:t xml:space="preserve">2、《锁具安全技术要求 第2部分：防盗锁》GB 21556.2-2025；</w:t>
            </w:r>
            <w:r/>
          </w:p>
          <w:p>
            <w:pPr>
              <w:ind w:left="0" w:right="0"/>
              <w:keepLines w:val="0"/>
              <w:keepNext w:val="0"/>
              <w:spacing w:before="0" w:beforeAutospacing="0" w:after="0" w:afterAutospacing="0"/>
              <w:rPr>
                <w:rFonts w:hint="eastAsia" w:ascii="宋体" w:hAnsi="宋体" w:eastAsia="宋体" w:cs="宋体"/>
                <w:b w:val="0"/>
                <w:bCs w:val="0"/>
                <w:color w:val="auto"/>
              </w:rPr>
              <w:suppressLineNumbers w:val="0"/>
            </w:pPr>
            <w:r>
              <w:rPr>
                <w:rFonts w:hint="eastAsia" w:ascii="宋体" w:hAnsi="宋体" w:eastAsia="宋体" w:cs="宋体"/>
                <w:b w:val="0"/>
                <w:bCs w:val="0"/>
                <w:color w:val="auto"/>
              </w:rPr>
              <w:t xml:space="preserve">3、《电子防盗锁》GA 374—2019。</w:t>
            </w:r>
            <w:r/>
          </w:p>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99"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4、GB 21556—2008：锁舌轴向静载荷、执手承受静拉力及扭矩、信息保存及误识率试验、防破坏报警功能、锁舌伸出长度、抗干扰、稳定性；</w:t>
            </w:r>
            <w:r/>
          </w:p>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5、GB 21556.2—2025：输入错误报警、防拆报警、主锁舌强度（主锁舌抗侧向静压力、主锁舌抗轴向静压力）、手动部件强度；</w:t>
            </w:r>
            <w:r/>
          </w:p>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6、GA 374—2019：主锁舌抗轴向静压力、手动部件强度、信息保存、主锁舌伸出长度、静电放电抗扰度、稳定性。</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cs="宋体"/>
                <w:b w:val="0"/>
                <w:bCs w:val="0"/>
                <w:i w:val="0"/>
                <w:iCs w:val="0"/>
                <w:color w:val="auto"/>
                <w:sz w:val="21"/>
                <w:szCs w:val="21"/>
                <w:u w:val="none"/>
                <w:lang w:val="en-US" w:eastAsia="zh-CN" w:bidi="ar"/>
              </w:rPr>
              <w:t xml:space="preserve">批次</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1</w:t>
            </w:r>
            <w:r/>
          </w:p>
        </w:tc>
      </w:tr>
    </w:tbl>
    <w:p>
      <w:pPr>
        <w:pStyle w:val="1387"/>
        <w:numPr>
          <w:ilvl w:val="0"/>
          <w:numId w:val="7"/>
        </w:numPr>
        <w:ind w:firstLine="482"/>
        <w:keepLines w:val="0"/>
        <w:keepNext w:val="0"/>
        <w:pageBreakBefore w:val="0"/>
        <w:spacing w:before="181" w:line="360" w:lineRule="auto"/>
        <w:widowControl w:val="off"/>
        <w:rPr>
          <w:rFonts w:hint="default" w:ascii="宋体" w:hAnsi="宋体" w:eastAsia="宋体" w:cs="宋体"/>
          <w:b/>
          <w:color w:val="auto"/>
          <w:lang w:val="en-US" w:eastAsia="zh-CN" w:bidi="ar-SA"/>
        </w:rPr>
        <w:outlineLvl w:val="9"/>
      </w:pPr>
      <w:r>
        <w:rPr>
          <w:rFonts w:hint="eastAsia" w:ascii="宋体" w:hAnsi="宋体" w:eastAsia="宋体" w:cs="宋体"/>
          <w:b/>
          <w:color w:val="auto"/>
          <w:lang w:val="en-US" w:eastAsia="zh-CN" w:bidi="ar-SA"/>
        </w:rPr>
        <w:t xml:space="preserve">分包二：</w:t>
      </w:r>
      <w:r>
        <w:rPr>
          <w:rFonts w:hint="eastAsia" w:ascii="宋体" w:hAnsi="宋体" w:eastAsia="宋体" w:cs="宋体"/>
          <w:b w:val="0"/>
          <w:bCs w:val="0"/>
          <w:color w:val="auto"/>
          <w:sz w:val="24"/>
          <w:szCs w:val="24"/>
          <w:lang w:val="en-US" w:eastAsia="zh-CN" w:bidi="ar-SA"/>
        </w:rPr>
        <w:t xml:space="preserve">燃气用具、消防用品、日用化工品、纺织产品、钢化玻璃等产品抽样检验和技术分析服务，计划抽查246批次。</w:t>
      </w:r>
      <w:r/>
    </w:p>
    <w:tbl>
      <w:tblPr>
        <w:tblStyle w:val="678"/>
        <w:tblW w:w="9436" w:type="dxa"/>
        <w:tblInd w:w="-255"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42"/>
        <w:gridCol w:w="880"/>
        <w:gridCol w:w="900"/>
        <w:gridCol w:w="2352"/>
        <w:gridCol w:w="3086"/>
        <w:gridCol w:w="788"/>
        <w:gridCol w:w="788"/>
      </w:tblGrid>
      <w:tr>
        <w:trPr>
          <w:trHeight w:val="321"/>
        </w:trPr>
        <w:tc>
          <w:tcPr>
            <w:shd w:val="clear" w:color="auto" w:fill="c7daf1" w:themeFill="text2" w:themeFillTint="32"/>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序号</w:t>
            </w:r>
            <w:r/>
          </w:p>
        </w:tc>
        <w:tc>
          <w:tcPr>
            <w:shd w:val="clear" w:color="auto" w:fill="c7daf1" w:themeFill="text2" w:themeFillTint="32"/>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类别</w:t>
            </w:r>
            <w:r/>
          </w:p>
        </w:tc>
        <w:tc>
          <w:tcPr>
            <w:shd w:val="clear" w:color="auto" w:fill="c7daf1" w:themeFill="text2" w:themeFillTint="32"/>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名称</w:t>
            </w:r>
            <w:r/>
          </w:p>
        </w:tc>
        <w:tc>
          <w:tcPr>
            <w:shd w:val="clear" w:color="auto" w:fill="c7daf1" w:themeFill="text2" w:themeFillTint="32"/>
            <w:tcBorders>
              <w:top w:val="single" w:color="000000" w:sz="4" w:space="0"/>
              <w:left w:val="single" w:color="000000" w:sz="4" w:space="0"/>
              <w:bottom w:val="single" w:color="000000" w:sz="4" w:space="0"/>
              <w:right w:val="single" w:color="000000" w:sz="4" w:space="0"/>
            </w:tcBorders>
            <w:tcW w:w="23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产品检测标准</w:t>
            </w:r>
            <w:r/>
          </w:p>
        </w:tc>
        <w:tc>
          <w:tcPr>
            <w:shd w:val="clear" w:color="auto" w:fill="c7daf1" w:themeFill="text2" w:themeFillTint="32"/>
            <w:tcBorders>
              <w:top w:val="single" w:color="000000" w:sz="4" w:space="0"/>
              <w:left w:val="single" w:color="000000" w:sz="4" w:space="0"/>
              <w:bottom w:val="single" w:color="000000" w:sz="4" w:space="0"/>
              <w:right w:val="single" w:color="000000" w:sz="4" w:space="0"/>
            </w:tcBorders>
            <w:tcW w:w="308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产品检测项目</w:t>
            </w:r>
            <w:r/>
          </w:p>
        </w:tc>
        <w:tc>
          <w:tcPr>
            <w:shd w:val="clear" w:color="auto" w:fill="c7daf1" w:themeFill="text2" w:themeFillTint="32"/>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cs="宋体"/>
                <w:b w:val="0"/>
                <w:bCs w:val="0"/>
                <w:i w:val="0"/>
                <w:iCs w:val="0"/>
                <w:color w:val="auto"/>
                <w:sz w:val="21"/>
                <w:szCs w:val="21"/>
                <w:u w:val="none"/>
                <w:lang w:val="en-US" w:eastAsia="zh-CN" w:bidi="ar"/>
              </w:rPr>
              <w:t xml:space="preserve">单位</w:t>
            </w:r>
            <w:r/>
          </w:p>
        </w:tc>
        <w:tc>
          <w:tcPr>
            <w:shd w:val="clear" w:color="auto" w:fill="c7daf1" w:themeFill="text2" w:themeFillTint="32"/>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b w:val="0"/>
                <w:bCs w:val="0"/>
                <w:i w:val="0"/>
                <w:iCs w:val="0"/>
                <w:color w:val="auto"/>
                <w:sz w:val="21"/>
                <w:szCs w:val="21"/>
                <w:u w:val="none"/>
                <w:lang w:val="en-US" w:eastAsia="zh-CN" w:bidi="ar"/>
              </w:rPr>
              <w:suppressLineNumbers w:val="0"/>
            </w:pPr>
            <w:r>
              <w:rPr>
                <w:rFonts w:hint="eastAsia" w:ascii="宋体" w:hAnsi="宋体" w:cs="宋体"/>
                <w:b w:val="0"/>
                <w:bCs w:val="0"/>
                <w:i w:val="0"/>
                <w:iCs w:val="0"/>
                <w:color w:val="auto"/>
                <w:sz w:val="21"/>
                <w:szCs w:val="21"/>
                <w:u w:val="none"/>
                <w:lang w:val="en-US" w:eastAsia="zh-CN" w:bidi="ar"/>
              </w:rPr>
              <w:t xml:space="preserve">数量</w:t>
            </w:r>
            <w:r/>
          </w:p>
        </w:tc>
      </w:tr>
      <w:tr>
        <w:trPr>
          <w:trHeight w:val="168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燃气用具</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家用燃气灶具</w:t>
            </w:r>
            <w:r/>
          </w:p>
        </w:tc>
        <w:tc>
          <w:tcPr>
            <w:shd w:val="clear" w:color="auto" w:fill="auto"/>
            <w:tcBorders>
              <w:top w:val="single" w:color="000000" w:sz="4" w:space="0"/>
              <w:left w:val="single" w:color="000000" w:sz="4" w:space="0"/>
              <w:bottom w:val="single" w:color="000000" w:sz="4" w:space="0"/>
              <w:right w:val="single" w:color="000000" w:sz="4" w:space="0"/>
            </w:tcBorders>
            <w:tcW w:w="2352"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b w:val="0"/>
                <w:bCs w:val="0"/>
                <w:color w:val="auto"/>
              </w:rPr>
              <w:suppressLineNumbers w:val="0"/>
            </w:pPr>
            <w:r>
              <w:rPr>
                <w:rFonts w:hint="eastAsia" w:ascii="宋体" w:hAnsi="宋体" w:eastAsia="宋体" w:cs="宋体"/>
                <w:b w:val="0"/>
                <w:bCs w:val="0"/>
                <w:color w:val="auto"/>
              </w:rPr>
              <w:t xml:space="preserve">1、《家用燃气灶具》GB 16410—2020；</w:t>
            </w:r>
            <w:r/>
          </w:p>
          <w:p>
            <w:pPr>
              <w:ind w:left="0" w:right="0"/>
              <w:keepLines w:val="0"/>
              <w:keepNext w:val="0"/>
              <w:spacing w:before="0" w:beforeAutospacing="0" w:after="0" w:afterAutospacing="0"/>
              <w:rPr>
                <w:rFonts w:hint="eastAsia" w:ascii="宋体" w:hAnsi="宋体" w:eastAsia="宋体" w:cs="宋体"/>
                <w:b w:val="0"/>
                <w:bCs w:val="0"/>
                <w:color w:val="auto"/>
              </w:rPr>
              <w:suppressLineNumbers w:val="0"/>
            </w:pPr>
            <w:r>
              <w:rPr>
                <w:rFonts w:hint="eastAsia" w:ascii="宋体" w:hAnsi="宋体" w:eastAsia="宋体" w:cs="宋体"/>
                <w:b w:val="0"/>
                <w:bCs w:val="0"/>
                <w:color w:val="auto"/>
              </w:rPr>
              <w:t xml:space="preserve">2、《燃气灶具能效限定值及能效等级》GB 30720—2025。</w:t>
            </w:r>
            <w:r/>
          </w:p>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86"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气密性、热负荷、燃烧工况（离焰、熄火、回火、燃烧噪声、熄火噪声、干烟气中CO浓度（室内型））、温升</w:t>
            </w:r>
            <w:r>
              <w:rPr>
                <w:rFonts w:hint="eastAsia" w:ascii="宋体" w:hAnsi="宋体" w:cs="宋体"/>
                <w:b w:val="0"/>
                <w:bCs w:val="0"/>
                <w:i w:val="0"/>
                <w:iCs w:val="0"/>
                <w:color w:val="auto"/>
                <w:sz w:val="21"/>
                <w:szCs w:val="21"/>
                <w:u w:val="none"/>
                <w:lang w:val="en-US" w:eastAsia="zh-CN" w:bidi="ar"/>
              </w:rPr>
              <w:t xml:space="preserve">、</w:t>
            </w:r>
            <w:r/>
          </w:p>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熄火保护装置、结构的一般要求（燃气导管、燃烧器的熄火保护装置）、耐热冲击、耐重力冲击</w:t>
            </w:r>
            <w:r/>
          </w:p>
        </w:tc>
        <w:tc>
          <w:tcPr>
            <w:shd w:val="clear" w:color="auto" w:fill="auto"/>
            <w:tcBorders>
              <w:top w:val="single" w:color="000000" w:sz="4" w:space="0"/>
              <w:left w:val="single" w:color="000000" w:sz="4" w:space="0"/>
              <w:bottom w:val="single" w:color="auto" w:sz="4" w:space="0"/>
              <w:right w:val="single" w:color="000000" w:sz="4" w:space="0"/>
            </w:tcBorders>
            <w:tcW w:w="788"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cs="宋体"/>
                <w:b w:val="0"/>
                <w:bCs w:val="0"/>
                <w:i w:val="0"/>
                <w:iCs w:val="0"/>
                <w:color w:val="auto"/>
                <w:sz w:val="21"/>
                <w:szCs w:val="21"/>
                <w:u w:val="none"/>
                <w:lang w:val="en-US" w:eastAsia="zh-CN" w:bidi="ar"/>
              </w:rPr>
              <w:t xml:space="preserve">批次</w:t>
            </w:r>
            <w:r/>
          </w:p>
        </w:tc>
        <w:tc>
          <w:tcPr>
            <w:shd w:val="clear" w:color="auto" w:fill="auto"/>
            <w:tcBorders>
              <w:top w:val="single" w:color="000000" w:sz="4" w:space="0"/>
              <w:left w:val="single" w:color="000000" w:sz="4" w:space="0"/>
              <w:bottom w:val="single" w:color="auto" w:sz="4" w:space="0"/>
              <w:right w:val="single" w:color="000000" w:sz="4" w:space="0"/>
            </w:tcBorders>
            <w:tcW w:w="78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10</w:t>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家用燃气快速热水器</w:t>
            </w:r>
            <w:r/>
          </w:p>
        </w:tc>
        <w:tc>
          <w:tcPr>
            <w:shd w:val="clear" w:color="auto" w:fill="auto"/>
            <w:tcBorders>
              <w:top w:val="single" w:color="000000" w:sz="4" w:space="0"/>
              <w:left w:val="single" w:color="000000" w:sz="4" w:space="0"/>
              <w:bottom w:val="single" w:color="000000" w:sz="4" w:space="0"/>
              <w:right w:val="single" w:color="000000" w:sz="4" w:space="0"/>
            </w:tcBorders>
            <w:tcW w:w="2352"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 《家用燃气快速热水器》GB 6932—2015。</w:t>
            </w:r>
            <w:r/>
          </w:p>
        </w:tc>
        <w:tc>
          <w:tcPr>
            <w:shd w:val="clear" w:color="auto" w:fill="auto"/>
            <w:tcBorders>
              <w:top w:val="single" w:color="000000" w:sz="4" w:space="0"/>
              <w:left w:val="single" w:color="000000" w:sz="4" w:space="0"/>
              <w:bottom w:val="single" w:color="000000" w:sz="4" w:space="0"/>
              <w:right w:val="single" w:color="000000" w:sz="4" w:space="0"/>
            </w:tcBorders>
            <w:tcW w:w="3086"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燃气系统气密性、燃烧工况—无风状态（火焰稳定性、燃烧噪声、熄火噪声、烟气中CO含量）、热水性能（热水产率）、热效率、电气部分（使用交流电源）—电气安全（接地措施、电气强度）</w:t>
            </w:r>
            <w:r/>
          </w:p>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注：除第3、4项外，其他检验项目针对标准中强制性条文要求。</w:t>
            </w:r>
            <w:r/>
          </w:p>
        </w:tc>
        <w:tc>
          <w:tcPr>
            <w:shd w:val="clear" w:color="auto" w:fill="auto"/>
            <w:tcBorders>
              <w:top w:val="single" w:color="auto" w:sz="4" w:space="0"/>
              <w:left w:val="single" w:color="000000" w:sz="4" w:space="0"/>
              <w:bottom w:val="single" w:color="000000" w:sz="4" w:space="0"/>
              <w:right w:val="single" w:color="000000" w:sz="4" w:space="0"/>
            </w:tcBorders>
            <w:tcW w:w="788"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r>
            <w:r/>
          </w:p>
        </w:tc>
        <w:tc>
          <w:tcPr>
            <w:shd w:val="clear" w:color="auto" w:fill="auto"/>
            <w:tcBorders>
              <w:top w:val="single" w:color="auto" w:sz="4" w:space="0"/>
              <w:left w:val="single" w:color="000000" w:sz="4" w:space="0"/>
              <w:bottom w:val="single" w:color="000000" w:sz="4" w:space="0"/>
              <w:right w:val="single" w:color="000000" w:sz="4" w:space="0"/>
            </w:tcBorders>
            <w:tcW w:w="78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10</w:t>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燃气用具连接用不锈钢波纹软管</w:t>
            </w:r>
            <w:r/>
          </w:p>
        </w:tc>
        <w:tc>
          <w:tcPr>
            <w:shd w:val="clear" w:color="auto" w:fill="auto"/>
            <w:tcBorders>
              <w:top w:val="single" w:color="000000" w:sz="4" w:space="0"/>
              <w:left w:val="single" w:color="000000" w:sz="4" w:space="0"/>
              <w:bottom w:val="single" w:color="000000" w:sz="4" w:space="0"/>
              <w:right w:val="single" w:color="000000" w:sz="4" w:space="0"/>
            </w:tcBorders>
            <w:tcW w:w="2352"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《燃气用具连接用不锈钢波纹软管》GB 41317—2024。</w:t>
            </w:r>
            <w:r/>
          </w:p>
        </w:tc>
        <w:tc>
          <w:tcPr>
            <w:shd w:val="clear" w:color="auto" w:fill="auto"/>
            <w:tcBorders>
              <w:top w:val="single" w:color="000000" w:sz="4" w:space="0"/>
              <w:left w:val="single" w:color="000000" w:sz="4" w:space="0"/>
              <w:bottom w:val="single" w:color="000000" w:sz="4" w:space="0"/>
              <w:right w:val="single" w:color="000000" w:sz="4" w:space="0"/>
            </w:tcBorders>
            <w:tcW w:w="3086"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气密性、耐压性、弯曲性、耐安装强度。</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cs="宋体"/>
                <w:b w:val="0"/>
                <w:bCs w:val="0"/>
                <w:i w:val="0"/>
                <w:iCs w:val="0"/>
                <w:color w:val="auto"/>
                <w:sz w:val="21"/>
                <w:szCs w:val="21"/>
                <w:u w:val="none"/>
                <w:lang w:val="en-US" w:eastAsia="zh-CN" w:bidi="ar"/>
              </w:rPr>
              <w:t xml:space="preserve">批次</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5</w:t>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燃气用具连接用金属包覆软管</w:t>
            </w:r>
            <w:r/>
          </w:p>
        </w:tc>
        <w:tc>
          <w:tcPr>
            <w:shd w:val="clear" w:color="auto" w:fill="auto"/>
            <w:tcBorders>
              <w:top w:val="single" w:color="000000" w:sz="4" w:space="0"/>
              <w:left w:val="single" w:color="000000" w:sz="4" w:space="0"/>
              <w:bottom w:val="single" w:color="000000" w:sz="4" w:space="0"/>
              <w:right w:val="single" w:color="000000" w:sz="4" w:space="0"/>
            </w:tcBorders>
            <w:tcW w:w="2352"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 《燃气用具连接用金属包覆软管》GB 44017—2024。</w:t>
            </w:r>
            <w:r/>
          </w:p>
        </w:tc>
        <w:tc>
          <w:tcPr>
            <w:shd w:val="clear" w:color="auto" w:fill="auto"/>
            <w:tcBorders>
              <w:top w:val="single" w:color="000000" w:sz="4" w:space="0"/>
              <w:left w:val="single" w:color="000000" w:sz="4" w:space="0"/>
              <w:bottom w:val="single" w:color="000000" w:sz="4" w:space="0"/>
              <w:right w:val="single" w:color="000000" w:sz="4" w:space="0"/>
            </w:tcBorders>
            <w:tcW w:w="3086"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气密性、耐安装强度、内层胶管（拉伸强度、拉断伸长率）。</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cs="宋体"/>
                <w:b w:val="0"/>
                <w:bCs w:val="0"/>
                <w:i w:val="0"/>
                <w:iCs w:val="0"/>
                <w:color w:val="auto"/>
                <w:sz w:val="21"/>
                <w:szCs w:val="21"/>
                <w:u w:val="none"/>
                <w:lang w:val="en-US" w:eastAsia="zh-CN" w:bidi="ar"/>
              </w:rPr>
              <w:t xml:space="preserve">批次</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3</w:t>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燃气输送用不锈钢波纹软管及管件</w:t>
            </w:r>
            <w:r/>
          </w:p>
        </w:tc>
        <w:tc>
          <w:tcPr>
            <w:shd w:val="clear" w:color="auto" w:fill="auto"/>
            <w:tcBorders>
              <w:top w:val="single" w:color="000000" w:sz="4" w:space="0"/>
              <w:left w:val="single" w:color="000000" w:sz="4" w:space="0"/>
              <w:bottom w:val="single" w:color="000000" w:sz="4" w:space="0"/>
              <w:right w:val="single" w:color="000000" w:sz="4" w:space="0"/>
            </w:tcBorders>
            <w:tcW w:w="2352"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《燃气输送用不锈钢波纹软管及管件》GB/T 26002-2025。</w:t>
            </w:r>
            <w:r/>
          </w:p>
        </w:tc>
        <w:tc>
          <w:tcPr>
            <w:shd w:val="clear" w:color="auto" w:fill="auto"/>
            <w:tcBorders>
              <w:top w:val="single" w:color="000000" w:sz="4" w:space="0"/>
              <w:left w:val="single" w:color="000000" w:sz="4" w:space="0"/>
              <w:bottom w:val="single" w:color="000000" w:sz="4" w:space="0"/>
              <w:right w:val="single" w:color="000000" w:sz="4" w:space="0"/>
            </w:tcBorders>
            <w:tcW w:w="3086"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软管拉伸强度、软管扁平性、软管耐冲击性、软管耐压性、结构和尺寸(被覆层最小厚度)。</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cs="宋体"/>
                <w:b w:val="0"/>
                <w:bCs w:val="0"/>
                <w:i w:val="0"/>
                <w:iCs w:val="0"/>
                <w:color w:val="auto"/>
                <w:sz w:val="21"/>
                <w:szCs w:val="21"/>
                <w:u w:val="none"/>
                <w:lang w:val="en-US" w:eastAsia="zh-CN" w:bidi="ar"/>
              </w:rPr>
              <w:t xml:space="preserve">批次</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2</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瓶装液化石油气调压器</w:t>
            </w:r>
            <w:r/>
          </w:p>
        </w:tc>
        <w:tc>
          <w:tcPr>
            <w:shd w:val="clear" w:color="auto" w:fill="auto"/>
            <w:tcBorders>
              <w:top w:val="single" w:color="000000" w:sz="4" w:space="0"/>
              <w:left w:val="single" w:color="000000" w:sz="4" w:space="0"/>
              <w:bottom w:val="single" w:color="000000" w:sz="4" w:space="0"/>
              <w:right w:val="single" w:color="000000" w:sz="4" w:space="0"/>
            </w:tcBorders>
            <w:tcW w:w="2352"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《瓶装液化石油气调压器》GB 35844—2018。</w:t>
            </w:r>
            <w:r/>
          </w:p>
        </w:tc>
        <w:tc>
          <w:tcPr>
            <w:shd w:val="clear" w:color="auto" w:fill="auto"/>
            <w:tcBorders>
              <w:top w:val="single" w:color="000000" w:sz="4" w:space="0"/>
              <w:left w:val="single" w:color="000000" w:sz="4" w:space="0"/>
              <w:bottom w:val="single" w:color="000000" w:sz="4" w:space="0"/>
              <w:right w:val="single" w:color="000000" w:sz="4" w:space="0"/>
            </w:tcBorders>
            <w:tcW w:w="3086"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结构（一般要求、调压器的接头组件、压力或流量安全装置）、气密性、调压静特性、耐冲击性、连接接头机械强度、材料。</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cs="宋体"/>
                <w:b w:val="0"/>
                <w:bCs w:val="0"/>
                <w:i w:val="0"/>
                <w:iCs w:val="0"/>
                <w:color w:val="auto"/>
                <w:sz w:val="21"/>
                <w:szCs w:val="21"/>
                <w:u w:val="none"/>
                <w:lang w:val="en-US" w:eastAsia="zh-CN" w:bidi="ar"/>
              </w:rPr>
              <w:t xml:space="preserve">批次</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3</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燃气紧急切断阀</w:t>
            </w:r>
            <w:r/>
          </w:p>
        </w:tc>
        <w:tc>
          <w:tcPr>
            <w:shd w:val="clear" w:color="auto" w:fill="auto"/>
            <w:tcBorders>
              <w:top w:val="single" w:color="000000" w:sz="4" w:space="0"/>
              <w:left w:val="single" w:color="000000" w:sz="4" w:space="0"/>
              <w:bottom w:val="single" w:color="000000" w:sz="4" w:space="0"/>
              <w:right w:val="single" w:color="000000" w:sz="4" w:space="0"/>
            </w:tcBorders>
            <w:tcW w:w="2352"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《电磁式燃气紧急切断阀》GB 44016—2024。</w:t>
            </w:r>
            <w:r/>
          </w:p>
        </w:tc>
        <w:tc>
          <w:tcPr>
            <w:shd w:val="clear" w:color="auto" w:fill="auto"/>
            <w:tcBorders>
              <w:top w:val="single" w:color="000000" w:sz="4" w:space="0"/>
              <w:left w:val="single" w:color="000000" w:sz="4" w:space="0"/>
              <w:bottom w:val="single" w:color="000000" w:sz="4" w:space="0"/>
              <w:right w:val="single" w:color="000000" w:sz="4" w:space="0"/>
            </w:tcBorders>
            <w:tcW w:w="3086"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气密性、紧急切断性能、电气安全性、承压件强度、抗扭力性能。</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cs="宋体"/>
                <w:b w:val="0"/>
                <w:bCs w:val="0"/>
                <w:i w:val="0"/>
                <w:iCs w:val="0"/>
                <w:color w:val="auto"/>
                <w:sz w:val="21"/>
                <w:szCs w:val="21"/>
                <w:u w:val="none"/>
                <w:lang w:val="en-US" w:eastAsia="zh-CN" w:bidi="ar"/>
              </w:rPr>
              <w:t xml:space="preserve">批次</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2</w:t>
            </w:r>
            <w:r/>
          </w:p>
        </w:tc>
      </w:tr>
      <w:tr>
        <w:trPr>
          <w:trHeight w:val="53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电动自行车乘员头盔</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电动自行车乘员头盔</w:t>
            </w:r>
            <w:r/>
          </w:p>
        </w:tc>
        <w:tc>
          <w:tcPr>
            <w:shd w:val="clear" w:color="auto" w:fill="auto"/>
            <w:tcBorders>
              <w:top w:val="single" w:color="000000" w:sz="4" w:space="0"/>
              <w:left w:val="single" w:color="000000" w:sz="4" w:space="0"/>
              <w:bottom w:val="single" w:color="000000" w:sz="4" w:space="0"/>
              <w:right w:val="single" w:color="000000" w:sz="4" w:space="0"/>
            </w:tcBorders>
            <w:tcW w:w="2352"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《摩托车、电动自行车乘员头盔》GB 811—2022。</w:t>
            </w:r>
            <w:r/>
          </w:p>
        </w:tc>
        <w:tc>
          <w:tcPr>
            <w:shd w:val="clear" w:color="auto" w:fill="auto"/>
            <w:tcBorders>
              <w:top w:val="single" w:color="000000" w:sz="4" w:space="0"/>
              <w:left w:val="single" w:color="000000" w:sz="4" w:space="0"/>
              <w:bottom w:val="single" w:color="000000" w:sz="4" w:space="0"/>
              <w:right w:val="single" w:color="000000" w:sz="4" w:space="0"/>
            </w:tcBorders>
            <w:tcW w:w="3086"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结构（壳体a、佩戴装置）视野、护目镜、表面摩擦力、固定装置稳定性、佩戴装置强度、吸收碰撞能量b、耐穿透b</w:t>
            </w:r>
            <w:r/>
          </w:p>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注：a.壳体不测5.1.2.1、5.1.2.2.b），5.1.2.2.d）反光材料只测总面积和左、右、后三个方向可见；</w:t>
            </w:r>
            <w:r/>
          </w:p>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b.环境前处理采用低温。</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cs="宋体"/>
                <w:b w:val="0"/>
                <w:bCs w:val="0"/>
                <w:i w:val="0"/>
                <w:iCs w:val="0"/>
                <w:color w:val="auto"/>
                <w:sz w:val="21"/>
                <w:szCs w:val="21"/>
                <w:u w:val="none"/>
                <w:lang w:val="en-US" w:eastAsia="zh-CN" w:bidi="ar"/>
              </w:rPr>
              <w:t xml:space="preserve">批次</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5</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消防用品</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手提式灭火器</w:t>
            </w:r>
            <w:r/>
          </w:p>
        </w:tc>
        <w:tc>
          <w:tcPr>
            <w:shd w:val="clear" w:color="auto" w:fill="auto"/>
            <w:tcBorders>
              <w:top w:val="single" w:color="000000" w:sz="4" w:space="0"/>
              <w:left w:val="single" w:color="000000" w:sz="4" w:space="0"/>
              <w:bottom w:val="single" w:color="000000" w:sz="4" w:space="0"/>
              <w:right w:val="single" w:color="000000" w:sz="4" w:space="0"/>
            </w:tcBorders>
            <w:tcW w:w="2352"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1、《干粉灭火剂》GB 4066—2017；</w:t>
            </w:r>
            <w:r/>
          </w:p>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2、《手提式灭火器》GB 4351—2023。</w:t>
            </w:r>
            <w:r/>
          </w:p>
        </w:tc>
        <w:tc>
          <w:tcPr>
            <w:shd w:val="clear" w:color="auto" w:fill="auto"/>
            <w:tcBorders>
              <w:top w:val="single" w:color="000000" w:sz="4" w:space="0"/>
              <w:left w:val="single" w:color="000000" w:sz="4" w:space="0"/>
              <w:bottom w:val="single" w:color="000000" w:sz="4" w:space="0"/>
              <w:right w:val="single" w:color="000000" w:sz="4" w:space="0"/>
            </w:tcBorders>
            <w:tcW w:w="3086"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20℃时喷射性能（有效喷射时间、喷射滞后时间、喷射剩余率、喷射距离）、充装要求（充装量、充装误差）、瓶体（爆破性能）、灭火剂（干粉灭火剂）、第一主要组分含量。</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cs="宋体"/>
                <w:b w:val="0"/>
                <w:bCs w:val="0"/>
                <w:i w:val="0"/>
                <w:iCs w:val="0"/>
                <w:color w:val="auto"/>
                <w:sz w:val="21"/>
                <w:szCs w:val="21"/>
                <w:u w:val="none"/>
                <w:lang w:val="en-US" w:eastAsia="zh-CN" w:bidi="ar"/>
              </w:rPr>
              <w:t xml:space="preserve">批次</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1</w:t>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过滤式消防自救呼吸器</w:t>
            </w:r>
            <w:r/>
          </w:p>
        </w:tc>
        <w:tc>
          <w:tcPr>
            <w:shd w:val="clear" w:color="auto" w:fill="auto"/>
            <w:tcBorders>
              <w:top w:val="single" w:color="000000" w:sz="4" w:space="0"/>
              <w:left w:val="single" w:color="000000" w:sz="4" w:space="0"/>
              <w:bottom w:val="single" w:color="000000" w:sz="4" w:space="0"/>
              <w:right w:val="single" w:color="000000" w:sz="4" w:space="0"/>
            </w:tcBorders>
            <w:tcW w:w="2352"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 《建筑火灾逃生避难器材  第7部分：过滤式消防自救呼吸器》GB 21976.7—2012。</w:t>
            </w:r>
            <w:r/>
          </w:p>
        </w:tc>
        <w:tc>
          <w:tcPr>
            <w:shd w:val="clear" w:color="auto" w:fill="auto"/>
            <w:tcBorders>
              <w:top w:val="single" w:color="000000" w:sz="4" w:space="0"/>
              <w:left w:val="single" w:color="000000" w:sz="4" w:space="0"/>
              <w:bottom w:val="single" w:color="000000" w:sz="4" w:space="0"/>
              <w:right w:val="single" w:color="000000" w:sz="4" w:space="0"/>
            </w:tcBorders>
            <w:tcW w:w="3086"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结构、佩戴质量、金属材料表面质量、材料阻燃性能、包装材料强度。</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cs="宋体"/>
                <w:b w:val="0"/>
                <w:bCs w:val="0"/>
                <w:i w:val="0"/>
                <w:iCs w:val="0"/>
                <w:color w:val="auto"/>
                <w:sz w:val="21"/>
                <w:szCs w:val="21"/>
                <w:u w:val="none"/>
                <w:lang w:val="en-US" w:eastAsia="zh-CN" w:bidi="ar"/>
              </w:rPr>
              <w:t xml:space="preserve">批次</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1</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正压式消防空气呼吸器</w:t>
            </w:r>
            <w:r/>
          </w:p>
        </w:tc>
        <w:tc>
          <w:tcPr>
            <w:shd w:val="clear" w:color="auto" w:fill="auto"/>
            <w:tcBorders>
              <w:top w:val="single" w:color="000000" w:sz="4" w:space="0"/>
              <w:left w:val="single" w:color="000000" w:sz="4" w:space="0"/>
              <w:bottom w:val="single" w:color="000000" w:sz="4" w:space="0"/>
              <w:right w:val="single" w:color="000000" w:sz="4" w:space="0"/>
            </w:tcBorders>
            <w:tcW w:w="2352"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《正压式消防空气呼吸器》XF 124-2013。</w:t>
            </w:r>
            <w:r/>
          </w:p>
        </w:tc>
        <w:tc>
          <w:tcPr>
            <w:shd w:val="clear" w:color="auto" w:fill="auto"/>
            <w:tcBorders>
              <w:top w:val="single" w:color="000000" w:sz="4" w:space="0"/>
              <w:left w:val="single" w:color="000000" w:sz="4" w:space="0"/>
              <w:bottom w:val="single" w:color="000000" w:sz="4" w:space="0"/>
              <w:right w:val="single" w:color="000000" w:sz="4" w:space="0"/>
            </w:tcBorders>
            <w:tcW w:w="3086"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结构要求、佩戴质量、标志。</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cs="宋体"/>
                <w:b w:val="0"/>
                <w:bCs w:val="0"/>
                <w:i w:val="0"/>
                <w:iCs w:val="0"/>
                <w:color w:val="auto"/>
                <w:sz w:val="21"/>
                <w:szCs w:val="21"/>
                <w:u w:val="none"/>
                <w:lang w:val="en-US" w:eastAsia="zh-CN" w:bidi="ar"/>
              </w:rPr>
              <w:t xml:space="preserve">批次</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1</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洒水喷头</w:t>
            </w:r>
            <w:r/>
          </w:p>
        </w:tc>
        <w:tc>
          <w:tcPr>
            <w:shd w:val="clear" w:color="auto" w:fill="auto"/>
            <w:tcBorders>
              <w:top w:val="single" w:color="000000" w:sz="4" w:space="0"/>
              <w:left w:val="single" w:color="000000" w:sz="4" w:space="0"/>
              <w:bottom w:val="single" w:color="000000" w:sz="4" w:space="0"/>
              <w:right w:val="single" w:color="000000" w:sz="4" w:space="0"/>
            </w:tcBorders>
            <w:tcW w:w="2352"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《自动喷水灭火系统  第1部分：洒水喷头》GB 5135.1—2019。</w:t>
            </w:r>
            <w:r/>
          </w:p>
        </w:tc>
        <w:tc>
          <w:tcPr>
            <w:shd w:val="clear" w:color="auto" w:fill="auto"/>
            <w:tcBorders>
              <w:top w:val="single" w:color="000000" w:sz="4" w:space="0"/>
              <w:left w:val="single" w:color="000000" w:sz="4" w:space="0"/>
              <w:bottom w:val="single" w:color="000000" w:sz="4" w:space="0"/>
              <w:right w:val="single" w:color="000000" w:sz="4" w:space="0"/>
            </w:tcBorders>
            <w:tcW w:w="3086"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整体要求、外观与标志、水压密封和耐水压强度性能、静态动作温度。</w:t>
            </w:r>
            <w:r/>
          </w:p>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注：整体要求项目仅检6.1.2条款。</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cs="宋体"/>
                <w:b w:val="0"/>
                <w:bCs w:val="0"/>
                <w:i w:val="0"/>
                <w:iCs w:val="0"/>
                <w:color w:val="auto"/>
                <w:sz w:val="21"/>
                <w:szCs w:val="21"/>
                <w:u w:val="none"/>
                <w:lang w:val="en-US" w:eastAsia="zh-CN" w:bidi="ar"/>
              </w:rPr>
              <w:t xml:space="preserve">批次</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1</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消防水带</w:t>
            </w:r>
            <w:r/>
          </w:p>
        </w:tc>
        <w:tc>
          <w:tcPr>
            <w:shd w:val="clear" w:color="auto" w:fill="auto"/>
            <w:tcBorders>
              <w:top w:val="single" w:color="000000" w:sz="4" w:space="0"/>
              <w:left w:val="single" w:color="000000" w:sz="4" w:space="0"/>
              <w:bottom w:val="single" w:color="000000" w:sz="4" w:space="0"/>
              <w:right w:val="single" w:color="000000" w:sz="4" w:space="0"/>
            </w:tcBorders>
            <w:tcW w:w="2352"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 《消防水带》GB 6246—2011。</w:t>
            </w:r>
            <w:r/>
          </w:p>
        </w:tc>
        <w:tc>
          <w:tcPr>
            <w:shd w:val="clear" w:color="auto" w:fill="auto"/>
            <w:tcBorders>
              <w:top w:val="single" w:color="000000" w:sz="4" w:space="0"/>
              <w:left w:val="single" w:color="000000" w:sz="4" w:space="0"/>
              <w:bottom w:val="single" w:color="000000" w:sz="4" w:space="0"/>
              <w:right w:val="single" w:color="000000" w:sz="4" w:space="0"/>
            </w:tcBorders>
            <w:tcW w:w="3086"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内径、设计工作压力、试验压力及最小爆破压力、黏附性、延伸率和膨胀率及扭转方向、附着强度。</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cs="宋体"/>
                <w:b w:val="0"/>
                <w:bCs w:val="0"/>
                <w:i w:val="0"/>
                <w:iCs w:val="0"/>
                <w:color w:val="auto"/>
                <w:sz w:val="21"/>
                <w:szCs w:val="21"/>
                <w:u w:val="none"/>
                <w:lang w:val="en-US" w:eastAsia="zh-CN" w:bidi="ar"/>
              </w:rPr>
              <w:t xml:space="preserve">批次</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1</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防火门</w:t>
            </w:r>
            <w:r/>
          </w:p>
        </w:tc>
        <w:tc>
          <w:tcPr>
            <w:shd w:val="clear" w:color="auto" w:fill="auto"/>
            <w:tcBorders>
              <w:top w:val="single" w:color="000000" w:sz="4" w:space="0"/>
              <w:left w:val="single" w:color="000000" w:sz="4" w:space="0"/>
              <w:bottom w:val="single" w:color="000000" w:sz="4" w:space="0"/>
              <w:right w:val="single" w:color="000000" w:sz="4" w:space="0"/>
            </w:tcBorders>
            <w:tcW w:w="2352"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《防火门》GB 12955—2024。</w:t>
            </w:r>
            <w:r/>
          </w:p>
        </w:tc>
        <w:tc>
          <w:tcPr>
            <w:shd w:val="clear" w:color="auto" w:fill="auto"/>
            <w:tcBorders>
              <w:top w:val="single" w:color="000000" w:sz="4" w:space="0"/>
              <w:left w:val="single" w:color="000000" w:sz="4" w:space="0"/>
              <w:bottom w:val="single" w:color="000000" w:sz="4" w:space="0"/>
              <w:right w:val="single" w:color="000000" w:sz="4" w:space="0"/>
            </w:tcBorders>
            <w:tcW w:w="3086"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耐火性能。</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cs="宋体"/>
                <w:b w:val="0"/>
                <w:bCs w:val="0"/>
                <w:i w:val="0"/>
                <w:iCs w:val="0"/>
                <w:color w:val="auto"/>
                <w:sz w:val="21"/>
                <w:szCs w:val="21"/>
                <w:u w:val="none"/>
                <w:lang w:val="en-US" w:eastAsia="zh-CN" w:bidi="ar"/>
              </w:rPr>
              <w:t xml:space="preserve">批次</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1</w:t>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灭火毯</w:t>
            </w:r>
            <w:r/>
          </w:p>
        </w:tc>
        <w:tc>
          <w:tcPr>
            <w:shd w:val="clear" w:color="auto" w:fill="auto"/>
            <w:tcBorders>
              <w:top w:val="single" w:color="000000" w:sz="4" w:space="0"/>
              <w:left w:val="single" w:color="000000" w:sz="4" w:space="0"/>
              <w:bottom w:val="single" w:color="000000" w:sz="4" w:space="0"/>
              <w:right w:val="single" w:color="000000" w:sz="4" w:space="0"/>
            </w:tcBorders>
            <w:tcW w:w="2352"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《灭火毯》XF 1205—2014。 </w:t>
            </w:r>
            <w:r/>
          </w:p>
        </w:tc>
        <w:tc>
          <w:tcPr>
            <w:shd w:val="clear" w:color="auto" w:fill="auto"/>
            <w:tcBorders>
              <w:top w:val="single" w:color="000000" w:sz="4" w:space="0"/>
              <w:left w:val="single" w:color="000000" w:sz="4" w:space="0"/>
              <w:bottom w:val="single" w:color="000000" w:sz="4" w:space="0"/>
              <w:right w:val="single" w:color="000000" w:sz="4" w:space="0"/>
            </w:tcBorders>
            <w:tcW w:w="3086"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尺寸、材料性能（毯面的干态断裂强力、手持件及包边材料的阻燃性能、缝纫线的耐高温性能）、绝缘性能、F类火灭火性能。</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cs="宋体"/>
                <w:b w:val="0"/>
                <w:bCs w:val="0"/>
                <w:i w:val="0"/>
                <w:iCs w:val="0"/>
                <w:color w:val="auto"/>
                <w:sz w:val="21"/>
                <w:szCs w:val="21"/>
                <w:u w:val="none"/>
                <w:lang w:val="en-US" w:eastAsia="zh-CN" w:bidi="ar"/>
              </w:rPr>
              <w:t xml:space="preserve">批次</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1</w:t>
            </w:r>
            <w:r/>
          </w:p>
        </w:tc>
      </w:tr>
      <w:tr>
        <w:trPr>
          <w:trHeight w:val="29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泡沫灭火剂</w:t>
            </w:r>
            <w:r/>
          </w:p>
        </w:tc>
        <w:tc>
          <w:tcPr>
            <w:shd w:val="clear" w:color="auto" w:fill="auto"/>
            <w:tcBorders>
              <w:top w:val="single" w:color="000000" w:sz="4" w:space="0"/>
              <w:left w:val="single" w:color="000000" w:sz="4" w:space="0"/>
              <w:bottom w:val="single" w:color="000000" w:sz="4" w:space="0"/>
              <w:right w:val="single" w:color="000000" w:sz="4" w:space="0"/>
            </w:tcBorders>
            <w:tcW w:w="2352" w:type="dxa"/>
            <w:vAlign w:val="center"/>
            <w:textDirection w:val="lrTb"/>
            <w:noWrap w:val="false"/>
          </w:tcPr>
          <w:p>
            <w:pPr>
              <w:numPr>
                <w:ilvl w:val="0"/>
                <w:numId w:val="8"/>
              </w:num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《泡沫灭火剂》GB 15308-2006；</w:t>
            </w:r>
            <w:r/>
          </w:p>
          <w:p>
            <w:pPr>
              <w:numPr>
                <w:ilvl w:val="0"/>
                <w:numId w:val="8"/>
              </w:num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《泡沫灭火剂》GB 15308-2025。</w:t>
            </w:r>
            <w:r/>
          </w:p>
        </w:tc>
        <w:tc>
          <w:tcPr>
            <w:shd w:val="clear" w:color="auto" w:fill="auto"/>
            <w:tcBorders>
              <w:top w:val="single" w:color="000000" w:sz="4" w:space="0"/>
              <w:left w:val="single" w:color="000000" w:sz="4" w:space="0"/>
              <w:bottom w:val="single" w:color="000000" w:sz="4" w:space="0"/>
              <w:right w:val="single" w:color="000000" w:sz="4" w:space="0"/>
            </w:tcBorders>
            <w:tcW w:w="3086"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GB 15308-2006泡沫灭火剂：凝固点、融化性、沉淀物、pH值、表面张力、界面张力</w:t>
            </w:r>
            <w:r/>
          </w:p>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GB 15308-2025泡沫灭火剂：沉淀物、pH。</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cs="宋体"/>
                <w:b w:val="0"/>
                <w:bCs w:val="0"/>
                <w:i w:val="0"/>
                <w:iCs w:val="0"/>
                <w:color w:val="auto"/>
                <w:sz w:val="21"/>
                <w:szCs w:val="21"/>
                <w:u w:val="none"/>
                <w:lang w:val="en-US" w:eastAsia="zh-CN" w:bidi="ar"/>
              </w:rPr>
              <w:t xml:space="preserve">批次</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1</w:t>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消防应急照明灯具</w:t>
            </w:r>
            <w:r/>
          </w:p>
        </w:tc>
        <w:tc>
          <w:tcPr>
            <w:shd w:val="clear" w:color="auto" w:fill="auto"/>
            <w:tcBorders>
              <w:top w:val="single" w:color="000000" w:sz="4" w:space="0"/>
              <w:left w:val="single" w:color="000000" w:sz="4" w:space="0"/>
              <w:bottom w:val="single" w:color="000000" w:sz="4" w:space="0"/>
              <w:right w:val="single" w:color="000000" w:sz="4" w:space="0"/>
            </w:tcBorders>
            <w:tcW w:w="2352"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《消防应急照明和疏散指示系统》GB 17945-2024。</w:t>
            </w:r>
            <w:r/>
          </w:p>
        </w:tc>
        <w:tc>
          <w:tcPr>
            <w:shd w:val="clear" w:color="auto" w:fill="auto"/>
            <w:tcBorders>
              <w:top w:val="single" w:color="000000" w:sz="4" w:space="0"/>
              <w:left w:val="single" w:color="000000" w:sz="4" w:space="0"/>
              <w:bottom w:val="single" w:color="000000" w:sz="4" w:space="0"/>
              <w:right w:val="single" w:color="000000" w:sz="4" w:space="0"/>
            </w:tcBorders>
            <w:tcW w:w="3086"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重复转换试验、电压波动试验、电气强度、绝缘电阻试验、接地电阻试验、基本功能试验（仅检6.10.1.9）。</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cs="宋体"/>
                <w:b w:val="0"/>
                <w:bCs w:val="0"/>
                <w:i w:val="0"/>
                <w:iCs w:val="0"/>
                <w:color w:val="auto"/>
                <w:sz w:val="21"/>
                <w:szCs w:val="21"/>
                <w:u w:val="none"/>
                <w:lang w:val="en-US" w:eastAsia="zh-CN" w:bidi="ar"/>
              </w:rPr>
              <w:t xml:space="preserve">批次</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1</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独立式感烟火灾探测报警器</w:t>
            </w:r>
            <w:r/>
          </w:p>
        </w:tc>
        <w:tc>
          <w:tcPr>
            <w:shd w:val="clear" w:color="auto" w:fill="auto"/>
            <w:tcBorders>
              <w:top w:val="single" w:color="000000" w:sz="4" w:space="0"/>
              <w:left w:val="single" w:color="000000" w:sz="4" w:space="0"/>
              <w:bottom w:val="single" w:color="000000" w:sz="4" w:space="0"/>
              <w:right w:val="single" w:color="000000" w:sz="4" w:space="0"/>
            </w:tcBorders>
            <w:tcW w:w="2352"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1、《独立式感烟火灾探测报警器》GB 20517—2006； </w:t>
            </w:r>
            <w:r/>
          </w:p>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2、 《独立式感烟火灾探测报警器》GB 20517—2025。</w:t>
            </w:r>
            <w:r/>
          </w:p>
        </w:tc>
        <w:tc>
          <w:tcPr>
            <w:shd w:val="clear" w:color="auto" w:fill="auto"/>
            <w:tcBorders>
              <w:top w:val="single" w:color="000000" w:sz="4" w:space="0"/>
              <w:left w:val="single" w:color="000000" w:sz="4" w:space="0"/>
              <w:bottom w:val="single" w:color="000000" w:sz="4" w:space="0"/>
              <w:right w:val="single" w:color="000000" w:sz="4" w:space="0"/>
            </w:tcBorders>
            <w:tcW w:w="3086"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1、独立式感烟火灾探测报警器（GB 20517—2006）：声压试验、重复性试验、方位试验、气流试验、低温试验；</w:t>
            </w:r>
            <w:r/>
          </w:p>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2、独立式感烟火灾探测报警器（GB 20517—2025）：方位试验、重复性试验、气流稳定性试验、气候环境耐受性-交变湿热(运行)试验、低温（运行）试验。</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cs="宋体"/>
                <w:b w:val="0"/>
                <w:bCs w:val="0"/>
                <w:i w:val="0"/>
                <w:iCs w:val="0"/>
                <w:color w:val="auto"/>
                <w:sz w:val="21"/>
                <w:szCs w:val="21"/>
                <w:u w:val="none"/>
                <w:lang w:val="en-US" w:eastAsia="zh-CN" w:bidi="ar"/>
              </w:rPr>
              <w:t xml:space="preserve">批次</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1</w:t>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日用及化工品</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烟花爆竹</w:t>
            </w:r>
            <w:r/>
          </w:p>
        </w:tc>
        <w:tc>
          <w:tcPr>
            <w:shd w:val="clear" w:color="auto" w:fill="auto"/>
            <w:tcBorders>
              <w:top w:val="single" w:color="000000" w:sz="4" w:space="0"/>
              <w:left w:val="single" w:color="000000" w:sz="4" w:space="0"/>
              <w:bottom w:val="single" w:color="000000" w:sz="4" w:space="0"/>
              <w:right w:val="single" w:color="000000" w:sz="4" w:space="0"/>
            </w:tcBorders>
            <w:tcW w:w="2352"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 《烟花爆竹 安全与质量》GB 10631—2025。</w:t>
            </w:r>
            <w:r/>
          </w:p>
        </w:tc>
        <w:tc>
          <w:tcPr>
            <w:shd w:val="clear" w:color="auto" w:fill="auto"/>
            <w:tcBorders>
              <w:top w:val="single" w:color="000000" w:sz="4" w:space="0"/>
              <w:left w:val="single" w:color="000000" w:sz="4" w:space="0"/>
              <w:bottom w:val="single" w:color="000000" w:sz="4" w:space="0"/>
              <w:right w:val="single" w:color="000000" w:sz="4" w:space="0"/>
            </w:tcBorders>
            <w:tcW w:w="3086"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标志-运输包装标志、标志-销售包装标志、包装-运输包装、包装-运销售包装、外观、部件-底座、部件-引燃装置、部件-手持部位、 部件-燃放导向装置、部件-其他要求、结构、材质、药种、药量、燃放性能</w:t>
            </w:r>
            <w:r/>
          </w:p>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注：</w:t>
            </w:r>
            <w:r/>
          </w:p>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1、标志的检验项目为GB/T 10632—2026中表B.1规定的a类缺陷项目；</w:t>
            </w:r>
            <w:r/>
          </w:p>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2、包装的检验项目为GB 10631—2025中6.1.2.1、6.1.2.2的f）~k）、6.1.2.3、6.1.2.4的a）、b）、e）；</w:t>
            </w:r>
            <w:r/>
          </w:p>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3、外观的检验项目为GB 10631—2025中6.1.3；</w:t>
            </w:r>
            <w:r/>
          </w:p>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4、部件的检验项目为GB 10631—2025中6.1.4.1的a）、b）、6.1.4.2、6.1.4.3、6.1.4.4、6.1.4.5；</w:t>
            </w:r>
            <w:r/>
          </w:p>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5、结构的检验项目为GB 10631—2025中6.1.5.2~6.1.5.13；</w:t>
            </w:r>
            <w:r/>
          </w:p>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6、材质的检验项目为GB 10631—2025中6.1.6；</w:t>
            </w:r>
            <w:r/>
          </w:p>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7、药种的检验项目为GB 10631—2025中6.1.7.1的a）；</w:t>
            </w:r>
            <w:r/>
          </w:p>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8、药量的检验项目为GB 10631—2025中6.1.7.2的a）；</w:t>
            </w:r>
            <w:r/>
          </w:p>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9、燃放性能的检验项目为GB 10631—2025中6.1.8.6、6.1.8.7、6.1.8.11、6.1.8.13、6.1.8.15。</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cs="宋体"/>
                <w:b w:val="0"/>
                <w:bCs w:val="0"/>
                <w:i w:val="0"/>
                <w:iCs w:val="0"/>
                <w:color w:val="auto"/>
                <w:sz w:val="21"/>
                <w:szCs w:val="21"/>
                <w:u w:val="none"/>
                <w:lang w:val="en-US" w:eastAsia="zh-CN" w:bidi="ar"/>
              </w:rPr>
              <w:t xml:space="preserve">批次</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30</w:t>
            </w:r>
            <w:r/>
          </w:p>
        </w:tc>
      </w:tr>
      <w:tr>
        <w:trPr>
          <w:trHeight w:val="537"/>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一次性口罩</w:t>
            </w:r>
            <w:r/>
          </w:p>
        </w:tc>
        <w:tc>
          <w:tcPr>
            <w:shd w:val="clear" w:color="auto" w:fill="auto"/>
            <w:tcBorders>
              <w:top w:val="single" w:color="000000" w:sz="4" w:space="0"/>
              <w:left w:val="single" w:color="000000" w:sz="4" w:space="0"/>
              <w:bottom w:val="single" w:color="000000" w:sz="4" w:space="0"/>
              <w:right w:val="single" w:color="000000" w:sz="4" w:space="0"/>
            </w:tcBorders>
            <w:tcW w:w="2352"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b w:val="0"/>
                <w:bCs w:val="0"/>
                <w:color w:val="auto"/>
                <w:lang w:val="en-US" w:eastAsia="zh-CN"/>
              </w:rPr>
              <w:suppressLineNumbers w:val="0"/>
            </w:pPr>
            <w:r>
              <w:rPr>
                <w:rFonts w:hint="eastAsia" w:ascii="宋体" w:hAnsi="宋体" w:eastAsia="宋体" w:cs="宋体"/>
                <w:b w:val="0"/>
                <w:bCs w:val="0"/>
                <w:color w:val="auto"/>
                <w:lang w:val="en-US" w:eastAsia="zh-CN"/>
              </w:rPr>
              <w:t xml:space="preserve">1、《呼吸防护 自吸过滤式防颗粒物呼吸器》GB 2626—2019；</w:t>
            </w:r>
            <w:r/>
          </w:p>
          <w:p>
            <w:pPr>
              <w:ind w:left="0" w:right="0"/>
              <w:keepLines w:val="0"/>
              <w:keepNext w:val="0"/>
              <w:spacing w:before="0" w:beforeAutospacing="0" w:after="0" w:afterAutospacing="0"/>
              <w:rPr>
                <w:rFonts w:hint="eastAsia" w:ascii="宋体" w:hAnsi="宋体" w:eastAsia="宋体" w:cs="宋体"/>
                <w:b w:val="0"/>
                <w:bCs w:val="0"/>
                <w:color w:val="auto"/>
                <w:lang w:val="en-US" w:eastAsia="zh-CN"/>
              </w:rPr>
              <w:suppressLineNumbers w:val="0"/>
            </w:pPr>
            <w:r>
              <w:rPr>
                <w:rFonts w:hint="eastAsia" w:ascii="宋体" w:hAnsi="宋体" w:eastAsia="宋体" w:cs="宋体"/>
                <w:b w:val="0"/>
                <w:bCs w:val="0"/>
                <w:color w:val="auto"/>
                <w:lang w:val="en-US" w:eastAsia="zh-CN"/>
              </w:rPr>
              <w:t xml:space="preserve">2、《日常防护型口罩技术规范》GB/T 32610—2016；</w:t>
            </w:r>
            <w:r/>
          </w:p>
          <w:p>
            <w:pPr>
              <w:ind w:left="0" w:right="0"/>
              <w:keepLines w:val="0"/>
              <w:keepNext w:val="0"/>
              <w:spacing w:before="0" w:beforeAutospacing="0" w:after="0" w:afterAutospacing="0"/>
              <w:rPr>
                <w:rFonts w:hint="eastAsia" w:ascii="宋体" w:hAnsi="宋体" w:eastAsia="宋体" w:cs="宋体"/>
                <w:b w:val="0"/>
                <w:bCs w:val="0"/>
                <w:color w:val="auto"/>
                <w:lang w:eastAsia="zh-CN"/>
              </w:rPr>
              <w:suppressLineNumbers w:val="0"/>
            </w:pPr>
            <w:r>
              <w:rPr>
                <w:rFonts w:hint="eastAsia" w:ascii="宋体" w:hAnsi="宋体" w:eastAsia="宋体" w:cs="宋体"/>
                <w:b w:val="0"/>
                <w:bCs w:val="0"/>
                <w:color w:val="auto"/>
                <w:lang w:val="en-US" w:eastAsia="zh-CN"/>
              </w:rPr>
              <w:t xml:space="preserve">3、《儿童口罩技术规范》GB/T 38880—2020。</w:t>
            </w:r>
            <w:r/>
          </w:p>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86"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1、口罩（防颗粒物呼吸器）：过滤效率、呼吸阻力、呼气阀气密性、头带；</w:t>
            </w:r>
            <w:r/>
          </w:p>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2、日常防护型口罩：吸气阻力、呼气阻力、过滤效率、口罩带及口罩带与口罩体的连接处断裂强力</w:t>
            </w:r>
            <w:r/>
          </w:p>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3、儿童口罩：颗粒物过滤效率、吸气阻力、呼气阻力、通气阻力、口罩带及口罩带与口罩体的连接处断裂强力；</w:t>
            </w:r>
            <w:r/>
          </w:p>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4、其他非医用口罩：过滤效率/颗粒物过滤效率、呼吸阻力/吸气阻力/呼气阻力/通气阻力、头带/口罩带及口罩带与口罩体的连接处断裂强力。</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cs="宋体"/>
                <w:b w:val="0"/>
                <w:bCs w:val="0"/>
                <w:i w:val="0"/>
                <w:iCs w:val="0"/>
                <w:color w:val="auto"/>
                <w:sz w:val="21"/>
                <w:szCs w:val="21"/>
                <w:u w:val="none"/>
                <w:lang w:val="en-US" w:eastAsia="zh-CN" w:bidi="ar"/>
              </w:rPr>
              <w:t xml:space="preserve">批次</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5</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一次性牙刷</w:t>
            </w:r>
            <w:r/>
          </w:p>
        </w:tc>
        <w:tc>
          <w:tcPr>
            <w:shd w:val="clear" w:color="auto" w:fill="auto"/>
            <w:tcBorders>
              <w:top w:val="single" w:color="000000" w:sz="4" w:space="0"/>
              <w:left w:val="single" w:color="000000" w:sz="4" w:space="0"/>
              <w:bottom w:val="single" w:color="000000" w:sz="4" w:space="0"/>
              <w:right w:val="single" w:color="000000" w:sz="4" w:space="0"/>
            </w:tcBorders>
            <w:tcW w:w="2352"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《牙刷及口腔器具安全通用技术要求》GB 39669-2020。</w:t>
            </w:r>
            <w:r/>
          </w:p>
        </w:tc>
        <w:tc>
          <w:tcPr>
            <w:shd w:val="clear" w:color="auto" w:fill="auto"/>
            <w:tcBorders>
              <w:top w:val="single" w:color="000000" w:sz="4" w:space="0"/>
              <w:left w:val="single" w:color="000000" w:sz="4" w:space="0"/>
              <w:bottom w:val="single" w:color="000000" w:sz="4" w:space="0"/>
              <w:right w:val="single" w:color="000000" w:sz="4" w:space="0"/>
            </w:tcBorders>
            <w:tcW w:w="3086"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邻苯二甲酸酯增塑剂、有害元素、磨尖丝刷毛pH</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cs="宋体"/>
                <w:b w:val="0"/>
                <w:bCs w:val="0"/>
                <w:i w:val="0"/>
                <w:iCs w:val="0"/>
                <w:color w:val="auto"/>
                <w:sz w:val="21"/>
                <w:szCs w:val="21"/>
                <w:u w:val="none"/>
                <w:lang w:val="en-US" w:eastAsia="zh-CN" w:bidi="ar"/>
              </w:rPr>
              <w:t xml:space="preserve">批次</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5</w:t>
            </w:r>
            <w:r/>
          </w:p>
        </w:tc>
      </w:tr>
      <w:tr>
        <w:trPr>
          <w:trHeight w:val="1185"/>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眼镜</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老花镜、近视眼镜</w:t>
            </w:r>
            <w:r/>
          </w:p>
        </w:tc>
        <w:tc>
          <w:tcPr>
            <w:shd w:val="clear" w:color="auto" w:fill="auto"/>
            <w:tcBorders>
              <w:top w:val="single" w:color="000000" w:sz="4" w:space="0"/>
              <w:left w:val="single" w:color="000000" w:sz="4" w:space="0"/>
              <w:bottom w:val="single" w:color="000000" w:sz="4" w:space="0"/>
              <w:right w:val="single" w:color="000000" w:sz="4" w:space="0"/>
            </w:tcBorders>
            <w:tcW w:w="2352"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b w:val="0"/>
                <w:bCs w:val="0"/>
                <w:color w:val="auto"/>
                <w:lang w:val="en-US" w:eastAsia="zh-CN"/>
              </w:rPr>
              <w:suppressLineNumbers w:val="0"/>
            </w:pPr>
            <w:r>
              <w:rPr>
                <w:rFonts w:hint="eastAsia" w:ascii="宋体" w:hAnsi="宋体" w:eastAsia="宋体" w:cs="宋体"/>
                <w:b w:val="0"/>
                <w:bCs w:val="0"/>
                <w:color w:val="auto"/>
                <w:lang w:val="en-US" w:eastAsia="zh-CN"/>
              </w:rPr>
              <w:t xml:space="preserve">1、老视成镜：</w:t>
            </w:r>
            <w:r/>
          </w:p>
          <w:p>
            <w:pPr>
              <w:ind w:left="0" w:right="0"/>
              <w:keepLines w:val="0"/>
              <w:keepNext w:val="0"/>
              <w:spacing w:before="0" w:beforeAutospacing="0" w:after="0" w:afterAutospacing="0"/>
              <w:rPr>
                <w:rFonts w:hint="eastAsia" w:ascii="宋体" w:hAnsi="宋体" w:eastAsia="宋体" w:cs="宋体"/>
                <w:b w:val="0"/>
                <w:bCs w:val="0"/>
                <w:color w:val="auto"/>
                <w:lang w:val="en-US" w:eastAsia="zh-CN"/>
              </w:rPr>
              <w:suppressLineNumbers w:val="0"/>
            </w:pPr>
            <w:r>
              <w:rPr>
                <w:rFonts w:hint="eastAsia" w:ascii="宋体" w:hAnsi="宋体" w:eastAsia="宋体" w:cs="宋体"/>
                <w:b w:val="0"/>
                <w:bCs w:val="0"/>
                <w:color w:val="auto"/>
                <w:lang w:val="en-US" w:eastAsia="zh-CN"/>
              </w:rPr>
              <w:t xml:space="preserve">（1）《眼视光产品 成品眼镜安全技术规范》GB 45185—2024；</w:t>
            </w:r>
            <w:r/>
          </w:p>
          <w:p>
            <w:pPr>
              <w:ind w:left="0" w:right="0"/>
              <w:keepLines w:val="0"/>
              <w:keepNext w:val="0"/>
              <w:spacing w:before="0" w:beforeAutospacing="0" w:after="0" w:afterAutospacing="0"/>
              <w:rPr>
                <w:rFonts w:hint="eastAsia" w:ascii="宋体" w:hAnsi="宋体" w:eastAsia="宋体" w:cs="宋体"/>
                <w:b w:val="0"/>
                <w:bCs w:val="0"/>
                <w:color w:val="auto"/>
                <w:lang w:val="en-US" w:eastAsia="zh-CN"/>
              </w:rPr>
              <w:suppressLineNumbers w:val="0"/>
            </w:pPr>
            <w:r>
              <w:rPr>
                <w:rFonts w:hint="eastAsia" w:ascii="宋体" w:hAnsi="宋体" w:eastAsia="宋体" w:cs="宋体"/>
                <w:b w:val="0"/>
                <w:bCs w:val="0"/>
                <w:color w:val="auto"/>
                <w:lang w:val="en-US" w:eastAsia="zh-CN"/>
              </w:rPr>
              <w:t xml:space="preserve">（2）《配装眼镜 第3部分：单光老视成镜》GB/T 13511.3—2019；</w:t>
            </w:r>
            <w:r/>
          </w:p>
          <w:p>
            <w:pPr>
              <w:ind w:left="0" w:right="0"/>
              <w:keepLines w:val="0"/>
              <w:keepNext w:val="0"/>
              <w:spacing w:before="0" w:beforeAutospacing="0" w:after="0" w:afterAutospacing="0"/>
              <w:rPr>
                <w:rFonts w:hint="eastAsia" w:ascii="宋体" w:hAnsi="宋体" w:eastAsia="宋体" w:cs="宋体"/>
                <w:b w:val="0"/>
                <w:bCs w:val="0"/>
                <w:color w:val="auto"/>
                <w:lang w:val="en-US" w:eastAsia="zh-CN"/>
              </w:rPr>
              <w:suppressLineNumbers w:val="0"/>
            </w:pPr>
            <w:r>
              <w:rPr>
                <w:rFonts w:hint="eastAsia" w:ascii="宋体" w:hAnsi="宋体" w:eastAsia="宋体" w:cs="宋体"/>
                <w:b w:val="0"/>
                <w:bCs w:val="0"/>
                <w:color w:val="auto"/>
                <w:lang w:val="en-US" w:eastAsia="zh-CN"/>
              </w:rPr>
              <w:t xml:space="preserve">（3）《配装眼镜 第4部分：多焦和渐变焦老视成镜》GB/T 13511.4—2025。</w:t>
            </w:r>
            <w:r/>
          </w:p>
          <w:p>
            <w:pPr>
              <w:ind w:left="0" w:right="0"/>
              <w:keepLines w:val="0"/>
              <w:keepNext w:val="0"/>
              <w:spacing w:before="0" w:beforeAutospacing="0" w:after="0" w:afterAutospacing="0"/>
              <w:rPr>
                <w:rFonts w:hint="eastAsia" w:ascii="宋体" w:hAnsi="宋体" w:eastAsia="宋体" w:cs="宋体"/>
                <w:b w:val="0"/>
                <w:bCs w:val="0"/>
                <w:color w:val="auto"/>
                <w:lang w:val="en-US" w:eastAsia="zh-CN"/>
              </w:rPr>
              <w:suppressLineNumbers w:val="0"/>
            </w:pPr>
            <w:r>
              <w:rPr>
                <w:rFonts w:hint="eastAsia" w:ascii="宋体" w:hAnsi="宋体" w:eastAsia="宋体" w:cs="宋体"/>
                <w:b w:val="0"/>
                <w:bCs w:val="0"/>
                <w:color w:val="auto"/>
                <w:lang w:val="en-US" w:eastAsia="zh-CN"/>
              </w:rPr>
              <w:t xml:space="preserve">2、定配眼镜：</w:t>
            </w:r>
            <w:r/>
          </w:p>
          <w:p>
            <w:pPr>
              <w:ind w:left="0" w:right="0"/>
              <w:keepLines w:val="0"/>
              <w:keepNext w:val="0"/>
              <w:spacing w:before="0" w:beforeAutospacing="0" w:after="0" w:afterAutospacing="0"/>
              <w:rPr>
                <w:rFonts w:hint="eastAsia" w:ascii="宋体" w:hAnsi="宋体" w:eastAsia="宋体" w:cs="宋体"/>
                <w:b w:val="0"/>
                <w:bCs w:val="0"/>
                <w:color w:val="auto"/>
                <w:lang w:val="en-US" w:eastAsia="zh-CN"/>
              </w:rPr>
              <w:suppressLineNumbers w:val="0"/>
            </w:pPr>
            <w:r>
              <w:rPr>
                <w:rFonts w:hint="eastAsia" w:ascii="宋体" w:hAnsi="宋体" w:eastAsia="宋体" w:cs="宋体"/>
                <w:b w:val="0"/>
                <w:bCs w:val="0"/>
                <w:color w:val="auto"/>
                <w:lang w:val="en-US" w:eastAsia="zh-CN"/>
              </w:rPr>
              <w:t xml:space="preserve">（1）《眼视光产品 成品眼镜安全技术规范》GB 45185—2024；</w:t>
            </w:r>
            <w:r/>
          </w:p>
          <w:p>
            <w:pPr>
              <w:ind w:left="0" w:right="0"/>
              <w:keepLines w:val="0"/>
              <w:keepNext w:val="0"/>
              <w:spacing w:before="0" w:beforeAutospacing="0" w:after="0" w:afterAutospacing="0"/>
              <w:rPr>
                <w:rFonts w:hint="eastAsia" w:ascii="宋体" w:hAnsi="宋体" w:eastAsia="宋体" w:cs="宋体"/>
                <w:b w:val="0"/>
                <w:bCs w:val="0"/>
                <w:color w:val="auto"/>
                <w:lang w:val="en-US" w:eastAsia="zh-CN"/>
              </w:rPr>
              <w:suppressLineNumbers w:val="0"/>
            </w:pPr>
            <w:r>
              <w:rPr>
                <w:rFonts w:hint="eastAsia" w:ascii="宋体" w:hAnsi="宋体" w:eastAsia="宋体" w:cs="宋体"/>
                <w:b w:val="0"/>
                <w:bCs w:val="0"/>
                <w:color w:val="auto"/>
                <w:lang w:val="en-US" w:eastAsia="zh-CN"/>
              </w:rPr>
              <w:t xml:space="preserve">（2）《配装眼镜 第1部分：单焦和多焦定配眼镜》GB/T 13511.1—2025。</w:t>
            </w:r>
            <w:r/>
          </w:p>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86"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1、单光老视成镜：中心点位置-中心点水平距离偏差、中心点位置-单侧水平距离偏差、中心点位置-中心点垂直互差、两镜片顶焦度互差、镜片顶焦度-主子午面顶焦度偏差、镜片顶焦度-柱镜顶焦度偏差、光透射比、标志；</w:t>
            </w:r>
            <w:r/>
          </w:p>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2、多焦老视成镜：中心点位置-中心点水平距离偏差、中心点位置-单侧水平距离偏差、中心点位置-中心点垂直互差、两镜片顶焦度互差、远用区顶焦度-主子午面顶焦度偏差、远用区顶焦度-柱镜顶焦度偏差、近用区顶焦度-主子午面顶焦度偏差、近用区顶焦度-柱镜顶焦度偏差、棱镜度偏差、顶焦度变化量、近用基准点位置、光透射比、标志；</w:t>
            </w:r>
            <w:r/>
          </w:p>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3、渐变焦老视成镜：中心点位置-中心点水平距离偏差、中心点位置-单侧水平距离偏差、中心点位置-中心点垂直互差、两镜片顶焦度互差、主基准点顶焦度-主子午面顶焦度偏差、主基准点顶焦度-柱镜顶焦度偏差、棱镜度偏差、顶焦度变化量、光透射比、标志；</w:t>
            </w:r>
            <w:r/>
          </w:p>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4、定配眼镜：顶焦度-主子午面顶焦度偏差、顶焦度-柱镜顶焦度偏差、柱镜轴位方向偏差、中心点位置-中心点水平距离偏差、中心点位置-中心点单侧水平距离偏差、中心点位置-中心点垂直互差、标称棱镜度偏差、厚度、光透射比-光透射比、光透射比-相对偏差。</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cs="宋体"/>
                <w:b w:val="0"/>
                <w:bCs w:val="0"/>
                <w:i w:val="0"/>
                <w:iCs w:val="0"/>
                <w:color w:val="auto"/>
                <w:sz w:val="21"/>
                <w:szCs w:val="21"/>
                <w:u w:val="none"/>
                <w:lang w:val="en-US" w:eastAsia="zh-CN" w:bidi="ar"/>
              </w:rPr>
              <w:t xml:space="preserve">批次</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20</w:t>
            </w:r>
            <w:r/>
          </w:p>
        </w:tc>
      </w:tr>
      <w:tr>
        <w:trPr>
          <w:trHeight w:val="182"/>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坐便椅</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坐便椅</w:t>
            </w:r>
            <w:r/>
          </w:p>
        </w:tc>
        <w:tc>
          <w:tcPr>
            <w:shd w:val="clear" w:color="auto" w:fill="auto"/>
            <w:tcBorders>
              <w:top w:val="single" w:color="000000" w:sz="4" w:space="0"/>
              <w:left w:val="single" w:color="000000" w:sz="4" w:space="0"/>
              <w:bottom w:val="single" w:color="000000" w:sz="4" w:space="0"/>
              <w:right w:val="single" w:color="000000" w:sz="4" w:space="0"/>
            </w:tcBorders>
            <w:tcW w:w="2352"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《坐便椅》GB/T24434-2025。</w:t>
            </w:r>
            <w:r/>
          </w:p>
        </w:tc>
        <w:tc>
          <w:tcPr>
            <w:shd w:val="clear" w:color="auto" w:fill="auto"/>
            <w:tcBorders>
              <w:top w:val="single" w:color="000000" w:sz="4" w:space="0"/>
              <w:left w:val="single" w:color="000000" w:sz="4" w:space="0"/>
              <w:bottom w:val="single" w:color="000000" w:sz="4" w:space="0"/>
              <w:right w:val="single" w:color="000000" w:sz="4" w:space="0"/>
            </w:tcBorders>
            <w:tcW w:w="3086"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一般要求、外观要求、装配要求、制动装置、稳定性、静载强度。</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cs="宋体"/>
                <w:b w:val="0"/>
                <w:bCs w:val="0"/>
                <w:i w:val="0"/>
                <w:iCs w:val="0"/>
                <w:color w:val="auto"/>
                <w:sz w:val="21"/>
                <w:szCs w:val="21"/>
                <w:u w:val="none"/>
                <w:lang w:val="en-US" w:eastAsia="zh-CN" w:bidi="ar"/>
              </w:rPr>
              <w:t xml:space="preserve">批次</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2</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纸尿裤</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儿童尿不湿</w:t>
            </w:r>
            <w:r/>
          </w:p>
        </w:tc>
        <w:tc>
          <w:tcPr>
            <w:shd w:val="clear" w:color="auto" w:fill="auto"/>
            <w:tcBorders>
              <w:top w:val="single" w:color="000000" w:sz="4" w:space="0"/>
              <w:left w:val="single" w:color="000000" w:sz="4" w:space="0"/>
              <w:bottom w:val="single" w:color="000000" w:sz="4" w:space="0"/>
              <w:right w:val="single" w:color="000000" w:sz="4" w:space="0"/>
            </w:tcBorders>
            <w:tcW w:w="2352"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《纸尿裤 第 1 部分：婴儿纸尿裤》GB/T 28004.1-2021。</w:t>
            </w:r>
            <w:r/>
          </w:p>
        </w:tc>
        <w:tc>
          <w:tcPr>
            <w:shd w:val="clear" w:color="auto" w:fill="auto"/>
            <w:tcBorders>
              <w:top w:val="single" w:color="000000" w:sz="4" w:space="0"/>
              <w:left w:val="single" w:color="000000" w:sz="4" w:space="0"/>
              <w:bottom w:val="single" w:color="000000" w:sz="4" w:space="0"/>
              <w:right w:val="single" w:color="000000" w:sz="4" w:space="0"/>
            </w:tcBorders>
            <w:tcW w:w="3086"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条质量偏差、渗透性能、面层附着物、pH值、杂质、防侧漏性能、交货水分、可迁移性荧光物质。</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cs="宋体"/>
                <w:b w:val="0"/>
                <w:bCs w:val="0"/>
                <w:i w:val="0"/>
                <w:iCs w:val="0"/>
                <w:color w:val="auto"/>
                <w:sz w:val="21"/>
                <w:szCs w:val="21"/>
                <w:u w:val="none"/>
                <w:lang w:val="en-US" w:eastAsia="zh-CN" w:bidi="ar"/>
              </w:rPr>
              <w:t xml:space="preserve">批次</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5</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成人纸尿裤</w:t>
            </w:r>
            <w:r/>
          </w:p>
        </w:tc>
        <w:tc>
          <w:tcPr>
            <w:shd w:val="clear" w:color="auto" w:fill="auto"/>
            <w:tcBorders>
              <w:top w:val="single" w:color="000000" w:sz="4" w:space="0"/>
              <w:left w:val="single" w:color="000000" w:sz="4" w:space="0"/>
              <w:bottom w:val="single" w:color="000000" w:sz="4" w:space="0"/>
              <w:right w:val="single" w:color="000000" w:sz="4" w:space="0"/>
            </w:tcBorders>
            <w:tcW w:w="2352"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《纸尿裤 第 2 部分：成人纸尿裤》GB/T 28004.2-2021。</w:t>
            </w:r>
            <w:r/>
          </w:p>
        </w:tc>
        <w:tc>
          <w:tcPr>
            <w:shd w:val="clear" w:color="auto" w:fill="auto"/>
            <w:tcBorders>
              <w:top w:val="single" w:color="000000" w:sz="4" w:space="0"/>
              <w:left w:val="single" w:color="000000" w:sz="4" w:space="0"/>
              <w:bottom w:val="single" w:color="000000" w:sz="4" w:space="0"/>
              <w:right w:val="single" w:color="000000" w:sz="4" w:space="0"/>
            </w:tcBorders>
            <w:tcW w:w="3086"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条质量偏差、渗透性能、面层附着物、pH、杂质、吸收倍率、甲醛含量、可迁移性荧光性物质</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cs="宋体"/>
                <w:b w:val="0"/>
                <w:bCs w:val="0"/>
                <w:i w:val="0"/>
                <w:iCs w:val="0"/>
                <w:color w:val="auto"/>
                <w:sz w:val="21"/>
                <w:szCs w:val="21"/>
                <w:u w:val="none"/>
                <w:lang w:val="en-US" w:eastAsia="zh-CN" w:bidi="ar"/>
              </w:rPr>
              <w:t xml:space="preserve">批次</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3</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护理床垫</w:t>
            </w:r>
            <w:r/>
          </w:p>
        </w:tc>
        <w:tc>
          <w:tcPr>
            <w:shd w:val="clear" w:color="auto" w:fill="auto"/>
            <w:tcBorders>
              <w:top w:val="single" w:color="000000" w:sz="4" w:space="0"/>
              <w:left w:val="single" w:color="000000" w:sz="4" w:space="0"/>
              <w:bottom w:val="single" w:color="000000" w:sz="4" w:space="0"/>
              <w:right w:val="single" w:color="000000" w:sz="4" w:space="0"/>
            </w:tcBorders>
            <w:tcW w:w="2352"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《纸尿裤 第 2 部分：成人纸尿裤》GB/T 28004.2-2021。</w:t>
            </w:r>
            <w:r/>
          </w:p>
        </w:tc>
        <w:tc>
          <w:tcPr>
            <w:shd w:val="clear" w:color="auto" w:fill="auto"/>
            <w:tcBorders>
              <w:top w:val="single" w:color="000000" w:sz="4" w:space="0"/>
              <w:left w:val="single" w:color="000000" w:sz="4" w:space="0"/>
              <w:bottom w:val="single" w:color="000000" w:sz="4" w:space="0"/>
              <w:right w:val="single" w:color="000000" w:sz="4" w:space="0"/>
            </w:tcBorders>
            <w:tcW w:w="3086"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条质量偏差、渗透性能、面层附着物、pH、杂质、吸收倍率、甲醛含量、可迁移性荧光性物质</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cs="宋体"/>
                <w:b w:val="0"/>
                <w:bCs w:val="0"/>
                <w:i w:val="0"/>
                <w:iCs w:val="0"/>
                <w:color w:val="auto"/>
                <w:sz w:val="21"/>
                <w:szCs w:val="21"/>
                <w:u w:val="none"/>
                <w:lang w:val="en-US" w:eastAsia="zh-CN" w:bidi="ar"/>
              </w:rPr>
              <w:t xml:space="preserve">批次</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2</w:t>
            </w:r>
            <w:r/>
          </w:p>
        </w:tc>
      </w:tr>
      <w:tr>
        <w:trPr>
          <w:trHeight w:val="2092"/>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化肥</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磷肥、复肥</w:t>
            </w:r>
            <w:r/>
          </w:p>
        </w:tc>
        <w:tc>
          <w:tcPr>
            <w:shd w:val="clear" w:color="auto" w:fill="auto"/>
            <w:tcBorders>
              <w:top w:val="single" w:color="000000" w:sz="4" w:space="0"/>
              <w:left w:val="single" w:color="000000" w:sz="4" w:space="0"/>
              <w:bottom w:val="single" w:color="000000" w:sz="4" w:space="0"/>
              <w:right w:val="single" w:color="000000" w:sz="4" w:space="0"/>
            </w:tcBorders>
            <w:tcW w:w="2352"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b w:val="0"/>
                <w:bCs w:val="0"/>
                <w:color w:val="auto"/>
                <w:lang w:val="en-US" w:eastAsia="zh-CN"/>
              </w:rPr>
              <w:suppressLineNumbers w:val="0"/>
            </w:pPr>
            <w:r>
              <w:rPr>
                <w:rFonts w:hint="eastAsia" w:ascii="宋体" w:hAnsi="宋体" w:eastAsia="宋体" w:cs="宋体"/>
                <w:b w:val="0"/>
                <w:bCs w:val="0"/>
                <w:color w:val="auto"/>
                <w:lang w:val="en-US" w:eastAsia="zh-CN"/>
              </w:rPr>
              <w:t xml:space="preserve">1、《肥料标识 内容和要求》GB 18382—2021；</w:t>
            </w:r>
            <w:r/>
          </w:p>
          <w:p>
            <w:pPr>
              <w:ind w:left="0" w:right="0"/>
              <w:keepLines w:val="0"/>
              <w:keepNext w:val="0"/>
              <w:spacing w:before="0" w:beforeAutospacing="0" w:after="0" w:afterAutospacing="0"/>
              <w:rPr>
                <w:rFonts w:hint="eastAsia" w:ascii="宋体" w:hAnsi="宋体" w:eastAsia="宋体" w:cs="宋体"/>
                <w:b w:val="0"/>
                <w:bCs w:val="0"/>
                <w:color w:val="auto"/>
                <w:lang w:val="en-US" w:eastAsia="zh-CN"/>
              </w:rPr>
              <w:suppressLineNumbers w:val="0"/>
            </w:pPr>
            <w:r>
              <w:rPr>
                <w:rFonts w:hint="eastAsia" w:ascii="宋体" w:hAnsi="宋体" w:eastAsia="宋体" w:cs="宋体"/>
                <w:b w:val="0"/>
                <w:bCs w:val="0"/>
                <w:color w:val="auto"/>
                <w:lang w:val="en-US" w:eastAsia="zh-CN"/>
              </w:rPr>
              <w:t xml:space="preserve">2、《肥料中有毒有害物质的限量要求》GB 38400—2019；</w:t>
            </w:r>
            <w:r/>
          </w:p>
          <w:p>
            <w:pPr>
              <w:ind w:left="0" w:right="0"/>
              <w:keepLines w:val="0"/>
              <w:keepNext w:val="0"/>
              <w:spacing w:before="0" w:beforeAutospacing="0" w:after="0" w:afterAutospacing="0"/>
              <w:rPr>
                <w:rFonts w:hint="eastAsia" w:ascii="宋体" w:hAnsi="宋体" w:eastAsia="宋体" w:cs="宋体"/>
                <w:b w:val="0"/>
                <w:bCs w:val="0"/>
                <w:color w:val="auto"/>
                <w:lang w:val="en-US" w:eastAsia="zh-CN"/>
              </w:rPr>
              <w:suppressLineNumbers w:val="0"/>
            </w:pPr>
            <w:r>
              <w:rPr>
                <w:rFonts w:hint="eastAsia" w:ascii="宋体" w:hAnsi="宋体" w:eastAsia="宋体" w:cs="宋体"/>
                <w:b w:val="0"/>
                <w:bCs w:val="0"/>
                <w:color w:val="auto"/>
                <w:lang w:val="en-US" w:eastAsia="zh-CN"/>
              </w:rPr>
              <w:t xml:space="preserve">3、《钙镁磷肥》GB/T 20412—2021；</w:t>
            </w:r>
            <w:r/>
          </w:p>
          <w:p>
            <w:pPr>
              <w:ind w:left="0" w:right="0"/>
              <w:keepLines w:val="0"/>
              <w:keepNext w:val="0"/>
              <w:spacing w:before="0" w:beforeAutospacing="0" w:after="0" w:afterAutospacing="0"/>
              <w:rPr>
                <w:rFonts w:hint="eastAsia" w:ascii="宋体" w:hAnsi="宋体" w:eastAsia="宋体" w:cs="宋体"/>
                <w:b w:val="0"/>
                <w:bCs w:val="0"/>
                <w:color w:val="auto"/>
                <w:lang w:val="en-US" w:eastAsia="zh-CN"/>
              </w:rPr>
              <w:suppressLineNumbers w:val="0"/>
            </w:pPr>
            <w:r>
              <w:rPr>
                <w:rFonts w:hint="eastAsia" w:ascii="宋体" w:hAnsi="宋体" w:eastAsia="宋体" w:cs="宋体"/>
                <w:b w:val="0"/>
                <w:bCs w:val="0"/>
                <w:color w:val="auto"/>
                <w:lang w:val="en-US" w:eastAsia="zh-CN"/>
              </w:rPr>
              <w:t xml:space="preserve">4、《过磷酸钙》GB/T 20413—2017；</w:t>
            </w:r>
            <w:r/>
          </w:p>
          <w:p>
            <w:pPr>
              <w:ind w:left="0" w:right="0"/>
              <w:keepLines w:val="0"/>
              <w:keepNext w:val="0"/>
              <w:spacing w:before="0" w:beforeAutospacing="0" w:after="0" w:afterAutospacing="0"/>
              <w:rPr>
                <w:rFonts w:hint="eastAsia" w:ascii="宋体" w:hAnsi="宋体" w:eastAsia="宋体" w:cs="宋体"/>
                <w:b w:val="0"/>
                <w:bCs w:val="0"/>
                <w:color w:val="auto"/>
                <w:lang w:val="en-US" w:eastAsia="zh-CN"/>
              </w:rPr>
              <w:suppressLineNumbers w:val="0"/>
            </w:pPr>
            <w:r>
              <w:rPr>
                <w:rFonts w:hint="eastAsia" w:ascii="宋体" w:hAnsi="宋体" w:eastAsia="宋体" w:cs="宋体"/>
                <w:b w:val="0"/>
                <w:bCs w:val="0"/>
                <w:color w:val="auto"/>
                <w:lang w:val="en-US" w:eastAsia="zh-CN"/>
              </w:rPr>
              <w:t xml:space="preserve">5、《复合肥料》GB/T 15063—2020；</w:t>
            </w:r>
            <w:r/>
          </w:p>
          <w:p>
            <w:pPr>
              <w:ind w:left="0" w:right="0"/>
              <w:keepLines w:val="0"/>
              <w:keepNext w:val="0"/>
              <w:spacing w:before="0" w:beforeAutospacing="0" w:after="0" w:afterAutospacing="0"/>
              <w:rPr>
                <w:rFonts w:hint="eastAsia" w:ascii="宋体" w:hAnsi="宋体" w:eastAsia="宋体" w:cs="宋体"/>
                <w:b w:val="0"/>
                <w:bCs w:val="0"/>
                <w:color w:val="auto"/>
                <w:lang w:val="en-US" w:eastAsia="zh-CN"/>
              </w:rPr>
              <w:suppressLineNumbers w:val="0"/>
            </w:pPr>
            <w:r>
              <w:rPr>
                <w:rFonts w:hint="eastAsia" w:ascii="宋体" w:hAnsi="宋体" w:eastAsia="宋体" w:cs="宋体"/>
                <w:b w:val="0"/>
                <w:bCs w:val="0"/>
                <w:color w:val="auto"/>
                <w:lang w:val="en-US" w:eastAsia="zh-CN"/>
              </w:rPr>
              <w:t xml:space="preserve">6、《有机无机复混肥料（含第1号修改单）》GB/T 18877—2020；</w:t>
            </w:r>
            <w:r/>
          </w:p>
          <w:p>
            <w:pPr>
              <w:ind w:left="0" w:right="0"/>
              <w:keepLines w:val="0"/>
              <w:keepNext w:val="0"/>
              <w:spacing w:before="0" w:beforeAutospacing="0" w:after="0" w:afterAutospacing="0"/>
              <w:rPr>
                <w:rFonts w:hint="eastAsia" w:ascii="宋体" w:hAnsi="宋体" w:eastAsia="宋体" w:cs="宋体"/>
                <w:b w:val="0"/>
                <w:bCs w:val="0"/>
                <w:color w:val="auto"/>
                <w:lang w:val="en-US" w:eastAsia="zh-CN"/>
              </w:rPr>
              <w:suppressLineNumbers w:val="0"/>
            </w:pPr>
            <w:r>
              <w:rPr>
                <w:rFonts w:hint="eastAsia" w:ascii="宋体" w:hAnsi="宋体" w:eastAsia="宋体" w:cs="宋体"/>
                <w:b w:val="0"/>
                <w:bCs w:val="0"/>
                <w:color w:val="auto"/>
                <w:lang w:val="en-US" w:eastAsia="zh-CN"/>
              </w:rPr>
              <w:t xml:space="preserve">7、《掺混肥料（BB肥）》GB/T 21633—2020。</w:t>
            </w:r>
            <w:r/>
          </w:p>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86"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1、过磷酸钙：有效磷(以P2O5计)的质量分数、水溶性磷(以P2O5计)的质量分数、硫(以S计)的质量分数、游离酸(以P2O5计)的质量分数、游离水的质量分数、三氯乙醛的质量分数、粒度(1.00mm～4.75mm或3.35mm～5.60mm)的质量分数、总砷、总镉、总铅、总铬、总汞、总铊、包装标识（产品名称、养分含量、产品等级、名称中的禁用语等）；</w:t>
            </w:r>
            <w:r/>
          </w:p>
          <w:p>
            <w:pPr>
              <w:ind w:left="0" w:right="0"/>
              <w:jc w:val="left"/>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2、钙镁磷肥：有效五氧化二磷(P2O5)、水分(H2O) 、细度(通过0.25mm试验筛)、粒度(2.00mm~4.75mm)、有效钙（Ca）、可溶性硅（SiO2）、有效镁（Mg）、颗粒平均抗压碎力、溶散率、总砷、总镉、总铅、总铬、总汞、总铊、包装标识（产品名称、类型、养分含量、名称中的禁用语等）；</w:t>
            </w:r>
            <w:r/>
          </w:p>
          <w:p>
            <w:pPr>
              <w:ind w:left="0" w:right="0"/>
              <w:jc w:val="left"/>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3、复合肥料：总氮（N）、有效磷（P2O5）、氧化钾（K2O）、总养分（N+P2O5+K2O）、水溶性磷占有效磷百分率、硝态氮、粒度（1.00mm~4.75mm或3.35mm~5.60mm）、有效钙、有效镁、总硫、单一微量元素（以单质计）、氯离子、总砷、总镉、总铅、总铬、总汞、总铊、缩二脲、包装标识（产品名称、养分含量、含氯标识、警示语、名称中的禁用语等）；</w:t>
            </w:r>
            <w:r/>
          </w:p>
          <w:p>
            <w:pPr>
              <w:ind w:left="0" w:right="0"/>
              <w:jc w:val="left"/>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4、掺混肥料（BB肥）：总氮（N）、有效磷（P2O5）、氧化钾（K2O）、总养分（N+P2O5+K2O）、水溶性磷占有效磷的百分率、粒度（2.00mm~4.75mm）、有效钙、有效镁、总硫、单一微量元素（以单质计）、氯离子、总砷、总镉、总铅、总铬、总汞、总铊、缩二脲、包装标识（产品名称、养分含量、含氯标识、名称中的禁用语等）；</w:t>
            </w:r>
            <w:r/>
          </w:p>
          <w:p>
            <w:pPr>
              <w:ind w:left="0" w:right="0"/>
              <w:jc w:val="left"/>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5、有机无机复混肥料：总氮（N）含量、有效五氧化二磷（P2O5）含量、总氧化钾（K2O）含量、总养分（N+P2O5+K2O）含量、有机质含量、酸碱度（pH值）、粒度（1.00mm~4.75mm或3.35~5.60mm）、氯离子含量、总砷、总镉、总铅、总铬、总汞、总铊、钠离子含量、缩二脲、蛔虫卵死亡率、粪大肠菌群数、包装标识（产品名称、养分含量、含氯标识、名称中的禁用语等）。</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cs="宋体"/>
                <w:b w:val="0"/>
                <w:bCs w:val="0"/>
                <w:i w:val="0"/>
                <w:iCs w:val="0"/>
                <w:color w:val="auto"/>
                <w:sz w:val="21"/>
                <w:szCs w:val="21"/>
                <w:u w:val="none"/>
                <w:lang w:val="en-US" w:eastAsia="zh-CN" w:bidi="ar"/>
              </w:rPr>
              <w:t xml:space="preserve">批次</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10</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钢化玻璃</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钢化玻璃（生产企业）</w:t>
            </w:r>
            <w:r/>
          </w:p>
        </w:tc>
        <w:tc>
          <w:tcPr>
            <w:shd w:val="clear" w:color="auto" w:fill="auto"/>
            <w:tcBorders>
              <w:top w:val="single" w:color="000000" w:sz="4" w:space="0"/>
              <w:left w:val="single" w:color="000000" w:sz="4" w:space="0"/>
              <w:bottom w:val="single" w:color="000000" w:sz="4" w:space="0"/>
              <w:right w:val="single" w:color="000000" w:sz="4" w:space="0"/>
            </w:tcBorders>
            <w:tcW w:w="2352"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r>
            <w:r/>
          </w:p>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《建筑用安全玻璃第2部分：钢化玻璃》GB/T 15763.2-2025。</w:t>
            </w:r>
            <w:r/>
          </w:p>
        </w:tc>
        <w:tc>
          <w:tcPr>
            <w:shd w:val="clear" w:color="auto" w:fill="auto"/>
            <w:tcBorders>
              <w:top w:val="single" w:color="000000" w:sz="4" w:space="0"/>
              <w:left w:val="single" w:color="000000" w:sz="4" w:space="0"/>
              <w:bottom w:val="single" w:color="000000" w:sz="4" w:space="0"/>
              <w:right w:val="single" w:color="000000" w:sz="4" w:space="0"/>
            </w:tcBorders>
            <w:tcW w:w="3086"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尺寸及其允许偏差、厚度及其允许偏差、抗冲击性、表面应力。</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cs="宋体"/>
                <w:b w:val="0"/>
                <w:bCs w:val="0"/>
                <w:i w:val="0"/>
                <w:iCs w:val="0"/>
                <w:color w:val="auto"/>
                <w:sz w:val="21"/>
                <w:szCs w:val="21"/>
                <w:u w:val="none"/>
                <w:lang w:val="en-US" w:eastAsia="zh-CN" w:bidi="ar"/>
              </w:rPr>
              <w:t xml:space="preserve">批次</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5</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其他轻工产品</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木质骨灰盒</w:t>
            </w:r>
            <w:r/>
          </w:p>
        </w:tc>
        <w:tc>
          <w:tcPr>
            <w:shd w:val="clear" w:color="auto" w:fill="auto"/>
            <w:tcBorders>
              <w:top w:val="single" w:color="000000" w:sz="4" w:space="0"/>
              <w:left w:val="single" w:color="000000" w:sz="4" w:space="0"/>
              <w:bottom w:val="single" w:color="000000" w:sz="4" w:space="0"/>
              <w:right w:val="single" w:color="000000" w:sz="4" w:space="0"/>
            </w:tcBorders>
            <w:tcW w:w="2352"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《木质骨灰盒》GB/T 23288-2023。</w:t>
            </w:r>
            <w:r/>
          </w:p>
        </w:tc>
        <w:tc>
          <w:tcPr>
            <w:shd w:val="clear" w:color="auto" w:fill="auto"/>
            <w:tcBorders>
              <w:top w:val="single" w:color="000000" w:sz="4" w:space="0"/>
              <w:left w:val="single" w:color="000000" w:sz="4" w:space="0"/>
              <w:bottom w:val="single" w:color="000000" w:sz="4" w:space="0"/>
              <w:right w:val="single" w:color="000000" w:sz="4" w:space="0"/>
            </w:tcBorders>
            <w:tcW w:w="3086"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外观、木材含水率、尺寸、形状和位置公差、漆膜耐湿热、漆膜附着力、漆膜耐冲击。</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cs="宋体"/>
                <w:b w:val="0"/>
                <w:bCs w:val="0"/>
                <w:i w:val="0"/>
                <w:iCs w:val="0"/>
                <w:color w:val="auto"/>
                <w:sz w:val="21"/>
                <w:szCs w:val="21"/>
                <w:u w:val="none"/>
                <w:lang w:val="en-US" w:eastAsia="zh-CN" w:bidi="ar"/>
              </w:rPr>
              <w:t xml:space="preserve">批次</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4</w:t>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活性炭</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活性炭</w:t>
            </w:r>
            <w:r/>
          </w:p>
        </w:tc>
        <w:tc>
          <w:tcPr>
            <w:shd w:val="clear" w:color="auto" w:fill="auto"/>
            <w:tcBorders>
              <w:top w:val="single" w:color="000000" w:sz="4" w:space="0"/>
              <w:left w:val="single" w:color="000000" w:sz="4" w:space="0"/>
              <w:bottom w:val="single" w:color="000000" w:sz="4" w:space="0"/>
              <w:right w:val="single" w:color="000000" w:sz="4" w:space="0"/>
            </w:tcBorders>
            <w:tcW w:w="2352"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b w:val="0"/>
                <w:bCs w:val="0"/>
                <w:color w:val="auto"/>
                <w:lang w:val="en-US" w:eastAsia="zh-CN"/>
              </w:rPr>
              <w:suppressLineNumbers w:val="0"/>
            </w:pPr>
            <w:r>
              <w:rPr>
                <w:rFonts w:hint="eastAsia" w:ascii="宋体" w:hAnsi="宋体" w:eastAsia="宋体" w:cs="宋体"/>
                <w:b w:val="0"/>
                <w:bCs w:val="0"/>
                <w:color w:val="auto"/>
                <w:lang w:val="en-US" w:eastAsia="zh-CN"/>
              </w:rPr>
              <w:t xml:space="preserve">1、《木质净水用活性炭》GB/T 13803.2-1999；</w:t>
            </w:r>
            <w:r/>
          </w:p>
          <w:p>
            <w:pPr>
              <w:ind w:left="0" w:right="0"/>
              <w:keepLines w:val="0"/>
              <w:keepNext w:val="0"/>
              <w:spacing w:before="0" w:beforeAutospacing="0" w:after="0" w:afterAutospacing="0"/>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color w:val="auto"/>
                <w:lang w:val="en-US" w:eastAsia="zh-CN"/>
              </w:rPr>
              <w:t xml:space="preserve">2、《煤质颗粒活性炭净化水用煤质颗粒活性炭》GB/T 7701.2-2008。</w:t>
            </w:r>
            <w:r/>
          </w:p>
        </w:tc>
        <w:tc>
          <w:tcPr>
            <w:shd w:val="clear" w:color="auto" w:fill="auto"/>
            <w:tcBorders>
              <w:top w:val="single" w:color="000000" w:sz="4" w:space="0"/>
              <w:left w:val="single" w:color="000000" w:sz="4" w:space="0"/>
              <w:bottom w:val="single" w:color="000000" w:sz="4" w:space="0"/>
              <w:right w:val="single" w:color="000000" w:sz="4" w:space="0"/>
            </w:tcBorders>
            <w:tcW w:w="3086"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外观、粒度、水分、pH值、灰分、表观密度；外观、杂质、水分、pH值、水溶物、粒度。</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cs="宋体"/>
                <w:b w:val="0"/>
                <w:bCs w:val="0"/>
                <w:i w:val="0"/>
                <w:iCs w:val="0"/>
                <w:color w:val="auto"/>
                <w:sz w:val="21"/>
                <w:szCs w:val="21"/>
                <w:u w:val="none"/>
                <w:lang w:val="en-US" w:eastAsia="zh-CN" w:bidi="ar"/>
              </w:rPr>
              <w:t xml:space="preserve">批次</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3</w:t>
            </w:r>
            <w:r/>
          </w:p>
        </w:tc>
      </w:tr>
      <w:tr>
        <w:trPr>
          <w:trHeight w:val="14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纺织产品</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儿童及婴幼儿服装</w:t>
            </w:r>
            <w:r/>
          </w:p>
        </w:tc>
        <w:tc>
          <w:tcPr>
            <w:shd w:val="clear" w:color="auto" w:fill="auto"/>
            <w:tcBorders>
              <w:top w:val="single" w:color="000000" w:sz="4" w:space="0"/>
              <w:left w:val="single" w:color="000000" w:sz="4" w:space="0"/>
              <w:bottom w:val="single" w:color="000000" w:sz="4" w:space="0"/>
              <w:right w:val="single" w:color="000000" w:sz="4" w:space="0"/>
            </w:tcBorders>
            <w:tcW w:w="2352"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b w:val="0"/>
                <w:bCs w:val="0"/>
                <w:color w:val="auto"/>
                <w:lang w:val="en-US" w:eastAsia="zh-CN"/>
              </w:rPr>
              <w:suppressLineNumbers w:val="0"/>
            </w:pPr>
            <w:r>
              <w:rPr>
                <w:rFonts w:hint="eastAsia" w:ascii="宋体" w:hAnsi="宋体" w:eastAsia="宋体" w:cs="宋体"/>
                <w:b w:val="0"/>
                <w:bCs w:val="0"/>
                <w:color w:val="auto"/>
                <w:lang w:val="en-US" w:eastAsia="zh-CN"/>
              </w:rPr>
              <w:t xml:space="preserve">1、《婴幼儿针织服饰》FZ/T 73025-2019；</w:t>
            </w:r>
            <w:r/>
          </w:p>
          <w:p>
            <w:pPr>
              <w:ind w:left="0" w:right="0"/>
              <w:keepLines w:val="0"/>
              <w:keepNext w:val="0"/>
              <w:spacing w:before="0" w:beforeAutospacing="0" w:after="0" w:afterAutospacing="0"/>
              <w:rPr>
                <w:rFonts w:hint="eastAsia" w:ascii="宋体" w:hAnsi="宋体" w:eastAsia="宋体" w:cs="宋体"/>
                <w:b w:val="0"/>
                <w:bCs w:val="0"/>
                <w:color w:val="auto"/>
                <w:lang w:val="en-US" w:eastAsia="zh-CN"/>
              </w:rPr>
              <w:suppressLineNumbers w:val="0"/>
            </w:pPr>
            <w:r>
              <w:rPr>
                <w:rFonts w:hint="eastAsia" w:ascii="宋体" w:hAnsi="宋体" w:eastAsia="宋体" w:cs="宋体"/>
                <w:b w:val="0"/>
                <w:bCs w:val="0"/>
                <w:color w:val="auto"/>
                <w:lang w:val="en-US" w:eastAsia="zh-CN"/>
              </w:rPr>
              <w:t xml:space="preserve">2、《机织婴幼儿服装》GB/T 33271-2016；</w:t>
            </w:r>
            <w:r/>
          </w:p>
          <w:p>
            <w:pPr>
              <w:ind w:left="0" w:right="0"/>
              <w:keepLines w:val="0"/>
              <w:keepNext w:val="0"/>
              <w:spacing w:before="0" w:beforeAutospacing="0" w:after="0" w:afterAutospacing="0"/>
              <w:rPr>
                <w:rFonts w:hint="eastAsia" w:ascii="宋体" w:hAnsi="宋体" w:eastAsia="宋体" w:cs="宋体"/>
                <w:b w:val="0"/>
                <w:bCs w:val="0"/>
                <w:color w:val="auto"/>
                <w:lang w:val="en-US" w:eastAsia="zh-CN"/>
              </w:rPr>
              <w:suppressLineNumbers w:val="0"/>
            </w:pPr>
            <w:r>
              <w:rPr>
                <w:rFonts w:hint="eastAsia" w:ascii="宋体" w:hAnsi="宋体" w:eastAsia="宋体" w:cs="宋体"/>
                <w:b w:val="0"/>
                <w:bCs w:val="0"/>
                <w:color w:val="auto"/>
                <w:lang w:val="en-US" w:eastAsia="zh-CN"/>
              </w:rPr>
              <w:t xml:space="preserve">3、《针织婴幼儿及儿童服装</w:t>
            </w:r>
            <w:r>
              <w:rPr>
                <w:rFonts w:hint="eastAsia" w:ascii="宋体" w:hAnsi="宋体" w:eastAsia="宋体" w:cs="宋体"/>
                <w:b w:val="0"/>
                <w:bCs w:val="0"/>
                <w:i w:val="0"/>
                <w:iCs w:val="0"/>
                <w:color w:val="auto"/>
                <w:sz w:val="21"/>
                <w:szCs w:val="21"/>
                <w:u w:val="none"/>
                <w:lang w:val="en-US" w:eastAsia="zh-CN" w:bidi="ar"/>
              </w:rPr>
              <w:t xml:space="preserve">检测标准》</w:t>
            </w:r>
            <w:r>
              <w:rPr>
                <w:rFonts w:hint="eastAsia" w:ascii="宋体" w:hAnsi="宋体" w:eastAsia="宋体" w:cs="宋体"/>
                <w:b w:val="0"/>
                <w:bCs w:val="0"/>
                <w:color w:val="auto"/>
                <w:lang w:val="en-US" w:eastAsia="zh-CN"/>
              </w:rPr>
              <w:t xml:space="preserve">GB/T 39508-2020；</w:t>
            </w:r>
            <w:r/>
          </w:p>
          <w:p>
            <w:pPr>
              <w:ind w:left="0" w:right="0"/>
              <w:keepLines w:val="0"/>
              <w:keepNext w:val="0"/>
              <w:spacing w:before="0" w:beforeAutospacing="0" w:after="0" w:afterAutospacing="0"/>
              <w:rPr>
                <w:rFonts w:hint="eastAsia" w:ascii="宋体" w:hAnsi="宋体" w:eastAsia="宋体" w:cs="宋体"/>
                <w:b w:val="0"/>
                <w:bCs w:val="0"/>
                <w:color w:val="auto"/>
                <w:lang w:val="en-US" w:eastAsia="zh-CN"/>
              </w:rPr>
              <w:suppressLineNumbers w:val="0"/>
            </w:pPr>
            <w:r>
              <w:rPr>
                <w:rFonts w:hint="eastAsia" w:ascii="宋体" w:hAnsi="宋体" w:eastAsia="宋体" w:cs="宋体"/>
                <w:b w:val="0"/>
                <w:bCs w:val="0"/>
                <w:color w:val="auto"/>
                <w:lang w:val="en-US" w:eastAsia="zh-CN"/>
              </w:rPr>
              <w:t xml:space="preserve">4、《机织儿童服装》GB/T 31900-2015；</w:t>
            </w:r>
            <w:r/>
          </w:p>
          <w:p>
            <w:pPr>
              <w:ind w:left="0" w:right="0"/>
              <w:keepLines w:val="0"/>
              <w:keepNext w:val="0"/>
              <w:spacing w:before="0" w:beforeAutospacing="0" w:after="0" w:afterAutospacing="0"/>
              <w:rPr>
                <w:rFonts w:hint="eastAsia" w:ascii="宋体" w:hAnsi="宋体" w:eastAsia="宋体" w:cs="宋体"/>
                <w:b w:val="0"/>
                <w:bCs w:val="0"/>
                <w:color w:val="auto"/>
                <w:lang w:val="en-US" w:eastAsia="zh-CN"/>
              </w:rPr>
              <w:suppressLineNumbers w:val="0"/>
            </w:pPr>
            <w:r>
              <w:rPr>
                <w:rFonts w:hint="eastAsia" w:ascii="宋体" w:hAnsi="宋体" w:eastAsia="宋体" w:cs="宋体"/>
                <w:b w:val="0"/>
                <w:bCs w:val="0"/>
                <w:color w:val="auto"/>
                <w:lang w:val="en-US" w:eastAsia="zh-CN"/>
              </w:rPr>
              <w:t xml:space="preserve">5、《国家纺织产品基本安全技术规范》GB 18401-2010；</w:t>
            </w:r>
            <w:r/>
          </w:p>
          <w:p>
            <w:pPr>
              <w:ind w:left="0" w:right="0"/>
              <w:keepLines w:val="0"/>
              <w:keepNext w:val="0"/>
              <w:spacing w:before="0" w:beforeAutospacing="0" w:after="0" w:afterAutospacing="0"/>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color w:val="auto"/>
                <w:lang w:val="en-US" w:eastAsia="zh-CN"/>
              </w:rPr>
              <w:t xml:space="preserve">6、《婴幼儿及儿童纺织产品安全技术规范》GB 31701-2015。</w:t>
            </w:r>
            <w:r/>
          </w:p>
        </w:tc>
        <w:tc>
          <w:tcPr>
            <w:shd w:val="clear" w:color="auto" w:fill="auto"/>
            <w:tcBorders>
              <w:top w:val="single" w:color="000000" w:sz="4" w:space="0"/>
              <w:left w:val="single" w:color="000000" w:sz="4" w:space="0"/>
              <w:bottom w:val="single" w:color="000000" w:sz="4" w:space="0"/>
              <w:right w:val="single" w:color="000000" w:sz="4" w:space="0"/>
            </w:tcBorders>
            <w:tcW w:w="3086"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纤维含量、甲醛含量、pH值、异味、耐皂洗色牢度、耐酸汗渍色牢度、耐碱汗渍色牢度、耐干摩擦色牢度、耐湿摩擦色牢度、耐唾液色牢度、耐水色牢度。</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cs="宋体"/>
                <w:b w:val="0"/>
                <w:bCs w:val="0"/>
                <w:i w:val="0"/>
                <w:iCs w:val="0"/>
                <w:color w:val="auto"/>
                <w:sz w:val="21"/>
                <w:szCs w:val="21"/>
                <w:u w:val="none"/>
                <w:lang w:val="en-US" w:eastAsia="zh-CN" w:bidi="ar"/>
              </w:rPr>
              <w:t xml:space="preserve">批次</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20</w:t>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成人服装（羽绒服、羊绒衫等）</w:t>
            </w:r>
            <w:r/>
          </w:p>
        </w:tc>
        <w:tc>
          <w:tcPr>
            <w:shd w:val="clear" w:color="auto" w:fill="auto"/>
            <w:tcBorders>
              <w:top w:val="single" w:color="000000" w:sz="4" w:space="0"/>
              <w:left w:val="single" w:color="000000" w:sz="4" w:space="0"/>
              <w:bottom w:val="single" w:color="000000" w:sz="4" w:space="0"/>
              <w:right w:val="single" w:color="000000" w:sz="4" w:space="0"/>
            </w:tcBorders>
            <w:tcW w:w="2352"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b w:val="0"/>
                <w:bCs w:val="0"/>
                <w:color w:val="auto"/>
                <w:lang w:val="en-US" w:eastAsia="zh-CN"/>
              </w:rPr>
              <w:suppressLineNumbers w:val="0"/>
            </w:pPr>
            <w:r>
              <w:rPr>
                <w:rFonts w:hint="eastAsia" w:ascii="宋体" w:hAnsi="宋体" w:eastAsia="宋体" w:cs="宋体"/>
                <w:b w:val="0"/>
                <w:bCs w:val="0"/>
                <w:color w:val="auto"/>
                <w:lang w:val="en-US" w:eastAsia="zh-CN"/>
              </w:rPr>
              <w:t xml:space="preserve">1、《国家纺织产品基本安全技术规范》GB 18401—2010；</w:t>
            </w:r>
            <w:r/>
          </w:p>
          <w:p>
            <w:pPr>
              <w:ind w:left="0" w:right="0"/>
              <w:keepLines w:val="0"/>
              <w:keepNext w:val="0"/>
              <w:spacing w:before="0" w:beforeAutospacing="0" w:after="0" w:afterAutospacing="0"/>
              <w:rPr>
                <w:rFonts w:hint="eastAsia" w:ascii="宋体" w:hAnsi="宋体" w:eastAsia="宋体" w:cs="宋体"/>
                <w:b w:val="0"/>
                <w:bCs w:val="0"/>
                <w:color w:val="auto"/>
                <w:lang w:val="en-US" w:eastAsia="zh-CN"/>
              </w:rPr>
              <w:suppressLineNumbers w:val="0"/>
            </w:pPr>
            <w:r>
              <w:rPr>
                <w:rFonts w:hint="eastAsia" w:ascii="宋体" w:hAnsi="宋体" w:eastAsia="宋体" w:cs="宋体"/>
                <w:b w:val="0"/>
                <w:bCs w:val="0"/>
                <w:color w:val="auto"/>
                <w:lang w:val="en-US" w:eastAsia="zh-CN"/>
              </w:rPr>
              <w:t xml:space="preserve">2、《羽绒服装》GB/T 14272—2021；</w:t>
            </w:r>
            <w:r/>
          </w:p>
          <w:p>
            <w:pPr>
              <w:ind w:left="0" w:right="0"/>
              <w:keepLines w:val="0"/>
              <w:keepNext w:val="0"/>
              <w:spacing w:before="0" w:beforeAutospacing="0" w:after="0" w:afterAutospacing="0"/>
              <w:rPr>
                <w:rFonts w:hint="eastAsia" w:ascii="宋体" w:hAnsi="宋体" w:eastAsia="宋体" w:cs="宋体"/>
                <w:b w:val="0"/>
                <w:bCs w:val="0"/>
                <w:color w:val="auto"/>
                <w:lang w:val="en-US" w:eastAsia="zh-CN"/>
              </w:rPr>
              <w:suppressLineNumbers w:val="0"/>
            </w:pPr>
            <w:r>
              <w:rPr>
                <w:rFonts w:hint="eastAsia" w:ascii="宋体" w:hAnsi="宋体" w:eastAsia="宋体" w:cs="宋体"/>
                <w:b w:val="0"/>
                <w:bCs w:val="0"/>
                <w:color w:val="auto"/>
                <w:lang w:val="en-US" w:eastAsia="zh-CN"/>
              </w:rPr>
              <w:t xml:space="preserve">3、《纺织品 纤维含量的标识》GB/T 29862—2013；</w:t>
            </w:r>
            <w:r/>
          </w:p>
          <w:p>
            <w:pPr>
              <w:ind w:left="0" w:right="0"/>
              <w:keepLines w:val="0"/>
              <w:keepNext w:val="0"/>
              <w:spacing w:before="0" w:beforeAutospacing="0" w:after="0" w:afterAutospacing="0"/>
              <w:rPr>
                <w:rFonts w:hint="eastAsia" w:ascii="宋体" w:hAnsi="宋体" w:eastAsia="宋体" w:cs="宋体"/>
                <w:b w:val="0"/>
                <w:bCs w:val="0"/>
                <w:color w:val="auto"/>
                <w:lang w:val="en-US" w:eastAsia="zh-CN"/>
              </w:rPr>
              <w:suppressLineNumbers w:val="0"/>
            </w:pPr>
            <w:r>
              <w:rPr>
                <w:rFonts w:hint="eastAsia" w:ascii="宋体" w:hAnsi="宋体" w:eastAsia="宋体" w:cs="宋体"/>
                <w:b w:val="0"/>
                <w:bCs w:val="0"/>
                <w:color w:val="auto"/>
                <w:lang w:val="en-US" w:eastAsia="zh-CN"/>
              </w:rPr>
              <w:t xml:space="preserve">4、《针织羽绒服装》FZ/T 73053—2015；</w:t>
            </w:r>
            <w:r/>
          </w:p>
          <w:p>
            <w:pPr>
              <w:ind w:left="0" w:right="0"/>
              <w:keepLines w:val="0"/>
              <w:keepNext w:val="0"/>
              <w:spacing w:before="0" w:beforeAutospacing="0" w:after="0" w:afterAutospacing="0"/>
              <w:rPr>
                <w:rFonts w:hint="eastAsia" w:ascii="宋体" w:hAnsi="宋体" w:eastAsia="宋体" w:cs="宋体"/>
                <w:b w:val="0"/>
                <w:bCs w:val="0"/>
                <w:color w:val="auto"/>
                <w:lang w:val="en-US" w:eastAsia="zh-CN"/>
              </w:rPr>
              <w:suppressLineNumbers w:val="0"/>
            </w:pPr>
            <w:r>
              <w:rPr>
                <w:rFonts w:hint="eastAsia" w:ascii="宋体" w:hAnsi="宋体" w:eastAsia="宋体" w:cs="宋体"/>
                <w:b w:val="0"/>
                <w:bCs w:val="0"/>
                <w:color w:val="auto"/>
                <w:lang w:val="en-US" w:eastAsia="zh-CN"/>
              </w:rPr>
              <w:t xml:space="preserve">5、《山羊绒针织品》FZ/T 73009-2021；</w:t>
            </w:r>
            <w:r/>
          </w:p>
          <w:p>
            <w:pPr>
              <w:ind w:left="0" w:right="0"/>
              <w:keepLines w:val="0"/>
              <w:keepNext w:val="0"/>
              <w:spacing w:before="0" w:beforeAutospacing="0" w:after="0" w:afterAutospacing="0"/>
              <w:rPr>
                <w:rFonts w:hint="eastAsia" w:ascii="宋体" w:hAnsi="宋体" w:eastAsia="宋体" w:cs="宋体"/>
                <w:b w:val="0"/>
                <w:bCs w:val="0"/>
                <w:color w:val="auto"/>
                <w:lang w:val="en-US" w:eastAsia="zh-CN"/>
              </w:rPr>
              <w:suppressLineNumbers w:val="0"/>
            </w:pPr>
            <w:r>
              <w:rPr>
                <w:rFonts w:hint="eastAsia" w:ascii="宋体" w:hAnsi="宋体" w:eastAsia="宋体" w:cs="宋体"/>
                <w:b w:val="0"/>
                <w:bCs w:val="0"/>
                <w:color w:val="auto"/>
                <w:lang w:val="en-US" w:eastAsia="zh-CN"/>
              </w:rPr>
              <w:t xml:space="preserve">6、《拒水、拒油、抗污山羊绒针织品》FZ/T 24012-2021；</w:t>
            </w:r>
            <w:r/>
          </w:p>
          <w:p>
            <w:pPr>
              <w:ind w:left="0" w:right="0"/>
              <w:keepLines w:val="0"/>
              <w:keepNext w:val="0"/>
              <w:spacing w:before="0" w:beforeAutospacing="0" w:after="0" w:afterAutospacing="0"/>
              <w:rPr>
                <w:rFonts w:hint="eastAsia" w:ascii="宋体" w:hAnsi="宋体" w:eastAsia="宋体" w:cs="宋体"/>
                <w:b w:val="0"/>
                <w:bCs w:val="0"/>
                <w:color w:val="auto"/>
                <w:lang w:val="en-US" w:eastAsia="zh-CN"/>
              </w:rPr>
              <w:suppressLineNumbers w:val="0"/>
            </w:pPr>
            <w:r>
              <w:rPr>
                <w:rFonts w:hint="eastAsia" w:ascii="宋体" w:hAnsi="宋体" w:eastAsia="宋体" w:cs="宋体"/>
                <w:b w:val="0"/>
                <w:bCs w:val="0"/>
                <w:color w:val="auto"/>
                <w:lang w:val="en-US" w:eastAsia="zh-CN"/>
              </w:rPr>
              <w:t xml:space="preserve">7、《耐久型抗静电山羊绒针织品》FZ/T 24013-2020；</w:t>
            </w:r>
            <w:r/>
          </w:p>
          <w:p>
            <w:pPr>
              <w:ind w:left="0" w:right="0"/>
              <w:keepLines w:val="0"/>
              <w:keepNext w:val="0"/>
              <w:spacing w:before="0" w:beforeAutospacing="0" w:after="0" w:afterAutospacing="0"/>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color w:val="auto"/>
                <w:lang w:val="en-US" w:eastAsia="zh-CN"/>
              </w:rPr>
              <w:t xml:space="preserve">8、《印花羊绒针织品》FZ/T 24019-2012。</w:t>
            </w:r>
            <w:r/>
          </w:p>
        </w:tc>
        <w:tc>
          <w:tcPr>
            <w:shd w:val="clear" w:color="auto" w:fill="auto"/>
            <w:tcBorders>
              <w:top w:val="single" w:color="000000" w:sz="4" w:space="0"/>
              <w:left w:val="single" w:color="000000" w:sz="4" w:space="0"/>
              <w:bottom w:val="single" w:color="000000" w:sz="4" w:space="0"/>
              <w:right w:val="single" w:color="000000" w:sz="4" w:space="0"/>
            </w:tcBorders>
            <w:tcW w:w="3086"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1、</w:t>
            </w:r>
            <w:r>
              <w:rPr>
                <w:rFonts w:hint="eastAsia" w:ascii="宋体" w:hAnsi="宋体" w:eastAsia="宋体" w:cs="宋体"/>
                <w:b w:val="0"/>
                <w:bCs w:val="0"/>
                <w:color w:val="auto"/>
                <w:lang w:val="en-US" w:eastAsia="zh-CN"/>
              </w:rPr>
              <w:t xml:space="preserve">羽绒服：</w:t>
            </w:r>
            <w:r>
              <w:rPr>
                <w:rFonts w:hint="eastAsia" w:ascii="宋体" w:hAnsi="宋体" w:eastAsia="宋体" w:cs="宋体"/>
                <w:b w:val="0"/>
                <w:bCs w:val="0"/>
                <w:i w:val="0"/>
                <w:iCs w:val="0"/>
                <w:color w:val="auto"/>
                <w:sz w:val="21"/>
                <w:szCs w:val="21"/>
                <w:u w:val="none"/>
                <w:lang w:val="en-US" w:eastAsia="zh-CN" w:bidi="ar"/>
              </w:rPr>
              <w:t xml:space="preserve">纤维含量、含绒量、绒子含量、杂质、蓬松度、清洁度、气味、耗氧量、甲醛含量；</w:t>
            </w:r>
            <w:r/>
          </w:p>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2、</w:t>
            </w:r>
            <w:r>
              <w:rPr>
                <w:rFonts w:hint="eastAsia" w:ascii="宋体" w:hAnsi="宋体" w:eastAsia="宋体" w:cs="宋体"/>
                <w:b w:val="0"/>
                <w:bCs w:val="0"/>
                <w:color w:val="auto"/>
                <w:lang w:val="en-US" w:eastAsia="zh-CN"/>
              </w:rPr>
              <w:t xml:space="preserve">羊绒衫：</w:t>
            </w:r>
            <w:r>
              <w:rPr>
                <w:rFonts w:hint="eastAsia" w:ascii="宋体" w:hAnsi="宋体" w:eastAsia="宋体" w:cs="宋体"/>
                <w:b w:val="0"/>
                <w:bCs w:val="0"/>
                <w:i w:val="0"/>
                <w:iCs w:val="0"/>
                <w:color w:val="auto"/>
                <w:sz w:val="21"/>
                <w:szCs w:val="21"/>
                <w:u w:val="none"/>
                <w:lang w:val="en-US" w:eastAsia="zh-CN" w:bidi="ar"/>
              </w:rPr>
              <w:t xml:space="preserve">纤维含量、pH值、异味、耐摩擦色牢度、耐汗渍色牢度、耐水色牢度、甲醛含量；</w:t>
            </w:r>
            <w:r/>
          </w:p>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cs="宋体"/>
                <w:b w:val="0"/>
                <w:bCs w:val="0"/>
                <w:i w:val="0"/>
                <w:iCs w:val="0"/>
                <w:color w:val="auto"/>
                <w:sz w:val="21"/>
                <w:szCs w:val="21"/>
                <w:u w:val="none"/>
                <w:lang w:val="en-US" w:eastAsia="zh-CN" w:bidi="ar"/>
              </w:rPr>
              <w:t xml:space="preserve">批次</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20</w:t>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地毯、毛毯</w:t>
            </w:r>
            <w:r/>
          </w:p>
        </w:tc>
        <w:tc>
          <w:tcPr>
            <w:shd w:val="clear" w:color="auto" w:fill="auto"/>
            <w:tcBorders>
              <w:top w:val="single" w:color="000000" w:sz="4" w:space="0"/>
              <w:left w:val="single" w:color="000000" w:sz="4" w:space="0"/>
              <w:bottom w:val="single" w:color="000000" w:sz="4" w:space="0"/>
              <w:right w:val="single" w:color="000000" w:sz="4" w:space="0"/>
            </w:tcBorders>
            <w:tcW w:w="2352"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b w:val="0"/>
                <w:bCs w:val="0"/>
                <w:color w:val="auto"/>
                <w:lang w:val="en-US" w:eastAsia="zh-CN"/>
              </w:rPr>
              <w:suppressLineNumbers w:val="0"/>
            </w:pPr>
            <w:r>
              <w:rPr>
                <w:rFonts w:hint="eastAsia" w:ascii="宋体" w:hAnsi="宋体" w:eastAsia="宋体" w:cs="宋体"/>
                <w:b w:val="0"/>
                <w:bCs w:val="0"/>
                <w:i w:val="0"/>
                <w:iCs w:val="0"/>
                <w:color w:val="auto"/>
                <w:sz w:val="21"/>
                <w:szCs w:val="21"/>
                <w:u w:val="none"/>
                <w:lang w:val="en-US" w:eastAsia="zh-CN" w:bidi="ar"/>
              </w:rPr>
              <w:t xml:space="preserve">                       </w:t>
            </w:r>
            <w:r>
              <w:rPr>
                <w:rFonts w:hint="eastAsia" w:ascii="宋体" w:hAnsi="宋体" w:eastAsia="宋体" w:cs="宋体"/>
                <w:b w:val="0"/>
                <w:bCs w:val="0"/>
                <w:color w:val="auto"/>
                <w:lang w:val="en-US" w:eastAsia="zh-CN"/>
              </w:rPr>
              <w:t xml:space="preserve">1、《纯毛毛混纺毛毯》FZ/T 61001-2019；</w:t>
            </w:r>
            <w:r/>
          </w:p>
          <w:p>
            <w:pPr>
              <w:ind w:left="0" w:right="0"/>
              <w:keepLines w:val="0"/>
              <w:keepNext w:val="0"/>
              <w:spacing w:before="0" w:beforeAutospacing="0" w:after="0" w:afterAutospacing="0"/>
              <w:rPr>
                <w:rFonts w:hint="eastAsia" w:ascii="宋体" w:hAnsi="宋体" w:eastAsia="宋体" w:cs="宋体"/>
                <w:b w:val="0"/>
                <w:bCs w:val="0"/>
                <w:color w:val="auto"/>
                <w:lang w:val="en-US" w:eastAsia="zh-CN"/>
              </w:rPr>
              <w:suppressLineNumbers w:val="0"/>
            </w:pPr>
            <w:r>
              <w:rPr>
                <w:rFonts w:hint="eastAsia" w:ascii="宋体" w:hAnsi="宋体" w:eastAsia="宋体" w:cs="宋体"/>
                <w:b w:val="0"/>
                <w:bCs w:val="0"/>
                <w:color w:val="auto"/>
                <w:lang w:val="en-US" w:eastAsia="zh-CN"/>
              </w:rPr>
              <w:t xml:space="preserve">2、《化纤仿毛毛毯》FZ/T 61002-2019；</w:t>
            </w:r>
            <w:r/>
          </w:p>
          <w:p>
            <w:pPr>
              <w:ind w:left="0" w:right="0"/>
              <w:keepLines w:val="0"/>
              <w:keepNext w:val="0"/>
              <w:spacing w:before="0" w:beforeAutospacing="0" w:after="0" w:afterAutospacing="0"/>
              <w:rPr>
                <w:rFonts w:hint="eastAsia" w:ascii="宋体" w:hAnsi="宋体" w:eastAsia="宋体" w:cs="宋体"/>
                <w:b w:val="0"/>
                <w:bCs w:val="0"/>
                <w:color w:val="auto"/>
                <w:lang w:val="en-US" w:eastAsia="zh-CN"/>
              </w:rPr>
              <w:suppressLineNumbers w:val="0"/>
            </w:pPr>
            <w:r>
              <w:rPr>
                <w:rFonts w:hint="eastAsia" w:ascii="宋体" w:hAnsi="宋体" w:eastAsia="宋体" w:cs="宋体"/>
                <w:b w:val="0"/>
                <w:bCs w:val="0"/>
                <w:color w:val="auto"/>
                <w:lang w:val="en-US" w:eastAsia="zh-CN"/>
              </w:rPr>
              <w:t xml:space="preserve">3、《纬编腈纶毛毯》FZ/T 61006-2019；</w:t>
            </w:r>
            <w:r/>
          </w:p>
          <w:p>
            <w:pPr>
              <w:ind w:left="0" w:right="0"/>
              <w:keepLines w:val="0"/>
              <w:keepNext w:val="0"/>
              <w:spacing w:before="0" w:beforeAutospacing="0" w:after="0" w:afterAutospacing="0"/>
              <w:rPr>
                <w:rFonts w:hint="eastAsia" w:ascii="宋体" w:hAnsi="宋体" w:eastAsia="宋体" w:cs="宋体"/>
                <w:b w:val="0"/>
                <w:bCs w:val="0"/>
                <w:color w:val="auto"/>
                <w:lang w:val="en-US" w:eastAsia="zh-CN"/>
              </w:rPr>
              <w:suppressLineNumbers w:val="0"/>
            </w:pPr>
            <w:r>
              <w:rPr>
                <w:rFonts w:hint="eastAsia" w:ascii="宋体" w:hAnsi="宋体" w:eastAsia="宋体" w:cs="宋体"/>
                <w:b w:val="0"/>
                <w:bCs w:val="0"/>
                <w:color w:val="auto"/>
                <w:lang w:val="en-US" w:eastAsia="zh-CN"/>
              </w:rPr>
              <w:t xml:space="preserve">4、《簇绒地毯》GB/T 11746-2008；</w:t>
            </w:r>
            <w:r/>
          </w:p>
          <w:p>
            <w:pPr>
              <w:ind w:left="0" w:right="0"/>
              <w:keepLines w:val="0"/>
              <w:keepNext w:val="0"/>
              <w:spacing w:before="0" w:beforeAutospacing="0" w:after="0" w:afterAutospacing="0"/>
              <w:rPr>
                <w:rFonts w:hint="eastAsia" w:ascii="宋体" w:hAnsi="宋体" w:eastAsia="宋体" w:cs="宋体"/>
                <w:b w:val="0"/>
                <w:bCs w:val="0"/>
                <w:color w:val="auto"/>
                <w:lang w:val="en-US" w:eastAsia="zh-CN"/>
              </w:rPr>
              <w:suppressLineNumbers w:val="0"/>
            </w:pPr>
            <w:r>
              <w:rPr>
                <w:rFonts w:hint="eastAsia" w:ascii="宋体" w:hAnsi="宋体" w:eastAsia="宋体" w:cs="宋体"/>
                <w:b w:val="0"/>
                <w:bCs w:val="0"/>
                <w:color w:val="auto"/>
                <w:lang w:val="en-US" w:eastAsia="zh-CN"/>
              </w:rPr>
              <w:t xml:space="preserve">5、《机织地毯》GB/T 14252-2008。</w:t>
            </w:r>
            <w:r/>
          </w:p>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r>
            <w:r/>
          </w:p>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86"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1、簇绒地毯：耐光色牢度、耐摩擦色牢度、毯面纤维类型及含量、羊毛或尼龙含量、毯基上单位面积绒头质量、单位面积总质量、毯基上绒头厚度、总厚度；</w:t>
            </w:r>
            <w:r/>
          </w:p>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2、机织地毯：耐光色牢度、耐摩擦色牢度、毯面纤维类型及含量、羊毛或尼龙含量、毯基上单位面积绒头质量、单位面积总质量、毯基上绒头厚度、总厚度；</w:t>
            </w:r>
            <w:r/>
          </w:p>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3、毛毯：甲醛含量、pH值、异味、可分解致癌芳香胺染料、纤维含量、断裂强力、耐光色牢度。</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cs="宋体"/>
                <w:b w:val="0"/>
                <w:bCs w:val="0"/>
                <w:i w:val="0"/>
                <w:iCs w:val="0"/>
                <w:color w:val="auto"/>
                <w:sz w:val="21"/>
                <w:szCs w:val="21"/>
                <w:u w:val="none"/>
                <w:lang w:val="en-US" w:eastAsia="zh-CN" w:bidi="ar"/>
              </w:rPr>
              <w:t xml:space="preserve">批次</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2</w:t>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床上用品（床单、被）</w:t>
            </w:r>
            <w:r/>
          </w:p>
        </w:tc>
        <w:tc>
          <w:tcPr>
            <w:shd w:val="clear" w:color="auto" w:fill="auto"/>
            <w:tcBorders>
              <w:top w:val="single" w:color="000000" w:sz="4" w:space="0"/>
              <w:left w:val="single" w:color="000000" w:sz="4" w:space="0"/>
              <w:bottom w:val="single" w:color="000000" w:sz="4" w:space="0"/>
              <w:right w:val="single" w:color="000000" w:sz="4" w:space="0"/>
            </w:tcBorders>
            <w:tcW w:w="2352"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b w:val="0"/>
                <w:bCs w:val="0"/>
                <w:color w:val="auto"/>
                <w:lang w:val="en-US" w:eastAsia="zh-CN"/>
              </w:rPr>
              <w:suppressLineNumbers w:val="0"/>
            </w:pPr>
            <w:r>
              <w:rPr>
                <w:rFonts w:hint="eastAsia" w:ascii="宋体" w:hAnsi="宋体" w:eastAsia="宋体" w:cs="宋体"/>
                <w:b w:val="0"/>
                <w:bCs w:val="0"/>
                <w:color w:val="auto"/>
                <w:lang w:val="en-US" w:eastAsia="zh-CN"/>
              </w:rPr>
              <w:t xml:space="preserve">1、《絮用纤维制品通用技术要求》GB 18383—2025；</w:t>
            </w:r>
            <w:r/>
          </w:p>
          <w:p>
            <w:pPr>
              <w:ind w:left="0" w:right="0"/>
              <w:keepLines w:val="0"/>
              <w:keepNext w:val="0"/>
              <w:spacing w:before="0" w:beforeAutospacing="0" w:after="0" w:afterAutospacing="0"/>
              <w:rPr>
                <w:rFonts w:hint="eastAsia" w:ascii="宋体" w:hAnsi="宋体" w:eastAsia="宋体" w:cs="宋体"/>
                <w:b w:val="0"/>
                <w:bCs w:val="0"/>
                <w:color w:val="auto"/>
                <w:lang w:val="en-US" w:eastAsia="zh-CN"/>
              </w:rPr>
              <w:suppressLineNumbers w:val="0"/>
            </w:pPr>
            <w:r>
              <w:rPr>
                <w:rFonts w:hint="eastAsia" w:ascii="宋体" w:hAnsi="宋体" w:eastAsia="宋体" w:cs="宋体"/>
                <w:b w:val="0"/>
                <w:bCs w:val="0"/>
                <w:color w:val="auto"/>
                <w:lang w:val="en-US" w:eastAsia="zh-CN"/>
              </w:rPr>
              <w:t xml:space="preserve">2、《国家纺织产品基本安全技术规范》GB 18401—2010；</w:t>
            </w:r>
            <w:r/>
          </w:p>
          <w:p>
            <w:pPr>
              <w:ind w:left="0" w:right="0"/>
              <w:keepLines w:val="0"/>
              <w:keepNext w:val="0"/>
              <w:spacing w:before="0" w:beforeAutospacing="0" w:after="0" w:afterAutospacing="0"/>
              <w:rPr>
                <w:rFonts w:hint="eastAsia" w:ascii="宋体" w:hAnsi="宋体" w:eastAsia="宋体" w:cs="宋体"/>
                <w:b w:val="0"/>
                <w:bCs w:val="0"/>
                <w:color w:val="auto"/>
                <w:lang w:val="en-US" w:eastAsia="zh-CN"/>
              </w:rPr>
              <w:suppressLineNumbers w:val="0"/>
            </w:pPr>
            <w:r>
              <w:rPr>
                <w:rFonts w:hint="eastAsia" w:ascii="宋体" w:hAnsi="宋体" w:eastAsia="宋体" w:cs="宋体"/>
                <w:b w:val="0"/>
                <w:bCs w:val="0"/>
                <w:color w:val="auto"/>
                <w:lang w:val="en-US" w:eastAsia="zh-CN"/>
              </w:rPr>
              <w:t xml:space="preserve">3、《婴幼儿及儿童纺织产品安全技术规范》GB 31701—2015；</w:t>
            </w:r>
            <w:r/>
          </w:p>
          <w:p>
            <w:pPr>
              <w:ind w:left="0" w:right="0"/>
              <w:keepLines w:val="0"/>
              <w:keepNext w:val="0"/>
              <w:spacing w:before="0" w:beforeAutospacing="0" w:after="0" w:afterAutospacing="0"/>
              <w:rPr>
                <w:rFonts w:hint="eastAsia" w:ascii="宋体" w:hAnsi="宋体" w:eastAsia="宋体" w:cs="宋体"/>
                <w:b w:val="0"/>
                <w:bCs w:val="0"/>
                <w:color w:val="auto"/>
                <w:lang w:val="en-US" w:eastAsia="zh-CN"/>
              </w:rPr>
              <w:suppressLineNumbers w:val="0"/>
            </w:pPr>
            <w:r>
              <w:rPr>
                <w:rFonts w:hint="eastAsia" w:ascii="宋体" w:hAnsi="宋体" w:eastAsia="宋体" w:cs="宋体"/>
                <w:b w:val="0"/>
                <w:bCs w:val="0"/>
                <w:color w:val="auto"/>
                <w:lang w:val="en-US" w:eastAsia="zh-CN"/>
              </w:rPr>
              <w:t xml:space="preserve">4、《床上用品》GB/T 22796—2021；</w:t>
            </w:r>
            <w:r/>
          </w:p>
          <w:p>
            <w:pPr>
              <w:ind w:left="0" w:right="0"/>
              <w:keepLines w:val="0"/>
              <w:keepNext w:val="0"/>
              <w:spacing w:before="0" w:beforeAutospacing="0" w:after="0" w:afterAutospacing="0"/>
              <w:rPr>
                <w:rFonts w:hint="eastAsia" w:ascii="宋体" w:hAnsi="宋体" w:eastAsia="宋体" w:cs="宋体"/>
                <w:b w:val="0"/>
                <w:bCs w:val="0"/>
                <w:color w:val="auto"/>
                <w:lang w:val="en-US" w:eastAsia="zh-CN"/>
              </w:rPr>
              <w:suppressLineNumbers w:val="0"/>
            </w:pPr>
            <w:r>
              <w:rPr>
                <w:rFonts w:hint="eastAsia" w:ascii="宋体" w:hAnsi="宋体" w:eastAsia="宋体" w:cs="宋体"/>
                <w:b w:val="0"/>
                <w:bCs w:val="0"/>
                <w:color w:val="auto"/>
                <w:lang w:val="en-US" w:eastAsia="zh-CN"/>
              </w:rPr>
              <w:t xml:space="preserve">5、《羊毛、羊绒被》GB/T 32605—2016；</w:t>
            </w:r>
            <w:r/>
          </w:p>
          <w:p>
            <w:pPr>
              <w:ind w:left="0" w:right="0"/>
              <w:keepLines w:val="0"/>
              <w:keepNext w:val="0"/>
              <w:spacing w:before="0" w:beforeAutospacing="0" w:after="0" w:afterAutospacing="0"/>
              <w:rPr>
                <w:rFonts w:hint="eastAsia" w:ascii="宋体" w:hAnsi="宋体" w:eastAsia="宋体" w:cs="宋体"/>
                <w:b w:val="0"/>
                <w:bCs w:val="0"/>
                <w:color w:val="auto"/>
                <w:lang w:val="en-US" w:eastAsia="zh-CN"/>
              </w:rPr>
              <w:suppressLineNumbers w:val="0"/>
            </w:pPr>
            <w:r>
              <w:rPr>
                <w:rFonts w:hint="eastAsia" w:ascii="宋体" w:hAnsi="宋体" w:eastAsia="宋体" w:cs="宋体"/>
                <w:b w:val="0"/>
                <w:bCs w:val="0"/>
                <w:color w:val="auto"/>
                <w:lang w:val="en-US" w:eastAsia="zh-CN"/>
              </w:rPr>
              <w:t xml:space="preserve">6、《机织婴幼儿床上用品》GB/T 33734—2017；</w:t>
            </w:r>
            <w:r/>
          </w:p>
          <w:p>
            <w:pPr>
              <w:ind w:left="0" w:right="0"/>
              <w:keepLines w:val="0"/>
              <w:keepNext w:val="0"/>
              <w:spacing w:before="0" w:beforeAutospacing="0" w:after="0" w:afterAutospacing="0"/>
              <w:rPr>
                <w:rFonts w:hint="eastAsia" w:ascii="宋体" w:hAnsi="宋体" w:eastAsia="宋体" w:cs="宋体"/>
                <w:b w:val="0"/>
                <w:bCs w:val="0"/>
                <w:color w:val="auto"/>
                <w:lang w:val="en-US" w:eastAsia="zh-CN"/>
              </w:rPr>
              <w:suppressLineNumbers w:val="0"/>
            </w:pPr>
            <w:r>
              <w:rPr>
                <w:rFonts w:hint="eastAsia" w:ascii="宋体" w:hAnsi="宋体" w:eastAsia="宋体" w:cs="宋体"/>
                <w:b w:val="0"/>
                <w:bCs w:val="0"/>
                <w:color w:val="auto"/>
                <w:lang w:val="en-US" w:eastAsia="zh-CN"/>
              </w:rPr>
              <w:t xml:space="preserve">7、《轻薄型经编针织毯》FZ/T 25006—2022；</w:t>
            </w:r>
            <w:r/>
          </w:p>
          <w:p>
            <w:pPr>
              <w:ind w:left="0" w:right="0"/>
              <w:keepLines w:val="0"/>
              <w:keepNext w:val="0"/>
              <w:spacing w:before="0" w:beforeAutospacing="0" w:after="0" w:afterAutospacing="0"/>
              <w:rPr>
                <w:rFonts w:hint="eastAsia" w:ascii="宋体" w:hAnsi="宋体" w:eastAsia="宋体" w:cs="宋体"/>
                <w:b w:val="0"/>
                <w:bCs w:val="0"/>
                <w:color w:val="auto"/>
                <w:lang w:val="en-US" w:eastAsia="zh-CN"/>
              </w:rPr>
              <w:suppressLineNumbers w:val="0"/>
            </w:pPr>
            <w:r>
              <w:rPr>
                <w:rFonts w:hint="eastAsia" w:ascii="宋体" w:hAnsi="宋体" w:eastAsia="宋体" w:cs="宋体"/>
                <w:b w:val="0"/>
                <w:bCs w:val="0"/>
                <w:color w:val="auto"/>
                <w:lang w:val="en-US" w:eastAsia="zh-CN"/>
              </w:rPr>
              <w:t xml:space="preserve">8、《亚麻床上用品》FZ/T 34003—2011；</w:t>
            </w:r>
            <w:r/>
          </w:p>
          <w:p>
            <w:pPr>
              <w:ind w:left="0" w:right="0"/>
              <w:keepLines w:val="0"/>
              <w:keepNext w:val="0"/>
              <w:spacing w:before="0" w:beforeAutospacing="0" w:after="0" w:afterAutospacing="0"/>
              <w:rPr>
                <w:rFonts w:hint="eastAsia" w:ascii="宋体" w:hAnsi="宋体" w:eastAsia="宋体" w:cs="宋体"/>
                <w:b w:val="0"/>
                <w:bCs w:val="0"/>
                <w:color w:val="auto"/>
                <w:lang w:val="en-US" w:eastAsia="zh-CN"/>
              </w:rPr>
              <w:suppressLineNumbers w:val="0"/>
            </w:pPr>
            <w:r>
              <w:rPr>
                <w:rFonts w:hint="eastAsia" w:ascii="宋体" w:hAnsi="宋体" w:eastAsia="宋体" w:cs="宋体"/>
                <w:b w:val="0"/>
                <w:bCs w:val="0"/>
                <w:color w:val="auto"/>
                <w:lang w:val="en-US" w:eastAsia="zh-CN"/>
              </w:rPr>
              <w:t xml:space="preserve">9、《蚕丝绒毯》FZ/T 43018—2017；</w:t>
            </w:r>
            <w:r/>
          </w:p>
          <w:p>
            <w:pPr>
              <w:ind w:left="0" w:right="0"/>
              <w:keepLines w:val="0"/>
              <w:keepNext w:val="0"/>
              <w:spacing w:before="0" w:beforeAutospacing="0" w:after="0" w:afterAutospacing="0"/>
              <w:rPr>
                <w:rFonts w:hint="eastAsia" w:ascii="宋体" w:hAnsi="宋体" w:eastAsia="宋体" w:cs="宋体"/>
                <w:b w:val="0"/>
                <w:bCs w:val="0"/>
                <w:color w:val="auto"/>
                <w:lang w:val="en-US" w:eastAsia="zh-CN"/>
              </w:rPr>
              <w:suppressLineNumbers w:val="0"/>
            </w:pPr>
            <w:r>
              <w:rPr>
                <w:rFonts w:hint="eastAsia" w:ascii="宋体" w:hAnsi="宋体" w:eastAsia="宋体" w:cs="宋体"/>
                <w:b w:val="0"/>
                <w:bCs w:val="0"/>
                <w:color w:val="auto"/>
                <w:lang w:val="en-US" w:eastAsia="zh-CN"/>
              </w:rPr>
              <w:t xml:space="preserve">10、《丝绸床上用品》FZ/T 44004—2018；</w:t>
            </w:r>
            <w:r/>
          </w:p>
          <w:p>
            <w:pPr>
              <w:ind w:left="0" w:right="0"/>
              <w:keepLines w:val="0"/>
              <w:keepNext w:val="0"/>
              <w:spacing w:before="0" w:beforeAutospacing="0" w:after="0" w:afterAutospacing="0"/>
              <w:rPr>
                <w:rFonts w:hint="eastAsia" w:ascii="宋体" w:hAnsi="宋体" w:eastAsia="宋体" w:cs="宋体"/>
                <w:b w:val="0"/>
                <w:bCs w:val="0"/>
                <w:color w:val="auto"/>
                <w:lang w:val="en-US" w:eastAsia="zh-CN"/>
              </w:rPr>
              <w:suppressLineNumbers w:val="0"/>
            </w:pPr>
            <w:r>
              <w:rPr>
                <w:rFonts w:hint="eastAsia" w:ascii="宋体" w:hAnsi="宋体" w:eastAsia="宋体" w:cs="宋体"/>
                <w:b w:val="0"/>
                <w:bCs w:val="0"/>
                <w:color w:val="auto"/>
                <w:lang w:val="en-US" w:eastAsia="zh-CN"/>
              </w:rPr>
              <w:t xml:space="preserve">11、《纯毛、毛混纺毛毯》FZ/T 61001—2019；</w:t>
            </w:r>
            <w:r/>
          </w:p>
          <w:p>
            <w:pPr>
              <w:ind w:left="0" w:right="0"/>
              <w:keepLines w:val="0"/>
              <w:keepNext w:val="0"/>
              <w:spacing w:before="0" w:beforeAutospacing="0" w:after="0" w:afterAutospacing="0"/>
              <w:rPr>
                <w:rFonts w:hint="eastAsia" w:ascii="宋体" w:hAnsi="宋体" w:eastAsia="宋体" w:cs="宋体"/>
                <w:b w:val="0"/>
                <w:bCs w:val="0"/>
                <w:color w:val="auto"/>
                <w:lang w:val="en-US" w:eastAsia="zh-CN"/>
              </w:rPr>
              <w:suppressLineNumbers w:val="0"/>
            </w:pPr>
            <w:r>
              <w:rPr>
                <w:rFonts w:hint="eastAsia" w:ascii="宋体" w:hAnsi="宋体" w:eastAsia="宋体" w:cs="宋体"/>
                <w:b w:val="0"/>
                <w:bCs w:val="0"/>
                <w:color w:val="auto"/>
                <w:lang w:val="en-US" w:eastAsia="zh-CN"/>
              </w:rPr>
              <w:t xml:space="preserve">12、《化纤仿毛毛毯》FZ/T 61002—2019；</w:t>
            </w:r>
            <w:r/>
          </w:p>
          <w:p>
            <w:pPr>
              <w:ind w:left="0" w:right="0"/>
              <w:keepLines w:val="0"/>
              <w:keepNext w:val="0"/>
              <w:spacing w:before="0" w:beforeAutospacing="0" w:after="0" w:afterAutospacing="0"/>
              <w:rPr>
                <w:rFonts w:hint="eastAsia" w:ascii="宋体" w:hAnsi="宋体" w:eastAsia="宋体" w:cs="宋体"/>
                <w:b w:val="0"/>
                <w:bCs w:val="0"/>
                <w:color w:val="auto"/>
                <w:lang w:val="en-US" w:eastAsia="zh-CN"/>
              </w:rPr>
              <w:suppressLineNumbers w:val="0"/>
            </w:pPr>
            <w:r>
              <w:rPr>
                <w:rFonts w:hint="eastAsia" w:ascii="宋体" w:hAnsi="宋体" w:eastAsia="宋体" w:cs="宋体"/>
                <w:b w:val="0"/>
                <w:bCs w:val="0"/>
                <w:color w:val="auto"/>
                <w:lang w:val="en-US" w:eastAsia="zh-CN"/>
              </w:rPr>
              <w:t xml:space="preserve">13、《拉舍尔毛毯》FZ/T 61004—2017；</w:t>
            </w:r>
            <w:r/>
          </w:p>
          <w:p>
            <w:pPr>
              <w:ind w:left="0" w:right="0"/>
              <w:keepLines w:val="0"/>
              <w:keepNext w:val="0"/>
              <w:spacing w:before="0" w:beforeAutospacing="0" w:after="0" w:afterAutospacing="0"/>
              <w:rPr>
                <w:rFonts w:hint="eastAsia" w:ascii="宋体" w:hAnsi="宋体" w:eastAsia="宋体" w:cs="宋体"/>
                <w:b w:val="0"/>
                <w:bCs w:val="0"/>
                <w:color w:val="auto"/>
                <w:lang w:val="en-US" w:eastAsia="zh-CN"/>
              </w:rPr>
              <w:suppressLineNumbers w:val="0"/>
            </w:pPr>
            <w:r>
              <w:rPr>
                <w:rFonts w:hint="eastAsia" w:ascii="宋体" w:hAnsi="宋体" w:eastAsia="宋体" w:cs="宋体"/>
                <w:b w:val="0"/>
                <w:bCs w:val="0"/>
                <w:color w:val="auto"/>
                <w:lang w:val="en-US" w:eastAsia="zh-CN"/>
              </w:rPr>
              <w:t xml:space="preserve">14、《线毯》FZ/T 61005—2015；</w:t>
            </w:r>
            <w:r/>
          </w:p>
          <w:p>
            <w:pPr>
              <w:ind w:left="0" w:right="0"/>
              <w:keepLines w:val="0"/>
              <w:keepNext w:val="0"/>
              <w:spacing w:before="0" w:beforeAutospacing="0" w:after="0" w:afterAutospacing="0"/>
              <w:rPr>
                <w:rFonts w:hint="eastAsia" w:ascii="宋体" w:hAnsi="宋体" w:eastAsia="宋体" w:cs="宋体"/>
                <w:b w:val="0"/>
                <w:bCs w:val="0"/>
                <w:color w:val="auto"/>
                <w:lang w:val="en-US" w:eastAsia="zh-CN"/>
              </w:rPr>
              <w:suppressLineNumbers w:val="0"/>
            </w:pPr>
            <w:r>
              <w:rPr>
                <w:rFonts w:hint="eastAsia" w:ascii="宋体" w:hAnsi="宋体" w:eastAsia="宋体" w:cs="宋体"/>
                <w:b w:val="0"/>
                <w:bCs w:val="0"/>
                <w:color w:val="auto"/>
                <w:lang w:val="en-US" w:eastAsia="zh-CN"/>
              </w:rPr>
              <w:t xml:space="preserve">15、《纬编腈纶毛毯》FZ/T 61006—2019；</w:t>
            </w:r>
            <w:r/>
          </w:p>
          <w:p>
            <w:pPr>
              <w:ind w:left="0" w:right="0"/>
              <w:keepLines w:val="0"/>
              <w:keepNext w:val="0"/>
              <w:spacing w:before="0" w:beforeAutospacing="0" w:after="0" w:afterAutospacing="0"/>
              <w:rPr>
                <w:rFonts w:hint="eastAsia" w:ascii="宋体" w:hAnsi="宋体" w:eastAsia="宋体" w:cs="宋体"/>
                <w:b w:val="0"/>
                <w:bCs w:val="0"/>
                <w:color w:val="auto"/>
                <w:lang w:val="en-US" w:eastAsia="zh-CN"/>
              </w:rPr>
              <w:suppressLineNumbers w:val="0"/>
            </w:pPr>
            <w:r>
              <w:rPr>
                <w:rFonts w:hint="eastAsia" w:ascii="宋体" w:hAnsi="宋体" w:eastAsia="宋体" w:cs="宋体"/>
                <w:b w:val="0"/>
                <w:bCs w:val="0"/>
                <w:color w:val="auto"/>
                <w:lang w:val="en-US" w:eastAsia="zh-CN"/>
              </w:rPr>
              <w:t xml:space="preserve">16、《家用纺织品 超细纤维毯》FZ/T 61007—2012；</w:t>
            </w:r>
            <w:r/>
          </w:p>
          <w:p>
            <w:pPr>
              <w:ind w:left="0" w:right="0"/>
              <w:keepLines w:val="0"/>
              <w:keepNext w:val="0"/>
              <w:spacing w:before="0" w:beforeAutospacing="0" w:after="0" w:afterAutospacing="0"/>
              <w:rPr>
                <w:rFonts w:hint="eastAsia" w:ascii="宋体" w:hAnsi="宋体" w:eastAsia="宋体" w:cs="宋体"/>
                <w:b w:val="0"/>
                <w:bCs w:val="0"/>
                <w:color w:val="auto"/>
                <w:lang w:val="en-US" w:eastAsia="zh-CN"/>
              </w:rPr>
              <w:suppressLineNumbers w:val="0"/>
            </w:pPr>
            <w:r>
              <w:rPr>
                <w:rFonts w:hint="eastAsia" w:ascii="宋体" w:hAnsi="宋体" w:eastAsia="宋体" w:cs="宋体"/>
                <w:b w:val="0"/>
                <w:bCs w:val="0"/>
                <w:color w:val="auto"/>
                <w:lang w:val="en-US" w:eastAsia="zh-CN"/>
              </w:rPr>
              <w:t xml:space="preserve">17、《摇粒绒毯》FZ/T 61008—2015；</w:t>
            </w:r>
            <w:r/>
          </w:p>
          <w:p>
            <w:pPr>
              <w:ind w:left="0" w:right="0"/>
              <w:keepLines w:val="0"/>
              <w:keepNext w:val="0"/>
              <w:spacing w:before="0" w:beforeAutospacing="0" w:after="0" w:afterAutospacing="0"/>
              <w:rPr>
                <w:rFonts w:hint="eastAsia" w:ascii="宋体" w:hAnsi="宋体" w:eastAsia="宋体" w:cs="宋体"/>
                <w:b w:val="0"/>
                <w:bCs w:val="0"/>
                <w:color w:val="auto"/>
                <w:lang w:val="en-US" w:eastAsia="zh-CN"/>
              </w:rPr>
              <w:suppressLineNumbers w:val="0"/>
            </w:pPr>
            <w:r>
              <w:rPr>
                <w:rFonts w:hint="eastAsia" w:ascii="宋体" w:hAnsi="宋体" w:eastAsia="宋体" w:cs="宋体"/>
                <w:b w:val="0"/>
                <w:bCs w:val="0"/>
                <w:color w:val="auto"/>
                <w:lang w:val="en-US" w:eastAsia="zh-CN"/>
              </w:rPr>
              <w:t xml:space="preserve">18、《纤维素纤维绒毯》FZ/T 61009—2015；</w:t>
            </w:r>
            <w:r/>
          </w:p>
          <w:p>
            <w:pPr>
              <w:ind w:left="0" w:right="0"/>
              <w:keepLines w:val="0"/>
              <w:keepNext w:val="0"/>
              <w:spacing w:before="0" w:beforeAutospacing="0" w:after="0" w:afterAutospacing="0"/>
              <w:rPr>
                <w:rFonts w:hint="eastAsia" w:ascii="宋体" w:hAnsi="宋体" w:eastAsia="宋体" w:cs="宋体"/>
                <w:b w:val="0"/>
                <w:bCs w:val="0"/>
                <w:color w:val="auto"/>
                <w:lang w:val="en-US" w:eastAsia="zh-CN"/>
              </w:rPr>
              <w:suppressLineNumbers w:val="0"/>
            </w:pPr>
            <w:r>
              <w:rPr>
                <w:rFonts w:hint="eastAsia" w:ascii="宋体" w:hAnsi="宋体" w:eastAsia="宋体" w:cs="宋体"/>
                <w:b w:val="0"/>
                <w:bCs w:val="0"/>
                <w:color w:val="auto"/>
                <w:lang w:val="en-US" w:eastAsia="zh-CN"/>
              </w:rPr>
              <w:t xml:space="preserve">19、《山羊绒毯》FZ/T 61010—2020；</w:t>
            </w:r>
            <w:r/>
          </w:p>
          <w:p>
            <w:pPr>
              <w:ind w:left="0" w:right="0"/>
              <w:keepLines w:val="0"/>
              <w:keepNext w:val="0"/>
              <w:spacing w:before="0" w:beforeAutospacing="0" w:after="0" w:afterAutospacing="0"/>
              <w:rPr>
                <w:rFonts w:hint="eastAsia" w:ascii="宋体" w:hAnsi="宋体" w:eastAsia="宋体" w:cs="宋体"/>
                <w:b w:val="0"/>
                <w:bCs w:val="0"/>
                <w:color w:val="auto"/>
                <w:lang w:val="en-US" w:eastAsia="zh-CN"/>
              </w:rPr>
              <w:suppressLineNumbers w:val="0"/>
            </w:pPr>
            <w:r>
              <w:rPr>
                <w:rFonts w:hint="eastAsia" w:ascii="宋体" w:hAnsi="宋体" w:eastAsia="宋体" w:cs="宋体"/>
                <w:b w:val="0"/>
                <w:bCs w:val="0"/>
                <w:color w:val="auto"/>
                <w:lang w:val="en-US" w:eastAsia="zh-CN"/>
              </w:rPr>
              <w:t xml:space="preserve">20、《工艺绗缝被》FZ/T 62019—2012；</w:t>
            </w:r>
            <w:r/>
          </w:p>
          <w:p>
            <w:pPr>
              <w:ind w:left="0" w:right="0"/>
              <w:keepLines w:val="0"/>
              <w:keepNext w:val="0"/>
              <w:spacing w:before="0" w:beforeAutospacing="0" w:after="0" w:afterAutospacing="0"/>
              <w:rPr>
                <w:rFonts w:hint="eastAsia" w:ascii="宋体" w:hAnsi="宋体" w:eastAsia="宋体" w:cs="宋体"/>
                <w:b w:val="0"/>
                <w:bCs w:val="0"/>
                <w:color w:val="auto"/>
                <w:lang w:val="en-US" w:eastAsia="zh-CN"/>
              </w:rPr>
              <w:suppressLineNumbers w:val="0"/>
            </w:pPr>
            <w:r>
              <w:rPr>
                <w:rFonts w:hint="eastAsia" w:ascii="宋体" w:hAnsi="宋体" w:eastAsia="宋体" w:cs="宋体"/>
                <w:b w:val="0"/>
                <w:bCs w:val="0"/>
                <w:color w:val="auto"/>
                <w:lang w:val="en-US" w:eastAsia="zh-CN"/>
              </w:rPr>
              <w:t xml:space="preserve">21、《手工粗布床上用品》FZ/T 62026—2024；</w:t>
            </w:r>
            <w:r/>
          </w:p>
          <w:p>
            <w:pPr>
              <w:ind w:left="0" w:right="0"/>
              <w:keepLines w:val="0"/>
              <w:keepNext w:val="0"/>
              <w:spacing w:before="0" w:beforeAutospacing="0" w:after="0" w:afterAutospacing="0"/>
              <w:rPr>
                <w:rFonts w:hint="eastAsia" w:ascii="宋体" w:hAnsi="宋体" w:eastAsia="宋体" w:cs="宋体"/>
                <w:b w:val="0"/>
                <w:bCs w:val="0"/>
                <w:color w:val="auto"/>
                <w:lang w:val="en-US" w:eastAsia="zh-CN"/>
              </w:rPr>
              <w:suppressLineNumbers w:val="0"/>
            </w:pPr>
            <w:r>
              <w:rPr>
                <w:rFonts w:hint="eastAsia" w:ascii="宋体" w:hAnsi="宋体" w:eastAsia="宋体" w:cs="宋体"/>
                <w:b w:val="0"/>
                <w:bCs w:val="0"/>
                <w:color w:val="auto"/>
                <w:lang w:val="en-US" w:eastAsia="zh-CN"/>
              </w:rPr>
              <w:t xml:space="preserve">22、《手工粗布床单》FZ/T 62026—2015；</w:t>
            </w:r>
            <w:r/>
          </w:p>
          <w:p>
            <w:pPr>
              <w:ind w:left="0" w:right="0"/>
              <w:keepLines w:val="0"/>
              <w:keepNext w:val="0"/>
              <w:spacing w:before="0" w:beforeAutospacing="0" w:after="0" w:afterAutospacing="0"/>
              <w:rPr>
                <w:rFonts w:hint="eastAsia" w:ascii="宋体" w:hAnsi="宋体" w:eastAsia="宋体" w:cs="宋体"/>
                <w:b w:val="0"/>
                <w:bCs w:val="0"/>
                <w:color w:val="auto"/>
                <w:lang w:val="en-US" w:eastAsia="zh-CN"/>
              </w:rPr>
              <w:suppressLineNumbers w:val="0"/>
            </w:pPr>
            <w:r>
              <w:rPr>
                <w:rFonts w:hint="eastAsia" w:ascii="宋体" w:hAnsi="宋体" w:eastAsia="宋体" w:cs="宋体"/>
                <w:b w:val="0"/>
                <w:bCs w:val="0"/>
                <w:color w:val="auto"/>
                <w:lang w:val="en-US" w:eastAsia="zh-CN"/>
              </w:rPr>
              <w:t xml:space="preserve">23、《磨毛面料床上用品》FZ/T 62027—2024；</w:t>
            </w:r>
            <w:r/>
          </w:p>
          <w:p>
            <w:pPr>
              <w:ind w:left="0" w:right="0"/>
              <w:keepLines w:val="0"/>
              <w:keepNext w:val="0"/>
              <w:spacing w:before="0" w:beforeAutospacing="0" w:after="0" w:afterAutospacing="0"/>
              <w:rPr>
                <w:rFonts w:hint="eastAsia" w:ascii="宋体" w:hAnsi="宋体" w:eastAsia="宋体" w:cs="宋体"/>
                <w:b w:val="0"/>
                <w:bCs w:val="0"/>
                <w:color w:val="auto"/>
                <w:lang w:val="en-US" w:eastAsia="zh-CN"/>
              </w:rPr>
              <w:suppressLineNumbers w:val="0"/>
            </w:pPr>
            <w:r>
              <w:rPr>
                <w:rFonts w:hint="eastAsia" w:ascii="宋体" w:hAnsi="宋体" w:eastAsia="宋体" w:cs="宋体"/>
                <w:b w:val="0"/>
                <w:bCs w:val="0"/>
                <w:color w:val="auto"/>
                <w:lang w:val="en-US" w:eastAsia="zh-CN"/>
              </w:rPr>
              <w:t xml:space="preserve">24、《磨毛面料床单》FZ/T 62027—2015；</w:t>
            </w:r>
            <w:r/>
          </w:p>
          <w:p>
            <w:pPr>
              <w:ind w:left="0" w:right="0"/>
              <w:keepLines w:val="0"/>
              <w:keepNext w:val="0"/>
              <w:spacing w:before="0" w:beforeAutospacing="0" w:after="0" w:afterAutospacing="0"/>
              <w:rPr>
                <w:rFonts w:hint="eastAsia" w:ascii="宋体" w:hAnsi="宋体" w:eastAsia="宋体" w:cs="宋体"/>
                <w:b w:val="0"/>
                <w:bCs w:val="0"/>
                <w:color w:val="auto"/>
                <w:lang w:val="en-US" w:eastAsia="zh-CN"/>
              </w:rPr>
              <w:suppressLineNumbers w:val="0"/>
            </w:pPr>
            <w:r>
              <w:rPr>
                <w:rFonts w:hint="eastAsia" w:ascii="宋体" w:hAnsi="宋体" w:eastAsia="宋体" w:cs="宋体"/>
                <w:b w:val="0"/>
                <w:bCs w:val="0"/>
                <w:color w:val="auto"/>
                <w:lang w:val="en-US" w:eastAsia="zh-CN"/>
              </w:rPr>
              <w:t xml:space="preserve">25、《针织面料床上用品》FZ/T 62028—2024；</w:t>
            </w:r>
            <w:r/>
          </w:p>
          <w:p>
            <w:pPr>
              <w:ind w:left="0" w:right="0"/>
              <w:keepLines w:val="0"/>
              <w:keepNext w:val="0"/>
              <w:spacing w:before="0" w:beforeAutospacing="0" w:after="0" w:afterAutospacing="0"/>
              <w:rPr>
                <w:rFonts w:hint="eastAsia" w:ascii="宋体" w:hAnsi="宋体" w:eastAsia="宋体" w:cs="宋体"/>
                <w:b w:val="0"/>
                <w:bCs w:val="0"/>
                <w:color w:val="auto"/>
                <w:lang w:val="en-US" w:eastAsia="zh-CN"/>
              </w:rPr>
              <w:suppressLineNumbers w:val="0"/>
            </w:pPr>
            <w:r>
              <w:rPr>
                <w:rFonts w:hint="eastAsia" w:ascii="宋体" w:hAnsi="宋体" w:eastAsia="宋体" w:cs="宋体"/>
                <w:b w:val="0"/>
                <w:bCs w:val="0"/>
                <w:color w:val="auto"/>
                <w:lang w:val="en-US" w:eastAsia="zh-CN"/>
              </w:rPr>
              <w:t xml:space="preserve">26、《针织床单》FZ/T 62028—2015；</w:t>
            </w:r>
            <w:r/>
          </w:p>
          <w:p>
            <w:pPr>
              <w:ind w:left="0" w:right="0"/>
              <w:keepLines w:val="0"/>
              <w:keepNext w:val="0"/>
              <w:spacing w:before="0" w:beforeAutospacing="0" w:after="0" w:afterAutospacing="0"/>
              <w:rPr>
                <w:rFonts w:hint="eastAsia" w:ascii="宋体" w:hAnsi="宋体" w:eastAsia="宋体" w:cs="宋体"/>
                <w:b w:val="0"/>
                <w:bCs w:val="0"/>
                <w:color w:val="auto"/>
                <w:lang w:val="en-US" w:eastAsia="zh-CN"/>
              </w:rPr>
              <w:suppressLineNumbers w:val="0"/>
            </w:pPr>
            <w:r>
              <w:rPr>
                <w:rFonts w:hint="eastAsia" w:ascii="宋体" w:hAnsi="宋体" w:eastAsia="宋体" w:cs="宋体"/>
                <w:b w:val="0"/>
                <w:bCs w:val="0"/>
                <w:color w:val="auto"/>
                <w:lang w:val="en-US" w:eastAsia="zh-CN"/>
              </w:rPr>
              <w:t xml:space="preserve">27、《手工粗布被套》FZ/T 62029—2015；</w:t>
            </w:r>
            <w:r/>
          </w:p>
          <w:p>
            <w:pPr>
              <w:ind w:left="0" w:right="0"/>
              <w:keepLines w:val="0"/>
              <w:keepNext w:val="0"/>
              <w:spacing w:before="0" w:beforeAutospacing="0" w:after="0" w:afterAutospacing="0"/>
              <w:rPr>
                <w:rFonts w:hint="eastAsia" w:ascii="宋体" w:hAnsi="宋体" w:eastAsia="宋体" w:cs="宋体"/>
                <w:b w:val="0"/>
                <w:bCs w:val="0"/>
                <w:color w:val="auto"/>
                <w:lang w:val="en-US" w:eastAsia="zh-CN"/>
              </w:rPr>
              <w:suppressLineNumbers w:val="0"/>
            </w:pPr>
            <w:r>
              <w:rPr>
                <w:rFonts w:hint="eastAsia" w:ascii="宋体" w:hAnsi="宋体" w:eastAsia="宋体" w:cs="宋体"/>
                <w:b w:val="0"/>
                <w:bCs w:val="0"/>
                <w:color w:val="auto"/>
                <w:lang w:val="en-US" w:eastAsia="zh-CN"/>
              </w:rPr>
              <w:t xml:space="preserve">28、《磨毛面料被套》FZ/T 62030—2015；</w:t>
            </w:r>
            <w:r/>
          </w:p>
          <w:p>
            <w:pPr>
              <w:ind w:left="0" w:right="0"/>
              <w:keepLines w:val="0"/>
              <w:keepNext w:val="0"/>
              <w:spacing w:before="0" w:beforeAutospacing="0" w:after="0" w:afterAutospacing="0"/>
              <w:rPr>
                <w:rFonts w:hint="eastAsia" w:ascii="宋体" w:hAnsi="宋体" w:eastAsia="宋体" w:cs="宋体"/>
                <w:b w:val="0"/>
                <w:bCs w:val="0"/>
                <w:color w:val="auto"/>
                <w:lang w:val="en-US" w:eastAsia="zh-CN"/>
              </w:rPr>
              <w:suppressLineNumbers w:val="0"/>
            </w:pPr>
            <w:r>
              <w:rPr>
                <w:rFonts w:hint="eastAsia" w:ascii="宋体" w:hAnsi="宋体" w:eastAsia="宋体" w:cs="宋体"/>
                <w:b w:val="0"/>
                <w:bCs w:val="0"/>
                <w:color w:val="auto"/>
                <w:lang w:val="en-US" w:eastAsia="zh-CN"/>
              </w:rPr>
              <w:t xml:space="preserve">29、《针织被套》FZ/T 62031—2015；</w:t>
            </w:r>
            <w:r/>
          </w:p>
          <w:p>
            <w:pPr>
              <w:ind w:left="0" w:right="0"/>
              <w:keepLines w:val="0"/>
              <w:keepNext w:val="0"/>
              <w:spacing w:before="0" w:beforeAutospacing="0" w:after="0" w:afterAutospacing="0"/>
              <w:rPr>
                <w:rFonts w:hint="eastAsia" w:ascii="宋体" w:hAnsi="宋体" w:eastAsia="宋体" w:cs="宋体"/>
                <w:b w:val="0"/>
                <w:bCs w:val="0"/>
                <w:color w:val="auto"/>
                <w:lang w:val="en-US" w:eastAsia="zh-CN"/>
              </w:rPr>
              <w:suppressLineNumbers w:val="0"/>
            </w:pPr>
            <w:r>
              <w:rPr>
                <w:rFonts w:hint="eastAsia" w:ascii="宋体" w:hAnsi="宋体" w:eastAsia="宋体" w:cs="宋体"/>
                <w:b w:val="0"/>
                <w:bCs w:val="0"/>
                <w:color w:val="auto"/>
                <w:lang w:val="en-US" w:eastAsia="zh-CN"/>
              </w:rPr>
              <w:t xml:space="preserve">30、《超细纤维毛巾》FZ/T 62033—2016；</w:t>
            </w:r>
            <w:r/>
          </w:p>
          <w:p>
            <w:pPr>
              <w:ind w:left="0" w:right="0"/>
              <w:keepLines w:val="0"/>
              <w:keepNext w:val="0"/>
              <w:spacing w:before="0" w:beforeAutospacing="0" w:after="0" w:afterAutospacing="0"/>
              <w:rPr>
                <w:rFonts w:hint="eastAsia" w:ascii="宋体" w:hAnsi="宋体" w:eastAsia="宋体" w:cs="宋体"/>
                <w:b w:val="0"/>
                <w:bCs w:val="0"/>
                <w:color w:val="auto"/>
                <w:lang w:val="en-US" w:eastAsia="zh-CN"/>
              </w:rPr>
              <w:suppressLineNumbers w:val="0"/>
            </w:pPr>
            <w:r>
              <w:rPr>
                <w:rFonts w:hint="eastAsia" w:ascii="宋体" w:hAnsi="宋体" w:eastAsia="宋体" w:cs="宋体"/>
                <w:b w:val="0"/>
                <w:bCs w:val="0"/>
                <w:color w:val="auto"/>
                <w:lang w:val="en-US" w:eastAsia="zh-CN"/>
              </w:rPr>
              <w:t xml:space="preserve">31、《婴幼儿针织服饰》FZ/T 73025—2019；</w:t>
            </w:r>
            <w:r/>
          </w:p>
          <w:p>
            <w:pPr>
              <w:ind w:left="0" w:right="0"/>
              <w:keepLines w:val="0"/>
              <w:keepNext w:val="0"/>
              <w:spacing w:before="0" w:beforeAutospacing="0" w:after="0" w:afterAutospacing="0"/>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color w:val="auto"/>
                <w:lang w:val="en-US" w:eastAsia="zh-CN"/>
              </w:rPr>
              <w:t xml:space="preserve">32、《绗缝制品》FZ/T 81005—2017。</w:t>
            </w:r>
            <w:r/>
          </w:p>
        </w:tc>
        <w:tc>
          <w:tcPr>
            <w:shd w:val="clear" w:color="auto" w:fill="auto"/>
            <w:tcBorders>
              <w:top w:val="single" w:color="000000" w:sz="4" w:space="0"/>
              <w:left w:val="single" w:color="000000" w:sz="4" w:space="0"/>
              <w:bottom w:val="single" w:color="000000" w:sz="4" w:space="0"/>
              <w:right w:val="single" w:color="000000" w:sz="4" w:space="0"/>
            </w:tcBorders>
            <w:tcW w:w="3086"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甲醛含量、pH值、可分解致癌芳香胺染料、耐水色牢度、耐酸汗渍色牢度、耐碱汗渍色牢度、耐干摩擦色牢度、耐湿摩擦色牢度、耐唾液色牢度、燃烧性能、重金属、邻苯二甲酸酯、金属针、附件锐利性、附件抗拉强力、纤维含量。</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cs="宋体"/>
                <w:b w:val="0"/>
                <w:bCs w:val="0"/>
                <w:i w:val="0"/>
                <w:iCs w:val="0"/>
                <w:color w:val="auto"/>
                <w:sz w:val="21"/>
                <w:szCs w:val="21"/>
                <w:u w:val="none"/>
                <w:lang w:val="en-US" w:eastAsia="zh-CN" w:bidi="ar"/>
              </w:rPr>
              <w:t xml:space="preserve">批次</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10</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学生 校服</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学生校服</w:t>
            </w:r>
            <w:r/>
          </w:p>
        </w:tc>
        <w:tc>
          <w:tcPr>
            <w:shd w:val="clear" w:color="auto" w:fill="auto"/>
            <w:tcBorders>
              <w:top w:val="single" w:color="000000" w:sz="4" w:space="0"/>
              <w:left w:val="single" w:color="000000" w:sz="4" w:space="0"/>
              <w:bottom w:val="single" w:color="000000" w:sz="4" w:space="0"/>
              <w:right w:val="single" w:color="000000" w:sz="4" w:space="0"/>
            </w:tcBorders>
            <w:tcW w:w="2352"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b w:val="0"/>
                <w:bCs w:val="0"/>
                <w:color w:val="auto"/>
                <w:lang w:val="en-US" w:eastAsia="zh-CN"/>
              </w:rPr>
              <w:suppressLineNumbers w:val="0"/>
            </w:pPr>
            <w:r>
              <w:rPr>
                <w:rFonts w:hint="eastAsia" w:ascii="宋体" w:hAnsi="宋体" w:eastAsia="宋体" w:cs="宋体"/>
                <w:b w:val="0"/>
                <w:bCs w:val="0"/>
                <w:color w:val="auto"/>
                <w:lang w:val="en-US" w:eastAsia="zh-CN"/>
              </w:rPr>
              <w:t xml:space="preserve">1、《中小学生校服》GB/T 31888—2015；</w:t>
            </w:r>
            <w:r/>
          </w:p>
          <w:p>
            <w:pPr>
              <w:ind w:left="0" w:right="0"/>
              <w:keepLines w:val="0"/>
              <w:keepNext w:val="0"/>
              <w:spacing w:before="0" w:beforeAutospacing="0" w:after="0" w:afterAutospacing="0"/>
              <w:rPr>
                <w:rFonts w:hint="eastAsia" w:ascii="宋体" w:hAnsi="宋体" w:eastAsia="宋体" w:cs="宋体"/>
                <w:b w:val="0"/>
                <w:bCs w:val="0"/>
                <w:color w:val="auto"/>
                <w:lang w:val="en-US" w:eastAsia="zh-CN"/>
              </w:rPr>
              <w:suppressLineNumbers w:val="0"/>
            </w:pPr>
            <w:r>
              <w:rPr>
                <w:rFonts w:hint="eastAsia" w:ascii="宋体" w:hAnsi="宋体" w:eastAsia="宋体" w:cs="宋体"/>
                <w:b w:val="0"/>
                <w:bCs w:val="0"/>
                <w:color w:val="auto"/>
                <w:lang w:val="en-US" w:eastAsia="zh-CN"/>
              </w:rPr>
              <w:t xml:space="preserve">2、《婴幼儿及儿童纺织产品安全技术规范》GB 31701—2015；</w:t>
            </w:r>
            <w:r/>
          </w:p>
          <w:p>
            <w:pPr>
              <w:ind w:left="0" w:right="0"/>
              <w:keepLines w:val="0"/>
              <w:keepNext w:val="0"/>
              <w:spacing w:before="0" w:beforeAutospacing="0" w:after="0" w:afterAutospacing="0"/>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color w:val="auto"/>
                <w:lang w:val="en-US" w:eastAsia="zh-CN"/>
              </w:rPr>
              <w:t xml:space="preserve">3、《国家纺织产品基本安全技术规范》GB 18401—2010。</w:t>
            </w:r>
            <w:r/>
          </w:p>
        </w:tc>
        <w:tc>
          <w:tcPr>
            <w:shd w:val="clear" w:color="auto" w:fill="auto"/>
            <w:tcBorders>
              <w:top w:val="single" w:color="000000" w:sz="4" w:space="0"/>
              <w:left w:val="single" w:color="000000" w:sz="4" w:space="0"/>
              <w:bottom w:val="single" w:color="000000" w:sz="4" w:space="0"/>
              <w:right w:val="single" w:color="000000" w:sz="4" w:space="0"/>
            </w:tcBorders>
            <w:tcW w:w="3086"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纤维含量、甲醛含量、pH值、异味、耐干摩擦色牢度、耐湿摩擦色牢度、耐水色牢度、耐光色牢度、耐皂洗色牢度、耐酸汗渍色牢度、耐碱汗渍色牢度、可分解致癌芳香胺染料。</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cs="宋体"/>
                <w:b w:val="0"/>
                <w:bCs w:val="0"/>
                <w:i w:val="0"/>
                <w:iCs w:val="0"/>
                <w:color w:val="auto"/>
                <w:sz w:val="21"/>
                <w:szCs w:val="21"/>
                <w:u w:val="none"/>
                <w:lang w:val="en-US" w:eastAsia="zh-CN" w:bidi="ar"/>
              </w:rPr>
              <w:t xml:space="preserve">批次</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20</w:t>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童鞋</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童鞋</w:t>
            </w:r>
            <w:r/>
          </w:p>
        </w:tc>
        <w:tc>
          <w:tcPr>
            <w:shd w:val="clear" w:color="auto" w:fill="auto"/>
            <w:tcBorders>
              <w:top w:val="single" w:color="000000" w:sz="4" w:space="0"/>
              <w:left w:val="single" w:color="000000" w:sz="4" w:space="0"/>
              <w:bottom w:val="single" w:color="000000" w:sz="4" w:space="0"/>
              <w:right w:val="single" w:color="000000" w:sz="4" w:space="0"/>
            </w:tcBorders>
            <w:tcW w:w="2352"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b w:val="0"/>
                <w:bCs w:val="0"/>
                <w:color w:val="auto"/>
                <w:lang w:val="en-US" w:eastAsia="zh-CN"/>
              </w:rPr>
              <w:suppressLineNumbers w:val="0"/>
            </w:pPr>
            <w:r>
              <w:rPr>
                <w:rFonts w:hint="eastAsia" w:ascii="宋体" w:hAnsi="宋体" w:eastAsia="宋体" w:cs="宋体"/>
                <w:b w:val="0"/>
                <w:bCs w:val="0"/>
                <w:color w:val="auto"/>
                <w:lang w:val="en-US" w:eastAsia="zh-CN"/>
              </w:rPr>
              <w:t xml:space="preserve">1、《童鞋安全技术规范》GB 30585—2024；</w:t>
            </w:r>
            <w:r/>
          </w:p>
          <w:p>
            <w:pPr>
              <w:ind w:left="0" w:right="0"/>
              <w:keepLines w:val="0"/>
              <w:keepNext w:val="0"/>
              <w:spacing w:before="0" w:beforeAutospacing="0" w:after="0" w:afterAutospacing="0"/>
              <w:rPr>
                <w:rFonts w:hint="eastAsia" w:ascii="宋体" w:hAnsi="宋体" w:eastAsia="宋体" w:cs="宋体"/>
                <w:b w:val="0"/>
                <w:bCs w:val="0"/>
                <w:color w:val="auto"/>
                <w:lang w:val="en-US" w:eastAsia="zh-CN"/>
              </w:rPr>
              <w:suppressLineNumbers w:val="0"/>
            </w:pPr>
            <w:r>
              <w:rPr>
                <w:rFonts w:hint="eastAsia" w:ascii="宋体" w:hAnsi="宋体" w:eastAsia="宋体" w:cs="宋体"/>
                <w:b w:val="0"/>
                <w:bCs w:val="0"/>
                <w:color w:val="auto"/>
                <w:lang w:val="en-US" w:eastAsia="zh-CN"/>
              </w:rPr>
              <w:t xml:space="preserve">2、《布面童胶鞋》GB/T 25036—2021；</w:t>
            </w:r>
            <w:r/>
          </w:p>
          <w:p>
            <w:pPr>
              <w:ind w:left="0" w:right="0"/>
              <w:keepLines w:val="0"/>
              <w:keepNext w:val="0"/>
              <w:spacing w:before="0" w:beforeAutospacing="0" w:after="0" w:afterAutospacing="0"/>
              <w:rPr>
                <w:rFonts w:hint="eastAsia" w:ascii="宋体" w:hAnsi="宋体" w:eastAsia="宋体" w:cs="宋体"/>
                <w:b w:val="0"/>
                <w:bCs w:val="0"/>
                <w:color w:val="auto"/>
                <w:lang w:val="en-US" w:eastAsia="zh-CN"/>
              </w:rPr>
              <w:suppressLineNumbers w:val="0"/>
            </w:pPr>
            <w:r>
              <w:rPr>
                <w:rFonts w:hint="eastAsia" w:ascii="宋体" w:hAnsi="宋体" w:eastAsia="宋体" w:cs="宋体"/>
                <w:b w:val="0"/>
                <w:bCs w:val="0"/>
                <w:color w:val="auto"/>
                <w:lang w:val="en-US" w:eastAsia="zh-CN"/>
              </w:rPr>
              <w:t xml:space="preserve">3、《儿童皮鞋》QB/T 2880—2024；</w:t>
            </w:r>
            <w:r/>
          </w:p>
          <w:p>
            <w:pPr>
              <w:ind w:left="0" w:right="0"/>
              <w:keepLines w:val="0"/>
              <w:keepNext w:val="0"/>
              <w:spacing w:before="0" w:beforeAutospacing="0" w:after="0" w:afterAutospacing="0"/>
              <w:rPr>
                <w:rFonts w:hint="eastAsia" w:ascii="宋体" w:hAnsi="宋体" w:eastAsia="宋体" w:cs="宋体"/>
                <w:b w:val="0"/>
                <w:bCs w:val="0"/>
                <w:color w:val="auto"/>
                <w:lang w:val="en-US" w:eastAsia="zh-CN"/>
              </w:rPr>
              <w:suppressLineNumbers w:val="0"/>
            </w:pPr>
            <w:r>
              <w:rPr>
                <w:rFonts w:hint="eastAsia" w:ascii="宋体" w:hAnsi="宋体" w:eastAsia="宋体" w:cs="宋体"/>
                <w:b w:val="0"/>
                <w:bCs w:val="0"/>
                <w:color w:val="auto"/>
                <w:lang w:val="en-US" w:eastAsia="zh-CN"/>
              </w:rPr>
              <w:t xml:space="preserve">4、《儿童旅游鞋》QB/T 4331—2021；</w:t>
            </w:r>
            <w:r/>
          </w:p>
          <w:p>
            <w:pPr>
              <w:ind w:left="0" w:right="0"/>
              <w:keepLines w:val="0"/>
              <w:keepNext w:val="0"/>
              <w:spacing w:before="0" w:beforeAutospacing="0" w:after="0" w:afterAutospacing="0"/>
              <w:rPr>
                <w:rFonts w:hint="eastAsia" w:ascii="宋体" w:hAnsi="宋体" w:eastAsia="宋体" w:cs="宋体"/>
                <w:b w:val="0"/>
                <w:bCs w:val="0"/>
                <w:color w:val="auto"/>
                <w:lang w:val="en-US" w:eastAsia="zh-CN"/>
              </w:rPr>
              <w:suppressLineNumbers w:val="0"/>
            </w:pPr>
            <w:r>
              <w:rPr>
                <w:rFonts w:hint="eastAsia" w:ascii="宋体" w:hAnsi="宋体" w:eastAsia="宋体" w:cs="宋体"/>
                <w:b w:val="0"/>
                <w:bCs w:val="0"/>
                <w:color w:val="auto"/>
                <w:lang w:val="en-US" w:eastAsia="zh-CN"/>
              </w:rPr>
              <w:t xml:space="preserve">5、《儿童皮凉鞋》QB/T 4546—2021。</w:t>
            </w:r>
            <w:r/>
          </w:p>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86"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1、儿童旅游鞋（QB/T 4331—2021）：帮底剥离强度或底墙与帮面剥离强度、外底耐磨性能、衬里和内垫耐摩擦色牢度、外底硬度；</w:t>
            </w:r>
            <w:r/>
          </w:p>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2、儿童皮鞋（QB/T 2880—2024）：耐磨性能、剥离强度、鞋帮拉出强度、外底硬度、衬里和内垫摩擦色牢度、安装勾心或其他刚性支撑材料的要求、勾心长度、勾心纵向刚度、勾心硬度、勾心弯曲性能；</w:t>
            </w:r>
            <w:r/>
          </w:p>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3、儿童皮凉鞋（QB/T 4546—2021）：耐磨性能、帮底剥离强度、外底硬度、帮带拉出强度（或帮带拔出力）、衬里和内垫摩擦色牢度、安装勾心或其他刚性支撑材料的要求、勾心长度、勾心纵向刚度、勾心硬度、勾心弯曲性能；</w:t>
            </w:r>
            <w:r/>
          </w:p>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4、布面童胶鞋（GB/T 25036—2021）：耐磨性能、硬度、防滑性能（干法）、粘合强度、耐摩擦色牢度（沾色）； </w:t>
            </w:r>
            <w:r/>
          </w:p>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5、童鞋安全技术要求（GB 30585—2024）：基本要求、婴幼儿鞋小附件要求、六价铬、可分解致癌芳香胺染料、甲醛、重金属总量。</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cs="宋体"/>
                <w:b w:val="0"/>
                <w:bCs w:val="0"/>
                <w:i w:val="0"/>
                <w:iCs w:val="0"/>
                <w:color w:val="auto"/>
                <w:sz w:val="21"/>
                <w:szCs w:val="21"/>
                <w:u w:val="none"/>
                <w:lang w:val="en-US" w:eastAsia="zh-CN" w:bidi="ar"/>
              </w:rPr>
              <w:t xml:space="preserve">批次</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10</w:t>
            </w:r>
            <w:r/>
          </w:p>
        </w:tc>
      </w:tr>
      <w:tr>
        <w:trPr>
          <w:trHeight w:val="14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vMerge w:val="restart"/>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塑料 制品</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塑料快递包装袋</w:t>
            </w:r>
            <w:r/>
          </w:p>
        </w:tc>
        <w:tc>
          <w:tcPr>
            <w:shd w:val="clear" w:color="auto" w:fill="auto"/>
            <w:tcBorders>
              <w:top w:val="single" w:color="000000" w:sz="4" w:space="0"/>
              <w:left w:val="single" w:color="000000" w:sz="4" w:space="0"/>
              <w:bottom w:val="single" w:color="000000" w:sz="4" w:space="0"/>
              <w:right w:val="single" w:color="000000" w:sz="4" w:space="0"/>
            </w:tcBorders>
            <w:tcW w:w="2352"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r>
            <w:r/>
          </w:p>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《快递封装用品 第3部分：包装袋》GB/T 16606.3-2018。</w:t>
            </w:r>
            <w:r/>
          </w:p>
        </w:tc>
        <w:tc>
          <w:tcPr>
            <w:shd w:val="clear" w:color="auto" w:fill="auto"/>
            <w:tcBorders>
              <w:top w:val="single" w:color="000000" w:sz="4" w:space="0"/>
              <w:left w:val="single" w:color="000000" w:sz="4" w:space="0"/>
              <w:bottom w:val="single" w:color="000000" w:sz="4" w:space="0"/>
              <w:right w:val="single" w:color="000000" w:sz="4" w:space="0"/>
            </w:tcBorders>
            <w:tcW w:w="3086"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塑料薄膜类-厚度、塑料薄膜类-厚度极限偏差、塑料薄膜类-拉伸强度、塑料薄膜类-断裂标称应变、塑料薄膜类-直角撕裂力、塑料薄膜类-热合强度、塑料薄膜类-抗摆锤冲击能、塑料薄膜类-透光率。</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cs="宋体"/>
                <w:b w:val="0"/>
                <w:bCs w:val="0"/>
                <w:i w:val="0"/>
                <w:iCs w:val="0"/>
                <w:color w:val="auto"/>
                <w:sz w:val="21"/>
                <w:szCs w:val="21"/>
                <w:u w:val="none"/>
                <w:lang w:val="en-US" w:eastAsia="zh-CN" w:bidi="ar"/>
              </w:rPr>
              <w:t xml:space="preserve">批次</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10</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塑料盆</w:t>
            </w:r>
            <w:r/>
          </w:p>
        </w:tc>
        <w:tc>
          <w:tcPr>
            <w:shd w:val="clear" w:color="auto" w:fill="auto"/>
            <w:tcBorders>
              <w:top w:val="single" w:color="000000" w:sz="4" w:space="0"/>
              <w:left w:val="single" w:color="000000" w:sz="4" w:space="0"/>
              <w:bottom w:val="single" w:color="000000" w:sz="4" w:space="0"/>
              <w:right w:val="single" w:color="000000" w:sz="4" w:space="0"/>
            </w:tcBorders>
            <w:tcW w:w="2352"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《食品安全国家标准 食品接触用塑料材料及制品》GB 4806.7-2023。</w:t>
            </w:r>
            <w:r/>
          </w:p>
        </w:tc>
        <w:tc>
          <w:tcPr>
            <w:shd w:val="clear" w:color="auto" w:fill="auto"/>
            <w:tcBorders>
              <w:top w:val="single" w:color="000000" w:sz="4" w:space="0"/>
              <w:left w:val="single" w:color="000000" w:sz="4" w:space="0"/>
              <w:bottom w:val="single" w:color="000000" w:sz="4" w:space="0"/>
              <w:right w:val="single" w:color="000000" w:sz="4" w:space="0"/>
            </w:tcBorders>
            <w:tcW w:w="3086"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感官、浸泡液、总迁移量、高锰酸钾消耗量、重金属（以Pb计）、脱色试验。</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cs="宋体"/>
                <w:b w:val="0"/>
                <w:bCs w:val="0"/>
                <w:i w:val="0"/>
                <w:iCs w:val="0"/>
                <w:color w:val="auto"/>
                <w:sz w:val="21"/>
                <w:szCs w:val="21"/>
                <w:u w:val="none"/>
                <w:lang w:val="en-US" w:eastAsia="zh-CN" w:bidi="ar"/>
              </w:rPr>
              <w:t xml:space="preserve">批次</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10</w:t>
            </w:r>
            <w:r/>
          </w:p>
        </w:tc>
      </w:tr>
    </w:tbl>
    <w:p>
      <w:pPr>
        <w:ind w:firstLine="482"/>
        <w:keepLines w:val="0"/>
        <w:keepNext w:val="0"/>
        <w:pageBreakBefore w:val="0"/>
        <w:spacing w:line="360" w:lineRule="auto"/>
        <w:widowControl w:val="off"/>
        <w:rPr>
          <w:rFonts w:hint="default" w:ascii="宋体" w:hAnsi="宋体" w:eastAsia="宋体" w:cs="宋体"/>
          <w:b/>
          <w:color w:val="auto"/>
          <w:lang w:val="en-US" w:eastAsia="zh-CN" w:bidi="ar-SA"/>
        </w:rPr>
        <w:outlineLvl w:val="9"/>
      </w:pPr>
      <w:r>
        <w:rPr>
          <w:rFonts w:hint="eastAsia" w:ascii="宋体" w:hAnsi="宋体" w:eastAsia="宋体" w:cs="宋体"/>
          <w:b/>
          <w:color w:val="auto"/>
          <w:sz w:val="24"/>
          <w:szCs w:val="24"/>
          <w:lang w:val="en-US" w:eastAsia="zh-CN" w:bidi="ar-SA"/>
        </w:rPr>
        <w:t xml:space="preserve">（三）分包三：</w:t>
      </w:r>
      <w:r>
        <w:rPr>
          <w:rFonts w:hint="eastAsia" w:ascii="宋体" w:hAnsi="宋体" w:eastAsia="宋体" w:cs="宋体"/>
          <w:b w:val="0"/>
          <w:bCs w:val="0"/>
          <w:color w:val="auto"/>
          <w:sz w:val="24"/>
          <w:szCs w:val="24"/>
          <w:lang w:val="en-US" w:eastAsia="zh-CN" w:bidi="ar-SA"/>
        </w:rPr>
        <w:t xml:space="preserve">成品油、胶黏剂、建筑材料等产品抽样检验和技术分析服务，计划抽查60批次。</w:t>
      </w:r>
      <w:r/>
    </w:p>
    <w:tbl>
      <w:tblPr>
        <w:tblStyle w:val="678"/>
        <w:tblW w:w="9474" w:type="dxa"/>
        <w:tblInd w:w="-255"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62"/>
        <w:gridCol w:w="880"/>
        <w:gridCol w:w="880"/>
        <w:gridCol w:w="2601"/>
        <w:gridCol w:w="2862"/>
        <w:gridCol w:w="788"/>
        <w:gridCol w:w="801"/>
      </w:tblGrid>
      <w:tr>
        <w:trPr>
          <w:trHeight w:val="349"/>
        </w:trPr>
        <w:tc>
          <w:tcPr>
            <w:shd w:val="clear" w:color="auto" w:fill="c7daf1" w:themeFill="text2" w:themeFillTint="32"/>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Style w:val="1031"/>
                <w:rFonts w:hint="eastAsia" w:ascii="宋体" w:hAnsi="宋体" w:eastAsia="宋体" w:cs="宋体"/>
                <w:b w:val="0"/>
                <w:bCs w:val="0"/>
                <w:color w:val="auto"/>
                <w:sz w:val="21"/>
                <w:szCs w:val="21"/>
                <w:lang w:val="en-US" w:eastAsia="zh-CN" w:bidi="ar"/>
              </w:rPr>
              <w:t xml:space="preserve">序号</w:t>
            </w:r>
            <w:r/>
          </w:p>
        </w:tc>
        <w:tc>
          <w:tcPr>
            <w:shd w:val="clear" w:color="auto" w:fill="c7daf1" w:themeFill="text2" w:themeFillTint="32"/>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Style w:val="1031"/>
                <w:rFonts w:hint="eastAsia" w:ascii="宋体" w:hAnsi="宋体" w:eastAsia="宋体" w:cs="宋体"/>
                <w:b w:val="0"/>
                <w:bCs w:val="0"/>
                <w:color w:val="auto"/>
                <w:sz w:val="21"/>
                <w:szCs w:val="21"/>
                <w:lang w:val="en-US" w:eastAsia="zh-CN" w:bidi="ar"/>
              </w:rPr>
              <w:t xml:space="preserve">类别</w:t>
            </w:r>
            <w:r/>
          </w:p>
        </w:tc>
        <w:tc>
          <w:tcPr>
            <w:shd w:val="clear" w:color="auto" w:fill="c7daf1" w:themeFill="text2" w:themeFillTint="32"/>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Style w:val="1031"/>
                <w:rFonts w:hint="eastAsia" w:ascii="宋体" w:hAnsi="宋体" w:eastAsia="宋体" w:cs="宋体"/>
                <w:b w:val="0"/>
                <w:bCs w:val="0"/>
                <w:color w:val="auto"/>
                <w:sz w:val="21"/>
                <w:szCs w:val="21"/>
                <w:lang w:val="en-US" w:eastAsia="zh-CN" w:bidi="ar"/>
              </w:rPr>
              <w:t xml:space="preserve">名称</w:t>
            </w:r>
            <w:r/>
          </w:p>
        </w:tc>
        <w:tc>
          <w:tcPr>
            <w:shd w:val="clear" w:color="auto" w:fill="c7daf1" w:themeFill="text2" w:themeFillTint="32"/>
            <w:tcBorders>
              <w:top w:val="single" w:color="000000" w:sz="4" w:space="0"/>
              <w:left w:val="single" w:color="000000" w:sz="4" w:space="0"/>
              <w:bottom w:val="single" w:color="000000" w:sz="4" w:space="0"/>
              <w:right w:val="single" w:color="000000" w:sz="4" w:space="0"/>
            </w:tcBorders>
            <w:tcW w:w="260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产品检测标准</w:t>
            </w:r>
            <w:r/>
          </w:p>
        </w:tc>
        <w:tc>
          <w:tcPr>
            <w:shd w:val="clear" w:color="auto" w:fill="c7daf1" w:themeFill="text2" w:themeFillTint="32"/>
            <w:tcBorders>
              <w:top w:val="single" w:color="000000" w:sz="4" w:space="0"/>
              <w:left w:val="single" w:color="000000" w:sz="4" w:space="0"/>
              <w:bottom w:val="single" w:color="000000" w:sz="4" w:space="0"/>
              <w:right w:val="single" w:color="000000" w:sz="4" w:space="0"/>
            </w:tcBorders>
            <w:tcW w:w="28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产品检测项目</w:t>
            </w:r>
            <w:r/>
          </w:p>
        </w:tc>
        <w:tc>
          <w:tcPr>
            <w:shd w:val="clear" w:color="auto" w:fill="c7daf1" w:themeFill="text2" w:themeFillTint="32"/>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Style w:val="1031"/>
                <w:rFonts w:hint="eastAsia" w:ascii="宋体" w:hAnsi="宋体" w:cs="宋体"/>
                <w:b w:val="0"/>
                <w:bCs w:val="0"/>
                <w:color w:val="auto"/>
                <w:sz w:val="21"/>
                <w:szCs w:val="21"/>
                <w:lang w:val="en-US" w:eastAsia="zh-CN" w:bidi="ar"/>
              </w:rPr>
              <w:t xml:space="preserve">单位</w:t>
            </w:r>
            <w:r/>
          </w:p>
        </w:tc>
        <w:tc>
          <w:tcPr>
            <w:shd w:val="clear" w:color="auto" w:fill="c7daf1" w:themeFill="text2" w:themeFillTint="32"/>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ind w:left="0" w:right="0"/>
              <w:jc w:val="center"/>
              <w:keepLines w:val="0"/>
              <w:keepNext w:val="0"/>
              <w:spacing w:before="0" w:beforeAutospacing="0" w:after="0" w:afterAutospacing="0"/>
              <w:widowControl/>
              <w:rPr>
                <w:rStyle w:val="1031"/>
                <w:rFonts w:hint="default" w:ascii="宋体" w:hAnsi="宋体" w:cs="宋体"/>
                <w:b w:val="0"/>
                <w:bCs w:val="0"/>
                <w:color w:val="auto"/>
                <w:sz w:val="21"/>
                <w:szCs w:val="21"/>
                <w:lang w:val="en-US" w:eastAsia="zh-CN" w:bidi="ar"/>
              </w:rPr>
              <w:suppressLineNumbers w:val="0"/>
            </w:pPr>
            <w:r>
              <w:rPr>
                <w:rStyle w:val="1031"/>
                <w:rFonts w:hint="eastAsia" w:ascii="宋体" w:hAnsi="宋体" w:cs="宋体"/>
                <w:b w:val="0"/>
                <w:bCs w:val="0"/>
                <w:color w:val="auto"/>
                <w:sz w:val="21"/>
                <w:szCs w:val="21"/>
                <w:lang w:val="en-US" w:eastAsia="zh-CN" w:bidi="ar"/>
              </w:rPr>
              <w:t xml:space="preserve">数量</w:t>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Style w:val="1394"/>
                <w:rFonts w:hint="eastAsia" w:ascii="宋体" w:hAnsi="宋体" w:eastAsia="宋体" w:cs="宋体"/>
                <w:b w:val="0"/>
                <w:bCs w:val="0"/>
                <w:color w:val="auto"/>
                <w:sz w:val="21"/>
                <w:szCs w:val="21"/>
                <w:lang w:val="en-US" w:eastAsia="zh-CN" w:bidi="ar"/>
              </w:rPr>
              <w:t xml:space="preserve">成品油</w:t>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Style w:val="1395"/>
                <w:rFonts w:hint="eastAsia" w:ascii="宋体" w:hAnsi="宋体" w:eastAsia="宋体" w:cs="宋体"/>
                <w:b w:val="0"/>
                <w:bCs w:val="0"/>
                <w:color w:val="auto"/>
                <w:sz w:val="21"/>
                <w:szCs w:val="21"/>
                <w:lang w:val="en-US" w:eastAsia="zh-CN" w:bidi="ar"/>
              </w:rPr>
              <w:t xml:space="preserve">成品油</w:t>
            </w:r>
            <w:r/>
          </w:p>
        </w:tc>
        <w:tc>
          <w:tcPr>
            <w:shd w:val="clear" w:color="auto" w:fill="auto"/>
            <w:tcBorders>
              <w:top w:val="single" w:color="000000" w:sz="4" w:space="0"/>
              <w:left w:val="single" w:color="000000" w:sz="4" w:space="0"/>
              <w:bottom w:val="single" w:color="000000" w:sz="4" w:space="0"/>
              <w:right w:val="single" w:color="000000" w:sz="4" w:space="0"/>
            </w:tcBorders>
            <w:tcW w:w="2601"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b w:val="0"/>
                <w:bCs w:val="0"/>
                <w:color w:val="auto"/>
                <w:sz w:val="21"/>
                <w:szCs w:val="21"/>
                <w:lang w:val="en-US" w:eastAsia="zh-CN"/>
              </w:rPr>
              <w:suppressLineNumbers w:val="0"/>
            </w:pPr>
            <w:r>
              <w:rPr>
                <w:rFonts w:hint="eastAsia" w:ascii="宋体" w:hAnsi="宋体" w:eastAsia="宋体" w:cs="宋体"/>
                <w:b w:val="0"/>
                <w:bCs w:val="0"/>
                <w:color w:val="auto"/>
                <w:sz w:val="21"/>
                <w:szCs w:val="21"/>
                <w:lang w:val="en-US" w:eastAsia="zh-CN"/>
              </w:rPr>
              <w:t xml:space="preserve">1、《车用汽油》GB 17930-2016；</w:t>
            </w:r>
            <w:r/>
          </w:p>
          <w:p>
            <w:pPr>
              <w:ind w:left="0" w:right="0"/>
              <w:keepLines w:val="0"/>
              <w:keepNext w:val="0"/>
              <w:spacing w:before="0" w:beforeAutospacing="0" w:after="0" w:afterAutospacing="0"/>
              <w:rPr>
                <w:rFonts w:hint="eastAsia" w:ascii="宋体" w:hAnsi="宋体" w:eastAsia="宋体" w:cs="宋体"/>
                <w:b w:val="0"/>
                <w:bCs w:val="0"/>
                <w:color w:val="auto"/>
                <w:sz w:val="21"/>
                <w:szCs w:val="21"/>
                <w:lang w:val="en-US" w:eastAsia="zh-CN"/>
              </w:rPr>
              <w:suppressLineNumbers w:val="0"/>
            </w:pPr>
            <w:r>
              <w:rPr>
                <w:rFonts w:hint="eastAsia" w:ascii="宋体" w:hAnsi="宋体" w:eastAsia="宋体" w:cs="宋体"/>
                <w:b w:val="0"/>
                <w:bCs w:val="0"/>
                <w:color w:val="auto"/>
                <w:sz w:val="21"/>
                <w:szCs w:val="21"/>
                <w:lang w:val="en-US" w:eastAsia="zh-CN"/>
              </w:rPr>
              <w:t xml:space="preserve">2、《车用乙醇汽油》GB 18351-2025；</w:t>
            </w:r>
            <w:r/>
          </w:p>
          <w:p>
            <w:pPr>
              <w:ind w:left="0" w:right="0"/>
              <w:keepLines w:val="0"/>
              <w:keepNext w:val="0"/>
              <w:spacing w:before="0" w:beforeAutospacing="0" w:after="0" w:afterAutospacing="0"/>
              <w:rPr>
                <w:rFonts w:hint="eastAsia" w:ascii="宋体" w:hAnsi="宋体" w:eastAsia="宋体" w:cs="宋体"/>
                <w:b w:val="0"/>
                <w:bCs w:val="0"/>
                <w:color w:val="auto"/>
                <w:sz w:val="21"/>
                <w:szCs w:val="21"/>
                <w:lang w:val="en-US" w:eastAsia="zh-CN"/>
              </w:rPr>
              <w:suppressLineNumbers w:val="0"/>
            </w:pPr>
            <w:r>
              <w:rPr>
                <w:rFonts w:hint="eastAsia" w:ascii="宋体" w:hAnsi="宋体" w:eastAsia="宋体" w:cs="宋体"/>
                <w:b w:val="0"/>
                <w:bCs w:val="0"/>
                <w:color w:val="auto"/>
                <w:sz w:val="21"/>
                <w:szCs w:val="21"/>
                <w:lang w:val="en-US" w:eastAsia="zh-CN"/>
              </w:rPr>
              <w:t xml:space="preserve">3、《车用柴油》GB 19147-2016。</w:t>
            </w:r>
            <w:r/>
          </w:p>
          <w:p>
            <w:pPr>
              <w:ind w:left="0" w:right="0"/>
              <w:jc w:val="left"/>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62" w:type="dxa"/>
            <w:vAlign w:val="center"/>
            <w:textDirection w:val="lrTb"/>
            <w:noWrap w:val="false"/>
          </w:tcPr>
          <w:p>
            <w:pPr>
              <w:numPr>
                <w:ilvl w:val="0"/>
                <w:numId w:val="0"/>
              </w:numPr>
              <w:ind w:left="0" w:right="0"/>
              <w:jc w:val="left"/>
              <w:keepLines w:val="0"/>
              <w:keepNext w:val="0"/>
              <w:spacing w:before="0" w:beforeAutospacing="0" w:after="0" w:afterAutospacing="0"/>
              <w:widowControl/>
              <w:rPr>
                <w:rStyle w:val="1395"/>
                <w:rFonts w:hint="eastAsia" w:ascii="宋体" w:hAnsi="宋体" w:eastAsia="宋体" w:cs="宋体"/>
                <w:b w:val="0"/>
                <w:bCs w:val="0"/>
                <w:color w:val="auto"/>
                <w:sz w:val="21"/>
                <w:szCs w:val="21"/>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1、研究法辛烷值、馏程、蒸气压、胶质含量、诱导期、硫含量、硫醇（博士试验）、铜片腐蚀、水溶性酸或碱、机械杂质</w:t>
            </w:r>
            <w:r>
              <w:rPr>
                <w:rStyle w:val="1396"/>
                <w:rFonts w:hint="eastAsia" w:ascii="宋体" w:hAnsi="宋体" w:eastAsia="宋体" w:cs="宋体"/>
                <w:b w:val="0"/>
                <w:bCs w:val="0"/>
                <w:color w:val="auto"/>
                <w:sz w:val="21"/>
                <w:szCs w:val="21"/>
                <w:lang w:val="en-US" w:eastAsia="zh-CN" w:bidi="ar"/>
              </w:rPr>
              <w:t xml:space="preserve">及水</w:t>
            </w:r>
            <w:r>
              <w:rPr>
                <w:rStyle w:val="1395"/>
                <w:rFonts w:hint="eastAsia" w:ascii="宋体" w:hAnsi="宋体" w:eastAsia="宋体" w:cs="宋体"/>
                <w:b w:val="0"/>
                <w:bCs w:val="0"/>
                <w:color w:val="auto"/>
                <w:sz w:val="21"/>
                <w:szCs w:val="21"/>
                <w:lang w:val="en-US" w:eastAsia="zh-CN" w:bidi="ar"/>
              </w:rPr>
              <w:t xml:space="preserve">分、苯含量、氧含量、甲醇含量、密度；</w:t>
            </w:r>
            <w:r/>
          </w:p>
          <w:p>
            <w:pPr>
              <w:numPr>
                <w:ilvl w:val="0"/>
                <w:numId w:val="0"/>
              </w:numPr>
              <w:ind w:left="0" w:right="0"/>
              <w:jc w:val="left"/>
              <w:keepLines w:val="0"/>
              <w:keepNext w:val="0"/>
              <w:spacing w:before="0" w:beforeAutospacing="0" w:after="0" w:afterAutospacing="0"/>
              <w:widowControl/>
              <w:rPr>
                <w:rStyle w:val="1395"/>
                <w:rFonts w:hint="eastAsia" w:ascii="宋体" w:hAnsi="宋体" w:eastAsia="宋体" w:cs="宋体"/>
                <w:b w:val="0"/>
                <w:bCs w:val="0"/>
                <w:color w:val="auto"/>
                <w:sz w:val="21"/>
                <w:szCs w:val="21"/>
                <w:lang w:val="en-US" w:eastAsia="zh-CN" w:bidi="ar"/>
              </w:rPr>
              <w:suppressLineNumbers w:val="0"/>
            </w:pPr>
            <w:r>
              <w:rPr>
                <w:rStyle w:val="1395"/>
                <w:rFonts w:hint="eastAsia" w:ascii="宋体" w:hAnsi="宋体" w:eastAsia="宋体" w:cs="宋体"/>
                <w:b w:val="0"/>
                <w:bCs w:val="0"/>
                <w:color w:val="auto"/>
                <w:sz w:val="21"/>
                <w:szCs w:val="21"/>
                <w:lang w:val="en-US" w:eastAsia="zh-CN" w:bidi="ar"/>
              </w:rPr>
              <w:t xml:space="preserve">2、研究法辛烷值、馏程、蒸气压、胶质含量、诱导期、硫含量、硫醇（博士试验）、铜片腐蚀、水溶性酸或碱、机械杂质</w:t>
            </w:r>
            <w:r>
              <w:rPr>
                <w:rStyle w:val="1392"/>
                <w:rFonts w:hint="eastAsia" w:ascii="宋体" w:hAnsi="宋体" w:eastAsia="宋体" w:cs="宋体"/>
                <w:b w:val="0"/>
                <w:bCs w:val="0"/>
                <w:color w:val="auto"/>
                <w:sz w:val="21"/>
                <w:szCs w:val="21"/>
                <w:lang w:val="en-US" w:eastAsia="zh-CN" w:bidi="ar"/>
              </w:rPr>
              <w:t xml:space="preserve">、</w:t>
            </w:r>
            <w:r>
              <w:rPr>
                <w:rStyle w:val="1395"/>
                <w:rFonts w:hint="eastAsia" w:ascii="宋体" w:hAnsi="宋体" w:eastAsia="宋体" w:cs="宋体"/>
                <w:b w:val="0"/>
                <w:bCs w:val="0"/>
                <w:color w:val="auto"/>
                <w:sz w:val="21"/>
                <w:szCs w:val="21"/>
                <w:lang w:val="en-US" w:eastAsia="zh-CN" w:bidi="ar"/>
              </w:rPr>
              <w:t xml:space="preserve">水分、苯含量、乙醇含量、密度；</w:t>
            </w:r>
            <w:r/>
          </w:p>
          <w:p>
            <w:pPr>
              <w:numPr>
                <w:ilvl w:val="0"/>
                <w:numId w:val="0"/>
              </w:numPr>
              <w:ind w:left="0" w:right="0"/>
              <w:jc w:val="left"/>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Style w:val="1395"/>
                <w:rFonts w:hint="eastAsia" w:ascii="宋体" w:hAnsi="宋体" w:eastAsia="宋体" w:cs="宋体"/>
                <w:b w:val="0"/>
                <w:bCs w:val="0"/>
                <w:color w:val="auto"/>
                <w:sz w:val="21"/>
                <w:szCs w:val="21"/>
                <w:lang w:val="en-US" w:eastAsia="zh-CN" w:bidi="ar"/>
              </w:rPr>
              <w:t xml:space="preserve">3、氧化安定性、硫含量、10%蒸余物残炭、灰分、铜片腐蚀、水含量、总污染物含量、运动黏度、凝点、冷滤点、闪点（闭口）、馏程、密度。</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cs="宋体"/>
                <w:b w:val="0"/>
                <w:bCs w:val="0"/>
                <w:i w:val="0"/>
                <w:iCs w:val="0"/>
                <w:color w:val="auto"/>
                <w:sz w:val="21"/>
                <w:szCs w:val="21"/>
                <w:u w:val="none"/>
                <w:lang w:val="en-US" w:eastAsia="zh-CN" w:bidi="ar"/>
              </w:rPr>
              <w:t xml:space="preserve">批次</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25</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Style w:val="1394"/>
                <w:rFonts w:hint="eastAsia" w:ascii="宋体" w:hAnsi="宋体" w:eastAsia="宋体" w:cs="宋体"/>
                <w:b w:val="0"/>
                <w:bCs w:val="0"/>
                <w:color w:val="auto"/>
                <w:sz w:val="21"/>
                <w:szCs w:val="21"/>
                <w:lang w:val="en-US" w:eastAsia="zh-CN" w:bidi="ar"/>
              </w:rPr>
              <w:t xml:space="preserve">胶黏剂</w:t>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Style w:val="1395"/>
                <w:rFonts w:hint="eastAsia" w:ascii="宋体" w:hAnsi="宋体" w:eastAsia="宋体" w:cs="宋体"/>
                <w:b w:val="0"/>
                <w:bCs w:val="0"/>
                <w:color w:val="auto"/>
                <w:sz w:val="21"/>
                <w:szCs w:val="21"/>
                <w:lang w:val="en-US" w:eastAsia="zh-CN" w:bidi="ar"/>
              </w:rPr>
              <w:t xml:space="preserve">胶黏剂（含脲醛胶）</w:t>
            </w:r>
            <w:r/>
          </w:p>
        </w:tc>
        <w:tc>
          <w:tcPr>
            <w:shd w:val="clear" w:color="auto" w:fill="auto"/>
            <w:tcBorders>
              <w:top w:val="single" w:color="000000" w:sz="4" w:space="0"/>
              <w:left w:val="single" w:color="000000" w:sz="4" w:space="0"/>
              <w:bottom w:val="single" w:color="000000" w:sz="4" w:space="0"/>
              <w:right w:val="single" w:color="000000" w:sz="4" w:space="0"/>
            </w:tcBorders>
            <w:tcW w:w="2601"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《室内装饰装修材料 胶粘剂中有害物质限量》GB 18583-2008。      </w:t>
            </w:r>
            <w:r/>
          </w:p>
        </w:tc>
        <w:tc>
          <w:tcPr>
            <w:shd w:val="clear" w:color="auto" w:fill="auto"/>
            <w:tcBorders>
              <w:top w:val="single" w:color="000000" w:sz="4" w:space="0"/>
              <w:left w:val="single" w:color="000000" w:sz="4" w:space="0"/>
              <w:bottom w:val="single" w:color="000000" w:sz="4" w:space="0"/>
              <w:right w:val="single" w:color="000000" w:sz="4" w:space="0"/>
            </w:tcBorders>
            <w:tcW w:w="2862"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游离甲醛、苯、甲苯+二甲苯、总挥发性有机物。</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cs="宋体"/>
                <w:b w:val="0"/>
                <w:bCs w:val="0"/>
                <w:i w:val="0"/>
                <w:iCs w:val="0"/>
                <w:color w:val="auto"/>
                <w:sz w:val="21"/>
                <w:szCs w:val="21"/>
                <w:u w:val="none"/>
                <w:lang w:val="en-US" w:eastAsia="zh-CN" w:bidi="ar"/>
              </w:rPr>
              <w:t xml:space="preserve">批次</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5</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Style w:val="1394"/>
                <w:rFonts w:hint="eastAsia" w:ascii="宋体" w:hAnsi="宋体" w:eastAsia="宋体" w:cs="宋体"/>
                <w:b w:val="0"/>
                <w:bCs w:val="0"/>
                <w:color w:val="auto"/>
                <w:sz w:val="21"/>
                <w:szCs w:val="21"/>
                <w:lang w:val="en-US" w:eastAsia="zh-CN" w:bidi="ar"/>
              </w:rPr>
              <w:t xml:space="preserve">建筑材料</w:t>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Style w:val="1395"/>
                <w:rFonts w:hint="eastAsia" w:ascii="宋体" w:hAnsi="宋体" w:eastAsia="宋体" w:cs="宋体"/>
                <w:b w:val="0"/>
                <w:bCs w:val="0"/>
                <w:color w:val="auto"/>
                <w:sz w:val="21"/>
                <w:szCs w:val="21"/>
                <w:lang w:val="en-US" w:eastAsia="zh-CN" w:bidi="ar"/>
              </w:rPr>
              <w:t xml:space="preserve">合成树脂乳液内墙涂料</w:t>
            </w:r>
            <w:r/>
          </w:p>
        </w:tc>
        <w:tc>
          <w:tcPr>
            <w:shd w:val="clear" w:color="auto" w:fill="auto"/>
            <w:tcBorders>
              <w:top w:val="single" w:color="000000" w:sz="4" w:space="0"/>
              <w:left w:val="single" w:color="000000" w:sz="4" w:space="0"/>
              <w:bottom w:val="single" w:color="000000" w:sz="4" w:space="0"/>
              <w:right w:val="single" w:color="000000" w:sz="4" w:space="0"/>
            </w:tcBorders>
            <w:tcW w:w="2601"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1、GB 30981.1—2025                《涂料中有害物质限量  第1部分：建筑涂料》；</w:t>
            </w:r>
            <w:r/>
          </w:p>
          <w:p>
            <w:pPr>
              <w:ind w:left="0" w:right="0"/>
              <w:jc w:val="left"/>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2、GB/T 9755—2024                          《合成树脂乳液墙面涂料》</w:t>
            </w:r>
            <w:r>
              <w:rPr>
                <w:rFonts w:hint="eastAsia" w:ascii="宋体" w:hAnsi="宋体" w:cs="宋体"/>
                <w:b w:val="0"/>
                <w:bCs w:val="0"/>
                <w:i w:val="0"/>
                <w:iCs w:val="0"/>
                <w:color w:val="auto"/>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862"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VOC含量、甲醛含量、对比率、耐碱性、耐洗刷性。</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cs="宋体"/>
                <w:b w:val="0"/>
                <w:bCs w:val="0"/>
                <w:i w:val="0"/>
                <w:iCs w:val="0"/>
                <w:color w:val="auto"/>
                <w:sz w:val="21"/>
                <w:szCs w:val="21"/>
                <w:u w:val="none"/>
                <w:lang w:val="en-US" w:eastAsia="zh-CN" w:bidi="ar"/>
              </w:rPr>
              <w:t xml:space="preserve">批次</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2</w:t>
            </w:r>
            <w:r/>
          </w:p>
        </w:tc>
      </w:tr>
      <w:tr>
        <w:trPr>
          <w:trHeight w:val="1649"/>
        </w:trPr>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合成树脂乳液外墙涂料</w:t>
            </w:r>
            <w:r/>
          </w:p>
        </w:tc>
        <w:tc>
          <w:tcPr>
            <w:shd w:val="clear" w:color="auto" w:fill="auto"/>
            <w:tcBorders>
              <w:top w:val="single" w:color="000000" w:sz="4" w:space="0"/>
              <w:left w:val="single" w:color="000000" w:sz="4" w:space="0"/>
              <w:bottom w:val="single" w:color="000000" w:sz="4" w:space="0"/>
              <w:right w:val="single" w:color="000000" w:sz="4" w:space="0"/>
            </w:tcBorders>
            <w:tcW w:w="2601"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b w:val="0"/>
                <w:bCs w:val="0"/>
                <w:color w:val="auto"/>
                <w:sz w:val="21"/>
                <w:szCs w:val="21"/>
                <w:lang w:val="en-US" w:eastAsia="zh-CN"/>
              </w:rPr>
              <w:suppressLineNumbers w:val="0"/>
            </w:pPr>
            <w:r>
              <w:rPr>
                <w:rFonts w:hint="eastAsia" w:ascii="宋体" w:hAnsi="宋体" w:eastAsia="宋体" w:cs="宋体"/>
                <w:b w:val="0"/>
                <w:bCs w:val="0"/>
                <w:color w:val="auto"/>
                <w:sz w:val="21"/>
                <w:szCs w:val="21"/>
                <w:lang w:val="en-US" w:eastAsia="zh-CN"/>
              </w:rPr>
              <w:t xml:space="preserve">1、《涂料中有害物质限量 第1部分：建筑涂料》GB 30981.1—2025；</w:t>
            </w:r>
            <w:r/>
          </w:p>
          <w:p>
            <w:pPr>
              <w:ind w:left="0" w:right="0"/>
              <w:keepLines w:val="0"/>
              <w:keepNext w:val="0"/>
              <w:spacing w:before="0" w:beforeAutospacing="0" w:after="0" w:afterAutospacing="0"/>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color w:val="auto"/>
                <w:sz w:val="21"/>
                <w:szCs w:val="21"/>
                <w:lang w:val="en-US" w:eastAsia="zh-CN"/>
              </w:rPr>
              <w:t xml:space="preserve">2、《合成树脂乳液墙面涂料》GB/T 9755—2024。</w:t>
            </w:r>
            <w:r/>
          </w:p>
        </w:tc>
        <w:tc>
          <w:tcPr>
            <w:shd w:val="clear" w:color="auto" w:fill="auto"/>
            <w:tcBorders>
              <w:top w:val="single" w:color="000000" w:sz="4" w:space="0"/>
              <w:left w:val="single" w:color="000000" w:sz="4" w:space="0"/>
              <w:bottom w:val="single" w:color="000000" w:sz="4" w:space="0"/>
              <w:right w:val="single" w:color="000000" w:sz="4" w:space="0"/>
            </w:tcBorders>
            <w:tcW w:w="2862"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VOC含量、甲醛含量、对比率、耐碱性、耐洗刷性。</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cs="宋体"/>
                <w:b w:val="0"/>
                <w:bCs w:val="0"/>
                <w:i w:val="0"/>
                <w:iCs w:val="0"/>
                <w:color w:val="auto"/>
                <w:sz w:val="21"/>
                <w:szCs w:val="21"/>
                <w:u w:val="none"/>
                <w:lang w:val="en-US" w:eastAsia="zh-CN" w:bidi="ar"/>
              </w:rPr>
              <w:t xml:space="preserve">批次</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2</w:t>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Style w:val="1395"/>
                <w:rFonts w:hint="eastAsia" w:ascii="宋体" w:hAnsi="宋体" w:eastAsia="宋体" w:cs="宋体"/>
                <w:b w:val="0"/>
                <w:bCs w:val="0"/>
                <w:color w:val="auto"/>
                <w:sz w:val="21"/>
                <w:szCs w:val="21"/>
                <w:lang w:val="en-US" w:eastAsia="zh-CN" w:bidi="ar"/>
              </w:rPr>
              <w:t xml:space="preserve">建筑保温材料（岩棉板、硅酸铝、珍珠岩、模塑聚苯乙烯泡沫板、挤塑聚苯乙烯泡沫板等）</w:t>
            </w:r>
            <w:r/>
          </w:p>
        </w:tc>
        <w:tc>
          <w:tcPr>
            <w:shd w:val="clear" w:color="auto" w:fill="auto"/>
            <w:tcBorders>
              <w:top w:val="single" w:color="000000" w:sz="4" w:space="0"/>
              <w:left w:val="single" w:color="000000" w:sz="4" w:space="0"/>
              <w:bottom w:val="single" w:color="000000" w:sz="4" w:space="0"/>
              <w:right w:val="single" w:color="000000" w:sz="4" w:space="0"/>
            </w:tcBorders>
            <w:tcW w:w="2601"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b w:val="0"/>
                <w:bCs w:val="0"/>
                <w:color w:val="auto"/>
                <w:sz w:val="21"/>
                <w:szCs w:val="21"/>
                <w:lang w:val="en-US" w:eastAsia="zh-CN"/>
              </w:rPr>
              <w:suppressLineNumbers w:val="0"/>
            </w:pPr>
            <w:r>
              <w:rPr>
                <w:rFonts w:hint="eastAsia" w:ascii="宋体" w:hAnsi="宋体" w:eastAsia="宋体" w:cs="宋体"/>
                <w:b w:val="0"/>
                <w:bCs w:val="0"/>
                <w:color w:val="auto"/>
                <w:sz w:val="21"/>
                <w:szCs w:val="21"/>
                <w:lang w:val="en-US" w:eastAsia="zh-CN"/>
              </w:rPr>
              <w:t xml:space="preserve">1、《绝热用挤塑聚苯乙烯泡沫塑料(XPS)》GB/T 10801.2-2025、《绝热用挤塑聚苯乙烯泡沫塑料(XPS)》GB/T 10801.2-2018；</w:t>
            </w:r>
            <w:r/>
          </w:p>
          <w:p>
            <w:pPr>
              <w:ind w:left="0" w:right="0"/>
              <w:keepLines w:val="0"/>
              <w:keepNext w:val="0"/>
              <w:spacing w:before="0" w:beforeAutospacing="0" w:after="0" w:afterAutospacing="0"/>
              <w:rPr>
                <w:rFonts w:hint="eastAsia" w:ascii="宋体" w:hAnsi="宋体" w:eastAsia="宋体" w:cs="宋体"/>
                <w:b w:val="0"/>
                <w:bCs w:val="0"/>
                <w:color w:val="auto"/>
                <w:sz w:val="21"/>
                <w:szCs w:val="21"/>
                <w:lang w:val="en-US" w:eastAsia="zh-CN"/>
              </w:rPr>
              <w:suppressLineNumbers w:val="0"/>
            </w:pPr>
            <w:r>
              <w:rPr>
                <w:rFonts w:hint="eastAsia" w:ascii="宋体" w:hAnsi="宋体" w:eastAsia="宋体" w:cs="宋体"/>
                <w:b w:val="0"/>
                <w:bCs w:val="0"/>
                <w:color w:val="auto"/>
                <w:sz w:val="21"/>
                <w:szCs w:val="21"/>
                <w:lang w:val="en-US" w:eastAsia="zh-CN"/>
              </w:rPr>
              <w:t xml:space="preserve">2、《绝热用模塑聚苯乙烯泡沫塑料(EPS)》GB/T 10801.1-2025、《绝热用模塑聚苯乙烯泡沫塑料(EPS)》GB/T 10801.1-2021；</w:t>
            </w:r>
            <w:r/>
          </w:p>
          <w:p>
            <w:pPr>
              <w:ind w:left="0" w:right="0"/>
              <w:keepLines w:val="0"/>
              <w:keepNext w:val="0"/>
              <w:spacing w:before="0" w:beforeAutospacing="0" w:after="0" w:afterAutospacing="0"/>
              <w:rPr>
                <w:rFonts w:hint="eastAsia" w:ascii="宋体" w:hAnsi="宋体" w:eastAsia="宋体" w:cs="宋体"/>
                <w:b w:val="0"/>
                <w:bCs w:val="0"/>
                <w:color w:val="auto"/>
                <w:sz w:val="21"/>
                <w:szCs w:val="21"/>
                <w:lang w:val="en-US" w:eastAsia="zh-CN"/>
              </w:rPr>
              <w:suppressLineNumbers w:val="0"/>
            </w:pPr>
            <w:r>
              <w:rPr>
                <w:rFonts w:hint="eastAsia" w:ascii="宋体" w:hAnsi="宋体" w:eastAsia="宋体" w:cs="宋体"/>
                <w:b w:val="0"/>
                <w:bCs w:val="0"/>
                <w:color w:val="auto"/>
                <w:sz w:val="21"/>
                <w:szCs w:val="21"/>
                <w:lang w:val="en-US" w:eastAsia="zh-CN"/>
              </w:rPr>
              <w:t xml:space="preserve">3、《复合材料保温板外墙外保温系统应用技术规程》DGJ 32/TJ 204-2016；</w:t>
            </w:r>
            <w:r/>
          </w:p>
          <w:p>
            <w:pPr>
              <w:ind w:left="0" w:right="0"/>
              <w:keepLines w:val="0"/>
              <w:keepNext w:val="0"/>
              <w:spacing w:before="0" w:beforeAutospacing="0" w:after="0" w:afterAutospacing="0"/>
              <w:rPr>
                <w:rFonts w:hint="eastAsia" w:ascii="宋体" w:hAnsi="宋体" w:eastAsia="宋体" w:cs="宋体"/>
                <w:b w:val="0"/>
                <w:bCs w:val="0"/>
                <w:color w:val="auto"/>
                <w:sz w:val="21"/>
                <w:szCs w:val="21"/>
                <w:lang w:val="en-US" w:eastAsia="zh-CN"/>
              </w:rPr>
              <w:suppressLineNumbers w:val="0"/>
            </w:pPr>
            <w:r>
              <w:rPr>
                <w:rFonts w:hint="eastAsia" w:ascii="宋体" w:hAnsi="宋体" w:eastAsia="宋体" w:cs="宋体"/>
                <w:b w:val="0"/>
                <w:bCs w:val="0"/>
                <w:color w:val="auto"/>
                <w:sz w:val="21"/>
                <w:szCs w:val="21"/>
                <w:lang w:val="en-US" w:eastAsia="zh-CN"/>
              </w:rPr>
              <w:t xml:space="preserve">4、《柔性泡沫橡塑绝热制品》GB/T 17794-2021；</w:t>
            </w:r>
            <w:r/>
          </w:p>
          <w:p>
            <w:pPr>
              <w:ind w:left="0" w:right="0"/>
              <w:keepLines w:val="0"/>
              <w:keepNext w:val="0"/>
              <w:spacing w:before="0" w:beforeAutospacing="0" w:after="0" w:afterAutospacing="0"/>
              <w:rPr>
                <w:rFonts w:hint="eastAsia" w:ascii="宋体" w:hAnsi="宋体" w:eastAsia="宋体" w:cs="宋体"/>
                <w:b w:val="0"/>
                <w:bCs w:val="0"/>
                <w:color w:val="auto"/>
                <w:sz w:val="21"/>
                <w:szCs w:val="21"/>
                <w:lang w:val="en-US" w:eastAsia="zh-CN"/>
              </w:rPr>
              <w:suppressLineNumbers w:val="0"/>
            </w:pPr>
            <w:r>
              <w:rPr>
                <w:rFonts w:hint="eastAsia" w:ascii="宋体" w:hAnsi="宋体" w:eastAsia="宋体" w:cs="宋体"/>
                <w:b w:val="0"/>
                <w:bCs w:val="0"/>
                <w:color w:val="auto"/>
                <w:sz w:val="21"/>
                <w:szCs w:val="21"/>
                <w:lang w:val="en-US" w:eastAsia="zh-CN"/>
              </w:rPr>
              <w:t xml:space="preserve">5、《复合发泡水泥板外墙外保温系统应用技术规程》DGJ 32/TJ 174-2014；</w:t>
            </w:r>
            <w:r/>
          </w:p>
          <w:p>
            <w:pPr>
              <w:ind w:left="0" w:right="0"/>
              <w:keepLines w:val="0"/>
              <w:keepNext w:val="0"/>
              <w:spacing w:before="0" w:beforeAutospacing="0" w:after="0" w:afterAutospacing="0"/>
              <w:rPr>
                <w:rFonts w:hint="eastAsia" w:ascii="宋体" w:hAnsi="宋体" w:eastAsia="宋体" w:cs="宋体"/>
                <w:b w:val="0"/>
                <w:bCs w:val="0"/>
                <w:color w:val="auto"/>
                <w:sz w:val="21"/>
                <w:szCs w:val="21"/>
                <w:lang w:val="en-US" w:eastAsia="zh-CN"/>
              </w:rPr>
              <w:suppressLineNumbers w:val="0"/>
            </w:pPr>
            <w:r>
              <w:rPr>
                <w:rFonts w:hint="eastAsia" w:ascii="宋体" w:hAnsi="宋体" w:eastAsia="宋体" w:cs="宋体"/>
                <w:b w:val="0"/>
                <w:bCs w:val="0"/>
                <w:color w:val="auto"/>
                <w:sz w:val="21"/>
                <w:szCs w:val="21"/>
                <w:lang w:val="en-US" w:eastAsia="zh-CN"/>
              </w:rPr>
              <w:t xml:space="preserve">6、《建筑外墙外保温用岩棉制品》GB/T 25975-2018；</w:t>
            </w:r>
            <w:r/>
          </w:p>
          <w:p>
            <w:pPr>
              <w:ind w:left="0" w:right="0"/>
              <w:keepLines w:val="0"/>
              <w:keepNext w:val="0"/>
              <w:spacing w:before="0" w:beforeAutospacing="0" w:after="0" w:afterAutospacing="0"/>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color w:val="auto"/>
                <w:sz w:val="21"/>
                <w:szCs w:val="21"/>
                <w:lang w:val="en-US" w:eastAsia="zh-CN"/>
              </w:rPr>
              <w:t xml:space="preserve">7、《建筑用岩棉绝热制品》GB/T 19686-2015。</w:t>
            </w:r>
            <w:r/>
          </w:p>
        </w:tc>
        <w:tc>
          <w:tcPr>
            <w:shd w:val="clear" w:color="auto" w:fill="auto"/>
            <w:tcBorders>
              <w:top w:val="single" w:color="000000" w:sz="4" w:space="0"/>
              <w:left w:val="single" w:color="000000" w:sz="4" w:space="0"/>
              <w:bottom w:val="single" w:color="000000" w:sz="4" w:space="0"/>
              <w:right w:val="single" w:color="000000" w:sz="4" w:space="0"/>
            </w:tcBorders>
            <w:tcW w:w="2862"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1、挤塑聚苯板（XPS）：压缩强度、导热系数（25℃）、燃烧性能；</w:t>
            </w:r>
            <w:r/>
          </w:p>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2、模塑聚苯板（EPS）：表观密度、压缩强度、 导热系数、 燃烧性能；</w:t>
            </w:r>
            <w:r/>
          </w:p>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3、复合材料保温板 ：干密度、导热系数、抗压强度、燃烧性能；</w:t>
            </w:r>
            <w:r/>
          </w:p>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4、柔性泡沫橡塑板：表观密度、导热系数（平均温度25℃）、氧指数、烟密度；</w:t>
            </w:r>
            <w:r/>
          </w:p>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5、复合发泡水泥板：干密度、导热系数、抗压强度、燃烧性能；</w:t>
            </w:r>
            <w:r/>
          </w:p>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6、建筑外墙外保温用岩棉板：导热系数、压缩强度、燃烧性能、密度；</w:t>
            </w:r>
            <w:r/>
          </w:p>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7、建筑用岩棉绝热制品：导热系数、燃烧性能、压缩强度。</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cs="宋体"/>
                <w:b w:val="0"/>
                <w:bCs w:val="0"/>
                <w:i w:val="0"/>
                <w:iCs w:val="0"/>
                <w:color w:val="auto"/>
                <w:sz w:val="21"/>
                <w:szCs w:val="21"/>
                <w:u w:val="none"/>
                <w:lang w:val="en-US" w:eastAsia="zh-CN" w:bidi="ar"/>
              </w:rPr>
              <w:t xml:space="preserve">批次</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5</w:t>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Style w:val="1395"/>
                <w:rFonts w:hint="eastAsia" w:ascii="宋体" w:hAnsi="宋体" w:eastAsia="宋体" w:cs="宋体"/>
                <w:b w:val="0"/>
                <w:bCs w:val="0"/>
                <w:color w:val="auto"/>
                <w:sz w:val="21"/>
                <w:szCs w:val="21"/>
                <w:lang w:val="en-US" w:eastAsia="zh-CN" w:bidi="ar"/>
              </w:rPr>
              <w:t xml:space="preserve">油漆（建筑用墙面涂料、木器涂料、建筑防水涂料等）</w:t>
            </w:r>
            <w:r/>
          </w:p>
        </w:tc>
        <w:tc>
          <w:tcPr>
            <w:shd w:val="clear" w:color="auto" w:fill="auto"/>
            <w:tcBorders>
              <w:top w:val="single" w:color="000000" w:sz="4" w:space="0"/>
              <w:left w:val="single" w:color="000000" w:sz="4" w:space="0"/>
              <w:bottom w:val="single" w:color="000000" w:sz="4" w:space="0"/>
              <w:right w:val="single" w:color="000000" w:sz="4" w:space="0"/>
            </w:tcBorders>
            <w:tcW w:w="2601"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b w:val="0"/>
                <w:bCs w:val="0"/>
                <w:color w:val="auto"/>
                <w:sz w:val="21"/>
                <w:szCs w:val="21"/>
                <w:lang w:val="en-US" w:eastAsia="zh-CN"/>
              </w:rPr>
              <w:suppressLineNumbers w:val="0"/>
            </w:pPr>
            <w:r>
              <w:rPr>
                <w:rFonts w:hint="eastAsia" w:ascii="宋体" w:hAnsi="宋体" w:eastAsia="宋体" w:cs="宋体"/>
                <w:b w:val="0"/>
                <w:bCs w:val="0"/>
                <w:color w:val="auto"/>
                <w:sz w:val="21"/>
                <w:szCs w:val="21"/>
                <w:lang w:val="en-US" w:eastAsia="zh-CN"/>
              </w:rPr>
              <w:t xml:space="preserve">1、《聚氨酯防水涂料》GB/T 19250-2013；</w:t>
            </w:r>
            <w:r/>
          </w:p>
          <w:p>
            <w:pPr>
              <w:ind w:left="0" w:right="0"/>
              <w:keepLines w:val="0"/>
              <w:keepNext w:val="0"/>
              <w:spacing w:before="0" w:beforeAutospacing="0" w:after="0" w:afterAutospacing="0"/>
              <w:rPr>
                <w:rFonts w:hint="eastAsia" w:ascii="宋体" w:hAnsi="宋体" w:eastAsia="宋体" w:cs="宋体"/>
                <w:b w:val="0"/>
                <w:bCs w:val="0"/>
                <w:color w:val="auto"/>
                <w:sz w:val="21"/>
                <w:szCs w:val="21"/>
                <w:lang w:val="en-US" w:eastAsia="zh-CN"/>
              </w:rPr>
              <w:suppressLineNumbers w:val="0"/>
            </w:pPr>
            <w:r>
              <w:rPr>
                <w:rFonts w:hint="eastAsia" w:ascii="宋体" w:hAnsi="宋体" w:eastAsia="宋体" w:cs="宋体"/>
                <w:b w:val="0"/>
                <w:bCs w:val="0"/>
                <w:color w:val="auto"/>
                <w:sz w:val="21"/>
                <w:szCs w:val="21"/>
                <w:lang w:val="en-US" w:eastAsia="zh-CN"/>
              </w:rPr>
              <w:t xml:space="preserve">2、《聚合物水泥防水涂料》GB/T 23445-2025；</w:t>
            </w:r>
            <w:r/>
          </w:p>
          <w:p>
            <w:pPr>
              <w:ind w:left="0" w:right="0"/>
              <w:keepLines w:val="0"/>
              <w:keepNext w:val="0"/>
              <w:spacing w:before="0" w:beforeAutospacing="0" w:after="0" w:afterAutospacing="0"/>
              <w:rPr>
                <w:rFonts w:hint="eastAsia" w:ascii="宋体" w:hAnsi="宋体" w:eastAsia="宋体" w:cs="宋体"/>
                <w:b w:val="0"/>
                <w:bCs w:val="0"/>
                <w:color w:val="auto"/>
                <w:sz w:val="21"/>
                <w:szCs w:val="21"/>
                <w:lang w:val="en-US" w:eastAsia="zh-CN"/>
              </w:rPr>
              <w:suppressLineNumbers w:val="0"/>
            </w:pPr>
            <w:r>
              <w:rPr>
                <w:rFonts w:hint="eastAsia" w:ascii="宋体" w:hAnsi="宋体" w:eastAsia="宋体" w:cs="宋体"/>
                <w:b w:val="0"/>
                <w:bCs w:val="0"/>
                <w:color w:val="auto"/>
                <w:sz w:val="21"/>
                <w:szCs w:val="21"/>
                <w:lang w:val="en-US" w:eastAsia="zh-CN"/>
              </w:rPr>
              <w:t xml:space="preserve">3、《水乳型沥青防水涂料》JC/T 408-2005；</w:t>
            </w:r>
            <w:r/>
          </w:p>
          <w:p>
            <w:pPr>
              <w:ind w:left="0" w:right="0"/>
              <w:keepLines w:val="0"/>
              <w:keepNext w:val="0"/>
              <w:spacing w:before="0" w:beforeAutospacing="0" w:after="0" w:afterAutospacing="0"/>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color w:val="auto"/>
                <w:sz w:val="21"/>
                <w:szCs w:val="21"/>
                <w:lang w:val="en-US" w:eastAsia="zh-CN"/>
              </w:rPr>
              <w:t xml:space="preserve">4、《聚合物乳液防水涂料》JC/T 864-2023。</w:t>
            </w:r>
            <w:r/>
          </w:p>
        </w:tc>
        <w:tc>
          <w:tcPr>
            <w:shd w:val="clear" w:color="auto" w:fill="auto"/>
            <w:tcBorders>
              <w:top w:val="single" w:color="000000" w:sz="4" w:space="0"/>
              <w:left w:val="single" w:color="000000" w:sz="4" w:space="0"/>
              <w:bottom w:val="single" w:color="000000" w:sz="4" w:space="0"/>
              <w:right w:val="single" w:color="000000" w:sz="4" w:space="0"/>
            </w:tcBorders>
            <w:tcW w:w="2862"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1、聚氨酯防水涂料：拉伸强度、断裂伸长率、撕裂强度、低温弯折性、不透水性、吸水率；</w:t>
            </w:r>
            <w:r/>
          </w:p>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2、聚合物水泥防水涂料：固体含量、拉伸强度（无处理）、断裂伸长率（无处理）、低温柔性、粘结强度（无处理）、粘结强度（潮湿基层）、不透水性；</w:t>
            </w:r>
            <w:r/>
          </w:p>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3、水乳型沥青防水涂料：固体含量、耐热度、不透水性、粘结强度、低温柔度（标准条件）、断裂伸长率（标准条件）；</w:t>
            </w:r>
            <w:r/>
          </w:p>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4、聚合物乳液防水涂料：断裂伸长率、低温弯折性、不透水性、固体含量。</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cs="宋体"/>
                <w:b w:val="0"/>
                <w:bCs w:val="0"/>
                <w:i w:val="0"/>
                <w:iCs w:val="0"/>
                <w:color w:val="auto"/>
                <w:sz w:val="21"/>
                <w:szCs w:val="21"/>
                <w:u w:val="none"/>
                <w:lang w:val="en-US" w:eastAsia="zh-CN" w:bidi="ar"/>
              </w:rPr>
              <w:t xml:space="preserve">批次</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2</w:t>
            </w:r>
            <w:r/>
          </w:p>
        </w:tc>
      </w:tr>
      <w:tr>
        <w:trPr>
          <w:trHeight w:val="550"/>
        </w:trPr>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Style w:val="1395"/>
                <w:rFonts w:hint="eastAsia" w:ascii="宋体" w:hAnsi="宋体" w:eastAsia="宋体" w:cs="宋体"/>
                <w:b w:val="0"/>
                <w:bCs w:val="0"/>
                <w:color w:val="auto"/>
                <w:sz w:val="21"/>
                <w:szCs w:val="21"/>
                <w:lang w:val="en-US" w:eastAsia="zh-CN" w:bidi="ar"/>
              </w:rPr>
              <w:t xml:space="preserve">PVC管材、排水管</w:t>
            </w:r>
            <w:r/>
          </w:p>
        </w:tc>
        <w:tc>
          <w:tcPr>
            <w:shd w:val="clear" w:color="auto" w:fill="auto"/>
            <w:tcBorders>
              <w:top w:val="single" w:color="000000" w:sz="4" w:space="0"/>
              <w:left w:val="single" w:color="000000" w:sz="4" w:space="0"/>
              <w:bottom w:val="single" w:color="000000" w:sz="4" w:space="0"/>
              <w:right w:val="single" w:color="000000" w:sz="4" w:space="0"/>
            </w:tcBorders>
            <w:tcW w:w="2601"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b w:val="0"/>
                <w:bCs w:val="0"/>
                <w:color w:val="auto"/>
                <w:sz w:val="21"/>
                <w:szCs w:val="21"/>
                <w:lang w:val="en-US" w:eastAsia="zh-CN"/>
              </w:rPr>
              <w:suppressLineNumbers w:val="0"/>
            </w:pPr>
            <w:r>
              <w:rPr>
                <w:rFonts w:hint="eastAsia" w:ascii="宋体" w:hAnsi="宋体" w:eastAsia="宋体" w:cs="宋体"/>
                <w:b w:val="0"/>
                <w:bCs w:val="0"/>
                <w:color w:val="auto"/>
                <w:sz w:val="21"/>
                <w:szCs w:val="21"/>
                <w:lang w:val="en-US" w:eastAsia="zh-CN"/>
              </w:rPr>
              <w:t xml:space="preserve">1、《建筑排水用硬聚氯乙烯（PVC-U）管材》GB/T 5836.1-2018；</w:t>
            </w:r>
            <w:r/>
          </w:p>
          <w:p>
            <w:pPr>
              <w:ind w:left="0" w:right="0"/>
              <w:keepLines w:val="0"/>
              <w:keepNext w:val="0"/>
              <w:spacing w:before="0" w:beforeAutospacing="0" w:after="0" w:afterAutospacing="0"/>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color w:val="auto"/>
                <w:sz w:val="21"/>
                <w:szCs w:val="21"/>
                <w:lang w:val="en-US" w:eastAsia="zh-CN"/>
              </w:rPr>
              <w:t xml:space="preserve">2、《埋地用聚乙烯（PE）结构壁管道系统 第1部分：聚乙烯双壁波纹管材》GB/T 19472.1-2019。</w:t>
            </w:r>
            <w:r/>
          </w:p>
        </w:tc>
        <w:tc>
          <w:tcPr>
            <w:shd w:val="clear" w:color="auto" w:fill="auto"/>
            <w:tcBorders>
              <w:top w:val="single" w:color="000000" w:sz="4" w:space="0"/>
              <w:left w:val="single" w:color="000000" w:sz="4" w:space="0"/>
              <w:bottom w:val="single" w:color="000000" w:sz="4" w:space="0"/>
              <w:right w:val="single" w:color="000000" w:sz="4" w:space="0"/>
            </w:tcBorders>
            <w:tcW w:w="2862"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1、维卡软化温度、纵向回缩率、拉伸屈服应力、断裂伸长率；</w:t>
            </w:r>
            <w:r/>
          </w:p>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2、环刚度、环柔性、氧化诱导时间。</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cs="宋体"/>
                <w:b w:val="0"/>
                <w:bCs w:val="0"/>
                <w:i w:val="0"/>
                <w:iCs w:val="0"/>
                <w:color w:val="auto"/>
                <w:sz w:val="21"/>
                <w:szCs w:val="21"/>
                <w:u w:val="none"/>
                <w:lang w:val="en-US" w:eastAsia="zh-CN" w:bidi="ar"/>
              </w:rPr>
              <w:t xml:space="preserve">批次</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5</w:t>
            </w:r>
            <w:r/>
          </w:p>
        </w:tc>
      </w:tr>
      <w:tr>
        <w:trPr>
          <w:trHeight w:val="2400"/>
        </w:trPr>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Style w:val="1395"/>
                <w:rFonts w:hint="eastAsia" w:ascii="宋体" w:hAnsi="宋体" w:eastAsia="宋体" w:cs="宋体"/>
                <w:b w:val="0"/>
                <w:bCs w:val="0"/>
                <w:color w:val="auto"/>
                <w:sz w:val="21"/>
                <w:szCs w:val="21"/>
                <w:lang w:val="en-US" w:eastAsia="zh-CN" w:bidi="ar"/>
              </w:rPr>
              <w:t xml:space="preserve">钢筋</w:t>
            </w:r>
            <w:r/>
          </w:p>
        </w:tc>
        <w:tc>
          <w:tcPr>
            <w:shd w:val="clear" w:color="auto" w:fill="auto"/>
            <w:tcBorders>
              <w:top w:val="single" w:color="000000" w:sz="4" w:space="0"/>
              <w:left w:val="single" w:color="000000" w:sz="4" w:space="0"/>
              <w:bottom w:val="single" w:color="000000" w:sz="4" w:space="0"/>
              <w:right w:val="single" w:color="000000" w:sz="4" w:space="0"/>
            </w:tcBorders>
            <w:tcW w:w="2601"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b w:val="0"/>
                <w:bCs w:val="0"/>
                <w:color w:val="auto"/>
                <w:sz w:val="21"/>
                <w:szCs w:val="21"/>
                <w:lang w:val="en-US" w:eastAsia="zh-CN"/>
              </w:rPr>
              <w:suppressLineNumbers w:val="0"/>
            </w:pPr>
            <w:r>
              <w:rPr>
                <w:rFonts w:hint="eastAsia" w:ascii="宋体" w:hAnsi="宋体" w:eastAsia="宋体" w:cs="宋体"/>
                <w:b w:val="0"/>
                <w:bCs w:val="0"/>
                <w:color w:val="auto"/>
                <w:sz w:val="21"/>
                <w:szCs w:val="21"/>
                <w:lang w:val="en-US" w:eastAsia="zh-CN"/>
              </w:rPr>
              <w:t xml:space="preserve">1、《钢筋混凝土用钢 第1部分：热轧光圆钢筋》GB 1499.1-2024；</w:t>
            </w:r>
            <w:r/>
          </w:p>
          <w:p>
            <w:pPr>
              <w:ind w:left="0" w:right="0"/>
              <w:keepLines w:val="0"/>
              <w:keepNext w:val="0"/>
              <w:spacing w:before="0" w:beforeAutospacing="0" w:after="0" w:afterAutospacing="0"/>
              <w:rPr>
                <w:rFonts w:hint="eastAsia" w:ascii="宋体" w:hAnsi="宋体" w:eastAsia="宋体" w:cs="宋体"/>
                <w:b w:val="0"/>
                <w:bCs w:val="0"/>
                <w:color w:val="auto"/>
                <w:sz w:val="21"/>
                <w:szCs w:val="21"/>
                <w:lang w:val="en-US" w:eastAsia="zh-CN"/>
              </w:rPr>
              <w:suppressLineNumbers w:val="0"/>
            </w:pPr>
            <w:r>
              <w:rPr>
                <w:rFonts w:hint="eastAsia" w:ascii="宋体" w:hAnsi="宋体" w:eastAsia="宋体" w:cs="宋体"/>
                <w:b w:val="0"/>
                <w:bCs w:val="0"/>
                <w:color w:val="auto"/>
                <w:sz w:val="21"/>
                <w:szCs w:val="21"/>
                <w:lang w:val="en-US" w:eastAsia="zh-CN"/>
              </w:rPr>
              <w:t xml:space="preserve">2、《钢筋混凝土用钢 第2部分：热轧带肋钢筋》GB 1499.2-2024；</w:t>
            </w:r>
            <w:r/>
          </w:p>
          <w:p>
            <w:pPr>
              <w:ind w:left="0" w:right="0"/>
              <w:keepLines w:val="0"/>
              <w:keepNext w:val="0"/>
              <w:spacing w:before="0" w:beforeAutospacing="0" w:after="0" w:afterAutospacing="0"/>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color w:val="auto"/>
                <w:sz w:val="21"/>
                <w:szCs w:val="21"/>
                <w:lang w:val="en-US" w:eastAsia="zh-CN"/>
              </w:rPr>
              <w:t xml:space="preserve">3、《冷轧带肋钢筋》GB 13788-2024。</w:t>
            </w:r>
            <w:r/>
          </w:p>
        </w:tc>
        <w:tc>
          <w:tcPr>
            <w:shd w:val="clear" w:color="auto" w:fill="auto"/>
            <w:tcBorders>
              <w:top w:val="single" w:color="000000" w:sz="4" w:space="0"/>
              <w:left w:val="single" w:color="000000" w:sz="4" w:space="0"/>
              <w:bottom w:val="single" w:color="000000" w:sz="4" w:space="0"/>
              <w:right w:val="single" w:color="000000" w:sz="4" w:space="0"/>
            </w:tcBorders>
            <w:tcW w:w="2862"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1、直径允许偏差、下屈服强度、抗拉强度、弯曲试验、重量偏差；</w:t>
            </w:r>
            <w:r/>
          </w:p>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2、内径允许偏差、横肋高允许偏差、纵肋高、横肋间距允许偏差、下屈服强度、抗拉强度、重量偏差；</w:t>
            </w:r>
            <w:r/>
          </w:p>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3、横肋间距允许偏差、弯曲试验、规定塑性延伸强度、抗拉强度、断后伸长率。</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cs="宋体"/>
                <w:b w:val="0"/>
                <w:bCs w:val="0"/>
                <w:i w:val="0"/>
                <w:iCs w:val="0"/>
                <w:color w:val="auto"/>
                <w:sz w:val="21"/>
                <w:szCs w:val="21"/>
                <w:u w:val="none"/>
                <w:lang w:val="en-US" w:eastAsia="zh-CN" w:bidi="ar"/>
              </w:rPr>
              <w:t xml:space="preserve">批次</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2</w:t>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Style w:val="1395"/>
                <w:rFonts w:hint="eastAsia" w:ascii="宋体" w:hAnsi="宋体" w:eastAsia="宋体" w:cs="宋体"/>
                <w:b w:val="0"/>
                <w:bCs w:val="0"/>
                <w:color w:val="auto"/>
                <w:sz w:val="21"/>
                <w:szCs w:val="21"/>
                <w:lang w:val="en-US" w:eastAsia="zh-CN" w:bidi="ar"/>
              </w:rPr>
              <w:t xml:space="preserve">水泥、混凝土</w:t>
            </w:r>
            <w:r/>
          </w:p>
        </w:tc>
        <w:tc>
          <w:tcPr>
            <w:shd w:val="clear" w:color="auto" w:fill="auto"/>
            <w:tcBorders>
              <w:top w:val="single" w:color="000000" w:sz="4" w:space="0"/>
              <w:left w:val="single" w:color="000000" w:sz="4" w:space="0"/>
              <w:bottom w:val="single" w:color="000000" w:sz="4" w:space="0"/>
              <w:right w:val="single" w:color="000000" w:sz="4" w:space="0"/>
            </w:tcBorders>
            <w:tcW w:w="2601"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b w:val="0"/>
                <w:bCs w:val="0"/>
                <w:color w:val="auto"/>
                <w:sz w:val="21"/>
                <w:szCs w:val="21"/>
                <w:lang w:val="en-US" w:eastAsia="zh-CN"/>
              </w:rPr>
              <w:suppressLineNumbers w:val="0"/>
            </w:pPr>
            <w:r>
              <w:rPr>
                <w:rFonts w:hint="eastAsia" w:ascii="宋体" w:hAnsi="宋体" w:eastAsia="宋体" w:cs="宋体"/>
                <w:b w:val="0"/>
                <w:bCs w:val="0"/>
                <w:color w:val="auto"/>
                <w:sz w:val="21"/>
                <w:szCs w:val="21"/>
                <w:lang w:val="en-US" w:eastAsia="zh-CN"/>
              </w:rPr>
              <w:t xml:space="preserve">1、《砌筑水泥》GB/T 3183-2025；</w:t>
            </w:r>
            <w:r/>
          </w:p>
          <w:p>
            <w:pPr>
              <w:ind w:left="0" w:right="0"/>
              <w:keepLines w:val="0"/>
              <w:keepNext w:val="0"/>
              <w:spacing w:before="0" w:beforeAutospacing="0" w:after="0" w:afterAutospacing="0"/>
              <w:rPr>
                <w:rFonts w:hint="eastAsia" w:ascii="宋体" w:hAnsi="宋体" w:eastAsia="宋体" w:cs="宋体"/>
                <w:b w:val="0"/>
                <w:bCs w:val="0"/>
                <w:color w:val="auto"/>
                <w:sz w:val="21"/>
                <w:szCs w:val="21"/>
                <w:lang w:val="en-US" w:eastAsia="zh-CN"/>
              </w:rPr>
              <w:suppressLineNumbers w:val="0"/>
            </w:pPr>
            <w:r>
              <w:rPr>
                <w:rFonts w:hint="eastAsia" w:ascii="宋体" w:hAnsi="宋体" w:eastAsia="宋体" w:cs="宋体"/>
                <w:b w:val="0"/>
                <w:bCs w:val="0"/>
                <w:color w:val="auto"/>
                <w:sz w:val="21"/>
                <w:szCs w:val="21"/>
                <w:lang w:val="en-US" w:eastAsia="zh-CN"/>
              </w:rPr>
              <w:t xml:space="preserve">2、《通用硅酸盐水泥》GB 175-2023；</w:t>
            </w:r>
            <w:r/>
          </w:p>
          <w:p>
            <w:pPr>
              <w:ind w:left="0" w:right="0"/>
              <w:keepLines w:val="0"/>
              <w:keepNext w:val="0"/>
              <w:spacing w:before="0" w:beforeAutospacing="0" w:after="0" w:afterAutospacing="0"/>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color w:val="auto"/>
                <w:sz w:val="21"/>
                <w:szCs w:val="21"/>
                <w:lang w:val="en-US" w:eastAsia="zh-CN"/>
              </w:rPr>
              <w:t xml:space="preserve">3、《混凝土质量控制标准》GB 50164-2011。</w:t>
            </w:r>
            <w:r/>
          </w:p>
        </w:tc>
        <w:tc>
          <w:tcPr>
            <w:shd w:val="clear" w:color="auto" w:fill="auto"/>
            <w:tcBorders>
              <w:top w:val="single" w:color="000000" w:sz="4" w:space="0"/>
              <w:left w:val="single" w:color="000000" w:sz="4" w:space="0"/>
              <w:bottom w:val="single" w:color="000000" w:sz="4" w:space="0"/>
              <w:right w:val="single" w:color="000000" w:sz="4" w:space="0"/>
            </w:tcBorders>
            <w:tcW w:w="2862"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1、氯离子、三氧化硫、凝结时间、沸煮法安定性、抗压强度；</w:t>
            </w:r>
            <w:r/>
          </w:p>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2、三氧化硫、氯离子、凝结时间、氧化镁、不溶物、烧失量；</w:t>
            </w:r>
            <w:r/>
          </w:p>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3、坍落度、水溶性氯离子含量。</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cs="宋体"/>
                <w:b w:val="0"/>
                <w:bCs w:val="0"/>
                <w:i w:val="0"/>
                <w:iCs w:val="0"/>
                <w:color w:val="auto"/>
                <w:sz w:val="21"/>
                <w:szCs w:val="21"/>
                <w:u w:val="none"/>
                <w:lang w:val="en-US" w:eastAsia="zh-CN" w:bidi="ar"/>
              </w:rPr>
              <w:t xml:space="preserve">批次</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2</w:t>
            </w:r>
            <w:r/>
          </w:p>
        </w:tc>
      </w:tr>
      <w:tr>
        <w:trPr>
          <w:trHeight w:val="1328"/>
        </w:trPr>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Style w:val="1395"/>
                <w:rFonts w:hint="eastAsia" w:ascii="宋体" w:hAnsi="宋体" w:eastAsia="宋体" w:cs="宋体"/>
                <w:b w:val="0"/>
                <w:bCs w:val="0"/>
                <w:color w:val="auto"/>
                <w:sz w:val="21"/>
                <w:szCs w:val="21"/>
                <w:lang w:val="en-US" w:eastAsia="zh-CN" w:bidi="ar"/>
              </w:rPr>
              <w:t xml:space="preserve">电线电缆</w:t>
            </w:r>
            <w:r/>
          </w:p>
        </w:tc>
        <w:tc>
          <w:tcPr>
            <w:shd w:val="clear" w:color="auto" w:fill="auto"/>
            <w:tcBorders>
              <w:top w:val="single" w:color="000000" w:sz="4" w:space="0"/>
              <w:left w:val="single" w:color="000000" w:sz="4" w:space="0"/>
              <w:bottom w:val="single" w:color="000000" w:sz="4" w:space="0"/>
              <w:right w:val="single" w:color="000000" w:sz="4" w:space="0"/>
            </w:tcBorders>
            <w:tcW w:w="2601"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b w:val="0"/>
                <w:bCs w:val="0"/>
                <w:color w:val="auto"/>
                <w:sz w:val="21"/>
                <w:szCs w:val="21"/>
                <w:lang w:val="en-US" w:eastAsia="zh-CN"/>
              </w:rPr>
              <w:suppressLineNumbers w:val="0"/>
            </w:pPr>
            <w:r>
              <w:rPr>
                <w:rFonts w:hint="eastAsia" w:ascii="宋体" w:hAnsi="宋体" w:eastAsia="宋体" w:cs="宋体"/>
                <w:b w:val="0"/>
                <w:bCs w:val="0"/>
                <w:color w:val="auto"/>
                <w:sz w:val="21"/>
                <w:szCs w:val="21"/>
                <w:lang w:val="en-US" w:eastAsia="zh-CN"/>
              </w:rPr>
              <w:t xml:space="preserve">1、《额定电压450/750V及以下橡皮绝缘电缆 第4部分：软线和软电缆》GB/T 5013.4-2008；</w:t>
            </w:r>
            <w:r/>
          </w:p>
          <w:p>
            <w:pPr>
              <w:ind w:left="0" w:right="0"/>
              <w:keepLines w:val="0"/>
              <w:keepNext w:val="0"/>
              <w:spacing w:before="0" w:beforeAutospacing="0" w:after="0" w:afterAutospacing="0"/>
              <w:rPr>
                <w:rFonts w:hint="eastAsia" w:ascii="宋体" w:hAnsi="宋体" w:eastAsia="宋体" w:cs="宋体"/>
                <w:b w:val="0"/>
                <w:bCs w:val="0"/>
                <w:color w:val="auto"/>
                <w:sz w:val="21"/>
                <w:szCs w:val="21"/>
                <w:lang w:val="en-US" w:eastAsia="zh-CN"/>
              </w:rPr>
              <w:suppressLineNumbers w:val="0"/>
            </w:pPr>
            <w:r>
              <w:rPr>
                <w:rFonts w:hint="eastAsia" w:ascii="宋体" w:hAnsi="宋体" w:eastAsia="宋体" w:cs="宋体"/>
                <w:b w:val="0"/>
                <w:bCs w:val="0"/>
                <w:color w:val="auto"/>
                <w:sz w:val="21"/>
                <w:szCs w:val="21"/>
                <w:lang w:val="en-US" w:eastAsia="zh-CN"/>
              </w:rPr>
              <w:t xml:space="preserve">2、《额定电压450/750V及以下聚氯乙烯绝缘电缆 第3部分：固定布线用无护套电缆》GB/T 5023.3-2008；</w:t>
            </w:r>
            <w:r/>
          </w:p>
          <w:p>
            <w:pPr>
              <w:ind w:left="0" w:right="0"/>
              <w:keepLines w:val="0"/>
              <w:keepNext w:val="0"/>
              <w:spacing w:before="0" w:beforeAutospacing="0" w:after="0" w:afterAutospacing="0"/>
              <w:rPr>
                <w:rFonts w:hint="eastAsia" w:ascii="宋体" w:hAnsi="宋体" w:eastAsia="宋体" w:cs="宋体"/>
                <w:b w:val="0"/>
                <w:bCs w:val="0"/>
                <w:color w:val="auto"/>
                <w:sz w:val="21"/>
                <w:szCs w:val="21"/>
                <w:lang w:val="en-US" w:eastAsia="zh-CN"/>
              </w:rPr>
              <w:suppressLineNumbers w:val="0"/>
            </w:pPr>
            <w:r>
              <w:rPr>
                <w:rFonts w:hint="eastAsia" w:ascii="宋体" w:hAnsi="宋体" w:eastAsia="宋体" w:cs="宋体"/>
                <w:b w:val="0"/>
                <w:bCs w:val="0"/>
                <w:color w:val="auto"/>
                <w:sz w:val="21"/>
                <w:szCs w:val="21"/>
                <w:lang w:val="en-US" w:eastAsia="zh-CN"/>
              </w:rPr>
              <w:t xml:space="preserve">3、《额定电压450/750V及以下聚氯乙烯绝缘电缆 第5部分：软电缆(软线)》GB/T 5023.5-2008；</w:t>
            </w:r>
            <w:r/>
          </w:p>
          <w:p>
            <w:pPr>
              <w:ind w:left="0" w:right="0"/>
              <w:keepLines w:val="0"/>
              <w:keepNext w:val="0"/>
              <w:spacing w:before="0" w:beforeAutospacing="0" w:after="0" w:afterAutospacing="0"/>
              <w:rPr>
                <w:rFonts w:hint="eastAsia" w:ascii="宋体" w:hAnsi="宋体" w:eastAsia="宋体" w:cs="宋体"/>
                <w:b w:val="0"/>
                <w:bCs w:val="0"/>
                <w:color w:val="auto"/>
                <w:sz w:val="21"/>
                <w:szCs w:val="21"/>
                <w:lang w:val="en-US" w:eastAsia="zh-CN"/>
              </w:rPr>
              <w:suppressLineNumbers w:val="0"/>
            </w:pPr>
            <w:r>
              <w:rPr>
                <w:rFonts w:hint="eastAsia" w:ascii="宋体" w:hAnsi="宋体" w:eastAsia="宋体" w:cs="宋体"/>
                <w:b w:val="0"/>
                <w:bCs w:val="0"/>
                <w:color w:val="auto"/>
                <w:sz w:val="21"/>
                <w:szCs w:val="21"/>
                <w:lang w:val="en-US" w:eastAsia="zh-CN"/>
              </w:rPr>
              <w:t xml:space="preserve">4、《额定电压450/750V及以下聚氯乙烯绝缘电缆电线和软线 第2部分：固定布线用电缆电线》JB/T 8734.2-2016；</w:t>
            </w:r>
            <w:r/>
          </w:p>
          <w:p>
            <w:pPr>
              <w:ind w:left="0" w:right="0"/>
              <w:keepLines w:val="0"/>
              <w:keepNext w:val="0"/>
              <w:spacing w:before="0" w:beforeAutospacing="0" w:after="0" w:afterAutospacing="0"/>
              <w:rPr>
                <w:rFonts w:hint="eastAsia" w:ascii="宋体" w:hAnsi="宋体" w:eastAsia="宋体" w:cs="宋体"/>
                <w:b w:val="0"/>
                <w:bCs w:val="0"/>
                <w:color w:val="auto"/>
                <w:sz w:val="21"/>
                <w:szCs w:val="21"/>
                <w:lang w:val="en-US" w:eastAsia="zh-CN"/>
              </w:rPr>
              <w:suppressLineNumbers w:val="0"/>
            </w:pPr>
            <w:r>
              <w:rPr>
                <w:rFonts w:hint="eastAsia" w:ascii="宋体" w:hAnsi="宋体" w:eastAsia="宋体" w:cs="宋体"/>
                <w:b w:val="0"/>
                <w:bCs w:val="0"/>
                <w:color w:val="auto"/>
                <w:sz w:val="21"/>
                <w:szCs w:val="21"/>
                <w:lang w:val="en-US" w:eastAsia="zh-CN"/>
              </w:rPr>
              <w:t xml:space="preserve">5、《额定电压450/750V及以下聚氯乙烯绝缘电缆电线和软线 第3部分：连接用软电线和软电缆》JB/T 8734.3-2016；</w:t>
            </w:r>
            <w:r/>
          </w:p>
          <w:p>
            <w:pPr>
              <w:ind w:left="0" w:right="0"/>
              <w:keepLines w:val="0"/>
              <w:keepNext w:val="0"/>
              <w:spacing w:before="0" w:beforeAutospacing="0" w:after="0" w:afterAutospacing="0"/>
              <w:rPr>
                <w:rFonts w:hint="eastAsia" w:ascii="宋体" w:hAnsi="宋体" w:eastAsia="宋体" w:cs="宋体"/>
                <w:b w:val="0"/>
                <w:bCs w:val="0"/>
                <w:color w:val="auto"/>
                <w:sz w:val="21"/>
                <w:szCs w:val="21"/>
                <w:lang w:val="en-US" w:eastAsia="zh-CN"/>
              </w:rPr>
              <w:suppressLineNumbers w:val="0"/>
            </w:pPr>
            <w:r>
              <w:rPr>
                <w:rFonts w:hint="eastAsia" w:ascii="宋体" w:hAnsi="宋体" w:eastAsia="宋体" w:cs="宋体"/>
                <w:b w:val="0"/>
                <w:bCs w:val="0"/>
                <w:color w:val="auto"/>
                <w:sz w:val="21"/>
                <w:szCs w:val="21"/>
                <w:lang w:val="en-US" w:eastAsia="zh-CN"/>
              </w:rPr>
              <w:t xml:space="preserve">6、《额定电压450/750V及以下聚氯乙烯绝缘电缆电线和软线 第4部分：安装用电线》JB/T 8734.4-2016；</w:t>
            </w:r>
            <w:r/>
          </w:p>
          <w:p>
            <w:pPr>
              <w:ind w:left="0" w:right="0"/>
              <w:keepLines w:val="0"/>
              <w:keepNext w:val="0"/>
              <w:spacing w:before="0" w:beforeAutospacing="0" w:after="0" w:afterAutospacing="0"/>
              <w:rPr>
                <w:rFonts w:hint="eastAsia" w:ascii="宋体" w:hAnsi="宋体" w:eastAsia="宋体" w:cs="宋体"/>
                <w:b w:val="0"/>
                <w:bCs w:val="0"/>
                <w:color w:val="auto"/>
                <w:sz w:val="21"/>
                <w:szCs w:val="21"/>
                <w:lang w:val="en-US" w:eastAsia="zh-CN"/>
              </w:rPr>
              <w:suppressLineNumbers w:val="0"/>
            </w:pPr>
            <w:r>
              <w:rPr>
                <w:rFonts w:hint="eastAsia" w:ascii="宋体" w:hAnsi="宋体" w:eastAsia="宋体" w:cs="宋体"/>
                <w:b w:val="0"/>
                <w:bCs w:val="0"/>
                <w:color w:val="auto"/>
                <w:sz w:val="21"/>
                <w:szCs w:val="21"/>
                <w:lang w:val="en-US" w:eastAsia="zh-CN"/>
              </w:rPr>
              <w:t xml:space="preserve">7、《额定电压450/750V及以下聚氯乙烯绝缘电缆电线和软线 第5部分：屏蔽电线》JB/T 8734.5-2016；</w:t>
            </w:r>
            <w:r/>
          </w:p>
          <w:p>
            <w:pPr>
              <w:ind w:left="0" w:right="0"/>
              <w:keepLines w:val="0"/>
              <w:keepNext w:val="0"/>
              <w:spacing w:before="0" w:beforeAutospacing="0" w:after="0" w:afterAutospacing="0"/>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color w:val="auto"/>
                <w:sz w:val="21"/>
                <w:szCs w:val="21"/>
                <w:lang w:val="en-US" w:eastAsia="zh-CN"/>
              </w:rPr>
              <w:t xml:space="preserve">8、《额定电压450/750V及以下橡皮绝缘软线和软电缆 第2部分：通用橡套软电缆》JB/T 8735.2-2016。</w:t>
            </w:r>
            <w:r/>
          </w:p>
        </w:tc>
        <w:tc>
          <w:tcPr>
            <w:shd w:val="clear" w:color="auto" w:fill="auto"/>
            <w:tcBorders>
              <w:top w:val="single" w:color="000000" w:sz="4" w:space="0"/>
              <w:left w:val="single" w:color="000000" w:sz="4" w:space="0"/>
              <w:bottom w:val="single" w:color="000000" w:sz="4" w:space="0"/>
              <w:right w:val="single" w:color="000000" w:sz="4" w:space="0"/>
            </w:tcBorders>
            <w:tcW w:w="2862"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导体电阻、成品电缆电压试验、绝缘平均厚度、绝缘最薄点厚度、护套厚度、护套最薄点厚度、外径或外形尺寸、老化前绝缘抗张强度、 老化前绝缘断裂伸长率、老化前护套抗张强度、老化前护套断裂伸长率、标志。</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cs="宋体"/>
                <w:b w:val="0"/>
                <w:bCs w:val="0"/>
                <w:i w:val="0"/>
                <w:iCs w:val="0"/>
                <w:color w:val="auto"/>
                <w:sz w:val="21"/>
                <w:szCs w:val="21"/>
                <w:u w:val="none"/>
                <w:lang w:val="en-US" w:eastAsia="zh-CN" w:bidi="ar"/>
              </w:rPr>
              <w:t xml:space="preserve">批次</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5</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高标准农田相关产品（给水用聚乙烯管材、加筋聚乙烯管材、钢筋混凝土排水管）</w:t>
            </w:r>
            <w:r/>
          </w:p>
        </w:tc>
        <w:tc>
          <w:tcPr>
            <w:shd w:val="clear" w:color="auto" w:fill="auto"/>
            <w:tcBorders>
              <w:top w:val="single" w:color="000000" w:sz="4" w:space="0"/>
              <w:left w:val="single" w:color="000000" w:sz="4" w:space="0"/>
              <w:bottom w:val="single" w:color="000000" w:sz="4" w:space="0"/>
              <w:right w:val="single" w:color="000000" w:sz="4" w:space="0"/>
            </w:tcBorders>
            <w:tcW w:w="2601"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b w:val="0"/>
                <w:bCs w:val="0"/>
                <w:color w:val="auto"/>
                <w:sz w:val="21"/>
                <w:szCs w:val="21"/>
                <w:lang w:val="en-US" w:eastAsia="zh-CN"/>
              </w:rPr>
              <w:suppressLineNumbers w:val="0"/>
            </w:pPr>
            <w:r>
              <w:rPr>
                <w:rFonts w:hint="eastAsia" w:ascii="宋体" w:hAnsi="宋体" w:eastAsia="宋体" w:cs="宋体"/>
                <w:b w:val="0"/>
                <w:bCs w:val="0"/>
                <w:color w:val="auto"/>
                <w:sz w:val="21"/>
                <w:szCs w:val="21"/>
                <w:lang w:val="en-US" w:eastAsia="zh-CN"/>
              </w:rPr>
              <w:t xml:space="preserve">1、《给水用聚乙烯（PE）管道系统 第2部分：管材》GB/T 13663.2-2018；</w:t>
            </w:r>
            <w:r/>
          </w:p>
          <w:p>
            <w:pPr>
              <w:ind w:left="0" w:right="0"/>
              <w:keepLines w:val="0"/>
              <w:keepNext w:val="0"/>
              <w:spacing w:before="0" w:beforeAutospacing="0" w:after="0" w:afterAutospacing="0"/>
              <w:rPr>
                <w:rFonts w:hint="eastAsia" w:ascii="宋体" w:hAnsi="宋体" w:eastAsia="宋体" w:cs="宋体"/>
                <w:b w:val="0"/>
                <w:bCs w:val="0"/>
                <w:color w:val="auto"/>
                <w:sz w:val="21"/>
                <w:szCs w:val="21"/>
                <w:lang w:val="en-US" w:eastAsia="zh-CN"/>
              </w:rPr>
              <w:suppressLineNumbers w:val="0"/>
            </w:pPr>
            <w:r>
              <w:rPr>
                <w:rFonts w:hint="eastAsia" w:ascii="宋体" w:hAnsi="宋体" w:eastAsia="宋体" w:cs="宋体"/>
                <w:b w:val="0"/>
                <w:bCs w:val="0"/>
                <w:color w:val="auto"/>
                <w:sz w:val="21"/>
                <w:szCs w:val="21"/>
                <w:lang w:val="en-US" w:eastAsia="zh-CN"/>
              </w:rPr>
              <w:t xml:space="preserve">2、《混凝土和钢筋混凝土排水管》GB/T 11836-2023。</w:t>
            </w:r>
            <w:r/>
          </w:p>
          <w:p>
            <w:pPr>
              <w:ind w:left="0" w:right="0"/>
              <w:jc w:val="left"/>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62"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1、给水用聚乙烯管材：平均外径、壁厚、氧化诱导时间、断裂伸长率、静液压强度；</w:t>
            </w:r>
            <w:r/>
          </w:p>
          <w:p>
            <w:pPr>
              <w:ind w:left="0" w:right="0"/>
              <w:jc w:val="left"/>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2、混凝土和钢筋混凝土排水管：外观质量、尺寸允许偏差、外压荷载。</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cs="宋体"/>
                <w:b w:val="0"/>
                <w:bCs w:val="0"/>
                <w:i w:val="0"/>
                <w:iCs w:val="0"/>
                <w:color w:val="auto"/>
                <w:sz w:val="21"/>
                <w:szCs w:val="21"/>
                <w:u w:val="none"/>
                <w:lang w:val="en-US" w:eastAsia="zh-CN" w:bidi="ar"/>
              </w:rPr>
              <w:t xml:space="preserve">批次</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b w:val="0"/>
                <w:bCs w:val="0"/>
                <w:i w:val="0"/>
                <w:iCs w:val="0"/>
                <w:color w:val="auto"/>
                <w:sz w:val="21"/>
                <w:szCs w:val="21"/>
                <w:u w:val="none"/>
                <w:lang w:val="en-US" w:eastAsia="zh-CN" w:bidi="ar"/>
              </w:rPr>
              <w:suppressLineNumbers w:val="0"/>
            </w:pPr>
            <w:r>
              <w:rPr>
                <w:rFonts w:hint="eastAsia" w:ascii="宋体" w:hAnsi="宋体" w:cs="宋体"/>
                <w:b w:val="0"/>
                <w:bCs w:val="0"/>
                <w:i w:val="0"/>
                <w:iCs w:val="0"/>
                <w:color w:val="auto"/>
                <w:sz w:val="21"/>
                <w:szCs w:val="21"/>
                <w:u w:val="none"/>
                <w:lang w:val="en-US" w:eastAsia="zh-CN" w:bidi="ar"/>
              </w:rPr>
              <w:t xml:space="preserve">5</w:t>
            </w:r>
            <w:r/>
          </w:p>
        </w:tc>
      </w:tr>
    </w:tbl>
    <w:p>
      <w:pPr>
        <w:ind w:firstLine="482"/>
        <w:keepLines w:val="0"/>
        <w:keepNext w:val="0"/>
        <w:pageBreakBefore w:val="0"/>
        <w:spacing w:line="360" w:lineRule="auto"/>
        <w:widowControl w:val="off"/>
        <w:rPr>
          <w:rFonts w:hint="eastAsia" w:ascii="宋体" w:hAnsi="宋体" w:eastAsia="宋体" w:cs="宋体"/>
          <w:b/>
          <w:color w:val="auto"/>
          <w:lang w:val="en-US" w:eastAsia="zh-CN" w:bidi="ar-SA"/>
        </w:rPr>
        <w:outlineLvl w:val="9"/>
      </w:pPr>
      <w:r>
        <w:rPr>
          <w:rFonts w:hint="eastAsia" w:ascii="宋体" w:hAnsi="宋体" w:eastAsia="宋体" w:cs="宋体"/>
          <w:b/>
          <w:color w:val="auto"/>
          <w:sz w:val="24"/>
          <w:szCs w:val="24"/>
          <w:lang w:val="en-US" w:eastAsia="zh-CN" w:bidi="ar-SA"/>
        </w:rPr>
        <w:t xml:space="preserve">（四）分包四</w:t>
      </w:r>
      <w:r>
        <w:rPr>
          <w:rFonts w:hint="eastAsia" w:ascii="宋体" w:hAnsi="宋体" w:cs="宋体"/>
          <w:b/>
          <w:color w:val="auto"/>
          <w:sz w:val="24"/>
          <w:szCs w:val="24"/>
          <w:lang w:val="en-US" w:eastAsia="zh-CN" w:bidi="ar-SA"/>
        </w:rPr>
        <w:t xml:space="preserve">：</w:t>
      </w:r>
      <w:r>
        <w:rPr>
          <w:rFonts w:hint="eastAsia" w:ascii="宋体" w:hAnsi="宋体" w:eastAsia="宋体" w:cs="宋体"/>
          <w:b w:val="0"/>
          <w:bCs w:val="0"/>
          <w:color w:val="auto"/>
          <w:sz w:val="24"/>
          <w:szCs w:val="24"/>
          <w:lang w:val="en-US" w:eastAsia="zh-CN" w:bidi="ar-SA"/>
        </w:rPr>
        <w:t xml:space="preserve">木家具、婴幼儿及儿童家具等家具类产品抽样检验和技术分析服务，计划抽查40批次。</w:t>
      </w:r>
      <w:r/>
    </w:p>
    <w:tbl>
      <w:tblPr>
        <w:tblStyle w:val="678"/>
        <w:tblW w:w="9476" w:type="dxa"/>
        <w:tblInd w:w="-27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77"/>
        <w:gridCol w:w="785"/>
        <w:gridCol w:w="965"/>
        <w:gridCol w:w="2598"/>
        <w:gridCol w:w="2875"/>
        <w:gridCol w:w="788"/>
        <w:gridCol w:w="788"/>
      </w:tblGrid>
      <w:tr>
        <w:trPr>
          <w:trHeight w:val="348"/>
        </w:trPr>
        <w:tc>
          <w:tcPr>
            <w:shd w:val="clear" w:color="auto" w:fill="c7daf1" w:themeFill="text2" w:themeFillTint="32"/>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Style w:val="1031"/>
                <w:rFonts w:hint="eastAsia" w:ascii="宋体" w:hAnsi="宋体" w:eastAsia="宋体" w:cs="宋体"/>
                <w:b w:val="0"/>
                <w:bCs w:val="0"/>
                <w:color w:val="auto"/>
                <w:sz w:val="21"/>
                <w:szCs w:val="21"/>
                <w:lang w:val="en-US" w:eastAsia="zh-CN" w:bidi="ar"/>
              </w:rPr>
              <w:t xml:space="preserve">序号</w:t>
            </w:r>
            <w:r/>
          </w:p>
        </w:tc>
        <w:tc>
          <w:tcPr>
            <w:shd w:val="clear" w:color="auto" w:fill="c7daf1" w:themeFill="text2" w:themeFillTint="32"/>
            <w:tcBorders>
              <w:top w:val="single" w:color="000000" w:sz="4" w:space="0"/>
              <w:left w:val="single" w:color="000000" w:sz="4" w:space="0"/>
              <w:bottom w:val="single" w:color="000000" w:sz="4" w:space="0"/>
              <w:right w:val="single" w:color="auto" w:sz="4" w:space="0"/>
            </w:tcBorders>
            <w:tcW w:w="7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rPr>
              <w:suppressLineNumbers w:val="0"/>
            </w:pPr>
            <w:r>
              <w:rPr>
                <w:rFonts w:hint="eastAsia" w:ascii="宋体" w:hAnsi="宋体" w:eastAsia="宋体" w:cs="宋体"/>
                <w:b w:val="0"/>
                <w:bCs w:val="0"/>
                <w:i w:val="0"/>
                <w:iCs w:val="0"/>
                <w:color w:val="auto"/>
                <w:sz w:val="21"/>
                <w:szCs w:val="21"/>
                <w:u w:val="none"/>
                <w:lang w:val="en-US" w:eastAsia="zh-CN"/>
              </w:rPr>
              <w:t xml:space="preserve">类别</w:t>
            </w:r>
            <w:r/>
          </w:p>
        </w:tc>
        <w:tc>
          <w:tcPr>
            <w:shd w:val="clear" w:color="auto" w:fill="c7daf1" w:themeFill="text2" w:themeFillTint="32"/>
            <w:tcBorders>
              <w:top w:val="single" w:color="000000" w:sz="4" w:space="0"/>
              <w:left w:val="single" w:color="auto" w:sz="4" w:space="0"/>
              <w:bottom w:val="single" w:color="000000" w:sz="4" w:space="0"/>
              <w:right w:val="single" w:color="000000" w:sz="4" w:space="0"/>
            </w:tcBorders>
            <w:tcW w:w="965" w:type="dxa"/>
            <w:vAlign w:val="center"/>
            <w:textDirection w:val="lrTb"/>
            <w:noWrap w:val="false"/>
          </w:tcPr>
          <w:p>
            <w:pPr>
              <w:ind w:left="0" w:right="0"/>
              <w:jc w:val="center"/>
              <w:keepLines w:val="0"/>
              <w:keepNext w:val="0"/>
              <w:spacing w:before="0" w:beforeAutospacing="0" w:after="0" w:afterAutospacing="0"/>
              <w:widowControl/>
              <w:rPr>
                <w:rStyle w:val="1031"/>
                <w:rFonts w:hint="eastAsia" w:ascii="宋体" w:hAnsi="宋体" w:eastAsia="宋体" w:cs="宋体"/>
                <w:b w:val="0"/>
                <w:bCs w:val="0"/>
                <w:color w:val="auto"/>
                <w:sz w:val="21"/>
                <w:szCs w:val="21"/>
                <w:lang w:val="en-US" w:eastAsia="zh-CN" w:bidi="ar"/>
              </w:rPr>
              <w:suppressLineNumbers w:val="0"/>
            </w:pPr>
            <w:r>
              <w:rPr>
                <w:rStyle w:val="1031"/>
                <w:rFonts w:hint="eastAsia" w:ascii="宋体" w:hAnsi="宋体" w:eastAsia="宋体" w:cs="宋体"/>
                <w:b w:val="0"/>
                <w:bCs w:val="0"/>
                <w:color w:val="auto"/>
                <w:sz w:val="21"/>
                <w:szCs w:val="21"/>
                <w:lang w:val="en-US" w:eastAsia="zh-CN" w:bidi="ar"/>
              </w:rPr>
              <w:t xml:space="preserve"> 名称</w:t>
            </w:r>
            <w:r/>
          </w:p>
        </w:tc>
        <w:tc>
          <w:tcPr>
            <w:shd w:val="clear" w:color="auto" w:fill="c7daf1" w:themeFill="text2" w:themeFillTint="32"/>
            <w:tcBorders>
              <w:top w:val="single" w:color="000000" w:sz="4" w:space="0"/>
              <w:left w:val="single" w:color="000000" w:sz="4" w:space="0"/>
              <w:bottom w:val="single" w:color="000000" w:sz="4" w:space="0"/>
              <w:right w:val="single" w:color="000000" w:sz="4" w:space="0"/>
            </w:tcBorders>
            <w:tcW w:w="25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产品检测标准</w:t>
            </w:r>
            <w:r/>
          </w:p>
        </w:tc>
        <w:tc>
          <w:tcPr>
            <w:shd w:val="clear" w:color="auto" w:fill="c7daf1" w:themeFill="text2" w:themeFillTint="32"/>
            <w:tcBorders>
              <w:top w:val="single" w:color="000000" w:sz="4" w:space="0"/>
              <w:left w:val="single" w:color="000000" w:sz="4" w:space="0"/>
              <w:bottom w:val="single" w:color="000000" w:sz="4" w:space="0"/>
              <w:right w:val="single" w:color="000000" w:sz="4" w:space="0"/>
            </w:tcBorders>
            <w:tcW w:w="28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产品检测项目</w:t>
            </w:r>
            <w:r/>
          </w:p>
        </w:tc>
        <w:tc>
          <w:tcPr>
            <w:shd w:val="clear" w:color="auto" w:fill="c7daf1" w:themeFill="text2" w:themeFillTint="32"/>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Style w:val="1031"/>
                <w:rFonts w:hint="eastAsia" w:ascii="宋体" w:hAnsi="宋体" w:cs="宋体"/>
                <w:b w:val="0"/>
                <w:bCs w:val="0"/>
                <w:color w:val="auto"/>
                <w:sz w:val="21"/>
                <w:szCs w:val="21"/>
                <w:lang w:val="en-US" w:eastAsia="zh-CN" w:bidi="ar"/>
              </w:rPr>
              <w:t xml:space="preserve">单位</w:t>
            </w:r>
            <w:r/>
          </w:p>
        </w:tc>
        <w:tc>
          <w:tcPr>
            <w:shd w:val="clear" w:color="auto" w:fill="c7daf1" w:themeFill="text2" w:themeFillTint="32"/>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ind w:left="0" w:right="0"/>
              <w:jc w:val="center"/>
              <w:keepLines w:val="0"/>
              <w:keepNext w:val="0"/>
              <w:spacing w:before="0" w:beforeAutospacing="0" w:after="0" w:afterAutospacing="0"/>
              <w:widowControl/>
              <w:rPr>
                <w:rStyle w:val="1031"/>
                <w:rFonts w:hint="default" w:ascii="宋体" w:hAnsi="宋体" w:eastAsia="宋体" w:cs="宋体"/>
                <w:b w:val="0"/>
                <w:bCs w:val="0"/>
                <w:color w:val="auto"/>
                <w:sz w:val="21"/>
                <w:szCs w:val="21"/>
                <w:lang w:val="en-US" w:eastAsia="zh-CN" w:bidi="ar"/>
              </w:rPr>
              <w:suppressLineNumbers w:val="0"/>
            </w:pPr>
            <w:r>
              <w:rPr>
                <w:rStyle w:val="1031"/>
                <w:rFonts w:hint="eastAsia" w:ascii="宋体" w:hAnsi="宋体" w:cs="宋体"/>
                <w:b w:val="0"/>
                <w:bCs w:val="0"/>
                <w:color w:val="auto"/>
                <w:sz w:val="21"/>
                <w:szCs w:val="21"/>
                <w:lang w:val="en-US" w:eastAsia="zh-CN" w:bidi="ar"/>
              </w:rPr>
              <w:t xml:space="preserve">数量</w:t>
            </w:r>
            <w:r/>
          </w:p>
        </w:tc>
      </w:tr>
      <w:tr>
        <w:trPr>
          <w:trHeight w:val="1440"/>
        </w:trPr>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right w:val="single" w:color="auto" w:sz="4" w:space="0"/>
            </w:tcBorders>
            <w:tcW w:w="785"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rPr>
              <w:suppressLineNumbers w:val="0"/>
            </w:pPr>
            <w:r>
              <w:rPr>
                <w:rFonts w:hint="eastAsia" w:ascii="宋体" w:hAnsi="宋体" w:eastAsia="宋体" w:cs="宋体"/>
                <w:b w:val="0"/>
                <w:bCs w:val="0"/>
                <w:i w:val="0"/>
                <w:iCs w:val="0"/>
                <w:color w:val="auto"/>
                <w:sz w:val="21"/>
                <w:szCs w:val="21"/>
                <w:u w:val="none"/>
                <w:lang w:val="en-US" w:eastAsia="zh-CN"/>
              </w:rPr>
              <w:t xml:space="preserve">家具</w:t>
            </w:r>
            <w:r/>
          </w:p>
        </w:tc>
        <w:tc>
          <w:tcPr>
            <w:shd w:val="clear" w:color="auto" w:fill="auto"/>
            <w:tcBorders>
              <w:top w:val="single" w:color="000000" w:sz="4" w:space="0"/>
              <w:left w:val="single" w:color="auto" w:sz="4" w:space="0"/>
              <w:bottom w:val="single" w:color="000000" w:sz="4" w:space="0"/>
              <w:right w:val="single" w:color="000000" w:sz="4" w:space="0"/>
            </w:tcBorders>
            <w:tcW w:w="96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婴幼儿及儿童家具</w:t>
            </w:r>
            <w:r/>
          </w:p>
        </w:tc>
        <w:tc>
          <w:tcPr>
            <w:shd w:val="clear" w:color="auto" w:fill="auto"/>
            <w:tcBorders>
              <w:top w:val="single" w:color="000000" w:sz="4" w:space="0"/>
              <w:left w:val="single" w:color="000000" w:sz="4" w:space="0"/>
              <w:bottom w:val="single" w:color="000000" w:sz="4" w:space="0"/>
              <w:right w:val="single" w:color="000000" w:sz="4" w:space="0"/>
            </w:tcBorders>
            <w:tcW w:w="259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b w:val="0"/>
                <w:bCs w:val="0"/>
                <w:color w:val="auto"/>
                <w:lang w:val="en-US" w:eastAsia="zh-CN"/>
              </w:rPr>
              <w:suppressLineNumbers w:val="0"/>
            </w:pPr>
            <w:r>
              <w:rPr>
                <w:rFonts w:hint="eastAsia" w:ascii="宋体" w:hAnsi="宋体" w:eastAsia="宋体" w:cs="宋体"/>
                <w:b w:val="0"/>
                <w:bCs w:val="0"/>
                <w:color w:val="auto"/>
                <w:lang w:val="en-US" w:eastAsia="zh-CN"/>
              </w:rPr>
              <w:t xml:space="preserve">1、《婴幼儿及儿童家具安全技术规范》GB 28007-2024；</w:t>
            </w:r>
            <w:r/>
          </w:p>
          <w:p>
            <w:pPr>
              <w:ind w:left="0" w:right="0"/>
              <w:jc w:val="left"/>
              <w:keepLines w:val="0"/>
              <w:keepNext w:val="0"/>
              <w:spacing w:before="0" w:beforeAutospacing="0" w:after="0" w:afterAutospacing="0"/>
              <w:rPr>
                <w:rFonts w:hint="eastAsia" w:ascii="宋体" w:hAnsi="宋体" w:eastAsia="宋体" w:cs="宋体"/>
                <w:b w:val="0"/>
                <w:bCs w:val="0"/>
                <w:color w:val="auto"/>
                <w:lang w:val="en-US" w:eastAsia="zh-CN"/>
              </w:rPr>
              <w:suppressLineNumbers w:val="0"/>
            </w:pPr>
            <w:r>
              <w:rPr>
                <w:rFonts w:hint="eastAsia" w:ascii="宋体" w:hAnsi="宋体" w:eastAsia="宋体" w:cs="宋体"/>
                <w:b w:val="0"/>
                <w:bCs w:val="0"/>
                <w:color w:val="auto"/>
                <w:lang w:val="en-US" w:eastAsia="zh-CN"/>
              </w:rPr>
              <w:t xml:space="preserve">2、《家具中有害物质限量》GB 18584-2024；</w:t>
            </w:r>
            <w:r/>
          </w:p>
          <w:p>
            <w:pPr>
              <w:ind w:left="0" w:right="0"/>
              <w:jc w:val="left"/>
              <w:keepLines w:val="0"/>
              <w:keepNext w:val="0"/>
              <w:spacing w:before="0" w:beforeAutospacing="0" w:after="0" w:afterAutospacing="0"/>
              <w:rPr>
                <w:rFonts w:hint="eastAsia" w:ascii="宋体" w:hAnsi="宋体" w:eastAsia="宋体" w:cs="宋体"/>
                <w:b w:val="0"/>
                <w:bCs w:val="0"/>
                <w:color w:val="auto"/>
                <w:lang w:val="en-US" w:eastAsia="zh-CN"/>
              </w:rPr>
              <w:suppressLineNumbers w:val="0"/>
            </w:pPr>
            <w:r>
              <w:rPr>
                <w:rFonts w:hint="eastAsia" w:ascii="宋体" w:hAnsi="宋体" w:eastAsia="宋体" w:cs="宋体"/>
                <w:b w:val="0"/>
                <w:bCs w:val="0"/>
                <w:color w:val="auto"/>
                <w:lang w:val="en-US" w:eastAsia="zh-CN"/>
              </w:rPr>
              <w:t xml:space="preserve">3、《家具阻燃性能安全技术规范》GB 17927-2024。</w:t>
            </w:r>
            <w:r/>
          </w:p>
          <w:p>
            <w:pPr>
              <w:ind w:left="0" w:right="0"/>
              <w:jc w:val="left"/>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75"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b w:val="0"/>
                <w:bCs w:val="0"/>
                <w:color w:val="auto"/>
                <w:lang w:val="en-US" w:eastAsia="zh-CN"/>
              </w:rPr>
              <w:suppressLineNumbers w:val="0"/>
            </w:pPr>
            <w:r>
              <w:rPr>
                <w:rFonts w:hint="eastAsia" w:ascii="宋体" w:hAnsi="宋体" w:eastAsia="宋体" w:cs="宋体"/>
                <w:b w:val="0"/>
                <w:bCs w:val="0"/>
                <w:color w:val="auto"/>
                <w:lang w:val="en-US" w:eastAsia="zh-CN"/>
              </w:rPr>
              <w:t xml:space="preserve">通用安全要求（材料、结构、阻燃性能、有害物质限量、警示标识），特定产品安全要求（儿童高椅、双层床、童床和折叠小床、婴儿床、软体家具等产品）。</w:t>
            </w:r>
            <w:r/>
          </w:p>
          <w:p>
            <w:pPr>
              <w:ind w:left="0" w:right="0"/>
              <w:jc w:val="left"/>
              <w:keepLines w:val="0"/>
              <w:keepNext w:val="0"/>
              <w:spacing w:before="0" w:beforeAutospacing="0" w:after="0" w:afterAutospacing="0"/>
              <w:rPr>
                <w:rFonts w:hint="eastAsia" w:ascii="宋体" w:hAnsi="宋体" w:eastAsia="宋体" w:cs="宋体"/>
                <w:b w:val="0"/>
                <w:bCs w:val="0"/>
                <w:color w:val="auto"/>
                <w:lang w:val="en-US" w:eastAsia="zh-CN"/>
              </w:rPr>
              <w:suppressLineNumbers w:val="0"/>
            </w:pPr>
            <w:r>
              <w:rPr>
                <w:rFonts w:hint="eastAsia" w:ascii="宋体" w:hAnsi="宋体" w:eastAsia="宋体" w:cs="宋体"/>
                <w:b w:val="0"/>
                <w:bCs w:val="0"/>
                <w:color w:val="auto"/>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b w:val="0"/>
                <w:bCs w:val="0"/>
                <w:color w:val="auto"/>
                <w:lang w:val="en-US" w:eastAsia="zh-CN"/>
              </w:rPr>
              <w:suppressLineNumbers w:val="0"/>
            </w:pPr>
            <w:r>
              <w:rPr>
                <w:rFonts w:hint="eastAsia" w:ascii="宋体" w:hAnsi="宋体" w:eastAsia="宋体" w:cs="宋体"/>
                <w:b w:val="0"/>
                <w:bCs w:val="0"/>
                <w:color w:val="auto"/>
                <w:lang w:val="en-US" w:eastAsia="zh-CN"/>
              </w:rPr>
              <w:t xml:space="preserve">批次</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b w:val="0"/>
                <w:bCs w:val="0"/>
                <w:color w:val="auto"/>
                <w:lang w:val="en-US" w:eastAsia="zh-CN"/>
              </w:rPr>
              <w:suppressLineNumbers w:val="0"/>
            </w:pPr>
            <w:r>
              <w:rPr>
                <w:rFonts w:hint="eastAsia" w:ascii="宋体" w:hAnsi="宋体" w:eastAsia="宋体" w:cs="宋体"/>
                <w:b w:val="0"/>
                <w:bCs w:val="0"/>
                <w:color w:val="auto"/>
                <w:lang w:val="en-US" w:eastAsia="zh-CN"/>
              </w:rPr>
              <w:t xml:space="preserve">20</w:t>
            </w:r>
            <w:r/>
          </w:p>
          <w:p>
            <w:pPr>
              <w:ind w:left="0" w:right="0"/>
              <w:jc w:val="left"/>
              <w:keepLines w:val="0"/>
              <w:keepNext w:val="0"/>
              <w:spacing w:before="0" w:beforeAutospacing="0" w:after="0" w:afterAutospacing="0"/>
              <w:rPr>
                <w:rFonts w:hint="eastAsia" w:ascii="宋体" w:hAnsi="宋体" w:eastAsia="宋体" w:cs="宋体"/>
                <w:b w:val="0"/>
                <w:bCs w:val="0"/>
                <w:color w:val="auto"/>
                <w:lang w:val="en-US" w:eastAsia="zh-CN"/>
              </w:rPr>
              <w:suppressLineNumbers w:val="0"/>
            </w:pPr>
            <w:r>
              <w:rPr>
                <w:rFonts w:hint="eastAsia" w:ascii="宋体" w:hAnsi="宋体" w:eastAsia="宋体" w:cs="宋体"/>
                <w:b w:val="0"/>
                <w:bCs w:val="0"/>
                <w:color w:val="auto"/>
                <w:lang w:val="en-US" w:eastAsia="zh-CN"/>
              </w:rPr>
              <w:t xml:space="preserve">（线上线下各10个）</w:t>
            </w:r>
            <w:r/>
          </w:p>
        </w:tc>
      </w:tr>
      <w:tr>
        <w:trPr>
          <w:trHeight w:val="1653"/>
        </w:trPr>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rPr>
            </w:r>
            <w:r/>
          </w:p>
        </w:tc>
        <w:tc>
          <w:tcPr>
            <w:shd w:val="clear" w:color="auto" w:fill="auto"/>
            <w:tcBorders>
              <w:left w:val="single" w:color="000000" w:sz="4" w:space="0"/>
              <w:bottom w:val="single" w:color="000000" w:sz="4" w:space="0"/>
              <w:right w:val="single" w:color="auto" w:sz="4" w:space="0"/>
            </w:tcBorders>
            <w:tcW w:w="785"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auto" w:sz="4" w:space="0"/>
              <w:bottom w:val="single" w:color="000000" w:sz="4" w:space="0"/>
              <w:right w:val="single" w:color="000000" w:sz="4" w:space="0"/>
            </w:tcBorders>
            <w:tcW w:w="96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木家具</w:t>
            </w:r>
            <w:r/>
          </w:p>
        </w:tc>
        <w:tc>
          <w:tcPr>
            <w:shd w:val="clear" w:color="auto" w:fill="auto"/>
            <w:tcBorders>
              <w:top w:val="single" w:color="000000" w:sz="4" w:space="0"/>
              <w:left w:val="single" w:color="000000" w:sz="4" w:space="0"/>
              <w:bottom w:val="single" w:color="000000" w:sz="4" w:space="0"/>
              <w:right w:val="single" w:color="000000" w:sz="4" w:space="0"/>
            </w:tcBorders>
            <w:tcW w:w="2598"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b w:val="0"/>
                <w:bCs w:val="0"/>
                <w:color w:val="auto"/>
                <w:lang w:val="en-US" w:eastAsia="zh-CN"/>
              </w:rPr>
              <w:suppressLineNumbers w:val="0"/>
            </w:pPr>
            <w:r>
              <w:rPr>
                <w:rFonts w:hint="eastAsia" w:ascii="宋体" w:hAnsi="宋体" w:eastAsia="宋体" w:cs="宋体"/>
                <w:b w:val="0"/>
                <w:bCs w:val="0"/>
                <w:color w:val="auto"/>
                <w:lang w:val="en-US" w:eastAsia="zh-CN"/>
              </w:rPr>
              <w:t xml:space="preserve">1、《木家具通用技术条件》GB/T 3324-2024；</w:t>
            </w:r>
            <w:r/>
          </w:p>
          <w:p>
            <w:pPr>
              <w:ind w:left="0" w:right="0"/>
              <w:keepLines w:val="0"/>
              <w:keepNext w:val="0"/>
              <w:spacing w:before="0" w:beforeAutospacing="0" w:after="0" w:afterAutospacing="0"/>
              <w:rPr>
                <w:rFonts w:hint="eastAsia" w:ascii="宋体" w:hAnsi="宋体" w:eastAsia="宋体" w:cs="宋体"/>
                <w:b w:val="0"/>
                <w:bCs w:val="0"/>
                <w:color w:val="auto"/>
                <w:lang w:val="en-US" w:eastAsia="zh-CN"/>
              </w:rPr>
              <w:suppressLineNumbers w:val="0"/>
            </w:pPr>
            <w:r>
              <w:rPr>
                <w:rFonts w:hint="eastAsia" w:ascii="宋体" w:hAnsi="宋体" w:eastAsia="宋体" w:cs="宋体"/>
                <w:b w:val="0"/>
                <w:bCs w:val="0"/>
                <w:color w:val="auto"/>
                <w:lang w:val="en-US" w:eastAsia="zh-CN"/>
              </w:rPr>
              <w:t xml:space="preserve">2、《家具结构安全技术规范》GB 28008-2024；</w:t>
            </w:r>
            <w:r/>
          </w:p>
          <w:p>
            <w:pPr>
              <w:ind w:left="0" w:right="0"/>
              <w:keepLines w:val="0"/>
              <w:keepNext w:val="0"/>
              <w:spacing w:before="0" w:beforeAutospacing="0" w:after="0" w:afterAutospacing="0"/>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color w:val="auto"/>
                <w:lang w:val="en-US" w:eastAsia="zh-CN"/>
              </w:rPr>
              <w:t xml:space="preserve">3、《家具中有害物质限量》GB 18584-2024。</w:t>
            </w:r>
            <w:r/>
          </w:p>
        </w:tc>
        <w:tc>
          <w:tcPr>
            <w:shd w:val="clear" w:color="auto" w:fill="auto"/>
            <w:tcBorders>
              <w:top w:val="single" w:color="000000" w:sz="4" w:space="0"/>
              <w:left w:val="single" w:color="000000" w:sz="4" w:space="0"/>
              <w:bottom w:val="single" w:color="000000" w:sz="4" w:space="0"/>
              <w:right w:val="single" w:color="000000" w:sz="4" w:space="0"/>
            </w:tcBorders>
            <w:tcW w:w="2875"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b w:val="0"/>
                <w:bCs w:val="0"/>
                <w:color w:val="auto"/>
                <w:lang w:val="en-US" w:eastAsia="zh-CN"/>
              </w:rPr>
              <w:suppressLineNumbers w:val="0"/>
            </w:pPr>
            <w:r>
              <w:rPr>
                <w:rFonts w:hint="eastAsia" w:ascii="宋体" w:hAnsi="宋体" w:eastAsia="宋体" w:cs="宋体"/>
                <w:b w:val="0"/>
                <w:bCs w:val="0"/>
                <w:color w:val="auto"/>
                <w:lang w:val="en-US" w:eastAsia="zh-CN"/>
              </w:rPr>
              <w:t xml:space="preserve">木工要求、表面理化性能、力学性能、通用结构安全、有害物质限量。</w:t>
            </w:r>
            <w:r/>
          </w:p>
          <w:p>
            <w:pPr>
              <w:ind w:left="0" w:right="0"/>
              <w:jc w:val="left"/>
              <w:keepLines w:val="0"/>
              <w:keepNext w:val="0"/>
              <w:spacing w:before="0" w:beforeAutospacing="0" w:after="0" w:afterAutospacing="0"/>
              <w:rPr>
                <w:rFonts w:hint="eastAsia" w:ascii="宋体" w:hAnsi="宋体" w:eastAsia="宋体" w:cs="宋体"/>
                <w:b w:val="0"/>
                <w:bCs w:val="0"/>
                <w:color w:val="auto"/>
                <w:lang w:val="en-US" w:eastAsia="zh-CN"/>
              </w:rPr>
              <w:suppressLineNumbers w:val="0"/>
            </w:pPr>
            <w:r>
              <w:rPr>
                <w:rFonts w:hint="eastAsia" w:ascii="宋体" w:hAnsi="宋体" w:eastAsia="宋体" w:cs="宋体"/>
                <w:b w:val="0"/>
                <w:bCs w:val="0"/>
                <w:color w:val="auto"/>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b w:val="0"/>
                <w:bCs w:val="0"/>
                <w:color w:val="auto"/>
                <w:lang w:val="en-US" w:eastAsia="zh-CN"/>
              </w:rPr>
              <w:suppressLineNumbers w:val="0"/>
            </w:pPr>
            <w:r>
              <w:rPr>
                <w:rFonts w:hint="eastAsia" w:ascii="宋体" w:hAnsi="宋体" w:eastAsia="宋体" w:cs="宋体"/>
                <w:b w:val="0"/>
                <w:bCs w:val="0"/>
                <w:color w:val="auto"/>
                <w:lang w:val="en-US" w:eastAsia="zh-CN"/>
              </w:rPr>
              <w:t xml:space="preserve">批次</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b w:val="0"/>
                <w:bCs w:val="0"/>
                <w:color w:val="auto"/>
                <w:lang w:val="en-US" w:eastAsia="zh-CN"/>
              </w:rPr>
              <w:suppressLineNumbers w:val="0"/>
            </w:pPr>
            <w:r>
              <w:rPr>
                <w:rFonts w:hint="eastAsia" w:ascii="宋体" w:hAnsi="宋体" w:eastAsia="宋体" w:cs="宋体"/>
                <w:b w:val="0"/>
                <w:bCs w:val="0"/>
                <w:color w:val="auto"/>
                <w:lang w:val="en-US" w:eastAsia="zh-CN"/>
              </w:rPr>
              <w:t xml:space="preserve">20</w:t>
            </w:r>
            <w:r/>
          </w:p>
          <w:p>
            <w:pPr>
              <w:ind w:left="0" w:right="0"/>
              <w:jc w:val="left"/>
              <w:keepLines w:val="0"/>
              <w:keepNext w:val="0"/>
              <w:spacing w:before="0" w:beforeAutospacing="0" w:after="0" w:afterAutospacing="0"/>
              <w:rPr>
                <w:rFonts w:hint="eastAsia" w:ascii="宋体" w:hAnsi="宋体" w:eastAsia="宋体" w:cs="宋体"/>
                <w:b w:val="0"/>
                <w:bCs w:val="0"/>
                <w:color w:val="auto"/>
                <w:lang w:val="en-US" w:eastAsia="zh-CN"/>
              </w:rPr>
              <w:suppressLineNumbers w:val="0"/>
            </w:pPr>
            <w:r>
              <w:rPr>
                <w:rFonts w:hint="eastAsia" w:ascii="宋体" w:hAnsi="宋体" w:eastAsia="宋体" w:cs="宋体"/>
                <w:b w:val="0"/>
                <w:bCs w:val="0"/>
                <w:color w:val="auto"/>
                <w:lang w:val="en-US" w:eastAsia="zh-CN"/>
              </w:rPr>
              <w:t xml:space="preserve">（线上线下各10个）</w:t>
            </w:r>
            <w:r/>
          </w:p>
        </w:tc>
      </w:tr>
    </w:tbl>
    <w:p>
      <w:pPr>
        <w:numPr>
          <w:ilvl w:val="0"/>
          <w:numId w:val="0"/>
        </w:numPr>
        <w:ind w:firstLine="482"/>
        <w:keepLines w:val="0"/>
        <w:keepNext w:val="0"/>
        <w:pageBreakBefore w:val="0"/>
        <w:spacing w:before="181" w:line="360" w:lineRule="auto"/>
        <w:widowControl w:val="off"/>
        <w:rPr>
          <w:rFonts w:hint="eastAsia" w:ascii="新宋体" w:hAnsi="新宋体" w:eastAsia="新宋体"/>
          <w:b/>
          <w:bCs/>
          <w:color w:val="auto"/>
          <w:sz w:val="24"/>
          <w:szCs w:val="24"/>
          <w:lang w:val="en-US" w:eastAsia="zh-CN"/>
        </w:rPr>
        <w:outlineLvl w:val="9"/>
      </w:pPr>
      <w:r>
        <w:rPr>
          <w:rFonts w:hint="eastAsia" w:ascii="新宋体" w:hAnsi="新宋体" w:eastAsia="新宋体"/>
          <w:b/>
          <w:bCs/>
          <w:color w:val="auto"/>
          <w:sz w:val="24"/>
          <w:szCs w:val="24"/>
          <w:lang w:val="en-US" w:eastAsia="zh-CN"/>
        </w:rPr>
        <w:t xml:space="preserve">三、</w:t>
      </w:r>
      <w:r>
        <w:rPr>
          <w:rFonts w:ascii="新宋体" w:hAnsi="新宋体" w:eastAsia="新宋体"/>
          <w:b/>
          <w:bCs/>
          <w:color w:val="auto"/>
          <w:sz w:val="24"/>
          <w:szCs w:val="24"/>
        </w:rPr>
        <w:t xml:space="preserve">检测服务方案</w:t>
      </w:r>
      <w:r>
        <w:rPr>
          <w:rFonts w:hint="eastAsia" w:ascii="新宋体" w:hAnsi="新宋体" w:eastAsia="新宋体"/>
          <w:b/>
          <w:bCs/>
          <w:color w:val="auto"/>
          <w:sz w:val="24"/>
          <w:szCs w:val="24"/>
          <w:lang w:val="en-US" w:eastAsia="zh-CN"/>
        </w:rPr>
        <w:t xml:space="preserve">编制要求</w:t>
      </w:r>
      <w:r/>
    </w:p>
    <w:p>
      <w:pPr>
        <w:numPr>
          <w:ilvl w:val="0"/>
          <w:numId w:val="0"/>
        </w:num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（一） 供应商应根据采购文件、技术规范要求及国家相关法律法规、强制性标准，结合本项目检测服务内容编制检测服务方案,与采购文件规定的抽检对象、批次、区域及技术要求逐项对应。方案中引用的标准须为现行有效版本，标注标准名称、标准编号及年号，不得使用已废止或过期标准。</w:t>
      </w:r>
      <w:r/>
    </w:p>
    <w:p>
      <w:pPr>
        <w:numPr>
          <w:ilvl w:val="0"/>
          <w:numId w:val="0"/>
        </w:num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（二）方案内容要求</w:t>
      </w:r>
      <w:r/>
    </w:p>
    <w:p>
      <w:pPr>
        <w:numPr>
          <w:ilvl w:val="0"/>
          <w:numId w:val="0"/>
        </w:num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1. 项目概况</w:t>
      </w:r>
      <w:r/>
    </w:p>
    <w:p>
      <w:pPr>
        <w:numPr>
          <w:ilvl w:val="0"/>
          <w:numId w:val="0"/>
        </w:num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（1）明确检测对象、抽检产品类别、抽检批次、抽样区域范围及服务期限。</w:t>
      </w:r>
      <w:r/>
    </w:p>
    <w:p>
      <w:pPr>
        <w:numPr>
          <w:ilvl w:val="0"/>
          <w:numId w:val="0"/>
        </w:num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（2）说明项目背景、服务目标及与采购需求的对应关系，确保方案针对性。</w:t>
      </w:r>
      <w:r/>
    </w:p>
    <w:p>
      <w:pPr>
        <w:numPr>
          <w:ilvl w:val="0"/>
          <w:numId w:val="0"/>
        </w:num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2. 检测依据</w:t>
      </w:r>
      <w:r/>
    </w:p>
    <w:p>
      <w:pPr>
        <w:numPr>
          <w:ilvl w:val="0"/>
          <w:numId w:val="0"/>
        </w:num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（1）列明所执行的国家标准、行业标准、地方标准及企业标准，逐项对应检测项目。</w:t>
      </w:r>
      <w:r/>
    </w:p>
    <w:p>
      <w:pPr>
        <w:numPr>
          <w:ilvl w:val="0"/>
          <w:numId w:val="0"/>
        </w:num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（2）对暂无现行标准的项目，应明确约定检测方法及判定依据，并报采购人确认。</w:t>
      </w:r>
      <w:r/>
    </w:p>
    <w:p>
      <w:pPr>
        <w:numPr>
          <w:ilvl w:val="0"/>
          <w:numId w:val="0"/>
        </w:num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3. 抽样方案</w:t>
      </w:r>
      <w:r/>
    </w:p>
    <w:p>
      <w:pPr>
        <w:numPr>
          <w:ilvl w:val="0"/>
          <w:numId w:val="0"/>
        </w:num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（1）明确抽样方法、抽样数量及抽样比例，确保抽样科学、随机、具有代表性。</w:t>
      </w:r>
      <w:r/>
    </w:p>
    <w:p>
      <w:pPr>
        <w:numPr>
          <w:ilvl w:val="0"/>
          <w:numId w:val="0"/>
        </w:num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（2）明确抽样、封样、样品编号及样品流转程序，确保样品唯一性和可追溯性。</w:t>
      </w:r>
      <w:r/>
    </w:p>
    <w:p>
      <w:pPr>
        <w:numPr>
          <w:ilvl w:val="0"/>
          <w:numId w:val="0"/>
        </w:num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4. 检测项目与方法</w:t>
      </w:r>
      <w:r/>
    </w:p>
    <w:p>
      <w:pPr>
        <w:numPr>
          <w:ilvl w:val="0"/>
          <w:numId w:val="0"/>
        </w:num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（1）按产品类别逐项列出检测项目、检测方法及判定依据。</w:t>
      </w:r>
      <w:r/>
    </w:p>
    <w:p>
      <w:pPr>
        <w:numPr>
          <w:ilvl w:val="0"/>
          <w:numId w:val="0"/>
        </w:num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（2）明确检测结果判定原则、合格判定标准及不合格判定程序。</w:t>
      </w:r>
      <w:r/>
    </w:p>
    <w:p>
      <w:pPr>
        <w:numPr>
          <w:ilvl w:val="0"/>
          <w:numId w:val="0"/>
        </w:num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5. 人员与设备配置</w:t>
      </w:r>
      <w:r/>
    </w:p>
    <w:p>
      <w:pPr>
        <w:numPr>
          <w:ilvl w:val="0"/>
          <w:numId w:val="0"/>
        </w:num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（1）列明项目负责人及主要检测人员姓名、资质证书及持证情况。</w:t>
      </w:r>
      <w:r/>
    </w:p>
    <w:p>
      <w:pPr>
        <w:numPr>
          <w:ilvl w:val="0"/>
          <w:numId w:val="0"/>
        </w:num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（2）列明主要仪器设备清单，明确设备检定校准状态及有效期。</w:t>
      </w:r>
      <w:r/>
    </w:p>
    <w:p>
      <w:pPr>
        <w:numPr>
          <w:ilvl w:val="0"/>
          <w:numId w:val="0"/>
        </w:num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6. 检测流程与时限</w:t>
      </w:r>
      <w:r/>
    </w:p>
    <w:p>
      <w:pPr>
        <w:numPr>
          <w:ilvl w:val="0"/>
          <w:numId w:val="0"/>
        </w:num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（1）明确样品接收、登记、检测、结果复核、报告出具各环节时限。</w:t>
      </w:r>
      <w:r/>
    </w:p>
    <w:p>
      <w:pPr>
        <w:numPr>
          <w:ilvl w:val="0"/>
          <w:numId w:val="0"/>
        </w:num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（2）明确整体进度安排及关键节点，确保按期完成抽检任务。</w:t>
      </w:r>
      <w:r/>
    </w:p>
    <w:p>
      <w:pPr>
        <w:numPr>
          <w:ilvl w:val="0"/>
          <w:numId w:val="0"/>
        </w:num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（三）编制要求</w:t>
      </w:r>
      <w:r/>
    </w:p>
    <w:p>
      <w:pPr>
        <w:numPr>
          <w:ilvl w:val="0"/>
          <w:numId w:val="0"/>
        </w:num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1. 方案应内容完整、逻辑清晰、重点突出，与采购需求实质性响应，不得缺项漏项。</w:t>
      </w:r>
      <w:r/>
    </w:p>
    <w:p>
      <w:pPr>
        <w:numPr>
          <w:ilvl w:val="0"/>
          <w:numId w:val="0"/>
        </w:num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2. 检测项目、方法及判定依据须逐一明确，引用标准须现行有效。</w:t>
      </w:r>
      <w:r/>
    </w:p>
    <w:p>
      <w:pPr>
        <w:numPr>
          <w:ilvl w:val="0"/>
          <w:numId w:val="0"/>
        </w:num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3. 进度安排须满足采购人时间要求，人员、设备配置须满足任务量需要。</w:t>
      </w:r>
      <w:r/>
    </w:p>
    <w:p>
      <w:pPr>
        <w:ind w:firstLine="482"/>
        <w:keepLines w:val="0"/>
        <w:keepNext w:val="0"/>
        <w:pageBreakBefore w:val="0"/>
        <w:spacing w:line="360" w:lineRule="auto"/>
        <w:widowControl w:val="off"/>
        <w:rPr>
          <w:rFonts w:hint="eastAsia" w:ascii="新宋体" w:hAnsi="新宋体" w:eastAsia="新宋体"/>
          <w:b/>
          <w:bCs/>
          <w:color w:val="auto"/>
          <w:sz w:val="24"/>
          <w:szCs w:val="24"/>
          <w:lang w:val="en-US" w:eastAsia="zh-CN"/>
        </w:rPr>
        <w:outlineLvl w:val="9"/>
      </w:pPr>
      <w:r>
        <w:rPr>
          <w:rFonts w:hint="eastAsia" w:ascii="新宋体" w:hAnsi="新宋体" w:eastAsia="新宋体"/>
          <w:b/>
          <w:bCs/>
          <w:color w:val="auto"/>
          <w:sz w:val="24"/>
          <w:szCs w:val="24"/>
          <w:lang w:val="en-US" w:eastAsia="zh-CN"/>
        </w:rPr>
        <w:t xml:space="preserve">四、</w:t>
      </w:r>
      <w:r>
        <w:rPr>
          <w:rFonts w:ascii="新宋体" w:hAnsi="新宋体" w:eastAsia="新宋体"/>
          <w:b/>
          <w:bCs/>
          <w:color w:val="auto"/>
          <w:sz w:val="24"/>
          <w:szCs w:val="24"/>
        </w:rPr>
        <w:t xml:space="preserve">质量控制方案</w:t>
      </w:r>
      <w:r>
        <w:rPr>
          <w:rFonts w:hint="eastAsia" w:ascii="新宋体" w:hAnsi="新宋体" w:eastAsia="新宋体"/>
          <w:b/>
          <w:bCs/>
          <w:color w:val="auto"/>
          <w:sz w:val="24"/>
          <w:szCs w:val="24"/>
          <w:lang w:val="en-US" w:eastAsia="zh-CN"/>
        </w:rPr>
        <w:t xml:space="preserve">编制要求</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（一）供应商应根据采购文件、检测服务方案要求及国家相关法律法规、强制性标准，编制本项目的质量控制方案。质量控制方案应与检测服务方案、检测工作流程相衔接，确保质量控制措施覆盖检测全过程。</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（二）质量控制目标</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1. 总体目标</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（1）确保抽检程序规范、样品管理受控、检测数据准确、报告真实有效。</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（2）实现检测过程可追溯、可复核、可监督，杜绝检测差错和弄虚作假。</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2. 具体目标</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（1）检测报告差错率控制为零，检测结果准确率达到 100%。</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（2）样品流转全过程受控，检测任务按期完成率 100%。</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（三）质量控制内容</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1. 人员质量控制</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（1）检测人员须持证上岗，熟悉检测标准和操作规程。</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（2）定期开展技术培训、考核及能力比对，保持检测能力持续有效。</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2. 仪器设备质量控制</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（1）检测仪器设备须经检定或校准合格，并在有效期内使用。</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（2）建立设备台账及使用记录，做到专人管理、定期维护、状态标识清晰。</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3. 样品质量控制</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（1）严格执行抽样、封样、编号及流转程序，确保样品唯一性和可追溯性。</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（2）规范样品接收、保管、检测、留样及退样各环节，防止样品混淆、污染、损毁。</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4. 检测过程质量控制</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（1）严格按标准方法开展检测，不得随意简化或变更检测条件。</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（2）实行检测、复核、审核三级签认制度，关键项目实施平行检测和留样复测。</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5. 原始记录与报告质量控制</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（1）原始记录须真实、完整、清晰，随检随记，不得事后补记或涂改。</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（2）检测报告内容完整、结论明确，经审核签认后出具，并按规定归档保存。</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6. 标准物质与试剂质量控制</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（1）标准物质、试剂须在有效期内使用，符合规定要求。</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（2）建立领用、保管、使用及处置记录，确保全过程可追溯。</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（四）质量保证措施</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1. 建立健全质量管理体系，明确各岗位职责及质量责任。</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2. 开展内部审核、管理评审及能力验证，持续改进质量控制水平。</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3. 主动接受采购人及相关监督部门的监督检查，如实提供检测数据和相关资料。</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4. 对发现的质量问题及时整改，重大问题及时向采购人报告并说明原因。</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（五）质量责任与考核</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1. 实行质量责任追究制度，检测人员对检测结果真实性、准确性负责。</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2. 因检测差错造成损失的，按合同约定承担相应责任。</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3. 将质量控制情况纳入绩效考核，与人员奖惩挂钩。</w:t>
      </w:r>
      <w:r/>
    </w:p>
    <w:p>
      <w:pPr>
        <w:ind w:firstLine="482"/>
        <w:keepLines w:val="0"/>
        <w:keepNext w:val="0"/>
        <w:pageBreakBefore w:val="0"/>
        <w:spacing w:line="360" w:lineRule="auto"/>
        <w:widowControl w:val="off"/>
        <w:rPr>
          <w:rFonts w:hint="default" w:ascii="新宋体" w:hAnsi="新宋体" w:eastAsia="新宋体"/>
          <w:b/>
          <w:bCs/>
          <w:color w:val="auto"/>
          <w:sz w:val="24"/>
          <w:szCs w:val="24"/>
          <w:lang w:val="en-US" w:eastAsia="zh-CN"/>
        </w:rPr>
        <w:outlineLvl w:val="9"/>
      </w:pPr>
      <w:r>
        <w:rPr>
          <w:rFonts w:hint="eastAsia" w:ascii="新宋体" w:hAnsi="新宋体" w:eastAsia="新宋体"/>
          <w:b/>
          <w:bCs/>
          <w:color w:val="auto"/>
          <w:sz w:val="24"/>
          <w:szCs w:val="24"/>
          <w:lang w:val="en-US" w:eastAsia="zh-CN"/>
        </w:rPr>
        <w:t xml:space="preserve">五、</w:t>
      </w:r>
      <w:r>
        <w:rPr>
          <w:rFonts w:hint="default" w:ascii="新宋体" w:hAnsi="新宋体" w:eastAsia="新宋体"/>
          <w:b/>
          <w:bCs/>
          <w:color w:val="auto"/>
          <w:sz w:val="24"/>
          <w:szCs w:val="24"/>
          <w:lang w:val="en-US" w:eastAsia="zh-CN"/>
        </w:rPr>
        <w:t xml:space="preserve">人员配置</w:t>
      </w:r>
      <w:r>
        <w:rPr>
          <w:rFonts w:hint="eastAsia" w:ascii="新宋体" w:hAnsi="新宋体" w:eastAsia="新宋体"/>
          <w:b/>
          <w:bCs/>
          <w:color w:val="auto"/>
          <w:sz w:val="24"/>
          <w:szCs w:val="24"/>
          <w:lang w:val="en-US" w:eastAsia="zh-CN"/>
        </w:rPr>
        <w:t xml:space="preserve">要求</w:t>
      </w:r>
      <w:r/>
    </w:p>
    <w:p>
      <w:pPr>
        <w:ind w:firstLine="480"/>
        <w:keepLines w:val="0"/>
        <w:keepNext w:val="0"/>
        <w:pageBreakBefore w:val="0"/>
        <w:spacing w:line="360" w:lineRule="auto"/>
        <w:widowControl w:val="off"/>
        <w:rPr>
          <w:rFonts w:hint="default" w:ascii="新宋体" w:hAnsi="新宋体" w:eastAsia="新宋体"/>
          <w:b w:val="0"/>
          <w:bCs w:val="0"/>
          <w:color w:val="auto"/>
          <w:sz w:val="24"/>
          <w:szCs w:val="24"/>
          <w:lang w:val="en-US" w:eastAsia="zh-CN"/>
        </w:rPr>
        <w:outlineLvl w:val="9"/>
      </w:pPr>
      <w:r>
        <w:rPr>
          <w:rFonts w:hint="default" w:ascii="新宋体" w:hAnsi="新宋体" w:eastAsia="新宋体"/>
          <w:b w:val="0"/>
          <w:bCs w:val="0"/>
          <w:color w:val="auto"/>
          <w:sz w:val="24"/>
          <w:szCs w:val="24"/>
          <w:lang w:val="en-US" w:eastAsia="zh-CN"/>
        </w:rPr>
        <w:t xml:space="preserve">供应商须为本项目配置专职在岗服务团队，定岗定责，接受采购人日常督查、飞行检查、人员核查。人员可分属联合体不同成员单位。</w:t>
      </w:r>
      <w:r/>
    </w:p>
    <w:p>
      <w:pPr>
        <w:ind w:firstLine="480"/>
        <w:keepLines w:val="0"/>
        <w:keepNext w:val="0"/>
        <w:pageBreakBefore w:val="0"/>
        <w:spacing w:line="360" w:lineRule="auto"/>
        <w:widowControl w:val="off"/>
        <w:rPr>
          <w:rFonts w:hint="default" w:ascii="新宋体" w:hAnsi="新宋体" w:eastAsia="新宋体"/>
          <w:b w:val="0"/>
          <w:bCs w:val="0"/>
          <w:color w:val="auto"/>
          <w:sz w:val="24"/>
          <w:szCs w:val="24"/>
          <w:lang w:val="en-US" w:eastAsia="zh-CN"/>
        </w:rPr>
        <w:outlineLvl w:val="9"/>
      </w:pPr>
      <w:r>
        <w:rPr>
          <w:rFonts w:hint="default" w:ascii="新宋体" w:hAnsi="新宋体" w:eastAsia="新宋体"/>
          <w:b w:val="0"/>
          <w:bCs w:val="0"/>
          <w:color w:val="auto"/>
          <w:sz w:val="24"/>
          <w:szCs w:val="24"/>
          <w:lang w:val="en-US" w:eastAsia="zh-CN"/>
        </w:rPr>
        <w:t xml:space="preserve">（一）项目负责人：1 名，具备</w:t>
      </w:r>
      <w:r>
        <w:rPr>
          <w:rFonts w:hint="eastAsia" w:ascii="新宋体" w:hAnsi="新宋体" w:eastAsia="新宋体"/>
          <w:b w:val="0"/>
          <w:bCs w:val="0"/>
          <w:color w:val="auto"/>
          <w:sz w:val="24"/>
          <w:szCs w:val="24"/>
          <w:lang w:val="en-US" w:eastAsia="zh-CN"/>
        </w:rPr>
        <w:t xml:space="preserve">类似</w:t>
      </w:r>
      <w:r>
        <w:rPr>
          <w:rFonts w:hint="default" w:ascii="新宋体" w:hAnsi="新宋体" w:eastAsia="新宋体"/>
          <w:b w:val="0"/>
          <w:bCs w:val="0"/>
          <w:color w:val="auto"/>
          <w:sz w:val="24"/>
          <w:szCs w:val="24"/>
          <w:lang w:val="en-US" w:eastAsia="zh-CN"/>
        </w:rPr>
        <w:t xml:space="preserve">项目管理经验，全程统筹对接、整改、进度、资料汇总。</w:t>
      </w:r>
      <w:r/>
    </w:p>
    <w:p>
      <w:pPr>
        <w:ind w:firstLine="480"/>
        <w:keepLines w:val="0"/>
        <w:keepNext w:val="0"/>
        <w:pageBreakBefore w:val="0"/>
        <w:spacing w:line="360" w:lineRule="auto"/>
        <w:widowControl w:val="off"/>
        <w:rPr>
          <w:rFonts w:hint="default" w:ascii="新宋体" w:hAnsi="新宋体" w:eastAsia="新宋体"/>
          <w:b w:val="0"/>
          <w:bCs w:val="0"/>
          <w:color w:val="auto"/>
          <w:sz w:val="24"/>
          <w:szCs w:val="24"/>
          <w:lang w:val="en-US" w:eastAsia="zh-CN"/>
        </w:rPr>
        <w:outlineLvl w:val="9"/>
      </w:pPr>
      <w:r>
        <w:rPr>
          <w:rFonts w:hint="default" w:ascii="新宋体" w:hAnsi="新宋体" w:eastAsia="新宋体"/>
          <w:b w:val="0"/>
          <w:bCs w:val="0"/>
          <w:color w:val="auto"/>
          <w:sz w:val="24"/>
          <w:szCs w:val="24"/>
          <w:lang w:val="en-US" w:eastAsia="zh-CN"/>
        </w:rPr>
        <w:t xml:space="preserve">（二）专职抽样人员：不少于</w:t>
      </w:r>
      <w:r>
        <w:rPr>
          <w:rFonts w:hint="eastAsia" w:ascii="新宋体" w:hAnsi="新宋体" w:eastAsia="新宋体"/>
          <w:b w:val="0"/>
          <w:bCs w:val="0"/>
          <w:color w:val="auto"/>
          <w:sz w:val="24"/>
          <w:szCs w:val="24"/>
          <w:lang w:val="en-US" w:eastAsia="zh-CN"/>
        </w:rPr>
        <w:t xml:space="preserve">2</w:t>
      </w:r>
      <w:r>
        <w:rPr>
          <w:rFonts w:hint="default" w:ascii="新宋体" w:hAnsi="新宋体" w:eastAsia="新宋体"/>
          <w:b w:val="0"/>
          <w:bCs w:val="0"/>
          <w:color w:val="auto"/>
          <w:sz w:val="24"/>
          <w:szCs w:val="24"/>
          <w:lang w:val="en-US" w:eastAsia="zh-CN"/>
        </w:rPr>
        <w:t xml:space="preserve">人，具备对应抽样专业能力及从业经验。</w:t>
      </w:r>
      <w:r/>
    </w:p>
    <w:p>
      <w:pPr>
        <w:ind w:firstLine="480"/>
        <w:keepLines w:val="0"/>
        <w:keepNext w:val="0"/>
        <w:pageBreakBefore w:val="0"/>
        <w:spacing w:line="360" w:lineRule="auto"/>
        <w:widowControl w:val="off"/>
        <w:rPr>
          <w:rFonts w:hint="default" w:ascii="新宋体" w:hAnsi="新宋体" w:eastAsia="新宋体"/>
          <w:b w:val="0"/>
          <w:bCs w:val="0"/>
          <w:color w:val="auto"/>
          <w:sz w:val="24"/>
          <w:szCs w:val="24"/>
          <w:lang w:val="en-US" w:eastAsia="zh-CN"/>
        </w:rPr>
        <w:outlineLvl w:val="9"/>
      </w:pPr>
      <w:r>
        <w:rPr>
          <w:rFonts w:hint="default" w:ascii="新宋体" w:hAnsi="新宋体" w:eastAsia="新宋体"/>
          <w:b w:val="0"/>
          <w:bCs w:val="0"/>
          <w:color w:val="auto"/>
          <w:sz w:val="24"/>
          <w:szCs w:val="24"/>
          <w:lang w:val="en-US" w:eastAsia="zh-CN"/>
        </w:rPr>
        <w:t xml:space="preserve">（三）专职检验人员：不少于</w:t>
      </w:r>
      <w:r>
        <w:rPr>
          <w:rFonts w:hint="eastAsia" w:ascii="新宋体" w:hAnsi="新宋体" w:eastAsia="新宋体"/>
          <w:b w:val="0"/>
          <w:bCs w:val="0"/>
          <w:color w:val="auto"/>
          <w:sz w:val="24"/>
          <w:szCs w:val="24"/>
          <w:lang w:val="en-US" w:eastAsia="zh-CN"/>
        </w:rPr>
        <w:t xml:space="preserve">2</w:t>
      </w:r>
      <w:r>
        <w:rPr>
          <w:rFonts w:hint="default" w:ascii="新宋体" w:hAnsi="新宋体" w:eastAsia="新宋体"/>
          <w:b w:val="0"/>
          <w:bCs w:val="0"/>
          <w:color w:val="auto"/>
          <w:sz w:val="24"/>
          <w:szCs w:val="24"/>
          <w:lang w:val="en-US" w:eastAsia="zh-CN"/>
        </w:rPr>
        <w:t xml:space="preserve">人，具备对应检测专业能力及从业经验。</w:t>
      </w:r>
      <w:r/>
    </w:p>
    <w:p>
      <w:pPr>
        <w:ind w:firstLine="480"/>
        <w:keepLines w:val="0"/>
        <w:keepNext w:val="0"/>
        <w:pageBreakBefore w:val="0"/>
        <w:spacing w:line="360" w:lineRule="auto"/>
        <w:widowControl w:val="off"/>
        <w:rPr>
          <w:rFonts w:hint="default" w:ascii="新宋体" w:hAnsi="新宋体" w:eastAsia="新宋体"/>
          <w:b w:val="0"/>
          <w:bCs w:val="0"/>
          <w:color w:val="auto"/>
          <w:sz w:val="24"/>
          <w:szCs w:val="24"/>
          <w:lang w:val="en-US" w:eastAsia="zh-CN"/>
        </w:rPr>
        <w:outlineLvl w:val="9"/>
      </w:pPr>
      <w:r>
        <w:rPr>
          <w:rFonts w:hint="default" w:ascii="新宋体" w:hAnsi="新宋体" w:eastAsia="新宋体"/>
          <w:b w:val="0"/>
          <w:bCs w:val="0"/>
          <w:color w:val="auto"/>
          <w:sz w:val="24"/>
          <w:szCs w:val="24"/>
          <w:lang w:val="en-US" w:eastAsia="zh-CN"/>
        </w:rPr>
        <w:t xml:space="preserve">（四）人员佐证：</w:t>
      </w:r>
      <w:r>
        <w:rPr>
          <w:rFonts w:hint="default" w:ascii="新宋体" w:hAnsi="新宋体" w:eastAsia="新宋体"/>
          <w:b w:val="0"/>
          <w:bCs w:val="0"/>
          <w:color w:val="auto"/>
          <w:sz w:val="24"/>
          <w:szCs w:val="24"/>
          <w:highlight w:val="none"/>
          <w:lang w:val="en-US" w:eastAsia="zh-CN"/>
        </w:rPr>
        <w:t xml:space="preserve">响应文件提供人员名单、</w:t>
      </w:r>
      <w:r>
        <w:rPr>
          <w:rFonts w:hint="default" w:ascii="新宋体" w:hAnsi="新宋体" w:eastAsia="新宋体"/>
          <w:b w:val="0"/>
          <w:bCs w:val="0"/>
          <w:color w:val="auto"/>
          <w:sz w:val="24"/>
          <w:szCs w:val="24"/>
          <w:lang w:val="en-US" w:eastAsia="zh-CN"/>
        </w:rPr>
        <w:t xml:space="preserve">2026 年 6 月以来任意一个月社保证明（退休返聘、劳务派遣提供合同；联合体成员分别提供）。项目负责人、抽样人员、检验人员为核心人员，未经采购人书面同意不得擅自更换，确需更换的须提前报备且替换人员条件不低于原人员。</w:t>
      </w:r>
      <w:r/>
    </w:p>
    <w:p>
      <w:pPr>
        <w:ind w:firstLine="482"/>
        <w:keepLines w:val="0"/>
        <w:keepNext w:val="0"/>
        <w:pageBreakBefore w:val="0"/>
        <w:spacing w:line="360" w:lineRule="auto"/>
        <w:widowControl w:val="off"/>
        <w:rPr>
          <w:rFonts w:hint="eastAsia" w:ascii="新宋体" w:hAnsi="新宋体" w:eastAsia="新宋体"/>
          <w:b/>
          <w:bCs/>
          <w:color w:val="auto"/>
          <w:sz w:val="24"/>
          <w:szCs w:val="24"/>
          <w:lang w:val="en-US" w:eastAsia="zh-CN"/>
        </w:rPr>
        <w:outlineLvl w:val="9"/>
      </w:pPr>
      <w:r>
        <w:rPr>
          <w:rFonts w:hint="eastAsia" w:ascii="新宋体" w:hAnsi="新宋体" w:eastAsia="新宋体"/>
          <w:b/>
          <w:bCs/>
          <w:color w:val="auto"/>
          <w:sz w:val="24"/>
          <w:szCs w:val="24"/>
          <w:lang w:val="en-US" w:eastAsia="zh-CN"/>
        </w:rPr>
        <w:t xml:space="preserve">六、辅助设备要求</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一）供应商应根据采购文件、检测服务方案及国家相关法律法规，编制本项目工具设备配置方案。工具设备配置方案应与检测服务方案、检验工作实施方案、应急管理方案相衔接，满足多品类、高频次、全域抽检工作需要。</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（二）配置目标</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1. 配备足额合规的抽样车辆、采样工具、防护设备、检测辅助设备及样品存储设备。</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2. 满足多品类、高频次、全域抽检工作需求，保障作业效率与检测质量。</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3. 实现设备工具数量充足、性能良好、状态受控、随用随调。</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（三）抽样车辆配置要求</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1. 配备足额合规抽样车辆，车况良好、手续齐全，满足全域抽检出行需要。</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2. 车辆配备样品运输专用设施，确保样品运输安全、防损毁、防污染。</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3. 建立车辆管理制度，明确调度、保养及应急保障要求。</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（四）采样工具配置要求</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1. 按抽检产品品类配备相应采样工具，工具材质、规格符合标准要求。</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2. 配备封样材料、抽样单、标签、封条等，确保抽样规范、封样严密。</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3. 采样工具做到专人保管、定期检查、清洁消毒，防止交叉污染。</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（五）防护设备配置要求</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1. 配备符合安全要求的个人防护用品，包括防护服、手套、口罩等。</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2. 涉及危险化学品、特殊环境作业的，配备相应专业防护装备。</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3. 定期检查、更新防护设备，确保性能完好、安全有效。</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（六）检测辅助设备配置要求</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1. 配备样品制备、前处理等检测辅助设备，满足各类样品处理需要。</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2. 辅助设备性能满足检测方法要求，检定校准在有效期内。</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3. 建立辅助设备台账及使用记录，实行专人管理、定期维护。</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（七）样品存储设备配置要求</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1. 如项目需要，配备满足不同品类样品保存要求的存储设备，如冷藏、冷冻、恒温、防潮等设备。</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2. 存储设备温湿度符合样品保存条件，配备监测装置并定期核查记录。</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3. 样品分区分类存放，标识清晰，确保样品安全、可追溯。</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（八）保障与管理要求</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1. 建立工具设备台账，做到账实相符、状态清晰、定期核查。</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2. 建立领用、使用、维护、报废管理制度，保障设备工具完好率。</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3. 配备机动备用设备，应对设备故障及突发任务需要。</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4. 主动接受采购人检查，如实提供设备工具配置及使用情况资料。</w:t>
      </w:r>
      <w:r/>
    </w:p>
    <w:p>
      <w:pPr>
        <w:ind w:firstLine="482"/>
        <w:keepLines w:val="0"/>
        <w:keepNext w:val="0"/>
        <w:pageBreakBefore w:val="0"/>
        <w:spacing w:line="360" w:lineRule="auto"/>
        <w:widowControl w:val="off"/>
        <w:rPr>
          <w:rFonts w:hint="eastAsia" w:ascii="新宋体" w:hAnsi="新宋体" w:eastAsia="新宋体"/>
          <w:b/>
          <w:bCs/>
          <w:color w:val="auto"/>
          <w:sz w:val="24"/>
          <w:szCs w:val="24"/>
          <w:lang w:val="en-US" w:eastAsia="zh-CN"/>
        </w:rPr>
        <w:outlineLvl w:val="9"/>
      </w:pPr>
      <w:r>
        <w:rPr>
          <w:rFonts w:hint="eastAsia" w:ascii="新宋体" w:hAnsi="新宋体" w:eastAsia="新宋体"/>
          <w:b/>
          <w:bCs/>
          <w:color w:val="auto"/>
          <w:sz w:val="24"/>
          <w:szCs w:val="24"/>
          <w:lang w:val="en-US" w:eastAsia="zh-CN"/>
        </w:rPr>
        <w:t xml:space="preserve">七、</w:t>
      </w:r>
      <w:r>
        <w:rPr>
          <w:rFonts w:ascii="新宋体" w:hAnsi="新宋体" w:eastAsia="新宋体"/>
          <w:b/>
          <w:bCs/>
          <w:color w:val="auto"/>
          <w:sz w:val="24"/>
          <w:szCs w:val="24"/>
        </w:rPr>
        <w:t xml:space="preserve">检验工作实施方案</w:t>
      </w:r>
      <w:r>
        <w:rPr>
          <w:rFonts w:hint="eastAsia" w:ascii="新宋体" w:hAnsi="新宋体" w:eastAsia="新宋体"/>
          <w:b/>
          <w:bCs/>
          <w:color w:val="auto"/>
          <w:sz w:val="24"/>
          <w:szCs w:val="24"/>
          <w:lang w:val="en-US" w:eastAsia="zh-CN"/>
        </w:rPr>
        <w:t xml:space="preserve">编制要求</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（一）供应商应根据采购文件、检测服务方案、质量控制方案要求及国家相关法律法规、强制性标准，以及采购文件规定的抽检任务、技术要求等编制本项目检验工作实施方案。 检验工作实施方案应细化检测服务方案，明确检验工作组织实施的具体步骤和安排。</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（二）工作目标</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1. 全面完成采购文件规定的抽检任务，检测结果准确、报告及时规范。</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2. 检验程序合法合规，样品管理受控，数据真实可追溯。</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3. 严格按期完成各项检验任务，服务期内无重大质量责任事故。</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（三）组织机构与职责分工</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1. 成立项目检验工作实施小组，明确项目负责人、技术负责人及质量负责人。</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2. 分设抽样组、检测组、报告审核组等，明确各组职责分工。</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3. 建立工作协调机制，定期召开进度例会，及时解决实施中的问题。</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（四）工作流程</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1. 抽检准备阶段</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（1）收集整理抽检产品标准、检验项目及技术要求。</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（2）编制抽检计划、抽样方案，做好人员、设备、试剂及标准物质准备。</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（3）组织开展岗前培训，明确任务要求及工作纪律。</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2. 抽样实施阶段</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（1）按抽样方案赴现场开展抽样，规范填写抽样单，当场封样。</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（2）做好样品编号、登记及运输保管，确保样品完整、可追溯。</w:t>
      </w:r>
      <w:r/>
    </w:p>
    <w:p>
      <w:pPr>
        <w:ind w:firstLine="480"/>
        <w:keepLines w:val="0"/>
        <w:keepNext w:val="0"/>
        <w:pageBreakBefore w:val="0"/>
        <w:spacing w:line="360" w:lineRule="auto"/>
        <w:widowControl w:val="off"/>
        <w:rPr>
          <w:rFonts w:hint="default"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（3）抽样过程实施全过程记录，包含录音录像、抽样照片、样品照片等。</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3. 检验检测阶段</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（1）按标准方法实施检测，如实记录原始数据，实行三级审核。</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（2）对可疑数据开展复核复测，确保结果准确可靠。</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4. 报告出具阶段</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（1）及时编制检测报告，结论明确、签章齐全。</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（2）按规定时限送达报告，并做好妥投证明等材料记录归档。</w:t>
      </w:r>
      <w:r/>
    </w:p>
    <w:p>
      <w:pPr>
        <w:ind w:firstLine="480"/>
        <w:keepLines w:val="0"/>
        <w:keepNext w:val="0"/>
        <w:pageBreakBefore w:val="0"/>
        <w:spacing w:line="360" w:lineRule="auto"/>
        <w:widowControl w:val="off"/>
        <w:rPr>
          <w:rFonts w:hint="default"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（3）检测结论为不合格的，报告中需附带质量分析报告。</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（五）进度安排</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1. 根据任务量合理测算各环节时限，编制总体进度计划。</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2. 明确抽样、检测、报告出具等关键节点及完成时限。</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3. 建立进度跟踪机制，对滞后环节及时预警、调整，确保按期完成。</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（六）保障措施</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1. 人员保障：配足具有相应资质的检测人员，保证任务需要。</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2. 设备保障：检测设备满足项目要求，检定校准在有效期内，并配备备用设备。</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3. 后勤保障：做好车辆、物资及安全防护保障，确保工作顺利开展。</w:t>
      </w:r>
      <w:r/>
    </w:p>
    <w:p>
      <w:pPr>
        <w:ind w:firstLine="482"/>
        <w:keepLines w:val="0"/>
        <w:keepNext w:val="0"/>
        <w:pageBreakBefore w:val="0"/>
        <w:spacing w:line="360" w:lineRule="auto"/>
        <w:widowControl w:val="off"/>
        <w:rPr>
          <w:rFonts w:hint="eastAsia" w:ascii="新宋体" w:hAnsi="新宋体" w:eastAsia="新宋体"/>
          <w:b/>
          <w:bCs/>
          <w:color w:val="auto"/>
          <w:sz w:val="24"/>
          <w:szCs w:val="24"/>
          <w:lang w:val="en-US" w:eastAsia="zh-CN"/>
        </w:rPr>
        <w:outlineLvl w:val="9"/>
      </w:pPr>
      <w:r>
        <w:rPr>
          <w:rFonts w:hint="eastAsia" w:ascii="新宋体" w:hAnsi="新宋体" w:eastAsia="新宋体"/>
          <w:b/>
          <w:bCs/>
          <w:color w:val="auto"/>
          <w:sz w:val="24"/>
          <w:szCs w:val="24"/>
          <w:lang w:val="en-US" w:eastAsia="zh-CN"/>
        </w:rPr>
        <w:t xml:space="preserve">八、</w:t>
      </w:r>
      <w:r>
        <w:rPr>
          <w:rFonts w:ascii="新宋体" w:hAnsi="新宋体" w:eastAsia="新宋体"/>
          <w:b/>
          <w:bCs/>
          <w:color w:val="auto"/>
          <w:sz w:val="24"/>
          <w:szCs w:val="24"/>
        </w:rPr>
        <w:t xml:space="preserve">样品及台账管理方案</w:t>
      </w:r>
      <w:r>
        <w:rPr>
          <w:rFonts w:hint="eastAsia" w:ascii="新宋体" w:hAnsi="新宋体" w:eastAsia="新宋体"/>
          <w:b/>
          <w:bCs/>
          <w:color w:val="auto"/>
          <w:sz w:val="24"/>
          <w:szCs w:val="24"/>
          <w:lang w:val="en-US" w:eastAsia="zh-CN"/>
        </w:rPr>
        <w:t xml:space="preserve">编制要求</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（一）供应商应根据采购文件、检测服务方案及国家相关法律法规、强制性标准，及采购文件关于样品管理、资料归档等相关要求编制本项目样品及台账管理方案。</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 样品及台账管理方案应与检测服务方案、质量控制方案、检验工作实施方案相衔接，确保样品管理全过程受控、台账资料完整规范。</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（二）管理目标</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1. 实现样品抽样、封样、运输、接收、检测、留样、退样全过程受控，确保样品唯一性、完整性、可追溯性。</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2. 实现台账资料真实、完整、清晰、规范，做到账实相符、有据可查。</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3. 杜绝样品混淆、污染、损毁、遗失及台账缺失、涂改等问题的发生。</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（三）样品管理内容</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1. 样品抽样与封样</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（1）按抽样方案实施抽样，规范填写抽样单，记录样品名称、规格、数量、抽样地点等信息。</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（2）现场当场封样，加贴封条及唯一性编号，并由抽样人、被检单位人员签字确认。</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2. 样品运输与接收</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（1）样品运输过程中做好防潮、防震、防损毁措施，确保样品状态完好。</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（2）样品到达实验室后及时接收登记，核对抽样单信息，检查封样状态及样品完好情况。</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3. 样品标识与流转</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（1）实行样品唯一性编号管理，标识清晰、不易脱落，贯穿检测全过程。</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（2）明确样品流转程序，交接时履行签字手续，防止样品混用、丢失。</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4. 样品保管与留样</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（1）样品分区、分类、分状态存放，环境条件符合样品保存要求。</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（2）按合同约定对样品进行留样管理，留样期届满后按规定处置并记录。</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5. 样品退样与处置</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（1）检测结束后需要退样的，按约定及时办理退样，办理签收手续。</w:t>
      </w:r>
      <w:r/>
    </w:p>
    <w:p>
      <w:pPr>
        <w:ind w:firstLine="480"/>
        <w:keepLines w:val="0"/>
        <w:keepNext w:val="0"/>
        <w:pageBreakBefore w:val="0"/>
        <w:spacing w:line="360" w:lineRule="auto"/>
        <w:widowControl w:val="off"/>
        <w:rPr>
          <w:rFonts w:hint="default"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（2）</w:t>
      </w:r>
      <w:r>
        <w:rPr>
          <w:rFonts w:hint="default" w:ascii="新宋体" w:hAnsi="新宋体" w:eastAsia="新宋体"/>
          <w:b w:val="0"/>
          <w:bCs w:val="0"/>
          <w:color w:val="auto"/>
          <w:sz w:val="24"/>
          <w:szCs w:val="24"/>
          <w:lang w:val="en-US" w:eastAsia="zh-CN"/>
        </w:rPr>
        <w:t xml:space="preserve">按照《关于省级产品质量监督抽查和风险监测样品处置</w:t>
      </w:r>
      <w:r>
        <w:rPr>
          <w:rFonts w:hint="eastAsia" w:ascii="新宋体" w:hAnsi="新宋体" w:eastAsia="新宋体"/>
          <w:b w:val="0"/>
          <w:bCs w:val="0"/>
          <w:color w:val="auto"/>
          <w:sz w:val="24"/>
          <w:szCs w:val="24"/>
          <w:lang w:val="en-US" w:eastAsia="zh-CN"/>
        </w:rPr>
        <w:t xml:space="preserve">工作有关事项的通知》（苏市监质监函〔2019〕182号）要求，于样品保存期满后，提交样品处置申请及具体方案，经采购人批准后实施。</w:t>
      </w:r>
      <w:r>
        <w:rPr>
          <w:rFonts w:hint="default" w:ascii="新宋体" w:hAnsi="新宋体" w:eastAsia="新宋体"/>
          <w:b w:val="0"/>
          <w:bCs w:val="0"/>
          <w:color w:val="auto"/>
          <w:sz w:val="24"/>
          <w:szCs w:val="24"/>
          <w:lang w:val="en-US" w:eastAsia="zh-CN"/>
        </w:rPr>
        <w:t xml:space="preserve"> </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（四）台账管理内容</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1. 建立抽样台账，记录抽样批次、产品类别、抽样数量、抽样地点及时间等信息。</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2. 建立样品接收与流转台账，记录样品编号、接收时间、交接人及各环节流转情况。</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3. 建立检测原始记录台账，做到随检随记、真实完整，不得涂改或事后补记。</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4. 建立检测报告台账，记录报告编号、出具时间、送达对象及签收情况。</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5. 建立设备、试剂及标准物质台账，记录使用、领用、检定校准及有效期情况。</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6. 台账实行专人管理、定期核查，确保账实相符、资料齐全。</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（五）信息化管理要求</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1. 有条件的应运用信息化手段实施样品及台账管理，实现数据自动记录、实时查询。</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2. 电子台账与纸质台账保持一致，数据备份安全可靠。</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（六）责任与考核</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1. 明确样品管理人员职责，实行岗位责任制，对样品及台账管理负责。</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2. 因管理不当造成样品损失或台账缺失的，按有关规定追究责任。</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3. 将样品及台账管理情况纳入项目考核，与绩效奖惩挂钩。</w:t>
      </w:r>
      <w:r/>
    </w:p>
    <w:p>
      <w:pPr>
        <w:ind w:firstLine="482"/>
        <w:keepLines w:val="0"/>
        <w:keepNext w:val="0"/>
        <w:pageBreakBefore w:val="0"/>
        <w:spacing w:line="360" w:lineRule="auto"/>
        <w:widowControl w:val="off"/>
        <w:rPr>
          <w:rFonts w:hint="eastAsia" w:ascii="新宋体" w:hAnsi="新宋体" w:eastAsia="新宋体"/>
          <w:b/>
          <w:bCs/>
          <w:color w:val="auto"/>
          <w:sz w:val="24"/>
          <w:szCs w:val="24"/>
          <w:lang w:val="en-US" w:eastAsia="zh-CN"/>
        </w:rPr>
        <w:outlineLvl w:val="9"/>
      </w:pPr>
      <w:r>
        <w:rPr>
          <w:rFonts w:hint="eastAsia" w:ascii="新宋体" w:hAnsi="新宋体" w:eastAsia="新宋体"/>
          <w:b/>
          <w:bCs/>
          <w:color w:val="auto"/>
          <w:sz w:val="24"/>
          <w:szCs w:val="24"/>
          <w:lang w:val="en-US" w:eastAsia="zh-CN"/>
        </w:rPr>
        <w:t xml:space="preserve">九、</w:t>
      </w:r>
      <w:r>
        <w:rPr>
          <w:rFonts w:ascii="新宋体" w:hAnsi="新宋体" w:eastAsia="新宋体"/>
          <w:b/>
          <w:bCs/>
          <w:color w:val="auto"/>
          <w:sz w:val="24"/>
          <w:szCs w:val="24"/>
        </w:rPr>
        <w:t xml:space="preserve">应急管理方案</w:t>
      </w:r>
      <w:r>
        <w:rPr>
          <w:rFonts w:hint="eastAsia" w:ascii="新宋体" w:hAnsi="新宋体" w:eastAsia="新宋体"/>
          <w:b/>
          <w:bCs/>
          <w:color w:val="auto"/>
          <w:sz w:val="24"/>
          <w:szCs w:val="24"/>
          <w:lang w:val="en-US" w:eastAsia="zh-CN"/>
        </w:rPr>
        <w:t xml:space="preserve">编制要求</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（一） 供应商应根据采购文件、检测服务方案及国家相关法律法规、强制性标准，编制本项目应急管理方案。应急管理方案应与检测服务方案、检验工作实施方案、质量控制方案相衔接，覆盖检验工作全过程可能发生的各类突发情况。</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（二）管理目标</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1. 建立健全应急管理体系，做到反应迅速、处置有效、报告及时。</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2. 最大限度减少突发事件对抽检任务进度和检测质量的影响，保障人员、样品及设备安全。</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3. 确保突发事件发生后能够快速恢复工作秩序，按期完成各项检验任务。</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（三）专项应急预案编制要求</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1. 供应商须编制专项突发事件应急处置预案，并作为应急管理方案的必要组成部分。</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2. 专项预案应至少覆盖以下场景：</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（1）紧急抽检、临时加急任务；</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（2）样品异常（损坏、污染、丢失）处置；</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（3）设备故障、检测故障处置；</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（4）上级突击核查；</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（5）突发质量事件处置。</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3. 专项预案应明确组织架构、人员分工、处置流程、质控保障、兜底措施及复盘整改机制。</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（四）应急组织机构</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1. 成立应急管理领导小组，由项目负责人担任组长，负责统一指挥、协调处置。</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2. 明确应急联络人，保持通讯畅通，确保信息及时上传下达。</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3. 明确各岗位应急处置职责，实行分级响应、各负其责。</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（五）响应时效要求</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1. 建立常态化7×24小时应急响应机制，确保随时受理采购人抽检、核查及应急任务。</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2. 接到采购人任务通知后，常规单程响应不超过3小时，支持1小时内极速到场处置。</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3. 响应文件须提供供应商检测地址至宿城区全域服务范围的导航时效、里程截图佐证，并加盖公章。</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（六）临时突击任务承接能力</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1. 具备随时承接临时、紧急、突击抽检任务的能力，保障突发任务快速响应、快速落地、快速闭环。</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2. 配备机动检测力量及备用设备，确保突发任务人员、设备及时到位。</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3. 建立任务快速启动机制，明确接单、启动、到场、检测、报告各环节时限。</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（七）风险识别与预防</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1. 识别检验工作中可能出现的风险，主要包括人员、设备、样品、环境及外部因素等方面。</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2. 制定风险预防措施，从源头上防范突发事件的发生。</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3. 定期开展风险排查和应急演练，提高应急处置能力。</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（八）应急处置措施</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1. 设备故障处置</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（1）检测设备发生故障时，立即停止使用，启用备用设备或替代方法继续检测。</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（2）及时联系维修或送检校准，评估对检测进度的影响并合理调整计划。</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2. 样品异常处置</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（1）样品损坏、污染、丢失时，第一时间报告项目负责人，查明原因并记录。</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（2）及时与采购人沟通，按规定程序安排补抽或重新抽样，确保任务不受影响。</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3. 安全事故处置</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（1）发生人员伤害、火灾等安全事故时，立即启动应急预案，优先保障人员安全。</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（2）按程序报告并配合相关部门调查处理，做好现场保护和记录。</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4. 数据与报告异常处置</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（1）发现检测数据异常或报告差错时，立即复核复测，查明原因并纠正。</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（2）涉及已出具报告的，按程序予以更正或作废，并向采购人书面说明。</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5. 不可抗力处置</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（1）遇自然灾害、疫情等不可抗力因素影响任务开展时，及时向采购人报告。</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（2）与采购人协商调整工作计划，尽量减少对项目进度的影响。</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（九）信息报告与沟通</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1. 突发事件发生后，应在规定时限内如实向采购人报告事件情况及处置措施。</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2. 做好应急处置全过程记录，及时汇总上报，确保信息完整可追溯。</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3. 加强与采购人及相关部门的沟通协调，主动接受监督指导。</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（十）善后与复盘整改</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1. 突发事件处置结束后，及时恢复正常检验工作秩序。</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2. 对事件原因、处置过程及结果进行分析总结，形成复盘报告，完善应急预案。</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3. 对相关人员开展警示教育，落实整改措施，防止类似事件再次发生。</w:t>
      </w:r>
      <w:r/>
    </w:p>
    <w:p>
      <w:pPr>
        <w:ind w:firstLine="482"/>
        <w:keepLines w:val="0"/>
        <w:keepNext w:val="0"/>
        <w:pageBreakBefore w:val="0"/>
        <w:spacing w:line="360" w:lineRule="auto"/>
        <w:widowControl w:val="off"/>
        <w:rPr>
          <w:rFonts w:hint="eastAsia" w:ascii="新宋体" w:hAnsi="新宋体" w:eastAsia="新宋体"/>
          <w:b/>
          <w:bCs/>
          <w:color w:val="auto"/>
          <w:sz w:val="24"/>
          <w:szCs w:val="24"/>
          <w:lang w:val="en-US" w:eastAsia="zh-CN"/>
        </w:rPr>
        <w:outlineLvl w:val="9"/>
      </w:pPr>
      <w:r>
        <w:rPr>
          <w:rFonts w:hint="eastAsia" w:ascii="新宋体" w:hAnsi="新宋体" w:eastAsia="新宋体"/>
          <w:b/>
          <w:bCs/>
          <w:color w:val="auto"/>
          <w:sz w:val="24"/>
          <w:szCs w:val="24"/>
          <w:lang w:val="en-US" w:eastAsia="zh-CN"/>
        </w:rPr>
        <w:t xml:space="preserve">十、</w:t>
      </w:r>
      <w:r>
        <w:rPr>
          <w:rFonts w:ascii="新宋体" w:hAnsi="新宋体" w:eastAsia="新宋体"/>
          <w:b/>
          <w:bCs/>
          <w:color w:val="auto"/>
          <w:sz w:val="24"/>
          <w:szCs w:val="24"/>
        </w:rPr>
        <w:t xml:space="preserve">保密管理措施</w:t>
      </w:r>
      <w:r>
        <w:rPr>
          <w:rFonts w:hint="eastAsia" w:ascii="新宋体" w:hAnsi="新宋体" w:eastAsia="新宋体"/>
          <w:b/>
          <w:bCs/>
          <w:color w:val="auto"/>
          <w:sz w:val="24"/>
          <w:szCs w:val="24"/>
          <w:lang w:val="en-US" w:eastAsia="zh-CN"/>
        </w:rPr>
        <w:t xml:space="preserve">编制要求</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（一）供应商应根据采购文件、检测服务方案及国家相关法律法规，编制本项目保密管理措施。</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1. 编制依据《中华人民共和国保守国家秘密法》及采购文件保密要求。</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2. 保密管理措施应与检测服务方案、质量控制方案、样品及台账管理方案相衔接，将保密要求贯穿抽检工作全过程。</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（二）保密管理目标</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1. 确保抽检信息、检测数据、检测报告及委托方资料不泄露、不遗失、不滥用。</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2. 实现保密工作制度化、规范化、常态化，杜绝泄密事件发生。</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3. 做到保密责任落实到岗、到人，全过程可控、可查、可追溯。</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（三）保密内容</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1. 对抽检计划、抽样地点、被检单位名单、抽检批次等抽检信息严格保密，不得提前泄露。</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2. 对检测数据、原始记录、检测报告及委托方提供的技术资料严格保密。</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3. 对涉及企业商业秘密、个人隐私及不宜公开的信息严格保密，不得用于本项目以外的任何用途。</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4. 不得擅自对外发布、传播与项目相关的任何信息，不得接受无关单位或个人对项目情况的询问。</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（四）保密措施</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1. 制度措施</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（1）建立健全保密管理制度，明确保密范围、保密责任、审批程序及违规处理规定。</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（2）与项目全体人员签订保密承诺书，明确保密义务及违约责任。</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（3）定期开展保密检查和保密教育，将保密要求纳入岗前培训内容。</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2. 人员措施</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（1）加强保密教育，提高全员保密意识，涉密岗位安排专人负责。</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（2）人员变动时做好资料交接和保密交接，离岗人员按规定履行脱密义务。</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（3）严格限定知悉范围，坚持按需知悉原则，不得越权查阅、复制、传递涉密信息。</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3. 技术措施</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（1）检测数据及报告实行权限管理，无关人员不得接触。</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（2）电子数据加密存储、安全传输，做好防病毒、防入侵及数据备份；纸质资料专柜存放、专人保管。</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（3）涉密载体的制作、使用、保管、销毁按规定程序办理，并留存记录。</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4. 过程管控</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（1）抽样、检测、报告出具各环节信息按需知悉，交接履行登记签字手续，全程可追溯。</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（2）样品及资料传递使用专用渠道，防止途中丢失、泄露。</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（3）项目结束或合同终止后，按规定及时移交或销毁相关涉密资料，不得私自留存。</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（五）违规处理</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1. 违反保密规定造成泄密的，按合同约定及有关规定追究责任，并承担相应损失赔偿责任。</w:t>
      </w:r>
      <w:r/>
    </w:p>
    <w:p>
      <w:pPr>
        <w:ind w:firstLine="480"/>
        <w:jc w:val="both"/>
        <w:keepLines w:val="0"/>
        <w:keepNext w:val="0"/>
        <w:pageBreakBefore w:val="0"/>
        <w:spacing w:after="0" w:line="360" w:lineRule="auto"/>
        <w:widowControl w:val="off"/>
        <w:rPr>
          <w:rFonts w:hint="eastAsia" w:ascii="新宋体" w:hAnsi="新宋体" w:eastAsia="新宋体"/>
          <w:b/>
          <w:bCs/>
          <w:color w:val="auto"/>
          <w:sz w:val="24"/>
          <w:szCs w:val="24"/>
          <w:lang w:val="en-US" w:eastAsia="zh-CN"/>
        </w:rPr>
      </w:pPr>
      <w:r>
        <w:rPr>
          <w:rFonts w:hint="eastAsia" w:ascii="新宋体" w:hAnsi="新宋体" w:eastAsia="新宋体"/>
          <w:b w:val="0"/>
          <w:bCs w:val="0"/>
          <w:color w:val="auto"/>
          <w:sz w:val="24"/>
          <w:szCs w:val="24"/>
          <w:lang w:val="en-US" w:eastAsia="zh-CN"/>
        </w:rPr>
        <w:t xml:space="preserve">2. 情节严重、涉嫌违法犯罪的，依法移送有关部门处理。</w:t>
      </w:r>
      <w:r/>
    </w:p>
    <w:p>
      <w:pPr>
        <w:ind w:firstLine="482"/>
        <w:keepLines w:val="0"/>
        <w:keepNext w:val="0"/>
        <w:pageBreakBefore w:val="0"/>
        <w:spacing w:line="360" w:lineRule="auto"/>
        <w:widowControl w:val="off"/>
        <w:rPr>
          <w:rFonts w:hint="eastAsia" w:ascii="新宋体" w:hAnsi="新宋体" w:eastAsia="新宋体"/>
          <w:b/>
          <w:bCs/>
          <w:color w:val="auto"/>
          <w:sz w:val="24"/>
          <w:szCs w:val="24"/>
          <w:lang w:val="en-US" w:eastAsia="zh-CN"/>
        </w:rPr>
        <w:outlineLvl w:val="9"/>
      </w:pPr>
      <w:r>
        <w:rPr>
          <w:rFonts w:hint="eastAsia" w:ascii="新宋体" w:hAnsi="新宋体" w:eastAsia="新宋体"/>
          <w:b/>
          <w:bCs/>
          <w:color w:val="auto"/>
          <w:sz w:val="24"/>
          <w:szCs w:val="24"/>
          <w:lang w:val="en-US" w:eastAsia="zh-CN"/>
        </w:rPr>
        <w:t xml:space="preserve">十一、</w:t>
      </w:r>
      <w:r>
        <w:rPr>
          <w:rFonts w:ascii="新宋体" w:hAnsi="新宋体" w:eastAsia="新宋体"/>
          <w:b/>
          <w:bCs/>
          <w:color w:val="auto"/>
          <w:sz w:val="24"/>
          <w:szCs w:val="24"/>
        </w:rPr>
        <w:t xml:space="preserve">异议处理与复检配合方案</w:t>
      </w:r>
      <w:r>
        <w:rPr>
          <w:rFonts w:hint="eastAsia" w:ascii="新宋体" w:hAnsi="新宋体" w:eastAsia="新宋体"/>
          <w:b/>
          <w:bCs/>
          <w:color w:val="auto"/>
          <w:sz w:val="24"/>
          <w:szCs w:val="24"/>
          <w:lang w:val="en-US" w:eastAsia="zh-CN"/>
        </w:rPr>
        <w:t xml:space="preserve">编制要求</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一）供应商应根据采购文件、检测服务方案及国家相关法律法规，编制本项目异议处理与复检配合方案。异议处理与复检配合方案应与检测服务方案、质量控制方案、应急管理方案相衔接，确保异议处理规范、复检配合到位。</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（二）工作目标</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1. 及时受理、规范处理被检单位对检测结果提出的异议，做到程序合法、答复及时、结论公正。</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2. 全力配合采购人及相关部门组织的复检、复验工作，确保复检工作顺利开展。</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3. 切实维护各方合法权益，减少争议，保障项目顺利实施。</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（三）异议受理</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1. 明确异议受理范围、受理方式及受理时限，异议处理联系人及联系方式。</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2. 被检单位对检测结果有异议的，按规定期限和程序提出书面申请，并说明理由及依据。</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3. 收到异议申请后及时登记、审查，在规定时限内作出是否受理的决定并告知申请人。</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（四）异议处理</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1. 对异议申请进行核查，调取抽样记录、原始记录及检测报告，核实检测程序及数据的真实性、准确性。</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2. 经核查无问题的，及时向申请人出具书面答复，说明依据和理由，做好解释工作。</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3. 经核查确有问题的，及时纠正，按程序重新检测或更正报告，并按规定向采购人报告。</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4. 对不属于受理范围的异议，依法依规说明原因，并告知申请人相应救济途径。</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（五）复检配合</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1. 复检机构确定后，按采购人要求及时提供样品、原始记录、检测方法及相关技术资料。</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2. 配合做好样品交接、封样状态确认等手续，确保复检样品真实、完整、可追溯。</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3. 复检期间如实提供技术支持，解答相关技术问题，不得阻挠、干扰复检工作。</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4. 复检结果与原检测结果不一致的，以复检机构出具的复检结论为准，按规定做好后续处理。</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（六）记录与归档</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1. 对异议受理、处理及复检配合全过程进行完整记录，做到有据可查。</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2. 相关申请、答复、复检报告及往来资料及时归档保存，按规定期限留存。</w:t>
      </w:r>
      <w:r/>
    </w:p>
    <w:p>
      <w:pPr>
        <w:ind w:firstLine="482"/>
        <w:keepLines w:val="0"/>
        <w:keepNext w:val="0"/>
        <w:pageBreakBefore w:val="0"/>
        <w:spacing w:line="360" w:lineRule="auto"/>
        <w:widowControl w:val="off"/>
        <w:rPr>
          <w:rFonts w:hint="eastAsia" w:ascii="新宋体" w:hAnsi="新宋体" w:eastAsia="新宋体"/>
          <w:b/>
          <w:bCs/>
          <w:color w:val="auto"/>
          <w:sz w:val="24"/>
          <w:szCs w:val="24"/>
          <w:lang w:val="en-US" w:eastAsia="zh-CN"/>
        </w:rPr>
        <w:outlineLvl w:val="9"/>
      </w:pPr>
      <w:r>
        <w:rPr>
          <w:rFonts w:hint="eastAsia" w:ascii="新宋体" w:hAnsi="新宋体" w:eastAsia="新宋体"/>
          <w:b/>
          <w:bCs/>
          <w:color w:val="auto"/>
          <w:sz w:val="24"/>
          <w:szCs w:val="24"/>
          <w:lang w:val="en-US" w:eastAsia="zh-CN"/>
        </w:rPr>
        <w:t xml:space="preserve">十二、</w:t>
      </w:r>
      <w:r>
        <w:rPr>
          <w:rFonts w:ascii="新宋体" w:hAnsi="新宋体" w:eastAsia="新宋体"/>
          <w:b/>
          <w:bCs/>
          <w:color w:val="auto"/>
          <w:sz w:val="24"/>
          <w:szCs w:val="24"/>
        </w:rPr>
        <w:t xml:space="preserve">报告与数据服务</w:t>
      </w:r>
      <w:r>
        <w:rPr>
          <w:rFonts w:hint="eastAsia" w:ascii="新宋体" w:hAnsi="新宋体" w:eastAsia="新宋体"/>
          <w:b/>
          <w:bCs/>
          <w:color w:val="auto"/>
          <w:sz w:val="24"/>
          <w:szCs w:val="24"/>
          <w:lang w:val="en-US" w:eastAsia="zh-CN"/>
        </w:rPr>
        <w:t xml:space="preserve">编制要求</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（一）供应商应根据采购文件、检测服务方案及国家相关法律法规，编制本项目报告与数据服务方案。 报告与数据服务方案应与检测服务方案、质量控制方案、样品及台账管理方案相衔接，确保报告规范、数据准确、报送及时。</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（二）服务目标</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1. 检测报告内容完整、结论明确、格式规范、签章齐全，按规定时限出具并送达。</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2. 检测数据统计准确、口径统一、报送及时，为采购人监督管理工作提供有效支撑。</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3. 实现报告及数据全过程可追溯、可核查，确保真实可靠。</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（三）检测报告服务</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1. 报告编制</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（1）检测报告应包含报告编号、样品信息、检测依据、检测项目、检测结果、判定结论等必备要素。</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（2）报告编制应数据准确、结论客观、语言规范，与原始记录一致，不得随意更改。</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（3）报告实行编制、审核、批准三级签认制度，加盖检验检测专用章及骑缝章。</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2. 报告出具</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（1）按规定时限完成检测并出具报告，紧急项目加急处理，确保满足采购人时间要求。</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（2）报告送达实行签收登记，送达方式及时间记录齐全。</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3. 报告管理</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（1）建立报告台账，统一编号、归档保存，实行专人管理。</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（2）报告补发、更正、作废按程序办理，留存完整记录并说明原因。</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（四）数据服务</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1. 数据统计</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（1）按产品类别、批次、区域等维度对抽检数据进行分类汇总统计。</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（2）统计结果准确、口径统一，编制数据统计报表及分析说明。</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2. 数据报送</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（1）按规定时限向采购人报送检测结果、统计报表及相关数据资料。</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（2）数据报送方式、格式及内容符合采购人要求，纸质与电子数据保持一致。</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3. 数据分析</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（1）对抽检数据进行综合分析，形成质量状况分析报告，提出意见建议。</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（2）发现区域性、行业性质量风险时，及时向采购人提示报告。</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（五）数据保密与安全</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1. 检测数据、报告及相关资料严格保密，按保密管理措施执行，不得擅自对外提供。</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2. 电子数据加密存储、权限管理、定期备份，确保数据安全完整。</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3. 数据及报告的查询、复制、传输履行审批登记手续，全程可追溯。</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（六）责任与保障</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1. 明确报告编制、审核及数据报送各岗位职责，实行责任追究制度。</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2. 配备专职人员负责报告及数据管理，加强培训，提高业务水平。</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3. 建立进度跟踪机制，对报告出具、数据报送滞后情况及时预警、及时整改。</w:t>
      </w:r>
      <w:r/>
    </w:p>
    <w:p>
      <w:pPr>
        <w:ind w:firstLine="482"/>
        <w:keepLines w:val="0"/>
        <w:keepNext w:val="0"/>
        <w:pageBreakBefore w:val="0"/>
        <w:spacing w:line="360" w:lineRule="auto"/>
        <w:widowControl w:val="off"/>
        <w:rPr>
          <w:rFonts w:hint="eastAsia" w:ascii="新宋体" w:hAnsi="新宋体" w:eastAsia="新宋体"/>
          <w:b/>
          <w:bCs/>
          <w:color w:val="auto"/>
          <w:sz w:val="24"/>
          <w:szCs w:val="24"/>
          <w:lang w:val="en-US" w:eastAsia="zh-CN"/>
        </w:rPr>
        <w:outlineLvl w:val="9"/>
      </w:pPr>
      <w:r>
        <w:rPr>
          <w:rFonts w:hint="eastAsia" w:ascii="新宋体" w:hAnsi="新宋体" w:eastAsia="新宋体"/>
          <w:b/>
          <w:bCs/>
          <w:color w:val="auto"/>
          <w:sz w:val="24"/>
          <w:szCs w:val="24"/>
          <w:lang w:val="en-US" w:eastAsia="zh-CN"/>
        </w:rPr>
        <w:t xml:space="preserve">十三、</w:t>
      </w:r>
      <w:r>
        <w:rPr>
          <w:rFonts w:ascii="新宋体" w:hAnsi="新宋体" w:eastAsia="新宋体"/>
          <w:b/>
          <w:bCs/>
          <w:color w:val="auto"/>
          <w:sz w:val="24"/>
          <w:szCs w:val="24"/>
        </w:rPr>
        <w:t xml:space="preserve">服务保障与技术支持</w:t>
      </w:r>
      <w:r>
        <w:rPr>
          <w:rFonts w:hint="eastAsia" w:ascii="新宋体" w:hAnsi="新宋体" w:eastAsia="新宋体"/>
          <w:b/>
          <w:bCs/>
          <w:color w:val="auto"/>
          <w:sz w:val="24"/>
          <w:szCs w:val="24"/>
          <w:lang w:val="en-US" w:eastAsia="zh-CN"/>
        </w:rPr>
        <w:t xml:space="preserve">方案编制要求</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（一） 供应商应根据采购文件、检测服务方案及国家相关法律法规，编制本项目服务保障与技术支持方案。 服务保障与技术支持方案应与检测服务方案、质量控制方案、应急管理方案相衔接，为项目顺利实施提供全方位支撑。</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（二）服务保障目标</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1. 建立高效、完善的服务保障体系，确保各项检测服务及时、优质、到位。</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2. 提供专业、及时的技术支持，妥善解答采购人及被检单位相关技术问题。</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3. 实现服务响应迅速、问题处理及时、服务对象满意，保障项目按期高质量完成。</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（三）服务承诺</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1. 严格按照采购文件及合同约定履行各项服务义务，保证服务质量和时限。</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2. 项目负责人全程在岗服务，保持通讯畅通，确保信息沟通及时有效。</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3. 主动接受采购人监督，对提出的问题和要求及时响应、整改到位。</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（四）服务保障措施</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1. 人员保障</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（1）配齐配足具有相应资质和经验的检测及服务人员，满足项目任务需要。</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（2）加强人员培训和管理，保证人员稳定，关键岗位不随意更换。</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2. 设备保障</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（1）检测设备满足项目技术要求，检定校准在有效期内，性能状态良好。</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（2）配备备用设备，防止因设备故障影响检测进度。</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3. 物资与后勤保障</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（1）做好试剂、标准物质、耗材的储备和管理，保障检测工作正常开展。</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（2）做好车辆、交通及安全防护等后勤保障，确保抽样及现场工作顺利实施。</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4. 进度保障</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（1）科学制定进度计划，合理分配任务，确保各环节按时完成。</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（2）建立进度跟踪和督办机制，对滞后环节及时调整、限期整改。</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5. 质量保障</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（1）严格执行质量控制方案，加强过程监控，确保检测结果准确可靠。</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（2）主动配合采购人组织的监督检查及考核评估。</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（五）技术支持服务</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1. 提供检测标准、技术规范等方面的专业咨询服务，解答相关技术问题。</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2. 对复杂样品、特殊项目的检测提供技术方案和支持，确保检测顺利实施。</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3. 配合采购人开展质量分析、风险研判等工作，提供数据支撑和专业意见。</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4. 根据需要开展技术培训、标准宣贯等活动，提升相关人员业务水平。</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（六）服务响应与回访</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1. 明确服务响应时限，采购人提出的问题一般事项即时处理，重大事项限时办结。</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2. 建立定期回访制度，主动征询采购人意见，及时改进服务质量。</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3. 对服务中存在的问题及时整改，并将处理情况向采购人反馈。</w:t>
      </w:r>
      <w:r/>
    </w:p>
    <w:p>
      <w:pPr>
        <w:pStyle w:val="1386"/>
        <w:ind w:firstLine="482"/>
        <w:keepLines w:val="0"/>
        <w:keepNext w:val="0"/>
        <w:pageBreakBefore w:val="0"/>
        <w:spacing w:line="360" w:lineRule="auto"/>
        <w:widowControl w:val="off"/>
        <w:rPr>
          <w:rFonts w:hint="default" w:ascii="宋体" w:hAnsi="宋体" w:eastAsia="宋体" w:cs="宋体"/>
          <w:b/>
          <w:bCs/>
          <w:color w:val="auto"/>
          <w:sz w:val="24"/>
          <w:szCs w:val="24"/>
          <w:highlight w:val="white"/>
          <w:lang w:val="en-US" w:eastAsia="zh-CN" w:bidi="ar-SA"/>
        </w:rPr>
        <w:outlineLvl w:val="9"/>
      </w:pPr>
      <w:r>
        <w:rPr>
          <w:rFonts w:hint="eastAsia" w:ascii="宋体" w:hAnsi="宋体" w:cs="宋体"/>
          <w:b/>
          <w:bCs/>
          <w:color w:val="auto"/>
          <w:sz w:val="24"/>
          <w:szCs w:val="24"/>
          <w:highlight w:val="white"/>
          <w:lang w:val="en-US" w:eastAsia="zh-CN" w:bidi="ar-SA"/>
        </w:rPr>
        <w:t xml:space="preserve">十四</w:t>
      </w:r>
      <w:r>
        <w:rPr>
          <w:rFonts w:hint="eastAsia" w:ascii="宋体" w:hAnsi="宋体" w:eastAsia="宋体" w:cs="宋体"/>
          <w:b/>
          <w:bCs/>
          <w:color w:val="auto"/>
          <w:sz w:val="24"/>
          <w:szCs w:val="24"/>
          <w:highlight w:val="white"/>
          <w:lang w:val="en-US" w:eastAsia="zh-CN" w:bidi="ar-SA"/>
        </w:rPr>
        <w:t xml:space="preserve">、</w:t>
      </w:r>
      <w:r>
        <w:rPr>
          <w:rFonts w:hint="default" w:ascii="宋体" w:hAnsi="宋体" w:eastAsia="宋体" w:cs="宋体"/>
          <w:b/>
          <w:bCs/>
          <w:color w:val="auto"/>
          <w:sz w:val="24"/>
          <w:szCs w:val="24"/>
          <w:highlight w:val="white"/>
          <w:lang w:val="en-US" w:eastAsia="zh-CN" w:bidi="ar-SA"/>
        </w:rPr>
        <w:t xml:space="preserve">考核管理</w:t>
      </w:r>
      <w:r>
        <w:rPr>
          <w:rFonts w:hint="eastAsia" w:ascii="宋体" w:hAnsi="宋体" w:eastAsia="宋体" w:cs="宋体"/>
          <w:b/>
          <w:bCs/>
          <w:color w:val="auto"/>
          <w:sz w:val="24"/>
          <w:szCs w:val="24"/>
          <w:highlight w:val="white"/>
          <w:lang w:val="en-US" w:eastAsia="zh-CN" w:bidi="ar-SA"/>
        </w:rPr>
        <w:t xml:space="preserve">要求</w:t>
      </w:r>
      <w:r/>
    </w:p>
    <w:p>
      <w:pPr>
        <w:ind w:firstLine="480"/>
        <w:jc w:val="left"/>
        <w:keepLines w:val="0"/>
        <w:keepNext w:val="0"/>
        <w:pageBreakBefore w:val="0"/>
        <w:spacing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本项目为短期集中履约项目，实行服务期满一次性综合量化考核，考核结果作为最终履约评价、费用结算、整改追责、信用留存、合同终止的唯一依据。考核总分100分，全部客观量化、无主观裁量。</w:t>
      </w:r>
      <w:r/>
    </w:p>
    <w:p>
      <w:pPr>
        <w:ind w:firstLine="480"/>
        <w:jc w:val="left"/>
        <w:keepLines w:val="0"/>
        <w:keepNext w:val="0"/>
        <w:pageBreakBefore w:val="0"/>
        <w:spacing w:line="360" w:lineRule="auto"/>
        <w:widowControl/>
        <w:rPr>
          <w:rFonts w:hint="default"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（一）</w:t>
      </w:r>
      <w:r>
        <w:rPr>
          <w:rFonts w:hint="default" w:ascii="宋体" w:hAnsi="宋体" w:eastAsia="宋体" w:cs="宋体"/>
          <w:color w:val="auto"/>
          <w:sz w:val="24"/>
          <w:szCs w:val="24"/>
          <w:lang w:val="en-US" w:eastAsia="zh-CN" w:bidi="ar"/>
        </w:rPr>
        <w:t xml:space="preserve">考核主体：宿迁市宿城区市场监督管理局</w:t>
      </w:r>
      <w:r/>
    </w:p>
    <w:p>
      <w:pPr>
        <w:ind w:firstLine="480"/>
        <w:jc w:val="left"/>
        <w:keepLines w:val="0"/>
        <w:keepNext w:val="0"/>
        <w:pageBreakBefore w:val="0"/>
        <w:spacing w:line="360" w:lineRule="auto"/>
        <w:widowControl/>
        <w:rPr>
          <w:rFonts w:hint="default"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（二）</w:t>
      </w:r>
      <w:r>
        <w:rPr>
          <w:rFonts w:hint="default" w:ascii="宋体" w:hAnsi="宋体" w:eastAsia="宋体" w:cs="宋体"/>
          <w:color w:val="auto"/>
          <w:sz w:val="24"/>
          <w:szCs w:val="24"/>
          <w:lang w:val="en-US" w:eastAsia="zh-CN" w:bidi="ar"/>
        </w:rPr>
        <w:t xml:space="preserve">考核对象：本项目各分包成交供应商（承检服务单位）</w:t>
      </w:r>
      <w:r>
        <w:rPr>
          <w:rFonts w:hint="eastAsia" w:ascii="宋体" w:hAnsi="宋体" w:eastAsia="宋体" w:cs="宋体"/>
          <w:color w:val="auto"/>
          <w:sz w:val="24"/>
          <w:szCs w:val="24"/>
          <w:lang w:val="en-US" w:eastAsia="zh-CN" w:bidi="ar"/>
        </w:rPr>
        <w:t xml:space="preserve">，如成交供应商为联合体，联合体任意一方发生本考核表所列任一违规情形，均视为联合体整体违约，采购人有权对联合体整体执行扣分、扣款、终止合同、追责索赔，联合体各方承担连带责任。</w:t>
      </w:r>
      <w:r/>
    </w:p>
    <w:p>
      <w:pPr>
        <w:ind w:firstLine="480"/>
        <w:jc w:val="left"/>
        <w:keepLines w:val="0"/>
        <w:keepNext w:val="0"/>
        <w:pageBreakBefore w:val="0"/>
        <w:spacing w:line="360" w:lineRule="auto"/>
        <w:widowControl/>
        <w:rPr>
          <w:rFonts w:hint="default"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（三）</w:t>
      </w:r>
      <w:r>
        <w:rPr>
          <w:rFonts w:hint="default" w:ascii="宋体" w:hAnsi="宋体" w:eastAsia="宋体" w:cs="宋体"/>
          <w:color w:val="auto"/>
          <w:sz w:val="24"/>
          <w:szCs w:val="24"/>
          <w:lang w:val="en-US" w:eastAsia="zh-CN" w:bidi="ar"/>
        </w:rPr>
        <w:t xml:space="preserve">抽检服务量化考核表</w:t>
      </w:r>
      <w:r/>
    </w:p>
    <w:tbl>
      <w:tblPr>
        <w:tblStyle w:val="678"/>
        <w:tblW w:w="9550" w:type="dxa"/>
        <w:tblInd w:w="-36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 w:type="dxa"/>
          <w:top w:w="0" w:type="dxa"/>
          <w:right w:w="10" w:type="dxa"/>
          <w:bottom w:w="0" w:type="dxa"/>
        </w:tblCellMar>
        <w:tblLook w:val="04A0" w:firstRow="1" w:lastRow="0" w:firstColumn="1" w:lastColumn="0" w:noHBand="0" w:noVBand="1"/>
      </w:tblPr>
      <w:tblGrid>
        <w:gridCol w:w="575"/>
        <w:gridCol w:w="950"/>
        <w:gridCol w:w="1063"/>
        <w:gridCol w:w="712"/>
        <w:gridCol w:w="3378"/>
        <w:gridCol w:w="2872"/>
      </w:tblGrid>
      <w:tr>
        <w:trPr>
          <w:trHeight w:val="568"/>
        </w:trPr>
        <w:tc>
          <w:tcPr>
            <w:shd w:val="clear" w:color="auto" w:fill="fbd4b4" w:themeFill="accent6" w:themeFillTint="66"/>
            <w:tcMar>
              <w:left w:w="120" w:type="dxa"/>
              <w:top w:w="60" w:type="dxa"/>
              <w:right w:w="120" w:type="dxa"/>
              <w:bottom w:w="30" w:type="dxa"/>
            </w:tcMar>
            <w:tcW w:w="575" w:type="dxa"/>
            <w:vAlign w:val="top"/>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bidi="ar"/>
              </w:rPr>
              <w:suppressLineNumbers w:val="0"/>
            </w:pPr>
            <w:r>
              <w:rPr>
                <w:rFonts w:hint="default" w:ascii="宋体" w:hAnsi="宋体" w:eastAsia="宋体" w:cs="宋体"/>
                <w:color w:val="auto"/>
                <w:sz w:val="24"/>
                <w:szCs w:val="24"/>
                <w:lang w:val="en-US" w:eastAsia="zh-CN" w:bidi="ar"/>
              </w:rPr>
              <w:t xml:space="preserve">序号</w:t>
            </w:r>
            <w:r/>
          </w:p>
        </w:tc>
        <w:tc>
          <w:tcPr>
            <w:shd w:val="clear" w:color="auto" w:fill="fbd4b4" w:themeFill="accent6" w:themeFillTint="66"/>
            <w:tcMar>
              <w:left w:w="120" w:type="dxa"/>
              <w:top w:w="60" w:type="dxa"/>
              <w:right w:w="120" w:type="dxa"/>
              <w:bottom w:w="30" w:type="dxa"/>
            </w:tcMar>
            <w:tcW w:w="950" w:type="dxa"/>
            <w:vAlign w:val="top"/>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bidi="ar"/>
              </w:rPr>
              <w:suppressLineNumbers w:val="0"/>
            </w:pPr>
            <w:r>
              <w:rPr>
                <w:rFonts w:hint="default" w:ascii="宋体" w:hAnsi="宋体" w:eastAsia="宋体" w:cs="宋体"/>
                <w:color w:val="auto"/>
                <w:sz w:val="24"/>
                <w:szCs w:val="24"/>
                <w:lang w:val="en-US" w:eastAsia="zh-CN" w:bidi="ar"/>
              </w:rPr>
              <w:t xml:space="preserve">考核大类</w:t>
            </w:r>
            <w:r/>
          </w:p>
        </w:tc>
        <w:tc>
          <w:tcPr>
            <w:shd w:val="clear" w:color="auto" w:fill="fbd4b4" w:themeFill="accent6" w:themeFillTint="66"/>
            <w:tcMar>
              <w:left w:w="120" w:type="dxa"/>
              <w:top w:w="60" w:type="dxa"/>
              <w:right w:w="120" w:type="dxa"/>
              <w:bottom w:w="30" w:type="dxa"/>
            </w:tcMar>
            <w:tcW w:w="1063" w:type="dxa"/>
            <w:vAlign w:val="top"/>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bidi="ar"/>
              </w:rPr>
              <w:suppressLineNumbers w:val="0"/>
            </w:pPr>
            <w:r>
              <w:rPr>
                <w:rFonts w:hint="eastAsia" w:ascii="宋体" w:hAnsi="宋体" w:cs="宋体"/>
                <w:color w:val="auto"/>
                <w:sz w:val="24"/>
                <w:szCs w:val="24"/>
                <w:lang w:val="en-US" w:eastAsia="zh-CN" w:bidi="ar"/>
              </w:rPr>
              <w:t xml:space="preserve">考核 分</w:t>
            </w:r>
            <w:r>
              <w:rPr>
                <w:rFonts w:hint="default" w:ascii="宋体" w:hAnsi="宋体" w:eastAsia="宋体" w:cs="宋体"/>
                <w:color w:val="auto"/>
                <w:sz w:val="24"/>
                <w:szCs w:val="24"/>
                <w:lang w:val="en-US" w:eastAsia="zh-CN" w:bidi="ar"/>
              </w:rPr>
              <w:t xml:space="preserve">项</w:t>
            </w:r>
            <w:r/>
          </w:p>
        </w:tc>
        <w:tc>
          <w:tcPr>
            <w:shd w:val="clear" w:color="auto" w:fill="fbd4b4" w:themeFill="accent6" w:themeFillTint="66"/>
            <w:tcMar>
              <w:left w:w="120" w:type="dxa"/>
              <w:top w:w="60" w:type="dxa"/>
              <w:right w:w="120" w:type="dxa"/>
              <w:bottom w:w="30" w:type="dxa"/>
            </w:tcMar>
            <w:tcW w:w="712" w:type="dxa"/>
            <w:vAlign w:val="top"/>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分值</w:t>
            </w:r>
            <w:r/>
          </w:p>
        </w:tc>
        <w:tc>
          <w:tcPr>
            <w:shd w:val="clear" w:color="auto" w:fill="fbd4b4" w:themeFill="accent6" w:themeFillTint="66"/>
            <w:tcMar>
              <w:left w:w="120" w:type="dxa"/>
              <w:top w:w="60" w:type="dxa"/>
              <w:right w:w="120" w:type="dxa"/>
              <w:bottom w:w="30" w:type="dxa"/>
            </w:tcMar>
            <w:tcW w:w="3378"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bidi="ar"/>
              </w:rPr>
              <w:suppressLineNumbers w:val="0"/>
            </w:pPr>
            <w:r>
              <w:rPr>
                <w:rFonts w:hint="default" w:ascii="宋体" w:hAnsi="宋体" w:eastAsia="宋体" w:cs="宋体"/>
                <w:color w:val="auto"/>
                <w:sz w:val="24"/>
                <w:szCs w:val="24"/>
                <w:lang w:val="en-US" w:eastAsia="zh-CN" w:bidi="ar"/>
              </w:rPr>
              <w:t xml:space="preserve">细化考核内容及量化标准</w:t>
            </w:r>
            <w:r/>
          </w:p>
        </w:tc>
        <w:tc>
          <w:tcPr>
            <w:shd w:val="clear" w:color="auto" w:fill="fbd4b4" w:themeFill="accent6" w:themeFillTint="66"/>
            <w:tcMar>
              <w:left w:w="120" w:type="dxa"/>
              <w:top w:w="60" w:type="dxa"/>
              <w:right w:w="120" w:type="dxa"/>
              <w:bottom w:w="30" w:type="dxa"/>
            </w:tcMar>
            <w:tcW w:w="2872" w:type="dxa"/>
            <w:vAlign w:val="top"/>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bidi="ar"/>
              </w:rPr>
              <w:suppressLineNumbers w:val="0"/>
            </w:pPr>
            <w:r>
              <w:rPr>
                <w:rFonts w:hint="default" w:ascii="宋体" w:hAnsi="宋体" w:eastAsia="宋体" w:cs="宋体"/>
                <w:color w:val="auto"/>
                <w:sz w:val="24"/>
                <w:szCs w:val="24"/>
                <w:lang w:val="en-US" w:eastAsia="zh-CN" w:bidi="ar"/>
              </w:rPr>
              <w:t xml:space="preserve">量化扣分规则（可叠加、扣完为止）</w:t>
            </w:r>
            <w:r/>
          </w:p>
        </w:tc>
      </w:tr>
      <w:tr>
        <w:trPr/>
        <w:tc>
          <w:tcPr>
            <w:tcMar>
              <w:left w:w="120" w:type="dxa"/>
              <w:top w:w="60" w:type="dxa"/>
              <w:right w:w="120" w:type="dxa"/>
              <w:bottom w:w="30" w:type="dxa"/>
            </w:tcMar>
            <w:tcW w:w="575" w:type="dxa"/>
            <w:vAlign w:val="center"/>
            <w:vMerge w:val="restart"/>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bidi="ar"/>
              </w:rPr>
              <w:suppressLineNumbers w:val="0"/>
            </w:pPr>
            <w:r>
              <w:rPr>
                <w:rFonts w:hint="default" w:ascii="宋体" w:hAnsi="宋体" w:eastAsia="宋体" w:cs="宋体"/>
                <w:color w:val="auto"/>
                <w:sz w:val="24"/>
                <w:szCs w:val="24"/>
                <w:lang w:val="en-US" w:eastAsia="zh-CN" w:bidi="ar"/>
              </w:rPr>
              <w:t xml:space="preserve">1</w:t>
            </w:r>
            <w:r/>
          </w:p>
        </w:tc>
        <w:tc>
          <w:tcPr>
            <w:tcMar>
              <w:left w:w="120" w:type="dxa"/>
              <w:top w:w="60" w:type="dxa"/>
              <w:right w:w="120" w:type="dxa"/>
              <w:bottom w:w="30" w:type="dxa"/>
            </w:tcMar>
            <w:tcW w:w="950" w:type="dxa"/>
            <w:vAlign w:val="center"/>
            <w:vMerge w:val="restart"/>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bidi="ar"/>
              </w:rPr>
              <w:suppressLineNumbers w:val="0"/>
            </w:pPr>
            <w:r>
              <w:rPr>
                <w:rFonts w:hint="default" w:ascii="宋体" w:hAnsi="宋体" w:eastAsia="宋体" w:cs="宋体"/>
                <w:color w:val="auto"/>
                <w:sz w:val="24"/>
                <w:szCs w:val="24"/>
                <w:lang w:val="en-US" w:eastAsia="zh-CN" w:bidi="ar"/>
              </w:rPr>
              <w:t xml:space="preserve">数据质量考核</w:t>
            </w:r>
            <w:r/>
          </w:p>
          <w:p>
            <w:pPr>
              <w:ind w:left="0" w:right="0" w:firstLine="0"/>
              <w:jc w:val="center"/>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w:t>
            </w:r>
            <w:r>
              <w:rPr>
                <w:rFonts w:hint="eastAsia" w:ascii="宋体" w:hAnsi="宋体" w:cs="宋体"/>
                <w:color w:val="auto"/>
                <w:sz w:val="24"/>
                <w:szCs w:val="24"/>
                <w:lang w:val="en-US" w:eastAsia="zh-CN" w:bidi="ar"/>
              </w:rPr>
              <w:t xml:space="preserve">32</w:t>
            </w:r>
            <w:r>
              <w:rPr>
                <w:rFonts w:hint="eastAsia" w:ascii="宋体" w:hAnsi="宋体" w:eastAsia="宋体" w:cs="宋体"/>
                <w:color w:val="auto"/>
                <w:sz w:val="24"/>
                <w:szCs w:val="24"/>
                <w:lang w:val="en-US" w:eastAsia="zh-CN" w:bidi="ar"/>
              </w:rPr>
              <w:t xml:space="preserve">分）</w:t>
            </w:r>
            <w:r/>
          </w:p>
          <w:p>
            <w:pPr>
              <w:ind w:left="0" w:right="0" w:firstLine="0"/>
              <w:jc w:val="center"/>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bidi="ar"/>
              </w:rPr>
              <w:suppressLineNumbers w:val="0"/>
            </w:pPr>
            <w:r>
              <w:rPr>
                <w:rFonts w:hint="default" w:ascii="宋体" w:hAnsi="宋体" w:eastAsia="宋体" w:cs="宋体"/>
                <w:color w:val="auto"/>
                <w:sz w:val="24"/>
                <w:szCs w:val="24"/>
                <w:lang w:val="en-US" w:eastAsia="zh-CN" w:bidi="ar"/>
              </w:rPr>
            </w:r>
            <w:r/>
          </w:p>
        </w:tc>
        <w:tc>
          <w:tcPr>
            <w:tcMar>
              <w:left w:w="120" w:type="dxa"/>
              <w:top w:w="60" w:type="dxa"/>
              <w:right w:w="120" w:type="dxa"/>
              <w:bottom w:w="30" w:type="dxa"/>
            </w:tcMar>
            <w:tcW w:w="1063"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bidi="ar"/>
              </w:rPr>
              <w:suppressLineNumbers w:val="0"/>
            </w:pPr>
            <w:r>
              <w:rPr>
                <w:rFonts w:hint="default" w:ascii="宋体" w:hAnsi="宋体" w:eastAsia="宋体" w:cs="宋体"/>
                <w:color w:val="auto"/>
                <w:sz w:val="24"/>
                <w:szCs w:val="24"/>
                <w:lang w:val="en-US" w:eastAsia="zh-CN" w:bidi="ar"/>
              </w:rPr>
              <w:t xml:space="preserve">数据准确性</w:t>
            </w:r>
            <w:r/>
          </w:p>
        </w:tc>
        <w:tc>
          <w:tcPr>
            <w:tcMar>
              <w:left w:w="120" w:type="dxa"/>
              <w:top w:w="60" w:type="dxa"/>
              <w:right w:w="120" w:type="dxa"/>
              <w:bottom w:w="30" w:type="dxa"/>
            </w:tcMar>
            <w:tcW w:w="712"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bidi="ar"/>
              </w:rPr>
              <w:suppressLineNumbers w:val="0"/>
            </w:pPr>
            <w:r>
              <w:rPr>
                <w:rFonts w:hint="eastAsia" w:ascii="宋体" w:hAnsi="宋体" w:cs="宋体"/>
                <w:color w:val="auto"/>
                <w:sz w:val="24"/>
                <w:szCs w:val="24"/>
                <w:lang w:val="en-US" w:eastAsia="zh-CN" w:bidi="ar"/>
              </w:rPr>
              <w:t xml:space="preserve">10</w:t>
            </w:r>
            <w:r/>
          </w:p>
        </w:tc>
        <w:tc>
          <w:tcPr>
            <w:tcMar>
              <w:left w:w="120" w:type="dxa"/>
              <w:top w:w="60" w:type="dxa"/>
              <w:right w:w="120" w:type="dxa"/>
              <w:bottom w:w="30" w:type="dxa"/>
            </w:tcMar>
            <w:tcW w:w="3378" w:type="dxa"/>
            <w:textDirection w:val="lrTb"/>
            <w:noWrap w:val="false"/>
          </w:tcPr>
          <w:p>
            <w:pPr>
              <w:ind w:left="0" w:right="0"/>
              <w:jc w:val="left"/>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bidi="ar"/>
              </w:rPr>
              <w:suppressLineNumbers w:val="0"/>
            </w:pPr>
            <w:r>
              <w:rPr>
                <w:rFonts w:hint="default" w:ascii="宋体" w:hAnsi="宋体" w:eastAsia="宋体" w:cs="宋体"/>
                <w:color w:val="auto"/>
                <w:sz w:val="24"/>
                <w:szCs w:val="24"/>
                <w:lang w:val="en-US" w:eastAsia="zh-CN" w:bidi="ar"/>
              </w:rPr>
              <w:t xml:space="preserve">供应商开展的现场抽样信息登记、样品基础参数录入、检验检测原始数据记录、产品质量结果判定、不合格项认定等全部内容，按照国家、行业、地方标准，所有填报数据、判定结论真实精准，无人为偏差、无录入错误、无结论错判，全程可复核、可溯源、可复检。</w:t>
            </w:r>
            <w:r/>
          </w:p>
        </w:tc>
        <w:tc>
          <w:tcPr>
            <w:tcMar>
              <w:left w:w="120" w:type="dxa"/>
              <w:top w:w="60" w:type="dxa"/>
              <w:right w:w="120" w:type="dxa"/>
              <w:bottom w:w="30" w:type="dxa"/>
            </w:tcMar>
            <w:tcW w:w="2872" w:type="dxa"/>
            <w:vAlign w:val="center"/>
            <w:textDirection w:val="lrTb"/>
            <w:noWrap w:val="false"/>
          </w:tcPr>
          <w:p>
            <w:pPr>
              <w:ind w:left="0" w:right="0"/>
              <w:jc w:val="left"/>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bidi="ar"/>
              </w:rPr>
              <w:suppressLineNumbers w:val="0"/>
            </w:pPr>
            <w:r>
              <w:rPr>
                <w:rFonts w:hint="default" w:ascii="宋体" w:hAnsi="宋体" w:eastAsia="宋体" w:cs="宋体"/>
                <w:color w:val="auto"/>
                <w:sz w:val="24"/>
                <w:szCs w:val="24"/>
                <w:lang w:val="en-US" w:eastAsia="zh-CN" w:bidi="ar"/>
              </w:rPr>
              <w:t xml:space="preserve">日常核查发现单条数据录入错误、参数不符、结论偏差的，每出现 1 处扣 2 分，累计扣分，本项分值扣完为止；因数据错误、结论错判导致检测报告失效、抽检结果无法使用、造成工作返工的，本项直接计 0 分并记录不良履约问题</w:t>
            </w:r>
            <w:r/>
          </w:p>
        </w:tc>
      </w:tr>
      <w:tr>
        <w:trPr>
          <w:trHeight w:val="1075"/>
        </w:trPr>
        <w:tc>
          <w:tcPr>
            <w:tcMar>
              <w:left w:w="120" w:type="dxa"/>
              <w:top w:w="60" w:type="dxa"/>
              <w:right w:w="120" w:type="dxa"/>
              <w:bottom w:w="30" w:type="dxa"/>
            </w:tcMar>
            <w:tcW w:w="575" w:type="dxa"/>
            <w:vAlign w:val="center"/>
            <w:vMerge w:val="continue"/>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bidi="ar"/>
              </w:rPr>
              <w:suppressLineNumbers w:val="0"/>
            </w:pPr>
            <w:r>
              <w:rPr>
                <w:rFonts w:hint="default" w:ascii="宋体" w:hAnsi="宋体" w:eastAsia="宋体" w:cs="宋体"/>
                <w:color w:val="auto"/>
                <w:sz w:val="24"/>
                <w:szCs w:val="24"/>
                <w:lang w:val="en-US" w:eastAsia="zh-CN" w:bidi="ar"/>
              </w:rPr>
            </w:r>
            <w:r/>
          </w:p>
        </w:tc>
        <w:tc>
          <w:tcPr>
            <w:tcMar>
              <w:left w:w="120" w:type="dxa"/>
              <w:top w:w="60" w:type="dxa"/>
              <w:right w:w="120" w:type="dxa"/>
              <w:bottom w:w="30" w:type="dxa"/>
            </w:tcMar>
            <w:tcW w:w="950" w:type="dxa"/>
            <w:vAlign w:val="center"/>
            <w:vMerge w:val="continue"/>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bidi="ar"/>
              </w:rPr>
              <w:suppressLineNumbers w:val="0"/>
            </w:pPr>
            <w:r>
              <w:rPr>
                <w:rFonts w:hint="default" w:ascii="宋体" w:hAnsi="宋体" w:eastAsia="宋体" w:cs="宋体"/>
                <w:color w:val="auto"/>
                <w:sz w:val="24"/>
                <w:szCs w:val="24"/>
                <w:lang w:val="en-US" w:eastAsia="zh-CN" w:bidi="ar"/>
              </w:rPr>
            </w:r>
            <w:r/>
          </w:p>
        </w:tc>
        <w:tc>
          <w:tcPr>
            <w:tcMar>
              <w:left w:w="120" w:type="dxa"/>
              <w:top w:w="60" w:type="dxa"/>
              <w:right w:w="120" w:type="dxa"/>
              <w:bottom w:w="30" w:type="dxa"/>
            </w:tcMar>
            <w:tcW w:w="1063"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bidi="ar"/>
              </w:rPr>
              <w:suppressLineNumbers w:val="0"/>
            </w:pPr>
            <w:r>
              <w:rPr>
                <w:rFonts w:hint="default" w:ascii="宋体" w:hAnsi="宋体" w:eastAsia="宋体" w:cs="宋体"/>
                <w:color w:val="auto"/>
                <w:sz w:val="24"/>
                <w:szCs w:val="24"/>
                <w:lang w:val="en-US" w:eastAsia="zh-CN" w:bidi="ar"/>
              </w:rPr>
              <w:t xml:space="preserve">数据规范性</w:t>
            </w:r>
            <w:r/>
          </w:p>
        </w:tc>
        <w:tc>
          <w:tcPr>
            <w:tcMar>
              <w:left w:w="120" w:type="dxa"/>
              <w:top w:w="60" w:type="dxa"/>
              <w:right w:w="120" w:type="dxa"/>
              <w:bottom w:w="30" w:type="dxa"/>
            </w:tcMar>
            <w:tcW w:w="712"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bidi="ar"/>
              </w:rPr>
              <w:suppressLineNumbers w:val="0"/>
            </w:pPr>
            <w:r>
              <w:rPr>
                <w:rFonts w:hint="eastAsia" w:ascii="宋体" w:hAnsi="宋体" w:cs="宋体"/>
                <w:color w:val="auto"/>
                <w:sz w:val="24"/>
                <w:szCs w:val="24"/>
                <w:lang w:val="en-US" w:eastAsia="zh-CN" w:bidi="ar"/>
              </w:rPr>
              <w:t xml:space="preserve">8</w:t>
            </w:r>
            <w:r/>
          </w:p>
        </w:tc>
        <w:tc>
          <w:tcPr>
            <w:tcMar>
              <w:left w:w="120" w:type="dxa"/>
              <w:top w:w="60" w:type="dxa"/>
              <w:right w:w="120" w:type="dxa"/>
              <w:bottom w:w="30" w:type="dxa"/>
            </w:tcMar>
            <w:tcW w:w="3378" w:type="dxa"/>
            <w:textDirection w:val="lrTb"/>
            <w:noWrap w:val="false"/>
          </w:tcPr>
          <w:p>
            <w:pPr>
              <w:ind w:left="0" w:right="0"/>
              <w:jc w:val="left"/>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bidi="ar"/>
              </w:rPr>
              <w:suppressLineNumbers w:val="0"/>
            </w:pPr>
            <w:r>
              <w:rPr>
                <w:rFonts w:hint="default" w:ascii="宋体" w:hAnsi="宋体" w:eastAsia="宋体" w:cs="宋体"/>
                <w:color w:val="auto"/>
                <w:sz w:val="24"/>
                <w:szCs w:val="24"/>
                <w:lang w:val="en-US" w:eastAsia="zh-CN" w:bidi="ar"/>
              </w:rPr>
              <w:t xml:space="preserve">供应商</w:t>
            </w:r>
            <w:r>
              <w:rPr>
                <w:rFonts w:hint="eastAsia" w:ascii="宋体" w:hAnsi="宋体" w:cs="宋体"/>
                <w:color w:val="auto"/>
                <w:sz w:val="24"/>
                <w:szCs w:val="24"/>
                <w:lang w:val="en-US" w:eastAsia="zh-CN" w:bidi="ar"/>
              </w:rPr>
              <w:t xml:space="preserve">根据</w:t>
            </w:r>
            <w:r>
              <w:rPr>
                <w:rFonts w:hint="default" w:ascii="宋体" w:hAnsi="宋体" w:eastAsia="宋体" w:cs="宋体"/>
                <w:color w:val="auto"/>
                <w:sz w:val="24"/>
                <w:szCs w:val="24"/>
                <w:lang w:val="en-US" w:eastAsia="zh-CN" w:bidi="ar"/>
              </w:rPr>
              <w:t xml:space="preserve">采购人档案管理标准化要求开展数据录入工作。所有系统字段填报齐全、填报格式统一、分类标准一致、台账资料规整，数据填报口径统一、资料归档格式规范，完全符合监管抽检档案标准化、规范化、制度化管理要求。</w:t>
            </w:r>
            <w:r/>
          </w:p>
        </w:tc>
        <w:tc>
          <w:tcPr>
            <w:tcMar>
              <w:left w:w="120" w:type="dxa"/>
              <w:top w:w="60" w:type="dxa"/>
              <w:right w:w="120" w:type="dxa"/>
              <w:bottom w:w="30" w:type="dxa"/>
            </w:tcMar>
            <w:tcW w:w="2872" w:type="dxa"/>
            <w:textDirection w:val="lrTb"/>
            <w:noWrap w:val="false"/>
          </w:tcPr>
          <w:p>
            <w:pPr>
              <w:ind w:left="0" w:right="0"/>
              <w:jc w:val="left"/>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bidi="ar"/>
              </w:rPr>
              <w:suppressLineNumbers w:val="0"/>
            </w:pPr>
            <w:r>
              <w:rPr>
                <w:rFonts w:hint="default" w:ascii="宋体" w:hAnsi="宋体" w:eastAsia="宋体" w:cs="宋体"/>
                <w:color w:val="auto"/>
                <w:sz w:val="24"/>
                <w:szCs w:val="24"/>
                <w:lang w:val="en-US" w:eastAsia="zh-CN" w:bidi="ar"/>
              </w:rPr>
              <w:t xml:space="preserve">出现字段缺失、填报格式混乱、分类不规范、台账归档不标准等不规范问题，单次扣 2 分，多次出现可累计扣分，本项分值扣完为止；多次整改仍不规范的，同步纳入履约差评记录。</w:t>
            </w:r>
            <w:r/>
          </w:p>
        </w:tc>
      </w:tr>
      <w:tr>
        <w:trPr/>
        <w:tc>
          <w:tcPr>
            <w:tcMar>
              <w:left w:w="120" w:type="dxa"/>
              <w:top w:w="60" w:type="dxa"/>
              <w:right w:w="120" w:type="dxa"/>
              <w:bottom w:w="30" w:type="dxa"/>
            </w:tcMar>
            <w:tcW w:w="575" w:type="dxa"/>
            <w:vMerge w:val="continue"/>
            <w:textDirection w:val="lrTb"/>
            <w:noWrap w:val="false"/>
          </w:tcPr>
          <w:p>
            <w:pPr>
              <w:ind w:left="0" w:right="0" w:firstLine="240"/>
              <w:jc w:val="left"/>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bidi="ar"/>
              </w:rPr>
              <w:suppressLineNumbers w:val="0"/>
            </w:pPr>
            <w:r>
              <w:rPr>
                <w:rFonts w:hint="default" w:ascii="宋体" w:hAnsi="宋体" w:eastAsia="宋体" w:cs="宋体"/>
                <w:color w:val="auto"/>
                <w:sz w:val="24"/>
                <w:szCs w:val="24"/>
                <w:lang w:val="en-US" w:eastAsia="zh-CN" w:bidi="ar"/>
              </w:rPr>
            </w:r>
            <w:r/>
          </w:p>
        </w:tc>
        <w:tc>
          <w:tcPr>
            <w:tcMar>
              <w:left w:w="120" w:type="dxa"/>
              <w:top w:w="60" w:type="dxa"/>
              <w:right w:w="120" w:type="dxa"/>
              <w:bottom w:w="30" w:type="dxa"/>
            </w:tcMar>
            <w:tcW w:w="950" w:type="dxa"/>
            <w:vMerge w:val="continue"/>
            <w:textDirection w:val="lrTb"/>
            <w:noWrap w:val="false"/>
          </w:tcPr>
          <w:p>
            <w:pPr>
              <w:ind w:left="0" w:right="0" w:firstLine="240"/>
              <w:jc w:val="left"/>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bidi="ar"/>
              </w:rPr>
              <w:suppressLineNumbers w:val="0"/>
            </w:pPr>
            <w:r>
              <w:rPr>
                <w:rFonts w:hint="default" w:ascii="宋体" w:hAnsi="宋体" w:eastAsia="宋体" w:cs="宋体"/>
                <w:color w:val="auto"/>
                <w:sz w:val="24"/>
                <w:szCs w:val="24"/>
                <w:lang w:val="en-US" w:eastAsia="zh-CN" w:bidi="ar"/>
              </w:rPr>
            </w:r>
            <w:r/>
          </w:p>
        </w:tc>
        <w:tc>
          <w:tcPr>
            <w:tcMar>
              <w:left w:w="120" w:type="dxa"/>
              <w:top w:w="60" w:type="dxa"/>
              <w:right w:w="120" w:type="dxa"/>
              <w:bottom w:w="30" w:type="dxa"/>
            </w:tcMar>
            <w:tcW w:w="1063"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bidi="ar"/>
              </w:rPr>
              <w:suppressLineNumbers w:val="0"/>
            </w:pPr>
            <w:r>
              <w:rPr>
                <w:rFonts w:hint="default" w:ascii="宋体" w:hAnsi="宋体" w:eastAsia="宋体" w:cs="宋体"/>
                <w:color w:val="auto"/>
                <w:sz w:val="24"/>
                <w:szCs w:val="24"/>
                <w:lang w:val="en-US" w:eastAsia="zh-CN" w:bidi="ar"/>
              </w:rPr>
              <w:t xml:space="preserve">数据及时性</w:t>
            </w:r>
            <w:r/>
          </w:p>
        </w:tc>
        <w:tc>
          <w:tcPr>
            <w:tcMar>
              <w:left w:w="120" w:type="dxa"/>
              <w:top w:w="60" w:type="dxa"/>
              <w:right w:w="120" w:type="dxa"/>
              <w:bottom w:w="30" w:type="dxa"/>
            </w:tcMar>
            <w:tcW w:w="712"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bidi="ar"/>
              </w:rPr>
              <w:suppressLineNumbers w:val="0"/>
            </w:pPr>
            <w:r>
              <w:rPr>
                <w:rFonts w:hint="eastAsia" w:ascii="宋体" w:hAnsi="宋体" w:cs="宋体"/>
                <w:color w:val="auto"/>
                <w:sz w:val="24"/>
                <w:szCs w:val="24"/>
                <w:lang w:val="en-US" w:eastAsia="zh-CN" w:bidi="ar"/>
              </w:rPr>
              <w:t xml:space="preserve">8</w:t>
            </w:r>
            <w:r/>
          </w:p>
        </w:tc>
        <w:tc>
          <w:tcPr>
            <w:tcMar>
              <w:left w:w="120" w:type="dxa"/>
              <w:top w:w="60" w:type="dxa"/>
              <w:right w:w="120" w:type="dxa"/>
              <w:bottom w:w="30" w:type="dxa"/>
            </w:tcMar>
            <w:tcW w:w="3378" w:type="dxa"/>
            <w:textDirection w:val="lrTb"/>
            <w:noWrap w:val="false"/>
          </w:tcPr>
          <w:p>
            <w:pPr>
              <w:ind w:left="0" w:right="0"/>
              <w:jc w:val="left"/>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bidi="ar"/>
              </w:rPr>
              <w:suppressLineNumbers w:val="0"/>
            </w:pPr>
            <w:r>
              <w:rPr>
                <w:rFonts w:hint="default" w:ascii="宋体" w:hAnsi="宋体" w:eastAsia="宋体" w:cs="宋体"/>
                <w:color w:val="auto"/>
                <w:sz w:val="24"/>
                <w:szCs w:val="24"/>
                <w:lang w:val="en-US" w:eastAsia="zh-CN" w:bidi="ar"/>
              </w:rPr>
              <w:t xml:space="preserve">供应商须严格按照采购人规定的工作时限、系统录入时限、阶段性工作节点要求，完成现场抽样信息登记、检测结果录入、数据校核确认、系统上报归档、阶段性汇总报送等全部工作。做到当日工作当日闭环、阶段任务按时清零，无迟录、漏录、补录、拖延归档、逾期上报等问题，保障全区抽检工作整体进度有序推进。</w:t>
            </w:r>
            <w:r/>
          </w:p>
        </w:tc>
        <w:tc>
          <w:tcPr>
            <w:tcMar>
              <w:left w:w="120" w:type="dxa"/>
              <w:top w:w="60" w:type="dxa"/>
              <w:right w:w="120" w:type="dxa"/>
              <w:bottom w:w="30" w:type="dxa"/>
            </w:tcMar>
            <w:tcW w:w="2872" w:type="dxa"/>
            <w:vAlign w:val="center"/>
            <w:textDirection w:val="lrTb"/>
            <w:noWrap w:val="false"/>
          </w:tcPr>
          <w:p>
            <w:pPr>
              <w:ind w:left="0" w:right="0" w:firstLine="240"/>
              <w:jc w:val="left"/>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bidi="ar"/>
              </w:rPr>
              <w:suppressLineNumbers w:val="0"/>
            </w:pPr>
            <w:r>
              <w:rPr>
                <w:rFonts w:ascii="宋体" w:hAnsi="宋体" w:eastAsia="宋体" w:cs="宋体"/>
                <w:sz w:val="24"/>
                <w:szCs w:val="24"/>
              </w:rPr>
              <w:t xml:space="preserve">一般性轻微超时、滞后上报的单次扣 2 分；严重超时、漏录、长期拖延归档，影响采购人整体工作汇总、上级数据报送的，单次扣 4 分；同一问题反复出现加倍扣分，分值扣完为止。</w:t>
            </w:r>
            <w:r/>
          </w:p>
        </w:tc>
      </w:tr>
      <w:tr>
        <w:trPr>
          <w:trHeight w:val="3121"/>
        </w:trPr>
        <w:tc>
          <w:tcPr>
            <w:tcMar>
              <w:left w:w="120" w:type="dxa"/>
              <w:top w:w="60" w:type="dxa"/>
              <w:right w:w="120" w:type="dxa"/>
              <w:bottom w:w="30" w:type="dxa"/>
            </w:tcMar>
            <w:tcW w:w="575" w:type="dxa"/>
            <w:vMerge w:val="continue"/>
            <w:textDirection w:val="lrTb"/>
            <w:noWrap w:val="false"/>
          </w:tcPr>
          <w:p>
            <w:pPr>
              <w:ind w:left="0" w:right="0" w:firstLine="240"/>
              <w:jc w:val="left"/>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bidi="ar"/>
              </w:rPr>
              <w:suppressLineNumbers w:val="0"/>
            </w:pPr>
            <w:r>
              <w:rPr>
                <w:rFonts w:hint="default" w:ascii="宋体" w:hAnsi="宋体" w:eastAsia="宋体" w:cs="宋体"/>
                <w:color w:val="auto"/>
                <w:sz w:val="24"/>
                <w:szCs w:val="24"/>
                <w:lang w:val="en-US" w:eastAsia="zh-CN" w:bidi="ar"/>
              </w:rPr>
            </w:r>
            <w:r/>
          </w:p>
        </w:tc>
        <w:tc>
          <w:tcPr>
            <w:tcMar>
              <w:left w:w="120" w:type="dxa"/>
              <w:top w:w="60" w:type="dxa"/>
              <w:right w:w="120" w:type="dxa"/>
              <w:bottom w:w="30" w:type="dxa"/>
            </w:tcMar>
            <w:tcW w:w="950" w:type="dxa"/>
            <w:vMerge w:val="continue"/>
            <w:textDirection w:val="lrTb"/>
            <w:noWrap w:val="false"/>
          </w:tcPr>
          <w:p>
            <w:pPr>
              <w:ind w:left="0" w:right="0" w:firstLine="240"/>
              <w:jc w:val="left"/>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bidi="ar"/>
              </w:rPr>
              <w:suppressLineNumbers w:val="0"/>
            </w:pPr>
            <w:r>
              <w:rPr>
                <w:rFonts w:hint="default" w:ascii="宋体" w:hAnsi="宋体" w:eastAsia="宋体" w:cs="宋体"/>
                <w:color w:val="auto"/>
                <w:sz w:val="24"/>
                <w:szCs w:val="24"/>
                <w:lang w:val="en-US" w:eastAsia="zh-CN" w:bidi="ar"/>
              </w:rPr>
            </w:r>
            <w:r/>
          </w:p>
        </w:tc>
        <w:tc>
          <w:tcPr>
            <w:tcMar>
              <w:left w:w="120" w:type="dxa"/>
              <w:top w:w="60" w:type="dxa"/>
              <w:right w:w="120" w:type="dxa"/>
              <w:bottom w:w="30" w:type="dxa"/>
            </w:tcMar>
            <w:tcW w:w="1063"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bidi="ar"/>
              </w:rPr>
              <w:suppressLineNumbers w:val="0"/>
            </w:pPr>
            <w:r>
              <w:rPr>
                <w:rFonts w:hint="default" w:ascii="宋体" w:hAnsi="宋体" w:eastAsia="宋体" w:cs="宋体"/>
                <w:color w:val="auto"/>
                <w:sz w:val="24"/>
                <w:szCs w:val="24"/>
                <w:lang w:val="en-US" w:eastAsia="zh-CN" w:bidi="ar"/>
              </w:rPr>
              <w:t xml:space="preserve">数据真实性</w:t>
            </w:r>
            <w:r/>
          </w:p>
        </w:tc>
        <w:tc>
          <w:tcPr>
            <w:tcMar>
              <w:left w:w="120" w:type="dxa"/>
              <w:top w:w="60" w:type="dxa"/>
              <w:right w:w="120" w:type="dxa"/>
              <w:bottom w:w="30" w:type="dxa"/>
            </w:tcMar>
            <w:tcW w:w="712"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bidi="ar"/>
              </w:rPr>
              <w:suppressLineNumbers w:val="0"/>
            </w:pPr>
            <w:r>
              <w:rPr>
                <w:rFonts w:hint="eastAsia" w:ascii="宋体" w:hAnsi="宋体" w:cs="宋体"/>
                <w:color w:val="auto"/>
                <w:sz w:val="24"/>
                <w:szCs w:val="24"/>
                <w:lang w:val="en-US" w:eastAsia="zh-CN" w:bidi="ar"/>
              </w:rPr>
              <w:t xml:space="preserve">6</w:t>
            </w:r>
            <w:r/>
          </w:p>
        </w:tc>
        <w:tc>
          <w:tcPr>
            <w:tcMar>
              <w:left w:w="120" w:type="dxa"/>
              <w:top w:w="60" w:type="dxa"/>
              <w:right w:w="120" w:type="dxa"/>
              <w:bottom w:w="30" w:type="dxa"/>
            </w:tcMar>
            <w:tcW w:w="3378" w:type="dxa"/>
            <w:textDirection w:val="lrTb"/>
            <w:noWrap w:val="false"/>
          </w:tcPr>
          <w:p>
            <w:pPr>
              <w:ind w:left="0" w:right="0"/>
              <w:jc w:val="left"/>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bidi="ar"/>
              </w:rPr>
              <w:suppressLineNumbers w:val="0"/>
            </w:pPr>
            <w:r>
              <w:rPr>
                <w:rFonts w:hint="default" w:ascii="宋体" w:hAnsi="宋体" w:eastAsia="宋体" w:cs="宋体"/>
                <w:color w:val="auto"/>
                <w:sz w:val="24"/>
                <w:szCs w:val="24"/>
                <w:lang w:val="en-US" w:eastAsia="zh-CN" w:bidi="ar"/>
              </w:rPr>
              <w:t xml:space="preserve">供应商所有抽样数据、检测原始数据、系统填报信息、台账记录资料必须真实、客观、完整，严格恪守检验检测诚信准则。严禁出现虚假填报、随意篡改数据、人为修正检测结果、虚报抽检批次、瞒报不合格数据、伪造抽检记录等失信违规行为，所有数据全程留痕、可核查、可追溯。</w:t>
            </w:r>
            <w:r/>
          </w:p>
        </w:tc>
        <w:tc>
          <w:tcPr>
            <w:tcMar>
              <w:left w:w="120" w:type="dxa"/>
              <w:top w:w="60" w:type="dxa"/>
              <w:right w:w="120" w:type="dxa"/>
              <w:bottom w:w="30" w:type="dxa"/>
            </w:tcMar>
            <w:tcW w:w="2872" w:type="dxa"/>
            <w:vAlign w:val="center"/>
            <w:textDirection w:val="lrTb"/>
            <w:noWrap w:val="false"/>
          </w:tcPr>
          <w:p>
            <w:pPr>
              <w:ind w:left="0" w:right="0"/>
              <w:jc w:val="left"/>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bidi="ar"/>
              </w:rPr>
              <w:suppressLineNumbers w:val="0"/>
            </w:pPr>
            <w:r>
              <w:rPr>
                <w:rFonts w:hint="default" w:ascii="宋体" w:hAnsi="宋体" w:eastAsia="宋体" w:cs="宋体"/>
                <w:color w:val="auto"/>
                <w:sz w:val="24"/>
                <w:szCs w:val="24"/>
                <w:lang w:val="en-US" w:eastAsia="zh-CN" w:bidi="ar"/>
              </w:rPr>
              <w:t xml:space="preserve">核查发现存在数据造假、私自篡改数据、虚报瞒报、虚假记录等失信行为，本项直接计 0 分，记入严重不良履约记录，限期提交专项整改报告，情节严重的直接触发合同违约追责条款。</w:t>
            </w:r>
            <w:r/>
          </w:p>
        </w:tc>
      </w:tr>
      <w:tr>
        <w:trPr/>
        <w:tc>
          <w:tcPr>
            <w:tcMar>
              <w:left w:w="120" w:type="dxa"/>
              <w:top w:w="60" w:type="dxa"/>
              <w:right w:w="120" w:type="dxa"/>
              <w:bottom w:w="30" w:type="dxa"/>
            </w:tcMar>
            <w:tcW w:w="575" w:type="dxa"/>
            <w:vAlign w:val="center"/>
            <w:vMerge w:val="restart"/>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bidi="ar"/>
              </w:rPr>
              <w:suppressLineNumbers w:val="0"/>
            </w:pPr>
            <w:r>
              <w:rPr>
                <w:rFonts w:hint="default" w:ascii="宋体" w:hAnsi="宋体" w:eastAsia="宋体" w:cs="宋体"/>
                <w:color w:val="auto"/>
                <w:sz w:val="24"/>
                <w:szCs w:val="24"/>
                <w:lang w:val="en-US" w:eastAsia="zh-CN" w:bidi="ar"/>
              </w:rPr>
              <w:t xml:space="preserve">2</w:t>
            </w:r>
            <w:r/>
          </w:p>
        </w:tc>
        <w:tc>
          <w:tcPr>
            <w:tcMar>
              <w:left w:w="120" w:type="dxa"/>
              <w:top w:w="60" w:type="dxa"/>
              <w:right w:w="120" w:type="dxa"/>
              <w:bottom w:w="30" w:type="dxa"/>
            </w:tcMar>
            <w:tcW w:w="950" w:type="dxa"/>
            <w:vAlign w:val="center"/>
            <w:vMerge w:val="restart"/>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bidi="ar"/>
              </w:rPr>
              <w:suppressLineNumbers w:val="0"/>
            </w:pPr>
            <w:r>
              <w:rPr>
                <w:rFonts w:hint="default" w:ascii="宋体" w:hAnsi="宋体" w:eastAsia="宋体" w:cs="宋体"/>
                <w:color w:val="auto"/>
                <w:sz w:val="24"/>
                <w:szCs w:val="24"/>
                <w:lang w:val="en-US" w:eastAsia="zh-CN" w:bidi="ar"/>
              </w:rPr>
              <w:t xml:space="preserve">日常履约考核</w:t>
            </w:r>
            <w:r/>
          </w:p>
          <w:p>
            <w:pPr>
              <w:ind w:left="0" w:right="0" w:firstLine="0"/>
              <w:jc w:val="center"/>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bidi="ar"/>
              </w:rPr>
              <w:suppressLineNumbers w:val="0"/>
            </w:pPr>
            <w:r>
              <w:rPr>
                <w:rFonts w:hint="default" w:ascii="宋体" w:hAnsi="宋体" w:eastAsia="宋体" w:cs="宋体"/>
                <w:color w:val="auto"/>
                <w:sz w:val="24"/>
                <w:szCs w:val="24"/>
                <w:lang w:val="en-US" w:eastAsia="zh-CN" w:bidi="ar"/>
              </w:rPr>
              <w:t xml:space="preserve">（3</w:t>
            </w:r>
            <w:r>
              <w:rPr>
                <w:rFonts w:hint="eastAsia" w:ascii="宋体" w:hAnsi="宋体" w:cs="宋体"/>
                <w:color w:val="auto"/>
                <w:sz w:val="24"/>
                <w:szCs w:val="24"/>
                <w:lang w:val="en-US" w:eastAsia="zh-CN" w:bidi="ar"/>
              </w:rPr>
              <w:t xml:space="preserve">0</w:t>
            </w:r>
            <w:r>
              <w:rPr>
                <w:rFonts w:hint="default" w:ascii="宋体" w:hAnsi="宋体" w:eastAsia="宋体" w:cs="宋体"/>
                <w:color w:val="auto"/>
                <w:sz w:val="24"/>
                <w:szCs w:val="24"/>
                <w:lang w:val="en-US" w:eastAsia="zh-CN" w:bidi="ar"/>
              </w:rPr>
              <w:t xml:space="preserve">分）</w:t>
            </w:r>
            <w:r/>
          </w:p>
        </w:tc>
        <w:tc>
          <w:tcPr>
            <w:tcMar>
              <w:left w:w="120" w:type="dxa"/>
              <w:top w:w="60" w:type="dxa"/>
              <w:right w:w="120" w:type="dxa"/>
              <w:bottom w:w="30" w:type="dxa"/>
            </w:tcMar>
            <w:tcW w:w="1063"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bidi="ar"/>
              </w:rPr>
              <w:suppressLineNumbers w:val="0"/>
            </w:pPr>
            <w:r>
              <w:rPr>
                <w:rFonts w:hint="default" w:ascii="宋体" w:hAnsi="宋体" w:eastAsia="宋体" w:cs="宋体"/>
                <w:color w:val="auto"/>
                <w:sz w:val="24"/>
                <w:szCs w:val="24"/>
                <w:lang w:val="en-US" w:eastAsia="zh-CN" w:bidi="ar"/>
              </w:rPr>
              <w:t xml:space="preserve">任务履约效率</w:t>
            </w:r>
            <w:r/>
          </w:p>
        </w:tc>
        <w:tc>
          <w:tcPr>
            <w:tcMar>
              <w:left w:w="120" w:type="dxa"/>
              <w:top w:w="60" w:type="dxa"/>
              <w:right w:w="120" w:type="dxa"/>
              <w:bottom w:w="30" w:type="dxa"/>
            </w:tcMar>
            <w:tcW w:w="712"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bidi="ar"/>
              </w:rPr>
              <w:suppressLineNumbers w:val="0"/>
            </w:pPr>
            <w:r>
              <w:rPr>
                <w:rFonts w:hint="eastAsia" w:ascii="宋体" w:hAnsi="宋体" w:cs="宋体"/>
                <w:color w:val="auto"/>
                <w:sz w:val="24"/>
                <w:szCs w:val="24"/>
                <w:lang w:val="en-US" w:eastAsia="zh-CN" w:bidi="ar"/>
              </w:rPr>
              <w:t xml:space="preserve">8</w:t>
            </w:r>
            <w:r/>
          </w:p>
        </w:tc>
        <w:tc>
          <w:tcPr>
            <w:tcMar>
              <w:left w:w="120" w:type="dxa"/>
              <w:top w:w="60" w:type="dxa"/>
              <w:right w:w="120" w:type="dxa"/>
              <w:bottom w:w="30" w:type="dxa"/>
            </w:tcMar>
            <w:tcW w:w="3378" w:type="dxa"/>
            <w:textDirection w:val="lrTb"/>
            <w:noWrap w:val="false"/>
          </w:tcPr>
          <w:p>
            <w:pPr>
              <w:ind w:left="0" w:right="0"/>
              <w:jc w:val="left"/>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bidi="ar"/>
              </w:rPr>
              <w:suppressLineNumbers w:val="0"/>
            </w:pPr>
            <w:r>
              <w:rPr>
                <w:rFonts w:hint="default" w:ascii="宋体" w:hAnsi="宋体" w:eastAsia="宋体" w:cs="宋体"/>
                <w:color w:val="auto"/>
                <w:sz w:val="24"/>
                <w:szCs w:val="24"/>
                <w:lang w:val="en-US" w:eastAsia="zh-CN" w:bidi="ar"/>
              </w:rPr>
              <w:t xml:space="preserve">供应商须严格对标采购人抽检工作计划及临时抽检任务安排，科学统筹抽样、送样、检测、出报告、数据汇总等全流程工作。合理排布工作进度，均衡推进各品类、各批次抽检任务，做到任务不积压、进度不滞后、节点不拖延，保质、保量、按时完成全部承检任务，保障产品质量监督抽检工作有序、均衡、高效开展。</w:t>
            </w:r>
            <w:r/>
          </w:p>
        </w:tc>
        <w:tc>
          <w:tcPr>
            <w:tcMar>
              <w:left w:w="120" w:type="dxa"/>
              <w:top w:w="60" w:type="dxa"/>
              <w:right w:w="120" w:type="dxa"/>
              <w:bottom w:w="30" w:type="dxa"/>
            </w:tcMar>
            <w:tcW w:w="2872" w:type="dxa"/>
            <w:vAlign w:val="center"/>
            <w:textDirection w:val="lrTb"/>
            <w:noWrap w:val="false"/>
          </w:tcPr>
          <w:p>
            <w:pPr>
              <w:ind w:left="0" w:right="0"/>
              <w:jc w:val="left"/>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bidi="ar"/>
              </w:rPr>
              <w:suppressLineNumbers w:val="0"/>
            </w:pPr>
            <w:r>
              <w:rPr>
                <w:rFonts w:hint="default" w:ascii="宋体" w:hAnsi="宋体" w:eastAsia="宋体" w:cs="宋体"/>
                <w:color w:val="auto"/>
                <w:sz w:val="24"/>
                <w:szCs w:val="24"/>
                <w:lang w:val="en-US" w:eastAsia="zh-CN" w:bidi="ar"/>
              </w:rPr>
              <w:t xml:space="preserve">日常抽检进度不均衡、批次积压、工作推进缓慢的单次扣 2 分；未按期完成阶段性既定抽检任务、影响整体工作收官的单次扣 4 分，问题累计叠加扣分，分值扣完为止。</w:t>
            </w:r>
            <w:r/>
          </w:p>
        </w:tc>
      </w:tr>
      <w:tr>
        <w:trPr/>
        <w:tc>
          <w:tcPr>
            <w:tcMar>
              <w:left w:w="120" w:type="dxa"/>
              <w:top w:w="60" w:type="dxa"/>
              <w:right w:w="120" w:type="dxa"/>
              <w:bottom w:w="30" w:type="dxa"/>
            </w:tcMar>
            <w:tcW w:w="575" w:type="dxa"/>
            <w:vMerge w:val="continue"/>
            <w:textDirection w:val="lrTb"/>
            <w:noWrap w:val="false"/>
          </w:tcPr>
          <w:p>
            <w:pPr>
              <w:ind w:left="0" w:right="0" w:firstLine="240"/>
              <w:jc w:val="left"/>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bidi="ar"/>
              </w:rPr>
              <w:suppressLineNumbers w:val="0"/>
            </w:pPr>
            <w:r>
              <w:rPr>
                <w:rFonts w:hint="default" w:ascii="宋体" w:hAnsi="宋体" w:eastAsia="宋体" w:cs="宋体"/>
                <w:color w:val="auto"/>
                <w:sz w:val="24"/>
                <w:szCs w:val="24"/>
                <w:lang w:val="en-US" w:eastAsia="zh-CN" w:bidi="ar"/>
              </w:rPr>
            </w:r>
            <w:r/>
          </w:p>
        </w:tc>
        <w:tc>
          <w:tcPr>
            <w:tcMar>
              <w:left w:w="120" w:type="dxa"/>
              <w:top w:w="60" w:type="dxa"/>
              <w:right w:w="120" w:type="dxa"/>
              <w:bottom w:w="30" w:type="dxa"/>
            </w:tcMar>
            <w:tcW w:w="950" w:type="dxa"/>
            <w:vMerge w:val="continue"/>
            <w:textDirection w:val="lrTb"/>
            <w:noWrap w:val="false"/>
          </w:tcPr>
          <w:p>
            <w:pPr>
              <w:ind w:left="0" w:right="0" w:firstLine="240"/>
              <w:jc w:val="left"/>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bidi="ar"/>
              </w:rPr>
              <w:suppressLineNumbers w:val="0"/>
            </w:pPr>
            <w:r>
              <w:rPr>
                <w:rFonts w:hint="default" w:ascii="宋体" w:hAnsi="宋体" w:eastAsia="宋体" w:cs="宋体"/>
                <w:color w:val="auto"/>
                <w:sz w:val="24"/>
                <w:szCs w:val="24"/>
                <w:lang w:val="en-US" w:eastAsia="zh-CN" w:bidi="ar"/>
              </w:rPr>
            </w:r>
            <w:r/>
          </w:p>
        </w:tc>
        <w:tc>
          <w:tcPr>
            <w:tcMar>
              <w:left w:w="120" w:type="dxa"/>
              <w:top w:w="60" w:type="dxa"/>
              <w:right w:w="120" w:type="dxa"/>
              <w:bottom w:w="30" w:type="dxa"/>
            </w:tcMar>
            <w:tcW w:w="1063"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bidi="ar"/>
              </w:rPr>
              <w:suppressLineNumbers w:val="0"/>
            </w:pPr>
            <w:r>
              <w:rPr>
                <w:rFonts w:hint="default" w:ascii="宋体" w:hAnsi="宋体" w:eastAsia="宋体" w:cs="宋体"/>
                <w:color w:val="auto"/>
                <w:sz w:val="24"/>
                <w:szCs w:val="24"/>
                <w:lang w:val="en-US" w:eastAsia="zh-CN" w:bidi="ar"/>
              </w:rPr>
              <w:t xml:space="preserve">异议复检配合</w:t>
            </w:r>
            <w:r/>
          </w:p>
        </w:tc>
        <w:tc>
          <w:tcPr>
            <w:tcMar>
              <w:left w:w="120" w:type="dxa"/>
              <w:top w:w="60" w:type="dxa"/>
              <w:right w:w="120" w:type="dxa"/>
              <w:bottom w:w="30" w:type="dxa"/>
            </w:tcMar>
            <w:tcW w:w="712"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bidi="ar"/>
              </w:rPr>
              <w:suppressLineNumbers w:val="0"/>
            </w:pPr>
            <w:r>
              <w:rPr>
                <w:rFonts w:hint="eastAsia" w:ascii="宋体" w:hAnsi="宋体" w:cs="宋体"/>
                <w:color w:val="auto"/>
                <w:sz w:val="24"/>
                <w:szCs w:val="24"/>
                <w:lang w:val="en-US" w:eastAsia="zh-CN" w:bidi="ar"/>
              </w:rPr>
              <w:t xml:space="preserve">7</w:t>
            </w:r>
            <w:r/>
          </w:p>
        </w:tc>
        <w:tc>
          <w:tcPr>
            <w:tcMar>
              <w:left w:w="120" w:type="dxa"/>
              <w:top w:w="60" w:type="dxa"/>
              <w:right w:w="120" w:type="dxa"/>
              <w:bottom w:w="30" w:type="dxa"/>
            </w:tcMar>
            <w:tcW w:w="3378" w:type="dxa"/>
            <w:textDirection w:val="lrTb"/>
            <w:noWrap w:val="false"/>
          </w:tcPr>
          <w:p>
            <w:pPr>
              <w:ind w:left="0" w:right="0" w:firstLine="240"/>
              <w:jc w:val="left"/>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bidi="ar"/>
              </w:rPr>
              <w:suppressLineNumbers w:val="0"/>
            </w:pPr>
            <w:r>
              <w:rPr>
                <w:rFonts w:hint="default" w:ascii="宋体" w:hAnsi="宋体" w:eastAsia="宋体" w:cs="宋体"/>
                <w:color w:val="auto"/>
                <w:sz w:val="24"/>
                <w:szCs w:val="24"/>
                <w:lang w:val="en-US" w:eastAsia="zh-CN" w:bidi="ar"/>
              </w:rPr>
              <w:t xml:space="preserve">针对抽检工作中出现的企业异议申诉、第三方质疑、上级核查复检等情形，供应商须主动对接、积极配合。及时提供原始抽样记录、检测原始数据、实验台账、设备校准记录、流程佐证资料，主动配合采购人开展核查答疑、复检对接、情况说明、资料补充等工作，全程配合到位、响应积极、处置规范。</w:t>
            </w:r>
            <w:r/>
          </w:p>
        </w:tc>
        <w:tc>
          <w:tcPr>
            <w:tcMar>
              <w:left w:w="120" w:type="dxa"/>
              <w:top w:w="60" w:type="dxa"/>
              <w:right w:w="120" w:type="dxa"/>
              <w:bottom w:w="30" w:type="dxa"/>
            </w:tcMar>
            <w:tcW w:w="2872" w:type="dxa"/>
            <w:vAlign w:val="center"/>
            <w:textDirection w:val="lrTb"/>
            <w:noWrap w:val="false"/>
          </w:tcPr>
          <w:p>
            <w:pPr>
              <w:ind w:left="0" w:right="0"/>
              <w:jc w:val="left"/>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bidi="ar"/>
              </w:rPr>
              <w:suppressLineNumbers w:val="0"/>
            </w:pPr>
            <w:r>
              <w:rPr>
                <w:rFonts w:hint="default" w:ascii="宋体" w:hAnsi="宋体" w:eastAsia="宋体" w:cs="宋体"/>
                <w:color w:val="auto"/>
                <w:sz w:val="24"/>
                <w:szCs w:val="24"/>
                <w:lang w:val="en-US" w:eastAsia="zh-CN" w:bidi="ar"/>
              </w:rPr>
              <w:t xml:space="preserve">存在配合消极、拖延推诿、资料提供迟缓、答疑不配合、复检对接不到位的，单次扣 3 分；拒不配合异议核查、拒不提供佐证资料造成工作被动的，加倍扣分并记入履约不良记录。</w:t>
            </w:r>
            <w:r/>
          </w:p>
        </w:tc>
      </w:tr>
      <w:tr>
        <w:trPr/>
        <w:tc>
          <w:tcPr>
            <w:tcMar>
              <w:left w:w="120" w:type="dxa"/>
              <w:top w:w="60" w:type="dxa"/>
              <w:right w:w="120" w:type="dxa"/>
              <w:bottom w:w="30" w:type="dxa"/>
            </w:tcMar>
            <w:tcW w:w="575" w:type="dxa"/>
            <w:vMerge w:val="continue"/>
            <w:textDirection w:val="lrTb"/>
            <w:noWrap w:val="false"/>
          </w:tcPr>
          <w:p>
            <w:pPr>
              <w:ind w:left="0" w:right="0" w:firstLine="240"/>
              <w:jc w:val="left"/>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bidi="ar"/>
              </w:rPr>
              <w:suppressLineNumbers w:val="0"/>
            </w:pPr>
            <w:r>
              <w:rPr>
                <w:rFonts w:hint="default" w:ascii="宋体" w:hAnsi="宋体" w:eastAsia="宋体" w:cs="宋体"/>
                <w:color w:val="auto"/>
                <w:sz w:val="24"/>
                <w:szCs w:val="24"/>
                <w:lang w:val="en-US" w:eastAsia="zh-CN" w:bidi="ar"/>
              </w:rPr>
            </w:r>
            <w:r/>
          </w:p>
        </w:tc>
        <w:tc>
          <w:tcPr>
            <w:tcMar>
              <w:left w:w="120" w:type="dxa"/>
              <w:top w:w="60" w:type="dxa"/>
              <w:right w:w="120" w:type="dxa"/>
              <w:bottom w:w="30" w:type="dxa"/>
            </w:tcMar>
            <w:tcW w:w="950" w:type="dxa"/>
            <w:vMerge w:val="continue"/>
            <w:textDirection w:val="lrTb"/>
            <w:noWrap w:val="false"/>
          </w:tcPr>
          <w:p>
            <w:pPr>
              <w:ind w:left="0" w:right="0" w:firstLine="240"/>
              <w:jc w:val="left"/>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bidi="ar"/>
              </w:rPr>
              <w:suppressLineNumbers w:val="0"/>
            </w:pPr>
            <w:r>
              <w:rPr>
                <w:rFonts w:hint="default" w:ascii="宋体" w:hAnsi="宋体" w:eastAsia="宋体" w:cs="宋体"/>
                <w:color w:val="auto"/>
                <w:sz w:val="24"/>
                <w:szCs w:val="24"/>
                <w:lang w:val="en-US" w:eastAsia="zh-CN" w:bidi="ar"/>
              </w:rPr>
            </w:r>
            <w:r/>
          </w:p>
        </w:tc>
        <w:tc>
          <w:tcPr>
            <w:tcMar>
              <w:left w:w="120" w:type="dxa"/>
              <w:top w:w="60" w:type="dxa"/>
              <w:right w:w="120" w:type="dxa"/>
              <w:bottom w:w="30" w:type="dxa"/>
            </w:tcMar>
            <w:tcW w:w="1063"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bidi="ar"/>
              </w:rPr>
              <w:suppressLineNumbers w:val="0"/>
            </w:pPr>
            <w:r>
              <w:rPr>
                <w:rFonts w:hint="default" w:ascii="宋体" w:hAnsi="宋体" w:eastAsia="宋体" w:cs="宋体"/>
                <w:color w:val="auto"/>
                <w:sz w:val="24"/>
                <w:szCs w:val="24"/>
                <w:lang w:val="en-US" w:eastAsia="zh-CN" w:bidi="ar"/>
              </w:rPr>
              <w:t xml:space="preserve">报告及台账质量</w:t>
            </w:r>
            <w:r/>
          </w:p>
        </w:tc>
        <w:tc>
          <w:tcPr>
            <w:tcMar>
              <w:left w:w="120" w:type="dxa"/>
              <w:top w:w="60" w:type="dxa"/>
              <w:right w:w="120" w:type="dxa"/>
              <w:bottom w:w="30" w:type="dxa"/>
            </w:tcMar>
            <w:tcW w:w="712"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bidi="ar"/>
              </w:rPr>
              <w:suppressLineNumbers w:val="0"/>
            </w:pPr>
            <w:r>
              <w:rPr>
                <w:rFonts w:hint="eastAsia" w:ascii="宋体" w:hAnsi="宋体" w:cs="宋体"/>
                <w:color w:val="auto"/>
                <w:sz w:val="24"/>
                <w:szCs w:val="24"/>
                <w:lang w:val="en-US" w:eastAsia="zh-CN" w:bidi="ar"/>
              </w:rPr>
              <w:t xml:space="preserve">7</w:t>
            </w:r>
            <w:r/>
          </w:p>
        </w:tc>
        <w:tc>
          <w:tcPr>
            <w:tcMar>
              <w:left w:w="120" w:type="dxa"/>
              <w:top w:w="60" w:type="dxa"/>
              <w:right w:w="120" w:type="dxa"/>
              <w:bottom w:w="30" w:type="dxa"/>
            </w:tcMar>
            <w:tcW w:w="3378" w:type="dxa"/>
            <w:textDirection w:val="lrTb"/>
            <w:noWrap w:val="false"/>
          </w:tcPr>
          <w:p>
            <w:pPr>
              <w:ind w:left="0" w:right="0" w:firstLine="240"/>
              <w:jc w:val="left"/>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bidi="ar"/>
              </w:rPr>
              <w:suppressLineNumbers w:val="0"/>
            </w:pPr>
            <w:r>
              <w:rPr>
                <w:rFonts w:hint="default" w:ascii="宋体" w:hAnsi="宋体" w:eastAsia="宋体" w:cs="宋体"/>
                <w:color w:val="auto"/>
                <w:sz w:val="24"/>
                <w:szCs w:val="24"/>
                <w:lang w:val="en-US" w:eastAsia="zh-CN" w:bidi="ar"/>
              </w:rPr>
              <w:t xml:space="preserve">供应商出具的各类检测报告、质量分析报告、阶段性工作总结、批次汇总表、抽样台账、设备台账、人员台账、质控台账等全部资料，须内容完整、逻辑严谨、数据对应、结论准确、格式规范。所有纸质资料、电子台账分类清晰、归档有序、存放规范，能够随时接受采购人核查、上级督查及档案归档验收。</w:t>
            </w:r>
            <w:r/>
          </w:p>
        </w:tc>
        <w:tc>
          <w:tcPr>
            <w:tcMar>
              <w:left w:w="120" w:type="dxa"/>
              <w:top w:w="60" w:type="dxa"/>
              <w:right w:w="120" w:type="dxa"/>
              <w:bottom w:w="30" w:type="dxa"/>
            </w:tcMar>
            <w:tcW w:w="2872" w:type="dxa"/>
            <w:vAlign w:val="center"/>
            <w:textDirection w:val="lrTb"/>
            <w:noWrap w:val="false"/>
          </w:tcPr>
          <w:p>
            <w:pPr>
              <w:ind w:left="0" w:right="0"/>
              <w:jc w:val="left"/>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bidi="ar"/>
              </w:rPr>
              <w:suppressLineNumbers w:val="0"/>
            </w:pPr>
            <w:r>
              <w:rPr>
                <w:rFonts w:hint="default" w:ascii="宋体" w:hAnsi="宋体" w:eastAsia="宋体" w:cs="宋体"/>
                <w:color w:val="auto"/>
                <w:sz w:val="24"/>
                <w:szCs w:val="24"/>
                <w:lang w:val="en-US" w:eastAsia="zh-CN" w:bidi="ar"/>
              </w:rPr>
              <w:t xml:space="preserve">报告存在文字错误、逻辑瑕疵、格式不规范、附件缺失的单次扣 2 分；台账资料残缺不全、归档混乱、关键资料缺失，影响项目验收及档案移交的单次扣 3 分，累计扣分。</w:t>
            </w:r>
            <w:r/>
          </w:p>
        </w:tc>
      </w:tr>
      <w:tr>
        <w:trPr/>
        <w:tc>
          <w:tcPr>
            <w:tcMar>
              <w:left w:w="120" w:type="dxa"/>
              <w:top w:w="60" w:type="dxa"/>
              <w:right w:w="120" w:type="dxa"/>
              <w:bottom w:w="30" w:type="dxa"/>
            </w:tcMar>
            <w:tcW w:w="575" w:type="dxa"/>
            <w:vMerge w:val="continue"/>
            <w:textDirection w:val="lrTb"/>
            <w:noWrap w:val="false"/>
          </w:tcPr>
          <w:p>
            <w:pPr>
              <w:ind w:left="0" w:right="0" w:firstLine="240"/>
              <w:jc w:val="left"/>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bidi="ar"/>
              </w:rPr>
              <w:suppressLineNumbers w:val="0"/>
            </w:pPr>
            <w:r>
              <w:rPr>
                <w:rFonts w:hint="default" w:ascii="宋体" w:hAnsi="宋体" w:eastAsia="宋体" w:cs="宋体"/>
                <w:color w:val="auto"/>
                <w:sz w:val="24"/>
                <w:szCs w:val="24"/>
                <w:lang w:val="en-US" w:eastAsia="zh-CN" w:bidi="ar"/>
              </w:rPr>
            </w:r>
            <w:r/>
          </w:p>
        </w:tc>
        <w:tc>
          <w:tcPr>
            <w:tcMar>
              <w:left w:w="120" w:type="dxa"/>
              <w:top w:w="60" w:type="dxa"/>
              <w:right w:w="120" w:type="dxa"/>
              <w:bottom w:w="30" w:type="dxa"/>
            </w:tcMar>
            <w:tcW w:w="950" w:type="dxa"/>
            <w:vMerge w:val="continue"/>
            <w:textDirection w:val="lrTb"/>
            <w:noWrap w:val="false"/>
          </w:tcPr>
          <w:p>
            <w:pPr>
              <w:ind w:left="0" w:right="0" w:firstLine="240"/>
              <w:jc w:val="left"/>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bidi="ar"/>
              </w:rPr>
              <w:suppressLineNumbers w:val="0"/>
            </w:pPr>
            <w:r>
              <w:rPr>
                <w:rFonts w:hint="default" w:ascii="宋体" w:hAnsi="宋体" w:eastAsia="宋体" w:cs="宋体"/>
                <w:color w:val="auto"/>
                <w:sz w:val="24"/>
                <w:szCs w:val="24"/>
                <w:lang w:val="en-US" w:eastAsia="zh-CN" w:bidi="ar"/>
              </w:rPr>
            </w:r>
            <w:r/>
          </w:p>
        </w:tc>
        <w:tc>
          <w:tcPr>
            <w:tcMar>
              <w:left w:w="120" w:type="dxa"/>
              <w:top w:w="60" w:type="dxa"/>
              <w:right w:w="120" w:type="dxa"/>
              <w:bottom w:w="30" w:type="dxa"/>
            </w:tcMar>
            <w:tcW w:w="1063"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bidi="ar"/>
              </w:rPr>
              <w:suppressLineNumbers w:val="0"/>
            </w:pPr>
            <w:r>
              <w:rPr>
                <w:rFonts w:hint="default" w:ascii="宋体" w:hAnsi="宋体" w:eastAsia="宋体" w:cs="宋体"/>
                <w:color w:val="auto"/>
                <w:sz w:val="24"/>
                <w:szCs w:val="24"/>
                <w:lang w:val="en-US" w:eastAsia="zh-CN" w:bidi="ar"/>
              </w:rPr>
              <w:t xml:space="preserve">服务响应时效</w:t>
            </w:r>
            <w:r/>
          </w:p>
        </w:tc>
        <w:tc>
          <w:tcPr>
            <w:tcMar>
              <w:left w:w="120" w:type="dxa"/>
              <w:top w:w="60" w:type="dxa"/>
              <w:right w:w="120" w:type="dxa"/>
              <w:bottom w:w="30" w:type="dxa"/>
            </w:tcMar>
            <w:tcW w:w="712"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bidi="ar"/>
              </w:rPr>
              <w:suppressLineNumbers w:val="0"/>
            </w:pPr>
            <w:r>
              <w:rPr>
                <w:rFonts w:hint="eastAsia" w:ascii="宋体" w:hAnsi="宋体" w:cs="宋体"/>
                <w:color w:val="auto"/>
                <w:sz w:val="24"/>
                <w:szCs w:val="24"/>
                <w:lang w:val="en-US" w:eastAsia="zh-CN" w:bidi="ar"/>
              </w:rPr>
              <w:t xml:space="preserve">8</w:t>
            </w:r>
            <w:r/>
          </w:p>
        </w:tc>
        <w:tc>
          <w:tcPr>
            <w:tcMar>
              <w:left w:w="120" w:type="dxa"/>
              <w:top w:w="60" w:type="dxa"/>
              <w:right w:w="120" w:type="dxa"/>
              <w:bottom w:w="30" w:type="dxa"/>
            </w:tcMar>
            <w:tcW w:w="3378" w:type="dxa"/>
            <w:textDirection w:val="lrTb"/>
            <w:noWrap w:val="false"/>
          </w:tcPr>
          <w:p>
            <w:pPr>
              <w:ind w:left="0" w:right="0"/>
              <w:jc w:val="left"/>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bidi="ar"/>
              </w:rPr>
              <w:suppressLineNumbers w:val="0"/>
            </w:pPr>
            <w:r>
              <w:rPr>
                <w:rFonts w:hint="default" w:ascii="宋体" w:hAnsi="宋体" w:eastAsia="宋体" w:cs="宋体"/>
                <w:color w:val="auto"/>
                <w:sz w:val="24"/>
                <w:szCs w:val="24"/>
                <w:lang w:val="en-US" w:eastAsia="zh-CN" w:bidi="ar"/>
              </w:rPr>
              <w:t xml:space="preserve">供应商须严格落实本项目应急服务承诺，针对采购人下达的紧急抽检任务、突击抽查指令、专项核查任务、突发质量事件处置等工作，严格按照承诺时效提供上门抽样、现场核查、应急检测、资料报送等服务，保障应急任务快速响应、快速落地、快速闭环，杜绝响应滞后、响应失效、推诿拖延等问题。</w:t>
            </w:r>
            <w:r/>
          </w:p>
        </w:tc>
        <w:tc>
          <w:tcPr>
            <w:tcMar>
              <w:left w:w="120" w:type="dxa"/>
              <w:top w:w="60" w:type="dxa"/>
              <w:right w:w="120" w:type="dxa"/>
              <w:bottom w:w="30" w:type="dxa"/>
            </w:tcMar>
            <w:tcW w:w="2872" w:type="dxa"/>
            <w:textDirection w:val="lrTb"/>
            <w:noWrap w:val="false"/>
          </w:tcPr>
          <w:p>
            <w:pPr>
              <w:ind w:left="0" w:right="0"/>
              <w:jc w:val="left"/>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bidi="ar"/>
              </w:rPr>
              <w:suppressLineNumbers w:val="0"/>
            </w:pPr>
            <w:r>
              <w:rPr>
                <w:rFonts w:hint="default" w:ascii="宋体" w:hAnsi="宋体" w:eastAsia="宋体" w:cs="宋体"/>
                <w:color w:val="auto"/>
                <w:sz w:val="24"/>
                <w:szCs w:val="24"/>
                <w:lang w:val="en-US" w:eastAsia="zh-CN" w:bidi="ar"/>
              </w:rPr>
              <w:t xml:space="preserve">接到通知后 1 小时（含）以内抵达现场并开展工作得满分；响应时长超 </w:t>
            </w:r>
            <w:r>
              <w:rPr>
                <w:rFonts w:hint="eastAsia" w:ascii="宋体" w:hAnsi="宋体" w:cs="宋体"/>
                <w:color w:val="auto"/>
                <w:sz w:val="24"/>
                <w:szCs w:val="24"/>
                <w:lang w:val="en-US" w:eastAsia="zh-CN" w:bidi="ar"/>
              </w:rPr>
              <w:t xml:space="preserve">3</w:t>
            </w:r>
            <w:r>
              <w:rPr>
                <w:rFonts w:hint="default" w:ascii="宋体" w:hAnsi="宋体" w:eastAsia="宋体" w:cs="宋体"/>
                <w:color w:val="auto"/>
                <w:sz w:val="24"/>
                <w:szCs w:val="24"/>
                <w:lang w:val="en-US" w:eastAsia="zh-CN" w:bidi="ar"/>
              </w:rPr>
              <w:t xml:space="preserve">小时、无正当理由拒不响应、响应失效造成工作延误的，单次扣 </w:t>
            </w:r>
            <w:r>
              <w:rPr>
                <w:rFonts w:hint="eastAsia" w:ascii="宋体" w:hAnsi="宋体" w:cs="宋体"/>
                <w:color w:val="auto"/>
                <w:sz w:val="24"/>
                <w:szCs w:val="24"/>
                <w:lang w:val="en-US" w:eastAsia="zh-CN" w:bidi="ar"/>
              </w:rPr>
              <w:t xml:space="preserve">8</w:t>
            </w:r>
            <w:r>
              <w:rPr>
                <w:rFonts w:hint="default" w:ascii="宋体" w:hAnsi="宋体" w:eastAsia="宋体" w:cs="宋体"/>
                <w:color w:val="auto"/>
                <w:sz w:val="24"/>
                <w:szCs w:val="24"/>
                <w:lang w:val="en-US" w:eastAsia="zh-CN" w:bidi="ar"/>
              </w:rPr>
              <w:t xml:space="preserve">分，本项直接计 0 分并记录严重履约问题。</w:t>
            </w:r>
            <w:r/>
          </w:p>
        </w:tc>
      </w:tr>
      <w:tr>
        <w:trPr/>
        <w:tc>
          <w:tcPr>
            <w:tcMar>
              <w:left w:w="120" w:type="dxa"/>
              <w:top w:w="60" w:type="dxa"/>
              <w:right w:w="120" w:type="dxa"/>
              <w:bottom w:w="30" w:type="dxa"/>
            </w:tcMar>
            <w:tcW w:w="575" w:type="dxa"/>
            <w:vMerge w:val="restart"/>
            <w:textDirection w:val="lrTb"/>
            <w:noWrap w:val="false"/>
          </w:tcPr>
          <w:p>
            <w:pPr>
              <w:ind w:left="0" w:right="0" w:firstLine="240"/>
              <w:jc w:val="left"/>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bidi="ar"/>
              </w:rPr>
              <w:suppressLineNumbers w:val="0"/>
            </w:pPr>
            <w:r>
              <w:rPr>
                <w:rFonts w:hint="default" w:ascii="宋体" w:hAnsi="宋体" w:eastAsia="宋体" w:cs="宋体"/>
                <w:color w:val="auto"/>
                <w:sz w:val="24"/>
                <w:szCs w:val="24"/>
                <w:lang w:val="en-US" w:eastAsia="zh-CN" w:bidi="ar"/>
              </w:rPr>
              <w:t xml:space="preserve">3</w:t>
            </w:r>
            <w:r/>
          </w:p>
        </w:tc>
        <w:tc>
          <w:tcPr>
            <w:tcMar>
              <w:left w:w="120" w:type="dxa"/>
              <w:top w:w="60" w:type="dxa"/>
              <w:right w:w="120" w:type="dxa"/>
              <w:bottom w:w="30" w:type="dxa"/>
            </w:tcMar>
            <w:tcW w:w="950" w:type="dxa"/>
            <w:vMerge w:val="restart"/>
            <w:textDirection w:val="lrTb"/>
            <w:noWrap w:val="false"/>
          </w:tcPr>
          <w:p>
            <w:pPr>
              <w:ind w:left="0" w:right="0"/>
              <w:jc w:val="left"/>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bidi="ar"/>
              </w:rPr>
              <w:suppressLineNumbers w:val="0"/>
            </w:pPr>
            <w:r>
              <w:rPr>
                <w:rFonts w:hint="default" w:ascii="宋体" w:hAnsi="宋体" w:eastAsia="宋体" w:cs="宋体"/>
                <w:color w:val="auto"/>
                <w:sz w:val="24"/>
                <w:szCs w:val="24"/>
                <w:lang w:val="en-US" w:eastAsia="zh-CN" w:bidi="ar"/>
              </w:rPr>
              <w:t xml:space="preserve">技术能力考核（2</w:t>
            </w:r>
            <w:r>
              <w:rPr>
                <w:rFonts w:hint="eastAsia" w:ascii="宋体" w:hAnsi="宋体" w:cs="宋体"/>
                <w:color w:val="auto"/>
                <w:sz w:val="24"/>
                <w:szCs w:val="24"/>
                <w:lang w:val="en-US" w:eastAsia="zh-CN" w:bidi="ar"/>
              </w:rPr>
              <w:t xml:space="preserve">3</w:t>
            </w:r>
            <w:r>
              <w:rPr>
                <w:rFonts w:hint="default" w:ascii="宋体" w:hAnsi="宋体" w:eastAsia="宋体" w:cs="宋体"/>
                <w:color w:val="auto"/>
                <w:sz w:val="24"/>
                <w:szCs w:val="24"/>
                <w:lang w:val="en-US" w:eastAsia="zh-CN" w:bidi="ar"/>
              </w:rPr>
              <w:t xml:space="preserve">分）</w:t>
            </w:r>
            <w:r/>
          </w:p>
          <w:p>
            <w:pPr>
              <w:ind w:left="0" w:right="0" w:firstLine="240"/>
              <w:jc w:val="left"/>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bidi="ar"/>
              </w:rPr>
              <w:suppressLineNumbers w:val="0"/>
            </w:pPr>
            <w:r>
              <w:rPr>
                <w:rFonts w:hint="default" w:ascii="宋体" w:hAnsi="宋体" w:eastAsia="宋体" w:cs="宋体"/>
                <w:color w:val="auto"/>
                <w:sz w:val="24"/>
                <w:szCs w:val="24"/>
                <w:lang w:val="en-US" w:eastAsia="zh-CN" w:bidi="ar"/>
              </w:rPr>
            </w:r>
            <w:r/>
          </w:p>
        </w:tc>
        <w:tc>
          <w:tcPr>
            <w:tcMar>
              <w:left w:w="120" w:type="dxa"/>
              <w:top w:w="60" w:type="dxa"/>
              <w:right w:w="120" w:type="dxa"/>
              <w:bottom w:w="30" w:type="dxa"/>
            </w:tcMar>
            <w:tcW w:w="1063"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bidi="ar"/>
              </w:rPr>
              <w:suppressLineNumbers w:val="0"/>
            </w:pPr>
            <w:r>
              <w:rPr>
                <w:rFonts w:hint="default" w:ascii="宋体" w:hAnsi="宋体" w:eastAsia="宋体" w:cs="宋体"/>
                <w:color w:val="auto"/>
                <w:sz w:val="24"/>
                <w:szCs w:val="24"/>
                <w:lang w:val="en-US" w:eastAsia="zh-CN" w:bidi="ar"/>
              </w:rPr>
              <w:t xml:space="preserve">技术核查通过率</w:t>
            </w:r>
            <w:r/>
          </w:p>
        </w:tc>
        <w:tc>
          <w:tcPr>
            <w:tcMar>
              <w:left w:w="120" w:type="dxa"/>
              <w:top w:w="60" w:type="dxa"/>
              <w:right w:w="120" w:type="dxa"/>
              <w:bottom w:w="30" w:type="dxa"/>
            </w:tcMar>
            <w:tcW w:w="712"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bidi="ar"/>
              </w:rPr>
              <w:suppressLineNumbers w:val="0"/>
            </w:pPr>
            <w:r>
              <w:rPr>
                <w:rFonts w:hint="eastAsia" w:ascii="宋体" w:hAnsi="宋体" w:cs="宋体"/>
                <w:color w:val="auto"/>
                <w:sz w:val="24"/>
                <w:szCs w:val="24"/>
                <w:lang w:val="en-US" w:eastAsia="zh-CN" w:bidi="ar"/>
              </w:rPr>
              <w:t xml:space="preserve">13</w:t>
            </w:r>
            <w:r/>
          </w:p>
        </w:tc>
        <w:tc>
          <w:tcPr>
            <w:tcMar>
              <w:left w:w="120" w:type="dxa"/>
              <w:top w:w="60" w:type="dxa"/>
              <w:right w:w="120" w:type="dxa"/>
              <w:bottom w:w="30" w:type="dxa"/>
            </w:tcMar>
            <w:tcW w:w="3378" w:type="dxa"/>
            <w:textDirection w:val="lrTb"/>
            <w:noWrap w:val="false"/>
          </w:tcPr>
          <w:p>
            <w:pPr>
              <w:ind w:left="0" w:right="0"/>
              <w:jc w:val="left"/>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bidi="ar"/>
              </w:rPr>
              <w:suppressLineNumbers w:val="0"/>
            </w:pPr>
            <w:r>
              <w:rPr>
                <w:rFonts w:hint="default" w:ascii="宋体" w:hAnsi="宋体" w:eastAsia="宋体" w:cs="宋体"/>
                <w:color w:val="auto"/>
                <w:sz w:val="24"/>
                <w:szCs w:val="24"/>
                <w:lang w:val="en-US" w:eastAsia="zh-CN" w:bidi="ar"/>
              </w:rPr>
              <w:t xml:space="preserve">供应商须具备稳定、专业、合规的检测技术能力，严格按照国家标准、行业规范、抽检作业流程开展全部检测工作。积极配合采购人组织的盲样考核、留样复核、报告抽检审核、现场作业督查、飞行检查、专项技术核查等各类技术考核，确保操作流程规范、检测结果精准、技术行为合规，顺利通过各项技术核验。</w:t>
            </w:r>
            <w:r/>
          </w:p>
        </w:tc>
        <w:tc>
          <w:tcPr>
            <w:tcMar>
              <w:left w:w="120" w:type="dxa"/>
              <w:top w:w="60" w:type="dxa"/>
              <w:right w:w="120" w:type="dxa"/>
              <w:bottom w:w="30" w:type="dxa"/>
            </w:tcMar>
            <w:tcW w:w="2872" w:type="dxa"/>
            <w:vAlign w:val="center"/>
            <w:textDirection w:val="lrTb"/>
            <w:noWrap w:val="false"/>
          </w:tcPr>
          <w:p>
            <w:pPr>
              <w:ind w:left="0" w:right="0"/>
              <w:jc w:val="left"/>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bidi="ar"/>
              </w:rPr>
              <w:suppressLineNumbers w:val="0"/>
            </w:pPr>
            <w:r>
              <w:rPr>
                <w:rFonts w:hint="default" w:ascii="宋体" w:hAnsi="宋体" w:eastAsia="宋体" w:cs="宋体"/>
                <w:color w:val="auto"/>
                <w:sz w:val="24"/>
                <w:szCs w:val="24"/>
                <w:lang w:val="en-US" w:eastAsia="zh-CN" w:bidi="ar"/>
              </w:rPr>
              <w:t xml:space="preserve">单次盲样考核、留样复核、现场检查不合格的扣 4 分；首次整改不到位、技术问题重复出现的加倍扣分，本项分值扣完为止；多次技术考核不合格的直接触发履约降级评价。</w:t>
            </w:r>
            <w:r/>
          </w:p>
        </w:tc>
      </w:tr>
      <w:tr>
        <w:trPr/>
        <w:tc>
          <w:tcPr>
            <w:tcMar>
              <w:left w:w="120" w:type="dxa"/>
              <w:top w:w="60" w:type="dxa"/>
              <w:right w:w="120" w:type="dxa"/>
              <w:bottom w:w="30" w:type="dxa"/>
            </w:tcMar>
            <w:tcW w:w="575" w:type="dxa"/>
            <w:vMerge w:val="continue"/>
            <w:textDirection w:val="lrTb"/>
            <w:noWrap w:val="false"/>
          </w:tcPr>
          <w:p>
            <w:pPr>
              <w:ind w:left="0" w:right="0" w:firstLine="240"/>
              <w:jc w:val="left"/>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bidi="ar"/>
              </w:rPr>
              <w:suppressLineNumbers w:val="0"/>
            </w:pPr>
            <w:r>
              <w:rPr>
                <w:rFonts w:hint="default" w:ascii="宋体" w:hAnsi="宋体" w:eastAsia="宋体" w:cs="宋体"/>
                <w:color w:val="auto"/>
                <w:sz w:val="24"/>
                <w:szCs w:val="24"/>
                <w:lang w:val="en-US" w:eastAsia="zh-CN" w:bidi="ar"/>
              </w:rPr>
            </w:r>
            <w:r/>
          </w:p>
        </w:tc>
        <w:tc>
          <w:tcPr>
            <w:tcMar>
              <w:left w:w="120" w:type="dxa"/>
              <w:top w:w="60" w:type="dxa"/>
              <w:right w:w="120" w:type="dxa"/>
              <w:bottom w:w="30" w:type="dxa"/>
            </w:tcMar>
            <w:tcW w:w="950" w:type="dxa"/>
            <w:vMerge w:val="continue"/>
            <w:textDirection w:val="lrTb"/>
            <w:noWrap w:val="false"/>
          </w:tcPr>
          <w:p>
            <w:pPr>
              <w:ind w:left="0" w:right="0" w:firstLine="240"/>
              <w:jc w:val="left"/>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bidi="ar"/>
              </w:rPr>
              <w:suppressLineNumbers w:val="0"/>
            </w:pPr>
            <w:r>
              <w:rPr>
                <w:rFonts w:hint="default" w:ascii="宋体" w:hAnsi="宋体" w:eastAsia="宋体" w:cs="宋体"/>
                <w:color w:val="auto"/>
                <w:sz w:val="24"/>
                <w:szCs w:val="24"/>
                <w:lang w:val="en-US" w:eastAsia="zh-CN" w:bidi="ar"/>
              </w:rPr>
            </w:r>
            <w:r/>
          </w:p>
        </w:tc>
        <w:tc>
          <w:tcPr>
            <w:tcMar>
              <w:left w:w="120" w:type="dxa"/>
              <w:top w:w="60" w:type="dxa"/>
              <w:right w:w="120" w:type="dxa"/>
              <w:bottom w:w="30" w:type="dxa"/>
            </w:tcMar>
            <w:tcW w:w="1063"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bidi="ar"/>
              </w:rPr>
              <w:suppressLineNumbers w:val="0"/>
            </w:pPr>
            <w:r>
              <w:rPr>
                <w:rFonts w:hint="default" w:ascii="宋体" w:hAnsi="宋体" w:eastAsia="宋体" w:cs="宋体"/>
                <w:color w:val="auto"/>
                <w:sz w:val="24"/>
                <w:szCs w:val="24"/>
                <w:lang w:val="en-US" w:eastAsia="zh-CN" w:bidi="ar"/>
              </w:rPr>
              <w:t xml:space="preserve">问题整改闭环</w:t>
            </w:r>
            <w:r/>
          </w:p>
        </w:tc>
        <w:tc>
          <w:tcPr>
            <w:tcMar>
              <w:left w:w="120" w:type="dxa"/>
              <w:top w:w="60" w:type="dxa"/>
              <w:right w:w="120" w:type="dxa"/>
              <w:bottom w:w="30" w:type="dxa"/>
            </w:tcMar>
            <w:tcW w:w="712"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bidi="ar"/>
              </w:rPr>
              <w:suppressLineNumbers w:val="0"/>
            </w:pPr>
            <w:r>
              <w:rPr>
                <w:rFonts w:hint="default" w:ascii="宋体" w:hAnsi="宋体" w:eastAsia="宋体" w:cs="宋体"/>
                <w:color w:val="auto"/>
                <w:sz w:val="24"/>
                <w:szCs w:val="24"/>
                <w:lang w:val="en-US" w:eastAsia="zh-CN" w:bidi="ar"/>
              </w:rPr>
              <w:t xml:space="preserve">10</w:t>
            </w:r>
            <w:r/>
          </w:p>
        </w:tc>
        <w:tc>
          <w:tcPr>
            <w:tcMar>
              <w:left w:w="120" w:type="dxa"/>
              <w:top w:w="60" w:type="dxa"/>
              <w:right w:w="120" w:type="dxa"/>
              <w:bottom w:w="30" w:type="dxa"/>
            </w:tcMar>
            <w:tcW w:w="3378" w:type="dxa"/>
            <w:textDirection w:val="lrTb"/>
            <w:noWrap w:val="false"/>
          </w:tcPr>
          <w:p>
            <w:pPr>
              <w:ind w:left="0" w:right="0"/>
              <w:jc w:val="left"/>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bidi="ar"/>
              </w:rPr>
              <w:suppressLineNumbers w:val="0"/>
            </w:pPr>
            <w:r>
              <w:rPr>
                <w:rFonts w:hint="default" w:ascii="宋体" w:hAnsi="宋体" w:eastAsia="宋体" w:cs="宋体"/>
                <w:color w:val="auto"/>
                <w:sz w:val="24"/>
                <w:szCs w:val="24"/>
                <w:lang w:val="en-US" w:eastAsia="zh-CN" w:bidi="ar"/>
              </w:rPr>
              <w:t xml:space="preserve">针对采购人日常检查、专项督查、上级抽查指出的流程问题、技术问题、资料问题、管理问题、时效问题，供应商须高度重视，在规定时限内梳理问题根源、制定整改措施、落实整改动作、完善长效机制，按时提交正式整改报告，确保问题闭环清零、举一反三、长效规范，杜绝同类问题反复发生、整改流于形式。</w:t>
            </w:r>
            <w:r/>
          </w:p>
        </w:tc>
        <w:tc>
          <w:tcPr>
            <w:tcMar>
              <w:left w:w="120" w:type="dxa"/>
              <w:top w:w="60" w:type="dxa"/>
              <w:right w:w="120" w:type="dxa"/>
              <w:bottom w:w="30" w:type="dxa"/>
            </w:tcMar>
            <w:tcW w:w="2872" w:type="dxa"/>
            <w:vAlign w:val="center"/>
            <w:textDirection w:val="lrTb"/>
            <w:noWrap w:val="false"/>
          </w:tcPr>
          <w:p>
            <w:pPr>
              <w:ind w:left="0" w:right="0"/>
              <w:jc w:val="left"/>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bidi="ar"/>
              </w:rPr>
              <w:suppressLineNumbers w:val="0"/>
            </w:pPr>
            <w:r>
              <w:rPr>
                <w:rFonts w:hint="default" w:ascii="宋体" w:hAnsi="宋体" w:eastAsia="宋体" w:cs="宋体"/>
                <w:color w:val="auto"/>
                <w:sz w:val="24"/>
                <w:szCs w:val="24"/>
                <w:lang w:val="en-US" w:eastAsia="zh-CN" w:bidi="ar"/>
              </w:rPr>
              <w:t xml:space="preserve">整改提交滞后、整改不彻底、问题未实质性闭环的单次扣 3 分；同类问题反复出现、整改敷衍、虚假整改的加倍扣分；拒不整改、逾期无整改动作的本项直接计 0 分。</w:t>
            </w:r>
            <w:r/>
          </w:p>
        </w:tc>
      </w:tr>
      <w:tr>
        <w:trPr/>
        <w:tc>
          <w:tcPr>
            <w:tcMar>
              <w:left w:w="120" w:type="dxa"/>
              <w:top w:w="60" w:type="dxa"/>
              <w:right w:w="120" w:type="dxa"/>
              <w:bottom w:w="30" w:type="dxa"/>
            </w:tcMar>
            <w:tcW w:w="575" w:type="dxa"/>
            <w:vAlign w:val="center"/>
            <w:vMerge w:val="restart"/>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bidi="ar"/>
              </w:rPr>
              <w:suppressLineNumbers w:val="0"/>
            </w:pPr>
            <w:r>
              <w:rPr>
                <w:rFonts w:hint="default" w:ascii="宋体" w:hAnsi="宋体" w:eastAsia="宋体" w:cs="宋体"/>
                <w:color w:val="auto"/>
                <w:sz w:val="24"/>
                <w:szCs w:val="24"/>
                <w:lang w:val="en-US" w:eastAsia="zh-CN" w:bidi="ar"/>
              </w:rPr>
              <w:t xml:space="preserve">4</w:t>
            </w:r>
            <w:r/>
          </w:p>
        </w:tc>
        <w:tc>
          <w:tcPr>
            <w:tcMar>
              <w:left w:w="120" w:type="dxa"/>
              <w:top w:w="60" w:type="dxa"/>
              <w:right w:w="120" w:type="dxa"/>
              <w:bottom w:w="30" w:type="dxa"/>
            </w:tcMar>
            <w:tcW w:w="950" w:type="dxa"/>
            <w:vAlign w:val="center"/>
            <w:vMerge w:val="restart"/>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bidi="ar"/>
              </w:rPr>
              <w:suppressLineNumbers w:val="0"/>
            </w:pPr>
            <w:r>
              <w:rPr>
                <w:rFonts w:hint="default" w:ascii="宋体" w:hAnsi="宋体" w:eastAsia="宋体" w:cs="宋体"/>
                <w:color w:val="auto"/>
                <w:sz w:val="24"/>
                <w:szCs w:val="24"/>
                <w:lang w:val="en-US" w:eastAsia="zh-CN" w:bidi="ar"/>
              </w:rPr>
              <w:t xml:space="preserve">人员管理考核</w:t>
            </w:r>
            <w:r>
              <w:rPr>
                <w:rFonts w:hint="eastAsia" w:ascii="宋体" w:hAnsi="宋体" w:cs="宋体"/>
                <w:color w:val="auto"/>
                <w:sz w:val="24"/>
                <w:szCs w:val="24"/>
                <w:lang w:val="en-US" w:eastAsia="zh-CN" w:bidi="ar"/>
              </w:rPr>
              <w:t xml:space="preserve">（15分）</w:t>
            </w:r>
            <w:r/>
          </w:p>
          <w:p>
            <w:pPr>
              <w:ind w:left="0" w:right="0" w:firstLine="0"/>
              <w:jc w:val="center"/>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bidi="ar"/>
              </w:rPr>
              <w:suppressLineNumbers w:val="0"/>
            </w:pPr>
            <w:r>
              <w:rPr>
                <w:rFonts w:hint="default" w:ascii="宋体" w:hAnsi="宋体" w:eastAsia="宋体" w:cs="宋体"/>
                <w:color w:val="auto"/>
                <w:sz w:val="24"/>
                <w:szCs w:val="24"/>
                <w:lang w:val="en-US" w:eastAsia="zh-CN" w:bidi="ar"/>
              </w:rPr>
            </w:r>
            <w:r/>
          </w:p>
        </w:tc>
        <w:tc>
          <w:tcPr>
            <w:tcMar>
              <w:left w:w="120" w:type="dxa"/>
              <w:top w:w="60" w:type="dxa"/>
              <w:right w:w="120" w:type="dxa"/>
              <w:bottom w:w="30" w:type="dxa"/>
            </w:tcMar>
            <w:tcW w:w="1063"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bidi="ar"/>
              </w:rPr>
              <w:suppressLineNumbers w:val="0"/>
            </w:pPr>
            <w:r>
              <w:rPr>
                <w:rFonts w:hint="default" w:ascii="宋体" w:hAnsi="宋体" w:eastAsia="宋体" w:cs="宋体"/>
                <w:color w:val="auto"/>
                <w:sz w:val="24"/>
                <w:szCs w:val="24"/>
                <w:lang w:val="en-US" w:eastAsia="zh-CN" w:bidi="ar"/>
              </w:rPr>
              <w:t xml:space="preserve">人员配置与在岗管理</w:t>
            </w:r>
            <w:r/>
          </w:p>
        </w:tc>
        <w:tc>
          <w:tcPr>
            <w:tcMar>
              <w:left w:w="120" w:type="dxa"/>
              <w:top w:w="60" w:type="dxa"/>
              <w:right w:w="120" w:type="dxa"/>
              <w:bottom w:w="30" w:type="dxa"/>
            </w:tcMar>
            <w:tcW w:w="712"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bidi="ar"/>
              </w:rPr>
              <w:suppressLineNumbers w:val="0"/>
            </w:pPr>
            <w:r>
              <w:rPr>
                <w:rFonts w:hint="eastAsia" w:ascii="宋体" w:hAnsi="宋体" w:cs="宋体"/>
                <w:color w:val="auto"/>
                <w:sz w:val="24"/>
                <w:szCs w:val="24"/>
                <w:lang w:val="en-US" w:eastAsia="zh-CN" w:bidi="ar"/>
              </w:rPr>
              <w:t xml:space="preserve">8</w:t>
            </w:r>
            <w:r/>
          </w:p>
        </w:tc>
        <w:tc>
          <w:tcPr>
            <w:tcMar>
              <w:left w:w="120" w:type="dxa"/>
              <w:top w:w="60" w:type="dxa"/>
              <w:right w:w="120" w:type="dxa"/>
              <w:bottom w:w="30" w:type="dxa"/>
            </w:tcMar>
            <w:tcW w:w="3378" w:type="dxa"/>
            <w:textDirection w:val="lrTb"/>
            <w:noWrap w:val="false"/>
          </w:tcPr>
          <w:p>
            <w:pPr>
              <w:ind w:left="0" w:right="0"/>
              <w:jc w:val="left"/>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bidi="ar"/>
              </w:rPr>
              <w:suppressLineNumbers w:val="0"/>
            </w:pPr>
            <w:r>
              <w:rPr>
                <w:rFonts w:hint="default" w:ascii="宋体" w:hAnsi="宋体" w:eastAsia="宋体" w:cs="宋体"/>
                <w:color w:val="auto"/>
                <w:sz w:val="24"/>
                <w:szCs w:val="24"/>
                <w:lang w:val="en-US" w:eastAsia="zh-CN" w:bidi="ar"/>
              </w:rPr>
              <w:t xml:space="preserve">供应商须严格按照磋商响应文件承诺，足额配备专职抽样人员、专职检验人员，所有岗位人员做到专职专岗、在岗履职、人员稳定。严禁岗位人员长期缺岗、擅自离岗、无证上岗、岗位混用、未经采购人书面同意擅自更换核心技术人员等行为，确保项目团队人员配置持续达标、服务能力稳定可靠。</w:t>
            </w:r>
            <w:r/>
          </w:p>
        </w:tc>
        <w:tc>
          <w:tcPr>
            <w:tcMar>
              <w:left w:w="120" w:type="dxa"/>
              <w:top w:w="60" w:type="dxa"/>
              <w:right w:w="120" w:type="dxa"/>
              <w:bottom w:w="30" w:type="dxa"/>
            </w:tcMar>
            <w:tcW w:w="2872" w:type="dxa"/>
            <w:vAlign w:val="center"/>
            <w:textDirection w:val="lrTb"/>
            <w:noWrap w:val="false"/>
          </w:tcPr>
          <w:p>
            <w:pPr>
              <w:ind w:left="0" w:right="0"/>
              <w:jc w:val="left"/>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bidi="ar"/>
              </w:rPr>
              <w:suppressLineNumbers w:val="0"/>
            </w:pPr>
            <w:r>
              <w:rPr>
                <w:rFonts w:hint="default" w:ascii="宋体" w:hAnsi="宋体" w:eastAsia="宋体" w:cs="宋体"/>
                <w:color w:val="auto"/>
                <w:sz w:val="24"/>
                <w:szCs w:val="24"/>
                <w:lang w:val="en-US" w:eastAsia="zh-CN" w:bidi="ar"/>
              </w:rPr>
              <w:t xml:space="preserve">日常核查发现人员在岗不到位、擅自换岗、岗位兼职混用、无证上岗的单次扣 3 分；核查发现整体人员配置不达标、核心岗位人员空缺影响项目运行的单次扣 6 分，所有扣分可累计叠加，扣完本分项分值为止。</w:t>
            </w:r>
            <w:r/>
          </w:p>
        </w:tc>
      </w:tr>
      <w:tr>
        <w:trPr/>
        <w:tc>
          <w:tcPr>
            <w:tcMar>
              <w:left w:w="120" w:type="dxa"/>
              <w:top w:w="60" w:type="dxa"/>
              <w:right w:w="120" w:type="dxa"/>
              <w:bottom w:w="30" w:type="dxa"/>
            </w:tcMar>
            <w:tcW w:w="575" w:type="dxa"/>
            <w:vAlign w:val="center"/>
            <w:vMerge w:val="continue"/>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bidi="ar"/>
              </w:rPr>
              <w:suppressLineNumbers w:val="0"/>
            </w:pPr>
            <w:r>
              <w:rPr>
                <w:rFonts w:hint="default" w:ascii="宋体" w:hAnsi="宋体" w:eastAsia="宋体" w:cs="宋体"/>
                <w:color w:val="auto"/>
                <w:sz w:val="24"/>
                <w:szCs w:val="24"/>
                <w:lang w:val="en-US" w:eastAsia="zh-CN" w:bidi="ar"/>
              </w:rPr>
            </w:r>
            <w:r/>
          </w:p>
        </w:tc>
        <w:tc>
          <w:tcPr>
            <w:tcMar>
              <w:left w:w="120" w:type="dxa"/>
              <w:top w:w="60" w:type="dxa"/>
              <w:right w:w="120" w:type="dxa"/>
              <w:bottom w:w="30" w:type="dxa"/>
            </w:tcMar>
            <w:tcW w:w="950" w:type="dxa"/>
            <w:vAlign w:val="center"/>
            <w:vMerge w:val="continue"/>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bidi="ar"/>
              </w:rPr>
              <w:suppressLineNumbers w:val="0"/>
            </w:pPr>
            <w:r>
              <w:rPr>
                <w:rFonts w:hint="default" w:ascii="宋体" w:hAnsi="宋体" w:eastAsia="宋体" w:cs="宋体"/>
                <w:color w:val="auto"/>
                <w:sz w:val="24"/>
                <w:szCs w:val="24"/>
                <w:lang w:val="en-US" w:eastAsia="zh-CN" w:bidi="ar"/>
              </w:rPr>
            </w:r>
            <w:r/>
          </w:p>
        </w:tc>
        <w:tc>
          <w:tcPr>
            <w:tcMar>
              <w:left w:w="120" w:type="dxa"/>
              <w:top w:w="60" w:type="dxa"/>
              <w:right w:w="120" w:type="dxa"/>
              <w:bottom w:w="30" w:type="dxa"/>
            </w:tcMar>
            <w:tcW w:w="1063"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bidi="ar"/>
              </w:rPr>
              <w:suppressLineNumbers w:val="0"/>
            </w:pPr>
            <w:r>
              <w:rPr>
                <w:rFonts w:hint="default" w:ascii="宋体" w:hAnsi="宋体" w:eastAsia="宋体" w:cs="宋体"/>
                <w:color w:val="auto"/>
                <w:sz w:val="24"/>
                <w:szCs w:val="24"/>
                <w:lang w:val="en-US" w:eastAsia="zh-CN" w:bidi="ar"/>
              </w:rPr>
              <w:t xml:space="preserve">人员从业服务规范</w:t>
            </w:r>
            <w:r/>
          </w:p>
        </w:tc>
        <w:tc>
          <w:tcPr>
            <w:tcMar>
              <w:left w:w="120" w:type="dxa"/>
              <w:top w:w="60" w:type="dxa"/>
              <w:right w:w="120" w:type="dxa"/>
              <w:bottom w:w="30" w:type="dxa"/>
            </w:tcMar>
            <w:tcW w:w="712"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bidi="ar"/>
              </w:rPr>
              <w:suppressLineNumbers w:val="0"/>
            </w:pPr>
            <w:r>
              <w:rPr>
                <w:rFonts w:hint="eastAsia" w:ascii="宋体" w:hAnsi="宋体" w:cs="宋体"/>
                <w:color w:val="auto"/>
                <w:sz w:val="24"/>
                <w:szCs w:val="24"/>
                <w:lang w:val="en-US" w:eastAsia="zh-CN" w:bidi="ar"/>
              </w:rPr>
              <w:t xml:space="preserve">7</w:t>
            </w:r>
            <w:r/>
          </w:p>
        </w:tc>
        <w:tc>
          <w:tcPr>
            <w:tcMar>
              <w:left w:w="120" w:type="dxa"/>
              <w:top w:w="60" w:type="dxa"/>
              <w:right w:w="120" w:type="dxa"/>
              <w:bottom w:w="30" w:type="dxa"/>
            </w:tcMar>
            <w:tcW w:w="3378" w:type="dxa"/>
            <w:textDirection w:val="lrTb"/>
            <w:noWrap w:val="false"/>
          </w:tcPr>
          <w:p>
            <w:pPr>
              <w:ind w:left="0" w:right="0"/>
              <w:jc w:val="left"/>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bidi="ar"/>
              </w:rPr>
              <w:suppressLineNumbers w:val="0"/>
            </w:pPr>
            <w:r>
              <w:rPr>
                <w:rFonts w:hint="default" w:ascii="宋体" w:hAnsi="宋体" w:eastAsia="宋体" w:cs="宋体"/>
                <w:color w:val="auto"/>
                <w:sz w:val="24"/>
                <w:szCs w:val="24"/>
                <w:lang w:val="en-US" w:eastAsia="zh-CN" w:bidi="ar"/>
              </w:rPr>
              <w:t xml:space="preserve">项目所有抽样、检测、技术服务人员须严格遵守产品质量抽检工作纪律及廉洁从业规定，恪守职业道德、严守工作秘密、规范履职行为。严禁提前告知被抽检单位抽检信息、泄露未公开抽检数据、利用工作便利谋取不正当利益、违规操作、擅自对外发布抽检信息等违规违纪行为，全程保持严谨、合规、公正、廉洁的从业状态。</w:t>
            </w:r>
            <w:r/>
          </w:p>
        </w:tc>
        <w:tc>
          <w:tcPr>
            <w:tcMar>
              <w:left w:w="120" w:type="dxa"/>
              <w:top w:w="60" w:type="dxa"/>
              <w:right w:w="120" w:type="dxa"/>
              <w:bottom w:w="30" w:type="dxa"/>
            </w:tcMar>
            <w:tcW w:w="2872" w:type="dxa"/>
            <w:vAlign w:val="center"/>
            <w:textDirection w:val="lrTb"/>
            <w:noWrap w:val="false"/>
          </w:tcPr>
          <w:p>
            <w:pPr>
              <w:ind w:left="0" w:right="0"/>
              <w:jc w:val="left"/>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bidi="ar"/>
              </w:rPr>
              <w:suppressLineNumbers w:val="0"/>
            </w:pPr>
            <w:r>
              <w:rPr>
                <w:rFonts w:hint="default" w:ascii="宋体" w:hAnsi="宋体" w:eastAsia="宋体" w:cs="宋体"/>
                <w:color w:val="auto"/>
                <w:sz w:val="24"/>
                <w:szCs w:val="24"/>
                <w:lang w:val="en-US" w:eastAsia="zh-CN" w:bidi="ar"/>
              </w:rPr>
              <w:t xml:space="preserve">核查发现人员存在违规违纪、泄密、提前通风报信、违规牟利等行为的，单次扣 7 分，本项计 0 分；情节严重、造成不良社会影响或监管风险的，直接判定整体考核不合格，启动违约追责程序。</w:t>
            </w:r>
            <w:r/>
          </w:p>
        </w:tc>
      </w:tr>
    </w:tbl>
    <w:p>
      <w:pPr>
        <w:ind w:firstLine="482"/>
        <w:jc w:val="left"/>
        <w:keepLines w:val="0"/>
        <w:keepNext w:val="0"/>
        <w:pageBreakBefore w:val="0"/>
        <w:spacing w:before="181" w:line="360" w:lineRule="auto"/>
        <w:widowControl/>
        <w:rPr>
          <w:color w:val="auto"/>
        </w:rPr>
        <w:suppressLineNumbers w:val="0"/>
      </w:pPr>
      <w:r/>
      <w:bookmarkStart w:id="94" w:name="heading_0"/>
      <w:r>
        <w:rPr>
          <w:rStyle w:val="710"/>
          <w:rFonts w:hint="eastAsia" w:ascii="宋体" w:hAnsi="宋体" w:eastAsia="宋体" w:cs="宋体"/>
          <w:color w:val="auto"/>
          <w:sz w:val="24"/>
          <w:szCs w:val="24"/>
          <w:lang w:val="en-US" w:eastAsia="zh-CN" w:bidi="ar"/>
        </w:rPr>
        <w:t xml:space="preserve">（八）</w:t>
      </w:r>
      <w:bookmarkEnd w:id="94"/>
      <w:r>
        <w:rPr>
          <w:rStyle w:val="710"/>
          <w:rFonts w:hint="default" w:ascii="宋体" w:hAnsi="宋体" w:eastAsia="宋体" w:cs="宋体"/>
          <w:color w:val="auto"/>
          <w:sz w:val="24"/>
          <w:szCs w:val="24"/>
          <w:lang w:val="en-US" w:eastAsia="zh-CN" w:bidi="ar"/>
        </w:rPr>
        <w:t xml:space="preserve">考核结果与结算挂钩标准</w:t>
      </w:r>
      <w:r/>
    </w:p>
    <w:p>
      <w:pPr>
        <w:ind w:firstLine="480"/>
        <w:jc w:val="left"/>
        <w:keepLines w:val="0"/>
        <w:keepNext w:val="0"/>
        <w:pageBreakBefore w:val="0"/>
        <w:spacing w:line="360" w:lineRule="auto"/>
        <w:widowControl/>
        <w:rPr>
          <w:color w:val="auto"/>
        </w:rPr>
        <w:suppressLineNumbers w:val="0"/>
      </w:pPr>
      <w:r>
        <w:rPr>
          <w:rFonts w:hint="default" w:ascii="宋体" w:hAnsi="宋体" w:eastAsia="宋体" w:cs="宋体"/>
          <w:color w:val="auto"/>
          <w:sz w:val="24"/>
          <w:szCs w:val="24"/>
          <w:lang w:val="en-US" w:eastAsia="zh-CN" w:bidi="ar"/>
        </w:rPr>
        <w:t xml:space="preserve">1、考核95分以上（优秀）：全额结算服务费，纳入优质服务商储备；</w:t>
      </w:r>
      <w:r/>
    </w:p>
    <w:p>
      <w:pPr>
        <w:ind w:firstLine="480"/>
        <w:jc w:val="left"/>
        <w:keepLines w:val="0"/>
        <w:keepNext w:val="0"/>
        <w:pageBreakBefore w:val="0"/>
        <w:spacing w:line="360" w:lineRule="auto"/>
        <w:widowControl/>
        <w:rPr>
          <w:color w:val="auto"/>
        </w:rPr>
        <w:suppressLineNumbers w:val="0"/>
      </w:pPr>
      <w:r>
        <w:rPr>
          <w:rFonts w:hint="default" w:ascii="宋体" w:hAnsi="宋体" w:eastAsia="宋体" w:cs="宋体"/>
          <w:color w:val="auto"/>
          <w:sz w:val="24"/>
          <w:szCs w:val="24"/>
          <w:lang w:val="en-US" w:eastAsia="zh-CN" w:bidi="ar"/>
        </w:rPr>
        <w:t xml:space="preserve">2、考核80分（含）-95分（合格）：全额结算服务费，轻微问题限期整改闭环；</w:t>
      </w:r>
      <w:r/>
    </w:p>
    <w:p>
      <w:pPr>
        <w:ind w:firstLine="480"/>
        <w:jc w:val="left"/>
        <w:keepLines w:val="0"/>
        <w:keepNext w:val="0"/>
        <w:pageBreakBefore w:val="0"/>
        <w:spacing w:line="360" w:lineRule="auto"/>
        <w:widowControl/>
        <w:rPr>
          <w:color w:val="auto"/>
        </w:rPr>
        <w:suppressLineNumbers w:val="0"/>
      </w:pPr>
      <w:r>
        <w:rPr>
          <w:rFonts w:hint="default" w:ascii="宋体" w:hAnsi="宋体" w:eastAsia="宋体" w:cs="宋体"/>
          <w:color w:val="auto"/>
          <w:sz w:val="24"/>
          <w:szCs w:val="24"/>
          <w:lang w:val="en-US" w:eastAsia="zh-CN" w:bidi="ar"/>
        </w:rPr>
        <w:t xml:space="preserve">3、考核80分以下（不合格）：扣除当期服务费10%-20%，限期全面整改；</w:t>
      </w:r>
      <w:r/>
    </w:p>
    <w:p>
      <w:pPr>
        <w:ind w:firstLine="480"/>
        <w:jc w:val="left"/>
        <w:keepLines w:val="0"/>
        <w:keepNext w:val="0"/>
        <w:pageBreakBefore w:val="0"/>
        <w:spacing w:line="360" w:lineRule="auto"/>
        <w:widowControl/>
        <w:rPr>
          <w:rFonts w:hint="default" w:ascii="宋体" w:hAnsi="宋体" w:eastAsia="宋体" w:cs="宋体"/>
          <w:color w:val="auto"/>
          <w:sz w:val="24"/>
          <w:szCs w:val="24"/>
          <w:lang w:val="en-US" w:eastAsia="zh-CN" w:bidi="ar"/>
        </w:rPr>
        <w:suppressLineNumbers w:val="0"/>
      </w:pPr>
      <w:r>
        <w:rPr>
          <w:rFonts w:hint="default" w:ascii="宋体" w:hAnsi="宋体" w:eastAsia="宋体" w:cs="宋体"/>
          <w:color w:val="auto"/>
          <w:sz w:val="24"/>
          <w:szCs w:val="24"/>
          <w:lang w:val="en-US" w:eastAsia="zh-CN" w:bidi="ar"/>
        </w:rPr>
        <w:t xml:space="preserve">4、70 分以下或出现数据造假、虚假报告、泄密、拒不履约、响应失效、重大技术事故、人员严重违纪泄密通风报信等一票否决情形，直接判定履约不合格，采购人有权扣款、终止合同、追责索赔。一票否决提示：出现上述一票否决情形，不受表格各分项分值限制，直接判定履约不合格。</w:t>
      </w:r>
      <w:r/>
    </w:p>
    <w:p>
      <w:pPr>
        <w:pStyle w:val="1386"/>
        <w:ind w:left="0" w:firstLine="482"/>
        <w:keepLines w:val="0"/>
        <w:keepNext w:val="0"/>
        <w:pageBreakBefore w:val="0"/>
        <w:spacing w:line="360" w:lineRule="auto"/>
        <w:rPr>
          <w:rFonts w:hint="default" w:ascii="宋体" w:hAnsi="宋体" w:eastAsia="宋体" w:cs="宋体"/>
          <w:b/>
          <w:bCs/>
          <w:color w:val="auto"/>
          <w:sz w:val="24"/>
          <w:szCs w:val="24"/>
          <w:highlight w:val="white"/>
          <w:lang w:val="en-US" w:eastAsia="zh-CN" w:bidi="ar-SA"/>
        </w:rPr>
        <w:outlineLvl w:val="9"/>
      </w:pPr>
      <w:r>
        <w:rPr>
          <w:rFonts w:hint="eastAsia" w:ascii="宋体" w:hAnsi="宋体" w:eastAsia="宋体" w:cs="宋体"/>
          <w:b/>
          <w:bCs/>
          <w:color w:val="auto"/>
          <w:sz w:val="24"/>
          <w:szCs w:val="24"/>
          <w:highlight w:val="white"/>
          <w:lang w:val="en-US" w:eastAsia="zh-CN" w:bidi="ar-SA"/>
        </w:rPr>
        <w:t xml:space="preserve">十</w:t>
      </w:r>
      <w:r>
        <w:rPr>
          <w:rFonts w:hint="eastAsia" w:ascii="宋体" w:hAnsi="宋体" w:cs="宋体"/>
          <w:b/>
          <w:bCs/>
          <w:color w:val="auto"/>
          <w:sz w:val="24"/>
          <w:szCs w:val="24"/>
          <w:highlight w:val="white"/>
          <w:lang w:val="en-US" w:eastAsia="zh-CN" w:bidi="ar-SA"/>
        </w:rPr>
        <w:t xml:space="preserve">五</w:t>
      </w:r>
      <w:r>
        <w:rPr>
          <w:rFonts w:hint="eastAsia" w:ascii="宋体" w:hAnsi="宋体" w:eastAsia="宋体" w:cs="宋体"/>
          <w:b/>
          <w:bCs/>
          <w:color w:val="auto"/>
          <w:sz w:val="24"/>
          <w:szCs w:val="24"/>
          <w:highlight w:val="white"/>
          <w:lang w:val="en-US" w:eastAsia="zh-CN" w:bidi="ar-SA"/>
        </w:rPr>
        <w:t xml:space="preserve">、项目验收要求</w:t>
      </w:r>
      <w:r/>
    </w:p>
    <w:p>
      <w:pPr>
        <w:ind w:left="0" w:firstLine="480"/>
        <w:jc w:val="left"/>
        <w:keepLines w:val="0"/>
        <w:keepNext w:val="0"/>
        <w:pageBreakBefore w:val="0"/>
        <w:spacing w:line="360" w:lineRule="auto"/>
        <w:widowControl/>
        <w:rPr>
          <w:rFonts w:hint="default" w:ascii="宋体" w:hAnsi="宋体" w:eastAsia="宋体" w:cs="宋体"/>
          <w:color w:val="auto"/>
          <w:sz w:val="24"/>
          <w:szCs w:val="24"/>
          <w:lang w:val="en-US" w:eastAsia="zh-CN" w:bidi="ar"/>
        </w:rPr>
        <w:suppressLineNumbers w:val="0"/>
      </w:pPr>
      <w:r>
        <w:rPr>
          <w:rFonts w:hint="default" w:ascii="宋体" w:hAnsi="宋体" w:eastAsia="宋体" w:cs="宋体"/>
          <w:color w:val="auto"/>
          <w:sz w:val="24"/>
          <w:szCs w:val="24"/>
          <w:lang w:val="en-US" w:eastAsia="zh-CN" w:bidi="ar"/>
        </w:rPr>
        <w:t xml:space="preserve">本项目工期紧凑、履约周期短，全程实行服务期满一次性整体考核、一次性集中履约验收，验收结果为费用结算、履约评价、追责依据。</w:t>
      </w:r>
      <w:r/>
    </w:p>
    <w:p>
      <w:pPr>
        <w:ind w:left="0" w:firstLine="480"/>
        <w:jc w:val="left"/>
        <w:keepLines w:val="0"/>
        <w:keepNext w:val="0"/>
        <w:pageBreakBefore w:val="0"/>
        <w:spacing w:line="360" w:lineRule="auto"/>
        <w:widowControl/>
        <w:rPr>
          <w:rFonts w:hint="default"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（一）</w:t>
      </w:r>
      <w:r>
        <w:rPr>
          <w:rFonts w:hint="default" w:ascii="宋体" w:hAnsi="宋体" w:eastAsia="宋体" w:cs="宋体"/>
          <w:color w:val="auto"/>
          <w:sz w:val="24"/>
          <w:szCs w:val="24"/>
          <w:lang w:val="en-US" w:eastAsia="zh-CN" w:bidi="ar"/>
        </w:rPr>
        <w:t xml:space="preserve">验收依据</w:t>
      </w:r>
      <w:r/>
    </w:p>
    <w:p>
      <w:pPr>
        <w:ind w:left="0" w:firstLine="480"/>
        <w:jc w:val="left"/>
        <w:keepLines w:val="0"/>
        <w:keepNext w:val="0"/>
        <w:pageBreakBefore w:val="0"/>
        <w:spacing w:line="360" w:lineRule="auto"/>
        <w:widowControl/>
        <w:rPr>
          <w:rFonts w:hint="default" w:ascii="宋体" w:hAnsi="宋体" w:eastAsia="宋体" w:cs="宋体"/>
          <w:color w:val="auto"/>
          <w:sz w:val="24"/>
          <w:szCs w:val="24"/>
          <w:lang w:val="en-US" w:eastAsia="zh-CN" w:bidi="ar"/>
        </w:rPr>
        <w:suppressLineNumbers w:val="0"/>
      </w:pPr>
      <w:r>
        <w:rPr>
          <w:rFonts w:hint="default" w:ascii="宋体" w:hAnsi="宋体" w:eastAsia="宋体" w:cs="宋体"/>
          <w:color w:val="auto"/>
          <w:sz w:val="24"/>
          <w:szCs w:val="24"/>
          <w:lang w:val="en-US" w:eastAsia="zh-CN" w:bidi="ar"/>
        </w:rPr>
        <w:t xml:space="preserve">以本项目采购文件、响应文件、合同、行业规范及项目期末量化考核结果。</w:t>
      </w:r>
      <w:r/>
    </w:p>
    <w:p>
      <w:pPr>
        <w:ind w:left="0" w:firstLine="480"/>
        <w:jc w:val="left"/>
        <w:keepLines w:val="0"/>
        <w:keepNext w:val="0"/>
        <w:pageBreakBefore w:val="0"/>
        <w:spacing w:line="360" w:lineRule="auto"/>
        <w:widowControl/>
        <w:rPr>
          <w:rFonts w:hint="default"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（二）</w:t>
      </w:r>
      <w:r>
        <w:rPr>
          <w:rFonts w:hint="default" w:ascii="宋体" w:hAnsi="宋体" w:eastAsia="宋体" w:cs="宋体"/>
          <w:color w:val="auto"/>
          <w:sz w:val="24"/>
          <w:szCs w:val="24"/>
          <w:lang w:val="en-US" w:eastAsia="zh-CN" w:bidi="ar"/>
        </w:rPr>
        <w:t xml:space="preserve">验收核心内容</w:t>
      </w:r>
      <w:r/>
    </w:p>
    <w:p>
      <w:pPr>
        <w:ind w:left="0" w:firstLine="480"/>
        <w:jc w:val="left"/>
        <w:keepLines w:val="0"/>
        <w:keepNext w:val="0"/>
        <w:pageBreakBefore w:val="0"/>
        <w:spacing w:line="360" w:lineRule="auto"/>
        <w:widowControl/>
        <w:rPr>
          <w:rFonts w:hint="default" w:ascii="宋体" w:hAnsi="宋体" w:eastAsia="宋体" w:cs="宋体"/>
          <w:color w:val="auto"/>
          <w:sz w:val="24"/>
          <w:szCs w:val="24"/>
          <w:lang w:val="en-US" w:eastAsia="zh-CN" w:bidi="ar"/>
        </w:rPr>
        <w:suppressLineNumbers w:val="0"/>
      </w:pPr>
      <w:r>
        <w:rPr>
          <w:rFonts w:hint="default" w:ascii="宋体" w:hAnsi="宋体" w:eastAsia="宋体" w:cs="宋体"/>
          <w:color w:val="auto"/>
          <w:sz w:val="24"/>
          <w:szCs w:val="24"/>
          <w:lang w:val="en-US" w:eastAsia="zh-CN" w:bidi="ar"/>
        </w:rPr>
        <w:t xml:space="preserve">任务完成批次、作业合规性、数据报告质量、台账档案完整性、人员在岗履约、应急服务质量、问题整改闭环、保密合规情况。</w:t>
      </w:r>
      <w:r/>
    </w:p>
    <w:p>
      <w:pPr>
        <w:ind w:left="0" w:firstLine="480"/>
        <w:jc w:val="left"/>
        <w:keepLines w:val="0"/>
        <w:keepNext w:val="0"/>
        <w:pageBreakBefore w:val="0"/>
        <w:spacing w:line="360" w:lineRule="auto"/>
        <w:widowControl/>
        <w:rPr>
          <w:rFonts w:hint="default"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（三）</w:t>
      </w:r>
      <w:r>
        <w:rPr>
          <w:rFonts w:hint="default" w:ascii="宋体" w:hAnsi="宋体" w:eastAsia="宋体" w:cs="宋体"/>
          <w:color w:val="auto"/>
          <w:sz w:val="24"/>
          <w:szCs w:val="24"/>
          <w:lang w:val="en-US" w:eastAsia="zh-CN" w:bidi="ar"/>
        </w:rPr>
        <w:t xml:space="preserve">验收流程</w:t>
      </w:r>
      <w:r/>
    </w:p>
    <w:p>
      <w:pPr>
        <w:ind w:left="0" w:firstLine="480"/>
        <w:jc w:val="left"/>
        <w:keepLines w:val="0"/>
        <w:keepNext w:val="0"/>
        <w:pageBreakBefore w:val="0"/>
        <w:spacing w:line="360" w:lineRule="auto"/>
        <w:widowControl/>
        <w:rPr>
          <w:rFonts w:hint="default" w:ascii="宋体" w:hAnsi="宋体" w:eastAsia="宋体" w:cs="宋体"/>
          <w:color w:val="auto"/>
          <w:sz w:val="24"/>
          <w:szCs w:val="24"/>
          <w:lang w:val="en-US" w:eastAsia="zh-CN" w:bidi="ar"/>
        </w:rPr>
        <w:suppressLineNumbers w:val="0"/>
      </w:pPr>
      <w:r>
        <w:rPr>
          <w:rFonts w:hint="default" w:ascii="宋体" w:hAnsi="宋体" w:eastAsia="宋体" w:cs="宋体"/>
          <w:color w:val="auto"/>
          <w:sz w:val="24"/>
          <w:szCs w:val="24"/>
          <w:lang w:val="en-US" w:eastAsia="zh-CN" w:bidi="ar"/>
        </w:rPr>
        <w:t xml:space="preserve">1</w:t>
      </w:r>
      <w:r>
        <w:rPr>
          <w:rFonts w:hint="eastAsia" w:ascii="宋体" w:hAnsi="宋体" w:eastAsia="宋体" w:cs="宋体"/>
          <w:color w:val="auto"/>
          <w:sz w:val="24"/>
          <w:szCs w:val="24"/>
          <w:lang w:val="en-US" w:eastAsia="zh-CN" w:bidi="ar"/>
        </w:rPr>
        <w:t xml:space="preserve">、</w:t>
      </w:r>
      <w:r>
        <w:rPr>
          <w:rFonts w:hint="default" w:ascii="宋体" w:hAnsi="宋体" w:eastAsia="宋体" w:cs="宋体"/>
          <w:color w:val="auto"/>
          <w:sz w:val="24"/>
          <w:szCs w:val="24"/>
          <w:lang w:val="en-US" w:eastAsia="zh-CN" w:bidi="ar"/>
        </w:rPr>
        <w:t xml:space="preserve"> 服务期满、全部抽检任务办结、所有成果资料汇总完毕后，供应商整理全套履约台账、成果资料，向采购人提交书面验收申请；</w:t>
      </w:r>
      <w:r/>
    </w:p>
    <w:p>
      <w:pPr>
        <w:ind w:left="0" w:firstLine="480"/>
        <w:jc w:val="left"/>
        <w:keepLines w:val="0"/>
        <w:keepNext w:val="0"/>
        <w:pageBreakBefore w:val="0"/>
        <w:spacing w:line="360" w:lineRule="auto"/>
        <w:widowControl/>
        <w:rPr>
          <w:rFonts w:hint="default" w:ascii="宋体" w:hAnsi="宋体" w:eastAsia="宋体" w:cs="宋体"/>
          <w:color w:val="auto"/>
          <w:sz w:val="24"/>
          <w:szCs w:val="24"/>
          <w:lang w:val="en-US" w:eastAsia="zh-CN" w:bidi="ar"/>
        </w:rPr>
        <w:suppressLineNumbers w:val="0"/>
      </w:pPr>
      <w:r>
        <w:rPr>
          <w:rFonts w:hint="default" w:ascii="宋体" w:hAnsi="宋体" w:eastAsia="宋体" w:cs="宋体"/>
          <w:color w:val="auto"/>
          <w:sz w:val="24"/>
          <w:szCs w:val="24"/>
          <w:lang w:val="en-US" w:eastAsia="zh-CN" w:bidi="ar"/>
        </w:rPr>
        <w:t xml:space="preserve">2</w:t>
      </w:r>
      <w:r>
        <w:rPr>
          <w:rFonts w:hint="eastAsia" w:ascii="宋体" w:hAnsi="宋体" w:eastAsia="宋体" w:cs="宋体"/>
          <w:color w:val="auto"/>
          <w:sz w:val="24"/>
          <w:szCs w:val="24"/>
          <w:lang w:val="en-US" w:eastAsia="zh-CN" w:bidi="ar"/>
        </w:rPr>
        <w:t xml:space="preserve">、</w:t>
      </w:r>
      <w:r>
        <w:rPr>
          <w:rFonts w:hint="default" w:ascii="宋体" w:hAnsi="宋体" w:eastAsia="宋体" w:cs="宋体"/>
          <w:color w:val="auto"/>
          <w:sz w:val="24"/>
          <w:szCs w:val="24"/>
          <w:lang w:val="en-US" w:eastAsia="zh-CN" w:bidi="ar"/>
        </w:rPr>
        <w:t xml:space="preserve">采购人对资料进行初审、成果核验，结合期末一次性考核得分开展综合评定；</w:t>
      </w:r>
      <w:r/>
    </w:p>
    <w:p>
      <w:pPr>
        <w:ind w:left="0" w:firstLine="480"/>
        <w:jc w:val="left"/>
        <w:keepLines w:val="0"/>
        <w:keepNext w:val="0"/>
        <w:pageBreakBefore w:val="0"/>
        <w:spacing w:line="360" w:lineRule="auto"/>
        <w:widowControl/>
        <w:rPr>
          <w:rFonts w:hint="default" w:ascii="宋体" w:hAnsi="宋体" w:eastAsia="宋体" w:cs="宋体"/>
          <w:color w:val="auto"/>
          <w:sz w:val="24"/>
          <w:szCs w:val="24"/>
          <w:lang w:val="en-US" w:eastAsia="zh-CN" w:bidi="ar"/>
        </w:rPr>
        <w:suppressLineNumbers w:val="0"/>
      </w:pPr>
      <w:r>
        <w:rPr>
          <w:rFonts w:hint="default" w:ascii="宋体" w:hAnsi="宋体" w:eastAsia="宋体" w:cs="宋体"/>
          <w:color w:val="auto"/>
          <w:sz w:val="24"/>
          <w:szCs w:val="24"/>
          <w:lang w:val="en-US" w:eastAsia="zh-CN" w:bidi="ar"/>
        </w:rPr>
        <w:t xml:space="preserve">3. 采购人出具正式履约验收报告，明确验收结论，全程留痕归档。</w:t>
      </w:r>
      <w:r/>
    </w:p>
    <w:p>
      <w:pPr>
        <w:ind w:left="0" w:firstLine="480"/>
        <w:jc w:val="left"/>
        <w:keepLines w:val="0"/>
        <w:keepNext w:val="0"/>
        <w:pageBreakBefore w:val="0"/>
        <w:spacing w:line="360" w:lineRule="auto"/>
        <w:widowControl/>
        <w:rPr>
          <w:rFonts w:hint="default"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（四）</w:t>
      </w:r>
      <w:r>
        <w:rPr>
          <w:rFonts w:hint="default" w:ascii="宋体" w:hAnsi="宋体" w:eastAsia="宋体" w:cs="宋体"/>
          <w:color w:val="auto"/>
          <w:sz w:val="24"/>
          <w:szCs w:val="24"/>
          <w:lang w:val="en-US" w:eastAsia="zh-CN" w:bidi="ar"/>
        </w:rPr>
        <w:t xml:space="preserve">验收结果运用</w:t>
      </w:r>
      <w:r/>
    </w:p>
    <w:p>
      <w:pPr>
        <w:ind w:left="0" w:firstLine="480"/>
        <w:jc w:val="left"/>
        <w:keepLines w:val="0"/>
        <w:keepNext w:val="0"/>
        <w:pageBreakBefore w:val="0"/>
        <w:spacing w:line="360" w:lineRule="auto"/>
        <w:widowControl/>
        <w:rPr>
          <w:rFonts w:hint="default" w:ascii="宋体" w:hAnsi="宋体" w:eastAsia="宋体" w:cs="宋体"/>
          <w:color w:val="auto"/>
          <w:sz w:val="24"/>
          <w:szCs w:val="24"/>
          <w:lang w:val="en-US" w:eastAsia="zh-CN" w:bidi="ar"/>
        </w:rPr>
        <w:suppressLineNumbers w:val="0"/>
      </w:pPr>
      <w:r>
        <w:rPr>
          <w:rFonts w:hint="default" w:ascii="宋体" w:hAnsi="宋体" w:eastAsia="宋体" w:cs="宋体"/>
          <w:color w:val="auto"/>
          <w:sz w:val="24"/>
          <w:szCs w:val="24"/>
          <w:lang w:val="en-US" w:eastAsia="zh-CN" w:bidi="ar"/>
        </w:rPr>
        <w:t xml:space="preserve">1. 验收合格：履约全部达标、资料齐全、无违规违约问题，全额结算服务费；</w:t>
      </w:r>
      <w:r/>
    </w:p>
    <w:p>
      <w:pPr>
        <w:ind w:left="0" w:firstLine="480"/>
        <w:jc w:val="left"/>
        <w:keepLines w:val="0"/>
        <w:keepNext w:val="0"/>
        <w:pageBreakBefore w:val="0"/>
        <w:spacing w:line="360" w:lineRule="auto"/>
        <w:widowControl/>
        <w:rPr>
          <w:rFonts w:hint="default" w:ascii="宋体" w:hAnsi="宋体" w:eastAsia="宋体" w:cs="宋体"/>
          <w:color w:val="auto"/>
          <w:sz w:val="24"/>
          <w:szCs w:val="24"/>
          <w:lang w:val="en-US" w:eastAsia="zh-CN" w:bidi="ar"/>
        </w:rPr>
        <w:suppressLineNumbers w:val="0"/>
      </w:pPr>
      <w:r>
        <w:rPr>
          <w:rFonts w:hint="default" w:ascii="宋体" w:hAnsi="宋体" w:eastAsia="宋体" w:cs="宋体"/>
          <w:color w:val="auto"/>
          <w:sz w:val="24"/>
          <w:szCs w:val="24"/>
          <w:lang w:val="en-US" w:eastAsia="zh-CN" w:bidi="ar"/>
        </w:rPr>
        <w:t xml:space="preserve">2. 验收基本合格：核心任务完成，存在轻微瑕疵且已完成闭环整改，整改完毕后全额结算服务费；</w:t>
      </w:r>
      <w:r/>
    </w:p>
    <w:p>
      <w:pPr>
        <w:ind w:left="0" w:firstLine="480"/>
        <w:jc w:val="left"/>
        <w:keepLines w:val="0"/>
        <w:keepNext w:val="0"/>
        <w:pageBreakBefore w:val="0"/>
        <w:spacing w:line="360" w:lineRule="auto"/>
        <w:widowControl/>
        <w:rPr>
          <w:rFonts w:hint="default" w:ascii="宋体" w:hAnsi="宋体" w:eastAsia="宋体" w:cs="宋体"/>
          <w:color w:val="auto"/>
          <w:sz w:val="24"/>
          <w:szCs w:val="24"/>
          <w:lang w:val="en-US" w:eastAsia="zh-CN" w:bidi="ar"/>
        </w:rPr>
        <w:suppressLineNumbers w:val="0"/>
      </w:pPr>
      <w:r>
        <w:rPr>
          <w:rFonts w:hint="default" w:ascii="宋体" w:hAnsi="宋体" w:eastAsia="宋体" w:cs="宋体"/>
          <w:color w:val="auto"/>
          <w:sz w:val="24"/>
          <w:szCs w:val="24"/>
          <w:lang w:val="en-US" w:eastAsia="zh-CN" w:bidi="ar"/>
        </w:rPr>
        <w:t xml:space="preserve">3. 验收不合格：存在任务未完成、成果失效、资料缺失、违规违约、拒不整改等实质性问题，采购人有权暂缓结算、扣除相应服务费、终止合同并依法追责。</w:t>
      </w:r>
      <w:r/>
    </w:p>
    <w:p>
      <w:pPr>
        <w:ind w:left="0" w:firstLine="480"/>
        <w:jc w:val="left"/>
        <w:keepLines w:val="0"/>
        <w:keepNext w:val="0"/>
        <w:pageBreakBefore w:val="0"/>
        <w:spacing w:line="360" w:lineRule="auto"/>
        <w:widowControl/>
        <w:rPr>
          <w:rFonts w:hint="default"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（五）</w:t>
      </w:r>
      <w:r>
        <w:rPr>
          <w:rFonts w:hint="default" w:ascii="宋体" w:hAnsi="宋体" w:eastAsia="宋体" w:cs="宋体"/>
          <w:color w:val="auto"/>
          <w:sz w:val="24"/>
          <w:szCs w:val="24"/>
          <w:lang w:val="en-US" w:eastAsia="zh-CN" w:bidi="ar"/>
        </w:rPr>
        <w:t xml:space="preserve">一票否决情形</w:t>
      </w:r>
      <w:r/>
    </w:p>
    <w:p>
      <w:pPr>
        <w:ind w:left="0" w:firstLine="480"/>
        <w:jc w:val="left"/>
        <w:keepLines w:val="0"/>
        <w:keepNext w:val="0"/>
        <w:pageBreakBefore w:val="0"/>
        <w:spacing w:line="360" w:lineRule="auto"/>
        <w:widowControl/>
        <w:rPr>
          <w:rFonts w:hint="default" w:ascii="宋体" w:hAnsi="宋体" w:eastAsia="宋体" w:cs="宋体"/>
          <w:color w:val="auto"/>
          <w:sz w:val="24"/>
          <w:szCs w:val="24"/>
          <w:lang w:val="en-US" w:eastAsia="zh-CN" w:bidi="ar"/>
        </w:rPr>
        <w:suppressLineNumbers w:val="0"/>
      </w:pPr>
      <w:r>
        <w:rPr>
          <w:rFonts w:hint="default" w:ascii="宋体" w:hAnsi="宋体" w:eastAsia="宋体" w:cs="宋体"/>
          <w:color w:val="auto"/>
          <w:sz w:val="24"/>
          <w:szCs w:val="24"/>
          <w:lang w:val="en-US" w:eastAsia="zh-CN" w:bidi="ar"/>
        </w:rPr>
        <w:t xml:space="preserve">供应商存在数据造假、出具虚假报告、转包分包、超资质检测、泄露抽检信息、重大履约失误等严重违规违约行为的，直接判定验收不合格，启动违约追责机制。</w:t>
      </w:r>
      <w:r/>
    </w:p>
    <w:p>
      <w:pPr>
        <w:pStyle w:val="1277"/>
        <w:ind w:left="0" w:firstLine="482"/>
        <w:keepLines w:val="0"/>
        <w:keepNext w:val="0"/>
        <w:pageBreakBefore w:val="0"/>
        <w:spacing w:line="360" w:lineRule="auto"/>
        <w:rPr>
          <w:rFonts w:ascii="宋体" w:hAnsi="宋体" w:cs="宋体"/>
          <w:b/>
          <w:bCs/>
          <w:color w:val="auto"/>
          <w:sz w:val="24"/>
          <w:szCs w:val="24"/>
          <w:highlight w:val="white"/>
        </w:rPr>
        <w:outlineLvl w:val="9"/>
      </w:pPr>
      <w:r>
        <w:rPr>
          <w:rFonts w:hint="eastAsia" w:ascii="宋体" w:hAnsi="宋体" w:cs="宋体"/>
          <w:b/>
          <w:bCs/>
          <w:color w:val="auto"/>
          <w:sz w:val="24"/>
          <w:szCs w:val="24"/>
          <w:highlight w:val="white"/>
          <w:lang w:val="en-US" w:eastAsia="zh-CN"/>
        </w:rPr>
        <w:t xml:space="preserve">十六、</w:t>
      </w:r>
      <w:r>
        <w:rPr>
          <w:rFonts w:hint="eastAsia" w:ascii="宋体" w:hAnsi="宋体" w:cs="宋体"/>
          <w:b/>
          <w:bCs/>
          <w:color w:val="auto"/>
          <w:sz w:val="24"/>
          <w:szCs w:val="24"/>
          <w:highlight w:val="white"/>
        </w:rPr>
        <w:t xml:space="preserve">其他要求</w:t>
      </w:r>
      <w:r/>
    </w:p>
    <w:p>
      <w:pPr>
        <w:pStyle w:val="1277"/>
        <w:ind w:left="0" w:firstLine="482"/>
        <w:keepLines w:val="0"/>
        <w:keepNext w:val="0"/>
        <w:pageBreakBefore w:val="0"/>
        <w:spacing w:line="360" w:lineRule="auto"/>
        <w:rPr>
          <w:rFonts w:ascii="宋体" w:hAnsi="宋体" w:cs="宋体"/>
          <w:b/>
          <w:bCs/>
          <w:color w:val="0000ff"/>
          <w:sz w:val="24"/>
          <w:szCs w:val="24"/>
          <w:highlight w:val="white"/>
        </w:rPr>
      </w:pPr>
      <w:r>
        <w:rPr>
          <w:rFonts w:hint="eastAsia" w:ascii="宋体" w:hAnsi="宋体" w:cs="宋体"/>
          <w:b/>
          <w:bCs/>
          <w:color w:val="0000ff"/>
          <w:sz w:val="24"/>
          <w:szCs w:val="24"/>
          <w:highlight w:val="white"/>
        </w:rPr>
        <w:t xml:space="preserve">（一）</w:t>
      </w:r>
      <w:r>
        <w:rPr>
          <w:rFonts w:ascii="宋体" w:hAnsi="宋体" w:eastAsia="宋体" w:cs="宋体"/>
          <w:b/>
          <w:bCs/>
          <w:color w:val="0000ff"/>
          <w:sz w:val="24"/>
          <w:szCs w:val="24"/>
        </w:rPr>
        <w:t xml:space="preserve">本项目不接受备选方案或有选择的报价，供应商仅可就其响应分包提交唯一报价。报价为对应分包质量监督抽查全流程服务的综合总报价，以人民币计价，应</w:t>
      </w:r>
      <w:r>
        <w:rPr>
          <w:rFonts w:ascii="宋体" w:hAnsi="宋体" w:eastAsia="宋体" w:cs="宋体"/>
          <w:b/>
          <w:bCs/>
          <w:color w:val="ff0000"/>
          <w:sz w:val="24"/>
          <w:szCs w:val="24"/>
        </w:rPr>
        <w:t xml:space="preserve">涵盖购样</w:t>
      </w:r>
      <w:r>
        <w:rPr>
          <w:rFonts w:hint="eastAsia" w:ascii="宋体" w:hAnsi="宋体" w:cs="宋体"/>
          <w:b/>
          <w:bCs/>
          <w:color w:val="ff0000"/>
          <w:sz w:val="24"/>
          <w:szCs w:val="24"/>
          <w:lang w:val="en-US" w:eastAsia="zh-CN"/>
        </w:rPr>
        <w:t xml:space="preserve">费</w:t>
      </w:r>
      <w:r>
        <w:rPr>
          <w:rFonts w:ascii="宋体" w:hAnsi="宋体" w:eastAsia="宋体" w:cs="宋体"/>
          <w:b/>
          <w:bCs/>
          <w:color w:val="ff0000"/>
          <w:sz w:val="24"/>
          <w:szCs w:val="24"/>
        </w:rPr>
        <w:t xml:space="preserve">、运输、保管、检验检测、数据录入上报、报告出具、异议处理、复检配合、技术支撑、台账归档、迎检保障等全部工作内容及人工、保险、劳保、设备折旧、耗材、管理、利润、税金、风险、责任等各项应有费用，</w:t>
      </w:r>
      <w:r>
        <w:rPr>
          <w:rFonts w:ascii="宋体" w:hAnsi="宋体" w:eastAsia="宋体" w:cs="宋体"/>
          <w:b/>
          <w:bCs/>
          <w:color w:val="0000ff"/>
          <w:sz w:val="24"/>
          <w:szCs w:val="24"/>
        </w:rPr>
        <w:t xml:space="preserve">报价超过对应分包最高限价的按无效标处理。除磋商文件明确约定由采购人另行承担的费用外，成交后不得以任何理由要求追加费用</w:t>
      </w:r>
      <w:r>
        <w:rPr>
          <w:rFonts w:hint="eastAsia" w:ascii="宋体" w:hAnsi="宋体" w:cs="宋体"/>
          <w:b/>
          <w:bCs/>
          <w:color w:val="0000ff"/>
          <w:sz w:val="24"/>
          <w:szCs w:val="24"/>
          <w:highlight w:val="white"/>
        </w:rPr>
        <w:t xml:space="preserve">。</w:t>
      </w:r>
      <w:r/>
    </w:p>
    <w:p>
      <w:pPr>
        <w:pStyle w:val="1277"/>
        <w:ind w:left="0" w:firstLine="480"/>
        <w:keepLines w:val="0"/>
        <w:keepNext w:val="0"/>
        <w:pageBreakBefore w:val="0"/>
        <w:spacing w:line="360" w:lineRule="auto"/>
        <w:rPr>
          <w:rFonts w:ascii="宋体" w:hAnsi="宋体" w:cs="宋体"/>
          <w:color w:val="auto"/>
          <w:sz w:val="24"/>
          <w:szCs w:val="24"/>
          <w:highlight w:val="white"/>
        </w:rPr>
      </w:pPr>
      <w:r>
        <w:rPr>
          <w:rFonts w:hint="eastAsia" w:ascii="宋体" w:hAnsi="宋体" w:cs="宋体"/>
          <w:color w:val="auto"/>
          <w:sz w:val="24"/>
          <w:szCs w:val="24"/>
          <w:highlight w:val="white"/>
        </w:rPr>
        <w:t xml:space="preserve">（二）供应商报价时应充分考虑所有可能影响到报价的因素，如发生漏、缺、少项， 都将被认为是成交供应商的报价让利行为，损失自负。</w:t>
      </w:r>
      <w:r/>
    </w:p>
    <w:p>
      <w:pPr>
        <w:pStyle w:val="708"/>
        <w:ind w:left="0" w:firstLine="480"/>
        <w:keepLines w:val="0"/>
        <w:keepNext w:val="0"/>
        <w:pageBreakBefore w:val="0"/>
        <w:spacing w:after="0"/>
        <w:rPr>
          <w:color w:val="auto"/>
        </w:rPr>
      </w:pPr>
      <w:r>
        <w:rPr>
          <w:color w:val="auto"/>
        </w:rPr>
      </w:r>
      <w:r/>
    </w:p>
    <w:p>
      <w:pPr>
        <w:ind w:left="0" w:right="0" w:firstLine="567"/>
        <w:jc w:val="both"/>
        <w:keepLines w:val="0"/>
        <w:keepNext w:val="0"/>
        <w:spacing w:before="0" w:beforeAutospacing="0" w:after="0" w:afterAutospacing="0" w:line="500" w:lineRule="exact"/>
        <w:widowControl w:val="off"/>
        <w:rPr>
          <w:rFonts w:hint="eastAsia" w:ascii="新宋体" w:hAnsi="新宋体" w:eastAsia="新宋体" w:cs="新宋体"/>
          <w:b/>
          <w:bCs/>
          <w:color w:val="auto"/>
          <w:sz w:val="24"/>
          <w:szCs w:val="24"/>
          <w:highlight w:val="none"/>
          <w:lang w:val="en-US" w:eastAsia="zh-CN" w:bidi="ar"/>
        </w:rPr>
        <w:outlineLvl w:val="9"/>
        <w:suppressLineNumbers w:val="0"/>
      </w:pPr>
      <w:r>
        <w:rPr>
          <w:rFonts w:hint="eastAsia" w:ascii="新宋体" w:hAnsi="新宋体" w:eastAsia="新宋体" w:cs="新宋体"/>
          <w:b/>
          <w:bCs/>
          <w:color w:val="auto"/>
          <w:sz w:val="24"/>
          <w:szCs w:val="24"/>
          <w:highlight w:val="none"/>
          <w:lang w:val="en-US" w:eastAsia="zh-CN" w:bidi="ar"/>
        </w:rPr>
      </w:r>
      <w:r/>
    </w:p>
    <w:p>
      <w:pPr>
        <w:jc w:val="center"/>
        <w:spacing w:line="500" w:lineRule="exact"/>
        <w:rPr>
          <w:rFonts w:hint="eastAsia" w:ascii="新宋体" w:hAnsi="新宋体" w:eastAsia="新宋体" w:cs="新宋体"/>
          <w:b/>
          <w:color w:val="auto"/>
          <w:sz w:val="36"/>
          <w:szCs w:val="36"/>
          <w:highlight w:val="none"/>
          <w:lang w:val="en-US" w:eastAsia="zh-CN"/>
        </w:rPr>
        <w:outlineLvl w:val="9"/>
      </w:pPr>
      <w:r/>
      <w:bookmarkStart w:id="95" w:name="_Toc13186"/>
      <w:r/>
      <w:r/>
    </w:p>
    <w:p>
      <w:pPr>
        <w:jc w:val="center"/>
        <w:spacing w:line="500" w:lineRule="exact"/>
        <w:rPr>
          <w:rFonts w:hint="eastAsia" w:ascii="新宋体" w:hAnsi="新宋体" w:eastAsia="新宋体" w:cs="新宋体"/>
          <w:b/>
          <w:color w:val="auto"/>
          <w:sz w:val="36"/>
          <w:szCs w:val="36"/>
          <w:highlight w:val="none"/>
          <w:lang w:val="en-US" w:eastAsia="zh-CN"/>
        </w:rPr>
        <w:outlineLvl w:val="9"/>
      </w:pPr>
      <w:r>
        <w:rPr>
          <w:rFonts w:hint="eastAsia" w:ascii="新宋体" w:hAnsi="新宋体" w:eastAsia="新宋体" w:cs="新宋体"/>
          <w:b/>
          <w:color w:val="auto"/>
          <w:sz w:val="36"/>
          <w:szCs w:val="36"/>
          <w:highlight w:val="none"/>
          <w:lang w:val="en-US" w:eastAsia="zh-CN"/>
        </w:rPr>
      </w:r>
      <w:r/>
    </w:p>
    <w:p>
      <w:pPr>
        <w:jc w:val="center"/>
        <w:spacing w:line="500" w:lineRule="exact"/>
        <w:rPr>
          <w:rFonts w:hint="eastAsia" w:ascii="新宋体" w:hAnsi="新宋体" w:eastAsia="新宋体" w:cs="新宋体"/>
          <w:b/>
          <w:color w:val="auto"/>
          <w:sz w:val="36"/>
          <w:szCs w:val="36"/>
          <w:highlight w:val="none"/>
          <w:lang w:val="en-US" w:eastAsia="zh-CN"/>
        </w:rPr>
        <w:outlineLvl w:val="9"/>
      </w:pPr>
      <w:r>
        <w:rPr>
          <w:rFonts w:hint="eastAsia" w:ascii="新宋体" w:hAnsi="新宋体" w:eastAsia="新宋体" w:cs="新宋体"/>
          <w:b/>
          <w:color w:val="auto"/>
          <w:sz w:val="36"/>
          <w:szCs w:val="36"/>
          <w:highlight w:val="none"/>
          <w:lang w:val="en-US" w:eastAsia="zh-CN"/>
        </w:rPr>
      </w:r>
      <w:r/>
    </w:p>
    <w:p>
      <w:pPr>
        <w:jc w:val="center"/>
        <w:spacing w:line="500" w:lineRule="exact"/>
        <w:rPr>
          <w:rFonts w:hint="eastAsia" w:ascii="新宋体" w:hAnsi="新宋体" w:eastAsia="新宋体" w:cs="新宋体"/>
          <w:b/>
          <w:color w:val="auto"/>
          <w:sz w:val="36"/>
          <w:szCs w:val="36"/>
          <w:highlight w:val="none"/>
          <w:lang w:val="en-US" w:eastAsia="zh-CN"/>
        </w:rPr>
        <w:sectPr>
          <w:footnotePr/>
          <w:endnotePr/>
          <w:type w:val="nextPage"/>
          <w:pgSz w:w="11906" w:h="16838" w:orient="portrait"/>
          <w:pgMar w:top="1440" w:right="1417" w:bottom="1440" w:left="1417" w:header="851" w:footer="992" w:gutter="0"/>
          <w:cols w:num="1" w:sep="0" w:space="720" w:equalWidth="1"/>
          <w:docGrid w:linePitch="360"/>
        </w:sectPr>
        <w:outlineLvl w:val="0"/>
      </w:pPr>
      <w:r>
        <w:rPr>
          <w:rFonts w:hint="eastAsia" w:ascii="新宋体" w:hAnsi="新宋体" w:eastAsia="新宋体" w:cs="新宋体"/>
          <w:b/>
          <w:color w:val="auto"/>
          <w:sz w:val="36"/>
          <w:szCs w:val="36"/>
          <w:highlight w:val="none"/>
          <w:lang w:val="en-US" w:eastAsia="zh-CN"/>
        </w:rPr>
      </w:r>
      <w:r/>
    </w:p>
    <w:p>
      <w:pPr>
        <w:jc w:val="center"/>
        <w:spacing w:line="500" w:lineRule="exact"/>
        <w:rPr>
          <w:rFonts w:hint="eastAsia" w:ascii="新宋体" w:hAnsi="新宋体" w:eastAsia="新宋体" w:cs="新宋体"/>
          <w:b/>
          <w:color w:val="auto"/>
          <w:sz w:val="36"/>
          <w:szCs w:val="36"/>
          <w:highlight w:val="none"/>
          <w:lang w:val="en-US" w:eastAsia="zh-CN"/>
        </w:rPr>
        <w:outlineLvl w:val="0"/>
      </w:pPr>
      <w:r/>
      <w:bookmarkStart w:id="96" w:name="_Toc20298"/>
      <w:r>
        <w:rPr>
          <w:rFonts w:hint="eastAsia" w:ascii="新宋体" w:hAnsi="新宋体" w:eastAsia="新宋体" w:cs="新宋体"/>
          <w:b/>
          <w:color w:val="auto"/>
          <w:sz w:val="36"/>
          <w:szCs w:val="36"/>
          <w:highlight w:val="none"/>
          <w:lang w:val="en-US" w:eastAsia="zh-CN"/>
        </w:rPr>
        <w:t xml:space="preserve">第五章  </w:t>
      </w:r>
      <w:bookmarkEnd w:id="92"/>
      <w:r/>
      <w:bookmarkEnd w:id="93"/>
      <w:r>
        <w:rPr>
          <w:rFonts w:hint="eastAsia" w:ascii="新宋体" w:hAnsi="新宋体" w:eastAsia="新宋体" w:cs="新宋体"/>
          <w:b/>
          <w:color w:val="auto"/>
          <w:sz w:val="36"/>
          <w:szCs w:val="36"/>
          <w:highlight w:val="none"/>
          <w:lang w:val="en-US" w:eastAsia="zh-CN"/>
        </w:rPr>
        <w:t xml:space="preserve">合同格式及条款（草案）</w:t>
      </w:r>
      <w:bookmarkEnd w:id="95"/>
      <w:r/>
      <w:bookmarkEnd w:id="96"/>
      <w:r/>
      <w:r/>
    </w:p>
    <w:p>
      <w:pPr>
        <w:jc w:val="center"/>
        <w:spacing w:after="200"/>
        <w:rPr>
          <w:rFonts w:hint="eastAsia" w:ascii="新宋体" w:hAnsi="新宋体" w:eastAsia="新宋体" w:cs="新宋体"/>
          <w:b/>
          <w:color w:val="auto"/>
          <w:sz w:val="24"/>
          <w:szCs w:val="24"/>
          <w:highlight w:val="none"/>
        </w:rPr>
      </w:pPr>
      <w:r/>
      <w:bookmarkStart w:id="97" w:name="_Toc7955"/>
      <w:r/>
      <w:bookmarkStart w:id="98" w:name="_Toc1657"/>
      <w:r/>
      <w:r/>
    </w:p>
    <w:p>
      <w:pPr>
        <w:jc w:val="center"/>
        <w:spacing w:after="200"/>
        <w:rPr>
          <w:rFonts w:hint="eastAsia" w:ascii="新宋体" w:hAnsi="新宋体" w:eastAsia="新宋体" w:cs="新宋体"/>
          <w:b/>
          <w:color w:val="auto"/>
          <w:sz w:val="24"/>
          <w:szCs w:val="24"/>
          <w:highlight w:val="none"/>
        </w:rPr>
      </w:pPr>
      <w:r>
        <w:rPr>
          <w:rFonts w:hint="eastAsia" w:ascii="新宋体" w:hAnsi="新宋体" w:eastAsia="新宋体" w:cs="新宋体"/>
          <w:b/>
          <w:color w:val="auto"/>
          <w:sz w:val="24"/>
          <w:szCs w:val="24"/>
          <w:highlight w:val="none"/>
        </w:rPr>
      </w:r>
      <w:r/>
    </w:p>
    <w:p>
      <w:pPr>
        <w:jc w:val="center"/>
        <w:spacing w:after="200"/>
        <w:rPr>
          <w:rFonts w:hint="eastAsia" w:ascii="新宋体" w:hAnsi="新宋体" w:eastAsia="新宋体" w:cs="新宋体"/>
          <w:b/>
          <w:color w:val="auto"/>
          <w:sz w:val="24"/>
          <w:szCs w:val="24"/>
          <w:highlight w:val="none"/>
        </w:rPr>
      </w:pPr>
      <w:r>
        <w:rPr>
          <w:rFonts w:hint="eastAsia" w:ascii="新宋体" w:hAnsi="新宋体" w:eastAsia="新宋体" w:cs="新宋体"/>
          <w:b/>
          <w:color w:val="auto"/>
          <w:sz w:val="24"/>
          <w:szCs w:val="24"/>
          <w:highlight w:val="none"/>
        </w:rPr>
        <w:t xml:space="preserve">政府采购合同</w:t>
      </w:r>
      <w:r/>
    </w:p>
    <w:p>
      <w:pPr>
        <w:jc w:val="center"/>
        <w:spacing w:line="480" w:lineRule="auto"/>
        <w:widowControl/>
        <w:rPr>
          <w:rFonts w:hint="eastAsia" w:ascii="新宋体" w:hAnsi="新宋体" w:eastAsia="新宋体" w:cs="新宋体"/>
          <w:b/>
          <w:color w:val="auto"/>
          <w:sz w:val="24"/>
          <w:szCs w:val="24"/>
          <w:highlight w:val="none"/>
        </w:rPr>
      </w:pPr>
      <w:r>
        <w:rPr>
          <w:rFonts w:hint="eastAsia" w:ascii="新宋体" w:hAnsi="新宋体" w:eastAsia="新宋体" w:cs="新宋体"/>
          <w:b/>
          <w:color w:val="auto"/>
          <w:sz w:val="24"/>
          <w:szCs w:val="24"/>
          <w:highlight w:val="none"/>
        </w:rPr>
        <w:t xml:space="preserve">（服务类）</w:t>
      </w:r>
      <w:r/>
    </w:p>
    <w:p>
      <w:pPr>
        <w:spacing w:after="200"/>
        <w:rPr>
          <w:rFonts w:hint="eastAsia" w:ascii="新宋体" w:hAnsi="新宋体" w:eastAsia="新宋体" w:cs="新宋体"/>
          <w:b/>
          <w:color w:val="auto"/>
          <w:sz w:val="24"/>
          <w:szCs w:val="24"/>
          <w:highlight w:val="none"/>
        </w:rPr>
      </w:pPr>
      <w:r>
        <w:rPr>
          <w:rFonts w:hint="eastAsia" w:ascii="新宋体" w:hAnsi="新宋体" w:eastAsia="新宋体" w:cs="新宋体"/>
          <w:b/>
          <w:color w:val="auto"/>
          <w:sz w:val="24"/>
          <w:szCs w:val="24"/>
          <w:highlight w:val="none"/>
        </w:rPr>
      </w:r>
      <w:r/>
    </w:p>
    <w:p>
      <w:pPr>
        <w:pStyle w:val="1384"/>
        <w:ind w:firstLine="600"/>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r>
      <w:r/>
    </w:p>
    <w:p>
      <w:pPr>
        <w:ind w:firstLine="1120"/>
        <w:spacing w:after="200"/>
        <w:rPr>
          <w:rFonts w:hint="eastAsia" w:ascii="新宋体" w:hAnsi="新宋体" w:eastAsia="新宋体" w:cs="新宋体"/>
          <w:color w:val="auto"/>
          <w:spacing w:val="-6"/>
          <w:sz w:val="28"/>
          <w:szCs w:val="28"/>
          <w:highlight w:val="none"/>
        </w:rPr>
      </w:pPr>
      <w:r>
        <w:rPr>
          <w:rFonts w:hint="eastAsia" w:ascii="新宋体" w:hAnsi="新宋体" w:eastAsia="新宋体" w:cs="新宋体"/>
          <w:color w:val="auto"/>
          <w:sz w:val="28"/>
          <w:szCs w:val="28"/>
          <w:highlight w:val="none"/>
        </w:rPr>
        <w:t xml:space="preserve">项目名称：</w:t>
      </w:r>
      <w:r>
        <w:rPr>
          <w:rFonts w:hint="eastAsia" w:ascii="新宋体" w:hAnsi="新宋体" w:eastAsia="新宋体" w:cs="新宋体"/>
          <w:color w:val="auto"/>
          <w:sz w:val="28"/>
          <w:szCs w:val="28"/>
          <w:highlight w:val="none"/>
          <w:u w:val="single"/>
          <w:lang w:eastAsia="zh-CN"/>
        </w:rPr>
        <w:t xml:space="preserve">宿城区2026年工业产品质量监督抽查服务采购项目</w:t>
      </w:r>
      <w:r/>
    </w:p>
    <w:p>
      <w:pPr>
        <w:spacing w:after="200"/>
        <w:rPr>
          <w:rFonts w:hint="eastAsia" w:ascii="新宋体" w:hAnsi="新宋体" w:eastAsia="新宋体" w:cs="新宋体"/>
          <w:color w:val="auto"/>
          <w:sz w:val="28"/>
          <w:szCs w:val="28"/>
          <w:highlight w:val="none"/>
        </w:rPr>
      </w:pPr>
      <w:r>
        <w:rPr>
          <w:rFonts w:hint="eastAsia" w:ascii="新宋体" w:hAnsi="新宋体" w:eastAsia="新宋体" w:cs="新宋体"/>
          <w:color w:val="auto"/>
          <w:sz w:val="28"/>
          <w:szCs w:val="28"/>
          <w:highlight w:val="none"/>
        </w:rPr>
      </w:r>
      <w:r/>
    </w:p>
    <w:p>
      <w:pPr>
        <w:ind w:firstLine="1120"/>
        <w:spacing w:after="200"/>
        <w:rPr>
          <w:rFonts w:hint="eastAsia" w:ascii="新宋体" w:hAnsi="新宋体" w:eastAsia="新宋体" w:cs="新宋体"/>
          <w:color w:val="auto"/>
          <w:sz w:val="28"/>
          <w:szCs w:val="28"/>
          <w:highlight w:val="none"/>
        </w:rPr>
      </w:pPr>
      <w:r>
        <w:rPr>
          <w:rFonts w:hint="eastAsia" w:ascii="新宋体" w:hAnsi="新宋体" w:eastAsia="新宋体" w:cs="新宋体"/>
          <w:color w:val="auto"/>
          <w:sz w:val="28"/>
          <w:szCs w:val="28"/>
          <w:highlight w:val="none"/>
        </w:rPr>
        <w:t xml:space="preserve">项目</w:t>
      </w:r>
      <w:r>
        <w:rPr>
          <w:rFonts w:hint="eastAsia" w:ascii="新宋体" w:hAnsi="新宋体" w:eastAsia="新宋体" w:cs="新宋体"/>
          <w:color w:val="auto"/>
          <w:sz w:val="28"/>
          <w:szCs w:val="28"/>
          <w:highlight w:val="none"/>
          <w:lang w:val="en-US" w:eastAsia="zh-CN"/>
        </w:rPr>
        <w:t xml:space="preserve">编号</w:t>
      </w:r>
      <w:r>
        <w:rPr>
          <w:rFonts w:hint="eastAsia" w:ascii="新宋体" w:hAnsi="新宋体" w:eastAsia="新宋体" w:cs="新宋体"/>
          <w:color w:val="auto"/>
          <w:sz w:val="28"/>
          <w:szCs w:val="28"/>
          <w:highlight w:val="none"/>
        </w:rPr>
        <w:t xml:space="preserve">：</w:t>
      </w:r>
      <w:r>
        <w:rPr>
          <w:rFonts w:hint="eastAsia" w:ascii="新宋体" w:hAnsi="新宋体" w:eastAsia="新宋体" w:cs="新宋体"/>
          <w:color w:val="auto"/>
          <w:sz w:val="28"/>
          <w:szCs w:val="28"/>
          <w:highlight w:val="none"/>
          <w:u w:val="single"/>
        </w:rPr>
        <w:t xml:space="preserve">               </w:t>
      </w:r>
      <w:r>
        <w:rPr>
          <w:rFonts w:hint="eastAsia" w:ascii="新宋体" w:hAnsi="新宋体" w:eastAsia="新宋体" w:cs="新宋体"/>
          <w:color w:val="auto"/>
          <w:sz w:val="28"/>
          <w:szCs w:val="28"/>
          <w:highlight w:val="none"/>
          <w:u w:val="single"/>
          <w:lang w:val="en-US" w:eastAsia="zh-CN"/>
        </w:rPr>
        <w:t xml:space="preserve"> </w:t>
      </w:r>
      <w:r>
        <w:rPr>
          <w:rFonts w:hint="eastAsia" w:ascii="新宋体" w:hAnsi="新宋体" w:eastAsia="新宋体" w:cs="新宋体"/>
          <w:color w:val="auto"/>
          <w:sz w:val="28"/>
          <w:szCs w:val="28"/>
          <w:highlight w:val="none"/>
          <w:u w:val="single"/>
        </w:rPr>
        <w:t xml:space="preserve">                    </w:t>
      </w:r>
      <w:r/>
    </w:p>
    <w:p>
      <w:pPr>
        <w:spacing w:after="200"/>
        <w:rPr>
          <w:rFonts w:hint="eastAsia" w:ascii="新宋体" w:hAnsi="新宋体" w:eastAsia="新宋体" w:cs="新宋体"/>
          <w:color w:val="auto"/>
          <w:sz w:val="28"/>
          <w:szCs w:val="28"/>
          <w:highlight w:val="none"/>
        </w:rPr>
      </w:pPr>
      <w:r>
        <w:rPr>
          <w:rFonts w:hint="eastAsia" w:ascii="新宋体" w:hAnsi="新宋体" w:eastAsia="新宋体" w:cs="新宋体"/>
          <w:color w:val="auto"/>
          <w:sz w:val="28"/>
          <w:szCs w:val="28"/>
          <w:highlight w:val="none"/>
        </w:rPr>
      </w:r>
      <w:r/>
    </w:p>
    <w:p>
      <w:pPr>
        <w:ind w:firstLine="1120"/>
        <w:spacing w:after="200"/>
        <w:rPr>
          <w:rFonts w:hint="eastAsia" w:ascii="新宋体" w:hAnsi="新宋体" w:eastAsia="新宋体" w:cs="新宋体"/>
          <w:color w:val="auto"/>
          <w:sz w:val="28"/>
          <w:szCs w:val="28"/>
          <w:highlight w:val="none"/>
        </w:rPr>
      </w:pPr>
      <w:r>
        <w:rPr>
          <w:rFonts w:hint="eastAsia" w:ascii="新宋体" w:hAnsi="新宋体" w:eastAsia="新宋体" w:cs="新宋体"/>
          <w:color w:val="auto"/>
          <w:sz w:val="28"/>
          <w:szCs w:val="28"/>
          <w:highlight w:val="none"/>
        </w:rPr>
      </w:r>
      <w:r/>
    </w:p>
    <w:p>
      <w:pPr>
        <w:ind w:firstLine="1120"/>
        <w:spacing w:after="200"/>
        <w:rPr>
          <w:rFonts w:hint="eastAsia" w:ascii="新宋体" w:hAnsi="新宋体" w:eastAsia="新宋体" w:cs="新宋体"/>
          <w:color w:val="auto"/>
          <w:sz w:val="28"/>
          <w:szCs w:val="28"/>
          <w:highlight w:val="none"/>
        </w:rPr>
      </w:pPr>
      <w:r>
        <w:rPr>
          <w:rFonts w:hint="eastAsia" w:ascii="新宋体" w:hAnsi="新宋体" w:eastAsia="新宋体" w:cs="新宋体"/>
          <w:color w:val="auto"/>
          <w:sz w:val="28"/>
          <w:szCs w:val="28"/>
          <w:highlight w:val="none"/>
        </w:rPr>
      </w:r>
      <w:r/>
    </w:p>
    <w:p>
      <w:pPr>
        <w:ind w:firstLine="1120"/>
        <w:spacing w:after="200"/>
        <w:rPr>
          <w:rFonts w:hint="eastAsia" w:ascii="新宋体" w:hAnsi="新宋体" w:eastAsia="新宋体" w:cs="新宋体"/>
          <w:color w:val="auto"/>
          <w:sz w:val="28"/>
          <w:szCs w:val="28"/>
          <w:highlight w:val="none"/>
        </w:rPr>
      </w:pPr>
      <w:r>
        <w:rPr>
          <w:rFonts w:hint="eastAsia" w:ascii="新宋体" w:hAnsi="新宋体" w:eastAsia="新宋体" w:cs="新宋体"/>
          <w:color w:val="auto"/>
          <w:sz w:val="28"/>
          <w:szCs w:val="28"/>
          <w:highlight w:val="none"/>
        </w:rPr>
      </w:r>
      <w:r/>
    </w:p>
    <w:p>
      <w:pPr>
        <w:ind w:firstLine="1120"/>
        <w:spacing w:after="200"/>
        <w:rPr>
          <w:rFonts w:hint="eastAsia" w:ascii="新宋体" w:hAnsi="新宋体" w:eastAsia="新宋体" w:cs="新宋体"/>
          <w:color w:val="auto"/>
          <w:sz w:val="28"/>
          <w:szCs w:val="28"/>
          <w:highlight w:val="none"/>
          <w:u w:val="single"/>
        </w:rPr>
      </w:pPr>
      <w:r>
        <w:rPr>
          <w:rFonts w:hint="eastAsia" w:ascii="新宋体" w:hAnsi="新宋体" w:eastAsia="新宋体" w:cs="新宋体"/>
          <w:color w:val="auto"/>
          <w:sz w:val="28"/>
          <w:szCs w:val="28"/>
          <w:highlight w:val="none"/>
        </w:rPr>
        <w:t xml:space="preserve">甲    方：</w:t>
      </w:r>
      <w:r>
        <w:rPr>
          <w:rFonts w:hint="eastAsia" w:ascii="新宋体" w:hAnsi="新宋体" w:eastAsia="新宋体" w:cs="新宋体"/>
          <w:color w:val="auto"/>
          <w:sz w:val="28"/>
          <w:szCs w:val="28"/>
          <w:highlight w:val="none"/>
          <w:u w:val="single"/>
          <w:lang w:eastAsia="zh-CN"/>
        </w:rPr>
        <w:t xml:space="preserve">宿迁市宿城区市场监督管理局</w:t>
      </w:r>
      <w:r>
        <w:rPr>
          <w:rFonts w:hint="eastAsia" w:ascii="新宋体" w:hAnsi="新宋体" w:eastAsia="新宋体" w:cs="新宋体"/>
          <w:color w:val="auto"/>
          <w:sz w:val="28"/>
          <w:szCs w:val="28"/>
          <w:highlight w:val="none"/>
          <w:u w:val="single"/>
        </w:rPr>
        <w:t xml:space="preserve">        </w:t>
      </w:r>
      <w:r/>
    </w:p>
    <w:p>
      <w:pPr>
        <w:spacing w:after="200"/>
        <w:rPr>
          <w:rFonts w:hint="eastAsia" w:ascii="新宋体" w:hAnsi="新宋体" w:eastAsia="新宋体" w:cs="新宋体"/>
          <w:color w:val="auto"/>
          <w:sz w:val="28"/>
          <w:szCs w:val="28"/>
          <w:highlight w:val="none"/>
        </w:rPr>
      </w:pPr>
      <w:r>
        <w:rPr>
          <w:rFonts w:hint="eastAsia" w:ascii="新宋体" w:hAnsi="新宋体" w:eastAsia="新宋体" w:cs="新宋体"/>
          <w:color w:val="auto"/>
          <w:sz w:val="28"/>
          <w:szCs w:val="28"/>
          <w:highlight w:val="none"/>
        </w:rPr>
      </w:r>
      <w:r/>
    </w:p>
    <w:p>
      <w:pPr>
        <w:ind w:firstLine="1120"/>
        <w:spacing w:after="200"/>
        <w:rPr>
          <w:rFonts w:hint="eastAsia" w:ascii="新宋体" w:hAnsi="新宋体" w:eastAsia="新宋体" w:cs="新宋体"/>
          <w:color w:val="auto"/>
          <w:sz w:val="28"/>
          <w:szCs w:val="28"/>
          <w:highlight w:val="none"/>
          <w:u w:val="single"/>
        </w:rPr>
      </w:pPr>
      <w:r>
        <w:rPr>
          <w:rFonts w:hint="eastAsia" w:ascii="新宋体" w:hAnsi="新宋体" w:eastAsia="新宋体" w:cs="新宋体"/>
          <w:color w:val="auto"/>
          <w:sz w:val="28"/>
          <w:szCs w:val="28"/>
          <w:highlight w:val="none"/>
        </w:rPr>
        <w:t xml:space="preserve">乙    方：</w:t>
      </w:r>
      <w:r>
        <w:rPr>
          <w:rFonts w:hint="eastAsia" w:ascii="新宋体" w:hAnsi="新宋体" w:eastAsia="新宋体" w:cs="新宋体"/>
          <w:color w:val="auto"/>
          <w:sz w:val="28"/>
          <w:szCs w:val="28"/>
          <w:highlight w:val="none"/>
          <w:u w:val="single"/>
        </w:rPr>
        <w:t xml:space="preserve">                                         </w:t>
      </w:r>
      <w:r/>
    </w:p>
    <w:p>
      <w:pPr>
        <w:spacing w:after="200"/>
        <w:rPr>
          <w:rFonts w:hint="eastAsia" w:ascii="新宋体" w:hAnsi="新宋体" w:eastAsia="新宋体" w:cs="新宋体"/>
          <w:color w:val="auto"/>
          <w:sz w:val="28"/>
          <w:szCs w:val="28"/>
          <w:highlight w:val="none"/>
          <w:u w:val="single"/>
        </w:rPr>
      </w:pPr>
      <w:r>
        <w:rPr>
          <w:rFonts w:hint="eastAsia" w:ascii="新宋体" w:hAnsi="新宋体" w:eastAsia="新宋体" w:cs="新宋体"/>
          <w:color w:val="auto"/>
          <w:sz w:val="28"/>
          <w:szCs w:val="28"/>
          <w:highlight w:val="none"/>
          <w:u w:val="single"/>
        </w:rPr>
      </w:r>
      <w:r/>
    </w:p>
    <w:p>
      <w:pPr>
        <w:ind w:firstLine="1120"/>
        <w:rPr>
          <w:rFonts w:hint="eastAsia" w:ascii="新宋体" w:hAnsi="新宋体" w:eastAsia="新宋体" w:cs="新宋体"/>
          <w:color w:val="auto"/>
          <w:sz w:val="28"/>
          <w:szCs w:val="28"/>
          <w:highlight w:val="none"/>
        </w:rPr>
      </w:pPr>
      <w:r>
        <w:rPr>
          <w:rFonts w:hint="eastAsia" w:ascii="新宋体" w:hAnsi="新宋体" w:eastAsia="新宋体" w:cs="新宋体"/>
          <w:color w:val="auto"/>
          <w:sz w:val="28"/>
          <w:szCs w:val="28"/>
          <w:highlight w:val="none"/>
        </w:rPr>
      </w:r>
      <w:r/>
    </w:p>
    <w:p>
      <w:pPr>
        <w:ind w:firstLine="1120"/>
        <w:rPr>
          <w:rFonts w:hint="eastAsia" w:ascii="新宋体" w:hAnsi="新宋体" w:eastAsia="新宋体" w:cs="新宋体"/>
          <w:color w:val="auto"/>
          <w:sz w:val="28"/>
          <w:szCs w:val="28"/>
          <w:highlight w:val="none"/>
        </w:rPr>
      </w:pPr>
      <w:r>
        <w:rPr>
          <w:rFonts w:hint="eastAsia" w:ascii="新宋体" w:hAnsi="新宋体" w:eastAsia="新宋体" w:cs="新宋体"/>
          <w:color w:val="auto"/>
          <w:sz w:val="28"/>
          <w:szCs w:val="28"/>
          <w:highlight w:val="none"/>
        </w:rPr>
      </w:r>
      <w:r/>
    </w:p>
    <w:p>
      <w:pPr>
        <w:ind w:firstLine="1120"/>
        <w:rPr>
          <w:rFonts w:hint="eastAsia" w:ascii="新宋体" w:hAnsi="新宋体" w:eastAsia="新宋体" w:cs="新宋体"/>
          <w:color w:val="auto"/>
          <w:sz w:val="28"/>
          <w:szCs w:val="28"/>
          <w:highlight w:val="none"/>
        </w:rPr>
      </w:pPr>
      <w:r>
        <w:rPr>
          <w:rFonts w:hint="eastAsia" w:ascii="新宋体" w:hAnsi="新宋体" w:eastAsia="新宋体" w:cs="新宋体"/>
          <w:color w:val="auto"/>
          <w:sz w:val="28"/>
          <w:szCs w:val="28"/>
          <w:highlight w:val="none"/>
        </w:rPr>
      </w:r>
      <w:r/>
    </w:p>
    <w:p>
      <w:pPr>
        <w:ind w:firstLine="1120"/>
        <w:rPr>
          <w:rFonts w:hint="eastAsia" w:ascii="新宋体" w:hAnsi="新宋体" w:eastAsia="新宋体" w:cs="新宋体"/>
          <w:color w:val="auto"/>
          <w:sz w:val="28"/>
          <w:szCs w:val="28"/>
          <w:highlight w:val="none"/>
        </w:rPr>
      </w:pPr>
      <w:r>
        <w:rPr>
          <w:rFonts w:hint="eastAsia" w:ascii="新宋体" w:hAnsi="新宋体" w:eastAsia="新宋体" w:cs="新宋体"/>
          <w:color w:val="auto"/>
          <w:sz w:val="28"/>
          <w:szCs w:val="28"/>
          <w:highlight w:val="none"/>
        </w:rPr>
      </w:r>
      <w:r/>
    </w:p>
    <w:p>
      <w:pPr>
        <w:ind w:firstLine="1120"/>
        <w:rPr>
          <w:rFonts w:hint="eastAsia" w:ascii="新宋体" w:hAnsi="新宋体" w:eastAsia="新宋体" w:cs="新宋体"/>
          <w:color w:val="auto"/>
          <w:sz w:val="28"/>
          <w:szCs w:val="28"/>
          <w:highlight w:val="none"/>
        </w:rPr>
      </w:pPr>
      <w:r>
        <w:rPr>
          <w:rFonts w:hint="eastAsia" w:ascii="新宋体" w:hAnsi="新宋体" w:eastAsia="新宋体" w:cs="新宋体"/>
          <w:color w:val="auto"/>
          <w:sz w:val="28"/>
          <w:szCs w:val="28"/>
          <w:highlight w:val="none"/>
        </w:rPr>
      </w:r>
      <w:r/>
    </w:p>
    <w:p>
      <w:pPr>
        <w:ind w:firstLine="1120"/>
        <w:rPr>
          <w:rFonts w:hint="eastAsia" w:ascii="新宋体" w:hAnsi="新宋体" w:eastAsia="新宋体" w:cs="新宋体"/>
          <w:color w:val="auto"/>
          <w:sz w:val="28"/>
          <w:szCs w:val="28"/>
          <w:highlight w:val="none"/>
        </w:rPr>
      </w:pPr>
      <w:r>
        <w:rPr>
          <w:rFonts w:hint="eastAsia" w:ascii="新宋体" w:hAnsi="新宋体" w:eastAsia="新宋体" w:cs="新宋体"/>
          <w:color w:val="auto"/>
          <w:sz w:val="28"/>
          <w:szCs w:val="28"/>
          <w:highlight w:val="none"/>
        </w:rPr>
      </w:r>
      <w:r/>
    </w:p>
    <w:p>
      <w:pPr>
        <w:ind w:firstLine="1120"/>
        <w:rPr>
          <w:rFonts w:hint="eastAsia" w:ascii="新宋体" w:hAnsi="新宋体" w:eastAsia="新宋体" w:cs="新宋体"/>
          <w:color w:val="auto"/>
          <w:sz w:val="28"/>
          <w:szCs w:val="28"/>
          <w:highlight w:val="none"/>
        </w:rPr>
      </w:pPr>
      <w:r>
        <w:rPr>
          <w:rFonts w:hint="eastAsia" w:ascii="新宋体" w:hAnsi="新宋体" w:eastAsia="新宋体" w:cs="新宋体"/>
          <w:color w:val="auto"/>
          <w:sz w:val="28"/>
          <w:szCs w:val="28"/>
          <w:highlight w:val="none"/>
        </w:rPr>
        <w:t xml:space="preserve">签 订 日 期：      年      月      日</w:t>
      </w:r>
      <w:r/>
    </w:p>
    <w:p>
      <w:pPr>
        <w:ind w:firstLine="480"/>
        <w:spacing w:line="500" w:lineRule="exact"/>
        <w:rPr>
          <w:rFonts w:hint="eastAsia" w:ascii="新宋体" w:hAnsi="新宋体" w:eastAsia="新宋体" w:cs="新宋体"/>
          <w:bCs/>
          <w:color w:val="auto"/>
          <w:sz w:val="28"/>
          <w:szCs w:val="28"/>
          <w:highlight w:val="none"/>
        </w:rPr>
      </w:pPr>
      <w:r>
        <w:rPr>
          <w:rFonts w:hint="eastAsia" w:ascii="新宋体" w:hAnsi="新宋体" w:eastAsia="新宋体" w:cs="新宋体"/>
          <w:bCs/>
          <w:color w:val="auto"/>
          <w:sz w:val="28"/>
          <w:szCs w:val="28"/>
          <w:highlight w:val="none"/>
        </w:rPr>
        <w:br w:type="page" w:clear="all"/>
      </w:r>
      <w:r/>
    </w:p>
    <w:p>
      <w:pPr>
        <w:pStyle w:val="705"/>
        <w:ind w:left="0" w:right="0"/>
        <w:jc w:val="center"/>
        <w:keepLines w:val="0"/>
        <w:keepNext w:val="0"/>
        <w:spacing w:before="0" w:beforeAutospacing="0" w:after="0" w:afterAutospacing="0" w:line="500" w:lineRule="exact"/>
        <w:widowControl/>
        <w:rPr>
          <w:rFonts w:hint="eastAsia" w:ascii="新宋体" w:hAnsi="新宋体" w:eastAsia="新宋体" w:cs="新宋体"/>
          <w:b/>
          <w:bCs w:val="0"/>
          <w:color w:val="auto"/>
          <w:sz w:val="28"/>
          <w:szCs w:val="28"/>
          <w:highlight w:val="none"/>
        </w:rPr>
        <w:suppressLineNumbers w:val="0"/>
      </w:pPr>
      <w:r>
        <w:rPr>
          <w:rFonts w:hint="eastAsia" w:ascii="新宋体" w:hAnsi="新宋体" w:eastAsia="新宋体" w:cs="新宋体"/>
          <w:b/>
          <w:bCs w:val="0"/>
          <w:color w:val="auto"/>
          <w:sz w:val="28"/>
          <w:szCs w:val="28"/>
          <w:highlight w:val="none"/>
          <w:lang w:val="en-US" w:eastAsia="zh-CN" w:bidi="ar"/>
        </w:rPr>
        <w:t xml:space="preserve">宿城区2026年工业产品质量监督抽查服务采购项目（分包</w:t>
      </w:r>
      <w:r>
        <w:rPr>
          <w:rFonts w:hint="eastAsia" w:ascii="新宋体" w:hAnsi="新宋体" w:eastAsia="新宋体" w:cs="新宋体"/>
          <w:b/>
          <w:bCs w:val="0"/>
          <w:color w:val="auto"/>
          <w:sz w:val="28"/>
          <w:szCs w:val="28"/>
          <w:highlight w:val="none"/>
          <w:u w:val="single"/>
          <w:lang w:val="en-US" w:eastAsia="zh-CN" w:bidi="ar"/>
        </w:rPr>
        <w:t xml:space="preserve">    </w:t>
      </w:r>
      <w:r>
        <w:rPr>
          <w:rFonts w:hint="eastAsia" w:ascii="新宋体" w:hAnsi="新宋体" w:eastAsia="新宋体" w:cs="新宋体"/>
          <w:b/>
          <w:bCs w:val="0"/>
          <w:color w:val="auto"/>
          <w:sz w:val="28"/>
          <w:szCs w:val="28"/>
          <w:highlight w:val="none"/>
          <w:lang w:val="en-US" w:eastAsia="zh-CN" w:bidi="ar"/>
        </w:rPr>
        <w:t xml:space="preserve">）</w:t>
      </w:r>
      <w:r/>
    </w:p>
    <w:p>
      <w:pPr>
        <w:pStyle w:val="705"/>
        <w:ind w:left="0" w:right="0"/>
        <w:jc w:val="center"/>
        <w:keepLines w:val="0"/>
        <w:keepNext w:val="0"/>
        <w:spacing w:before="0" w:beforeAutospacing="0" w:after="0" w:afterAutospacing="0" w:line="500" w:lineRule="exact"/>
        <w:widowControl/>
        <w:rPr>
          <w:rFonts w:hint="eastAsia" w:ascii="新宋体" w:hAnsi="新宋体" w:eastAsia="新宋体" w:cs="新宋体"/>
          <w:b/>
          <w:bCs w:val="0"/>
          <w:color w:val="auto"/>
          <w:sz w:val="28"/>
          <w:szCs w:val="28"/>
          <w:highlight w:val="none"/>
          <w:u w:val="single"/>
        </w:rPr>
        <w:suppressLineNumbers w:val="0"/>
      </w:pPr>
      <w:r>
        <w:rPr>
          <w:rFonts w:hint="eastAsia" w:ascii="新宋体" w:hAnsi="新宋体" w:eastAsia="新宋体" w:cs="新宋体"/>
          <w:b/>
          <w:bCs w:val="0"/>
          <w:color w:val="auto"/>
          <w:sz w:val="28"/>
          <w:szCs w:val="28"/>
          <w:highlight w:val="none"/>
          <w:lang w:val="en-US" w:eastAsia="zh-CN" w:bidi="ar"/>
        </w:rPr>
        <w:t xml:space="preserve">政府采购合同</w:t>
      </w:r>
      <w:r/>
    </w:p>
    <w:p>
      <w:pPr>
        <w:jc w:val="left"/>
        <w:keepLines w:val="0"/>
        <w:keepNext w:val="0"/>
        <w:pageBreakBefore w:val="0"/>
        <w:spacing w:line="480" w:lineRule="exact"/>
        <w:widowControl/>
        <w:rPr>
          <w:rFonts w:hint="default" w:ascii="宋体" w:hAnsi="宋体" w:eastAsia="宋体" w:cs="宋体"/>
          <w:color w:val="auto"/>
          <w:sz w:val="24"/>
          <w:szCs w:val="24"/>
          <w:lang w:val="en-US" w:eastAsia="zh-CN" w:bidi="ar"/>
        </w:rPr>
        <w:suppressLineNumbers w:val="0"/>
      </w:pPr>
      <w:r/>
      <w:bookmarkStart w:id="99" w:name="_Toc28952737"/>
      <w:r/>
      <w:bookmarkStart w:id="100" w:name="_Toc12027180"/>
      <w:r/>
      <w:bookmarkStart w:id="101" w:name="_Toc393791425"/>
      <w:r>
        <w:rPr>
          <w:rFonts w:hint="default" w:ascii="宋体" w:hAnsi="宋体" w:eastAsia="宋体" w:cs="宋体"/>
          <w:color w:val="auto"/>
          <w:sz w:val="24"/>
          <w:szCs w:val="24"/>
          <w:lang w:val="en-US" w:eastAsia="zh-CN" w:bidi="ar"/>
        </w:rPr>
        <w:t xml:space="preserve">甲方（采购人）：宿迁市宿城区市场监督管理局</w:t>
      </w:r>
      <w:r/>
    </w:p>
    <w:p>
      <w:pPr>
        <w:jc w:val="left"/>
        <w:keepLines w:val="0"/>
        <w:keepNext w:val="0"/>
        <w:pageBreakBefore w:val="0"/>
        <w:spacing w:line="480" w:lineRule="exact"/>
        <w:widowControl/>
        <w:rPr>
          <w:rFonts w:hint="default" w:ascii="宋体" w:hAnsi="宋体" w:eastAsia="宋体" w:cs="宋体"/>
          <w:color w:val="auto"/>
          <w:sz w:val="24"/>
          <w:szCs w:val="24"/>
          <w:lang w:val="en-US" w:eastAsia="zh-CN" w:bidi="ar"/>
        </w:rPr>
        <w:suppressLineNumbers w:val="0"/>
      </w:pPr>
      <w:r>
        <w:rPr>
          <w:rFonts w:hint="default" w:ascii="宋体" w:hAnsi="宋体" w:eastAsia="宋体" w:cs="宋体"/>
          <w:color w:val="auto"/>
          <w:sz w:val="24"/>
          <w:szCs w:val="24"/>
          <w:lang w:val="en-US" w:eastAsia="zh-CN" w:bidi="ar"/>
        </w:rPr>
        <w:t xml:space="preserve">乙方（成交供应商）：________________________</w:t>
      </w:r>
      <w:r/>
    </w:p>
    <w:p>
      <w:pPr>
        <w:ind w:firstLine="480"/>
        <w:jc w:val="left"/>
        <w:keepLines w:val="0"/>
        <w:keepNext w:val="0"/>
        <w:pageBreakBefore w:val="0"/>
        <w:spacing w:line="480" w:lineRule="exact"/>
        <w:widowControl/>
        <w:rPr>
          <w:rFonts w:hint="default" w:ascii="宋体" w:hAnsi="宋体" w:eastAsia="宋体" w:cs="宋体"/>
          <w:color w:val="auto"/>
          <w:sz w:val="24"/>
          <w:szCs w:val="24"/>
          <w:lang w:val="en-US" w:eastAsia="zh-CN" w:bidi="ar"/>
        </w:rPr>
        <w:suppressLineNumbers w:val="0"/>
      </w:pPr>
      <w:r>
        <w:rPr>
          <w:rFonts w:hint="default" w:ascii="宋体" w:hAnsi="宋体" w:eastAsia="宋体" w:cs="宋体"/>
          <w:color w:val="auto"/>
          <w:sz w:val="24"/>
          <w:szCs w:val="24"/>
          <w:lang w:val="en-US" w:eastAsia="zh-CN" w:bidi="ar"/>
        </w:rPr>
        <w:t xml:space="preserve">根据《中华人民共和国民法典》《中华人民共和国政府采购法》等法律法规，甲乙双方本着平等自愿、公平诚信、权责统一原则，就本项目服务采购事宜订立本合同，双方共同遵照执行。</w:t>
      </w:r>
      <w:r/>
    </w:p>
    <w:p>
      <w:pPr>
        <w:ind w:firstLine="482"/>
        <w:jc w:val="left"/>
        <w:keepLines w:val="0"/>
        <w:keepNext w:val="0"/>
        <w:pageBreakBefore w:val="0"/>
        <w:spacing w:line="480" w:lineRule="exact"/>
        <w:widowControl/>
        <w:rPr>
          <w:rFonts w:hint="default" w:ascii="宋体" w:hAnsi="宋体" w:eastAsia="宋体" w:cs="宋体"/>
          <w:b/>
          <w:bCs/>
          <w:color w:val="auto"/>
          <w:sz w:val="24"/>
          <w:szCs w:val="24"/>
          <w:lang w:val="en-US" w:eastAsia="zh-CN" w:bidi="ar"/>
        </w:rPr>
        <w:suppressLineNumbers w:val="0"/>
      </w:pPr>
      <w:r>
        <w:rPr>
          <w:rFonts w:hint="default" w:ascii="宋体" w:hAnsi="宋体" w:eastAsia="宋体" w:cs="宋体"/>
          <w:b/>
          <w:bCs/>
          <w:color w:val="auto"/>
          <w:sz w:val="24"/>
          <w:szCs w:val="24"/>
          <w:lang w:val="en-US" w:eastAsia="zh-CN" w:bidi="ar"/>
        </w:rPr>
        <w:t xml:space="preserve">第一条 项目概况与服务范围</w:t>
      </w:r>
      <w:r/>
    </w:p>
    <w:p>
      <w:pPr>
        <w:ind w:firstLine="480"/>
        <w:jc w:val="left"/>
        <w:keepLines w:val="0"/>
        <w:keepNext w:val="0"/>
        <w:pageBreakBefore w:val="0"/>
        <w:spacing w:line="480" w:lineRule="exact"/>
        <w:widowControl/>
        <w:rPr>
          <w:rFonts w:hint="default"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（一）</w:t>
      </w:r>
      <w:r>
        <w:rPr>
          <w:rFonts w:hint="default" w:ascii="宋体" w:hAnsi="宋体" w:eastAsia="宋体" w:cs="宋体"/>
          <w:color w:val="auto"/>
          <w:sz w:val="24"/>
          <w:szCs w:val="24"/>
          <w:lang w:val="en-US" w:eastAsia="zh-CN" w:bidi="ar"/>
        </w:rPr>
        <w:t xml:space="preserve">项目名称：宿城区2026年工业产品质量监督抽查服务采购项目（分包___）</w:t>
      </w:r>
      <w:r/>
    </w:p>
    <w:p>
      <w:pPr>
        <w:ind w:firstLine="480"/>
        <w:jc w:val="left"/>
        <w:keepLines w:val="0"/>
        <w:keepNext w:val="0"/>
        <w:spacing w:line="360" w:lineRule="auto"/>
        <w:widowControl/>
        <w:rPr>
          <w:rFonts w:hint="default"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（二）</w:t>
      </w:r>
      <w:r>
        <w:rPr>
          <w:rFonts w:hint="default" w:ascii="宋体" w:hAnsi="宋体" w:eastAsia="宋体" w:cs="宋体"/>
          <w:color w:val="auto"/>
          <w:sz w:val="24"/>
          <w:szCs w:val="24"/>
          <w:lang w:val="en-US" w:eastAsia="zh-CN" w:bidi="ar"/>
        </w:rPr>
        <w:t xml:space="preserve">服务内容：乙方按照《江苏省省级产品质量监督抽查工作</w:t>
      </w:r>
      <w:r>
        <w:rPr>
          <w:rFonts w:hint="eastAsia" w:ascii="宋体" w:hAnsi="宋体" w:eastAsia="宋体" w:cs="宋体"/>
          <w:color w:val="auto"/>
          <w:sz w:val="24"/>
          <w:szCs w:val="24"/>
          <w:lang w:val="en-US" w:eastAsia="zh-CN" w:bidi="ar"/>
        </w:rPr>
        <w:t xml:space="preserve">规范》规定的程序</w:t>
      </w:r>
      <w:r>
        <w:rPr>
          <w:rFonts w:hint="default" w:ascii="宋体" w:hAnsi="宋体" w:eastAsia="宋体" w:cs="宋体"/>
          <w:color w:val="auto"/>
          <w:sz w:val="24"/>
          <w:szCs w:val="24"/>
          <w:lang w:val="en-US" w:eastAsia="zh-CN" w:bidi="ar"/>
        </w:rPr>
        <w:t xml:space="preserve">承接本分包对应品类工业产品质量监督抽查全流程服务，包含购样、样品运输、保管、检验检测、原始记录、报告出具、省监管系统数据录入、异议答复、复检配合、技术支撑、台账归档、迎检保障、应急抽检</w:t>
      </w:r>
      <w:r>
        <w:rPr>
          <w:rFonts w:hint="eastAsia" w:ascii="宋体" w:hAnsi="宋体" w:eastAsia="宋体" w:cs="宋体"/>
          <w:color w:val="auto"/>
          <w:sz w:val="24"/>
          <w:szCs w:val="24"/>
          <w:lang w:val="en-US" w:eastAsia="zh-CN" w:bidi="ar"/>
        </w:rPr>
        <w:t xml:space="preserve">、检验结果及时录入“江苏省产品质量安全监督管理系统”</w:t>
      </w:r>
      <w:r>
        <w:rPr>
          <w:rFonts w:hint="default" w:ascii="宋体" w:hAnsi="宋体" w:eastAsia="宋体" w:cs="宋体"/>
          <w:color w:val="auto"/>
          <w:sz w:val="24"/>
          <w:szCs w:val="24"/>
          <w:lang w:val="en-US" w:eastAsia="zh-CN" w:bidi="ar"/>
        </w:rPr>
        <w:t xml:space="preserve">等采购文件约定全部工作内容。 </w:t>
      </w:r>
      <w:r/>
    </w:p>
    <w:p>
      <w:pPr>
        <w:ind w:firstLine="480"/>
        <w:jc w:val="left"/>
        <w:keepLines w:val="0"/>
        <w:keepNext w:val="0"/>
        <w:pageBreakBefore w:val="0"/>
        <w:spacing w:line="480" w:lineRule="exact"/>
        <w:widowControl/>
        <w:rPr>
          <w:rFonts w:hint="default"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（三）</w:t>
      </w:r>
      <w:r>
        <w:rPr>
          <w:rFonts w:hint="default" w:ascii="宋体" w:hAnsi="宋体" w:eastAsia="宋体" w:cs="宋体"/>
          <w:color w:val="auto"/>
          <w:sz w:val="24"/>
          <w:szCs w:val="24"/>
          <w:lang w:val="en-US" w:eastAsia="zh-CN" w:bidi="ar"/>
        </w:rPr>
        <w:t xml:space="preserve">服务批次：本分包计划抽查____批次，最终按甲方实际下达任务据实履约、据实结算。</w:t>
      </w:r>
      <w:r/>
    </w:p>
    <w:p>
      <w:pPr>
        <w:ind w:firstLine="480"/>
        <w:jc w:val="left"/>
        <w:keepLines w:val="0"/>
        <w:keepNext w:val="0"/>
        <w:pageBreakBefore w:val="0"/>
        <w:spacing w:line="480" w:lineRule="exact"/>
        <w:widowControl/>
        <w:rPr>
          <w:rFonts w:hint="default" w:ascii="宋体" w:hAnsi="宋体" w:eastAsia="宋体" w:cs="宋体"/>
          <w:color w:val="auto"/>
          <w:sz w:val="24"/>
          <w:szCs w:val="24"/>
          <w:lang w:val="en-US" w:eastAsia="zh-CN" w:bidi="ar"/>
        </w:rPr>
        <w:suppressLineNumbers w:val="0"/>
      </w:pPr>
      <w:r>
        <w:rPr>
          <w:rFonts w:hint="eastAsia" w:ascii="宋体" w:hAnsi="宋体" w:cs="宋体"/>
          <w:color w:val="auto"/>
          <w:sz w:val="24"/>
          <w:szCs w:val="24"/>
          <w:lang w:val="en-US" w:eastAsia="zh-CN" w:bidi="ar"/>
        </w:rPr>
        <w:t xml:space="preserve">（四）</w:t>
      </w:r>
      <w:r>
        <w:rPr>
          <w:rFonts w:hint="default" w:ascii="宋体" w:hAnsi="宋体" w:eastAsia="宋体" w:cs="宋体"/>
          <w:color w:val="auto"/>
          <w:sz w:val="24"/>
          <w:szCs w:val="24"/>
          <w:lang w:val="en-US" w:eastAsia="zh-CN" w:bidi="ar"/>
        </w:rPr>
        <w:t xml:space="preserve">服务地点：宿迁市宿城区全域及甲方指定区域。</w:t>
      </w:r>
      <w:r/>
    </w:p>
    <w:p>
      <w:pPr>
        <w:ind w:firstLine="482"/>
        <w:jc w:val="left"/>
        <w:keepLines w:val="0"/>
        <w:keepNext w:val="0"/>
        <w:pageBreakBefore w:val="0"/>
        <w:spacing w:line="480" w:lineRule="exact"/>
        <w:widowControl/>
        <w:rPr>
          <w:rFonts w:hint="default" w:ascii="宋体" w:hAnsi="宋体" w:eastAsia="宋体" w:cs="宋体"/>
          <w:b/>
          <w:bCs/>
          <w:color w:val="auto"/>
          <w:sz w:val="24"/>
          <w:szCs w:val="24"/>
          <w:lang w:val="en-US" w:eastAsia="zh-CN" w:bidi="ar"/>
        </w:rPr>
        <w:suppressLineNumbers w:val="0"/>
      </w:pPr>
      <w:r>
        <w:rPr>
          <w:rFonts w:hint="default" w:ascii="宋体" w:hAnsi="宋体" w:eastAsia="宋体" w:cs="宋体"/>
          <w:b/>
          <w:bCs/>
          <w:color w:val="auto"/>
          <w:sz w:val="24"/>
          <w:szCs w:val="24"/>
          <w:lang w:val="en-US" w:eastAsia="zh-CN" w:bidi="ar"/>
        </w:rPr>
        <w:t xml:space="preserve">第二条 合同价款</w:t>
      </w:r>
      <w:r/>
    </w:p>
    <w:p>
      <w:pPr>
        <w:ind w:firstLine="480"/>
        <w:jc w:val="left"/>
        <w:keepLines w:val="0"/>
        <w:keepNext w:val="0"/>
        <w:pageBreakBefore w:val="0"/>
        <w:spacing w:line="480" w:lineRule="exact"/>
        <w:widowControl/>
        <w:rPr>
          <w:rFonts w:hint="default"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（一）</w:t>
      </w:r>
      <w:r>
        <w:rPr>
          <w:rFonts w:hint="default" w:ascii="宋体" w:hAnsi="宋体" w:eastAsia="宋体" w:cs="宋体"/>
          <w:color w:val="auto"/>
          <w:sz w:val="24"/>
          <w:szCs w:val="24"/>
          <w:lang w:val="en-US" w:eastAsia="zh-CN" w:bidi="ar"/>
        </w:rPr>
        <w:t xml:space="preserve">本合同总价（含税包干价）：人民币________元（¥________）。</w:t>
      </w:r>
      <w:r/>
    </w:p>
    <w:p>
      <w:pPr>
        <w:pStyle w:val="1277"/>
        <w:ind w:left="0" w:firstLine="480"/>
        <w:keepLines w:val="0"/>
        <w:keepNext w:val="0"/>
        <w:pageBreakBefore w:val="0"/>
        <w:spacing w:line="360" w:lineRule="auto"/>
        <w:rPr>
          <w:rFonts w:ascii="宋体" w:hAnsi="宋体" w:cs="宋体"/>
          <w:b/>
          <w:bCs/>
          <w:color w:val="0000ff"/>
          <w:sz w:val="24"/>
          <w:szCs w:val="24"/>
          <w:highlight w:val="white"/>
        </w:rPr>
      </w:pPr>
      <w:r>
        <w:rPr>
          <w:rFonts w:hint="eastAsia" w:ascii="宋体" w:hAnsi="宋体" w:eastAsia="宋体" w:cs="宋体"/>
          <w:color w:val="auto"/>
          <w:sz w:val="24"/>
          <w:szCs w:val="24"/>
          <w:lang w:val="en-US" w:eastAsia="zh-CN" w:bidi="ar"/>
        </w:rPr>
        <w:t xml:space="preserve">（二）</w:t>
      </w:r>
      <w:r>
        <w:rPr>
          <w:rFonts w:hint="default" w:ascii="宋体" w:hAnsi="宋体" w:eastAsia="宋体" w:cs="宋体"/>
          <w:color w:val="auto"/>
          <w:sz w:val="24"/>
          <w:szCs w:val="24"/>
          <w:lang w:val="en-US" w:eastAsia="zh-CN" w:bidi="ar"/>
        </w:rPr>
        <w:t xml:space="preserve">本价款为包干总价，报价为对应分包质量监督抽查全流程服务的综合总报价，以人民币计价，应涵盖购样</w:t>
      </w:r>
      <w:r>
        <w:rPr>
          <w:rFonts w:hint="eastAsia" w:ascii="宋体" w:hAnsi="宋体" w:eastAsia="宋体" w:cs="宋体"/>
          <w:color w:val="auto"/>
          <w:sz w:val="24"/>
          <w:szCs w:val="24"/>
          <w:lang w:val="en-US" w:eastAsia="zh-CN" w:bidi="ar"/>
        </w:rPr>
        <w:t xml:space="preserve">费</w:t>
      </w:r>
      <w:r>
        <w:rPr>
          <w:rFonts w:hint="default" w:ascii="宋体" w:hAnsi="宋体" w:eastAsia="宋体" w:cs="宋体"/>
          <w:color w:val="auto"/>
          <w:sz w:val="24"/>
          <w:szCs w:val="24"/>
          <w:lang w:val="en-US" w:eastAsia="zh-CN" w:bidi="ar"/>
        </w:rPr>
        <w:t xml:space="preserve">、运输、保管、检验检测、数据录入上报、报告出具、异议处理、复检配合、技术支撑、台账归档、迎检保障等全部工作内容及人工、保险、劳保、设备折旧、耗材、管理、利润、税金、风险、责任等各项应有费用，除磋商文件明确约定由采购人另行承担的费用外，成交后不得以任何理由要求追加费用</w:t>
      </w:r>
      <w:r>
        <w:rPr>
          <w:rFonts w:hint="eastAsia" w:ascii="宋体" w:hAnsi="宋体" w:eastAsia="宋体" w:cs="宋体"/>
          <w:color w:val="auto"/>
          <w:sz w:val="24"/>
          <w:szCs w:val="24"/>
          <w:lang w:val="en-US" w:eastAsia="zh-CN" w:bidi="ar"/>
        </w:rPr>
        <w:t xml:space="preserve">。</w:t>
      </w:r>
      <w:r/>
    </w:p>
    <w:p>
      <w:pPr>
        <w:ind w:firstLine="480"/>
        <w:jc w:val="left"/>
        <w:keepLines w:val="0"/>
        <w:keepNext w:val="0"/>
        <w:pageBreakBefore w:val="0"/>
        <w:spacing w:line="480" w:lineRule="exact"/>
        <w:widowControl/>
        <w:rPr>
          <w:rFonts w:hint="default"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（三）</w:t>
      </w:r>
      <w:r>
        <w:rPr>
          <w:rFonts w:hint="default" w:ascii="宋体" w:hAnsi="宋体" w:eastAsia="宋体" w:cs="宋体"/>
          <w:color w:val="auto"/>
          <w:sz w:val="24"/>
          <w:szCs w:val="24"/>
          <w:lang w:val="en-US" w:eastAsia="zh-CN" w:bidi="ar"/>
        </w:rPr>
        <w:t xml:space="preserve">因政策调整、任务缩减、非乙方原因导致批次减少的，按实际合格完成批次据实结算。</w:t>
      </w:r>
      <w:r/>
    </w:p>
    <w:p>
      <w:pPr>
        <w:ind w:firstLine="482"/>
        <w:jc w:val="left"/>
        <w:keepLines w:val="0"/>
        <w:keepNext w:val="0"/>
        <w:pageBreakBefore w:val="0"/>
        <w:spacing w:line="480" w:lineRule="exact"/>
        <w:widowControl/>
        <w:rPr>
          <w:rFonts w:hint="default" w:ascii="宋体" w:hAnsi="宋体" w:eastAsia="宋体" w:cs="宋体"/>
          <w:b/>
          <w:bCs/>
          <w:color w:val="auto"/>
          <w:sz w:val="24"/>
          <w:szCs w:val="24"/>
          <w:lang w:val="en-US" w:eastAsia="zh-CN" w:bidi="ar"/>
        </w:rPr>
        <w:suppressLineNumbers w:val="0"/>
      </w:pPr>
      <w:r>
        <w:rPr>
          <w:rFonts w:hint="default" w:ascii="宋体" w:hAnsi="宋体" w:eastAsia="宋体" w:cs="宋体"/>
          <w:b/>
          <w:bCs/>
          <w:color w:val="auto"/>
          <w:sz w:val="24"/>
          <w:szCs w:val="24"/>
          <w:lang w:val="en-US" w:eastAsia="zh-CN" w:bidi="ar"/>
        </w:rPr>
        <w:t xml:space="preserve">第三条 服务期限</w:t>
      </w:r>
      <w:r/>
    </w:p>
    <w:p>
      <w:pPr>
        <w:ind w:firstLine="480"/>
        <w:jc w:val="left"/>
        <w:keepLines w:val="0"/>
        <w:keepNext w:val="0"/>
        <w:pageBreakBefore w:val="0"/>
        <w:spacing w:line="480" w:lineRule="exact"/>
        <w:widowControl/>
        <w:rPr>
          <w:rFonts w:hint="default" w:ascii="宋体" w:hAnsi="宋体" w:eastAsia="宋体" w:cs="宋体"/>
          <w:color w:val="auto"/>
          <w:sz w:val="24"/>
          <w:szCs w:val="24"/>
          <w:lang w:val="en-US" w:eastAsia="zh-CN" w:bidi="ar"/>
        </w:rPr>
        <w:suppressLineNumbers w:val="0"/>
      </w:pPr>
      <w:r>
        <w:rPr>
          <w:rFonts w:hint="eastAsia" w:ascii="宋体" w:hAnsi="宋体" w:cs="宋体"/>
          <w:color w:val="auto"/>
          <w:sz w:val="24"/>
          <w:szCs w:val="24"/>
          <w:lang w:val="en-US" w:eastAsia="zh-CN" w:bidi="ar"/>
        </w:rPr>
        <w:t xml:space="preserve">合同履行期限</w:t>
      </w:r>
      <w:r>
        <w:rPr>
          <w:rFonts w:hint="default" w:ascii="宋体" w:hAnsi="宋体" w:eastAsia="宋体" w:cs="宋体"/>
          <w:color w:val="auto"/>
          <w:sz w:val="24"/>
          <w:szCs w:val="24"/>
          <w:lang w:val="en-US" w:eastAsia="zh-CN" w:bidi="ar"/>
        </w:rPr>
        <w:t xml:space="preserve">：</w:t>
      </w:r>
      <w:r>
        <w:rPr>
          <w:rFonts w:hint="eastAsia" w:ascii="宋体" w:hAnsi="宋体" w:eastAsia="宋体" w:cs="宋体"/>
          <w:b w:val="0"/>
          <w:bCs w:val="0"/>
          <w:color w:val="auto"/>
          <w:sz w:val="24"/>
          <w:szCs w:val="24"/>
          <w:lang w:val="en-US" w:eastAsia="zh-CN" w:bidi="ar-SA"/>
        </w:rPr>
        <w:t xml:space="preserve">自合同签订之日起至2026年12月20日。</w:t>
      </w:r>
      <w:r/>
    </w:p>
    <w:p>
      <w:pPr>
        <w:ind w:firstLine="482"/>
        <w:jc w:val="left"/>
        <w:keepLines w:val="0"/>
        <w:keepNext w:val="0"/>
        <w:pageBreakBefore w:val="0"/>
        <w:spacing w:line="480" w:lineRule="exact"/>
        <w:widowControl/>
        <w:rPr>
          <w:rFonts w:hint="default" w:ascii="宋体" w:hAnsi="宋体" w:eastAsia="宋体" w:cs="宋体"/>
          <w:b/>
          <w:bCs/>
          <w:color w:val="auto"/>
          <w:sz w:val="24"/>
          <w:szCs w:val="24"/>
          <w:lang w:val="en-US" w:eastAsia="zh-CN" w:bidi="ar"/>
        </w:rPr>
        <w:suppressLineNumbers w:val="0"/>
      </w:pPr>
      <w:r>
        <w:rPr>
          <w:rFonts w:hint="default" w:ascii="宋体" w:hAnsi="宋体" w:eastAsia="宋体" w:cs="宋体"/>
          <w:b/>
          <w:bCs/>
          <w:color w:val="auto"/>
          <w:sz w:val="24"/>
          <w:szCs w:val="24"/>
          <w:lang w:val="en-US" w:eastAsia="zh-CN" w:bidi="ar"/>
        </w:rPr>
        <w:t xml:space="preserve">第四条 付款方式</w:t>
      </w:r>
      <w:r/>
    </w:p>
    <w:p>
      <w:pPr>
        <w:pStyle w:val="1277"/>
        <w:ind w:firstLine="480"/>
        <w:jc w:val="left"/>
        <w:spacing w:line="360" w:lineRule="auto"/>
        <w:rPr>
          <w:rFonts w:hint="eastAsia" w:ascii="宋体" w:hAnsi="宋体" w:cs="宋体"/>
          <w:bCs/>
          <w:color w:val="auto"/>
          <w:sz w:val="24"/>
        </w:rPr>
      </w:pPr>
      <w:r>
        <w:rPr>
          <w:rFonts w:hint="eastAsia" w:ascii="宋体" w:hAnsi="宋体" w:cs="宋体"/>
          <w:bCs/>
          <w:color w:val="auto"/>
          <w:sz w:val="24"/>
        </w:rPr>
        <w:t xml:space="preserve">1、</w:t>
      </w:r>
      <w:r>
        <w:rPr>
          <w:rFonts w:hint="eastAsia" w:ascii="宋体" w:hAnsi="宋体" w:cs="宋体"/>
          <w:color w:val="auto"/>
          <w:sz w:val="24"/>
          <w:szCs w:val="24"/>
          <w:highlight w:val="none"/>
          <w:lang w:val="en-US" w:eastAsia="zh-CN" w:bidi="ar-SA"/>
        </w:rPr>
        <w:t xml:space="preserve">预付款：</w:t>
      </w:r>
      <w:r>
        <w:rPr>
          <w:rFonts w:hint="eastAsia" w:ascii="宋体" w:hAnsi="宋体" w:eastAsia="宋体" w:cs="宋体"/>
          <w:color w:val="auto"/>
          <w:sz w:val="24"/>
          <w:szCs w:val="24"/>
          <w:highlight w:val="none"/>
          <w:lang w:val="en-US" w:eastAsia="zh-CN" w:bidi="ar-SA"/>
        </w:rPr>
        <w:t xml:space="preserve">合同签订生效，</w:t>
      </w:r>
      <w:r>
        <w:rPr>
          <w:rFonts w:hint="eastAsia" w:ascii="宋体" w:hAnsi="宋体" w:cs="宋体"/>
          <w:color w:val="auto"/>
          <w:sz w:val="24"/>
          <w:szCs w:val="24"/>
          <w:highlight w:val="none"/>
          <w:lang w:val="en-US" w:eastAsia="zh-CN" w:bidi="ar-SA"/>
        </w:rPr>
        <w:t xml:space="preserve">乙方</w:t>
      </w:r>
      <w:r>
        <w:rPr>
          <w:rFonts w:hint="eastAsia" w:ascii="宋体" w:hAnsi="宋体" w:eastAsia="宋体" w:cs="宋体"/>
          <w:color w:val="auto"/>
          <w:sz w:val="24"/>
          <w:szCs w:val="24"/>
          <w:highlight w:val="none"/>
          <w:lang w:val="en-US" w:eastAsia="zh-CN" w:bidi="ar-SA"/>
        </w:rPr>
        <w:t xml:space="preserve">提交合规票据后10个工作日内，</w:t>
      </w:r>
      <w:r>
        <w:rPr>
          <w:rFonts w:hint="eastAsia" w:ascii="宋体" w:hAnsi="宋体" w:cs="宋体"/>
          <w:color w:val="auto"/>
          <w:sz w:val="24"/>
          <w:szCs w:val="24"/>
          <w:highlight w:val="none"/>
          <w:lang w:val="en-US" w:eastAsia="zh-CN" w:bidi="ar-SA"/>
        </w:rPr>
        <w:t xml:space="preserve">甲方</w:t>
      </w:r>
      <w:r>
        <w:rPr>
          <w:rFonts w:hint="eastAsia" w:ascii="宋体" w:hAnsi="宋体" w:eastAsia="宋体" w:cs="宋体"/>
          <w:color w:val="auto"/>
          <w:sz w:val="24"/>
          <w:szCs w:val="24"/>
          <w:highlight w:val="none"/>
          <w:lang w:val="en-US" w:eastAsia="zh-CN" w:bidi="ar-SA"/>
        </w:rPr>
        <w:t xml:space="preserve">支付合同金额10%作为项目预付款。</w:t>
      </w:r>
      <w:r>
        <w:rPr>
          <w:rFonts w:hint="eastAsia" w:ascii="宋体" w:hAnsi="宋体" w:cs="宋体"/>
          <w:color w:val="auto"/>
          <w:sz w:val="24"/>
          <w:szCs w:val="24"/>
          <w:highlight w:val="none"/>
          <w:lang w:val="en-US" w:eastAsia="zh-CN" w:bidi="ar-SA"/>
        </w:rPr>
        <w:t xml:space="preserve">乙方</w:t>
      </w:r>
      <w:r>
        <w:rPr>
          <w:rFonts w:hint="eastAsia" w:ascii="宋体" w:hAnsi="宋体" w:eastAsia="宋体" w:cs="宋体"/>
          <w:color w:val="auto"/>
          <w:sz w:val="24"/>
          <w:szCs w:val="24"/>
          <w:highlight w:val="none"/>
          <w:lang w:val="en-US" w:eastAsia="zh-CN" w:bidi="ar-SA"/>
        </w:rPr>
        <w:t xml:space="preserve">可书面申请放弃预付款或降低预付款比例，</w:t>
      </w:r>
      <w:r>
        <w:rPr>
          <w:rFonts w:hint="eastAsia" w:ascii="宋体" w:hAnsi="宋体" w:cs="宋体"/>
          <w:color w:val="auto"/>
          <w:sz w:val="24"/>
          <w:szCs w:val="24"/>
          <w:highlight w:val="none"/>
          <w:lang w:val="en-US" w:eastAsia="zh-CN" w:bidi="ar-SA"/>
        </w:rPr>
        <w:t xml:space="preserve">甲方</w:t>
      </w:r>
      <w:r>
        <w:rPr>
          <w:rFonts w:hint="eastAsia" w:ascii="宋体" w:hAnsi="宋体" w:eastAsia="宋体" w:cs="宋体"/>
          <w:color w:val="auto"/>
          <w:sz w:val="24"/>
          <w:szCs w:val="24"/>
          <w:highlight w:val="none"/>
          <w:lang w:val="en-US" w:eastAsia="zh-CN" w:bidi="ar-SA"/>
        </w:rPr>
        <w:t xml:space="preserve">予以免付或按申请比例支付。</w:t>
      </w:r>
      <w:r/>
    </w:p>
    <w:p>
      <w:pPr>
        <w:pStyle w:val="1277"/>
        <w:ind w:firstLine="480"/>
        <w:jc w:val="left"/>
        <w:spacing w:line="360" w:lineRule="auto"/>
        <w:rPr>
          <w:rFonts w:hint="eastAsia" w:ascii="宋体" w:hAnsi="宋体" w:cs="宋体"/>
          <w:bCs/>
          <w:color w:val="auto"/>
          <w:sz w:val="24"/>
          <w:lang w:val="en-US" w:eastAsia="zh-CN"/>
        </w:rPr>
      </w:pPr>
      <w:r>
        <w:rPr>
          <w:rFonts w:hint="eastAsia" w:ascii="宋体" w:hAnsi="宋体" w:cs="宋体"/>
          <w:bCs/>
          <w:color w:val="auto"/>
          <w:sz w:val="24"/>
          <w:lang w:val="en-US" w:eastAsia="zh-CN"/>
        </w:rPr>
        <w:t xml:space="preserve">2、尾款结算：乙方完成合同约定全部抽检工作、提交全部成果资料、通过甲方一次性整体履约验收，甲方自收到供应商发票后10日内，甲方一次性付清剩余款项。因政策调整、任务缩减、非乙方原因未完成计划批次的，按实际合格完成批次据实结算。</w:t>
      </w:r>
      <w:r/>
    </w:p>
    <w:p>
      <w:pPr>
        <w:ind w:firstLine="480"/>
        <w:spacing w:line="480" w:lineRule="exact"/>
        <w:rPr>
          <w:rFonts w:hint="eastAsia" w:ascii="宋体" w:hAnsi="宋体" w:cs="宋体"/>
          <w:bCs/>
          <w:color w:val="auto"/>
          <w:sz w:val="24"/>
          <w:lang w:val="en-US" w:eastAsia="zh-CN"/>
        </w:rPr>
      </w:pPr>
      <w:r>
        <w:rPr>
          <w:rFonts w:hint="eastAsia" w:ascii="宋体" w:hAnsi="宋体" w:cs="宋体"/>
          <w:bCs/>
          <w:color w:val="auto"/>
          <w:sz w:val="24"/>
          <w:lang w:val="en-US" w:eastAsia="zh-CN"/>
        </w:rPr>
        <w:t xml:space="preserve">3、付款前置：乙方须先行提供合法合规、对应金额的有效发票，否则甲方有权顺延付款，不承担逾期付款责任。​</w:t>
      </w:r>
      <w:r/>
    </w:p>
    <w:p>
      <w:pPr>
        <w:ind w:left="479" w:firstLine="0"/>
        <w:spacing w:line="360" w:lineRule="auto"/>
        <w:rPr>
          <w:rFonts w:hint="eastAsia" w:ascii="宋体" w:hAnsi="宋体" w:cs="宋体"/>
          <w:bCs/>
          <w:color w:val="auto"/>
          <w:sz w:val="24"/>
          <w:lang w:val="en-US" w:eastAsia="zh-CN"/>
        </w:rPr>
      </w:pPr>
      <w:r>
        <w:rPr>
          <w:rFonts w:hint="eastAsia" w:ascii="宋体" w:hAnsi="宋体" w:cs="宋体"/>
          <w:bCs/>
          <w:color w:val="auto"/>
          <w:sz w:val="24"/>
          <w:lang w:val="en-US" w:eastAsia="zh-CN"/>
        </w:rPr>
        <w:t xml:space="preserve">4、本项目支持数字人民币支付，乙方须配合完成数字人民币收款相关流程。​  5、预付款抵扣：项目尾款结算时，甲方优先抵扣已支付预付款。</w:t>
      </w:r>
      <w:r/>
    </w:p>
    <w:p>
      <w:pPr>
        <w:ind w:firstLine="482"/>
        <w:jc w:val="left"/>
        <w:keepLines w:val="0"/>
        <w:keepNext w:val="0"/>
        <w:pageBreakBefore w:val="0"/>
        <w:spacing w:line="480" w:lineRule="exact"/>
        <w:widowControl/>
        <w:rPr>
          <w:rFonts w:hint="default" w:ascii="宋体" w:hAnsi="宋体" w:eastAsia="宋体" w:cs="宋体"/>
          <w:b/>
          <w:bCs/>
          <w:color w:val="auto"/>
          <w:sz w:val="24"/>
          <w:szCs w:val="24"/>
          <w:lang w:val="en-US" w:eastAsia="zh-CN" w:bidi="ar"/>
        </w:rPr>
        <w:suppressLineNumbers w:val="0"/>
      </w:pPr>
      <w:r>
        <w:rPr>
          <w:rFonts w:hint="default" w:ascii="宋体" w:hAnsi="宋体" w:eastAsia="宋体" w:cs="宋体"/>
          <w:b/>
          <w:bCs/>
          <w:color w:val="auto"/>
          <w:sz w:val="24"/>
          <w:szCs w:val="24"/>
          <w:lang w:val="en-US" w:eastAsia="zh-CN" w:bidi="ar"/>
        </w:rPr>
        <w:t xml:space="preserve">第五条 人员、设备与服务保障</w:t>
      </w:r>
      <w:r/>
    </w:p>
    <w:p>
      <w:pPr>
        <w:ind w:firstLine="480"/>
        <w:jc w:val="left"/>
        <w:keepLines w:val="0"/>
        <w:keepNext w:val="0"/>
        <w:pageBreakBefore w:val="0"/>
        <w:spacing w:line="480" w:lineRule="exact"/>
        <w:widowControl/>
        <w:rPr>
          <w:rFonts w:hint="default"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（一）</w:t>
      </w:r>
      <w:r>
        <w:rPr>
          <w:rFonts w:hint="default" w:ascii="宋体" w:hAnsi="宋体" w:eastAsia="宋体" w:cs="宋体"/>
          <w:color w:val="auto"/>
          <w:sz w:val="24"/>
          <w:szCs w:val="24"/>
          <w:lang w:val="en-US" w:eastAsia="zh-CN" w:bidi="ar"/>
        </w:rPr>
        <w:t xml:space="preserve">乙方须严格按照响应文件承诺配置项目负责人、专职抽样人员、专职检验人员，全员专职在岗、不兼职、不挂靠、不擅自更换。</w:t>
      </w:r>
      <w:r/>
    </w:p>
    <w:p>
      <w:pPr>
        <w:ind w:firstLine="480"/>
        <w:jc w:val="left"/>
        <w:keepLines w:val="0"/>
        <w:keepNext w:val="0"/>
        <w:pageBreakBefore w:val="0"/>
        <w:spacing w:line="480" w:lineRule="exact"/>
        <w:widowControl/>
        <w:rPr>
          <w:rFonts w:hint="default"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（二）</w:t>
      </w:r>
      <w:r>
        <w:rPr>
          <w:rFonts w:hint="default" w:ascii="宋体" w:hAnsi="宋体" w:eastAsia="宋体" w:cs="宋体"/>
          <w:color w:val="auto"/>
          <w:sz w:val="24"/>
          <w:szCs w:val="24"/>
          <w:lang w:val="en-US" w:eastAsia="zh-CN" w:bidi="ar"/>
        </w:rPr>
        <w:t xml:space="preserve">乙方须足额配备抽样车辆、采样工具、检测设备、样品存储设备，满足项目履约需求。</w:t>
      </w:r>
      <w:r/>
    </w:p>
    <w:p>
      <w:pPr>
        <w:ind w:firstLine="480"/>
        <w:jc w:val="left"/>
        <w:keepLines w:val="0"/>
        <w:keepNext w:val="0"/>
        <w:pageBreakBefore w:val="0"/>
        <w:spacing w:line="480" w:lineRule="exact"/>
        <w:widowControl/>
        <w:rPr>
          <w:rFonts w:hint="default"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（三）</w:t>
      </w:r>
      <w:r>
        <w:rPr>
          <w:rFonts w:hint="default" w:ascii="宋体" w:hAnsi="宋体" w:eastAsia="宋体" w:cs="宋体"/>
          <w:color w:val="auto"/>
          <w:sz w:val="24"/>
          <w:szCs w:val="24"/>
          <w:lang w:val="en-US" w:eastAsia="zh-CN" w:bidi="ar"/>
        </w:rPr>
        <w:t xml:space="preserve">乙方全程接受甲方日常检查、飞行检查、人员核查、质量考核，严格落实整改要求。</w:t>
      </w:r>
      <w:r/>
    </w:p>
    <w:p>
      <w:pPr>
        <w:ind w:firstLine="482"/>
        <w:jc w:val="left"/>
        <w:keepLines w:val="0"/>
        <w:keepNext w:val="0"/>
        <w:pageBreakBefore w:val="0"/>
        <w:spacing w:line="480" w:lineRule="exact"/>
        <w:widowControl/>
        <w:rPr>
          <w:rFonts w:hint="default" w:ascii="宋体" w:hAnsi="宋体" w:eastAsia="宋体" w:cs="宋体"/>
          <w:b/>
          <w:bCs/>
          <w:color w:val="auto"/>
          <w:sz w:val="24"/>
          <w:szCs w:val="24"/>
          <w:lang w:val="en-US" w:eastAsia="zh-CN" w:bidi="ar"/>
        </w:rPr>
        <w:suppressLineNumbers w:val="0"/>
      </w:pPr>
      <w:r>
        <w:rPr>
          <w:rFonts w:hint="default" w:ascii="宋体" w:hAnsi="宋体" w:eastAsia="宋体" w:cs="宋体"/>
          <w:b/>
          <w:bCs/>
          <w:color w:val="auto"/>
          <w:sz w:val="24"/>
          <w:szCs w:val="24"/>
          <w:lang w:val="en-US" w:eastAsia="zh-CN" w:bidi="ar"/>
        </w:rPr>
        <w:t xml:space="preserve">第六条 质量控制与作业规范</w:t>
      </w:r>
      <w:r/>
    </w:p>
    <w:p>
      <w:pPr>
        <w:ind w:firstLine="480"/>
        <w:jc w:val="left"/>
        <w:keepLines w:val="0"/>
        <w:keepNext w:val="0"/>
        <w:pageBreakBefore w:val="0"/>
        <w:spacing w:line="480" w:lineRule="exact"/>
        <w:widowControl/>
        <w:rPr>
          <w:rFonts w:hint="default"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（一）</w:t>
      </w:r>
      <w:r>
        <w:rPr>
          <w:rFonts w:hint="default" w:ascii="宋体" w:hAnsi="宋体" w:eastAsia="宋体" w:cs="宋体"/>
          <w:color w:val="auto"/>
          <w:sz w:val="24"/>
          <w:szCs w:val="24"/>
          <w:lang w:val="en-US" w:eastAsia="zh-CN" w:bidi="ar"/>
        </w:rPr>
        <w:t xml:space="preserve">乙方严格按照国家、行业、地方标准及《江苏省省级产品质量监督抽查工作规范》开展全部工作。</w:t>
      </w:r>
      <w:r/>
    </w:p>
    <w:p>
      <w:pPr>
        <w:ind w:firstLine="480"/>
        <w:jc w:val="left"/>
        <w:keepLines w:val="0"/>
        <w:keepNext w:val="0"/>
        <w:pageBreakBefore w:val="0"/>
        <w:spacing w:line="480" w:lineRule="exact"/>
        <w:widowControl/>
        <w:rPr>
          <w:rFonts w:hint="default"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（二）</w:t>
      </w:r>
      <w:r>
        <w:rPr>
          <w:rFonts w:hint="default" w:ascii="宋体" w:hAnsi="宋体" w:eastAsia="宋体" w:cs="宋体"/>
          <w:color w:val="auto"/>
          <w:sz w:val="24"/>
          <w:szCs w:val="24"/>
          <w:lang w:val="en-US" w:eastAsia="zh-CN" w:bidi="ar"/>
        </w:rPr>
        <w:t xml:space="preserve">建立全流程质量管控体系，保障数据真实、准确、完整、可追溯，杜绝数据错误、漏录、迟录、虚假填报。</w:t>
      </w:r>
      <w:r/>
    </w:p>
    <w:p>
      <w:pPr>
        <w:ind w:firstLine="480"/>
        <w:jc w:val="left"/>
        <w:keepLines w:val="0"/>
        <w:keepNext w:val="0"/>
        <w:pageBreakBefore w:val="0"/>
        <w:spacing w:line="480" w:lineRule="exact"/>
        <w:widowControl/>
        <w:rPr>
          <w:rFonts w:hint="default"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（三）</w:t>
      </w:r>
      <w:r>
        <w:rPr>
          <w:rFonts w:hint="default" w:ascii="宋体" w:hAnsi="宋体" w:eastAsia="宋体" w:cs="宋体"/>
          <w:color w:val="auto"/>
          <w:sz w:val="24"/>
          <w:szCs w:val="24"/>
          <w:lang w:val="en-US" w:eastAsia="zh-CN" w:bidi="ar"/>
        </w:rPr>
        <w:t xml:space="preserve">严格执行样品管理制度，样品流转、处置、报废须经甲方审批。</w:t>
      </w:r>
      <w:r/>
    </w:p>
    <w:p>
      <w:pPr>
        <w:ind w:firstLine="482"/>
        <w:jc w:val="left"/>
        <w:keepLines w:val="0"/>
        <w:keepNext w:val="0"/>
        <w:pageBreakBefore w:val="0"/>
        <w:spacing w:line="480" w:lineRule="exact"/>
        <w:widowControl/>
        <w:rPr>
          <w:rFonts w:hint="default" w:ascii="宋体" w:hAnsi="宋体" w:eastAsia="宋体" w:cs="宋体"/>
          <w:b/>
          <w:bCs/>
          <w:color w:val="auto"/>
          <w:sz w:val="24"/>
          <w:szCs w:val="24"/>
          <w:lang w:val="en-US" w:eastAsia="zh-CN" w:bidi="ar"/>
        </w:rPr>
        <w:suppressLineNumbers w:val="0"/>
      </w:pPr>
      <w:r>
        <w:rPr>
          <w:rFonts w:hint="default" w:ascii="宋体" w:hAnsi="宋体" w:eastAsia="宋体" w:cs="宋体"/>
          <w:b/>
          <w:bCs/>
          <w:color w:val="auto"/>
          <w:sz w:val="24"/>
          <w:szCs w:val="24"/>
          <w:lang w:val="en-US" w:eastAsia="zh-CN" w:bidi="ar"/>
        </w:rPr>
        <w:t xml:space="preserve">第七条 应急响应与服务时效</w:t>
      </w:r>
      <w:r/>
    </w:p>
    <w:p>
      <w:pPr>
        <w:ind w:firstLine="480"/>
        <w:jc w:val="left"/>
        <w:keepLines w:val="0"/>
        <w:keepNext w:val="0"/>
        <w:pageBreakBefore w:val="0"/>
        <w:spacing w:line="480" w:lineRule="exact"/>
        <w:widowControl/>
        <w:rPr>
          <w:rFonts w:hint="default"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（一）</w:t>
      </w:r>
      <w:r>
        <w:rPr>
          <w:rFonts w:hint="default" w:ascii="宋体" w:hAnsi="宋体" w:eastAsia="宋体" w:cs="宋体"/>
          <w:color w:val="auto"/>
          <w:sz w:val="24"/>
          <w:szCs w:val="24"/>
          <w:lang w:val="en-US" w:eastAsia="zh-CN" w:bidi="ar"/>
        </w:rPr>
        <w:t xml:space="preserve">乙方建立7×24小时应急响应机制，承接甲方临时、紧急、突击抽检任务。</w:t>
      </w:r>
      <w:r/>
    </w:p>
    <w:p>
      <w:pPr>
        <w:ind w:firstLine="480"/>
        <w:jc w:val="left"/>
        <w:keepLines w:val="0"/>
        <w:keepNext w:val="0"/>
        <w:pageBreakBefore w:val="0"/>
        <w:spacing w:line="480" w:lineRule="exact"/>
        <w:widowControl/>
        <w:rPr>
          <w:rFonts w:hint="default"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（二）</w:t>
      </w:r>
      <w:r>
        <w:rPr>
          <w:rFonts w:hint="default" w:ascii="宋体" w:hAnsi="宋体" w:eastAsia="宋体" w:cs="宋体"/>
          <w:color w:val="auto"/>
          <w:sz w:val="24"/>
          <w:szCs w:val="24"/>
          <w:lang w:val="en-US" w:eastAsia="zh-CN" w:bidi="ar"/>
        </w:rPr>
        <w:t xml:space="preserve">接到甲方通知后，常规响应不超过3小时，支持1小时极速到场处置。</w:t>
      </w:r>
      <w:r/>
    </w:p>
    <w:p>
      <w:pPr>
        <w:ind w:firstLine="482"/>
        <w:jc w:val="left"/>
        <w:keepLines w:val="0"/>
        <w:keepNext w:val="0"/>
        <w:pageBreakBefore w:val="0"/>
        <w:spacing w:line="480" w:lineRule="exact"/>
        <w:widowControl/>
        <w:rPr>
          <w:rFonts w:hint="default" w:ascii="宋体" w:hAnsi="宋体" w:eastAsia="宋体" w:cs="宋体"/>
          <w:b/>
          <w:bCs/>
          <w:color w:val="auto"/>
          <w:sz w:val="24"/>
          <w:szCs w:val="24"/>
          <w:lang w:val="en-US" w:eastAsia="zh-CN" w:bidi="ar"/>
        </w:rPr>
        <w:suppressLineNumbers w:val="0"/>
      </w:pPr>
      <w:r>
        <w:rPr>
          <w:rFonts w:hint="default" w:ascii="宋体" w:hAnsi="宋体" w:eastAsia="宋体" w:cs="宋体"/>
          <w:b/>
          <w:bCs/>
          <w:color w:val="auto"/>
          <w:sz w:val="24"/>
          <w:szCs w:val="24"/>
          <w:lang w:val="en-US" w:eastAsia="zh-CN" w:bidi="ar"/>
        </w:rPr>
        <w:t xml:space="preserve">第八条 考核与验收</w:t>
      </w:r>
      <w:r/>
    </w:p>
    <w:p>
      <w:pPr>
        <w:ind w:firstLine="480"/>
        <w:jc w:val="left"/>
        <w:keepLines w:val="0"/>
        <w:keepNext w:val="0"/>
        <w:pageBreakBefore w:val="0"/>
        <w:spacing w:line="480" w:lineRule="exact"/>
        <w:widowControl/>
        <w:rPr>
          <w:rFonts w:hint="default"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（一）</w:t>
      </w:r>
      <w:r>
        <w:rPr>
          <w:rFonts w:hint="default" w:ascii="宋体" w:hAnsi="宋体" w:eastAsia="宋体" w:cs="宋体"/>
          <w:color w:val="auto"/>
          <w:sz w:val="24"/>
          <w:szCs w:val="24"/>
          <w:lang w:val="en-US" w:eastAsia="zh-CN" w:bidi="ar"/>
        </w:rPr>
        <w:t xml:space="preserve">本项目实行服务期满一次性综合考核、一次性整体验收，考核结果为结算、评价、追责唯一依据。</w:t>
      </w:r>
      <w:r/>
    </w:p>
    <w:p>
      <w:pPr>
        <w:ind w:firstLine="480"/>
        <w:jc w:val="left"/>
        <w:keepLines w:val="0"/>
        <w:keepNext w:val="0"/>
        <w:pageBreakBefore w:val="0"/>
        <w:spacing w:line="480" w:lineRule="exact"/>
        <w:widowControl/>
        <w:rPr>
          <w:rFonts w:hint="default"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（二）</w:t>
      </w:r>
      <w:r>
        <w:rPr>
          <w:rFonts w:hint="default" w:ascii="宋体" w:hAnsi="宋体" w:eastAsia="宋体" w:cs="宋体"/>
          <w:color w:val="auto"/>
          <w:sz w:val="24"/>
          <w:szCs w:val="24"/>
          <w:lang w:val="en-US" w:eastAsia="zh-CN" w:bidi="ar"/>
        </w:rPr>
        <w:t xml:space="preserve">考核标准、验收标准严格按照采购文件、本合同约定执行。</w:t>
      </w:r>
      <w:r/>
    </w:p>
    <w:p>
      <w:pPr>
        <w:ind w:firstLine="480"/>
        <w:jc w:val="left"/>
        <w:keepLines w:val="0"/>
        <w:keepNext w:val="0"/>
        <w:pageBreakBefore w:val="0"/>
        <w:spacing w:line="360" w:lineRule="auto"/>
        <w:widowControl/>
        <w:rPr>
          <w:rFonts w:hint="default"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（三）</w:t>
      </w:r>
      <w:r>
        <w:rPr>
          <w:rFonts w:hint="default" w:ascii="宋体" w:hAnsi="宋体" w:eastAsia="宋体" w:cs="宋体"/>
          <w:color w:val="auto"/>
          <w:sz w:val="24"/>
          <w:szCs w:val="24"/>
          <w:lang w:val="en-US" w:eastAsia="zh-CN" w:bidi="ar"/>
        </w:rPr>
        <w:t xml:space="preserve">考核不合格、验收不合格的，甲方有权扣款、限期整改、终止合同、追责索赔。</w:t>
      </w:r>
      <w:r/>
    </w:p>
    <w:p>
      <w:pPr>
        <w:ind w:firstLine="482"/>
        <w:jc w:val="left"/>
        <w:keepLines w:val="0"/>
        <w:keepNext w:val="0"/>
        <w:pageBreakBefore w:val="0"/>
        <w:spacing w:line="360" w:lineRule="auto"/>
        <w:widowControl/>
        <w:rPr>
          <w:rFonts w:hint="default" w:ascii="宋体" w:hAnsi="宋体" w:eastAsia="宋体" w:cs="宋体"/>
          <w:b/>
          <w:bCs/>
          <w:color w:val="auto"/>
          <w:sz w:val="24"/>
          <w:szCs w:val="24"/>
          <w:lang w:val="en-US" w:eastAsia="zh-CN" w:bidi="ar"/>
        </w:rPr>
        <w:suppressLineNumbers w:val="0"/>
      </w:pPr>
      <w:r>
        <w:rPr>
          <w:rFonts w:hint="default" w:ascii="宋体" w:hAnsi="宋体" w:eastAsia="宋体" w:cs="宋体"/>
          <w:b/>
          <w:bCs/>
          <w:color w:val="auto"/>
          <w:sz w:val="24"/>
          <w:szCs w:val="24"/>
          <w:lang w:val="en-US" w:eastAsia="zh-CN" w:bidi="ar"/>
        </w:rPr>
        <w:t xml:space="preserve">第九条 保密约定</w:t>
      </w:r>
      <w:r/>
    </w:p>
    <w:p>
      <w:pPr>
        <w:ind w:firstLine="480"/>
        <w:jc w:val="left"/>
        <w:keepLines w:val="0"/>
        <w:keepNext w:val="0"/>
        <w:pageBreakBefore w:val="0"/>
        <w:spacing w:line="360" w:lineRule="auto"/>
        <w:widowControl/>
        <w:rPr>
          <w:rFonts w:hint="default"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（一）</w:t>
      </w:r>
      <w:r>
        <w:rPr>
          <w:rFonts w:hint="default" w:ascii="宋体" w:hAnsi="宋体" w:eastAsia="宋体" w:cs="宋体"/>
          <w:color w:val="auto"/>
          <w:sz w:val="24"/>
          <w:szCs w:val="24"/>
          <w:lang w:val="en-US" w:eastAsia="zh-CN" w:bidi="ar"/>
        </w:rPr>
        <w:t xml:space="preserve">乙方对项目全部数据、资料、企业信息、抽检计划、结果信息承担永久保密责任。</w:t>
      </w:r>
      <w:r/>
    </w:p>
    <w:p>
      <w:pPr>
        <w:ind w:firstLine="480"/>
        <w:jc w:val="left"/>
        <w:keepLines w:val="0"/>
        <w:keepNext w:val="0"/>
        <w:pageBreakBefore w:val="0"/>
        <w:spacing w:line="360" w:lineRule="auto"/>
        <w:widowControl/>
        <w:rPr>
          <w:rFonts w:hint="default"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（二）</w:t>
      </w:r>
      <w:r>
        <w:rPr>
          <w:rFonts w:hint="default" w:ascii="宋体" w:hAnsi="宋体" w:eastAsia="宋体" w:cs="宋体"/>
          <w:color w:val="auto"/>
          <w:sz w:val="24"/>
          <w:szCs w:val="24"/>
          <w:lang w:val="en-US" w:eastAsia="zh-CN" w:bidi="ar"/>
        </w:rPr>
        <w:t xml:space="preserve">严禁外泄、传播、擅自发布，泄密造成损失的由乙方全额承担。</w:t>
      </w:r>
      <w:r/>
    </w:p>
    <w:p>
      <w:pPr>
        <w:ind w:firstLine="482"/>
        <w:jc w:val="left"/>
        <w:keepLines w:val="0"/>
        <w:keepNext w:val="0"/>
        <w:pageBreakBefore w:val="0"/>
        <w:spacing w:line="360" w:lineRule="auto"/>
        <w:widowControl/>
        <w:rPr>
          <w:rFonts w:hint="default" w:ascii="宋体" w:hAnsi="宋体" w:eastAsia="宋体" w:cs="宋体"/>
          <w:b/>
          <w:bCs/>
          <w:color w:val="auto"/>
          <w:sz w:val="24"/>
          <w:szCs w:val="24"/>
          <w:lang w:val="en-US" w:eastAsia="zh-CN" w:bidi="ar"/>
        </w:rPr>
        <w:suppressLineNumbers w:val="0"/>
      </w:pPr>
      <w:r>
        <w:rPr>
          <w:rFonts w:hint="default" w:ascii="宋体" w:hAnsi="宋体" w:eastAsia="宋体" w:cs="宋体"/>
          <w:b/>
          <w:bCs/>
          <w:color w:val="auto"/>
          <w:sz w:val="24"/>
          <w:szCs w:val="24"/>
          <w:lang w:val="en-US" w:eastAsia="zh-CN" w:bidi="ar"/>
        </w:rPr>
        <w:t xml:space="preserve">第十条 双方违约责任</w:t>
      </w:r>
      <w:r/>
    </w:p>
    <w:p>
      <w:pPr>
        <w:ind w:left="0" w:firstLine="480"/>
        <w:jc w:val="left"/>
        <w:keepLines w:val="0"/>
        <w:keepNext w:val="0"/>
        <w:pageBreakBefore w:val="0"/>
        <w:spacing w:line="360" w:lineRule="auto"/>
        <w:widowControl/>
        <w:rPr>
          <w:color w:val="auto"/>
        </w:rPr>
        <w:suppressLineNumbers w:val="0"/>
      </w:pPr>
      <w:r>
        <w:rPr>
          <w:rFonts w:hint="default" w:ascii="宋体" w:hAnsi="宋体" w:eastAsia="宋体" w:cs="宋体"/>
          <w:color w:val="auto"/>
          <w:sz w:val="24"/>
          <w:szCs w:val="24"/>
          <w:lang w:val="en-US" w:eastAsia="zh-CN" w:bidi="ar"/>
        </w:rPr>
        <w:t xml:space="preserve">（一）乙方违约责任</w:t>
      </w:r>
      <w:r/>
    </w:p>
    <w:p>
      <w:pPr>
        <w:ind w:left="0" w:firstLine="480"/>
        <w:jc w:val="left"/>
        <w:keepLines w:val="0"/>
        <w:keepNext w:val="0"/>
        <w:pageBreakBefore w:val="0"/>
        <w:spacing w:line="360" w:lineRule="auto"/>
        <w:widowControl/>
        <w:rPr>
          <w:color w:val="auto"/>
        </w:rPr>
        <w:suppressLineNumbers w:val="0"/>
      </w:pPr>
      <w:r>
        <w:rPr>
          <w:rFonts w:hint="default" w:ascii="宋体" w:hAnsi="宋体" w:eastAsia="宋体" w:cs="宋体"/>
          <w:color w:val="auto"/>
          <w:sz w:val="24"/>
          <w:szCs w:val="24"/>
          <w:lang w:val="en-US" w:eastAsia="zh-CN" w:bidi="ar"/>
        </w:rPr>
        <w:t xml:space="preserve">1、严禁转包、违法分包、外包第三方检测，一经查实，甲方有权立即终止合同、不予结算剩余费用，乙方承担合同总价10%违约金，并赔偿甲方全部损失。</w:t>
      </w:r>
      <w:r/>
    </w:p>
    <w:p>
      <w:pPr>
        <w:ind w:left="0" w:firstLine="480"/>
        <w:jc w:val="left"/>
        <w:keepLines w:val="0"/>
        <w:keepNext w:val="0"/>
        <w:pageBreakBefore w:val="0"/>
        <w:spacing w:line="360" w:lineRule="auto"/>
        <w:widowControl/>
        <w:rPr>
          <w:color w:val="auto"/>
        </w:rPr>
        <w:suppressLineNumbers w:val="0"/>
      </w:pPr>
      <w:r>
        <w:rPr>
          <w:rFonts w:hint="default" w:ascii="宋体" w:hAnsi="宋体" w:eastAsia="宋体" w:cs="宋体"/>
          <w:color w:val="auto"/>
          <w:sz w:val="24"/>
          <w:szCs w:val="24"/>
          <w:lang w:val="en-US" w:eastAsia="zh-CN" w:bidi="ar"/>
        </w:rPr>
        <w:t xml:space="preserve">2、擅自更换核心人员、使用无证/兼职/挂靠人员、超资质检测的，每次扣除当期服务费5%，限期整改，拒不整改的终止合同。</w:t>
      </w:r>
      <w:r/>
    </w:p>
    <w:p>
      <w:pPr>
        <w:ind w:left="0" w:firstLine="480"/>
        <w:jc w:val="left"/>
        <w:keepLines w:val="0"/>
        <w:keepNext w:val="0"/>
        <w:pageBreakBefore w:val="0"/>
        <w:spacing w:line="360" w:lineRule="auto"/>
        <w:widowControl/>
        <w:rPr>
          <w:color w:val="auto"/>
        </w:rPr>
        <w:suppressLineNumbers w:val="0"/>
      </w:pPr>
      <w:r>
        <w:rPr>
          <w:rFonts w:hint="default" w:ascii="宋体" w:hAnsi="宋体" w:eastAsia="宋体" w:cs="宋体"/>
          <w:color w:val="auto"/>
          <w:sz w:val="24"/>
          <w:szCs w:val="24"/>
          <w:lang w:val="en-US" w:eastAsia="zh-CN" w:bidi="ar"/>
        </w:rPr>
        <w:t xml:space="preserve">3、因乙方操作不规范、技术失误、数据错误导致报告失效、批次作废的，对应批次不予结算；造成行政风险、舆情风险、甲方败诉的，甲方终止合同并追责。</w:t>
      </w:r>
      <w:r/>
    </w:p>
    <w:p>
      <w:pPr>
        <w:ind w:left="0" w:firstLine="480"/>
        <w:jc w:val="left"/>
        <w:keepLines w:val="0"/>
        <w:keepNext w:val="0"/>
        <w:pageBreakBefore w:val="0"/>
        <w:spacing w:line="360" w:lineRule="auto"/>
        <w:widowControl/>
        <w:rPr>
          <w:color w:val="auto"/>
        </w:rPr>
        <w:suppressLineNumbers w:val="0"/>
      </w:pPr>
      <w:r>
        <w:rPr>
          <w:rFonts w:hint="default" w:ascii="宋体" w:hAnsi="宋体" w:eastAsia="宋体" w:cs="宋体"/>
          <w:color w:val="auto"/>
          <w:sz w:val="24"/>
          <w:szCs w:val="24"/>
          <w:lang w:val="en-US" w:eastAsia="zh-CN" w:bidi="ar"/>
        </w:rPr>
        <w:t xml:space="preserve">4、拒不配合督查、考核问题整改不到位、同类问题反复发生的，甲方视情节扣款、暂停结算、取消承检资格、终止合同。</w:t>
      </w:r>
      <w:r/>
    </w:p>
    <w:p>
      <w:pPr>
        <w:ind w:left="0" w:firstLine="480"/>
        <w:jc w:val="left"/>
        <w:keepLines w:val="0"/>
        <w:keepNext w:val="0"/>
        <w:pageBreakBefore w:val="0"/>
        <w:spacing w:line="360" w:lineRule="auto"/>
        <w:widowControl/>
        <w:rPr>
          <w:color w:val="auto"/>
        </w:rPr>
        <w:suppressLineNumbers w:val="0"/>
      </w:pPr>
      <w:r>
        <w:rPr>
          <w:rFonts w:hint="default" w:ascii="宋体" w:hAnsi="宋体" w:eastAsia="宋体" w:cs="宋体"/>
          <w:color w:val="auto"/>
          <w:sz w:val="24"/>
          <w:szCs w:val="24"/>
          <w:lang w:val="en-US" w:eastAsia="zh-CN" w:bidi="ar"/>
        </w:rPr>
        <w:t xml:space="preserve">5、存在虚假报告、数据造假、提前通风报信、泄密、违规牟利等失信违规行为的，甲方立即解约、追缴已付款项，乙方承担合同总价15%违约金，纳入政府采购不良信用记录。</w:t>
      </w:r>
      <w:r/>
    </w:p>
    <w:p>
      <w:pPr>
        <w:ind w:left="0" w:firstLine="480"/>
        <w:jc w:val="left"/>
        <w:keepLines w:val="0"/>
        <w:keepNext w:val="0"/>
        <w:pageBreakBefore w:val="0"/>
        <w:spacing w:line="360" w:lineRule="auto"/>
        <w:widowControl/>
        <w:rPr>
          <w:rFonts w:hint="default" w:ascii="宋体" w:hAnsi="宋体" w:eastAsia="宋体" w:cs="宋体"/>
          <w:color w:val="auto"/>
          <w:sz w:val="24"/>
          <w:szCs w:val="24"/>
          <w:lang w:val="en-US" w:eastAsia="zh-CN" w:bidi="ar"/>
        </w:rPr>
        <w:suppressLineNumbers w:val="0"/>
      </w:pPr>
      <w:r>
        <w:rPr>
          <w:rFonts w:hint="default" w:ascii="宋体" w:hAnsi="宋体" w:eastAsia="宋体" w:cs="宋体"/>
          <w:color w:val="auto"/>
          <w:sz w:val="24"/>
          <w:szCs w:val="24"/>
          <w:lang w:val="en-US" w:eastAsia="zh-CN" w:bidi="ar"/>
        </w:rPr>
        <w:t xml:space="preserve">6、逾期履约的，每逾期一日按当期服务费0.5%支付违约金，累计违约金不超合同总价10%。</w:t>
      </w:r>
      <w:r/>
    </w:p>
    <w:p>
      <w:pPr>
        <w:ind w:left="0" w:firstLine="480"/>
        <w:jc w:val="left"/>
        <w:keepLines w:val="0"/>
        <w:keepNext w:val="0"/>
        <w:pageBreakBefore w:val="0"/>
        <w:spacing w:line="360" w:lineRule="auto"/>
        <w:widowControl/>
        <w:rPr>
          <w:color w:val="auto"/>
        </w:rPr>
        <w:suppressLineNumbers w:val="0"/>
      </w:pPr>
      <w:r>
        <w:rPr>
          <w:rFonts w:hint="eastAsia" w:ascii="宋体" w:hAnsi="宋体" w:cs="宋体"/>
          <w:color w:val="auto"/>
          <w:sz w:val="24"/>
          <w:szCs w:val="24"/>
          <w:lang w:val="en-US" w:eastAsia="zh-CN" w:bidi="ar"/>
        </w:rPr>
        <w:t xml:space="preserve">7、</w:t>
      </w:r>
      <w:r>
        <w:rPr>
          <w:rFonts w:hint="default" w:ascii="宋体" w:hAnsi="宋体" w:eastAsia="宋体" w:cs="宋体"/>
          <w:color w:val="auto"/>
          <w:sz w:val="24"/>
          <w:szCs w:val="24"/>
          <w:lang w:val="en-US" w:eastAsia="zh-CN" w:bidi="ar"/>
        </w:rPr>
        <w:t xml:space="preserve">本项目如为联合体成交，则联合体牵头人及全部成员共同签署本合同，联合体各方就本合同全部义务向甲方承担不可分割连带责任</w:t>
      </w:r>
      <w:r>
        <w:rPr>
          <w:rFonts w:hint="eastAsia" w:ascii="宋体" w:hAnsi="宋体" w:cs="宋体"/>
          <w:color w:val="auto"/>
          <w:sz w:val="24"/>
          <w:szCs w:val="24"/>
          <w:lang w:val="en-US" w:eastAsia="zh-CN" w:bidi="ar"/>
        </w:rPr>
        <w:t xml:space="preserve">。</w:t>
      </w:r>
      <w:r/>
    </w:p>
    <w:p>
      <w:pPr>
        <w:ind w:left="0" w:firstLine="480"/>
        <w:jc w:val="left"/>
        <w:keepLines w:val="0"/>
        <w:keepNext w:val="0"/>
        <w:pageBreakBefore w:val="0"/>
        <w:spacing w:line="360" w:lineRule="auto"/>
        <w:widowControl/>
        <w:rPr>
          <w:color w:val="auto"/>
        </w:rPr>
        <w:suppressLineNumbers w:val="0"/>
      </w:pPr>
      <w:r>
        <w:rPr>
          <w:rFonts w:hint="default" w:ascii="宋体" w:hAnsi="宋体" w:eastAsia="宋体" w:cs="宋体"/>
          <w:color w:val="auto"/>
          <w:sz w:val="24"/>
          <w:szCs w:val="24"/>
          <w:lang w:val="en-US" w:eastAsia="zh-CN" w:bidi="ar"/>
        </w:rPr>
        <w:t xml:space="preserve">（二）甲方违约责任</w:t>
      </w:r>
      <w:r/>
    </w:p>
    <w:p>
      <w:pPr>
        <w:ind w:left="0" w:firstLine="480"/>
        <w:jc w:val="left"/>
        <w:keepLines w:val="0"/>
        <w:keepNext w:val="0"/>
        <w:pageBreakBefore w:val="0"/>
        <w:spacing w:line="360" w:lineRule="auto"/>
        <w:widowControl/>
        <w:rPr>
          <w:color w:val="auto"/>
        </w:rPr>
        <w:suppressLineNumbers w:val="0"/>
      </w:pPr>
      <w:r>
        <w:rPr>
          <w:rFonts w:hint="default" w:ascii="宋体" w:hAnsi="宋体" w:eastAsia="宋体" w:cs="宋体"/>
          <w:color w:val="auto"/>
          <w:sz w:val="24"/>
          <w:szCs w:val="24"/>
          <w:lang w:val="en-US" w:eastAsia="zh-CN" w:bidi="ar"/>
        </w:rPr>
        <w:t xml:space="preserve">1、合规验收、收到有效发票后逾期付款的，每逾期一日按应付未付金额万分之五支付逾期利息。</w:t>
      </w:r>
      <w:r/>
    </w:p>
    <w:p>
      <w:pPr>
        <w:ind w:left="0" w:firstLine="480"/>
        <w:jc w:val="left"/>
        <w:keepLines w:val="0"/>
        <w:keepNext w:val="0"/>
        <w:pageBreakBefore w:val="0"/>
        <w:spacing w:line="360" w:lineRule="auto"/>
        <w:widowControl/>
        <w:rPr>
          <w:color w:val="auto"/>
        </w:rPr>
        <w:suppressLineNumbers w:val="0"/>
      </w:pPr>
      <w:r>
        <w:rPr>
          <w:rFonts w:hint="default" w:ascii="宋体" w:hAnsi="宋体" w:eastAsia="宋体" w:cs="宋体"/>
          <w:color w:val="auto"/>
          <w:sz w:val="24"/>
          <w:szCs w:val="24"/>
          <w:lang w:val="en-US" w:eastAsia="zh-CN" w:bidi="ar"/>
        </w:rPr>
        <w:t xml:space="preserve">2、无正当理由拒验、无故克扣费用、无故终止合同的，足额结算已完成合格工作量，并支付合同总价5%违约金。</w:t>
      </w:r>
      <w:r/>
    </w:p>
    <w:p>
      <w:pPr>
        <w:ind w:firstLine="480"/>
        <w:jc w:val="left"/>
        <w:keepLines w:val="0"/>
        <w:keepNext w:val="0"/>
        <w:pageBreakBefore w:val="0"/>
        <w:spacing w:line="360" w:lineRule="auto"/>
        <w:widowControl/>
        <w:rPr>
          <w:rFonts w:hint="default" w:ascii="宋体" w:hAnsi="宋体" w:eastAsia="宋体" w:cs="宋体"/>
          <w:color w:val="auto"/>
          <w:sz w:val="24"/>
          <w:szCs w:val="24"/>
          <w:lang w:val="en-US" w:eastAsia="zh-CN" w:bidi="ar"/>
        </w:rPr>
        <w:suppressLineNumbers w:val="0"/>
      </w:pPr>
      <w:r>
        <w:rPr>
          <w:rFonts w:hint="default" w:ascii="宋体" w:hAnsi="宋体" w:eastAsia="宋体" w:cs="宋体"/>
          <w:color w:val="auto"/>
          <w:sz w:val="24"/>
          <w:szCs w:val="24"/>
          <w:lang w:val="en-US" w:eastAsia="zh-CN" w:bidi="ar"/>
        </w:rPr>
        <w:t xml:space="preserve">3、因甲方原因造成工期延误、成本增加的，顺延工期，不考核乙方责</w:t>
      </w:r>
      <w:r>
        <w:rPr>
          <w:rFonts w:hint="eastAsia" w:ascii="宋体" w:hAnsi="宋体" w:cs="宋体"/>
          <w:color w:val="auto"/>
          <w:sz w:val="24"/>
          <w:szCs w:val="24"/>
          <w:lang w:val="en-US" w:eastAsia="zh-CN" w:bidi="ar"/>
        </w:rPr>
        <w:t xml:space="preserve">。</w:t>
      </w:r>
      <w:r/>
    </w:p>
    <w:p>
      <w:pPr>
        <w:ind w:firstLine="482"/>
        <w:jc w:val="left"/>
        <w:keepLines w:val="0"/>
        <w:keepNext w:val="0"/>
        <w:pageBreakBefore w:val="0"/>
        <w:spacing w:line="360" w:lineRule="auto"/>
        <w:widowControl/>
        <w:rPr>
          <w:rFonts w:hint="default" w:ascii="宋体" w:hAnsi="宋体" w:eastAsia="宋体" w:cs="宋体"/>
          <w:b/>
          <w:bCs/>
          <w:color w:val="auto"/>
          <w:sz w:val="24"/>
          <w:szCs w:val="24"/>
          <w:lang w:val="en-US" w:eastAsia="zh-CN" w:bidi="ar"/>
        </w:rPr>
        <w:suppressLineNumbers w:val="0"/>
      </w:pPr>
      <w:r>
        <w:rPr>
          <w:rFonts w:hint="default" w:ascii="宋体" w:hAnsi="宋体" w:eastAsia="宋体" w:cs="宋体"/>
          <w:b/>
          <w:bCs/>
          <w:color w:val="auto"/>
          <w:sz w:val="24"/>
          <w:szCs w:val="24"/>
          <w:lang w:val="en-US" w:eastAsia="zh-CN" w:bidi="ar"/>
        </w:rPr>
        <w:t xml:space="preserve">第十一条 禁止转包分包</w:t>
      </w:r>
      <w:r/>
    </w:p>
    <w:p>
      <w:pPr>
        <w:ind w:firstLine="480"/>
        <w:jc w:val="left"/>
        <w:keepLines w:val="0"/>
        <w:keepNext w:val="0"/>
        <w:pageBreakBefore w:val="0"/>
        <w:spacing w:line="360" w:lineRule="auto"/>
        <w:widowControl/>
        <w:rPr>
          <w:rFonts w:hint="default" w:ascii="宋体" w:hAnsi="宋体" w:eastAsia="宋体" w:cs="宋体"/>
          <w:color w:val="auto"/>
          <w:sz w:val="24"/>
          <w:szCs w:val="24"/>
          <w:lang w:val="en-US" w:eastAsia="zh-CN" w:bidi="ar"/>
        </w:rPr>
        <w:suppressLineNumbers w:val="0"/>
      </w:pPr>
      <w:r>
        <w:rPr>
          <w:rFonts w:hint="default" w:ascii="宋体" w:hAnsi="宋体" w:eastAsia="宋体" w:cs="宋体"/>
          <w:color w:val="auto"/>
          <w:sz w:val="24"/>
          <w:szCs w:val="24"/>
          <w:lang w:val="en-US" w:eastAsia="zh-CN" w:bidi="ar"/>
        </w:rPr>
        <w:t xml:space="preserve">本项目严禁转包、违法分包、外包第三方检测，一经查实，甲方有权立即终止合同、不予结算、追究乙方违约责任。</w:t>
      </w:r>
      <w:r/>
    </w:p>
    <w:p>
      <w:pPr>
        <w:ind w:firstLine="482"/>
        <w:jc w:val="left"/>
        <w:keepLines w:val="0"/>
        <w:keepNext w:val="0"/>
        <w:pageBreakBefore w:val="0"/>
        <w:spacing w:line="360" w:lineRule="auto"/>
        <w:widowControl/>
        <w:rPr>
          <w:rFonts w:hint="default" w:ascii="宋体" w:hAnsi="宋体" w:eastAsia="宋体" w:cs="宋体"/>
          <w:b/>
          <w:bCs/>
          <w:color w:val="auto"/>
          <w:sz w:val="24"/>
          <w:szCs w:val="24"/>
          <w:lang w:val="en-US" w:eastAsia="zh-CN" w:bidi="ar"/>
        </w:rPr>
        <w:suppressLineNumbers w:val="0"/>
      </w:pPr>
      <w:r>
        <w:rPr>
          <w:rFonts w:hint="default" w:ascii="宋体" w:hAnsi="宋体" w:eastAsia="宋体" w:cs="宋体"/>
          <w:b/>
          <w:bCs/>
          <w:color w:val="auto"/>
          <w:sz w:val="24"/>
          <w:szCs w:val="24"/>
          <w:lang w:val="en-US" w:eastAsia="zh-CN" w:bidi="ar"/>
        </w:rPr>
        <w:t xml:space="preserve">第十二条 争议解决</w:t>
      </w:r>
      <w:r/>
    </w:p>
    <w:p>
      <w:pPr>
        <w:ind w:firstLine="480"/>
        <w:jc w:val="left"/>
        <w:keepLines w:val="0"/>
        <w:keepNext w:val="0"/>
        <w:pageBreakBefore w:val="0"/>
        <w:spacing w:line="360" w:lineRule="auto"/>
        <w:widowControl/>
        <w:rPr>
          <w:rFonts w:hint="default" w:ascii="宋体" w:hAnsi="宋体" w:eastAsia="宋体" w:cs="宋体"/>
          <w:color w:val="auto"/>
          <w:sz w:val="24"/>
          <w:szCs w:val="24"/>
          <w:lang w:val="en-US" w:eastAsia="zh-CN" w:bidi="ar"/>
        </w:rPr>
        <w:suppressLineNumbers w:val="0"/>
      </w:pPr>
      <w:r>
        <w:rPr>
          <w:rFonts w:hint="default" w:ascii="宋体" w:hAnsi="宋体" w:eastAsia="宋体" w:cs="宋体"/>
          <w:color w:val="auto"/>
          <w:sz w:val="24"/>
          <w:szCs w:val="24"/>
          <w:lang w:val="en-US" w:eastAsia="zh-CN" w:bidi="ar"/>
        </w:rPr>
        <w:t xml:space="preserve">本合同履行过程中发生争议，双方友好协商解决；协商不成的，提交项目所在地人民法院诉讼解决。</w:t>
      </w:r>
      <w:r/>
    </w:p>
    <w:p>
      <w:pPr>
        <w:ind w:firstLine="482"/>
        <w:jc w:val="left"/>
        <w:keepLines w:val="0"/>
        <w:keepNext w:val="0"/>
        <w:pageBreakBefore w:val="0"/>
        <w:spacing w:line="360" w:lineRule="auto"/>
        <w:widowControl/>
        <w:rPr>
          <w:rFonts w:hint="default" w:ascii="宋体" w:hAnsi="宋体" w:eastAsia="宋体" w:cs="宋体"/>
          <w:b/>
          <w:bCs/>
          <w:color w:val="auto"/>
          <w:sz w:val="24"/>
          <w:szCs w:val="24"/>
          <w:lang w:val="en-US" w:eastAsia="zh-CN" w:bidi="ar"/>
        </w:rPr>
        <w:suppressLineNumbers w:val="0"/>
      </w:pPr>
      <w:r>
        <w:rPr>
          <w:rFonts w:hint="default" w:ascii="宋体" w:hAnsi="宋体" w:eastAsia="宋体" w:cs="宋体"/>
          <w:b/>
          <w:bCs/>
          <w:color w:val="auto"/>
          <w:sz w:val="24"/>
          <w:szCs w:val="24"/>
          <w:lang w:val="en-US" w:eastAsia="zh-CN" w:bidi="ar"/>
        </w:rPr>
        <w:t xml:space="preserve">第十三条 合同组成文件</w:t>
      </w:r>
      <w:r/>
    </w:p>
    <w:p>
      <w:pPr>
        <w:ind w:firstLine="480"/>
        <w:jc w:val="left"/>
        <w:keepLines w:val="0"/>
        <w:keepNext w:val="0"/>
        <w:pageBreakBefore w:val="0"/>
        <w:spacing w:line="360" w:lineRule="auto"/>
        <w:widowControl/>
        <w:rPr>
          <w:rFonts w:hint="default" w:ascii="宋体" w:hAnsi="宋体" w:eastAsia="宋体" w:cs="宋体"/>
          <w:color w:val="auto"/>
          <w:sz w:val="24"/>
          <w:szCs w:val="24"/>
          <w:lang w:val="en-US" w:eastAsia="zh-CN" w:bidi="ar"/>
        </w:rPr>
        <w:suppressLineNumbers w:val="0"/>
      </w:pPr>
      <w:r>
        <w:rPr>
          <w:rFonts w:hint="default" w:ascii="宋体" w:hAnsi="宋体" w:eastAsia="宋体" w:cs="宋体"/>
          <w:color w:val="auto"/>
          <w:sz w:val="24"/>
          <w:szCs w:val="24"/>
          <w:lang w:val="en-US" w:eastAsia="zh-CN" w:bidi="ar"/>
        </w:rPr>
        <w:t xml:space="preserve">本合同由以下文件共同组成，互为补充、具有同等法律效力，优先级依次为：（1）本合同协议书；（2）采购文件；（3）响应文件及承诺；（4）</w:t>
      </w:r>
      <w:r>
        <w:rPr>
          <w:rFonts w:hint="eastAsia" w:ascii="宋体" w:hAnsi="宋体" w:eastAsia="宋体" w:cs="宋体"/>
          <w:color w:val="auto"/>
          <w:sz w:val="24"/>
          <w:szCs w:val="24"/>
          <w:lang w:val="en-US" w:eastAsia="zh-CN" w:bidi="ar"/>
        </w:rPr>
        <w:t xml:space="preserve">成交</w:t>
      </w:r>
      <w:r>
        <w:rPr>
          <w:rFonts w:hint="default" w:ascii="宋体" w:hAnsi="宋体" w:eastAsia="宋体" w:cs="宋体"/>
          <w:color w:val="auto"/>
          <w:sz w:val="24"/>
          <w:szCs w:val="24"/>
          <w:lang w:val="en-US" w:eastAsia="zh-CN" w:bidi="ar"/>
        </w:rPr>
        <w:t xml:space="preserve">通知书；（5）双方确认的补充协议。</w:t>
      </w:r>
      <w:r/>
    </w:p>
    <w:p>
      <w:pPr>
        <w:ind w:firstLine="482"/>
        <w:jc w:val="left"/>
        <w:keepLines w:val="0"/>
        <w:keepNext w:val="0"/>
        <w:pageBreakBefore w:val="0"/>
        <w:spacing w:line="360" w:lineRule="auto"/>
        <w:widowControl/>
        <w:rPr>
          <w:rFonts w:hint="default" w:ascii="宋体" w:hAnsi="宋体" w:eastAsia="宋体" w:cs="宋体"/>
          <w:b/>
          <w:bCs/>
          <w:color w:val="auto"/>
          <w:sz w:val="24"/>
          <w:szCs w:val="24"/>
          <w:lang w:val="en-US" w:eastAsia="zh-CN" w:bidi="ar"/>
        </w:rPr>
        <w:suppressLineNumbers w:val="0"/>
      </w:pPr>
      <w:r>
        <w:rPr>
          <w:rFonts w:hint="default" w:ascii="宋体" w:hAnsi="宋体" w:eastAsia="宋体" w:cs="宋体"/>
          <w:b/>
          <w:bCs/>
          <w:color w:val="auto"/>
          <w:sz w:val="24"/>
          <w:szCs w:val="24"/>
          <w:lang w:val="en-US" w:eastAsia="zh-CN" w:bidi="ar"/>
        </w:rPr>
        <w:t xml:space="preserve">第十四条 其他</w:t>
      </w:r>
      <w:r/>
    </w:p>
    <w:p>
      <w:pPr>
        <w:ind w:firstLine="480"/>
        <w:jc w:val="left"/>
        <w:keepLines w:val="0"/>
        <w:keepNext w:val="0"/>
        <w:pageBreakBefore w:val="0"/>
        <w:spacing w:line="360" w:lineRule="auto"/>
        <w:widowControl/>
        <w:rPr>
          <w:rFonts w:hint="default" w:ascii="宋体" w:hAnsi="宋体" w:eastAsia="宋体" w:cs="宋体"/>
          <w:color w:val="auto"/>
          <w:sz w:val="24"/>
          <w:szCs w:val="24"/>
          <w:lang w:val="en-US" w:eastAsia="zh-CN" w:bidi="ar"/>
        </w:rPr>
        <w:suppressLineNumbers w:val="0"/>
      </w:pPr>
      <w:r>
        <w:rPr>
          <w:rFonts w:hint="default" w:ascii="宋体" w:hAnsi="宋体" w:eastAsia="宋体" w:cs="宋体"/>
          <w:color w:val="auto"/>
          <w:sz w:val="24"/>
          <w:szCs w:val="24"/>
          <w:lang w:val="en-US" w:eastAsia="zh-CN" w:bidi="ar"/>
        </w:rPr>
        <w:t xml:space="preserve">1、本合同未尽事宜，按照政府采购相关法律法规及采购文件执行。</w:t>
      </w:r>
      <w:r/>
    </w:p>
    <w:p>
      <w:pPr>
        <w:ind w:firstLine="480"/>
        <w:jc w:val="left"/>
        <w:keepLines w:val="0"/>
        <w:keepNext w:val="0"/>
        <w:pageBreakBefore w:val="0"/>
        <w:spacing w:line="360" w:lineRule="auto"/>
        <w:widowControl/>
        <w:rPr>
          <w:rFonts w:hint="default" w:ascii="宋体" w:hAnsi="宋体" w:eastAsia="宋体" w:cs="宋体"/>
          <w:color w:val="auto"/>
          <w:sz w:val="24"/>
          <w:szCs w:val="24"/>
          <w:lang w:val="en-US" w:eastAsia="zh-CN" w:bidi="ar"/>
        </w:rPr>
        <w:suppressLineNumbers w:val="0"/>
      </w:pPr>
      <w:r>
        <w:rPr>
          <w:rFonts w:hint="default" w:ascii="宋体" w:hAnsi="宋体" w:eastAsia="宋体" w:cs="宋体"/>
          <w:color w:val="auto"/>
          <w:sz w:val="24"/>
          <w:szCs w:val="24"/>
          <w:lang w:val="en-US" w:eastAsia="zh-CN" w:bidi="ar"/>
        </w:rPr>
        <w:t xml:space="preserve">2、本合同一式贰份，甲乙双方各执壹份，自双方签字盖章之日起生效，具有同等法律效力。</w:t>
      </w:r>
      <w:r/>
    </w:p>
    <w:p>
      <w:pPr>
        <w:ind w:firstLine="480"/>
        <w:jc w:val="left"/>
        <w:keepLines w:val="0"/>
        <w:keepNext w:val="0"/>
        <w:pageBreakBefore w:val="0"/>
        <w:spacing w:line="480" w:lineRule="exact"/>
        <w:widowControl/>
        <w:rPr>
          <w:rFonts w:hint="default" w:ascii="宋体" w:hAnsi="宋体" w:eastAsia="宋体" w:cs="宋体"/>
          <w:color w:val="auto"/>
          <w:sz w:val="24"/>
          <w:szCs w:val="24"/>
          <w:lang w:val="en-US" w:eastAsia="zh-CN" w:bidi="ar"/>
        </w:rPr>
        <w:suppressLineNumbers w:val="0"/>
      </w:pPr>
      <w:r>
        <w:rPr>
          <w:rFonts w:hint="default" w:ascii="宋体" w:hAnsi="宋体" w:eastAsia="宋体" w:cs="宋体"/>
          <w:color w:val="auto"/>
          <w:sz w:val="24"/>
          <w:szCs w:val="24"/>
          <w:lang w:val="en-US" w:eastAsia="zh-CN" w:bidi="ar"/>
        </w:rPr>
        <w:t xml:space="preserve">甲方（盖章）：宿迁市宿城区市场监督管理局</w:t>
      </w:r>
      <w:r/>
    </w:p>
    <w:p>
      <w:pPr>
        <w:ind w:firstLine="480"/>
        <w:jc w:val="left"/>
        <w:keepLines w:val="0"/>
        <w:keepNext w:val="0"/>
        <w:pageBreakBefore w:val="0"/>
        <w:spacing w:line="480" w:lineRule="exact"/>
        <w:widowControl/>
        <w:rPr>
          <w:rFonts w:hint="default" w:ascii="宋体" w:hAnsi="宋体" w:eastAsia="宋体" w:cs="宋体"/>
          <w:color w:val="auto"/>
          <w:sz w:val="24"/>
          <w:szCs w:val="24"/>
          <w:lang w:val="en-US" w:eastAsia="zh-CN" w:bidi="ar"/>
        </w:rPr>
        <w:suppressLineNumbers w:val="0"/>
      </w:pPr>
      <w:r>
        <w:rPr>
          <w:rFonts w:hint="default" w:ascii="宋体" w:hAnsi="宋体" w:eastAsia="宋体" w:cs="宋体"/>
          <w:color w:val="auto"/>
          <w:sz w:val="24"/>
          <w:szCs w:val="24"/>
          <w:lang w:val="en-US" w:eastAsia="zh-CN" w:bidi="ar"/>
        </w:rPr>
        <w:t xml:space="preserve">负责人/授权代表：____________</w:t>
      </w:r>
      <w:r/>
    </w:p>
    <w:p>
      <w:pPr>
        <w:ind w:firstLine="480"/>
        <w:jc w:val="left"/>
        <w:keepLines w:val="0"/>
        <w:keepNext w:val="0"/>
        <w:pageBreakBefore w:val="0"/>
        <w:spacing w:line="480" w:lineRule="exact"/>
        <w:widowControl/>
        <w:rPr>
          <w:rFonts w:hint="default" w:ascii="宋体" w:hAnsi="宋体" w:eastAsia="宋体" w:cs="宋体"/>
          <w:color w:val="auto"/>
          <w:sz w:val="24"/>
          <w:szCs w:val="24"/>
          <w:lang w:val="en-US" w:eastAsia="zh-CN" w:bidi="ar"/>
        </w:rPr>
        <w:suppressLineNumbers w:val="0"/>
      </w:pPr>
      <w:r>
        <w:rPr>
          <w:rFonts w:hint="default" w:ascii="宋体" w:hAnsi="宋体" w:eastAsia="宋体" w:cs="宋体"/>
          <w:color w:val="auto"/>
          <w:sz w:val="24"/>
          <w:szCs w:val="24"/>
          <w:lang w:val="en-US" w:eastAsia="zh-CN" w:bidi="ar"/>
        </w:rPr>
        <w:t xml:space="preserve">联系人：____________</w:t>
      </w:r>
      <w:r/>
    </w:p>
    <w:p>
      <w:pPr>
        <w:ind w:firstLine="480"/>
        <w:jc w:val="left"/>
        <w:keepLines w:val="0"/>
        <w:keepNext w:val="0"/>
        <w:pageBreakBefore w:val="0"/>
        <w:spacing w:line="480" w:lineRule="exact"/>
        <w:widowControl/>
        <w:rPr>
          <w:rFonts w:hint="default" w:ascii="宋体" w:hAnsi="宋体" w:eastAsia="宋体" w:cs="宋体"/>
          <w:color w:val="auto"/>
          <w:sz w:val="24"/>
          <w:szCs w:val="24"/>
          <w:lang w:val="en-US" w:eastAsia="zh-CN" w:bidi="ar"/>
        </w:rPr>
        <w:suppressLineNumbers w:val="0"/>
      </w:pPr>
      <w:r>
        <w:rPr>
          <w:rFonts w:hint="default" w:ascii="宋体" w:hAnsi="宋体" w:eastAsia="宋体" w:cs="宋体"/>
          <w:color w:val="auto"/>
          <w:sz w:val="24"/>
          <w:szCs w:val="24"/>
          <w:lang w:val="en-US" w:eastAsia="zh-CN" w:bidi="ar"/>
        </w:rPr>
        <w:t xml:space="preserve">联系电话：____________</w:t>
      </w:r>
      <w:r/>
    </w:p>
    <w:p>
      <w:pPr>
        <w:ind w:firstLine="480"/>
        <w:jc w:val="right"/>
        <w:keepLines w:val="0"/>
        <w:keepNext w:val="0"/>
        <w:pageBreakBefore w:val="0"/>
        <w:spacing w:line="480" w:lineRule="exact"/>
        <w:widowControl/>
        <w:rPr>
          <w:rFonts w:hint="default" w:ascii="宋体" w:hAnsi="宋体" w:eastAsia="宋体" w:cs="宋体"/>
          <w:color w:val="auto"/>
          <w:sz w:val="24"/>
          <w:szCs w:val="24"/>
          <w:lang w:val="en-US" w:eastAsia="zh-CN" w:bidi="ar"/>
        </w:rPr>
        <w:suppressLineNumbers w:val="0"/>
      </w:pPr>
      <w:r>
        <w:rPr>
          <w:rFonts w:hint="default" w:ascii="宋体" w:hAnsi="宋体" w:eastAsia="宋体" w:cs="宋体"/>
          <w:color w:val="auto"/>
          <w:sz w:val="24"/>
          <w:szCs w:val="24"/>
          <w:lang w:val="en-US" w:eastAsia="zh-CN" w:bidi="ar"/>
        </w:rPr>
        <w:t xml:space="preserve">日期：______年____月____日</w:t>
      </w:r>
      <w:r/>
    </w:p>
    <w:p>
      <w:pPr>
        <w:ind w:firstLine="480"/>
        <w:jc w:val="left"/>
        <w:keepLines w:val="0"/>
        <w:keepNext w:val="0"/>
        <w:pageBreakBefore w:val="0"/>
        <w:spacing w:line="480" w:lineRule="exact"/>
        <w:widowControl/>
        <w:rPr>
          <w:rFonts w:hint="default" w:ascii="宋体" w:hAnsi="宋体" w:eastAsia="宋体" w:cs="宋体"/>
          <w:color w:val="auto"/>
          <w:sz w:val="24"/>
          <w:szCs w:val="24"/>
          <w:lang w:val="en-US" w:eastAsia="zh-CN" w:bidi="ar"/>
        </w:rPr>
        <w:suppressLineNumbers w:val="0"/>
      </w:pPr>
      <w:r>
        <w:rPr>
          <w:rFonts w:hint="default" w:ascii="宋体" w:hAnsi="宋体" w:eastAsia="宋体" w:cs="宋体"/>
          <w:color w:val="auto"/>
          <w:sz w:val="24"/>
          <w:szCs w:val="24"/>
          <w:lang w:val="en-US" w:eastAsia="zh-CN" w:bidi="ar"/>
        </w:rPr>
        <w:t xml:space="preserve">乙方</w:t>
      </w:r>
      <w:r>
        <w:rPr>
          <w:rFonts w:hint="eastAsia" w:ascii="宋体" w:hAnsi="宋体" w:cs="宋体"/>
          <w:color w:val="auto"/>
          <w:sz w:val="24"/>
          <w:szCs w:val="24"/>
          <w:lang w:val="en-US" w:eastAsia="zh-CN" w:bidi="ar"/>
        </w:rPr>
        <w:t xml:space="preserve">牵头单位</w:t>
      </w:r>
      <w:r>
        <w:rPr>
          <w:rFonts w:hint="default" w:ascii="宋体" w:hAnsi="宋体" w:eastAsia="宋体" w:cs="宋体"/>
          <w:color w:val="auto"/>
          <w:sz w:val="24"/>
          <w:szCs w:val="24"/>
          <w:lang w:val="en-US" w:eastAsia="zh-CN" w:bidi="ar"/>
        </w:rPr>
        <w:t xml:space="preserve">（盖章）：</w:t>
      </w:r>
      <w:r/>
    </w:p>
    <w:p>
      <w:pPr>
        <w:ind w:firstLine="480"/>
        <w:jc w:val="left"/>
        <w:keepLines w:val="0"/>
        <w:keepNext w:val="0"/>
        <w:pageBreakBefore w:val="0"/>
        <w:spacing w:line="480" w:lineRule="exact"/>
        <w:widowControl/>
        <w:rPr>
          <w:rFonts w:hint="default" w:ascii="宋体" w:hAnsi="宋体" w:eastAsia="宋体" w:cs="宋体"/>
          <w:color w:val="auto"/>
          <w:sz w:val="24"/>
          <w:szCs w:val="24"/>
          <w:lang w:val="en-US" w:eastAsia="zh-CN" w:bidi="ar"/>
        </w:rPr>
        <w:suppressLineNumbers w:val="0"/>
      </w:pPr>
      <w:r>
        <w:rPr>
          <w:rFonts w:hint="default" w:ascii="宋体" w:hAnsi="宋体" w:eastAsia="宋体" w:cs="宋体"/>
          <w:color w:val="auto"/>
          <w:sz w:val="24"/>
          <w:szCs w:val="24"/>
          <w:lang w:val="en-US" w:eastAsia="zh-CN" w:bidi="ar"/>
        </w:rPr>
        <w:t xml:space="preserve">法定代表人/授权代表：____________</w:t>
      </w:r>
      <w:r/>
    </w:p>
    <w:p>
      <w:pPr>
        <w:ind w:firstLine="480"/>
        <w:jc w:val="left"/>
        <w:keepLines w:val="0"/>
        <w:keepNext w:val="0"/>
        <w:pageBreakBefore w:val="0"/>
        <w:spacing w:line="480" w:lineRule="exact"/>
        <w:widowControl/>
        <w:rPr>
          <w:rFonts w:hint="default" w:ascii="宋体" w:hAnsi="宋体" w:eastAsia="宋体" w:cs="宋体"/>
          <w:color w:val="auto"/>
          <w:sz w:val="24"/>
          <w:szCs w:val="24"/>
          <w:lang w:val="en-US" w:eastAsia="zh-CN" w:bidi="ar"/>
        </w:rPr>
        <w:suppressLineNumbers w:val="0"/>
      </w:pPr>
      <w:r>
        <w:rPr>
          <w:rFonts w:hint="default" w:ascii="宋体" w:hAnsi="宋体" w:eastAsia="宋体" w:cs="宋体"/>
          <w:color w:val="auto"/>
          <w:sz w:val="24"/>
          <w:szCs w:val="24"/>
          <w:lang w:val="en-US" w:eastAsia="zh-CN" w:bidi="ar"/>
        </w:rPr>
        <w:t xml:space="preserve">联系人：____________</w:t>
      </w:r>
      <w:r/>
    </w:p>
    <w:p>
      <w:pPr>
        <w:ind w:firstLine="480"/>
        <w:jc w:val="left"/>
        <w:keepLines w:val="0"/>
        <w:keepNext w:val="0"/>
        <w:pageBreakBefore w:val="0"/>
        <w:spacing w:line="480" w:lineRule="exact"/>
        <w:widowControl/>
        <w:rPr>
          <w:rFonts w:hint="default" w:ascii="宋体" w:hAnsi="宋体" w:eastAsia="宋体" w:cs="宋体"/>
          <w:color w:val="auto"/>
          <w:sz w:val="24"/>
          <w:szCs w:val="24"/>
          <w:lang w:val="en-US" w:eastAsia="zh-CN" w:bidi="ar"/>
        </w:rPr>
        <w:suppressLineNumbers w:val="0"/>
      </w:pPr>
      <w:r>
        <w:rPr>
          <w:rFonts w:hint="default" w:ascii="宋体" w:hAnsi="宋体" w:eastAsia="宋体" w:cs="宋体"/>
          <w:color w:val="auto"/>
          <w:sz w:val="24"/>
          <w:szCs w:val="24"/>
          <w:lang w:val="en-US" w:eastAsia="zh-CN" w:bidi="ar"/>
        </w:rPr>
        <w:t xml:space="preserve">联系电话：____________</w:t>
      </w:r>
      <w:r/>
    </w:p>
    <w:p>
      <w:pPr>
        <w:ind w:firstLine="480"/>
        <w:jc w:val="right"/>
        <w:keepLines w:val="0"/>
        <w:keepNext w:val="0"/>
        <w:pageBreakBefore w:val="0"/>
        <w:spacing w:line="480" w:lineRule="exact"/>
        <w:widowControl/>
        <w:rPr>
          <w:rFonts w:hint="default" w:ascii="宋体" w:hAnsi="宋体" w:eastAsia="宋体" w:cs="宋体"/>
          <w:color w:val="auto"/>
          <w:sz w:val="24"/>
          <w:szCs w:val="24"/>
          <w:lang w:val="en-US" w:eastAsia="zh-CN" w:bidi="ar"/>
        </w:rPr>
        <w:suppressLineNumbers w:val="0"/>
      </w:pPr>
      <w:r>
        <w:rPr>
          <w:rFonts w:hint="default" w:ascii="宋体" w:hAnsi="宋体" w:eastAsia="宋体" w:cs="宋体"/>
          <w:color w:val="auto"/>
          <w:sz w:val="24"/>
          <w:szCs w:val="24"/>
          <w:lang w:val="en-US" w:eastAsia="zh-CN" w:bidi="ar"/>
        </w:rPr>
        <w:t xml:space="preserve">日期：______年____月____日</w:t>
      </w:r>
      <w:r/>
    </w:p>
    <w:p>
      <w:pPr>
        <w:ind w:firstLine="480"/>
        <w:jc w:val="left"/>
        <w:keepLines w:val="0"/>
        <w:keepNext w:val="0"/>
        <w:pageBreakBefore w:val="0"/>
        <w:spacing w:line="480" w:lineRule="exact"/>
        <w:widowControl/>
        <w:rPr>
          <w:rFonts w:hint="default" w:ascii="宋体" w:hAnsi="宋体" w:eastAsia="宋体" w:cs="宋体"/>
          <w:color w:val="auto"/>
          <w:sz w:val="24"/>
          <w:szCs w:val="24"/>
          <w:lang w:val="en-US" w:eastAsia="zh-CN" w:bidi="ar"/>
        </w:rPr>
        <w:suppressLineNumbers w:val="0"/>
      </w:pPr>
      <w:r>
        <w:rPr>
          <w:rFonts w:hint="default" w:ascii="宋体" w:hAnsi="宋体" w:eastAsia="宋体" w:cs="宋体"/>
          <w:color w:val="auto"/>
          <w:sz w:val="24"/>
          <w:szCs w:val="24"/>
          <w:lang w:val="en-US" w:eastAsia="zh-CN" w:bidi="ar"/>
        </w:rPr>
      </w:r>
      <w:r/>
    </w:p>
    <w:p>
      <w:pPr>
        <w:pStyle w:val="705"/>
        <w:ind w:left="0" w:right="0" w:firstLine="480"/>
        <w:jc w:val="left"/>
        <w:keepLines w:val="0"/>
        <w:keepNext w:val="0"/>
        <w:spacing w:before="0" w:beforeAutospacing="0" w:after="0" w:afterAutospacing="0" w:line="500" w:lineRule="exact"/>
        <w:widowControl/>
        <w:rPr>
          <w:rFonts w:hint="eastAsia" w:ascii="新宋体" w:hAnsi="新宋体" w:eastAsia="新宋体" w:cs="新宋体"/>
          <w:b w:val="0"/>
          <w:bCs/>
          <w:color w:val="auto"/>
          <w:sz w:val="24"/>
          <w:szCs w:val="24"/>
          <w:highlight w:val="none"/>
          <w:lang w:val="zh-CN" w:eastAsia="zh-CN" w:bidi="ar"/>
        </w:rPr>
        <w:suppressLineNumbers w:val="0"/>
      </w:pPr>
      <w:r>
        <w:rPr>
          <w:rFonts w:hint="eastAsia" w:ascii="新宋体" w:hAnsi="新宋体" w:eastAsia="新宋体" w:cs="新宋体"/>
          <w:b w:val="0"/>
          <w:bCs/>
          <w:color w:val="auto"/>
          <w:sz w:val="24"/>
          <w:szCs w:val="24"/>
          <w:highlight w:val="none"/>
          <w:lang w:val="zh-CN" w:eastAsia="zh-CN" w:bidi="ar"/>
        </w:rPr>
      </w:r>
      <w:bookmarkEnd w:id="99"/>
      <w:bookmarkEnd w:id="100"/>
      <w:bookmarkEnd w:id="101"/>
      <w:r/>
    </w:p>
    <w:p>
      <w:pPr>
        <w:ind w:firstLine="480"/>
        <w:jc w:val="left"/>
        <w:keepLines w:val="0"/>
        <w:keepNext w:val="0"/>
        <w:pageBreakBefore w:val="0"/>
        <w:spacing w:line="480" w:lineRule="exact"/>
        <w:widowControl/>
        <w:rPr>
          <w:rFonts w:hint="default" w:ascii="宋体" w:hAnsi="宋体" w:eastAsia="宋体" w:cs="宋体"/>
          <w:color w:val="auto"/>
          <w:sz w:val="24"/>
          <w:szCs w:val="24"/>
          <w:lang w:val="en-US" w:eastAsia="zh-CN" w:bidi="ar"/>
        </w:rPr>
        <w:suppressLineNumbers w:val="0"/>
      </w:pPr>
      <w:r>
        <w:rPr>
          <w:rFonts w:hint="default" w:ascii="宋体" w:hAnsi="宋体" w:eastAsia="宋体" w:cs="宋体"/>
          <w:color w:val="auto"/>
          <w:sz w:val="24"/>
          <w:szCs w:val="24"/>
          <w:lang w:val="en-US" w:eastAsia="zh-CN" w:bidi="ar"/>
        </w:rPr>
        <w:t xml:space="preserve">乙方</w:t>
      </w:r>
      <w:r>
        <w:rPr>
          <w:rFonts w:hint="eastAsia" w:ascii="宋体" w:hAnsi="宋体" w:cs="宋体"/>
          <w:color w:val="auto"/>
          <w:sz w:val="24"/>
          <w:szCs w:val="24"/>
          <w:lang w:val="en-US" w:eastAsia="zh-CN" w:bidi="ar"/>
        </w:rPr>
        <w:t xml:space="preserve">联合体成员单位</w:t>
      </w:r>
      <w:r>
        <w:rPr>
          <w:rFonts w:hint="default" w:ascii="宋体" w:hAnsi="宋体" w:eastAsia="宋体" w:cs="宋体"/>
          <w:color w:val="auto"/>
          <w:sz w:val="24"/>
          <w:szCs w:val="24"/>
          <w:lang w:val="en-US" w:eastAsia="zh-CN" w:bidi="ar"/>
        </w:rPr>
        <w:t xml:space="preserve">（盖章）：</w:t>
      </w:r>
      <w:r/>
    </w:p>
    <w:p>
      <w:pPr>
        <w:ind w:firstLine="480"/>
        <w:jc w:val="left"/>
        <w:keepLines w:val="0"/>
        <w:keepNext w:val="0"/>
        <w:pageBreakBefore w:val="0"/>
        <w:spacing w:line="480" w:lineRule="exact"/>
        <w:widowControl/>
        <w:rPr>
          <w:rFonts w:hint="default" w:ascii="宋体" w:hAnsi="宋体" w:eastAsia="宋体" w:cs="宋体"/>
          <w:color w:val="auto"/>
          <w:sz w:val="24"/>
          <w:szCs w:val="24"/>
          <w:lang w:val="en-US" w:eastAsia="zh-CN" w:bidi="ar"/>
        </w:rPr>
        <w:suppressLineNumbers w:val="0"/>
      </w:pPr>
      <w:r>
        <w:rPr>
          <w:rFonts w:hint="default" w:ascii="宋体" w:hAnsi="宋体" w:eastAsia="宋体" w:cs="宋体"/>
          <w:color w:val="auto"/>
          <w:sz w:val="24"/>
          <w:szCs w:val="24"/>
          <w:lang w:val="en-US" w:eastAsia="zh-CN" w:bidi="ar"/>
        </w:rPr>
        <w:t xml:space="preserve">法定代表人/授权代表：____________</w:t>
      </w:r>
      <w:r/>
    </w:p>
    <w:p>
      <w:pPr>
        <w:ind w:firstLine="480"/>
        <w:jc w:val="left"/>
        <w:keepLines w:val="0"/>
        <w:keepNext w:val="0"/>
        <w:pageBreakBefore w:val="0"/>
        <w:spacing w:line="480" w:lineRule="exact"/>
        <w:widowControl/>
        <w:rPr>
          <w:rFonts w:hint="default" w:ascii="宋体" w:hAnsi="宋体" w:eastAsia="宋体" w:cs="宋体"/>
          <w:color w:val="auto"/>
          <w:sz w:val="24"/>
          <w:szCs w:val="24"/>
          <w:lang w:val="en-US" w:eastAsia="zh-CN" w:bidi="ar"/>
        </w:rPr>
        <w:suppressLineNumbers w:val="0"/>
      </w:pPr>
      <w:r>
        <w:rPr>
          <w:rFonts w:hint="default" w:ascii="宋体" w:hAnsi="宋体" w:eastAsia="宋体" w:cs="宋体"/>
          <w:color w:val="auto"/>
          <w:sz w:val="24"/>
          <w:szCs w:val="24"/>
          <w:lang w:val="en-US" w:eastAsia="zh-CN" w:bidi="ar"/>
        </w:rPr>
        <w:t xml:space="preserve">联系人：____________</w:t>
      </w:r>
      <w:r/>
    </w:p>
    <w:p>
      <w:pPr>
        <w:ind w:firstLine="480"/>
        <w:jc w:val="left"/>
        <w:keepLines w:val="0"/>
        <w:keepNext w:val="0"/>
        <w:pageBreakBefore w:val="0"/>
        <w:spacing w:line="480" w:lineRule="exact"/>
        <w:widowControl/>
        <w:rPr>
          <w:rFonts w:hint="default" w:ascii="宋体" w:hAnsi="宋体" w:eastAsia="宋体" w:cs="宋体"/>
          <w:color w:val="auto"/>
          <w:sz w:val="24"/>
          <w:szCs w:val="24"/>
          <w:lang w:val="en-US" w:eastAsia="zh-CN" w:bidi="ar"/>
        </w:rPr>
        <w:suppressLineNumbers w:val="0"/>
      </w:pPr>
      <w:r>
        <w:rPr>
          <w:rFonts w:hint="default" w:ascii="宋体" w:hAnsi="宋体" w:eastAsia="宋体" w:cs="宋体"/>
          <w:color w:val="auto"/>
          <w:sz w:val="24"/>
          <w:szCs w:val="24"/>
          <w:lang w:val="en-US" w:eastAsia="zh-CN" w:bidi="ar"/>
        </w:rPr>
        <w:t xml:space="preserve">联系电话：____________</w:t>
      </w:r>
      <w:r/>
    </w:p>
    <w:p>
      <w:pPr>
        <w:ind w:firstLine="480"/>
        <w:jc w:val="right"/>
        <w:keepLines w:val="0"/>
        <w:keepNext w:val="0"/>
        <w:pageBreakBefore w:val="0"/>
        <w:spacing w:line="480" w:lineRule="exact"/>
        <w:widowControl/>
        <w:rPr>
          <w:rFonts w:hint="default" w:ascii="宋体" w:hAnsi="宋体" w:eastAsia="宋体" w:cs="宋体"/>
          <w:color w:val="auto"/>
          <w:sz w:val="24"/>
          <w:szCs w:val="24"/>
          <w:lang w:val="en-US" w:eastAsia="zh-CN" w:bidi="ar"/>
        </w:rPr>
        <w:suppressLineNumbers w:val="0"/>
      </w:pPr>
      <w:r>
        <w:rPr>
          <w:rFonts w:hint="default" w:ascii="宋体" w:hAnsi="宋体" w:eastAsia="宋体" w:cs="宋体"/>
          <w:color w:val="auto"/>
          <w:sz w:val="24"/>
          <w:szCs w:val="24"/>
          <w:lang w:val="en-US" w:eastAsia="zh-CN" w:bidi="ar"/>
        </w:rPr>
        <w:t xml:space="preserve">日期：______年____月____日</w:t>
      </w:r>
      <w:r/>
    </w:p>
    <w:p>
      <w:pPr>
        <w:jc w:val="center"/>
        <w:spacing w:line="500" w:lineRule="exact"/>
        <w:rPr>
          <w:rFonts w:hint="eastAsia" w:ascii="新宋体" w:hAnsi="新宋体" w:eastAsia="新宋体" w:cs="新宋体"/>
          <w:b/>
          <w:color w:val="auto"/>
          <w:sz w:val="24"/>
          <w:szCs w:val="24"/>
          <w:highlight w:val="none"/>
        </w:rPr>
        <w:sectPr>
          <w:footnotePr/>
          <w:endnotePr/>
          <w:type w:val="nextPage"/>
          <w:pgSz w:w="11906" w:h="16838" w:orient="portrait"/>
          <w:pgMar w:top="1440" w:right="1417" w:bottom="1440" w:left="1417" w:header="851" w:footer="992" w:gutter="0"/>
          <w:cols w:num="1" w:sep="0" w:space="720" w:equalWidth="1"/>
          <w:docGrid w:linePitch="360"/>
        </w:sectPr>
        <w:outlineLvl w:val="0"/>
      </w:pPr>
      <w:r>
        <w:rPr>
          <w:rFonts w:hint="eastAsia" w:ascii="新宋体" w:hAnsi="新宋体" w:eastAsia="新宋体" w:cs="新宋体"/>
          <w:b/>
          <w:color w:val="auto"/>
          <w:sz w:val="24"/>
          <w:szCs w:val="24"/>
          <w:highlight w:val="none"/>
        </w:rPr>
      </w:r>
      <w:r/>
    </w:p>
    <w:p>
      <w:pPr>
        <w:jc w:val="center"/>
        <w:spacing w:line="500" w:lineRule="exact"/>
        <w:rPr>
          <w:rFonts w:hint="eastAsia" w:ascii="新宋体" w:hAnsi="新宋体" w:eastAsia="新宋体" w:cs="新宋体"/>
          <w:b/>
          <w:color w:val="auto"/>
          <w:sz w:val="32"/>
          <w:szCs w:val="32"/>
          <w:highlight w:val="none"/>
        </w:rPr>
        <w:outlineLvl w:val="0"/>
      </w:pPr>
      <w:r/>
      <w:bookmarkStart w:id="102" w:name="_Toc10029"/>
      <w:r/>
      <w:bookmarkStart w:id="103" w:name="_Toc21119"/>
      <w:r>
        <w:rPr>
          <w:rFonts w:hint="eastAsia" w:ascii="新宋体" w:hAnsi="新宋体" w:eastAsia="新宋体" w:cs="新宋体"/>
          <w:b/>
          <w:color w:val="auto"/>
          <w:sz w:val="32"/>
          <w:szCs w:val="32"/>
          <w:highlight w:val="none"/>
        </w:rPr>
        <w:t xml:space="preserve">第六章  响应文件格式</w:t>
      </w:r>
      <w:bookmarkEnd w:id="97"/>
      <w:r/>
      <w:bookmarkEnd w:id="98"/>
      <w:r/>
      <w:bookmarkEnd w:id="102"/>
      <w:r/>
      <w:bookmarkEnd w:id="103"/>
      <w:r/>
      <w:bookmarkStart w:id="104" w:name="_Hlt26671244"/>
      <w:r/>
      <w:bookmarkEnd w:id="104"/>
      <w:r/>
      <w:bookmarkStart w:id="105" w:name="_Hlt26955039"/>
      <w:r/>
      <w:bookmarkEnd w:id="105"/>
      <w:r/>
      <w:r/>
    </w:p>
    <w:p>
      <w:pPr>
        <w:jc w:val="center"/>
        <w:rPr>
          <w:rFonts w:hint="eastAsia" w:ascii="新宋体" w:hAnsi="新宋体" w:eastAsia="新宋体" w:cs="新宋体"/>
          <w:b/>
          <w:color w:val="auto"/>
          <w:sz w:val="24"/>
          <w:szCs w:val="24"/>
          <w:highlight w:val="none"/>
        </w:rPr>
      </w:pPr>
      <w:r>
        <w:rPr>
          <w:rFonts w:hint="eastAsia" w:ascii="新宋体" w:hAnsi="新宋体" w:eastAsia="新宋体" w:cs="新宋体"/>
          <w:b/>
          <w:color w:val="auto"/>
          <w:sz w:val="24"/>
          <w:szCs w:val="24"/>
          <w:highlight w:val="none"/>
        </w:rPr>
      </w:r>
      <w:r/>
    </w:p>
    <w:p>
      <w:pPr>
        <w:rPr>
          <w:rFonts w:hint="eastAsia" w:ascii="新宋体" w:hAnsi="新宋体" w:eastAsia="新宋体" w:cs="新宋体"/>
          <w:b/>
          <w:color w:val="auto"/>
          <w:sz w:val="24"/>
          <w:szCs w:val="24"/>
          <w:highlight w:val="none"/>
        </w:rPr>
      </w:pPr>
      <w:r>
        <w:rPr>
          <w:rFonts w:hint="eastAsia" w:ascii="新宋体" w:hAnsi="新宋体" w:eastAsia="新宋体" w:cs="新宋体"/>
          <w:b/>
          <w:color w:val="auto"/>
          <w:sz w:val="24"/>
          <w:szCs w:val="24"/>
          <w:highlight w:val="none"/>
        </w:rPr>
      </w:r>
      <w:r/>
    </w:p>
    <w:p>
      <w:pPr>
        <w:jc w:val="center"/>
        <w:rPr>
          <w:rFonts w:hint="eastAsia" w:ascii="新宋体" w:hAnsi="新宋体" w:eastAsia="新宋体" w:cs="新宋体"/>
          <w:b/>
          <w:color w:val="auto"/>
          <w:sz w:val="36"/>
          <w:szCs w:val="36"/>
          <w:highlight w:val="none"/>
        </w:rPr>
      </w:pPr>
      <w:r>
        <w:rPr>
          <w:rFonts w:hint="eastAsia" w:ascii="新宋体" w:hAnsi="新宋体" w:eastAsia="新宋体" w:cs="新宋体"/>
          <w:b/>
          <w:color w:val="auto"/>
          <w:sz w:val="36"/>
          <w:szCs w:val="36"/>
          <w:highlight w:val="none"/>
        </w:rPr>
        <w:t xml:space="preserve">响  应  文  件</w:t>
      </w:r>
      <w:r/>
    </w:p>
    <w:p>
      <w:pPr>
        <w:jc w:val="center"/>
        <w:rPr>
          <w:rFonts w:hint="eastAsia" w:ascii="新宋体" w:hAnsi="新宋体" w:eastAsia="新宋体" w:cs="新宋体"/>
          <w:b/>
          <w:color w:val="auto"/>
          <w:sz w:val="24"/>
          <w:szCs w:val="24"/>
          <w:highlight w:val="none"/>
        </w:rPr>
      </w:pPr>
      <w:r>
        <w:rPr>
          <w:rFonts w:hint="eastAsia" w:ascii="新宋体" w:hAnsi="新宋体" w:eastAsia="新宋体" w:cs="新宋体"/>
          <w:b/>
          <w:color w:val="auto"/>
          <w:sz w:val="24"/>
          <w:szCs w:val="24"/>
          <w:highlight w:val="none"/>
        </w:rPr>
      </w:r>
      <w:r/>
    </w:p>
    <w:p>
      <w:pPr>
        <w:jc w:val="center"/>
        <w:rPr>
          <w:rFonts w:hint="eastAsia" w:ascii="新宋体" w:hAnsi="新宋体" w:eastAsia="新宋体" w:cs="新宋体"/>
          <w:b/>
          <w:color w:val="auto"/>
          <w:sz w:val="24"/>
          <w:szCs w:val="24"/>
          <w:highlight w:val="none"/>
        </w:rPr>
      </w:pPr>
      <w:r>
        <w:rPr>
          <w:rFonts w:hint="eastAsia" w:ascii="新宋体" w:hAnsi="新宋体" w:eastAsia="新宋体" w:cs="新宋体"/>
          <w:b/>
          <w:color w:val="auto"/>
          <w:sz w:val="24"/>
          <w:szCs w:val="24"/>
          <w:highlight w:val="none"/>
        </w:rPr>
      </w:r>
      <w:r/>
    </w:p>
    <w:p>
      <w:pPr>
        <w:jc w:val="center"/>
        <w:rPr>
          <w:rFonts w:hint="eastAsia" w:ascii="新宋体" w:hAnsi="新宋体" w:eastAsia="新宋体" w:cs="新宋体"/>
          <w:b/>
          <w:color w:val="auto"/>
          <w:sz w:val="24"/>
          <w:szCs w:val="24"/>
          <w:highlight w:val="none"/>
        </w:rPr>
      </w:pPr>
      <w:r>
        <w:rPr>
          <w:rFonts w:hint="eastAsia" w:ascii="新宋体" w:hAnsi="新宋体" w:eastAsia="新宋体" w:cs="新宋体"/>
          <w:b/>
          <w:color w:val="auto"/>
          <w:sz w:val="24"/>
          <w:szCs w:val="24"/>
          <w:highlight w:val="none"/>
        </w:rPr>
      </w:r>
      <w:r/>
    </w:p>
    <w:p>
      <w:pPr>
        <w:jc w:val="center"/>
        <w:rPr>
          <w:rFonts w:hint="eastAsia" w:ascii="新宋体" w:hAnsi="新宋体" w:eastAsia="新宋体" w:cs="新宋体"/>
          <w:b/>
          <w:color w:val="auto"/>
          <w:sz w:val="24"/>
          <w:szCs w:val="24"/>
          <w:highlight w:val="none"/>
        </w:rPr>
      </w:pPr>
      <w:r>
        <w:rPr>
          <w:rFonts w:hint="eastAsia" w:ascii="新宋体" w:hAnsi="新宋体" w:eastAsia="新宋体" w:cs="新宋体"/>
          <w:b/>
          <w:color w:val="auto"/>
          <w:sz w:val="24"/>
          <w:szCs w:val="24"/>
          <w:highlight w:val="none"/>
        </w:rPr>
      </w:r>
      <w:r/>
    </w:p>
    <w:p>
      <w:pPr>
        <w:jc w:val="center"/>
        <w:rPr>
          <w:rFonts w:hint="eastAsia" w:ascii="新宋体" w:hAnsi="新宋体" w:eastAsia="新宋体" w:cs="新宋体"/>
          <w:b/>
          <w:color w:val="auto"/>
          <w:sz w:val="24"/>
          <w:szCs w:val="24"/>
          <w:highlight w:val="none"/>
        </w:rPr>
      </w:pPr>
      <w:r>
        <w:rPr>
          <w:rFonts w:hint="eastAsia" w:ascii="新宋体" w:hAnsi="新宋体" w:eastAsia="新宋体" w:cs="新宋体"/>
          <w:b/>
          <w:color w:val="auto"/>
          <w:sz w:val="24"/>
          <w:szCs w:val="24"/>
          <w:highlight w:val="none"/>
        </w:rPr>
      </w:r>
      <w:r/>
    </w:p>
    <w:p>
      <w:pPr>
        <w:jc w:val="center"/>
        <w:rPr>
          <w:rFonts w:hint="eastAsia" w:ascii="新宋体" w:hAnsi="新宋体" w:eastAsia="新宋体" w:cs="新宋体"/>
          <w:b/>
          <w:color w:val="auto"/>
          <w:sz w:val="24"/>
          <w:szCs w:val="24"/>
          <w:highlight w:val="none"/>
        </w:rPr>
      </w:pPr>
      <w:r>
        <w:rPr>
          <w:rFonts w:hint="eastAsia" w:ascii="新宋体" w:hAnsi="新宋体" w:eastAsia="新宋体" w:cs="新宋体"/>
          <w:b/>
          <w:color w:val="auto"/>
          <w:sz w:val="24"/>
          <w:szCs w:val="24"/>
          <w:highlight w:val="none"/>
        </w:rPr>
      </w:r>
      <w:r/>
    </w:p>
    <w:p>
      <w:pPr>
        <w:ind w:firstLine="1084"/>
        <w:rPr>
          <w:rFonts w:hint="eastAsia" w:ascii="新宋体" w:hAnsi="新宋体" w:eastAsia="新宋体" w:cs="新宋体"/>
          <w:b/>
          <w:color w:val="auto"/>
          <w:sz w:val="32"/>
          <w:szCs w:val="32"/>
          <w:highlight w:val="none"/>
        </w:rPr>
      </w:pPr>
      <w:r>
        <w:rPr>
          <w:rFonts w:hint="eastAsia" w:ascii="新宋体" w:hAnsi="新宋体" w:eastAsia="新宋体" w:cs="新宋体"/>
          <w:b/>
          <w:color w:val="auto"/>
          <w:sz w:val="32"/>
          <w:szCs w:val="32"/>
          <w:highlight w:val="none"/>
        </w:rPr>
      </w:r>
      <w:r/>
    </w:p>
    <w:p>
      <w:pPr>
        <w:ind w:firstLine="1084"/>
        <w:rPr>
          <w:rFonts w:hint="eastAsia" w:ascii="新宋体" w:hAnsi="新宋体" w:eastAsia="新宋体" w:cs="新宋体"/>
          <w:b/>
          <w:color w:val="auto"/>
          <w:sz w:val="32"/>
          <w:szCs w:val="32"/>
          <w:highlight w:val="none"/>
        </w:rPr>
      </w:pPr>
      <w:r>
        <w:rPr>
          <w:rFonts w:hint="eastAsia" w:ascii="新宋体" w:hAnsi="新宋体" w:eastAsia="新宋体" w:cs="新宋体"/>
          <w:b/>
          <w:color w:val="auto"/>
          <w:sz w:val="32"/>
          <w:szCs w:val="32"/>
          <w:highlight w:val="none"/>
        </w:rPr>
      </w:r>
      <w:r/>
    </w:p>
    <w:p>
      <w:pPr>
        <w:ind w:firstLine="1084"/>
        <w:rPr>
          <w:rFonts w:hint="eastAsia" w:ascii="新宋体" w:hAnsi="新宋体" w:eastAsia="新宋体" w:cs="新宋体"/>
          <w:b/>
          <w:color w:val="auto"/>
          <w:sz w:val="32"/>
          <w:szCs w:val="32"/>
          <w:highlight w:val="none"/>
        </w:rPr>
      </w:pPr>
      <w:r>
        <w:rPr>
          <w:rFonts w:hint="eastAsia" w:ascii="新宋体" w:hAnsi="新宋体" w:eastAsia="新宋体" w:cs="新宋体"/>
          <w:b/>
          <w:color w:val="auto"/>
          <w:sz w:val="32"/>
          <w:szCs w:val="32"/>
          <w:highlight w:val="none"/>
        </w:rPr>
      </w:r>
      <w:r/>
    </w:p>
    <w:p>
      <w:pPr>
        <w:ind w:firstLine="1084"/>
        <w:rPr>
          <w:rFonts w:hint="eastAsia" w:ascii="新宋体" w:hAnsi="新宋体" w:eastAsia="新宋体" w:cs="新宋体"/>
          <w:b/>
          <w:color w:val="auto"/>
          <w:sz w:val="32"/>
          <w:szCs w:val="32"/>
          <w:highlight w:val="none"/>
        </w:rPr>
      </w:pPr>
      <w:r>
        <w:rPr>
          <w:rFonts w:hint="eastAsia" w:ascii="新宋体" w:hAnsi="新宋体" w:eastAsia="新宋体" w:cs="新宋体"/>
          <w:b/>
          <w:color w:val="auto"/>
          <w:sz w:val="32"/>
          <w:szCs w:val="32"/>
          <w:highlight w:val="none"/>
        </w:rPr>
      </w:r>
      <w:r/>
    </w:p>
    <w:p>
      <w:pPr>
        <w:ind w:firstLine="1084"/>
        <w:rPr>
          <w:rFonts w:hint="eastAsia" w:ascii="新宋体" w:hAnsi="新宋体" w:eastAsia="新宋体" w:cs="新宋体"/>
          <w:b/>
          <w:color w:val="auto"/>
          <w:sz w:val="32"/>
          <w:szCs w:val="32"/>
          <w:highlight w:val="none"/>
        </w:rPr>
      </w:pPr>
      <w:r>
        <w:rPr>
          <w:rFonts w:hint="eastAsia" w:ascii="新宋体" w:hAnsi="新宋体" w:eastAsia="新宋体" w:cs="新宋体"/>
          <w:b/>
          <w:color w:val="auto"/>
          <w:sz w:val="32"/>
          <w:szCs w:val="32"/>
          <w:highlight w:val="none"/>
        </w:rPr>
      </w:r>
      <w:r/>
    </w:p>
    <w:p>
      <w:pPr>
        <w:ind w:firstLine="1084"/>
        <w:rPr>
          <w:rFonts w:hint="eastAsia" w:ascii="新宋体" w:hAnsi="新宋体" w:eastAsia="新宋体" w:cs="新宋体"/>
          <w:b/>
          <w:color w:val="auto"/>
          <w:sz w:val="32"/>
          <w:szCs w:val="32"/>
          <w:highlight w:val="none"/>
        </w:rPr>
      </w:pPr>
      <w:r>
        <w:rPr>
          <w:rFonts w:hint="eastAsia" w:ascii="新宋体" w:hAnsi="新宋体" w:eastAsia="新宋体" w:cs="新宋体"/>
          <w:b/>
          <w:color w:val="auto"/>
          <w:sz w:val="32"/>
          <w:szCs w:val="32"/>
          <w:highlight w:val="none"/>
        </w:rPr>
      </w:r>
      <w:r/>
    </w:p>
    <w:p>
      <w:pPr>
        <w:ind w:firstLine="1084"/>
        <w:rPr>
          <w:rFonts w:hint="eastAsia" w:ascii="新宋体" w:hAnsi="新宋体" w:eastAsia="新宋体" w:cs="新宋体"/>
          <w:b/>
          <w:color w:val="auto"/>
          <w:sz w:val="32"/>
          <w:szCs w:val="32"/>
          <w:highlight w:val="none"/>
        </w:rPr>
      </w:pPr>
      <w:r>
        <w:rPr>
          <w:rFonts w:hint="eastAsia" w:ascii="新宋体" w:hAnsi="新宋体" w:eastAsia="新宋体" w:cs="新宋体"/>
          <w:b/>
          <w:color w:val="auto"/>
          <w:sz w:val="32"/>
          <w:szCs w:val="32"/>
          <w:highlight w:val="none"/>
        </w:rPr>
        <w:t xml:space="preserve">项 目 名 称：</w:t>
      </w:r>
      <w:r/>
    </w:p>
    <w:p>
      <w:pPr>
        <w:ind w:firstLine="1084"/>
        <w:rPr>
          <w:rFonts w:hint="eastAsia" w:ascii="新宋体" w:hAnsi="新宋体" w:eastAsia="新宋体" w:cs="新宋体"/>
          <w:b/>
          <w:color w:val="auto"/>
          <w:sz w:val="32"/>
          <w:szCs w:val="32"/>
          <w:highlight w:val="none"/>
          <w:u w:val="single"/>
        </w:rPr>
      </w:pPr>
      <w:r>
        <w:rPr>
          <w:rFonts w:hint="eastAsia" w:ascii="新宋体" w:hAnsi="新宋体" w:eastAsia="新宋体" w:cs="新宋体"/>
          <w:b/>
          <w:color w:val="auto"/>
          <w:sz w:val="32"/>
          <w:szCs w:val="32"/>
          <w:highlight w:val="none"/>
        </w:rPr>
        <w:t xml:space="preserve">项 目 编 号：</w:t>
      </w:r>
      <w:r/>
    </w:p>
    <w:p>
      <w:pPr>
        <w:rPr>
          <w:rFonts w:hint="eastAsia" w:ascii="新宋体" w:hAnsi="新宋体" w:eastAsia="新宋体" w:cs="新宋体"/>
          <w:b/>
          <w:color w:val="auto"/>
          <w:sz w:val="32"/>
          <w:szCs w:val="32"/>
          <w:highlight w:val="none"/>
          <w:u w:val="single"/>
        </w:rPr>
      </w:pPr>
      <w:r>
        <w:rPr>
          <w:rFonts w:hint="eastAsia" w:ascii="新宋体" w:hAnsi="新宋体" w:eastAsia="新宋体" w:cs="新宋体"/>
          <w:b/>
          <w:color w:val="auto"/>
          <w:sz w:val="32"/>
          <w:szCs w:val="32"/>
          <w:highlight w:val="none"/>
        </w:rPr>
        <w:t xml:space="preserve">      供应商名称 ：</w:t>
      </w:r>
      <w:r>
        <w:rPr>
          <w:rFonts w:hint="eastAsia" w:ascii="新宋体" w:hAnsi="新宋体" w:eastAsia="新宋体" w:cs="新宋体"/>
          <w:b/>
          <w:color w:val="auto"/>
          <w:sz w:val="32"/>
          <w:szCs w:val="32"/>
          <w:highlight w:val="none"/>
          <w:u w:val="single"/>
        </w:rPr>
        <w:t xml:space="preserve">（盖CA电子公章）</w:t>
      </w:r>
      <w:r/>
    </w:p>
    <w:p>
      <w:pPr>
        <w:rPr>
          <w:rFonts w:hint="eastAsia" w:ascii="新宋体" w:hAnsi="新宋体" w:eastAsia="新宋体" w:cs="新宋体"/>
          <w:b/>
          <w:color w:val="auto"/>
          <w:sz w:val="32"/>
          <w:szCs w:val="32"/>
          <w:highlight w:val="none"/>
          <w:u w:val="single"/>
        </w:rPr>
      </w:pPr>
      <w:r>
        <w:rPr>
          <w:rFonts w:hint="eastAsia" w:ascii="新宋体" w:hAnsi="新宋体" w:eastAsia="新宋体" w:cs="新宋体"/>
          <w:b/>
          <w:color w:val="auto"/>
          <w:sz w:val="32"/>
          <w:szCs w:val="32"/>
          <w:highlight w:val="none"/>
        </w:rPr>
        <w:t xml:space="preserve">      日      期 ：</w:t>
      </w:r>
      <w:r/>
    </w:p>
    <w:p>
      <w:pPr>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r>
      <w:r/>
    </w:p>
    <w:p>
      <w:pPr>
        <w:jc w:val="center"/>
        <w:spacing w:line="440" w:lineRule="exact"/>
        <w:rPr>
          <w:rFonts w:hint="eastAsia" w:ascii="新宋体" w:hAnsi="新宋体" w:eastAsia="新宋体" w:cs="新宋体"/>
          <w:b/>
          <w:bCs/>
          <w:color w:val="auto"/>
          <w:sz w:val="24"/>
          <w:szCs w:val="24"/>
          <w:highlight w:val="none"/>
        </w:rPr>
      </w:pPr>
      <w:r>
        <w:rPr>
          <w:rFonts w:hint="eastAsia" w:ascii="新宋体" w:hAnsi="新宋体" w:eastAsia="新宋体" w:cs="新宋体"/>
          <w:color w:val="auto"/>
          <w:sz w:val="24"/>
          <w:szCs w:val="24"/>
          <w:highlight w:val="none"/>
        </w:rPr>
        <w:br w:type="page" w:clear="all"/>
      </w:r>
      <w:r>
        <w:rPr>
          <w:rFonts w:hint="eastAsia" w:ascii="新宋体" w:hAnsi="新宋体" w:eastAsia="新宋体" w:cs="新宋体"/>
          <w:b/>
          <w:bCs/>
          <w:color w:val="auto"/>
          <w:sz w:val="24"/>
          <w:szCs w:val="24"/>
          <w:highlight w:val="none"/>
        </w:rPr>
        <w:t xml:space="preserve">响应文件目录</w:t>
      </w:r>
      <w:r/>
    </w:p>
    <w:p>
      <w:pPr>
        <w:jc w:val="center"/>
        <w:spacing w:line="440" w:lineRule="exact"/>
        <w:rPr>
          <w:rFonts w:hint="eastAsia" w:ascii="新宋体" w:hAnsi="新宋体" w:eastAsia="新宋体" w:cs="新宋体"/>
          <w:b/>
          <w:bCs/>
          <w:color w:val="auto"/>
          <w:sz w:val="24"/>
          <w:szCs w:val="24"/>
          <w:highlight w:val="none"/>
        </w:rPr>
      </w:pPr>
      <w:r>
        <w:rPr>
          <w:rFonts w:hint="eastAsia" w:ascii="新宋体" w:hAnsi="新宋体" w:eastAsia="新宋体" w:cs="新宋体"/>
          <w:b/>
          <w:bCs/>
          <w:color w:val="auto"/>
          <w:sz w:val="24"/>
          <w:szCs w:val="24"/>
          <w:highlight w:val="none"/>
        </w:rPr>
      </w:r>
      <w:r/>
    </w:p>
    <w:p>
      <w:pPr>
        <w:spacing w:line="360" w:lineRule="auto"/>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一、磋商响应函</w:t>
      </w:r>
      <w:r/>
    </w:p>
    <w:p>
      <w:pPr>
        <w:spacing w:line="360" w:lineRule="auto"/>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二、法人授权书</w:t>
      </w:r>
      <w:r/>
    </w:p>
    <w:p>
      <w:pPr>
        <w:spacing w:line="360" w:lineRule="auto"/>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三、磋商报价表</w:t>
      </w:r>
      <w:r/>
    </w:p>
    <w:p>
      <w:pPr>
        <w:spacing w:line="360" w:lineRule="auto"/>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四、分项报价表</w:t>
      </w:r>
      <w:r/>
    </w:p>
    <w:p>
      <w:pPr>
        <w:spacing w:line="360" w:lineRule="auto"/>
        <w:rPr>
          <w:rFonts w:hint="eastAsia" w:ascii="新宋体" w:hAnsi="新宋体" w:eastAsia="新宋体" w:cs="新宋体"/>
          <w:b w:val="0"/>
          <w:color w:val="auto"/>
          <w:sz w:val="24"/>
          <w:szCs w:val="24"/>
          <w:highlight w:val="none"/>
          <w:lang w:val="en-US" w:eastAsia="zh-CN" w:bidi="ar-SA"/>
        </w:rPr>
      </w:pPr>
      <w:r>
        <w:rPr>
          <w:rFonts w:hint="eastAsia" w:ascii="新宋体" w:hAnsi="新宋体" w:eastAsia="新宋体" w:cs="新宋体"/>
          <w:color w:val="auto"/>
          <w:sz w:val="24"/>
          <w:szCs w:val="24"/>
          <w:highlight w:val="none"/>
        </w:rPr>
        <w:t xml:space="preserve">五、</w:t>
      </w:r>
      <w:r>
        <w:rPr>
          <w:rFonts w:hint="eastAsia" w:ascii="新宋体" w:hAnsi="新宋体" w:eastAsia="新宋体" w:cs="新宋体"/>
          <w:b w:val="0"/>
          <w:color w:val="auto"/>
          <w:sz w:val="24"/>
          <w:szCs w:val="24"/>
          <w:highlight w:val="none"/>
          <w:lang w:val="en-US" w:eastAsia="zh-CN" w:bidi="ar-SA"/>
        </w:rPr>
        <w:t xml:space="preserve">中小企业或残疾人福利性单位声明函</w:t>
      </w:r>
      <w:r/>
    </w:p>
    <w:p>
      <w:pPr>
        <w:spacing w:line="360" w:lineRule="auto"/>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六、</w:t>
      </w:r>
      <w:bookmarkStart w:id="106" w:name="OLE_LINK4"/>
      <w:r>
        <w:rPr>
          <w:rFonts w:hint="eastAsia" w:ascii="新宋体" w:hAnsi="新宋体" w:eastAsia="新宋体" w:cs="新宋体"/>
          <w:color w:val="auto"/>
          <w:sz w:val="24"/>
          <w:szCs w:val="24"/>
          <w:highlight w:val="none"/>
        </w:rPr>
        <w:t xml:space="preserve">技术响应偏离表</w:t>
      </w:r>
      <w:bookmarkEnd w:id="106"/>
      <w:r/>
      <w:r/>
    </w:p>
    <w:p>
      <w:pPr>
        <w:spacing w:line="360" w:lineRule="auto"/>
        <w:rPr>
          <w:rFonts w:hint="default" w:ascii="新宋体" w:hAnsi="新宋体" w:eastAsia="新宋体" w:cs="新宋体"/>
          <w:color w:val="auto"/>
          <w:sz w:val="24"/>
          <w:szCs w:val="24"/>
          <w:highlight w:val="none"/>
          <w:lang w:val="en-US" w:eastAsia="zh-CN"/>
        </w:rPr>
      </w:pPr>
      <w:r>
        <w:rPr>
          <w:rFonts w:hint="eastAsia" w:ascii="新宋体" w:hAnsi="新宋体" w:eastAsia="新宋体" w:cs="新宋体"/>
          <w:color w:val="auto"/>
          <w:sz w:val="24"/>
          <w:szCs w:val="24"/>
          <w:highlight w:val="none"/>
        </w:rPr>
        <w:t xml:space="preserve">七、</w:t>
      </w:r>
      <w:r>
        <w:rPr>
          <w:rFonts w:hint="eastAsia" w:ascii="新宋体" w:hAnsi="新宋体" w:eastAsia="新宋体" w:cs="新宋体"/>
          <w:color w:val="auto"/>
          <w:sz w:val="24"/>
          <w:szCs w:val="24"/>
          <w:highlight w:val="none"/>
          <w:lang w:val="en-US" w:eastAsia="zh-CN"/>
        </w:rPr>
        <w:t xml:space="preserve">商务响应偏离表</w:t>
      </w:r>
      <w:r/>
    </w:p>
    <w:p>
      <w:pPr>
        <w:spacing w:line="360" w:lineRule="auto"/>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八、项目组人员</w:t>
      </w:r>
      <w:r/>
    </w:p>
    <w:p>
      <w:pPr>
        <w:spacing w:line="360" w:lineRule="auto"/>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lang w:val="en-US" w:eastAsia="zh-CN"/>
        </w:rPr>
        <w:t xml:space="preserve">九</w:t>
      </w:r>
      <w:r>
        <w:rPr>
          <w:rFonts w:hint="eastAsia" w:ascii="新宋体" w:hAnsi="新宋体" w:eastAsia="新宋体" w:cs="新宋体"/>
          <w:color w:val="auto"/>
          <w:sz w:val="24"/>
          <w:szCs w:val="24"/>
          <w:highlight w:val="none"/>
        </w:rPr>
        <w:t xml:space="preserve">、企业业绩</w:t>
      </w:r>
      <w:r/>
    </w:p>
    <w:p>
      <w:pPr>
        <w:spacing w:line="360" w:lineRule="auto"/>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十、实施方案</w:t>
      </w:r>
      <w:r/>
    </w:p>
    <w:p>
      <w:pPr>
        <w:spacing w:line="360" w:lineRule="auto"/>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lang w:val="en-US" w:eastAsia="zh-CN"/>
        </w:rPr>
        <w:t xml:space="preserve">十一、</w:t>
      </w:r>
      <w:r>
        <w:rPr>
          <w:rFonts w:hint="eastAsia" w:ascii="新宋体" w:hAnsi="新宋体" w:eastAsia="新宋体" w:cs="新宋体"/>
          <w:color w:val="auto"/>
          <w:sz w:val="24"/>
          <w:szCs w:val="24"/>
          <w:highlight w:val="none"/>
        </w:rPr>
        <w:t xml:space="preserve">磋商所需其他材料</w:t>
      </w:r>
      <w:r/>
    </w:p>
    <w:p>
      <w:pPr>
        <w:spacing w:line="360" w:lineRule="auto"/>
        <w:rPr>
          <w:rFonts w:hint="eastAsia" w:ascii="新宋体" w:hAnsi="新宋体" w:eastAsia="新宋体" w:cs="新宋体"/>
          <w:color w:val="auto"/>
          <w:sz w:val="24"/>
          <w:szCs w:val="24"/>
          <w:highlight w:val="none"/>
          <w:lang w:val="en-US" w:eastAsia="zh-CN"/>
        </w:rPr>
      </w:pPr>
      <w:r>
        <w:rPr>
          <w:rFonts w:hint="eastAsia" w:ascii="新宋体" w:hAnsi="新宋体" w:eastAsia="新宋体" w:cs="新宋体"/>
          <w:color w:val="auto"/>
          <w:sz w:val="24"/>
          <w:szCs w:val="24"/>
          <w:highlight w:val="none"/>
          <w:lang w:val="en-US" w:eastAsia="zh-CN"/>
        </w:rPr>
        <w:t xml:space="preserve">十二、联合体协议书</w:t>
      </w:r>
      <w:r/>
    </w:p>
    <w:p>
      <w:pPr>
        <w:spacing w:line="360" w:lineRule="auto"/>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r>
      <w:r/>
    </w:p>
    <w:p>
      <w:pPr>
        <w:ind w:firstLine="480"/>
        <w:spacing w:line="44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r>
      <w:r/>
    </w:p>
    <w:p>
      <w:pPr>
        <w:ind w:firstLine="480"/>
        <w:spacing w:line="44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r>
      <w:r/>
    </w:p>
    <w:p>
      <w:pPr>
        <w:ind w:firstLine="480"/>
        <w:spacing w:line="44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r>
      <w:r/>
    </w:p>
    <w:p>
      <w:pPr>
        <w:ind w:firstLine="480"/>
        <w:spacing w:line="44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r>
      <w:r/>
    </w:p>
    <w:p>
      <w:pPr>
        <w:ind w:firstLine="480"/>
        <w:spacing w:line="44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r>
      <w:r/>
    </w:p>
    <w:p>
      <w:pPr>
        <w:ind w:firstLine="480"/>
        <w:spacing w:line="44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r>
      <w:r/>
    </w:p>
    <w:p>
      <w:pPr>
        <w:ind w:firstLine="480"/>
        <w:spacing w:line="44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r>
      <w:r/>
    </w:p>
    <w:p>
      <w:pPr>
        <w:ind w:firstLine="480"/>
        <w:spacing w:line="44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r>
      <w:r/>
    </w:p>
    <w:p>
      <w:pPr>
        <w:ind w:firstLine="480"/>
        <w:spacing w:line="44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r>
      <w:r/>
    </w:p>
    <w:p>
      <w:pPr>
        <w:ind w:firstLine="480"/>
        <w:spacing w:line="44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r>
      <w:r/>
    </w:p>
    <w:p>
      <w:pPr>
        <w:ind w:firstLine="480"/>
        <w:spacing w:line="44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r>
      <w:r/>
    </w:p>
    <w:p>
      <w:pPr>
        <w:ind w:firstLine="480"/>
        <w:spacing w:line="44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r>
      <w:r/>
    </w:p>
    <w:p>
      <w:pPr>
        <w:ind w:firstLine="480"/>
        <w:spacing w:line="44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r>
      <w:r/>
    </w:p>
    <w:p>
      <w:pPr>
        <w:ind w:firstLine="480"/>
        <w:spacing w:line="44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r>
      <w:r/>
    </w:p>
    <w:p>
      <w:pPr>
        <w:spacing w:line="44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r>
      <w:r/>
    </w:p>
    <w:p>
      <w:pPr>
        <w:rPr>
          <w:rFonts w:hint="eastAsia" w:ascii="新宋体" w:hAnsi="新宋体" w:eastAsia="新宋体" w:cs="新宋体"/>
          <w:b/>
          <w:bCs/>
          <w:color w:val="auto"/>
          <w:sz w:val="24"/>
          <w:szCs w:val="24"/>
          <w:highlight w:val="none"/>
        </w:rPr>
      </w:pPr>
      <w:r>
        <w:rPr>
          <w:rFonts w:hint="eastAsia" w:ascii="新宋体" w:hAnsi="新宋体" w:eastAsia="新宋体" w:cs="新宋体"/>
          <w:b/>
          <w:bCs/>
          <w:color w:val="auto"/>
          <w:sz w:val="24"/>
          <w:szCs w:val="24"/>
          <w:highlight w:val="none"/>
        </w:rPr>
        <w:br w:type="page" w:clear="all"/>
      </w:r>
      <w:r/>
    </w:p>
    <w:p>
      <w:pPr>
        <w:pStyle w:val="669"/>
        <w:ind w:firstLine="320"/>
        <w:spacing w:before="0" w:after="0" w:line="520" w:lineRule="exact"/>
        <w:rPr>
          <w:rFonts w:hint="eastAsia" w:ascii="新宋体" w:hAnsi="新宋体" w:eastAsia="新宋体" w:cs="新宋体"/>
          <w:b/>
          <w:bCs/>
          <w:color w:val="auto"/>
          <w:sz w:val="24"/>
          <w:szCs w:val="24"/>
          <w:highlight w:val="none"/>
        </w:rPr>
        <w:outlineLvl w:val="1"/>
      </w:pPr>
      <w:r/>
      <w:bookmarkStart w:id="107" w:name="_Toc4502"/>
      <w:r>
        <w:rPr>
          <w:rFonts w:hint="eastAsia" w:ascii="新宋体" w:hAnsi="新宋体" w:eastAsia="新宋体" w:cs="新宋体"/>
          <w:b/>
          <w:bCs/>
          <w:color w:val="auto"/>
          <w:sz w:val="24"/>
          <w:szCs w:val="24"/>
          <w:highlight w:val="none"/>
        </w:rPr>
        <w:t xml:space="preserve">一、磋商响应函</w:t>
      </w:r>
      <w:bookmarkEnd w:id="107"/>
      <w:r/>
      <w:r/>
    </w:p>
    <w:p>
      <w:pPr>
        <w:pStyle w:val="1283"/>
        <w:jc w:val="center"/>
        <w:rPr>
          <w:rFonts w:hint="eastAsia" w:ascii="新宋体" w:hAnsi="新宋体" w:eastAsia="新宋体" w:cs="新宋体"/>
          <w:b/>
          <w:color w:val="auto"/>
          <w:sz w:val="24"/>
          <w:szCs w:val="24"/>
          <w:highlight w:val="none"/>
        </w:rPr>
      </w:pPr>
      <w:r>
        <w:rPr>
          <w:rFonts w:hint="eastAsia" w:ascii="新宋体" w:hAnsi="新宋体" w:eastAsia="新宋体" w:cs="新宋体"/>
          <w:b/>
          <w:color w:val="auto"/>
          <w:sz w:val="24"/>
          <w:szCs w:val="24"/>
          <w:highlight w:val="none"/>
        </w:rPr>
      </w:r>
      <w:r/>
    </w:p>
    <w:p>
      <w:pPr>
        <w:pStyle w:val="1283"/>
        <w:jc w:val="center"/>
        <w:rPr>
          <w:rFonts w:hint="eastAsia" w:ascii="新宋体" w:hAnsi="新宋体" w:eastAsia="新宋体" w:cs="新宋体"/>
          <w:b/>
          <w:color w:val="auto"/>
          <w:sz w:val="24"/>
          <w:szCs w:val="24"/>
          <w:highlight w:val="none"/>
        </w:rPr>
      </w:pPr>
      <w:r>
        <w:rPr>
          <w:rFonts w:hint="eastAsia" w:ascii="新宋体" w:hAnsi="新宋体" w:eastAsia="新宋体" w:cs="新宋体"/>
          <w:b/>
          <w:color w:val="auto"/>
          <w:sz w:val="24"/>
          <w:szCs w:val="24"/>
          <w:highlight w:val="none"/>
        </w:rPr>
        <w:t xml:space="preserve">磋商响应函</w:t>
      </w:r>
      <w:r/>
    </w:p>
    <w:p>
      <w:pPr>
        <w:pStyle w:val="1283"/>
        <w:jc w:val="left"/>
        <w:spacing w:line="50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u w:val="single"/>
          <w:lang w:eastAsia="zh-CN"/>
        </w:rPr>
        <w:t xml:space="preserve">宿迁市宿城区市场监督管理局</w:t>
      </w:r>
      <w:r>
        <w:rPr>
          <w:rFonts w:hint="eastAsia" w:ascii="新宋体" w:hAnsi="新宋体" w:eastAsia="新宋体" w:cs="新宋体"/>
          <w:color w:val="auto"/>
          <w:sz w:val="24"/>
          <w:szCs w:val="24"/>
          <w:highlight w:val="none"/>
        </w:rPr>
        <w:t xml:space="preserve">：</w:t>
      </w:r>
      <w:r/>
    </w:p>
    <w:p>
      <w:pPr>
        <w:pStyle w:val="1283"/>
        <w:ind w:firstLine="480"/>
        <w:jc w:val="left"/>
        <w:spacing w:line="50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根据</w:t>
      </w:r>
      <w:r>
        <w:rPr>
          <w:rFonts w:hint="eastAsia" w:ascii="新宋体" w:hAnsi="新宋体" w:eastAsia="新宋体" w:cs="新宋体"/>
          <w:color w:val="auto"/>
          <w:sz w:val="24"/>
          <w:szCs w:val="24"/>
          <w:highlight w:val="none"/>
          <w:lang w:val="en-US" w:eastAsia="zh-CN"/>
        </w:rPr>
        <w:t xml:space="preserve">编号</w:t>
      </w:r>
      <w:r>
        <w:rPr>
          <w:rFonts w:hint="eastAsia" w:ascii="新宋体" w:hAnsi="新宋体" w:eastAsia="新宋体" w:cs="新宋体"/>
          <w:color w:val="auto"/>
          <w:sz w:val="24"/>
          <w:szCs w:val="24"/>
          <w:highlight w:val="none"/>
          <w:u w:val="single"/>
          <w:lang w:val="en-US" w:eastAsia="zh-CN"/>
        </w:rPr>
        <w:t xml:space="preserve">                </w:t>
      </w:r>
      <w:r>
        <w:rPr>
          <w:rFonts w:hint="eastAsia" w:ascii="新宋体" w:hAnsi="新宋体" w:eastAsia="新宋体" w:cs="新宋体"/>
          <w:color w:val="auto"/>
          <w:sz w:val="24"/>
          <w:szCs w:val="24"/>
          <w:highlight w:val="none"/>
        </w:rPr>
        <w:t xml:space="preserve">的</w:t>
      </w:r>
      <w:r>
        <w:rPr>
          <w:rFonts w:hint="eastAsia" w:ascii="新宋体" w:hAnsi="新宋体" w:eastAsia="新宋体" w:cs="新宋体"/>
          <w:color w:val="auto"/>
          <w:sz w:val="24"/>
          <w:szCs w:val="24"/>
          <w:highlight w:val="none"/>
          <w:u w:val="single"/>
          <w:lang w:eastAsia="zh-CN"/>
        </w:rPr>
        <w:t xml:space="preserve">宿城区2026年工业产品质量监督抽查服务采购项目</w:t>
      </w:r>
      <w:r>
        <w:rPr>
          <w:rFonts w:hint="eastAsia" w:ascii="新宋体" w:hAnsi="新宋体" w:eastAsia="新宋体" w:cs="新宋体"/>
          <w:color w:val="auto"/>
          <w:sz w:val="24"/>
          <w:szCs w:val="24"/>
          <w:highlight w:val="none"/>
        </w:rPr>
        <w:t xml:space="preserve">竞争性磋商文件，我方在参加本项目竞争性磋商活动中，特做出如下承诺：</w:t>
      </w:r>
      <w:r/>
    </w:p>
    <w:p>
      <w:pPr>
        <w:pStyle w:val="1283"/>
        <w:ind w:firstLine="480"/>
        <w:jc w:val="left"/>
        <w:spacing w:line="50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一、我方具备《中华人民共和国政府采购法》第二十二条第一款规定的6项条件；</w:t>
      </w:r>
      <w:r/>
    </w:p>
    <w:p>
      <w:pPr>
        <w:pStyle w:val="1283"/>
        <w:ind w:firstLine="480"/>
        <w:jc w:val="left"/>
        <w:spacing w:line="50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二、我方在参加政府采购活动前三年内（自本项目磋商时间之日起计算），在经营活动中没有重大违法记录（指因违法经营受到刑事处罚或者责令停产停业、吊销许可证或者执照、较大数额罚款等行政处罚）。</w:t>
      </w:r>
      <w:r/>
    </w:p>
    <w:p>
      <w:pPr>
        <w:pStyle w:val="1283"/>
        <w:ind w:firstLine="480"/>
        <w:jc w:val="left"/>
        <w:spacing w:line="50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三、我方按磋商文件要求提交响应文件，响应磋商文件规定的响应有效期；</w:t>
      </w:r>
      <w:r/>
    </w:p>
    <w:p>
      <w:pPr>
        <w:pStyle w:val="1283"/>
        <w:ind w:firstLine="480"/>
        <w:jc w:val="left"/>
        <w:spacing w:line="50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四、如果我方的响应文件被接受，我方将按《中华人民共和国民法典（第三编合同）》及其他有关法律、法规的规定，按期、按质、按量交付采购单位，全面做到履约守信；</w:t>
      </w:r>
      <w:r/>
    </w:p>
    <w:p>
      <w:pPr>
        <w:pStyle w:val="1283"/>
        <w:ind w:firstLine="480"/>
        <w:jc w:val="left"/>
        <w:spacing w:line="50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五、我方若违背本声明及承诺约定，经查实，自愿接受采购人及相关主管部门相应的规定处理，并依法承担相应的法律责任。</w:t>
      </w:r>
      <w:r/>
    </w:p>
    <w:p>
      <w:pPr>
        <w:pStyle w:val="1283"/>
        <w:ind w:firstLine="480"/>
        <w:jc w:val="left"/>
        <w:spacing w:line="50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六、我方同意采购人、采购代理机构将本函上网公开。</w:t>
      </w:r>
      <w:r/>
    </w:p>
    <w:p>
      <w:pPr>
        <w:pStyle w:val="1283"/>
        <w:ind w:firstLine="480"/>
        <w:jc w:val="left"/>
        <w:spacing w:line="50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r>
      <w:r/>
    </w:p>
    <w:p>
      <w:pPr>
        <w:pStyle w:val="1283"/>
        <w:ind w:firstLine="480"/>
        <w:jc w:val="left"/>
        <w:spacing w:line="50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r>
      <w:r/>
    </w:p>
    <w:p>
      <w:pPr>
        <w:pStyle w:val="1283"/>
        <w:ind w:firstLine="480"/>
        <w:jc w:val="left"/>
        <w:spacing w:line="50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供应商名称： （盖CA电子公章）</w:t>
      </w:r>
      <w:r/>
    </w:p>
    <w:p>
      <w:pPr>
        <w:pStyle w:val="1283"/>
        <w:ind w:firstLine="480"/>
        <w:jc w:val="left"/>
        <w:spacing w:line="50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日期：    年    月   日</w:t>
      </w:r>
      <w:r/>
    </w:p>
    <w:p>
      <w:pPr>
        <w:ind w:firstLine="480"/>
        <w:spacing w:line="44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r>
      <w:r/>
    </w:p>
    <w:p>
      <w:pPr>
        <w:spacing w:line="44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r>
      <w:r/>
    </w:p>
    <w:p>
      <w:pPr>
        <w:rPr>
          <w:rFonts w:hint="eastAsia" w:ascii="新宋体" w:hAnsi="新宋体" w:eastAsia="新宋体" w:cs="新宋体"/>
          <w:b/>
          <w:bCs/>
          <w:color w:val="auto"/>
          <w:sz w:val="24"/>
          <w:szCs w:val="24"/>
          <w:highlight w:val="none"/>
        </w:rPr>
      </w:pPr>
      <w:r/>
      <w:bookmarkStart w:id="108" w:name="_Toc120614284"/>
      <w:r>
        <w:rPr>
          <w:rFonts w:hint="eastAsia" w:ascii="新宋体" w:hAnsi="新宋体" w:eastAsia="新宋体" w:cs="新宋体"/>
          <w:b/>
          <w:bCs/>
          <w:color w:val="auto"/>
          <w:sz w:val="24"/>
          <w:szCs w:val="24"/>
          <w:highlight w:val="none"/>
        </w:rPr>
        <w:br w:type="page" w:clear="all"/>
      </w:r>
      <w:r/>
    </w:p>
    <w:p>
      <w:pPr>
        <w:pStyle w:val="669"/>
        <w:ind w:firstLine="320"/>
        <w:spacing w:before="0" w:after="0" w:line="520" w:lineRule="exact"/>
        <w:rPr>
          <w:rFonts w:hint="eastAsia" w:ascii="新宋体" w:hAnsi="新宋体" w:eastAsia="新宋体" w:cs="新宋体"/>
          <w:b/>
          <w:bCs/>
          <w:color w:val="auto"/>
          <w:sz w:val="24"/>
          <w:szCs w:val="24"/>
          <w:highlight w:val="none"/>
        </w:rPr>
        <w:outlineLvl w:val="1"/>
      </w:pPr>
      <w:r/>
      <w:bookmarkStart w:id="109" w:name="_Toc1803"/>
      <w:r>
        <w:rPr>
          <w:rFonts w:hint="eastAsia" w:ascii="新宋体" w:hAnsi="新宋体" w:eastAsia="新宋体" w:cs="新宋体"/>
          <w:b/>
          <w:bCs/>
          <w:color w:val="auto"/>
          <w:sz w:val="24"/>
          <w:szCs w:val="24"/>
          <w:highlight w:val="none"/>
        </w:rPr>
        <w:t xml:space="preserve">二、法人授权书</w:t>
      </w:r>
      <w:bookmarkEnd w:id="109"/>
      <w:r/>
      <w:r/>
    </w:p>
    <w:p>
      <w:pPr>
        <w:pStyle w:val="1288"/>
        <w:jc w:val="center"/>
        <w:widowControl w:val="off"/>
        <w:rPr>
          <w:rFonts w:hint="eastAsia" w:ascii="新宋体" w:hAnsi="新宋体" w:eastAsia="新宋体" w:cs="新宋体"/>
          <w:b w:val="0"/>
          <w:bCs/>
          <w:color w:val="auto"/>
          <w:sz w:val="24"/>
          <w:szCs w:val="24"/>
          <w:highlight w:val="none"/>
        </w:rPr>
      </w:pPr>
      <w:r>
        <w:rPr>
          <w:rFonts w:hint="eastAsia" w:ascii="新宋体" w:hAnsi="新宋体" w:eastAsia="新宋体" w:cs="新宋体"/>
          <w:b w:val="0"/>
          <w:bCs/>
          <w:color w:val="auto"/>
          <w:sz w:val="24"/>
          <w:szCs w:val="24"/>
          <w:highlight w:val="none"/>
        </w:rPr>
        <w:t xml:space="preserve">法人授权书</w:t>
      </w:r>
      <w:r/>
    </w:p>
    <w:p>
      <w:pPr>
        <w:pStyle w:val="1283"/>
        <w:jc w:val="left"/>
        <w:spacing w:line="50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r>
      <w:r/>
    </w:p>
    <w:p>
      <w:pPr>
        <w:pStyle w:val="1283"/>
        <w:ind w:firstLine="480"/>
        <w:jc w:val="left"/>
        <w:spacing w:line="50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本授权书声明：____________（供应商名称）授权________________（被授权人的姓名）为我方就</w:t>
      </w:r>
      <w:r>
        <w:rPr>
          <w:rFonts w:hint="eastAsia" w:ascii="新宋体" w:hAnsi="新宋体" w:eastAsia="新宋体" w:cs="新宋体"/>
          <w:color w:val="auto"/>
          <w:sz w:val="24"/>
          <w:szCs w:val="24"/>
          <w:highlight w:val="none"/>
          <w:u w:val="single"/>
          <w:lang w:val="en-US" w:eastAsia="zh-CN"/>
        </w:rPr>
        <w:t xml:space="preserve">       </w:t>
      </w:r>
      <w:r>
        <w:rPr>
          <w:rFonts w:hint="eastAsia" w:ascii="新宋体" w:hAnsi="新宋体" w:eastAsia="新宋体" w:cs="新宋体"/>
          <w:color w:val="auto"/>
          <w:sz w:val="24"/>
          <w:szCs w:val="24"/>
          <w:highlight w:val="none"/>
        </w:rPr>
        <w:t xml:space="preserve">号</w:t>
      </w:r>
      <w:r>
        <w:rPr>
          <w:rFonts w:hint="eastAsia" w:ascii="新宋体" w:hAnsi="新宋体" w:eastAsia="新宋体" w:cs="新宋体"/>
          <w:color w:val="auto"/>
          <w:sz w:val="24"/>
          <w:szCs w:val="24"/>
          <w:highlight w:val="none"/>
          <w:u w:val="single"/>
          <w:lang w:eastAsia="zh-CN"/>
        </w:rPr>
        <w:t xml:space="preserve">宿城区2026年工业产品质量监督抽查服务采购项目</w:t>
      </w:r>
      <w:r>
        <w:rPr>
          <w:rFonts w:hint="eastAsia" w:ascii="新宋体" w:hAnsi="新宋体" w:eastAsia="新宋体" w:cs="新宋体"/>
          <w:color w:val="auto"/>
          <w:sz w:val="24"/>
          <w:szCs w:val="24"/>
          <w:highlight w:val="none"/>
        </w:rPr>
        <w:t xml:space="preserve">采购活动的合法代理人，以本单位名义全权处理一切与该项目采购有关的事务。</w:t>
      </w:r>
      <w:r/>
    </w:p>
    <w:p>
      <w:pPr>
        <w:pStyle w:val="1283"/>
        <w:ind w:firstLine="480"/>
        <w:jc w:val="left"/>
        <w:spacing w:line="50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本授权书于______年____月____日起生效，特此声明。</w:t>
      </w:r>
      <w:r/>
    </w:p>
    <w:p>
      <w:pPr>
        <w:pStyle w:val="1283"/>
        <w:ind w:firstLine="480"/>
        <w:jc w:val="left"/>
        <w:spacing w:line="50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r>
      <w:r/>
    </w:p>
    <w:p>
      <w:pPr>
        <w:pStyle w:val="1283"/>
        <w:ind w:firstLine="480"/>
        <w:jc w:val="left"/>
        <w:spacing w:line="50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被授权人身份证号码：</w:t>
      </w:r>
      <w:r/>
    </w:p>
    <w:p>
      <w:pPr>
        <w:pStyle w:val="1283"/>
        <w:ind w:firstLine="480"/>
        <w:jc w:val="left"/>
        <w:spacing w:line="50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被授权人联系电话：（手机）</w:t>
      </w:r>
      <w:r/>
    </w:p>
    <w:p>
      <w:pPr>
        <w:pStyle w:val="1283"/>
        <w:ind w:firstLine="480"/>
        <w:jc w:val="left"/>
        <w:spacing w:line="50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授权单位名称：（盖CA电子公章）</w:t>
      </w:r>
      <w:r/>
    </w:p>
    <w:p>
      <w:pPr>
        <w:pStyle w:val="1283"/>
        <w:ind w:firstLine="480"/>
        <w:jc w:val="left"/>
        <w:spacing w:line="50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单位地址：</w:t>
      </w:r>
      <w:r/>
    </w:p>
    <w:p>
      <w:pPr>
        <w:pStyle w:val="1283"/>
        <w:ind w:firstLine="480"/>
        <w:jc w:val="left"/>
        <w:spacing w:line="50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日期：</w:t>
      </w:r>
      <w:bookmarkStart w:id="110" w:name="_格式3__银行出具的资信证明"/>
      <w:r/>
      <w:bookmarkEnd w:id="110"/>
      <w:r/>
      <w:bookmarkStart w:id="111" w:name="_Hlt26671380"/>
      <w:r/>
      <w:bookmarkEnd w:id="111"/>
      <w:r/>
      <w:bookmarkStart w:id="112" w:name="_Hlt26955070"/>
      <w:r/>
      <w:bookmarkEnd w:id="112"/>
      <w:r/>
      <w:r/>
    </w:p>
    <w:p>
      <w:pPr>
        <w:spacing w:line="500" w:lineRule="exact"/>
        <w:rPr>
          <w:rFonts w:hint="eastAsia" w:ascii="新宋体" w:hAnsi="新宋体" w:eastAsia="新宋体" w:cs="新宋体"/>
          <w:bCs/>
          <w:color w:val="auto"/>
          <w:sz w:val="24"/>
          <w:szCs w:val="24"/>
          <w:highlight w:val="none"/>
        </w:rPr>
      </w:pPr>
      <w:r>
        <w:rPr>
          <w:rFonts w:hint="eastAsia" w:ascii="新宋体" w:hAnsi="新宋体" w:eastAsia="新宋体" w:cs="新宋体"/>
          <w:bCs/>
          <w:color w:val="auto"/>
          <w:sz w:val="24"/>
          <w:szCs w:val="24"/>
          <w:highlight w:val="none"/>
        </w:rPr>
      </w:r>
      <w:r/>
    </w:p>
    <w:p>
      <w:pPr>
        <w:ind w:firstLine="480"/>
        <w:tabs>
          <w:tab w:val="left" w:pos="360" w:leader="none"/>
        </w:tabs>
        <w:rPr>
          <w:rFonts w:hint="eastAsia" w:ascii="新宋体" w:hAnsi="新宋体" w:eastAsia="新宋体" w:cs="新宋体"/>
          <w:color w:val="auto"/>
          <w:sz w:val="24"/>
          <w:szCs w:val="24"/>
          <w:highlight w:val="none"/>
          <w:u w:val="single"/>
        </w:rPr>
      </w:pPr>
      <w:r>
        <w:rPr>
          <w:rFonts w:hint="eastAsia" w:ascii="新宋体" w:hAnsi="新宋体" w:eastAsia="新宋体" w:cs="新宋体"/>
          <w:color w:val="auto"/>
          <w:sz w:val="24"/>
          <w:szCs w:val="24"/>
          <w:highlight w:val="none"/>
          <w:u w:val="single"/>
        </w:rPr>
      </w:r>
      <w:r/>
    </w:p>
    <w:p>
      <w:pPr>
        <w:ind w:firstLine="480"/>
        <w:tabs>
          <w:tab w:val="left" w:pos="360" w:leader="none"/>
        </w:tabs>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r>
      <w:r/>
    </w:p>
    <w:p>
      <w:pPr>
        <w:ind w:firstLine="420"/>
        <w:rPr>
          <w:rFonts w:hint="eastAsia" w:ascii="新宋体" w:hAnsi="新宋体" w:eastAsia="新宋体" w:cs="新宋体"/>
          <w:i/>
          <w:color w:val="auto"/>
          <w:sz w:val="24"/>
          <w:szCs w:val="24"/>
          <w:highlight w:val="none"/>
          <w:u w:val="single"/>
        </w:rPr>
      </w:pPr>
      <w:r>
        <w:rPr>
          <w:rFonts w:hint="eastAsia" w:ascii="新宋体" w:hAnsi="新宋体" w:eastAsia="新宋体" w:cs="新宋体"/>
          <w:i/>
          <w:color w:val="auto"/>
          <w:sz w:val="24"/>
          <w:szCs w:val="24"/>
          <w:highlight w:val="none"/>
          <w:u w:val="single"/>
        </w:rPr>
      </w:r>
      <w:r/>
    </w:p>
    <w:p>
      <w:pPr>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r>
      <w:r/>
    </w:p>
    <w:p>
      <w:pPr>
        <w:jc w:val="left"/>
        <w:spacing w:line="560" w:lineRule="exact"/>
        <w:rPr>
          <w:rFonts w:hint="eastAsia" w:ascii="新宋体" w:hAnsi="新宋体" w:eastAsia="新宋体" w:cs="新宋体"/>
          <w:b/>
          <w:color w:val="auto"/>
          <w:sz w:val="24"/>
          <w:szCs w:val="24"/>
          <w:highlight w:val="none"/>
        </w:rPr>
      </w:pPr>
      <w:r>
        <w:rPr>
          <w:rFonts w:hint="eastAsia" w:ascii="新宋体" w:hAnsi="新宋体" w:eastAsia="新宋体" w:cs="新宋体"/>
          <w:b/>
          <w:color w:val="auto"/>
          <w:sz w:val="24"/>
          <w:szCs w:val="24"/>
          <w:highlight w:val="none"/>
        </w:rPr>
      </w:r>
      <w:r/>
    </w:p>
    <w:p>
      <w:pPr>
        <w:jc w:val="left"/>
        <w:spacing w:line="56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r>
      <w:r/>
    </w:p>
    <w:p>
      <w:pPr>
        <w:jc w:val="center"/>
        <w:spacing w:line="460" w:lineRule="exact"/>
        <w:rPr>
          <w:rFonts w:hint="eastAsia" w:ascii="新宋体" w:hAnsi="新宋体" w:eastAsia="新宋体" w:cs="新宋体"/>
          <w:b/>
          <w:color w:val="auto"/>
          <w:sz w:val="24"/>
          <w:szCs w:val="24"/>
          <w:highlight w:val="none"/>
        </w:rPr>
      </w:pPr>
      <w:r>
        <w:rPr>
          <w:rFonts w:hint="eastAsia" w:ascii="新宋体" w:hAnsi="新宋体" w:eastAsia="新宋体" w:cs="新宋体"/>
          <w:b/>
          <w:color w:val="auto"/>
          <w:sz w:val="24"/>
          <w:szCs w:val="24"/>
          <w:highlight w:val="none"/>
        </w:rPr>
      </w:r>
      <w:r/>
    </w:p>
    <w:p>
      <w:pPr>
        <w:jc w:val="center"/>
        <w:spacing w:line="460" w:lineRule="exact"/>
        <w:rPr>
          <w:rFonts w:hint="eastAsia" w:ascii="新宋体" w:hAnsi="新宋体" w:eastAsia="新宋体" w:cs="新宋体"/>
          <w:b/>
          <w:color w:val="auto"/>
          <w:sz w:val="24"/>
          <w:szCs w:val="24"/>
          <w:highlight w:val="none"/>
        </w:rPr>
      </w:pPr>
      <w:r>
        <w:rPr>
          <w:rFonts w:hint="eastAsia" w:ascii="新宋体" w:hAnsi="新宋体" w:eastAsia="新宋体" w:cs="新宋体"/>
          <w:b/>
          <w:color w:val="auto"/>
          <w:sz w:val="24"/>
          <w:szCs w:val="24"/>
          <w:highlight w:val="none"/>
        </w:rPr>
      </w:r>
      <w:r/>
    </w:p>
    <w:p>
      <w:pPr>
        <w:spacing w:line="460" w:lineRule="exact"/>
        <w:rPr>
          <w:rFonts w:hint="eastAsia" w:ascii="新宋体" w:hAnsi="新宋体" w:eastAsia="新宋体" w:cs="新宋体"/>
          <w:b/>
          <w:color w:val="auto"/>
          <w:sz w:val="24"/>
          <w:szCs w:val="24"/>
          <w:highlight w:val="none"/>
        </w:rPr>
      </w:pPr>
      <w:r>
        <w:rPr>
          <w:rFonts w:hint="eastAsia" w:ascii="新宋体" w:hAnsi="新宋体" w:eastAsia="新宋体" w:cs="新宋体"/>
          <w:b/>
          <w:color w:val="auto"/>
          <w:sz w:val="24"/>
          <w:szCs w:val="24"/>
          <w:highlight w:val="none"/>
        </w:rPr>
      </w:r>
      <w:r/>
    </w:p>
    <w:p>
      <w:pPr>
        <w:rPr>
          <w:rFonts w:hint="eastAsia" w:ascii="新宋体" w:hAnsi="新宋体" w:eastAsia="新宋体" w:cs="新宋体"/>
          <w:b/>
          <w:color w:val="auto"/>
          <w:sz w:val="24"/>
          <w:szCs w:val="24"/>
          <w:highlight w:val="none"/>
        </w:rPr>
      </w:pPr>
      <w:r>
        <w:rPr>
          <w:rFonts w:hint="eastAsia" w:ascii="新宋体" w:hAnsi="新宋体" w:eastAsia="新宋体" w:cs="新宋体"/>
          <w:b/>
          <w:color w:val="auto"/>
          <w:sz w:val="24"/>
          <w:szCs w:val="24"/>
          <w:highlight w:val="none"/>
        </w:rPr>
        <w:br w:type="page" w:clear="all"/>
      </w:r>
      <w:r/>
    </w:p>
    <w:p>
      <w:pPr>
        <w:pStyle w:val="669"/>
        <w:ind w:firstLine="320"/>
        <w:spacing w:before="0" w:after="0" w:line="520" w:lineRule="exact"/>
        <w:rPr>
          <w:rFonts w:hint="eastAsia" w:ascii="新宋体" w:hAnsi="新宋体" w:eastAsia="新宋体" w:cs="新宋体"/>
          <w:b/>
          <w:bCs/>
          <w:color w:val="auto"/>
          <w:sz w:val="24"/>
          <w:szCs w:val="24"/>
          <w:highlight w:val="none"/>
        </w:rPr>
        <w:outlineLvl w:val="1"/>
      </w:pPr>
      <w:r/>
      <w:bookmarkStart w:id="113" w:name="_Toc32377"/>
      <w:r>
        <w:rPr>
          <w:rFonts w:hint="eastAsia" w:ascii="新宋体" w:hAnsi="新宋体" w:eastAsia="新宋体" w:cs="新宋体"/>
          <w:b/>
          <w:bCs/>
          <w:color w:val="auto"/>
          <w:sz w:val="24"/>
          <w:szCs w:val="24"/>
          <w:highlight w:val="none"/>
        </w:rPr>
        <w:t xml:space="preserve">三、磋商报价表</w:t>
      </w:r>
      <w:bookmarkEnd w:id="113"/>
      <w:r/>
      <w:r/>
    </w:p>
    <w:p>
      <w:pPr>
        <w:spacing w:line="480" w:lineRule="exact"/>
        <w:rPr>
          <w:rFonts w:hint="eastAsia" w:ascii="新宋体" w:hAnsi="新宋体" w:eastAsia="新宋体" w:cs="新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新宋体" w:hAnsi="新宋体" w:eastAsia="新宋体" w:cs="新宋体"/>
          <w:color w:val="auto"/>
          <w:sz w:val="24"/>
          <w:szCs w:val="24"/>
          <w:highlight w:val="none"/>
        </w:rPr>
        <w:t xml:space="preserve">本次为首次报价</w:t>
      </w:r>
      <w:r/>
    </w:p>
    <w:p>
      <w:pPr>
        <w:spacing w:line="480" w:lineRule="exact"/>
        <w:rPr>
          <w:rFonts w:hint="eastAsia" w:ascii="新宋体" w:hAnsi="新宋体" w:eastAsia="新宋体" w:cs="新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新宋体" w:hAnsi="新宋体" w:eastAsia="新宋体" w:cs="新宋体"/>
          <w:color w:val="auto"/>
          <w:sz w:val="24"/>
          <w:szCs w:val="24"/>
          <w:highlight w:val="none"/>
        </w:rPr>
        <w:t xml:space="preserve">货币单位：人民币元</w:t>
      </w:r>
      <w:r/>
    </w:p>
    <w:p>
      <w:pPr>
        <w:spacing w:line="480" w:lineRule="exact"/>
        <w:rPr>
          <w:rFonts w:hint="eastAsia" w:ascii="新宋体" w:hAnsi="新宋体" w:eastAsia="新宋体" w:cs="新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新宋体" w:hAnsi="新宋体" w:eastAsia="新宋体" w:cs="新宋体"/>
          <w:color w:val="auto"/>
          <w:sz w:val="24"/>
          <w:szCs w:val="24"/>
          <w:highlight w:val="none"/>
        </w:rPr>
        <w:t xml:space="preserve">项目编号：</w:t>
      </w:r>
      <w:r/>
    </w:p>
    <w:p>
      <w:pPr>
        <w:spacing w:line="480" w:lineRule="exact"/>
        <w:rPr>
          <w:rFonts w:hint="eastAsia" w:ascii="新宋体" w:hAnsi="新宋体" w:eastAsia="新宋体" w:cs="新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新宋体" w:hAnsi="新宋体" w:eastAsia="新宋体" w:cs="新宋体"/>
          <w:color w:val="auto"/>
          <w:sz w:val="24"/>
          <w:szCs w:val="24"/>
          <w:highlight w:val="none"/>
        </w:rPr>
        <w:t xml:space="preserve">采购包号：</w:t>
      </w:r>
      <w:r/>
    </w:p>
    <w:tbl>
      <w:tblPr>
        <w:tblStyle w:val="709"/>
        <w:tblW w:w="9102"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79"/>
        <w:gridCol w:w="2200"/>
        <w:gridCol w:w="4523"/>
      </w:tblGrid>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379" w:type="dxa"/>
            <w:vAlign w:val="center"/>
            <w:textDirection w:val="lrTb"/>
            <w:noWrap w:val="false"/>
          </w:tcPr>
          <w:p>
            <w:pPr>
              <w:spacing w:line="480" w:lineRule="exact"/>
              <w:rPr>
                <w:rFonts w:hint="eastAsia" w:ascii="新宋体" w:hAnsi="新宋体" w:eastAsia="新宋体" w:cs="新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新宋体" w:hAnsi="新宋体" w:eastAsia="新宋体" w:cs="新宋体"/>
                <w:color w:val="auto"/>
                <w:sz w:val="24"/>
                <w:szCs w:val="24"/>
                <w:highlight w:val="none"/>
              </w:rPr>
              <w:t xml:space="preserve">项目名称</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200" w:type="dxa"/>
            <w:vAlign w:val="center"/>
            <w:textDirection w:val="lrTb"/>
            <w:noWrap w:val="false"/>
          </w:tcPr>
          <w:p>
            <w:pPr>
              <w:spacing w:line="480" w:lineRule="exact"/>
              <w:rPr>
                <w:rFonts w:hint="eastAsia" w:ascii="新宋体" w:hAnsi="新宋体" w:eastAsia="新宋体" w:cs="新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新宋体" w:hAnsi="新宋体" w:eastAsia="新宋体" w:cs="新宋体"/>
                <w:color w:val="auto"/>
                <w:sz w:val="24"/>
                <w:szCs w:val="24"/>
                <w:highlight w:val="none"/>
              </w:rPr>
              <w:t xml:space="preserve">项目内容</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4523" w:type="dxa"/>
            <w:vAlign w:val="center"/>
            <w:textDirection w:val="lrTb"/>
            <w:noWrap w:val="false"/>
          </w:tcPr>
          <w:p>
            <w:pPr>
              <w:spacing w:line="480" w:lineRule="exact"/>
              <w:rPr>
                <w:rFonts w:hint="eastAsia" w:ascii="新宋体" w:hAnsi="新宋体" w:eastAsia="新宋体" w:cs="新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新宋体" w:hAnsi="新宋体" w:eastAsia="新宋体" w:cs="新宋体"/>
                <w:color w:val="auto"/>
                <w:sz w:val="24"/>
                <w:szCs w:val="24"/>
                <w:highlight w:val="none"/>
              </w:rPr>
              <w:t xml:space="preserve">总价（小写）</w:t>
            </w:r>
            <w:r/>
          </w:p>
        </w:tc>
      </w:tr>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379" w:type="dxa"/>
            <w:vAlign w:val="center"/>
            <w:textDirection w:val="lrTb"/>
            <w:noWrap w:val="false"/>
          </w:tcPr>
          <w:p>
            <w:pPr>
              <w:spacing w:line="480" w:lineRule="exact"/>
              <w:rPr>
                <w:rFonts w:hint="eastAsia" w:ascii="新宋体" w:hAnsi="新宋体" w:eastAsia="新宋体" w:cs="新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新宋体" w:hAnsi="新宋体" w:eastAsia="新宋体" w:cs="新宋体"/>
                <w:color w:val="auto"/>
                <w:sz w:val="24"/>
                <w:szCs w:val="24"/>
                <w:highlight w:val="none"/>
              </w:rPr>
              <w:t xml:space="preserve">项目名称</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200" w:type="dxa"/>
            <w:vAlign w:val="center"/>
            <w:textDirection w:val="lrTb"/>
            <w:noWrap w:val="false"/>
          </w:tcPr>
          <w:p>
            <w:pPr>
              <w:spacing w:line="480" w:lineRule="exact"/>
              <w:rPr>
                <w:rFonts w:hint="eastAsia" w:ascii="新宋体" w:hAnsi="新宋体" w:eastAsia="新宋体" w:cs="新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新宋体" w:hAnsi="新宋体" w:eastAsia="新宋体" w:cs="新宋体"/>
                <w:color w:val="auto"/>
                <w:sz w:val="24"/>
                <w:szCs w:val="24"/>
                <w:highlight w:val="none"/>
              </w:rPr>
              <w:t xml:space="preserve">详见响应文件</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4523" w:type="dxa"/>
            <w:vAlign w:val="center"/>
            <w:textDirection w:val="lrTb"/>
            <w:noWrap w:val="false"/>
          </w:tcPr>
          <w:p>
            <w:pPr>
              <w:ind w:firstLine="240"/>
              <w:spacing w:line="480" w:lineRule="exact"/>
              <w:rPr>
                <w:rFonts w:hint="eastAsia" w:ascii="新宋体" w:hAnsi="新宋体" w:eastAsia="新宋体" w:cs="新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新宋体" w:hAnsi="新宋体" w:eastAsia="新宋体" w:cs="新宋体"/>
                <w:color w:val="auto"/>
                <w:sz w:val="24"/>
                <w:szCs w:val="24"/>
                <w:highlight w:val="none"/>
              </w:rPr>
              <w:t xml:space="preserve">元</w:t>
            </w:r>
            <w:r/>
          </w:p>
        </w:tc>
      </w:tr>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379" w:type="dxa"/>
            <w:vAlign w:val="center"/>
            <w:textDirection w:val="lrTb"/>
            <w:noWrap w:val="false"/>
          </w:tcPr>
          <w:p>
            <w:pPr>
              <w:spacing w:line="480" w:lineRule="exact"/>
              <w:rPr>
                <w:rFonts w:hint="eastAsia" w:ascii="新宋体" w:hAnsi="新宋体" w:eastAsia="新宋体" w:cs="新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新宋体" w:hAnsi="新宋体" w:eastAsia="新宋体" w:cs="新宋体"/>
                <w:color w:val="auto"/>
                <w:sz w:val="24"/>
                <w:szCs w:val="24"/>
                <w:highlight w:val="none"/>
              </w:rPr>
              <w:t xml:space="preserve">磋商总价（大写）</w:t>
            </w:r>
            <w:r/>
          </w:p>
        </w:tc>
        <w:tc>
          <w:tcPr>
            <w:gridSpan w:val="2"/>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6723" w:type="dxa"/>
            <w:vAlign w:val="center"/>
            <w:textDirection w:val="lrTb"/>
            <w:noWrap w:val="false"/>
          </w:tcPr>
          <w:p>
            <w:pPr>
              <w:spacing w:line="480" w:lineRule="exact"/>
              <w:rPr>
                <w:rFonts w:hint="eastAsia" w:ascii="新宋体" w:hAnsi="新宋体" w:eastAsia="新宋体" w:cs="新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新宋体" w:hAnsi="新宋体" w:eastAsia="新宋体" w:cs="新宋体"/>
                <w:color w:val="auto"/>
                <w:sz w:val="24"/>
                <w:szCs w:val="24"/>
                <w:highlight w:val="none"/>
              </w:rPr>
              <w:t xml:space="preserve">金额大写 </w:t>
            </w:r>
            <w:r/>
          </w:p>
        </w:tc>
      </w:tr>
    </w:tbl>
    <w:p>
      <w:pPr>
        <w:spacing w:line="480" w:lineRule="exact"/>
        <w:rPr>
          <w:rFonts w:hint="eastAsia" w:ascii="新宋体" w:hAnsi="新宋体" w:eastAsia="新宋体" w:cs="新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新宋体" w:hAnsi="新宋体" w:eastAsia="新宋体" w:cs="新宋体"/>
          <w:color w:val="auto"/>
          <w:sz w:val="24"/>
          <w:szCs w:val="24"/>
          <w:highlight w:val="none"/>
        </w:rPr>
        <w:t xml:space="preserve">供应商（CA电子签章）：</w:t>
      </w:r>
      <w:r/>
    </w:p>
    <w:p>
      <w:pPr>
        <w:spacing w:line="480" w:lineRule="exact"/>
        <w:rPr>
          <w:rFonts w:hint="eastAsia" w:ascii="新宋体" w:hAnsi="新宋体" w:eastAsia="新宋体" w:cs="新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新宋体" w:hAnsi="新宋体" w:eastAsia="新宋体" w:cs="新宋体"/>
          <w:color w:val="auto"/>
          <w:sz w:val="24"/>
          <w:szCs w:val="24"/>
          <w:highlight w:val="none"/>
        </w:rPr>
        <w:t xml:space="preserve">供应商名称</w:t>
      </w:r>
      <w:r/>
    </w:p>
    <w:p>
      <w:pPr>
        <w:spacing w:line="480" w:lineRule="exact"/>
        <w:rPr>
          <w:rFonts w:hint="eastAsia" w:ascii="新宋体" w:hAnsi="新宋体" w:eastAsia="新宋体" w:cs="新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新宋体" w:hAnsi="新宋体" w:eastAsia="新宋体" w:cs="新宋体"/>
          <w:color w:val="auto"/>
          <w:sz w:val="24"/>
          <w:szCs w:val="24"/>
          <w:highlight w:val="none"/>
        </w:rPr>
        <w:t xml:space="preserve">日期：   年   月   日</w:t>
      </w:r>
      <w:r/>
    </w:p>
    <w:p>
      <w:pPr>
        <w:spacing w:line="480" w:lineRule="exact"/>
        <w:rPr>
          <w:rFonts w:hint="eastAsia" w:ascii="新宋体" w:hAnsi="新宋体" w:eastAsia="新宋体" w:cs="新宋体"/>
          <w:b/>
          <w:color w:val="auto"/>
          <w:sz w:val="24"/>
          <w:szCs w:val="24"/>
          <w:highlight w:val="none"/>
        </w:rPr>
      </w:pPr>
      <w:r>
        <w:rPr>
          <w:rFonts w:hint="eastAsia" w:ascii="新宋体" w:hAnsi="新宋体" w:eastAsia="新宋体" w:cs="新宋体"/>
          <w:b/>
          <w:color w:val="auto"/>
          <w:sz w:val="24"/>
          <w:szCs w:val="24"/>
          <w:highlight w:val="none"/>
        </w:rPr>
      </w:r>
      <w:r/>
    </w:p>
    <w:p>
      <w:pPr>
        <w:spacing w:line="460" w:lineRule="exact"/>
        <w:rPr>
          <w:rFonts w:hint="eastAsia" w:ascii="新宋体" w:hAnsi="新宋体" w:eastAsia="新宋体" w:cs="新宋体"/>
          <w:b/>
          <w:color w:val="auto"/>
          <w:sz w:val="24"/>
          <w:szCs w:val="24"/>
          <w:highlight w:val="none"/>
        </w:rPr>
      </w:pPr>
      <w:r>
        <w:rPr>
          <w:rFonts w:hint="eastAsia" w:ascii="新宋体" w:hAnsi="新宋体" w:eastAsia="新宋体" w:cs="新宋体"/>
          <w:b/>
          <w:color w:val="auto"/>
          <w:sz w:val="24"/>
          <w:szCs w:val="24"/>
          <w:highlight w:val="none"/>
        </w:rPr>
      </w:r>
      <w:r/>
    </w:p>
    <w:p>
      <w:pPr>
        <w:rPr>
          <w:rFonts w:hint="eastAsia" w:ascii="新宋体" w:hAnsi="新宋体" w:eastAsia="新宋体" w:cs="新宋体"/>
          <w:b/>
          <w:color w:val="auto"/>
          <w:sz w:val="24"/>
          <w:szCs w:val="24"/>
          <w:highlight w:val="none"/>
        </w:rPr>
      </w:pPr>
      <w:r>
        <w:rPr>
          <w:rFonts w:hint="eastAsia" w:ascii="新宋体" w:hAnsi="新宋体" w:eastAsia="新宋体" w:cs="新宋体"/>
          <w:b/>
          <w:color w:val="auto"/>
          <w:sz w:val="24"/>
          <w:szCs w:val="24"/>
          <w:highlight w:val="none"/>
        </w:rPr>
        <w:br w:type="page" w:clear="all"/>
      </w:r>
      <w:r/>
    </w:p>
    <w:p>
      <w:pPr>
        <w:pStyle w:val="669"/>
        <w:ind w:firstLine="320"/>
        <w:spacing w:before="0" w:after="0" w:line="520" w:lineRule="exact"/>
        <w:rPr>
          <w:rFonts w:hint="eastAsia" w:ascii="新宋体" w:hAnsi="新宋体" w:eastAsia="新宋体" w:cs="新宋体"/>
          <w:b/>
          <w:bCs/>
          <w:color w:val="auto"/>
          <w:sz w:val="24"/>
          <w:szCs w:val="24"/>
          <w:highlight w:val="none"/>
        </w:rPr>
        <w:outlineLvl w:val="1"/>
      </w:pPr>
      <w:r/>
      <w:bookmarkStart w:id="114" w:name="_Toc23290"/>
      <w:r>
        <w:rPr>
          <w:rFonts w:hint="eastAsia" w:ascii="新宋体" w:hAnsi="新宋体" w:eastAsia="新宋体" w:cs="新宋体"/>
          <w:b/>
          <w:bCs/>
          <w:color w:val="auto"/>
          <w:sz w:val="24"/>
          <w:szCs w:val="24"/>
          <w:highlight w:val="none"/>
        </w:rPr>
        <w:t xml:space="preserve">四、分项报价表</w:t>
      </w:r>
      <w:bookmarkEnd w:id="114"/>
      <w:r/>
      <w:r/>
    </w:p>
    <w:tbl>
      <w:tblPr>
        <w:tblStyle w:val="678"/>
        <w:tblW w:w="9399" w:type="dxa"/>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6"/>
        <w:gridCol w:w="1673"/>
        <w:gridCol w:w="1511"/>
        <w:gridCol w:w="1099"/>
        <w:gridCol w:w="1478"/>
        <w:gridCol w:w="1642"/>
        <w:gridCol w:w="1130"/>
      </w:tblGrid>
      <w:tr>
        <w:trPr>
          <w:cantSplit/>
          <w:trHeight w:val="555"/>
        </w:trPr>
        <w:tc>
          <w:tcPr>
            <w:tcW w:w="866" w:type="dxa"/>
            <w:vAlign w:val="center"/>
            <w:vMerge w:val="restart"/>
            <w:textDirection w:val="lrTb"/>
            <w:noWrap w:val="false"/>
          </w:tcPr>
          <w:p>
            <w:pPr>
              <w:ind w:left="0" w:right="0"/>
              <w:jc w:val="center"/>
              <w:keepLines w:val="0"/>
              <w:keepNext w:val="0"/>
              <w:spacing w:before="0" w:beforeAutospacing="0" w:after="0" w:afterAutospacing="0" w:line="0"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t xml:space="preserve">序号</w:t>
            </w:r>
            <w:r/>
          </w:p>
        </w:tc>
        <w:tc>
          <w:tcPr>
            <w:tcW w:w="1673" w:type="dxa"/>
            <w:vAlign w:val="center"/>
            <w:textDirection w:val="lrTb"/>
            <w:noWrap w:val="false"/>
          </w:tcPr>
          <w:p>
            <w:pPr>
              <w:ind w:left="0" w:right="0"/>
              <w:jc w:val="center"/>
              <w:keepLines w:val="0"/>
              <w:keepNext w:val="0"/>
              <w:spacing w:before="0" w:beforeAutospacing="0" w:after="0" w:afterAutospacing="0" w:line="0"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t xml:space="preserve">1</w:t>
            </w:r>
            <w:r/>
          </w:p>
        </w:tc>
        <w:tc>
          <w:tcPr>
            <w:tcW w:w="1511" w:type="dxa"/>
            <w:vAlign w:val="center"/>
            <w:textDirection w:val="lrTb"/>
            <w:noWrap w:val="false"/>
          </w:tcPr>
          <w:p>
            <w:pPr>
              <w:ind w:left="0" w:right="0"/>
              <w:jc w:val="center"/>
              <w:keepLines w:val="0"/>
              <w:keepNext w:val="0"/>
              <w:spacing w:before="0" w:beforeAutospacing="0" w:after="0" w:afterAutospacing="0" w:line="0"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t xml:space="preserve">2</w:t>
            </w:r>
            <w:r/>
          </w:p>
        </w:tc>
        <w:tc>
          <w:tcPr>
            <w:tcW w:w="1099" w:type="dxa"/>
            <w:vAlign w:val="center"/>
            <w:textDirection w:val="lrTb"/>
            <w:noWrap w:val="false"/>
          </w:tcPr>
          <w:p>
            <w:pPr>
              <w:ind w:left="0" w:right="0"/>
              <w:jc w:val="center"/>
              <w:keepLines w:val="0"/>
              <w:keepNext w:val="0"/>
              <w:spacing w:before="0" w:beforeAutospacing="0" w:after="0" w:afterAutospacing="0" w:line="0"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t xml:space="preserve">3</w:t>
            </w:r>
            <w:r/>
          </w:p>
        </w:tc>
        <w:tc>
          <w:tcPr>
            <w:tcW w:w="1478" w:type="dxa"/>
            <w:vAlign w:val="center"/>
            <w:textDirection w:val="lrTb"/>
            <w:noWrap w:val="false"/>
          </w:tcPr>
          <w:p>
            <w:pPr>
              <w:ind w:left="0" w:right="0"/>
              <w:jc w:val="center"/>
              <w:keepLines w:val="0"/>
              <w:keepNext w:val="0"/>
              <w:spacing w:before="0" w:beforeAutospacing="0" w:after="0" w:afterAutospacing="0" w:line="0"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t xml:space="preserve">4</w:t>
            </w:r>
            <w:r/>
          </w:p>
        </w:tc>
        <w:tc>
          <w:tcPr>
            <w:tcW w:w="1642" w:type="dxa"/>
            <w:vAlign w:val="center"/>
            <w:textDirection w:val="lrTb"/>
            <w:noWrap w:val="false"/>
          </w:tcPr>
          <w:p>
            <w:pPr>
              <w:ind w:left="0" w:right="0"/>
              <w:jc w:val="center"/>
              <w:keepLines w:val="0"/>
              <w:keepNext w:val="0"/>
              <w:spacing w:before="0" w:beforeAutospacing="0" w:after="0" w:afterAutospacing="0" w:line="0"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t xml:space="preserve">5</w:t>
            </w:r>
            <w:r/>
          </w:p>
        </w:tc>
        <w:tc>
          <w:tcPr>
            <w:tcW w:w="1130" w:type="dxa"/>
            <w:vAlign w:val="center"/>
            <w:textDirection w:val="lrTb"/>
            <w:noWrap w:val="false"/>
          </w:tcPr>
          <w:p>
            <w:pPr>
              <w:ind w:left="0" w:right="0"/>
              <w:jc w:val="center"/>
              <w:keepLines w:val="0"/>
              <w:keepNext w:val="0"/>
              <w:spacing w:before="0" w:beforeAutospacing="0" w:after="0" w:afterAutospacing="0" w:line="0"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t xml:space="preserve">6</w:t>
            </w:r>
            <w:r/>
          </w:p>
        </w:tc>
      </w:tr>
      <w:tr>
        <w:trPr>
          <w:cantSplit/>
          <w:trHeight w:val="634"/>
        </w:trPr>
        <w:tc>
          <w:tcPr>
            <w:tcW w:w="866" w:type="dxa"/>
            <w:vAlign w:val="center"/>
            <w:vMerge w:val="continue"/>
            <w:textDirection w:val="lrTb"/>
            <w:noWrap w:val="false"/>
          </w:tcPr>
          <w:p>
            <w:pPr>
              <w:ind w:left="0" w:right="0"/>
              <w:jc w:val="center"/>
              <w:keepLines w:val="0"/>
              <w:keepNext w:val="0"/>
              <w:spacing w:before="0" w:beforeAutospacing="0" w:after="0" w:afterAutospacing="0" w:line="0" w:lineRule="atLeast"/>
              <w:rPr>
                <w:rFonts w:hint="eastAsia" w:ascii="新宋体" w:hAnsi="新宋体" w:eastAsia="新宋体" w:cs="新宋体"/>
                <w:color w:val="auto"/>
                <w:sz w:val="24"/>
                <w:szCs w:val="24"/>
              </w:rPr>
              <w:suppressLineNumbers w:val="0"/>
            </w:pPr>
            <w:r>
              <w:rPr>
                <w:rFonts w:hint="eastAsia" w:ascii="新宋体" w:hAnsi="新宋体" w:eastAsia="新宋体" w:cs="新宋体"/>
                <w:color w:val="auto"/>
                <w:sz w:val="24"/>
                <w:szCs w:val="24"/>
              </w:rPr>
            </w:r>
            <w:r/>
          </w:p>
        </w:tc>
        <w:tc>
          <w:tcPr>
            <w:tcW w:w="1673" w:type="dxa"/>
            <w:vAlign w:val="center"/>
            <w:textDirection w:val="lrTb"/>
            <w:noWrap w:val="false"/>
          </w:tcPr>
          <w:p>
            <w:pPr>
              <w:ind w:left="0" w:right="0"/>
              <w:jc w:val="center"/>
              <w:keepLines w:val="0"/>
              <w:keepNext w:val="0"/>
              <w:spacing w:before="0" w:beforeAutospacing="0" w:after="0" w:afterAutospacing="0" w:line="0"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t xml:space="preserve">分项服务名称</w:t>
            </w:r>
            <w:r/>
          </w:p>
        </w:tc>
        <w:tc>
          <w:tcPr>
            <w:tcW w:w="1511" w:type="dxa"/>
            <w:vAlign w:val="center"/>
            <w:textDirection w:val="lrTb"/>
            <w:noWrap w:val="false"/>
          </w:tcPr>
          <w:p>
            <w:pPr>
              <w:ind w:left="0" w:right="0"/>
              <w:jc w:val="center"/>
              <w:keepLines w:val="0"/>
              <w:keepNext w:val="0"/>
              <w:spacing w:before="0" w:beforeAutospacing="0" w:after="0" w:afterAutospacing="0" w:line="0"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t xml:space="preserve">分项单位</w:t>
            </w:r>
            <w:r/>
          </w:p>
        </w:tc>
        <w:tc>
          <w:tcPr>
            <w:tcW w:w="1099" w:type="dxa"/>
            <w:vAlign w:val="center"/>
            <w:textDirection w:val="lrTb"/>
            <w:noWrap w:val="false"/>
          </w:tcPr>
          <w:p>
            <w:pPr>
              <w:ind w:left="0" w:right="0"/>
              <w:jc w:val="center"/>
              <w:keepLines w:val="0"/>
              <w:keepNext w:val="0"/>
              <w:spacing w:before="0" w:beforeAutospacing="0" w:after="0" w:afterAutospacing="0" w:line="0"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t xml:space="preserve">数量</w:t>
            </w:r>
            <w:r/>
          </w:p>
        </w:tc>
        <w:tc>
          <w:tcPr>
            <w:tcW w:w="1478" w:type="dxa"/>
            <w:vAlign w:val="center"/>
            <w:textDirection w:val="lrTb"/>
            <w:noWrap w:val="false"/>
          </w:tcPr>
          <w:p>
            <w:pPr>
              <w:ind w:left="0" w:right="0"/>
              <w:jc w:val="center"/>
              <w:keepLines w:val="0"/>
              <w:keepNext w:val="0"/>
              <w:spacing w:before="0" w:beforeAutospacing="0" w:after="0" w:afterAutospacing="0" w:line="0"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t xml:space="preserve">分项</w:t>
            </w:r>
            <w:r/>
          </w:p>
          <w:p>
            <w:pPr>
              <w:ind w:left="0" w:right="0"/>
              <w:jc w:val="center"/>
              <w:keepLines w:val="0"/>
              <w:keepNext w:val="0"/>
              <w:spacing w:before="0" w:beforeAutospacing="0" w:after="0" w:afterAutospacing="0" w:line="0"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t xml:space="preserve">单价</w:t>
            </w:r>
            <w:r/>
          </w:p>
        </w:tc>
        <w:tc>
          <w:tcPr>
            <w:tcW w:w="1642" w:type="dxa"/>
            <w:vAlign w:val="center"/>
            <w:textDirection w:val="lrTb"/>
            <w:noWrap w:val="false"/>
          </w:tcPr>
          <w:p>
            <w:pPr>
              <w:ind w:left="0" w:right="0"/>
              <w:jc w:val="center"/>
              <w:keepLines w:val="0"/>
              <w:keepNext w:val="0"/>
              <w:spacing w:before="0" w:beforeAutospacing="0" w:after="0" w:afterAutospacing="0" w:line="0"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t xml:space="preserve">分项</w:t>
            </w:r>
            <w:r/>
          </w:p>
          <w:p>
            <w:pPr>
              <w:ind w:left="0" w:right="0"/>
              <w:jc w:val="center"/>
              <w:keepLines w:val="0"/>
              <w:keepNext w:val="0"/>
              <w:spacing w:before="0" w:beforeAutospacing="0" w:after="0" w:afterAutospacing="0" w:line="0"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t xml:space="preserve">总价</w:t>
            </w:r>
            <w:r/>
          </w:p>
        </w:tc>
        <w:tc>
          <w:tcPr>
            <w:tcW w:w="1130" w:type="dxa"/>
            <w:vAlign w:val="center"/>
            <w:textDirection w:val="lrTb"/>
            <w:noWrap w:val="false"/>
          </w:tcPr>
          <w:p>
            <w:pPr>
              <w:ind w:left="0" w:right="0"/>
              <w:jc w:val="center"/>
              <w:keepLines w:val="0"/>
              <w:keepNext w:val="0"/>
              <w:spacing w:before="0" w:beforeAutospacing="0" w:after="0" w:afterAutospacing="0" w:line="0"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t xml:space="preserve">备注</w:t>
            </w:r>
            <w:r/>
          </w:p>
        </w:tc>
      </w:tr>
      <w:tr>
        <w:trPr>
          <w:cantSplit/>
          <w:trHeight w:val="666"/>
        </w:trPr>
        <w:tc>
          <w:tcPr>
            <w:tcW w:w="866" w:type="dxa"/>
            <w:vAlign w:val="center"/>
            <w:textDirection w:val="lrTb"/>
            <w:noWrap w:val="false"/>
          </w:tcPr>
          <w:p>
            <w:pPr>
              <w:ind w:left="0" w:right="0"/>
              <w:jc w:val="center"/>
              <w:keepLines w:val="0"/>
              <w:keepNext w:val="0"/>
              <w:spacing w:before="0" w:beforeAutospacing="0" w:after="0" w:afterAutospacing="0" w:line="0"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t xml:space="preserve">1</w:t>
            </w:r>
            <w:r/>
          </w:p>
        </w:tc>
        <w:tc>
          <w:tcPr>
            <w:tcW w:w="1673" w:type="dxa"/>
            <w:vAlign w:val="center"/>
            <w:textDirection w:val="lrTb"/>
            <w:noWrap w:val="false"/>
          </w:tcPr>
          <w:p>
            <w:pPr>
              <w:ind w:left="0" w:right="0"/>
              <w:jc w:val="center"/>
              <w:keepLines w:val="0"/>
              <w:keepNext w:val="0"/>
              <w:spacing w:before="0" w:beforeAutospacing="0" w:after="0" w:afterAutospacing="0" w:line="0"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W w:w="1511" w:type="dxa"/>
            <w:vAlign w:val="center"/>
            <w:textDirection w:val="lrTb"/>
            <w:noWrap w:val="false"/>
          </w:tcPr>
          <w:p>
            <w:pPr>
              <w:ind w:left="0" w:right="0"/>
              <w:jc w:val="center"/>
              <w:keepLines w:val="0"/>
              <w:keepNext w:val="0"/>
              <w:spacing w:before="0" w:beforeAutospacing="0" w:after="0" w:afterAutospacing="0" w:line="0"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W w:w="1099" w:type="dxa"/>
            <w:vAlign w:val="center"/>
            <w:textDirection w:val="lrTb"/>
            <w:noWrap w:val="false"/>
          </w:tcPr>
          <w:p>
            <w:pPr>
              <w:ind w:left="0" w:right="0"/>
              <w:jc w:val="center"/>
              <w:keepLines w:val="0"/>
              <w:keepNext w:val="0"/>
              <w:spacing w:before="0" w:beforeAutospacing="0" w:after="0" w:afterAutospacing="0" w:line="0"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W w:w="1478" w:type="dxa"/>
            <w:vAlign w:val="center"/>
            <w:textDirection w:val="lrTb"/>
            <w:noWrap w:val="false"/>
          </w:tcPr>
          <w:p>
            <w:pPr>
              <w:ind w:left="0" w:right="0"/>
              <w:jc w:val="center"/>
              <w:keepLines w:val="0"/>
              <w:keepNext w:val="0"/>
              <w:spacing w:before="0" w:beforeAutospacing="0" w:after="0" w:afterAutospacing="0" w:line="0"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W w:w="1642" w:type="dxa"/>
            <w:vAlign w:val="center"/>
            <w:textDirection w:val="lrTb"/>
            <w:noWrap w:val="false"/>
          </w:tcPr>
          <w:p>
            <w:pPr>
              <w:ind w:left="0" w:right="0"/>
              <w:jc w:val="center"/>
              <w:keepLines w:val="0"/>
              <w:keepNext w:val="0"/>
              <w:spacing w:before="0" w:beforeAutospacing="0" w:after="0" w:afterAutospacing="0" w:line="0"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W w:w="1130" w:type="dxa"/>
            <w:vAlign w:val="center"/>
            <w:textDirection w:val="lrTb"/>
            <w:noWrap w:val="false"/>
          </w:tcPr>
          <w:p>
            <w:pPr>
              <w:ind w:left="0" w:right="0"/>
              <w:jc w:val="center"/>
              <w:keepLines w:val="0"/>
              <w:keepNext w:val="0"/>
              <w:spacing w:before="0" w:beforeAutospacing="0" w:after="0" w:afterAutospacing="0" w:line="0"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r>
      <w:tr>
        <w:trPr>
          <w:cantSplit/>
          <w:trHeight w:val="666"/>
        </w:trPr>
        <w:tc>
          <w:tcPr>
            <w:tcW w:w="866" w:type="dxa"/>
            <w:vAlign w:val="center"/>
            <w:textDirection w:val="lrTb"/>
            <w:noWrap w:val="false"/>
          </w:tcPr>
          <w:p>
            <w:pPr>
              <w:ind w:left="0" w:right="0"/>
              <w:jc w:val="center"/>
              <w:keepLines w:val="0"/>
              <w:keepNext w:val="0"/>
              <w:spacing w:before="0" w:beforeAutospacing="0" w:after="0" w:afterAutospacing="0" w:line="0"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t xml:space="preserve">2</w:t>
            </w:r>
            <w:r/>
          </w:p>
        </w:tc>
        <w:tc>
          <w:tcPr>
            <w:tcW w:w="1673" w:type="dxa"/>
            <w:vAlign w:val="center"/>
            <w:textDirection w:val="lrTb"/>
            <w:noWrap w:val="false"/>
          </w:tcPr>
          <w:p>
            <w:pPr>
              <w:ind w:left="0" w:right="0"/>
              <w:jc w:val="center"/>
              <w:keepLines w:val="0"/>
              <w:keepNext w:val="0"/>
              <w:spacing w:before="0" w:beforeAutospacing="0" w:after="0" w:afterAutospacing="0" w:line="0"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W w:w="1511" w:type="dxa"/>
            <w:vAlign w:val="center"/>
            <w:textDirection w:val="lrTb"/>
            <w:noWrap w:val="false"/>
          </w:tcPr>
          <w:p>
            <w:pPr>
              <w:ind w:left="0" w:right="0"/>
              <w:jc w:val="center"/>
              <w:keepLines w:val="0"/>
              <w:keepNext w:val="0"/>
              <w:spacing w:before="0" w:beforeAutospacing="0" w:after="0" w:afterAutospacing="0" w:line="0"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W w:w="1099" w:type="dxa"/>
            <w:vAlign w:val="center"/>
            <w:textDirection w:val="lrTb"/>
            <w:noWrap w:val="false"/>
          </w:tcPr>
          <w:p>
            <w:pPr>
              <w:ind w:left="0" w:right="0"/>
              <w:jc w:val="center"/>
              <w:keepLines w:val="0"/>
              <w:keepNext w:val="0"/>
              <w:spacing w:before="0" w:beforeAutospacing="0" w:after="0" w:afterAutospacing="0" w:line="0"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W w:w="1478" w:type="dxa"/>
            <w:vAlign w:val="center"/>
            <w:textDirection w:val="lrTb"/>
            <w:noWrap w:val="false"/>
          </w:tcPr>
          <w:p>
            <w:pPr>
              <w:ind w:left="0" w:right="0"/>
              <w:jc w:val="center"/>
              <w:keepLines w:val="0"/>
              <w:keepNext w:val="0"/>
              <w:spacing w:before="0" w:beforeAutospacing="0" w:after="0" w:afterAutospacing="0" w:line="0"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W w:w="1642" w:type="dxa"/>
            <w:vAlign w:val="center"/>
            <w:textDirection w:val="lrTb"/>
            <w:noWrap w:val="false"/>
          </w:tcPr>
          <w:p>
            <w:pPr>
              <w:ind w:left="0" w:right="0"/>
              <w:jc w:val="center"/>
              <w:keepLines w:val="0"/>
              <w:keepNext w:val="0"/>
              <w:spacing w:before="0" w:beforeAutospacing="0" w:after="0" w:afterAutospacing="0" w:line="0"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W w:w="1130" w:type="dxa"/>
            <w:vAlign w:val="center"/>
            <w:textDirection w:val="lrTb"/>
            <w:noWrap w:val="false"/>
          </w:tcPr>
          <w:p>
            <w:pPr>
              <w:ind w:left="0" w:right="0"/>
              <w:jc w:val="center"/>
              <w:keepLines w:val="0"/>
              <w:keepNext w:val="0"/>
              <w:spacing w:before="0" w:beforeAutospacing="0" w:after="0" w:afterAutospacing="0" w:line="0"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r>
      <w:tr>
        <w:trPr>
          <w:cantSplit/>
          <w:trHeight w:val="666"/>
        </w:trPr>
        <w:tc>
          <w:tcPr>
            <w:tcW w:w="866" w:type="dxa"/>
            <w:vAlign w:val="center"/>
            <w:textDirection w:val="lrTb"/>
            <w:noWrap w:val="false"/>
          </w:tcPr>
          <w:p>
            <w:pPr>
              <w:ind w:left="0" w:right="0"/>
              <w:jc w:val="center"/>
              <w:keepLines w:val="0"/>
              <w:keepNext w:val="0"/>
              <w:spacing w:before="0" w:beforeAutospacing="0" w:after="0" w:afterAutospacing="0" w:line="0"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t xml:space="preserve">3</w:t>
            </w:r>
            <w:r/>
          </w:p>
        </w:tc>
        <w:tc>
          <w:tcPr>
            <w:tcW w:w="1673" w:type="dxa"/>
            <w:vAlign w:val="center"/>
            <w:textDirection w:val="lrTb"/>
            <w:noWrap w:val="false"/>
          </w:tcPr>
          <w:p>
            <w:pPr>
              <w:ind w:left="0" w:right="0"/>
              <w:jc w:val="center"/>
              <w:keepLines w:val="0"/>
              <w:keepNext w:val="0"/>
              <w:spacing w:before="0" w:beforeAutospacing="0" w:after="0" w:afterAutospacing="0" w:line="0"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W w:w="1511" w:type="dxa"/>
            <w:vAlign w:val="center"/>
            <w:textDirection w:val="lrTb"/>
            <w:noWrap w:val="false"/>
          </w:tcPr>
          <w:p>
            <w:pPr>
              <w:ind w:left="0" w:right="0"/>
              <w:jc w:val="center"/>
              <w:keepLines w:val="0"/>
              <w:keepNext w:val="0"/>
              <w:spacing w:before="0" w:beforeAutospacing="0" w:after="0" w:afterAutospacing="0" w:line="0"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W w:w="1099" w:type="dxa"/>
            <w:vAlign w:val="center"/>
            <w:textDirection w:val="lrTb"/>
            <w:noWrap w:val="false"/>
          </w:tcPr>
          <w:p>
            <w:pPr>
              <w:ind w:left="0" w:right="0"/>
              <w:jc w:val="center"/>
              <w:keepLines w:val="0"/>
              <w:keepNext w:val="0"/>
              <w:spacing w:before="0" w:beforeAutospacing="0" w:after="0" w:afterAutospacing="0" w:line="0"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W w:w="1478" w:type="dxa"/>
            <w:vAlign w:val="center"/>
            <w:textDirection w:val="lrTb"/>
            <w:noWrap w:val="false"/>
          </w:tcPr>
          <w:p>
            <w:pPr>
              <w:ind w:left="0" w:right="0"/>
              <w:jc w:val="center"/>
              <w:keepLines w:val="0"/>
              <w:keepNext w:val="0"/>
              <w:spacing w:before="0" w:beforeAutospacing="0" w:after="0" w:afterAutospacing="0" w:line="0"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W w:w="1642" w:type="dxa"/>
            <w:vAlign w:val="center"/>
            <w:textDirection w:val="lrTb"/>
            <w:noWrap w:val="false"/>
          </w:tcPr>
          <w:p>
            <w:pPr>
              <w:ind w:left="0" w:right="0"/>
              <w:jc w:val="center"/>
              <w:keepLines w:val="0"/>
              <w:keepNext w:val="0"/>
              <w:spacing w:before="0" w:beforeAutospacing="0" w:after="0" w:afterAutospacing="0" w:line="0"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W w:w="1130" w:type="dxa"/>
            <w:vAlign w:val="center"/>
            <w:textDirection w:val="lrTb"/>
            <w:noWrap w:val="false"/>
          </w:tcPr>
          <w:p>
            <w:pPr>
              <w:ind w:left="0" w:right="0"/>
              <w:jc w:val="center"/>
              <w:keepLines w:val="0"/>
              <w:keepNext w:val="0"/>
              <w:spacing w:before="0" w:beforeAutospacing="0" w:after="0" w:afterAutospacing="0" w:line="0"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r>
      <w:tr>
        <w:trPr>
          <w:cantSplit/>
          <w:trHeight w:val="666"/>
        </w:trPr>
        <w:tc>
          <w:tcPr>
            <w:tcW w:w="866" w:type="dxa"/>
            <w:vAlign w:val="center"/>
            <w:textDirection w:val="lrTb"/>
            <w:noWrap w:val="false"/>
          </w:tcPr>
          <w:p>
            <w:pPr>
              <w:ind w:left="0" w:right="0"/>
              <w:jc w:val="center"/>
              <w:keepLines w:val="0"/>
              <w:keepNext w:val="0"/>
              <w:spacing w:before="0" w:beforeAutospacing="0" w:after="0" w:afterAutospacing="0" w:line="0"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t xml:space="preserve">……</w:t>
            </w:r>
            <w:r/>
          </w:p>
        </w:tc>
        <w:tc>
          <w:tcPr>
            <w:tcW w:w="1673" w:type="dxa"/>
            <w:vAlign w:val="center"/>
            <w:textDirection w:val="lrTb"/>
            <w:noWrap w:val="false"/>
          </w:tcPr>
          <w:p>
            <w:pPr>
              <w:ind w:left="0" w:right="0"/>
              <w:jc w:val="center"/>
              <w:keepLines w:val="0"/>
              <w:keepNext w:val="0"/>
              <w:spacing w:before="0" w:beforeAutospacing="0" w:after="0" w:afterAutospacing="0" w:line="0"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t xml:space="preserve">……</w:t>
            </w:r>
            <w:r/>
          </w:p>
        </w:tc>
        <w:tc>
          <w:tcPr>
            <w:tcW w:w="1511" w:type="dxa"/>
            <w:vAlign w:val="center"/>
            <w:textDirection w:val="lrTb"/>
            <w:noWrap w:val="false"/>
          </w:tcPr>
          <w:p>
            <w:pPr>
              <w:ind w:left="0" w:right="0"/>
              <w:jc w:val="center"/>
              <w:keepLines w:val="0"/>
              <w:keepNext w:val="0"/>
              <w:spacing w:before="0" w:beforeAutospacing="0" w:after="0" w:afterAutospacing="0" w:line="0"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W w:w="1099" w:type="dxa"/>
            <w:vAlign w:val="center"/>
            <w:textDirection w:val="lrTb"/>
            <w:noWrap w:val="false"/>
          </w:tcPr>
          <w:p>
            <w:pPr>
              <w:ind w:left="0" w:right="0"/>
              <w:jc w:val="center"/>
              <w:keepLines w:val="0"/>
              <w:keepNext w:val="0"/>
              <w:spacing w:before="0" w:beforeAutospacing="0" w:after="0" w:afterAutospacing="0" w:line="0"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W w:w="1478" w:type="dxa"/>
            <w:vAlign w:val="center"/>
            <w:textDirection w:val="lrTb"/>
            <w:noWrap w:val="false"/>
          </w:tcPr>
          <w:p>
            <w:pPr>
              <w:ind w:left="0" w:right="0"/>
              <w:jc w:val="center"/>
              <w:keepLines w:val="0"/>
              <w:keepNext w:val="0"/>
              <w:spacing w:before="0" w:beforeAutospacing="0" w:after="0" w:afterAutospacing="0" w:line="0"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W w:w="1642" w:type="dxa"/>
            <w:vAlign w:val="center"/>
            <w:textDirection w:val="lrTb"/>
            <w:noWrap w:val="false"/>
          </w:tcPr>
          <w:p>
            <w:pPr>
              <w:ind w:left="0" w:right="0"/>
              <w:jc w:val="center"/>
              <w:keepLines w:val="0"/>
              <w:keepNext w:val="0"/>
              <w:spacing w:before="0" w:beforeAutospacing="0" w:after="0" w:afterAutospacing="0" w:line="0"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W w:w="1130" w:type="dxa"/>
            <w:vAlign w:val="center"/>
            <w:textDirection w:val="lrTb"/>
            <w:noWrap w:val="false"/>
          </w:tcPr>
          <w:p>
            <w:pPr>
              <w:ind w:left="0" w:right="0"/>
              <w:jc w:val="center"/>
              <w:keepLines w:val="0"/>
              <w:keepNext w:val="0"/>
              <w:spacing w:before="0" w:beforeAutospacing="0" w:after="0" w:afterAutospacing="0" w:line="0"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r>
      <w:tr>
        <w:trPr>
          <w:cantSplit/>
          <w:trHeight w:val="508"/>
        </w:trPr>
        <w:tc>
          <w:tcPr>
            <w:gridSpan w:val="5"/>
            <w:tcW w:w="6627" w:type="dxa"/>
            <w:vAlign w:val="center"/>
            <w:textDirection w:val="lrTb"/>
            <w:noWrap w:val="false"/>
          </w:tcPr>
          <w:p>
            <w:pPr>
              <w:ind w:left="0" w:right="0"/>
              <w:jc w:val="center"/>
              <w:keepLines w:val="0"/>
              <w:keepNext w:val="0"/>
              <w:spacing w:before="0" w:beforeAutospacing="0" w:after="0" w:afterAutospacing="0" w:line="0"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t xml:space="preserve">总报价（人民币：元）</w:t>
            </w:r>
            <w:r/>
          </w:p>
        </w:tc>
        <w:tc>
          <w:tcPr>
            <w:tcW w:w="1642" w:type="dxa"/>
            <w:textDirection w:val="lrTb"/>
            <w:noWrap w:val="false"/>
          </w:tcPr>
          <w:p>
            <w:pPr>
              <w:ind w:left="0" w:right="0"/>
              <w:keepLines w:val="0"/>
              <w:keepNext w:val="0"/>
              <w:spacing w:before="0" w:beforeAutospacing="0" w:after="0" w:afterAutospacing="0" w:line="0"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W w:w="1130" w:type="dxa"/>
            <w:textDirection w:val="lrTb"/>
            <w:noWrap w:val="false"/>
          </w:tcPr>
          <w:p>
            <w:pPr>
              <w:ind w:left="0" w:right="0"/>
              <w:keepLines w:val="0"/>
              <w:keepNext w:val="0"/>
              <w:spacing w:before="0" w:beforeAutospacing="0" w:after="0" w:afterAutospacing="0" w:line="0"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r>
    </w:tbl>
    <w:p>
      <w:pPr>
        <w:ind w:firstLine="480"/>
        <w:spacing w:line="480" w:lineRule="exact"/>
        <w:rPr>
          <w:rFonts w:hint="default" w:ascii="新宋体" w:hAnsi="新宋体" w:eastAsia="新宋体" w:cs="新宋体"/>
          <w:b/>
          <w:bCs/>
          <w:color w:val="auto"/>
          <w:sz w:val="24"/>
          <w:szCs w:val="24"/>
          <w:highlight w:val="none"/>
          <w:lang w:val="en-US" w:eastAsia="zh-CN"/>
        </w:rPr>
      </w:pPr>
      <w:r>
        <w:rPr>
          <w:rFonts w:hint="eastAsia" w:ascii="新宋体" w:hAnsi="新宋体" w:eastAsia="新宋体" w:cs="新宋体"/>
          <w:color w:val="auto"/>
          <w:sz w:val="24"/>
          <w:szCs w:val="24"/>
          <w:highlight w:val="none"/>
        </w:rPr>
        <w:t xml:space="preserve">备注：磋商报价采用总承包方式，供应商的“总报价”应包括采购人需求的服务（包含与服务相关的产品）价格、培训费用及售后服务费用，项目在指定地点、环境交付、验收所需费用和所有相关税金费用及为完成整个项目所产生的其他所有费用。</w:t>
      </w:r>
      <w:r>
        <w:rPr>
          <w:rFonts w:hint="eastAsia" w:ascii="新宋体" w:hAnsi="新宋体" w:eastAsia="新宋体" w:cs="新宋体"/>
          <w:b/>
          <w:bCs/>
          <w:color w:val="auto"/>
          <w:sz w:val="24"/>
          <w:szCs w:val="24"/>
          <w:highlight w:val="none"/>
          <w:lang w:val="en-US" w:eastAsia="zh-CN"/>
        </w:rPr>
        <w:t xml:space="preserve">表格可根据采购清单格式自行调整。</w:t>
      </w:r>
      <w:r/>
    </w:p>
    <w:p>
      <w:pPr>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r>
      <w:r/>
    </w:p>
    <w:p>
      <w:pPr>
        <w:spacing w:line="0" w:lineRule="atLeas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r>
      <w:r/>
    </w:p>
    <w:p>
      <w:pPr>
        <w:spacing w:line="0" w:lineRule="atLeas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r>
      <w:r/>
    </w:p>
    <w:p>
      <w:pPr>
        <w:spacing w:line="0" w:lineRule="atLeas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r>
      <w:r/>
    </w:p>
    <w:p>
      <w:pPr>
        <w:spacing w:line="0" w:lineRule="atLeas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r>
      <w:r/>
    </w:p>
    <w:p>
      <w:pPr>
        <w:spacing w:line="0" w:lineRule="atLeas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r>
      <w:r/>
    </w:p>
    <w:p>
      <w:pPr>
        <w:spacing w:line="0" w:lineRule="atLeas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r>
      <w:r/>
    </w:p>
    <w:p>
      <w:pPr>
        <w:spacing w:line="0" w:lineRule="atLeas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r>
      <w:r/>
    </w:p>
    <w:p>
      <w:pPr>
        <w:spacing w:line="0" w:lineRule="atLeas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r>
      <w:r/>
    </w:p>
    <w:p>
      <w:pPr>
        <w:spacing w:line="0" w:lineRule="atLeas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r>
      <w:r/>
    </w:p>
    <w:p>
      <w:pPr>
        <w:spacing w:line="0" w:lineRule="atLeas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r>
      <w:r/>
    </w:p>
    <w:p>
      <w:pPr>
        <w:spacing w:line="0" w:lineRule="atLeas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r>
      <w:r/>
    </w:p>
    <w:p>
      <w:pPr>
        <w:spacing w:line="0" w:lineRule="atLeas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r>
      <w:r/>
    </w:p>
    <w:p>
      <w:pPr>
        <w:spacing w:line="0" w:lineRule="atLeas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r>
      <w:r/>
    </w:p>
    <w:p>
      <w:pPr>
        <w:spacing w:line="0" w:lineRule="atLeas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r>
      <w:r/>
    </w:p>
    <w:p>
      <w:pPr>
        <w:spacing w:line="0" w:lineRule="atLeas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r>
      <w:r/>
    </w:p>
    <w:p>
      <w:pPr>
        <w:spacing w:line="0" w:lineRule="atLeas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r>
      <w:r/>
    </w:p>
    <w:p>
      <w:pPr>
        <w:spacing w:line="0" w:lineRule="atLeas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r>
      <w:r/>
    </w:p>
    <w:p>
      <w:pPr>
        <w:pStyle w:val="1288"/>
        <w:jc w:val="center"/>
        <w:widowControl w:val="off"/>
        <w:rPr>
          <w:rFonts w:hint="eastAsia" w:ascii="新宋体" w:hAnsi="新宋体" w:eastAsia="新宋体" w:cs="新宋体"/>
          <w:b w:val="0"/>
          <w:color w:val="auto"/>
          <w:sz w:val="24"/>
          <w:szCs w:val="24"/>
          <w:highlight w:val="none"/>
        </w:rPr>
      </w:pPr>
      <w:r>
        <w:rPr>
          <w:rFonts w:hint="eastAsia" w:ascii="新宋体" w:hAnsi="新宋体" w:eastAsia="新宋体" w:cs="新宋体"/>
          <w:bCs/>
          <w:color w:val="auto"/>
          <w:sz w:val="24"/>
          <w:szCs w:val="24"/>
          <w:highlight w:val="none"/>
        </w:rPr>
        <w:br w:type="page" w:clear="all"/>
      </w:r>
      <w:r/>
    </w:p>
    <w:p>
      <w:pPr>
        <w:pStyle w:val="669"/>
        <w:ind w:firstLine="320"/>
        <w:spacing w:before="0" w:after="0" w:line="520" w:lineRule="exact"/>
        <w:rPr>
          <w:rFonts w:hint="eastAsia" w:ascii="新宋体" w:hAnsi="新宋体" w:eastAsia="新宋体" w:cs="新宋体"/>
          <w:b/>
          <w:bCs/>
          <w:color w:val="auto"/>
          <w:sz w:val="24"/>
          <w:szCs w:val="24"/>
          <w:highlight w:val="none"/>
        </w:rPr>
      </w:pPr>
      <w:r/>
      <w:bookmarkStart w:id="115" w:name="_Toc9025"/>
      <w:r/>
      <w:bookmarkStart w:id="116" w:name="_Toc21129"/>
      <w:r/>
      <w:bookmarkStart w:id="117" w:name="_Toc24202"/>
      <w:r>
        <w:rPr>
          <w:rFonts w:hint="eastAsia" w:ascii="新宋体" w:hAnsi="新宋体" w:eastAsia="新宋体" w:cs="新宋体"/>
          <w:b/>
          <w:bCs/>
          <w:color w:val="auto"/>
          <w:sz w:val="24"/>
          <w:szCs w:val="24"/>
          <w:highlight w:val="none"/>
        </w:rPr>
        <w:t xml:space="preserve">五、中小企业或残疾人福利性单位声明函</w:t>
      </w:r>
      <w:bookmarkEnd w:id="115"/>
      <w:r/>
      <w:bookmarkEnd w:id="116"/>
      <w:r/>
      <w:bookmarkEnd w:id="117"/>
      <w:r/>
      <w:r/>
    </w:p>
    <w:p>
      <w:pPr>
        <w:ind w:firstLine="643"/>
        <w:jc w:val="center"/>
        <w:spacing w:line="400" w:lineRule="exact"/>
        <w:rPr>
          <w:rFonts w:hint="eastAsia" w:ascii="新宋体" w:hAnsi="新宋体" w:eastAsia="新宋体" w:cs="新宋体"/>
          <w:b/>
          <w:color w:val="auto"/>
          <w:sz w:val="24"/>
          <w:szCs w:val="24"/>
          <w:highlight w:val="none"/>
        </w:rPr>
      </w:pPr>
      <w:r>
        <w:rPr>
          <w:rFonts w:hint="eastAsia" w:ascii="新宋体" w:hAnsi="新宋体" w:eastAsia="新宋体" w:cs="新宋体"/>
          <w:b/>
          <w:color w:val="auto"/>
          <w:sz w:val="24"/>
          <w:szCs w:val="24"/>
          <w:highlight w:val="none"/>
        </w:rPr>
      </w:r>
      <w:r/>
    </w:p>
    <w:p>
      <w:pPr>
        <w:pStyle w:val="1300"/>
        <w:jc w:val="center"/>
        <w:spacing w:before="151" w:after="151" w:line="60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中小微企业声明函（服务类项目）</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本公司（联合体）郑重声明，根据《政府采购促进中小企业发展管理办法》(财库〔2020〕46号)的规定，本公司（联合体）参加</w:t>
      </w:r>
      <w:r>
        <w:rPr>
          <w:rFonts w:hint="eastAsia" w:ascii="新宋体" w:hAnsi="新宋体" w:eastAsia="新宋体" w:cs="新宋体"/>
          <w:color w:val="auto"/>
          <w:sz w:val="24"/>
          <w:szCs w:val="24"/>
          <w:highlight w:val="none"/>
          <w:u w:val="single"/>
        </w:rPr>
        <w:t xml:space="preserve"> 单位名称 </w:t>
      </w:r>
      <w:r>
        <w:rPr>
          <w:rFonts w:hint="eastAsia" w:ascii="新宋体" w:hAnsi="新宋体" w:eastAsia="新宋体" w:cs="新宋体"/>
          <w:color w:val="auto"/>
          <w:sz w:val="24"/>
          <w:szCs w:val="24"/>
          <w:highlight w:val="none"/>
        </w:rPr>
        <w:t xml:space="preserve"> 的</w:t>
      </w:r>
      <w:r>
        <w:rPr>
          <w:rFonts w:hint="eastAsia" w:ascii="新宋体" w:hAnsi="新宋体" w:eastAsia="新宋体" w:cs="新宋体"/>
          <w:color w:val="auto"/>
          <w:sz w:val="24"/>
          <w:szCs w:val="24"/>
          <w:highlight w:val="none"/>
          <w:u w:val="single"/>
        </w:rPr>
        <w:t xml:space="preserve">（项目名称）</w:t>
      </w:r>
      <w:r>
        <w:rPr>
          <w:rFonts w:hint="eastAsia" w:ascii="新宋体" w:hAnsi="新宋体" w:eastAsia="新宋体" w:cs="新宋体"/>
          <w:color w:val="auto"/>
          <w:sz w:val="24"/>
          <w:szCs w:val="24"/>
          <w:highlight w:val="none"/>
        </w:rPr>
        <w:t xml:space="preserve"> 采购活动，服务全部由符合政策的中小微企业承接。相关企业（含联合体中的中小微企业、签订采购包意向协议的中小微企业）的具体情况如下：</w:t>
      </w:r>
      <w:r/>
    </w:p>
    <w:p>
      <w:pPr>
        <w:ind w:firstLine="480"/>
        <w:spacing w:line="480" w:lineRule="exact"/>
        <w:rPr>
          <w:rFonts w:hint="eastAsia" w:ascii="新宋体" w:hAnsi="新宋体" w:eastAsia="新宋体" w:cs="新宋体"/>
          <w:i/>
          <w:color w:val="auto"/>
          <w:sz w:val="24"/>
          <w:szCs w:val="24"/>
          <w:highlight w:val="none"/>
          <w:u w:val="single"/>
        </w:rPr>
      </w:pPr>
      <w:r>
        <w:rPr>
          <w:rFonts w:hint="eastAsia" w:ascii="新宋体" w:hAnsi="新宋体" w:eastAsia="新宋体" w:cs="新宋体"/>
          <w:color w:val="auto"/>
          <w:sz w:val="24"/>
          <w:szCs w:val="24"/>
          <w:highlight w:val="none"/>
        </w:rPr>
        <w:t xml:space="preserve">1.</w:t>
      </w:r>
      <w:r>
        <w:rPr>
          <w:rFonts w:hint="eastAsia" w:ascii="新宋体" w:hAnsi="新宋体" w:eastAsia="新宋体" w:cs="新宋体"/>
          <w:color w:val="auto"/>
          <w:sz w:val="24"/>
          <w:szCs w:val="24"/>
          <w:highlight w:val="none"/>
          <w:u w:val="single"/>
        </w:rPr>
        <w:t xml:space="preserve">（标的名称）</w:t>
      </w:r>
      <w:r>
        <w:rPr>
          <w:rFonts w:hint="eastAsia" w:ascii="新宋体" w:hAnsi="新宋体" w:eastAsia="新宋体" w:cs="新宋体"/>
          <w:i/>
          <w:color w:val="auto"/>
          <w:sz w:val="24"/>
          <w:szCs w:val="24"/>
          <w:highlight w:val="none"/>
        </w:rPr>
        <w:t xml:space="preserve">，</w:t>
      </w:r>
      <w:r>
        <w:rPr>
          <w:rFonts w:hint="eastAsia" w:ascii="新宋体" w:hAnsi="新宋体" w:eastAsia="新宋体" w:cs="新宋体"/>
          <w:color w:val="auto"/>
          <w:sz w:val="24"/>
          <w:szCs w:val="24"/>
          <w:highlight w:val="none"/>
        </w:rPr>
        <w:t xml:space="preserve">属于</w:t>
      </w:r>
      <w:r>
        <w:rPr>
          <w:rFonts w:hint="eastAsia" w:ascii="新宋体" w:hAnsi="新宋体" w:eastAsia="新宋体" w:cs="新宋体"/>
          <w:color w:val="auto"/>
          <w:sz w:val="24"/>
          <w:szCs w:val="24"/>
          <w:highlight w:val="none"/>
          <w:u w:val="single"/>
        </w:rPr>
        <w:t xml:space="preserve">（供应商填写磋商文件中明确的所属行业）</w:t>
      </w:r>
      <w:r>
        <w:rPr>
          <w:rFonts w:hint="eastAsia" w:ascii="新宋体" w:hAnsi="新宋体" w:eastAsia="新宋体" w:cs="新宋体"/>
          <w:color w:val="auto"/>
          <w:sz w:val="24"/>
          <w:szCs w:val="24"/>
          <w:highlight w:val="none"/>
        </w:rPr>
        <w:t xml:space="preserve">行业；承接企业为</w:t>
      </w:r>
      <w:r>
        <w:rPr>
          <w:rFonts w:hint="eastAsia" w:ascii="新宋体" w:hAnsi="新宋体" w:eastAsia="新宋体" w:cs="新宋体"/>
          <w:color w:val="auto"/>
          <w:sz w:val="24"/>
          <w:szCs w:val="24"/>
          <w:highlight w:val="none"/>
          <w:u w:val="single"/>
        </w:rPr>
        <w:t xml:space="preserve">（企业名称）</w:t>
      </w:r>
      <w:r>
        <w:rPr>
          <w:rFonts w:hint="eastAsia" w:ascii="新宋体" w:hAnsi="新宋体" w:eastAsia="新宋体" w:cs="新宋体"/>
          <w:color w:val="auto"/>
          <w:sz w:val="24"/>
          <w:szCs w:val="24"/>
          <w:highlight w:val="none"/>
        </w:rPr>
        <w:t xml:space="preserve">，从业人员</w:t>
      </w:r>
      <w:r>
        <w:rPr>
          <w:rFonts w:hint="eastAsia" w:ascii="新宋体" w:hAnsi="新宋体" w:eastAsia="新宋体" w:cs="新宋体"/>
          <w:color w:val="auto"/>
          <w:sz w:val="24"/>
          <w:szCs w:val="24"/>
          <w:highlight w:val="none"/>
          <w:u w:val="single"/>
        </w:rPr>
        <w:t xml:space="preserve">      </w:t>
      </w:r>
      <w:r>
        <w:rPr>
          <w:rFonts w:hint="eastAsia" w:ascii="新宋体" w:hAnsi="新宋体" w:eastAsia="新宋体" w:cs="新宋体"/>
          <w:color w:val="auto"/>
          <w:sz w:val="24"/>
          <w:szCs w:val="24"/>
          <w:highlight w:val="none"/>
        </w:rPr>
        <w:t xml:space="preserve">人，营业收入为</w:t>
      </w:r>
      <w:r>
        <w:rPr>
          <w:rFonts w:hint="eastAsia" w:ascii="新宋体" w:hAnsi="新宋体" w:eastAsia="新宋体" w:cs="新宋体"/>
          <w:color w:val="auto"/>
          <w:sz w:val="24"/>
          <w:szCs w:val="24"/>
          <w:highlight w:val="none"/>
          <w:u w:val="single"/>
        </w:rPr>
        <w:t xml:space="preserve">     </w:t>
      </w:r>
      <w:r>
        <w:rPr>
          <w:rFonts w:hint="eastAsia" w:ascii="新宋体" w:hAnsi="新宋体" w:eastAsia="新宋体" w:cs="新宋体"/>
          <w:color w:val="auto"/>
          <w:sz w:val="24"/>
          <w:szCs w:val="24"/>
          <w:highlight w:val="none"/>
        </w:rPr>
        <w:t xml:space="preserve">万元，资产总额为</w:t>
      </w:r>
      <w:r>
        <w:rPr>
          <w:rFonts w:hint="eastAsia" w:ascii="新宋体" w:hAnsi="新宋体" w:eastAsia="新宋体" w:cs="新宋体"/>
          <w:color w:val="auto"/>
          <w:sz w:val="24"/>
          <w:szCs w:val="24"/>
          <w:highlight w:val="none"/>
          <w:u w:val="single"/>
        </w:rPr>
        <w:t xml:space="preserve">      </w:t>
      </w:r>
      <w:r>
        <w:rPr>
          <w:rFonts w:hint="eastAsia" w:ascii="新宋体" w:hAnsi="新宋体" w:eastAsia="新宋体" w:cs="新宋体"/>
          <w:color w:val="auto"/>
          <w:sz w:val="24"/>
          <w:szCs w:val="24"/>
          <w:highlight w:val="none"/>
        </w:rPr>
        <w:t xml:space="preserve">万元，属于</w:t>
      </w:r>
      <w:r>
        <w:rPr>
          <w:rFonts w:hint="eastAsia" w:ascii="新宋体" w:hAnsi="新宋体" w:eastAsia="新宋体" w:cs="新宋体"/>
          <w:color w:val="auto"/>
          <w:sz w:val="24"/>
          <w:szCs w:val="24"/>
          <w:highlight w:val="none"/>
          <w:u w:val="single"/>
        </w:rPr>
        <w:t xml:space="preserve">（□中型企业 □小型企业 □微型企业）；</w:t>
      </w:r>
      <w:r/>
    </w:p>
    <w:p>
      <w:pPr>
        <w:ind w:firstLine="480"/>
        <w:spacing w:line="480" w:lineRule="exact"/>
        <w:rPr>
          <w:rFonts w:hint="eastAsia" w:ascii="新宋体" w:hAnsi="新宋体" w:eastAsia="新宋体" w:cs="新宋体"/>
          <w:i/>
          <w:color w:val="auto"/>
          <w:sz w:val="24"/>
          <w:szCs w:val="24"/>
          <w:highlight w:val="none"/>
          <w:u w:val="single"/>
        </w:rPr>
      </w:pPr>
      <w:r>
        <w:rPr>
          <w:rFonts w:hint="eastAsia" w:ascii="新宋体" w:hAnsi="新宋体" w:eastAsia="新宋体" w:cs="新宋体"/>
          <w:color w:val="auto"/>
          <w:sz w:val="24"/>
          <w:szCs w:val="24"/>
          <w:highlight w:val="none"/>
        </w:rPr>
        <w:t xml:space="preserve">2.</w:t>
      </w:r>
      <w:r>
        <w:rPr>
          <w:rFonts w:hint="eastAsia" w:ascii="新宋体" w:hAnsi="新宋体" w:eastAsia="新宋体" w:cs="新宋体"/>
          <w:color w:val="auto"/>
          <w:sz w:val="24"/>
          <w:szCs w:val="24"/>
          <w:highlight w:val="none"/>
          <w:u w:val="single"/>
        </w:rPr>
        <w:t xml:space="preserve">（标的名称）</w:t>
      </w:r>
      <w:r>
        <w:rPr>
          <w:rFonts w:hint="eastAsia" w:ascii="新宋体" w:hAnsi="新宋体" w:eastAsia="新宋体" w:cs="新宋体"/>
          <w:i/>
          <w:color w:val="auto"/>
          <w:sz w:val="24"/>
          <w:szCs w:val="24"/>
          <w:highlight w:val="none"/>
        </w:rPr>
        <w:t xml:space="preserve">，</w:t>
      </w:r>
      <w:r>
        <w:rPr>
          <w:rFonts w:hint="eastAsia" w:ascii="新宋体" w:hAnsi="新宋体" w:eastAsia="新宋体" w:cs="新宋体"/>
          <w:color w:val="auto"/>
          <w:sz w:val="24"/>
          <w:szCs w:val="24"/>
          <w:highlight w:val="none"/>
        </w:rPr>
        <w:t xml:space="preserve">属于</w:t>
      </w:r>
      <w:r>
        <w:rPr>
          <w:rFonts w:hint="eastAsia" w:ascii="新宋体" w:hAnsi="新宋体" w:eastAsia="新宋体" w:cs="新宋体"/>
          <w:color w:val="auto"/>
          <w:sz w:val="24"/>
          <w:szCs w:val="24"/>
          <w:highlight w:val="none"/>
          <w:u w:val="single"/>
        </w:rPr>
        <w:t xml:space="preserve">（供应商填写磋商文件中明确的所属行业）</w:t>
      </w:r>
      <w:r>
        <w:rPr>
          <w:rFonts w:hint="eastAsia" w:ascii="新宋体" w:hAnsi="新宋体" w:eastAsia="新宋体" w:cs="新宋体"/>
          <w:color w:val="auto"/>
          <w:sz w:val="24"/>
          <w:szCs w:val="24"/>
          <w:highlight w:val="none"/>
        </w:rPr>
        <w:t xml:space="preserve">行业；承接企业为</w:t>
      </w:r>
      <w:r>
        <w:rPr>
          <w:rFonts w:hint="eastAsia" w:ascii="新宋体" w:hAnsi="新宋体" w:eastAsia="新宋体" w:cs="新宋体"/>
          <w:color w:val="auto"/>
          <w:sz w:val="24"/>
          <w:szCs w:val="24"/>
          <w:highlight w:val="none"/>
          <w:u w:val="single"/>
        </w:rPr>
        <w:t xml:space="preserve">（企业名称）</w:t>
      </w:r>
      <w:r>
        <w:rPr>
          <w:rFonts w:hint="eastAsia" w:ascii="新宋体" w:hAnsi="新宋体" w:eastAsia="新宋体" w:cs="新宋体"/>
          <w:color w:val="auto"/>
          <w:sz w:val="24"/>
          <w:szCs w:val="24"/>
          <w:highlight w:val="none"/>
        </w:rPr>
        <w:t xml:space="preserve">，从业人员</w:t>
      </w:r>
      <w:r>
        <w:rPr>
          <w:rFonts w:hint="eastAsia" w:ascii="新宋体" w:hAnsi="新宋体" w:eastAsia="新宋体" w:cs="新宋体"/>
          <w:color w:val="auto"/>
          <w:sz w:val="24"/>
          <w:szCs w:val="24"/>
          <w:highlight w:val="none"/>
          <w:u w:val="single"/>
        </w:rPr>
        <w:t xml:space="preserve">      </w:t>
      </w:r>
      <w:r>
        <w:rPr>
          <w:rFonts w:hint="eastAsia" w:ascii="新宋体" w:hAnsi="新宋体" w:eastAsia="新宋体" w:cs="新宋体"/>
          <w:color w:val="auto"/>
          <w:sz w:val="24"/>
          <w:szCs w:val="24"/>
          <w:highlight w:val="none"/>
        </w:rPr>
        <w:t xml:space="preserve">人，营业收入为</w:t>
      </w:r>
      <w:r>
        <w:rPr>
          <w:rFonts w:hint="eastAsia" w:ascii="新宋体" w:hAnsi="新宋体" w:eastAsia="新宋体" w:cs="新宋体"/>
          <w:color w:val="auto"/>
          <w:sz w:val="24"/>
          <w:szCs w:val="24"/>
          <w:highlight w:val="none"/>
          <w:u w:val="single"/>
        </w:rPr>
        <w:t xml:space="preserve">     </w:t>
      </w:r>
      <w:r>
        <w:rPr>
          <w:rFonts w:hint="eastAsia" w:ascii="新宋体" w:hAnsi="新宋体" w:eastAsia="新宋体" w:cs="新宋体"/>
          <w:color w:val="auto"/>
          <w:sz w:val="24"/>
          <w:szCs w:val="24"/>
          <w:highlight w:val="none"/>
        </w:rPr>
        <w:t xml:space="preserve">万元，资产总额为</w:t>
      </w:r>
      <w:r>
        <w:rPr>
          <w:rFonts w:hint="eastAsia" w:ascii="新宋体" w:hAnsi="新宋体" w:eastAsia="新宋体" w:cs="新宋体"/>
          <w:color w:val="auto"/>
          <w:sz w:val="24"/>
          <w:szCs w:val="24"/>
          <w:highlight w:val="none"/>
          <w:u w:val="single"/>
        </w:rPr>
        <w:t xml:space="preserve">      </w:t>
      </w:r>
      <w:r>
        <w:rPr>
          <w:rFonts w:hint="eastAsia" w:ascii="新宋体" w:hAnsi="新宋体" w:eastAsia="新宋体" w:cs="新宋体"/>
          <w:color w:val="auto"/>
          <w:sz w:val="24"/>
          <w:szCs w:val="24"/>
          <w:highlight w:val="none"/>
        </w:rPr>
        <w:t xml:space="preserve">万元，属于</w:t>
      </w:r>
      <w:r>
        <w:rPr>
          <w:rFonts w:hint="eastAsia" w:ascii="新宋体" w:hAnsi="新宋体" w:eastAsia="新宋体" w:cs="新宋体"/>
          <w:color w:val="auto"/>
          <w:sz w:val="24"/>
          <w:szCs w:val="24"/>
          <w:highlight w:val="none"/>
          <w:u w:val="single"/>
        </w:rPr>
        <w:t xml:space="preserve">（□中型企业 □小型企业 □微型企业）；</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以上企业，不属于大企业的分支机构，不存在控股股东为大企业的情形，也不存在与大企业的负责人为同一人的情形。</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本企业对上述声明内容的真实性负责。如有虚假，将依法承担相应责任</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r>
      <w:r/>
    </w:p>
    <w:p>
      <w:pPr>
        <w:ind w:firstLine="480"/>
        <w:jc w:val="right"/>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企业名称（加盖CA电子公章）：</w:t>
      </w:r>
      <w:r/>
    </w:p>
    <w:p>
      <w:pPr>
        <w:ind w:firstLine="696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日  期：</w:t>
      </w:r>
      <w:r/>
    </w:p>
    <w:p>
      <w:pPr>
        <w:ind w:firstLine="24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备注：1.从业人员、营业收入、资产总额填报上一年度数据，无上一年度数据的新成立企业可不填报。</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2.对照《工业和信息化部、国家统计局、国家发展和改革委员会、财政部关于印发中小企业划型标准规定的通知》(工信部联企业[2011]300号)的规定，供应商自行勾选承接企业的企业规模类型。</w:t>
      </w:r>
      <w:r/>
    </w:p>
    <w:p>
      <w:pPr>
        <w:rPr>
          <w:rFonts w:hint="eastAsia" w:ascii="新宋体" w:hAnsi="新宋体" w:eastAsia="新宋体" w:cs="新宋体"/>
          <w:b/>
          <w:color w:val="auto"/>
          <w:sz w:val="24"/>
          <w:szCs w:val="24"/>
          <w:highlight w:val="none"/>
        </w:rPr>
      </w:pPr>
      <w:r>
        <w:rPr>
          <w:rFonts w:hint="eastAsia" w:ascii="新宋体" w:hAnsi="新宋体" w:eastAsia="新宋体" w:cs="新宋体"/>
          <w:b/>
          <w:color w:val="auto"/>
          <w:sz w:val="24"/>
          <w:szCs w:val="24"/>
          <w:highlight w:val="none"/>
        </w:rPr>
      </w:r>
      <w:r/>
    </w:p>
    <w:p>
      <w:pPr>
        <w:rPr>
          <w:rFonts w:hint="eastAsia" w:ascii="新宋体" w:hAnsi="新宋体" w:eastAsia="新宋体" w:cs="新宋体"/>
          <w:b/>
          <w:color w:val="auto"/>
          <w:sz w:val="24"/>
          <w:szCs w:val="24"/>
          <w:highlight w:val="none"/>
        </w:rPr>
      </w:pPr>
      <w:r>
        <w:rPr>
          <w:rFonts w:hint="eastAsia" w:ascii="新宋体" w:hAnsi="新宋体" w:eastAsia="新宋体" w:cs="新宋体"/>
          <w:b/>
          <w:color w:val="auto"/>
          <w:sz w:val="24"/>
          <w:szCs w:val="24"/>
          <w:highlight w:val="none"/>
        </w:rPr>
      </w:r>
      <w:r/>
    </w:p>
    <w:p>
      <w:pPr>
        <w:rPr>
          <w:rFonts w:hint="eastAsia" w:ascii="新宋体" w:hAnsi="新宋体" w:eastAsia="新宋体" w:cs="新宋体"/>
          <w:b/>
          <w:color w:val="auto"/>
          <w:sz w:val="24"/>
          <w:szCs w:val="24"/>
          <w:highlight w:val="none"/>
        </w:rPr>
      </w:pPr>
      <w:r>
        <w:rPr>
          <w:rFonts w:hint="eastAsia" w:ascii="新宋体" w:hAnsi="新宋体" w:eastAsia="新宋体" w:cs="新宋体"/>
          <w:b/>
          <w:color w:val="auto"/>
          <w:sz w:val="24"/>
          <w:szCs w:val="24"/>
          <w:highlight w:val="none"/>
        </w:rPr>
      </w:r>
      <w:r/>
    </w:p>
    <w:p>
      <w:pPr>
        <w:pStyle w:val="1300"/>
        <w:jc w:val="center"/>
        <w:spacing w:before="151" w:after="151" w:line="60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残疾人福利性单位声明函</w:t>
      </w:r>
      <w:r/>
    </w:p>
    <w:p>
      <w:pPr>
        <w:pStyle w:val="1301"/>
        <w:spacing w:line="588" w:lineRule="exact"/>
        <w:rPr>
          <w:rFonts w:hint="eastAsia" w:ascii="新宋体" w:hAnsi="新宋体" w:eastAsia="新宋体" w:cs="新宋体"/>
          <w:b/>
          <w:color w:val="auto"/>
          <w:spacing w:val="6"/>
          <w:sz w:val="24"/>
          <w:szCs w:val="24"/>
          <w:highlight w:val="none"/>
        </w:rPr>
      </w:pPr>
      <w:r>
        <w:rPr>
          <w:rFonts w:hint="eastAsia" w:ascii="新宋体" w:hAnsi="新宋体" w:eastAsia="新宋体" w:cs="新宋体"/>
          <w:b/>
          <w:color w:val="auto"/>
          <w:spacing w:val="6"/>
          <w:sz w:val="24"/>
          <w:szCs w:val="24"/>
          <w:highlight w:val="none"/>
        </w:rPr>
      </w:r>
      <w:r/>
    </w:p>
    <w:p>
      <w:pPr>
        <w:pStyle w:val="1300"/>
        <w:ind w:firstLine="480"/>
        <w:spacing w:line="50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新宋体" w:hAnsi="新宋体" w:eastAsia="新宋体" w:cs="新宋体"/>
          <w:color w:val="auto"/>
          <w:sz w:val="24"/>
          <w:szCs w:val="24"/>
          <w:highlight w:val="none"/>
          <w:u w:val="single"/>
        </w:rPr>
        <w:t xml:space="preserve">（单位名称）</w:t>
      </w:r>
      <w:r>
        <w:rPr>
          <w:rFonts w:hint="eastAsia" w:ascii="新宋体" w:hAnsi="新宋体" w:eastAsia="新宋体" w:cs="新宋体"/>
          <w:color w:val="auto"/>
          <w:sz w:val="24"/>
          <w:szCs w:val="24"/>
          <w:highlight w:val="none"/>
        </w:rPr>
        <w:t xml:space="preserve">的</w:t>
      </w:r>
      <w:r>
        <w:rPr>
          <w:rFonts w:hint="eastAsia" w:ascii="新宋体" w:hAnsi="新宋体" w:eastAsia="新宋体" w:cs="新宋体"/>
          <w:color w:val="auto"/>
          <w:sz w:val="24"/>
          <w:szCs w:val="24"/>
          <w:highlight w:val="none"/>
          <w:u w:val="single"/>
        </w:rPr>
        <w:t xml:space="preserve">（项目名称） </w:t>
      </w:r>
      <w:r>
        <w:rPr>
          <w:rFonts w:hint="eastAsia" w:ascii="新宋体" w:hAnsi="新宋体" w:eastAsia="新宋体" w:cs="新宋体"/>
          <w:color w:val="auto"/>
          <w:sz w:val="24"/>
          <w:szCs w:val="24"/>
          <w:highlight w:val="none"/>
        </w:rPr>
        <w:t xml:space="preserve">采购活动提供本单位制造的货物（由本单位承担工程/提供服务），或者提供其他残疾人福利性单位制造的货物（不包括使用非残疾人福利性单位注册商标的货物）。</w:t>
      </w:r>
      <w:r/>
    </w:p>
    <w:p>
      <w:pPr>
        <w:pStyle w:val="1300"/>
        <w:ind w:firstLine="480"/>
        <w:spacing w:line="50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本单位对上述声明的真实性负责。如有虚假，将依法承担相应责任。</w:t>
      </w:r>
      <w:r/>
    </w:p>
    <w:p>
      <w:pPr>
        <w:pStyle w:val="1302"/>
        <w:jc w:val="left"/>
        <w:spacing w:line="50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r>
      <w:r/>
    </w:p>
    <w:p>
      <w:pPr>
        <w:pStyle w:val="1302"/>
        <w:ind w:firstLine="480"/>
        <w:jc w:val="left"/>
        <w:spacing w:line="50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单位名称：</w:t>
      </w:r>
      <w:r>
        <w:rPr>
          <w:rFonts w:hint="eastAsia" w:ascii="新宋体" w:hAnsi="新宋体" w:eastAsia="新宋体" w:cs="新宋体"/>
          <w:color w:val="auto"/>
          <w:sz w:val="24"/>
          <w:szCs w:val="24"/>
          <w:highlight w:val="none"/>
          <w:u w:val="single"/>
        </w:rPr>
        <w:t xml:space="preserve">              </w:t>
      </w:r>
      <w:r>
        <w:rPr>
          <w:rFonts w:hint="eastAsia" w:ascii="新宋体" w:hAnsi="新宋体" w:eastAsia="新宋体" w:cs="新宋体"/>
          <w:color w:val="auto"/>
          <w:sz w:val="24"/>
          <w:szCs w:val="24"/>
          <w:highlight w:val="none"/>
        </w:rPr>
        <w:t xml:space="preserve">（盖CA电子公章）</w:t>
      </w:r>
      <w:r/>
    </w:p>
    <w:p>
      <w:pPr>
        <w:pStyle w:val="1298"/>
        <w:ind w:firstLine="480"/>
        <w:spacing w:line="500" w:lineRule="exact"/>
        <w:rPr>
          <w:rFonts w:hint="eastAsia" w:ascii="新宋体" w:hAnsi="新宋体" w:eastAsia="新宋体" w:cs="新宋体"/>
          <w:b w:val="0"/>
          <w:color w:val="auto"/>
          <w:sz w:val="24"/>
          <w:szCs w:val="24"/>
          <w:highlight w:val="none"/>
        </w:rPr>
      </w:pPr>
      <w:r>
        <w:rPr>
          <w:rFonts w:hint="eastAsia" w:ascii="新宋体" w:hAnsi="新宋体" w:eastAsia="新宋体" w:cs="新宋体"/>
          <w:b w:val="0"/>
          <w:color w:val="auto"/>
          <w:sz w:val="24"/>
          <w:szCs w:val="24"/>
          <w:highlight w:val="none"/>
        </w:rPr>
        <w:t xml:space="preserve">日期：  年  月  日</w:t>
      </w:r>
      <w:r/>
    </w:p>
    <w:p>
      <w:pPr>
        <w:pStyle w:val="1303"/>
        <w:ind w:left="357" w:firstLine="0"/>
        <w:spacing w:line="50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r>
      <w:r/>
    </w:p>
    <w:p>
      <w:pPr>
        <w:pStyle w:val="1300"/>
        <w:ind w:firstLine="445"/>
        <w:spacing w:before="151" w:after="151" w:line="240" w:lineRule="atLeas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备注：1.非残疾人福利性单位不需提供此函。</w:t>
      </w:r>
      <w:r/>
    </w:p>
    <w:p>
      <w:pPr>
        <w:pStyle w:val="1300"/>
        <w:ind w:firstLine="445"/>
        <w:spacing w:before="151" w:after="151" w:line="240" w:lineRule="atLeas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2.符合报价折扣情形的请将此函填报上传至“企业报价折扣证明”一栏中。</w:t>
      </w:r>
      <w:r/>
    </w:p>
    <w:p>
      <w:pPr>
        <w:rPr>
          <w:rFonts w:hint="eastAsia" w:ascii="新宋体" w:hAnsi="新宋体" w:eastAsia="新宋体" w:cs="新宋体"/>
          <w:b/>
          <w:color w:val="auto"/>
          <w:sz w:val="24"/>
          <w:szCs w:val="24"/>
          <w:highlight w:val="none"/>
        </w:rPr>
      </w:pPr>
      <w:r>
        <w:rPr>
          <w:rFonts w:hint="eastAsia" w:ascii="新宋体" w:hAnsi="新宋体" w:eastAsia="新宋体" w:cs="新宋体"/>
          <w:color w:val="auto"/>
          <w:sz w:val="24"/>
          <w:szCs w:val="24"/>
          <w:highlight w:val="none"/>
        </w:rPr>
        <w:br w:type="page" w:clear="all"/>
      </w:r>
      <w:r/>
    </w:p>
    <w:p>
      <w:pPr>
        <w:pStyle w:val="669"/>
        <w:ind w:firstLine="320"/>
        <w:spacing w:before="0" w:after="0" w:line="520" w:lineRule="exact"/>
        <w:rPr>
          <w:rFonts w:hint="eastAsia" w:ascii="新宋体" w:hAnsi="新宋体" w:eastAsia="新宋体" w:cs="新宋体"/>
          <w:color w:val="auto"/>
          <w:sz w:val="24"/>
          <w:szCs w:val="24"/>
          <w:highlight w:val="none"/>
        </w:rPr>
        <w:outlineLvl w:val="1"/>
      </w:pPr>
      <w:r/>
      <w:bookmarkStart w:id="118" w:name="_Toc9296"/>
      <w:r>
        <w:rPr>
          <w:rFonts w:hint="eastAsia" w:ascii="新宋体" w:hAnsi="新宋体" w:eastAsia="新宋体" w:cs="新宋体"/>
          <w:b/>
          <w:bCs/>
          <w:color w:val="auto"/>
          <w:sz w:val="24"/>
          <w:szCs w:val="24"/>
          <w:highlight w:val="none"/>
        </w:rPr>
        <w:t xml:space="preserve">六、技术响应偏离表</w:t>
      </w:r>
      <w:bookmarkEnd w:id="118"/>
      <w:r/>
      <w:r/>
    </w:p>
    <w:p>
      <w:pPr>
        <w:pStyle w:val="680"/>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r>
      <w:r/>
    </w:p>
    <w:tbl>
      <w:tblPr>
        <w:tblStyle w:val="678"/>
        <w:tblW w:w="9394" w:type="dxa"/>
        <w:tblInd w:w="-117" w:type="dxa"/>
        <w:tblLayout w:type="fixed"/>
        <w:tblCellMar>
          <w:left w:w="108" w:type="dxa"/>
          <w:top w:w="0" w:type="dxa"/>
          <w:right w:w="108" w:type="dxa"/>
          <w:bottom w:w="0" w:type="dxa"/>
        </w:tblCellMar>
        <w:tblLook w:val="04A0" w:firstRow="1" w:lastRow="0" w:firstColumn="1" w:lastColumn="0" w:noHBand="0" w:noVBand="1"/>
      </w:tblPr>
      <w:tblGrid>
        <w:gridCol w:w="2791"/>
        <w:gridCol w:w="2386"/>
        <w:gridCol w:w="1656"/>
        <w:gridCol w:w="2561"/>
      </w:tblGrid>
      <w:tr>
        <w:trPr>
          <w:trHeight w:val="665"/>
        </w:trPr>
        <w:tc>
          <w:tcPr>
            <w:tcBorders>
              <w:top w:val="single" w:color="000000" w:sz="8" w:space="0"/>
              <w:left w:val="single" w:color="000000" w:sz="8" w:space="0"/>
              <w:bottom w:val="single" w:color="000000" w:sz="8" w:space="0"/>
              <w:right w:val="single" w:color="000000" w:sz="8" w:space="0"/>
            </w:tcBorders>
            <w:tcW w:w="2791" w:type="dxa"/>
            <w:vAlign w:val="center"/>
            <w:textDirection w:val="lrTb"/>
            <w:noWrap w:val="false"/>
          </w:tcPr>
          <w:p>
            <w:pPr>
              <w:ind w:left="0" w:right="0"/>
              <w:jc w:val="center"/>
              <w:keepLines w:val="0"/>
              <w:keepNext w:val="0"/>
              <w:spacing w:before="100" w:beforeAutospacing="0" w:after="0" w:afterAutospacing="0" w:line="559"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t xml:space="preserve">磋商文件内容</w:t>
            </w:r>
            <w:r/>
          </w:p>
        </w:tc>
        <w:tc>
          <w:tcPr>
            <w:tcBorders>
              <w:top w:val="single" w:color="000000" w:sz="8" w:space="0"/>
              <w:left w:val="none" w:color="000000" w:sz="4" w:space="0"/>
              <w:bottom w:val="single" w:color="000000" w:sz="8" w:space="0"/>
              <w:right w:val="single" w:color="000000" w:sz="8" w:space="0"/>
            </w:tcBorders>
            <w:tcW w:w="2386" w:type="dxa"/>
            <w:vAlign w:val="center"/>
            <w:textDirection w:val="lrTb"/>
            <w:noWrap w:val="false"/>
          </w:tcPr>
          <w:p>
            <w:pPr>
              <w:ind w:left="0" w:right="0"/>
              <w:jc w:val="center"/>
              <w:keepLines w:val="0"/>
              <w:keepNext w:val="0"/>
              <w:spacing w:before="100" w:beforeAutospacing="0" w:after="0" w:afterAutospacing="0" w:line="559"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t xml:space="preserve">响应文件内容</w:t>
            </w:r>
            <w:r/>
          </w:p>
        </w:tc>
        <w:tc>
          <w:tcPr>
            <w:tcBorders>
              <w:top w:val="single" w:color="000000" w:sz="8" w:space="0"/>
              <w:left w:val="none" w:color="000000" w:sz="4" w:space="0"/>
              <w:bottom w:val="single" w:color="000000" w:sz="8" w:space="0"/>
              <w:right w:val="single" w:color="000000" w:sz="8" w:space="0"/>
            </w:tcBorders>
            <w:tcW w:w="1656" w:type="dxa"/>
            <w:vAlign w:val="center"/>
            <w:textDirection w:val="lrTb"/>
            <w:noWrap w:val="false"/>
          </w:tcPr>
          <w:p>
            <w:pPr>
              <w:ind w:left="0" w:right="0"/>
              <w:jc w:val="center"/>
              <w:keepLines w:val="0"/>
              <w:keepNext w:val="0"/>
              <w:spacing w:before="100" w:beforeAutospacing="0" w:after="0" w:afterAutospacing="0" w:line="400" w:lineRule="exac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t xml:space="preserve">偏离情况（</w:t>
            </w:r>
            <w:r>
              <w:rPr>
                <w:rFonts w:hint="eastAsia" w:ascii="新宋体" w:hAnsi="新宋体" w:eastAsia="新宋体" w:cs="新宋体"/>
                <w:b/>
                <w:color w:val="auto"/>
                <w:sz w:val="24"/>
                <w:szCs w:val="24"/>
                <w:highlight w:val="none"/>
              </w:rPr>
              <w:t xml:space="preserve">正偏离、负偏离、无偏离</w:t>
            </w:r>
            <w:r>
              <w:rPr>
                <w:rFonts w:hint="eastAsia" w:ascii="新宋体" w:hAnsi="新宋体" w:eastAsia="新宋体" w:cs="新宋体"/>
                <w:color w:val="auto"/>
                <w:sz w:val="24"/>
                <w:szCs w:val="24"/>
                <w:highlight w:val="none"/>
              </w:rPr>
              <w:t xml:space="preserve">）</w:t>
            </w:r>
            <w:r/>
          </w:p>
        </w:tc>
        <w:tc>
          <w:tcPr>
            <w:tcBorders>
              <w:top w:val="single" w:color="000000" w:sz="8" w:space="0"/>
              <w:left w:val="none" w:color="000000" w:sz="4" w:space="0"/>
              <w:bottom w:val="single" w:color="000000" w:sz="8" w:space="0"/>
              <w:right w:val="single" w:color="000000" w:sz="8" w:space="0"/>
            </w:tcBorders>
            <w:tcW w:w="2561" w:type="dxa"/>
            <w:vAlign w:val="center"/>
            <w:textDirection w:val="lrTb"/>
            <w:noWrap w:val="false"/>
          </w:tcPr>
          <w:p>
            <w:pPr>
              <w:ind w:left="0" w:right="0"/>
              <w:jc w:val="center"/>
              <w:keepLines w:val="0"/>
              <w:keepNext w:val="0"/>
              <w:spacing w:before="100" w:beforeAutospacing="0" w:after="0" w:afterAutospacing="0" w:line="559"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t xml:space="preserve">偏离内容及说明</w:t>
            </w:r>
            <w:r/>
          </w:p>
          <w:p>
            <w:pPr>
              <w:ind w:left="0" w:right="0"/>
              <w:jc w:val="center"/>
              <w:keepLines w:val="0"/>
              <w:keepNext w:val="0"/>
              <w:spacing w:before="100" w:beforeAutospacing="0" w:after="0" w:afterAutospacing="0" w:line="559"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ind w:left="0" w:right="0"/>
              <w:jc w:val="center"/>
              <w:keepLines w:val="0"/>
              <w:keepNext w:val="0"/>
              <w:spacing w:before="0" w:beforeAutospacing="0" w:after="0" w:afterAutospacing="0" w:line="559"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ind w:left="0" w:right="0"/>
              <w:jc w:val="center"/>
              <w:keepLines w:val="0"/>
              <w:keepNext w:val="0"/>
              <w:spacing w:before="0" w:beforeAutospacing="0" w:after="0" w:afterAutospacing="0" w:line="559"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ind w:left="0" w:right="0"/>
              <w:jc w:val="center"/>
              <w:keepLines w:val="0"/>
              <w:keepNext w:val="0"/>
              <w:spacing w:before="0" w:beforeAutospacing="0" w:after="0" w:afterAutospacing="0" w:line="559"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ind w:left="0" w:right="0"/>
              <w:jc w:val="center"/>
              <w:keepLines w:val="0"/>
              <w:keepNext w:val="0"/>
              <w:spacing w:before="0" w:beforeAutospacing="0" w:after="0" w:afterAutospacing="0" w:line="559"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ind w:left="0" w:right="0"/>
              <w:jc w:val="center"/>
              <w:keepLines w:val="0"/>
              <w:keepNext w:val="0"/>
              <w:spacing w:before="0" w:beforeAutospacing="0" w:after="0" w:afterAutospacing="0" w:line="559"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ind w:left="0" w:right="0"/>
              <w:jc w:val="center"/>
              <w:keepLines w:val="0"/>
              <w:keepNext w:val="0"/>
              <w:spacing w:before="0" w:beforeAutospacing="0" w:after="0" w:afterAutospacing="0" w:line="559"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ind w:left="0" w:right="0"/>
              <w:jc w:val="center"/>
              <w:keepLines w:val="0"/>
              <w:keepNext w:val="0"/>
              <w:spacing w:before="0" w:beforeAutospacing="0" w:after="0" w:afterAutospacing="0" w:line="559"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ind w:left="0" w:right="0"/>
              <w:jc w:val="center"/>
              <w:keepLines w:val="0"/>
              <w:keepNext w:val="0"/>
              <w:spacing w:before="0" w:beforeAutospacing="0" w:after="0" w:afterAutospacing="0" w:line="559"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ind w:left="0" w:right="0"/>
              <w:jc w:val="center"/>
              <w:keepLines w:val="0"/>
              <w:keepNext w:val="0"/>
              <w:spacing w:before="0" w:beforeAutospacing="0" w:after="0" w:afterAutospacing="0" w:line="559"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ind w:left="0" w:right="0"/>
              <w:jc w:val="center"/>
              <w:keepLines w:val="0"/>
              <w:keepNext w:val="0"/>
              <w:spacing w:before="0" w:beforeAutospacing="0" w:after="0" w:afterAutospacing="0" w:line="559"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ind w:left="0" w:right="0"/>
              <w:jc w:val="center"/>
              <w:keepLines w:val="0"/>
              <w:keepNext w:val="0"/>
              <w:spacing w:before="0" w:beforeAutospacing="0" w:after="0" w:afterAutospacing="0" w:line="559"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ind w:left="0" w:right="0"/>
              <w:jc w:val="center"/>
              <w:keepLines w:val="0"/>
              <w:keepNext w:val="0"/>
              <w:spacing w:before="0" w:beforeAutospacing="0" w:after="0" w:afterAutospacing="0" w:line="559"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ind w:left="0" w:right="0"/>
              <w:jc w:val="center"/>
              <w:keepLines w:val="0"/>
              <w:keepNext w:val="0"/>
              <w:spacing w:before="0" w:beforeAutospacing="0" w:after="0" w:afterAutospacing="0" w:line="559"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ind w:left="0" w:right="0"/>
              <w:jc w:val="center"/>
              <w:keepLines w:val="0"/>
              <w:keepNext w:val="0"/>
              <w:spacing w:before="0" w:beforeAutospacing="0" w:after="0" w:afterAutospacing="0" w:line="559"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ind w:left="0" w:right="0"/>
              <w:jc w:val="center"/>
              <w:keepLines w:val="0"/>
              <w:keepNext w:val="0"/>
              <w:spacing w:before="0" w:beforeAutospacing="0" w:after="0" w:afterAutospacing="0" w:line="559"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ind w:left="0" w:right="0"/>
              <w:jc w:val="center"/>
              <w:keepLines w:val="0"/>
              <w:keepNext w:val="0"/>
              <w:spacing w:before="0" w:beforeAutospacing="0" w:after="0" w:afterAutospacing="0" w:line="559"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ind w:left="0" w:right="0"/>
              <w:jc w:val="center"/>
              <w:keepLines w:val="0"/>
              <w:keepNext w:val="0"/>
              <w:spacing w:before="0" w:beforeAutospacing="0" w:after="0" w:afterAutospacing="0" w:line="559"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ind w:left="0" w:right="0"/>
              <w:jc w:val="center"/>
              <w:keepLines w:val="0"/>
              <w:keepNext w:val="0"/>
              <w:spacing w:before="0" w:beforeAutospacing="0" w:after="0" w:afterAutospacing="0" w:line="559"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ind w:left="0" w:right="0"/>
              <w:jc w:val="center"/>
              <w:keepLines w:val="0"/>
              <w:keepNext w:val="0"/>
              <w:spacing w:before="0" w:beforeAutospacing="0" w:after="0" w:afterAutospacing="0" w:line="559"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ind w:left="0" w:right="0"/>
              <w:jc w:val="center"/>
              <w:keepLines w:val="0"/>
              <w:keepNext w:val="0"/>
              <w:spacing w:before="0" w:beforeAutospacing="0" w:after="0" w:afterAutospacing="0" w:line="559"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ind w:left="0" w:right="0"/>
              <w:jc w:val="center"/>
              <w:keepLines w:val="0"/>
              <w:keepNext w:val="0"/>
              <w:spacing w:before="0" w:beforeAutospacing="0" w:after="0" w:afterAutospacing="0" w:line="559"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ind w:left="0" w:right="0"/>
              <w:jc w:val="center"/>
              <w:keepLines w:val="0"/>
              <w:keepNext w:val="0"/>
              <w:spacing w:before="0" w:beforeAutospacing="0" w:after="0" w:afterAutospacing="0" w:line="559"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ind w:left="0" w:right="0"/>
              <w:jc w:val="center"/>
              <w:keepLines w:val="0"/>
              <w:keepNext w:val="0"/>
              <w:spacing w:before="0" w:beforeAutospacing="0" w:after="0" w:afterAutospacing="0" w:line="559"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ind w:left="0" w:right="0"/>
              <w:jc w:val="center"/>
              <w:keepLines w:val="0"/>
              <w:keepNext w:val="0"/>
              <w:spacing w:before="0" w:beforeAutospacing="0" w:after="0" w:afterAutospacing="0" w:line="559"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ind w:left="0" w:right="0"/>
              <w:jc w:val="center"/>
              <w:keepLines w:val="0"/>
              <w:keepNext w:val="0"/>
              <w:spacing w:before="0" w:beforeAutospacing="0" w:after="0" w:afterAutospacing="0" w:line="559"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ind w:left="0" w:right="0"/>
              <w:jc w:val="center"/>
              <w:keepLines w:val="0"/>
              <w:keepNext w:val="0"/>
              <w:spacing w:before="0" w:beforeAutospacing="0" w:after="0" w:afterAutospacing="0" w:line="559"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ind w:left="0" w:right="0"/>
              <w:jc w:val="center"/>
              <w:keepLines w:val="0"/>
              <w:keepNext w:val="0"/>
              <w:spacing w:before="0" w:beforeAutospacing="0" w:after="0" w:afterAutospacing="0" w:line="559"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ind w:left="0" w:right="0"/>
              <w:jc w:val="center"/>
              <w:keepLines w:val="0"/>
              <w:keepNext w:val="0"/>
              <w:spacing w:before="0" w:beforeAutospacing="0" w:after="0" w:afterAutospacing="0" w:line="559"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ind w:left="0" w:right="0"/>
              <w:jc w:val="center"/>
              <w:keepLines w:val="0"/>
              <w:keepNext w:val="0"/>
              <w:spacing w:before="0" w:beforeAutospacing="0" w:after="0" w:afterAutospacing="0" w:line="559"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ind w:left="0" w:right="0"/>
              <w:jc w:val="center"/>
              <w:keepLines w:val="0"/>
              <w:keepNext w:val="0"/>
              <w:spacing w:before="0" w:beforeAutospacing="0" w:after="0" w:afterAutospacing="0" w:line="559"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ind w:left="0" w:right="0"/>
              <w:jc w:val="center"/>
              <w:keepLines w:val="0"/>
              <w:keepNext w:val="0"/>
              <w:spacing w:before="0" w:beforeAutospacing="0" w:after="0" w:afterAutospacing="0" w:line="559"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ind w:left="0" w:right="0"/>
              <w:jc w:val="center"/>
              <w:keepLines w:val="0"/>
              <w:keepNext w:val="0"/>
              <w:spacing w:before="0" w:beforeAutospacing="0" w:after="0" w:afterAutospacing="0" w:line="559"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r>
    </w:tbl>
    <w:p>
      <w:pPr>
        <w:jc w:val="right"/>
        <w:spacing w:line="559" w:lineRule="atLeas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单位名称：</w:t>
      </w:r>
      <w:r>
        <w:rPr>
          <w:rFonts w:hint="eastAsia" w:ascii="新宋体" w:hAnsi="新宋体" w:eastAsia="新宋体" w:cs="新宋体"/>
          <w:color w:val="auto"/>
          <w:sz w:val="24"/>
          <w:szCs w:val="24"/>
          <w:highlight w:val="none"/>
          <w:u w:val="single"/>
          <w:lang w:val="en-US" w:eastAsia="zh-CN"/>
        </w:rPr>
        <w:t xml:space="preserve">            </w:t>
      </w:r>
      <w:r>
        <w:rPr>
          <w:rFonts w:hint="eastAsia" w:ascii="新宋体" w:hAnsi="新宋体" w:eastAsia="新宋体" w:cs="新宋体"/>
          <w:color w:val="auto"/>
          <w:sz w:val="24"/>
          <w:szCs w:val="24"/>
          <w:highlight w:val="none"/>
        </w:rPr>
        <w:t xml:space="preserve">（盖CA电子公章）</w:t>
      </w:r>
      <w:r/>
    </w:p>
    <w:p>
      <w:pPr>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r>
      <w:r/>
    </w:p>
    <w:p>
      <w:pPr>
        <w:pStyle w:val="1308"/>
        <w:rPr>
          <w:rFonts w:hint="eastAsia" w:ascii="新宋体" w:hAnsi="新宋体" w:eastAsia="新宋体" w:cs="新宋体"/>
          <w:b/>
          <w:bCs/>
          <w:color w:val="auto"/>
          <w:sz w:val="24"/>
          <w:szCs w:val="24"/>
          <w:highlight w:val="none"/>
        </w:rPr>
      </w:pPr>
      <w:r>
        <w:rPr>
          <w:rFonts w:hint="eastAsia" w:ascii="新宋体" w:hAnsi="新宋体" w:eastAsia="新宋体" w:cs="新宋体"/>
          <w:b/>
          <w:bCs/>
          <w:color w:val="auto"/>
          <w:sz w:val="24"/>
          <w:szCs w:val="24"/>
          <w:highlight w:val="none"/>
        </w:rPr>
        <w:t xml:space="preserve">备注：</w:t>
      </w:r>
      <w:r/>
    </w:p>
    <w:p>
      <w:pPr>
        <w:pStyle w:val="1308"/>
        <w:numPr>
          <w:ilvl w:val="0"/>
          <w:numId w:val="9"/>
        </w:numPr>
        <w:rPr>
          <w:rFonts w:hint="eastAsia" w:ascii="新宋体" w:hAnsi="新宋体" w:eastAsia="新宋体" w:cs="新宋体"/>
          <w:b/>
          <w:bCs/>
          <w:color w:val="auto"/>
          <w:sz w:val="24"/>
          <w:szCs w:val="24"/>
          <w:highlight w:val="none"/>
        </w:rPr>
      </w:pPr>
      <w:r>
        <w:rPr>
          <w:rFonts w:hint="eastAsia" w:ascii="新宋体" w:hAnsi="新宋体" w:eastAsia="新宋体" w:cs="新宋体"/>
          <w:b/>
          <w:bCs/>
          <w:color w:val="auto"/>
          <w:sz w:val="24"/>
          <w:szCs w:val="24"/>
          <w:highlight w:val="none"/>
        </w:rPr>
        <w:t xml:space="preserve">供应商针对采购需求中的实质性要求（打“★”内容）须做出明确响应，采购需求中要求提供证明材料的，以证明材料为准，若《技术响应偏离表》与提供证明材料的内容不一致，以证明材料为准；采购需求中未要求提供证明材料的，以《技术响应偏离表》为准，《技术响应偏离表》中未列出的作无效响应处理。</w:t>
      </w:r>
      <w:r/>
    </w:p>
    <w:p>
      <w:pPr>
        <w:numPr>
          <w:ilvl w:val="0"/>
          <w:numId w:val="9"/>
        </w:numPr>
        <w:rPr>
          <w:rFonts w:hint="eastAsia" w:ascii="新宋体" w:hAnsi="新宋体" w:eastAsia="新宋体" w:cs="新宋体"/>
          <w:b/>
          <w:bCs/>
          <w:color w:val="auto"/>
          <w:sz w:val="24"/>
          <w:szCs w:val="24"/>
          <w:highlight w:val="none"/>
        </w:rPr>
      </w:pPr>
      <w:r>
        <w:rPr>
          <w:rFonts w:hint="eastAsia" w:ascii="新宋体" w:hAnsi="新宋体" w:eastAsia="新宋体" w:cs="新宋体"/>
          <w:b/>
          <w:bCs/>
          <w:color w:val="auto"/>
          <w:sz w:val="24"/>
          <w:szCs w:val="24"/>
          <w:highlight w:val="none"/>
        </w:rPr>
        <w:t xml:space="preserve">采购文件中要求提供承诺函的，供应商按要求提供承诺函。</w:t>
      </w:r>
      <w:r/>
    </w:p>
    <w:p>
      <w:pPr>
        <w:rPr>
          <w:rFonts w:hint="eastAsia" w:ascii="新宋体" w:hAnsi="新宋体" w:eastAsia="新宋体" w:cs="新宋体"/>
          <w:b/>
          <w:bCs/>
          <w:color w:val="auto"/>
          <w:sz w:val="24"/>
          <w:szCs w:val="24"/>
          <w:highlight w:val="none"/>
        </w:rPr>
      </w:pPr>
      <w:r>
        <w:rPr>
          <w:rFonts w:hint="eastAsia" w:ascii="新宋体" w:hAnsi="新宋体" w:eastAsia="新宋体" w:cs="新宋体"/>
          <w:b/>
          <w:bCs/>
          <w:color w:val="auto"/>
          <w:sz w:val="24"/>
          <w:szCs w:val="24"/>
          <w:highlight w:val="none"/>
        </w:rPr>
        <w:t xml:space="preserve">3、供应商所投产品如与磋商文件要求的规格及配置不一致，则须在上表偏离说明中详细注明。</w:t>
      </w:r>
      <w:r>
        <w:rPr>
          <w:rFonts w:hint="eastAsia" w:ascii="新宋体" w:hAnsi="新宋体" w:eastAsia="新宋体" w:cs="新宋体"/>
          <w:b/>
          <w:color w:val="auto"/>
          <w:sz w:val="24"/>
          <w:szCs w:val="24"/>
          <w:highlight w:val="none"/>
        </w:rPr>
        <w:br w:type="page" w:clear="all"/>
      </w:r>
      <w:r/>
    </w:p>
    <w:p>
      <w:pPr>
        <w:pStyle w:val="1318"/>
        <w:rPr>
          <w:rFonts w:hint="eastAsia" w:ascii="新宋体" w:hAnsi="新宋体" w:eastAsia="新宋体" w:cs="新宋体"/>
          <w:color w:val="auto"/>
          <w:sz w:val="24"/>
          <w:szCs w:val="24"/>
          <w:highlight w:val="none"/>
        </w:rPr>
        <w:outlineLvl w:val="1"/>
      </w:pPr>
      <w:r/>
      <w:bookmarkStart w:id="119" w:name="_Toc20108"/>
      <w:r>
        <w:rPr>
          <w:rFonts w:hint="eastAsia" w:ascii="新宋体" w:hAnsi="新宋体" w:eastAsia="新宋体" w:cs="新宋体"/>
          <w:color w:val="auto"/>
          <w:sz w:val="24"/>
          <w:szCs w:val="24"/>
          <w:highlight w:val="none"/>
        </w:rPr>
        <w:t xml:space="preserve">七、</w:t>
      </w:r>
      <w:bookmarkEnd w:id="108"/>
      <w:r>
        <w:rPr>
          <w:rFonts w:hint="eastAsia" w:ascii="新宋体" w:hAnsi="新宋体" w:eastAsia="新宋体" w:cs="新宋体"/>
          <w:color w:val="auto"/>
          <w:sz w:val="24"/>
          <w:szCs w:val="24"/>
          <w:highlight w:val="none"/>
          <w:lang w:val="en-US" w:eastAsia="zh-CN"/>
        </w:rPr>
        <w:t xml:space="preserve">商务</w:t>
      </w:r>
      <w:r>
        <w:rPr>
          <w:rFonts w:hint="eastAsia" w:ascii="新宋体" w:hAnsi="新宋体" w:eastAsia="新宋体" w:cs="新宋体"/>
          <w:color w:val="auto"/>
          <w:sz w:val="24"/>
          <w:szCs w:val="24"/>
          <w:highlight w:val="none"/>
        </w:rPr>
        <w:t xml:space="preserve">响应偏离表</w:t>
      </w:r>
      <w:bookmarkEnd w:id="119"/>
      <w:r/>
      <w:r/>
    </w:p>
    <w:p>
      <w:pPr>
        <w:pStyle w:val="680"/>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r>
      <w:r/>
    </w:p>
    <w:tbl>
      <w:tblPr>
        <w:tblStyle w:val="678"/>
        <w:tblW w:w="9394" w:type="dxa"/>
        <w:tblInd w:w="-117" w:type="dxa"/>
        <w:tblLayout w:type="fixed"/>
        <w:tblCellMar>
          <w:left w:w="108" w:type="dxa"/>
          <w:top w:w="0" w:type="dxa"/>
          <w:right w:w="108" w:type="dxa"/>
          <w:bottom w:w="0" w:type="dxa"/>
        </w:tblCellMar>
        <w:tblLook w:val="04A0" w:firstRow="1" w:lastRow="0" w:firstColumn="1" w:lastColumn="0" w:noHBand="0" w:noVBand="1"/>
      </w:tblPr>
      <w:tblGrid>
        <w:gridCol w:w="2791"/>
        <w:gridCol w:w="2386"/>
        <w:gridCol w:w="1656"/>
        <w:gridCol w:w="2561"/>
      </w:tblGrid>
      <w:tr>
        <w:trPr>
          <w:trHeight w:val="665"/>
        </w:trPr>
        <w:tc>
          <w:tcPr>
            <w:tcBorders>
              <w:top w:val="single" w:color="000000" w:sz="8" w:space="0"/>
              <w:left w:val="single" w:color="000000" w:sz="8" w:space="0"/>
              <w:bottom w:val="single" w:color="000000" w:sz="8" w:space="0"/>
              <w:right w:val="single" w:color="000000" w:sz="8" w:space="0"/>
            </w:tcBorders>
            <w:tcW w:w="2791" w:type="dxa"/>
            <w:vAlign w:val="center"/>
            <w:textDirection w:val="lrTb"/>
            <w:noWrap w:val="false"/>
          </w:tcPr>
          <w:p>
            <w:pPr>
              <w:ind w:left="0" w:right="0"/>
              <w:jc w:val="center"/>
              <w:keepLines w:val="0"/>
              <w:keepNext w:val="0"/>
              <w:spacing w:before="100" w:beforeAutospacing="0" w:after="0" w:afterAutospacing="0" w:line="559"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t xml:space="preserve">磋商文件内容</w:t>
            </w:r>
            <w:r/>
          </w:p>
        </w:tc>
        <w:tc>
          <w:tcPr>
            <w:tcBorders>
              <w:top w:val="single" w:color="000000" w:sz="8" w:space="0"/>
              <w:left w:val="none" w:color="000000" w:sz="4" w:space="0"/>
              <w:bottom w:val="single" w:color="000000" w:sz="8" w:space="0"/>
              <w:right w:val="single" w:color="000000" w:sz="8" w:space="0"/>
            </w:tcBorders>
            <w:tcW w:w="2386" w:type="dxa"/>
            <w:vAlign w:val="center"/>
            <w:textDirection w:val="lrTb"/>
            <w:noWrap w:val="false"/>
          </w:tcPr>
          <w:p>
            <w:pPr>
              <w:ind w:left="0" w:right="0"/>
              <w:jc w:val="center"/>
              <w:keepLines w:val="0"/>
              <w:keepNext w:val="0"/>
              <w:spacing w:before="100" w:beforeAutospacing="0" w:after="0" w:afterAutospacing="0" w:line="559"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t xml:space="preserve">响应文件内容</w:t>
            </w:r>
            <w:r/>
          </w:p>
        </w:tc>
        <w:tc>
          <w:tcPr>
            <w:tcBorders>
              <w:top w:val="single" w:color="000000" w:sz="8" w:space="0"/>
              <w:left w:val="none" w:color="000000" w:sz="4" w:space="0"/>
              <w:bottom w:val="single" w:color="000000" w:sz="8" w:space="0"/>
              <w:right w:val="single" w:color="000000" w:sz="8" w:space="0"/>
            </w:tcBorders>
            <w:tcW w:w="1656" w:type="dxa"/>
            <w:vAlign w:val="center"/>
            <w:textDirection w:val="lrTb"/>
            <w:noWrap w:val="false"/>
          </w:tcPr>
          <w:p>
            <w:pPr>
              <w:ind w:left="0" w:right="0"/>
              <w:jc w:val="center"/>
              <w:keepLines w:val="0"/>
              <w:keepNext w:val="0"/>
              <w:spacing w:before="100" w:beforeAutospacing="0" w:after="0" w:afterAutospacing="0" w:line="400" w:lineRule="exac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t xml:space="preserve">偏离情况（</w:t>
            </w:r>
            <w:r>
              <w:rPr>
                <w:rFonts w:hint="eastAsia" w:ascii="新宋体" w:hAnsi="新宋体" w:eastAsia="新宋体" w:cs="新宋体"/>
                <w:b/>
                <w:color w:val="auto"/>
                <w:sz w:val="24"/>
                <w:szCs w:val="24"/>
                <w:highlight w:val="none"/>
              </w:rPr>
              <w:t xml:space="preserve">正偏离、负偏离、无偏离</w:t>
            </w:r>
            <w:r>
              <w:rPr>
                <w:rFonts w:hint="eastAsia" w:ascii="新宋体" w:hAnsi="新宋体" w:eastAsia="新宋体" w:cs="新宋体"/>
                <w:color w:val="auto"/>
                <w:sz w:val="24"/>
                <w:szCs w:val="24"/>
                <w:highlight w:val="none"/>
              </w:rPr>
              <w:t xml:space="preserve">）</w:t>
            </w:r>
            <w:r/>
          </w:p>
        </w:tc>
        <w:tc>
          <w:tcPr>
            <w:tcBorders>
              <w:top w:val="single" w:color="000000" w:sz="8" w:space="0"/>
              <w:left w:val="none" w:color="000000" w:sz="4" w:space="0"/>
              <w:bottom w:val="single" w:color="000000" w:sz="8" w:space="0"/>
              <w:right w:val="single" w:color="000000" w:sz="8" w:space="0"/>
            </w:tcBorders>
            <w:tcW w:w="2561" w:type="dxa"/>
            <w:vAlign w:val="center"/>
            <w:textDirection w:val="lrTb"/>
            <w:noWrap w:val="false"/>
          </w:tcPr>
          <w:p>
            <w:pPr>
              <w:ind w:left="0" w:right="0"/>
              <w:jc w:val="center"/>
              <w:keepLines w:val="0"/>
              <w:keepNext w:val="0"/>
              <w:spacing w:before="100" w:beforeAutospacing="0" w:after="0" w:afterAutospacing="0" w:line="559"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t xml:space="preserve">偏离内容及说明</w:t>
            </w:r>
            <w:r/>
          </w:p>
          <w:p>
            <w:pPr>
              <w:ind w:left="0" w:right="0"/>
              <w:jc w:val="center"/>
              <w:keepLines w:val="0"/>
              <w:keepNext w:val="0"/>
              <w:spacing w:before="100" w:beforeAutospacing="0" w:after="0" w:afterAutospacing="0" w:line="559"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ind w:left="0" w:right="0"/>
              <w:jc w:val="center"/>
              <w:keepLines w:val="0"/>
              <w:keepNext w:val="0"/>
              <w:spacing w:before="0" w:beforeAutospacing="0" w:after="0" w:afterAutospacing="0" w:line="559"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ind w:left="0" w:right="0"/>
              <w:jc w:val="center"/>
              <w:keepLines w:val="0"/>
              <w:keepNext w:val="0"/>
              <w:spacing w:before="0" w:beforeAutospacing="0" w:after="0" w:afterAutospacing="0" w:line="559"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ind w:left="0" w:right="0"/>
              <w:jc w:val="center"/>
              <w:keepLines w:val="0"/>
              <w:keepNext w:val="0"/>
              <w:spacing w:before="0" w:beforeAutospacing="0" w:after="0" w:afterAutospacing="0" w:line="559"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ind w:left="0" w:right="0"/>
              <w:jc w:val="center"/>
              <w:keepLines w:val="0"/>
              <w:keepNext w:val="0"/>
              <w:spacing w:before="0" w:beforeAutospacing="0" w:after="0" w:afterAutospacing="0" w:line="559"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ind w:left="0" w:right="0"/>
              <w:jc w:val="center"/>
              <w:keepLines w:val="0"/>
              <w:keepNext w:val="0"/>
              <w:spacing w:before="0" w:beforeAutospacing="0" w:after="0" w:afterAutospacing="0" w:line="559"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ind w:left="0" w:right="0"/>
              <w:jc w:val="center"/>
              <w:keepLines w:val="0"/>
              <w:keepNext w:val="0"/>
              <w:spacing w:before="0" w:beforeAutospacing="0" w:after="0" w:afterAutospacing="0" w:line="559"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ind w:left="0" w:right="0"/>
              <w:jc w:val="center"/>
              <w:keepLines w:val="0"/>
              <w:keepNext w:val="0"/>
              <w:spacing w:before="0" w:beforeAutospacing="0" w:after="0" w:afterAutospacing="0" w:line="559"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ind w:left="0" w:right="0"/>
              <w:jc w:val="center"/>
              <w:keepLines w:val="0"/>
              <w:keepNext w:val="0"/>
              <w:spacing w:before="0" w:beforeAutospacing="0" w:after="0" w:afterAutospacing="0" w:line="559"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ind w:left="0" w:right="0"/>
              <w:jc w:val="center"/>
              <w:keepLines w:val="0"/>
              <w:keepNext w:val="0"/>
              <w:spacing w:before="0" w:beforeAutospacing="0" w:after="0" w:afterAutospacing="0" w:line="559"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ind w:left="0" w:right="0"/>
              <w:jc w:val="center"/>
              <w:keepLines w:val="0"/>
              <w:keepNext w:val="0"/>
              <w:spacing w:before="0" w:beforeAutospacing="0" w:after="0" w:afterAutospacing="0" w:line="559"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ind w:left="0" w:right="0"/>
              <w:jc w:val="center"/>
              <w:keepLines w:val="0"/>
              <w:keepNext w:val="0"/>
              <w:spacing w:before="0" w:beforeAutospacing="0" w:after="0" w:afterAutospacing="0" w:line="559"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ind w:left="0" w:right="0"/>
              <w:jc w:val="center"/>
              <w:keepLines w:val="0"/>
              <w:keepNext w:val="0"/>
              <w:spacing w:before="0" w:beforeAutospacing="0" w:after="0" w:afterAutospacing="0" w:line="559"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ind w:left="0" w:right="0"/>
              <w:jc w:val="center"/>
              <w:keepLines w:val="0"/>
              <w:keepNext w:val="0"/>
              <w:spacing w:before="0" w:beforeAutospacing="0" w:after="0" w:afterAutospacing="0" w:line="559"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ind w:left="0" w:right="0"/>
              <w:jc w:val="center"/>
              <w:keepLines w:val="0"/>
              <w:keepNext w:val="0"/>
              <w:spacing w:before="0" w:beforeAutospacing="0" w:after="0" w:afterAutospacing="0" w:line="559"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ind w:left="0" w:right="0"/>
              <w:jc w:val="center"/>
              <w:keepLines w:val="0"/>
              <w:keepNext w:val="0"/>
              <w:spacing w:before="0" w:beforeAutospacing="0" w:after="0" w:afterAutospacing="0" w:line="559"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ind w:left="0" w:right="0"/>
              <w:jc w:val="center"/>
              <w:keepLines w:val="0"/>
              <w:keepNext w:val="0"/>
              <w:spacing w:before="0" w:beforeAutospacing="0" w:after="0" w:afterAutospacing="0" w:line="559"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ind w:left="0" w:right="0"/>
              <w:jc w:val="center"/>
              <w:keepLines w:val="0"/>
              <w:keepNext w:val="0"/>
              <w:spacing w:before="0" w:beforeAutospacing="0" w:after="0" w:afterAutospacing="0" w:line="559"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ind w:left="0" w:right="0"/>
              <w:jc w:val="center"/>
              <w:keepLines w:val="0"/>
              <w:keepNext w:val="0"/>
              <w:spacing w:before="0" w:beforeAutospacing="0" w:after="0" w:afterAutospacing="0" w:line="559"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ind w:left="0" w:right="0"/>
              <w:jc w:val="center"/>
              <w:keepLines w:val="0"/>
              <w:keepNext w:val="0"/>
              <w:spacing w:before="0" w:beforeAutospacing="0" w:after="0" w:afterAutospacing="0" w:line="559"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ind w:left="0" w:right="0"/>
              <w:jc w:val="center"/>
              <w:keepLines w:val="0"/>
              <w:keepNext w:val="0"/>
              <w:spacing w:before="0" w:beforeAutospacing="0" w:after="0" w:afterAutospacing="0" w:line="559"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ind w:left="0" w:right="0"/>
              <w:jc w:val="center"/>
              <w:keepLines w:val="0"/>
              <w:keepNext w:val="0"/>
              <w:spacing w:before="0" w:beforeAutospacing="0" w:after="0" w:afterAutospacing="0" w:line="559"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ind w:left="0" w:right="0"/>
              <w:jc w:val="center"/>
              <w:keepLines w:val="0"/>
              <w:keepNext w:val="0"/>
              <w:spacing w:before="0" w:beforeAutospacing="0" w:after="0" w:afterAutospacing="0" w:line="559"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ind w:left="0" w:right="0"/>
              <w:jc w:val="center"/>
              <w:keepLines w:val="0"/>
              <w:keepNext w:val="0"/>
              <w:spacing w:before="0" w:beforeAutospacing="0" w:after="0" w:afterAutospacing="0" w:line="559"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ind w:left="0" w:right="0"/>
              <w:jc w:val="center"/>
              <w:keepLines w:val="0"/>
              <w:keepNext w:val="0"/>
              <w:spacing w:before="0" w:beforeAutospacing="0" w:after="0" w:afterAutospacing="0" w:line="559"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ind w:left="0" w:right="0"/>
              <w:jc w:val="center"/>
              <w:keepLines w:val="0"/>
              <w:keepNext w:val="0"/>
              <w:spacing w:before="0" w:beforeAutospacing="0" w:after="0" w:afterAutospacing="0" w:line="559"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ind w:left="0" w:right="0"/>
              <w:jc w:val="center"/>
              <w:keepLines w:val="0"/>
              <w:keepNext w:val="0"/>
              <w:spacing w:before="0" w:beforeAutospacing="0" w:after="0" w:afterAutospacing="0" w:line="559"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ind w:left="0" w:right="0"/>
              <w:jc w:val="center"/>
              <w:keepLines w:val="0"/>
              <w:keepNext w:val="0"/>
              <w:spacing w:before="0" w:beforeAutospacing="0" w:after="0" w:afterAutospacing="0" w:line="559"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ind w:left="0" w:right="0"/>
              <w:jc w:val="center"/>
              <w:keepLines w:val="0"/>
              <w:keepNext w:val="0"/>
              <w:spacing w:before="0" w:beforeAutospacing="0" w:after="0" w:afterAutospacing="0" w:line="559"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ind w:left="0" w:right="0"/>
              <w:jc w:val="center"/>
              <w:keepLines w:val="0"/>
              <w:keepNext w:val="0"/>
              <w:spacing w:before="0" w:beforeAutospacing="0" w:after="0" w:afterAutospacing="0" w:line="559"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ind w:left="0" w:right="0"/>
              <w:jc w:val="center"/>
              <w:keepLines w:val="0"/>
              <w:keepNext w:val="0"/>
              <w:spacing w:before="0" w:beforeAutospacing="0" w:after="0" w:afterAutospacing="0" w:line="559"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ind w:left="0" w:right="0"/>
              <w:jc w:val="center"/>
              <w:keepLines w:val="0"/>
              <w:keepNext w:val="0"/>
              <w:spacing w:before="0" w:beforeAutospacing="0" w:after="0" w:afterAutospacing="0" w:line="559"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ind w:left="0" w:right="0"/>
              <w:jc w:val="center"/>
              <w:keepLines w:val="0"/>
              <w:keepNext w:val="0"/>
              <w:spacing w:before="0" w:beforeAutospacing="0" w:after="0" w:afterAutospacing="0" w:line="559"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r>
    </w:tbl>
    <w:p>
      <w:pPr>
        <w:pStyle w:val="1318"/>
        <w:rPr>
          <w:rFonts w:hint="eastAsia" w:ascii="新宋体" w:hAnsi="新宋体" w:eastAsia="新宋体" w:cs="新宋体"/>
          <w:color w:val="auto"/>
          <w:sz w:val="24"/>
          <w:szCs w:val="24"/>
          <w:highlight w:val="none"/>
        </w:rPr>
        <w:outlineLvl w:val="9"/>
      </w:pPr>
      <w:r>
        <w:rPr>
          <w:rFonts w:hint="eastAsia" w:ascii="新宋体" w:hAnsi="新宋体" w:eastAsia="新宋体" w:cs="新宋体"/>
          <w:color w:val="auto"/>
          <w:sz w:val="24"/>
          <w:szCs w:val="24"/>
          <w:highlight w:val="none"/>
        </w:rPr>
        <w:t xml:space="preserve">单位名称：</w:t>
      </w:r>
      <w:r>
        <w:rPr>
          <w:rFonts w:hint="eastAsia" w:ascii="新宋体" w:hAnsi="新宋体" w:eastAsia="新宋体" w:cs="新宋体"/>
          <w:color w:val="auto"/>
          <w:sz w:val="24"/>
          <w:szCs w:val="24"/>
          <w:highlight w:val="none"/>
          <w:u w:val="single"/>
          <w:lang w:val="en-US" w:eastAsia="zh-CN"/>
        </w:rPr>
        <w:t xml:space="preserve">            </w:t>
      </w:r>
      <w:r>
        <w:rPr>
          <w:rFonts w:hint="eastAsia" w:ascii="新宋体" w:hAnsi="新宋体" w:eastAsia="新宋体" w:cs="新宋体"/>
          <w:color w:val="auto"/>
          <w:sz w:val="24"/>
          <w:szCs w:val="24"/>
          <w:highlight w:val="none"/>
        </w:rPr>
        <w:t xml:space="preserve">（盖CA电子公章）</w:t>
      </w:r>
      <w:r/>
    </w:p>
    <w:p>
      <w:pPr>
        <w:pStyle w:val="1318"/>
        <w:rPr>
          <w:rFonts w:hint="eastAsia" w:ascii="新宋体" w:hAnsi="新宋体" w:eastAsia="新宋体" w:cs="新宋体"/>
          <w:color w:val="auto"/>
          <w:sz w:val="24"/>
          <w:szCs w:val="24"/>
          <w:highlight w:val="none"/>
        </w:rPr>
        <w:outlineLvl w:val="9"/>
      </w:pPr>
      <w:r>
        <w:rPr>
          <w:rFonts w:hint="eastAsia" w:ascii="新宋体" w:hAnsi="新宋体" w:eastAsia="新宋体" w:cs="新宋体"/>
          <w:color w:val="auto"/>
          <w:sz w:val="24"/>
          <w:szCs w:val="24"/>
          <w:highlight w:val="none"/>
        </w:rPr>
      </w:r>
      <w:r/>
    </w:p>
    <w:p>
      <w:pPr>
        <w:pStyle w:val="1318"/>
        <w:rPr>
          <w:rFonts w:hint="eastAsia" w:ascii="新宋体" w:hAnsi="新宋体" w:eastAsia="新宋体" w:cs="新宋体"/>
          <w:color w:val="auto"/>
          <w:sz w:val="24"/>
          <w:szCs w:val="24"/>
          <w:highlight w:val="none"/>
        </w:rPr>
        <w:outlineLvl w:val="9"/>
      </w:pPr>
      <w:r>
        <w:rPr>
          <w:rFonts w:hint="eastAsia" w:ascii="新宋体" w:hAnsi="新宋体" w:eastAsia="新宋体" w:cs="新宋体"/>
          <w:color w:val="auto"/>
          <w:sz w:val="24"/>
          <w:szCs w:val="24"/>
          <w:highlight w:val="none"/>
        </w:rPr>
      </w:r>
      <w:r/>
    </w:p>
    <w:p>
      <w:pPr>
        <w:pStyle w:val="1318"/>
        <w:rPr>
          <w:rFonts w:hint="eastAsia" w:ascii="新宋体" w:hAnsi="新宋体" w:eastAsia="新宋体" w:cs="新宋体"/>
          <w:color w:val="auto"/>
          <w:sz w:val="24"/>
          <w:szCs w:val="24"/>
          <w:highlight w:val="none"/>
        </w:rPr>
        <w:outlineLvl w:val="9"/>
      </w:pPr>
      <w:r>
        <w:rPr>
          <w:rFonts w:hint="eastAsia" w:ascii="新宋体" w:hAnsi="新宋体" w:eastAsia="新宋体" w:cs="新宋体"/>
          <w:color w:val="auto"/>
          <w:sz w:val="24"/>
          <w:szCs w:val="24"/>
          <w:highlight w:val="none"/>
        </w:rPr>
      </w:r>
      <w:r/>
    </w:p>
    <w:p>
      <w:pPr>
        <w:pStyle w:val="1318"/>
        <w:rPr>
          <w:rFonts w:hint="eastAsia" w:ascii="新宋体" w:hAnsi="新宋体" w:eastAsia="新宋体" w:cs="新宋体"/>
          <w:color w:val="auto"/>
          <w:sz w:val="24"/>
          <w:szCs w:val="24"/>
          <w:highlight w:val="none"/>
        </w:rPr>
        <w:outlineLvl w:val="9"/>
      </w:pPr>
      <w:r>
        <w:rPr>
          <w:rFonts w:hint="eastAsia" w:ascii="新宋体" w:hAnsi="新宋体" w:eastAsia="新宋体" w:cs="新宋体"/>
          <w:color w:val="auto"/>
          <w:sz w:val="24"/>
          <w:szCs w:val="24"/>
          <w:highlight w:val="none"/>
        </w:rPr>
      </w:r>
      <w:r/>
    </w:p>
    <w:p>
      <w:pPr>
        <w:pStyle w:val="1318"/>
        <w:rPr>
          <w:rFonts w:hint="eastAsia" w:ascii="新宋体" w:hAnsi="新宋体" w:eastAsia="新宋体" w:cs="新宋体"/>
          <w:color w:val="auto"/>
          <w:sz w:val="24"/>
          <w:szCs w:val="24"/>
          <w:highlight w:val="none"/>
        </w:rPr>
        <w:outlineLvl w:val="9"/>
      </w:pPr>
      <w:r>
        <w:rPr>
          <w:rFonts w:hint="eastAsia" w:ascii="新宋体" w:hAnsi="新宋体" w:eastAsia="新宋体" w:cs="新宋体"/>
          <w:color w:val="auto"/>
          <w:sz w:val="24"/>
          <w:szCs w:val="24"/>
          <w:highlight w:val="none"/>
        </w:rPr>
      </w:r>
      <w:r/>
    </w:p>
    <w:p>
      <w:pPr>
        <w:pStyle w:val="1318"/>
        <w:rPr>
          <w:rFonts w:hint="eastAsia" w:ascii="新宋体" w:hAnsi="新宋体" w:eastAsia="新宋体" w:cs="新宋体"/>
          <w:color w:val="auto"/>
          <w:sz w:val="24"/>
          <w:szCs w:val="24"/>
          <w:highlight w:val="none"/>
          <w:lang w:val="en-US" w:eastAsia="zh-CN"/>
        </w:rPr>
        <w:sectPr>
          <w:footnotePr/>
          <w:endnotePr/>
          <w:type w:val="nextPage"/>
          <w:pgSz w:w="11906" w:h="16838" w:orient="portrait"/>
          <w:pgMar w:top="1440" w:right="1417" w:bottom="1440" w:left="1417" w:header="851" w:footer="992" w:gutter="0"/>
          <w:cols w:num="1" w:sep="0" w:space="720" w:equalWidth="1"/>
          <w:docGrid w:linePitch="360"/>
        </w:sectPr>
        <w:outlineLvl w:val="1"/>
      </w:pPr>
      <w:r>
        <w:rPr>
          <w:rFonts w:hint="eastAsia" w:ascii="新宋体" w:hAnsi="新宋体" w:eastAsia="新宋体" w:cs="新宋体"/>
          <w:color w:val="auto"/>
          <w:sz w:val="24"/>
          <w:szCs w:val="24"/>
          <w:highlight w:val="none"/>
          <w:lang w:val="en-US" w:eastAsia="zh-CN"/>
        </w:rPr>
      </w:r>
      <w:r/>
    </w:p>
    <w:p>
      <w:pPr>
        <w:pStyle w:val="1318"/>
        <w:rPr>
          <w:rFonts w:hint="eastAsia" w:ascii="新宋体" w:hAnsi="新宋体" w:eastAsia="新宋体" w:cs="新宋体"/>
          <w:color w:val="auto"/>
          <w:sz w:val="24"/>
          <w:szCs w:val="24"/>
          <w:highlight w:val="none"/>
        </w:rPr>
        <w:outlineLvl w:val="1"/>
      </w:pPr>
      <w:r/>
      <w:bookmarkStart w:id="120" w:name="_Toc22114"/>
      <w:r>
        <w:rPr>
          <w:rFonts w:hint="eastAsia" w:ascii="新宋体" w:hAnsi="新宋体" w:eastAsia="新宋体" w:cs="新宋体"/>
          <w:color w:val="auto"/>
          <w:sz w:val="24"/>
          <w:szCs w:val="24"/>
          <w:highlight w:val="none"/>
          <w:lang w:val="en-US" w:eastAsia="zh-CN"/>
        </w:rPr>
        <w:t xml:space="preserve">八、</w:t>
      </w:r>
      <w:r>
        <w:rPr>
          <w:rFonts w:hint="eastAsia" w:ascii="新宋体" w:hAnsi="新宋体" w:eastAsia="新宋体" w:cs="新宋体"/>
          <w:color w:val="auto"/>
          <w:sz w:val="24"/>
          <w:szCs w:val="24"/>
          <w:highlight w:val="none"/>
        </w:rPr>
        <w:t xml:space="preserve">项目组人员</w:t>
      </w:r>
      <w:bookmarkEnd w:id="120"/>
      <w:r/>
      <w:r/>
    </w:p>
    <w:p>
      <w:pPr>
        <w:pStyle w:val="1323"/>
        <w:jc w:val="center"/>
        <w:rPr>
          <w:rFonts w:hint="eastAsia" w:ascii="新宋体" w:hAnsi="新宋体" w:eastAsia="新宋体" w:cs="新宋体"/>
          <w:b/>
          <w:color w:val="auto"/>
          <w:sz w:val="24"/>
          <w:szCs w:val="24"/>
          <w:highlight w:val="none"/>
        </w:rPr>
      </w:pPr>
      <w:r>
        <w:rPr>
          <w:rFonts w:hint="eastAsia" w:ascii="新宋体" w:hAnsi="新宋体" w:eastAsia="新宋体" w:cs="新宋体"/>
          <w:b/>
          <w:color w:val="auto"/>
          <w:sz w:val="24"/>
          <w:szCs w:val="24"/>
          <w:highlight w:val="none"/>
        </w:rPr>
        <w:t xml:space="preserve">拟选派项目负责人简历表</w:t>
      </w:r>
      <w:r/>
    </w:p>
    <w:tbl>
      <w:tblPr>
        <w:tblStyle w:val="678"/>
        <w:tblW w:w="888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6"/>
        <w:gridCol w:w="1110"/>
        <w:gridCol w:w="1725"/>
        <w:gridCol w:w="225"/>
        <w:gridCol w:w="1944"/>
        <w:gridCol w:w="1375"/>
        <w:gridCol w:w="1648"/>
      </w:tblGrid>
      <w:tr>
        <w:trPr>
          <w:jc w:val="center"/>
          <w:trHeight w:val="606"/>
        </w:trPr>
        <w:tc>
          <w:tcPr>
            <w:gridSpan w:val="2"/>
            <w:tcW w:w="1966" w:type="dxa"/>
            <w:vAlign w:val="center"/>
            <w:textDirection w:val="lrTb"/>
            <w:noWrap w:val="false"/>
          </w:tcPr>
          <w:p>
            <w:pPr>
              <w:pStyle w:val="1324"/>
              <w:ind w:left="0" w:right="0"/>
              <w:jc w:val="center"/>
              <w:keepLines w:val="0"/>
              <w:keepNext w:val="0"/>
              <w:spacing w:before="0" w:beforeAutospacing="0" w:after="0" w:afterAutospacing="0" w:line="440" w:lineRule="exac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t xml:space="preserve">姓名</w:t>
            </w:r>
            <w:r/>
          </w:p>
        </w:tc>
        <w:tc>
          <w:tcPr>
            <w:gridSpan w:val="2"/>
            <w:tcW w:w="1950" w:type="dxa"/>
            <w:vAlign w:val="center"/>
            <w:textDirection w:val="lrTb"/>
            <w:noWrap w:val="false"/>
          </w:tcPr>
          <w:p>
            <w:pPr>
              <w:pStyle w:val="1324"/>
              <w:ind w:left="0" w:right="0"/>
              <w:keepLines w:val="0"/>
              <w:keepNext w:val="0"/>
              <w:spacing w:before="0" w:beforeAutospacing="0" w:after="0" w:afterAutospacing="0" w:line="440" w:lineRule="exac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W w:w="1944" w:type="dxa"/>
            <w:vAlign w:val="center"/>
            <w:textDirection w:val="lrTb"/>
            <w:noWrap w:val="false"/>
          </w:tcPr>
          <w:p>
            <w:pPr>
              <w:pStyle w:val="1324"/>
              <w:ind w:left="0" w:right="0"/>
              <w:jc w:val="center"/>
              <w:keepLines w:val="0"/>
              <w:keepNext w:val="0"/>
              <w:spacing w:before="0" w:beforeAutospacing="0" w:after="0" w:afterAutospacing="0" w:line="440" w:lineRule="exac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t xml:space="preserve">居民身份证号</w:t>
            </w:r>
            <w:r/>
          </w:p>
        </w:tc>
        <w:tc>
          <w:tcPr>
            <w:gridSpan w:val="2"/>
            <w:tcW w:w="3023" w:type="dxa"/>
            <w:vAlign w:val="center"/>
            <w:textDirection w:val="lrTb"/>
            <w:noWrap w:val="false"/>
          </w:tcPr>
          <w:p>
            <w:pPr>
              <w:pStyle w:val="1324"/>
              <w:ind w:left="0" w:right="0" w:firstLine="280"/>
              <w:jc w:val="center"/>
              <w:keepLines w:val="0"/>
              <w:keepNext w:val="0"/>
              <w:spacing w:before="0" w:beforeAutospacing="0" w:after="0" w:afterAutospacing="0" w:line="440" w:lineRule="exac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r>
      <w:tr>
        <w:trPr>
          <w:jc w:val="center"/>
          <w:trHeight w:val="606"/>
        </w:trPr>
        <w:tc>
          <w:tcPr>
            <w:gridSpan w:val="2"/>
            <w:tcW w:w="1966" w:type="dxa"/>
            <w:vAlign w:val="center"/>
            <w:textDirection w:val="lrTb"/>
            <w:noWrap w:val="false"/>
          </w:tcPr>
          <w:p>
            <w:pPr>
              <w:pStyle w:val="1324"/>
              <w:ind w:left="0" w:right="0"/>
              <w:jc w:val="center"/>
              <w:keepLines w:val="0"/>
              <w:keepNext w:val="0"/>
              <w:spacing w:before="0" w:beforeAutospacing="0" w:after="0" w:afterAutospacing="0" w:line="440" w:lineRule="exac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t xml:space="preserve">学历</w:t>
            </w:r>
            <w:r/>
          </w:p>
        </w:tc>
        <w:tc>
          <w:tcPr>
            <w:gridSpan w:val="2"/>
            <w:tcW w:w="1950" w:type="dxa"/>
            <w:vAlign w:val="center"/>
            <w:textDirection w:val="lrTb"/>
            <w:noWrap w:val="false"/>
          </w:tcPr>
          <w:p>
            <w:pPr>
              <w:pStyle w:val="1324"/>
              <w:ind w:left="0" w:right="0"/>
              <w:keepLines w:val="0"/>
              <w:keepNext w:val="0"/>
              <w:spacing w:before="0" w:beforeAutospacing="0" w:after="0" w:afterAutospacing="0" w:line="440" w:lineRule="exac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W w:w="1944" w:type="dxa"/>
            <w:vAlign w:val="center"/>
            <w:textDirection w:val="lrTb"/>
            <w:noWrap w:val="false"/>
          </w:tcPr>
          <w:p>
            <w:pPr>
              <w:pStyle w:val="1324"/>
              <w:ind w:left="0" w:right="0"/>
              <w:jc w:val="center"/>
              <w:keepLines w:val="0"/>
              <w:keepNext w:val="0"/>
              <w:spacing w:before="0" w:beforeAutospacing="0" w:after="0" w:afterAutospacing="0" w:line="440" w:lineRule="exac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t xml:space="preserve">相关证书</w:t>
            </w:r>
            <w:r/>
          </w:p>
        </w:tc>
        <w:tc>
          <w:tcPr>
            <w:gridSpan w:val="2"/>
            <w:tcW w:w="3023" w:type="dxa"/>
            <w:vAlign w:val="center"/>
            <w:textDirection w:val="lrTb"/>
            <w:noWrap w:val="false"/>
          </w:tcPr>
          <w:p>
            <w:pPr>
              <w:pStyle w:val="1324"/>
              <w:ind w:left="0" w:right="0" w:firstLine="280"/>
              <w:jc w:val="center"/>
              <w:keepLines w:val="0"/>
              <w:keepNext w:val="0"/>
              <w:spacing w:before="0" w:beforeAutospacing="0" w:after="0" w:afterAutospacing="0" w:line="440" w:lineRule="exac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r>
      <w:tr>
        <w:trPr>
          <w:jc w:val="center"/>
          <w:trHeight w:val="683"/>
        </w:trPr>
        <w:tc>
          <w:tcPr>
            <w:gridSpan w:val="7"/>
            <w:tcW w:w="8883" w:type="dxa"/>
            <w:vAlign w:val="center"/>
            <w:textDirection w:val="lrTb"/>
            <w:noWrap w:val="false"/>
          </w:tcPr>
          <w:p>
            <w:pPr>
              <w:pStyle w:val="1324"/>
              <w:ind w:left="0" w:right="0" w:firstLine="280"/>
              <w:jc w:val="center"/>
              <w:keepLines w:val="0"/>
              <w:keepNext w:val="0"/>
              <w:spacing w:before="0" w:beforeAutospacing="0" w:after="0" w:afterAutospacing="0" w:line="440" w:lineRule="exac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t xml:space="preserve">主要承担的类似项目业绩一览表</w:t>
            </w:r>
            <w:r/>
          </w:p>
        </w:tc>
      </w:tr>
      <w:tr>
        <w:trPr>
          <w:jc w:val="center"/>
          <w:trHeight w:val="683"/>
        </w:trPr>
        <w:tc>
          <w:tcPr>
            <w:tcW w:w="856" w:type="dxa"/>
            <w:vAlign w:val="center"/>
            <w:textDirection w:val="lrTb"/>
            <w:noWrap w:val="false"/>
          </w:tcPr>
          <w:p>
            <w:pPr>
              <w:pStyle w:val="1324"/>
              <w:ind w:left="0" w:right="0"/>
              <w:keepLines w:val="0"/>
              <w:keepNext w:val="0"/>
              <w:spacing w:before="0" w:beforeAutospacing="0" w:after="0" w:afterAutospacing="0" w:line="440" w:lineRule="exac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t xml:space="preserve">序号</w:t>
            </w:r>
            <w:r/>
          </w:p>
        </w:tc>
        <w:tc>
          <w:tcPr>
            <w:gridSpan w:val="2"/>
            <w:tcW w:w="2835" w:type="dxa"/>
            <w:vAlign w:val="center"/>
            <w:textDirection w:val="lrTb"/>
            <w:noWrap w:val="false"/>
          </w:tcPr>
          <w:p>
            <w:pPr>
              <w:pStyle w:val="1324"/>
              <w:ind w:left="0" w:right="0" w:firstLine="280"/>
              <w:jc w:val="center"/>
              <w:keepLines w:val="0"/>
              <w:keepNext w:val="0"/>
              <w:spacing w:before="0" w:beforeAutospacing="0" w:after="0" w:afterAutospacing="0" w:line="440" w:lineRule="exac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t xml:space="preserve">项目名称</w:t>
            </w:r>
            <w:r/>
          </w:p>
        </w:tc>
        <w:tc>
          <w:tcPr>
            <w:gridSpan w:val="3"/>
            <w:tcW w:w="3544" w:type="dxa"/>
            <w:vAlign w:val="center"/>
            <w:textDirection w:val="lrTb"/>
            <w:noWrap w:val="false"/>
          </w:tcPr>
          <w:p>
            <w:pPr>
              <w:pStyle w:val="1324"/>
              <w:ind w:left="0" w:right="0" w:firstLine="280"/>
              <w:jc w:val="center"/>
              <w:keepLines w:val="0"/>
              <w:keepNext w:val="0"/>
              <w:spacing w:before="0" w:beforeAutospacing="0" w:after="0" w:afterAutospacing="0" w:line="440" w:lineRule="exac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t xml:space="preserve">合同甲方</w:t>
            </w:r>
            <w:r/>
          </w:p>
        </w:tc>
        <w:tc>
          <w:tcPr>
            <w:tcW w:w="1648" w:type="dxa"/>
            <w:vAlign w:val="center"/>
            <w:textDirection w:val="lrTb"/>
            <w:noWrap w:val="false"/>
          </w:tcPr>
          <w:p>
            <w:pPr>
              <w:pStyle w:val="1324"/>
              <w:ind w:left="0" w:right="0" w:firstLine="280"/>
              <w:jc w:val="center"/>
              <w:keepLines w:val="0"/>
              <w:keepNext w:val="0"/>
              <w:spacing w:before="0" w:beforeAutospacing="0" w:after="0" w:afterAutospacing="0" w:line="440" w:lineRule="exac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t xml:space="preserve">时间</w:t>
            </w:r>
            <w:r/>
          </w:p>
        </w:tc>
      </w:tr>
      <w:tr>
        <w:trPr>
          <w:jc w:val="center"/>
          <w:trHeight w:val="713"/>
        </w:trPr>
        <w:tc>
          <w:tcPr>
            <w:tcW w:w="856" w:type="dxa"/>
            <w:vAlign w:val="center"/>
            <w:textDirection w:val="lrTb"/>
            <w:noWrap w:val="false"/>
          </w:tcPr>
          <w:p>
            <w:pPr>
              <w:pStyle w:val="1324"/>
              <w:ind w:left="0" w:right="0" w:firstLine="280"/>
              <w:keepLines w:val="0"/>
              <w:keepNext w:val="0"/>
              <w:spacing w:before="0" w:beforeAutospacing="0" w:after="0" w:afterAutospacing="0" w:line="360" w:lineRule="exac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t xml:space="preserve">1</w:t>
            </w:r>
            <w:r/>
          </w:p>
        </w:tc>
        <w:tc>
          <w:tcPr>
            <w:gridSpan w:val="2"/>
            <w:tcW w:w="2835" w:type="dxa"/>
            <w:vAlign w:val="center"/>
            <w:textDirection w:val="lrTb"/>
            <w:noWrap w:val="false"/>
          </w:tcPr>
          <w:p>
            <w:pPr>
              <w:pStyle w:val="1324"/>
              <w:ind w:left="0" w:right="0" w:firstLine="240"/>
              <w:keepLines w:val="0"/>
              <w:keepNext w:val="0"/>
              <w:spacing w:before="0" w:beforeAutospacing="0" w:after="0" w:afterAutospacing="0" w:line="360" w:lineRule="exac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gridSpan w:val="3"/>
            <w:tcW w:w="3544" w:type="dxa"/>
            <w:vAlign w:val="center"/>
            <w:textDirection w:val="lrTb"/>
            <w:noWrap w:val="false"/>
          </w:tcPr>
          <w:p>
            <w:pPr>
              <w:pStyle w:val="1324"/>
              <w:ind w:left="0" w:right="0" w:firstLine="240"/>
              <w:keepLines w:val="0"/>
              <w:keepNext w:val="0"/>
              <w:spacing w:before="0" w:beforeAutospacing="0" w:after="0" w:afterAutospacing="0" w:line="360" w:lineRule="exac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W w:w="1648" w:type="dxa"/>
            <w:vAlign w:val="center"/>
            <w:textDirection w:val="lrTb"/>
            <w:noWrap w:val="false"/>
          </w:tcPr>
          <w:p>
            <w:pPr>
              <w:pStyle w:val="1324"/>
              <w:ind w:left="0" w:right="0" w:firstLine="240"/>
              <w:keepLines w:val="0"/>
              <w:keepNext w:val="0"/>
              <w:spacing w:before="0" w:beforeAutospacing="0" w:after="0" w:afterAutospacing="0" w:line="360" w:lineRule="exac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r>
      <w:tr>
        <w:trPr>
          <w:jc w:val="center"/>
          <w:trHeight w:val="713"/>
        </w:trPr>
        <w:tc>
          <w:tcPr>
            <w:tcW w:w="856" w:type="dxa"/>
            <w:vAlign w:val="center"/>
            <w:textDirection w:val="lrTb"/>
            <w:noWrap w:val="false"/>
          </w:tcPr>
          <w:p>
            <w:pPr>
              <w:pStyle w:val="1324"/>
              <w:ind w:left="0" w:right="0" w:firstLine="280"/>
              <w:keepLines w:val="0"/>
              <w:keepNext w:val="0"/>
              <w:spacing w:before="0" w:beforeAutospacing="0" w:after="0" w:afterAutospacing="0" w:line="360" w:lineRule="exac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t xml:space="preserve">2</w:t>
            </w:r>
            <w:r/>
          </w:p>
        </w:tc>
        <w:tc>
          <w:tcPr>
            <w:gridSpan w:val="2"/>
            <w:tcW w:w="2835" w:type="dxa"/>
            <w:vAlign w:val="center"/>
            <w:textDirection w:val="lrTb"/>
            <w:noWrap w:val="false"/>
          </w:tcPr>
          <w:p>
            <w:pPr>
              <w:pStyle w:val="1324"/>
              <w:ind w:left="0" w:right="0" w:firstLine="240"/>
              <w:keepLines w:val="0"/>
              <w:keepNext w:val="0"/>
              <w:spacing w:before="0" w:beforeAutospacing="0" w:after="0" w:afterAutospacing="0" w:line="360" w:lineRule="exac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gridSpan w:val="3"/>
            <w:tcW w:w="3544" w:type="dxa"/>
            <w:vAlign w:val="center"/>
            <w:textDirection w:val="lrTb"/>
            <w:noWrap w:val="false"/>
          </w:tcPr>
          <w:p>
            <w:pPr>
              <w:pStyle w:val="1324"/>
              <w:ind w:left="0" w:right="0" w:firstLine="240"/>
              <w:keepLines w:val="0"/>
              <w:keepNext w:val="0"/>
              <w:spacing w:before="0" w:beforeAutospacing="0" w:after="0" w:afterAutospacing="0" w:line="360" w:lineRule="exac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W w:w="1648" w:type="dxa"/>
            <w:vAlign w:val="center"/>
            <w:textDirection w:val="lrTb"/>
            <w:noWrap w:val="false"/>
          </w:tcPr>
          <w:p>
            <w:pPr>
              <w:pStyle w:val="1324"/>
              <w:ind w:left="0" w:right="0" w:firstLine="240"/>
              <w:keepLines w:val="0"/>
              <w:keepNext w:val="0"/>
              <w:spacing w:before="0" w:beforeAutospacing="0" w:after="0" w:afterAutospacing="0" w:line="360" w:lineRule="exac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r>
      <w:tr>
        <w:trPr>
          <w:jc w:val="center"/>
          <w:trHeight w:val="713"/>
        </w:trPr>
        <w:tc>
          <w:tcPr>
            <w:tcW w:w="856" w:type="dxa"/>
            <w:vAlign w:val="center"/>
            <w:textDirection w:val="lrTb"/>
            <w:noWrap w:val="false"/>
          </w:tcPr>
          <w:p>
            <w:pPr>
              <w:pStyle w:val="1324"/>
              <w:ind w:left="0" w:right="0" w:firstLine="280"/>
              <w:keepLines w:val="0"/>
              <w:keepNext w:val="0"/>
              <w:spacing w:before="0" w:beforeAutospacing="0" w:after="0" w:afterAutospacing="0" w:line="360" w:lineRule="exac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t xml:space="preserve">3</w:t>
            </w:r>
            <w:r/>
          </w:p>
        </w:tc>
        <w:tc>
          <w:tcPr>
            <w:gridSpan w:val="2"/>
            <w:tcW w:w="2835" w:type="dxa"/>
            <w:vAlign w:val="center"/>
            <w:textDirection w:val="lrTb"/>
            <w:noWrap w:val="false"/>
          </w:tcPr>
          <w:p>
            <w:pPr>
              <w:pStyle w:val="1324"/>
              <w:ind w:left="0" w:right="0" w:firstLine="240"/>
              <w:keepLines w:val="0"/>
              <w:keepNext w:val="0"/>
              <w:spacing w:before="0" w:beforeAutospacing="0" w:after="0" w:afterAutospacing="0" w:line="360" w:lineRule="exac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gridSpan w:val="3"/>
            <w:tcW w:w="3544" w:type="dxa"/>
            <w:vAlign w:val="center"/>
            <w:textDirection w:val="lrTb"/>
            <w:noWrap w:val="false"/>
          </w:tcPr>
          <w:p>
            <w:pPr>
              <w:pStyle w:val="1324"/>
              <w:ind w:left="0" w:right="0" w:firstLine="240"/>
              <w:keepLines w:val="0"/>
              <w:keepNext w:val="0"/>
              <w:spacing w:before="0" w:beforeAutospacing="0" w:after="0" w:afterAutospacing="0" w:line="360" w:lineRule="exac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W w:w="1648" w:type="dxa"/>
            <w:vAlign w:val="center"/>
            <w:textDirection w:val="lrTb"/>
            <w:noWrap w:val="false"/>
          </w:tcPr>
          <w:p>
            <w:pPr>
              <w:pStyle w:val="1324"/>
              <w:ind w:left="0" w:right="0" w:firstLine="240"/>
              <w:keepLines w:val="0"/>
              <w:keepNext w:val="0"/>
              <w:spacing w:before="0" w:beforeAutospacing="0" w:after="0" w:afterAutospacing="0" w:line="360" w:lineRule="exac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r>
      <w:tr>
        <w:trPr>
          <w:jc w:val="center"/>
          <w:trHeight w:val="713"/>
        </w:trPr>
        <w:tc>
          <w:tcPr>
            <w:tcW w:w="856" w:type="dxa"/>
            <w:vAlign w:val="center"/>
            <w:textDirection w:val="lrTb"/>
            <w:noWrap w:val="false"/>
          </w:tcPr>
          <w:p>
            <w:pPr>
              <w:pStyle w:val="1324"/>
              <w:ind w:left="0" w:right="0" w:firstLine="280"/>
              <w:keepLines w:val="0"/>
              <w:keepNext w:val="0"/>
              <w:spacing w:before="0" w:beforeAutospacing="0" w:after="0" w:afterAutospacing="0" w:line="360" w:lineRule="exac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t xml:space="preserve">…</w:t>
            </w:r>
            <w:r/>
          </w:p>
        </w:tc>
        <w:tc>
          <w:tcPr>
            <w:gridSpan w:val="2"/>
            <w:tcW w:w="2835" w:type="dxa"/>
            <w:vAlign w:val="center"/>
            <w:textDirection w:val="lrTb"/>
            <w:noWrap w:val="false"/>
          </w:tcPr>
          <w:p>
            <w:pPr>
              <w:pStyle w:val="1324"/>
              <w:ind w:left="0" w:right="0" w:firstLine="240"/>
              <w:keepLines w:val="0"/>
              <w:keepNext w:val="0"/>
              <w:spacing w:before="0" w:beforeAutospacing="0" w:after="0" w:afterAutospacing="0" w:line="360" w:lineRule="exac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t xml:space="preserve">……</w:t>
            </w:r>
            <w:r/>
          </w:p>
        </w:tc>
        <w:tc>
          <w:tcPr>
            <w:gridSpan w:val="3"/>
            <w:tcW w:w="3544" w:type="dxa"/>
            <w:vAlign w:val="center"/>
            <w:textDirection w:val="lrTb"/>
            <w:noWrap w:val="false"/>
          </w:tcPr>
          <w:p>
            <w:pPr>
              <w:pStyle w:val="1324"/>
              <w:ind w:left="0" w:right="0" w:firstLine="240"/>
              <w:keepLines w:val="0"/>
              <w:keepNext w:val="0"/>
              <w:spacing w:before="0" w:beforeAutospacing="0" w:after="0" w:afterAutospacing="0" w:line="360" w:lineRule="exac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t xml:space="preserve">……</w:t>
            </w:r>
            <w:r/>
          </w:p>
        </w:tc>
        <w:tc>
          <w:tcPr>
            <w:tcW w:w="1648" w:type="dxa"/>
            <w:vAlign w:val="center"/>
            <w:textDirection w:val="lrTb"/>
            <w:noWrap w:val="false"/>
          </w:tcPr>
          <w:p>
            <w:pPr>
              <w:pStyle w:val="1324"/>
              <w:ind w:left="0" w:right="0" w:firstLine="240"/>
              <w:keepLines w:val="0"/>
              <w:keepNext w:val="0"/>
              <w:spacing w:before="0" w:beforeAutospacing="0" w:after="0" w:afterAutospacing="0" w:line="360" w:lineRule="exac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t xml:space="preserve">……</w:t>
            </w:r>
            <w:r/>
          </w:p>
        </w:tc>
      </w:tr>
    </w:tbl>
    <w:p>
      <w:pPr>
        <w:pStyle w:val="1325"/>
        <w:ind w:firstLine="398"/>
        <w:spacing w:line="46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注：1、响应文件中需按要求提供项目负责人有关证书电子件、业绩证明材料电子件。</w:t>
      </w:r>
      <w:r/>
    </w:p>
    <w:p>
      <w:pPr>
        <w:pStyle w:val="1325"/>
        <w:ind w:firstLine="879"/>
        <w:spacing w:line="46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2、如中标，项目负责人须按本表承诺实施，不得更换。</w:t>
      </w:r>
      <w:r/>
    </w:p>
    <w:p>
      <w:pPr>
        <w:pStyle w:val="1326"/>
        <w:ind w:firstLine="321"/>
        <w:jc w:val="center"/>
        <w:spacing w:line="600" w:lineRule="exact"/>
        <w:rPr>
          <w:rFonts w:hint="eastAsia" w:ascii="新宋体" w:hAnsi="新宋体" w:eastAsia="新宋体" w:cs="新宋体"/>
          <w:b/>
          <w:bCs/>
          <w:color w:val="auto"/>
          <w:sz w:val="24"/>
          <w:szCs w:val="24"/>
          <w:highlight w:val="none"/>
        </w:rPr>
      </w:pPr>
      <w:r>
        <w:rPr>
          <w:rFonts w:hint="eastAsia" w:ascii="新宋体" w:hAnsi="新宋体" w:eastAsia="新宋体" w:cs="新宋体"/>
          <w:b/>
          <w:bCs/>
          <w:color w:val="auto"/>
          <w:sz w:val="24"/>
          <w:szCs w:val="24"/>
          <w:highlight w:val="none"/>
        </w:rPr>
      </w:r>
      <w:r/>
    </w:p>
    <w:p>
      <w:pPr>
        <w:pStyle w:val="1326"/>
        <w:ind w:firstLine="321"/>
        <w:jc w:val="center"/>
        <w:spacing w:line="600" w:lineRule="exact"/>
        <w:rPr>
          <w:rFonts w:hint="eastAsia" w:ascii="新宋体" w:hAnsi="新宋体" w:eastAsia="新宋体" w:cs="新宋体"/>
          <w:b/>
          <w:bCs/>
          <w:color w:val="auto"/>
          <w:sz w:val="24"/>
          <w:szCs w:val="24"/>
          <w:highlight w:val="none"/>
        </w:rPr>
      </w:pPr>
      <w:r>
        <w:rPr>
          <w:rFonts w:hint="eastAsia" w:ascii="新宋体" w:hAnsi="新宋体" w:eastAsia="新宋体" w:cs="新宋体"/>
          <w:b/>
          <w:bCs/>
          <w:color w:val="auto"/>
          <w:sz w:val="24"/>
          <w:szCs w:val="24"/>
          <w:highlight w:val="none"/>
        </w:rPr>
      </w:r>
      <w:r/>
    </w:p>
    <w:p>
      <w:pPr>
        <w:pStyle w:val="1326"/>
        <w:ind w:firstLine="321"/>
        <w:jc w:val="center"/>
        <w:spacing w:line="600" w:lineRule="exact"/>
        <w:rPr>
          <w:rFonts w:hint="eastAsia" w:ascii="新宋体" w:hAnsi="新宋体" w:eastAsia="新宋体" w:cs="新宋体"/>
          <w:b/>
          <w:bCs/>
          <w:color w:val="auto"/>
          <w:sz w:val="24"/>
          <w:szCs w:val="24"/>
          <w:highlight w:val="none"/>
        </w:rPr>
      </w:pPr>
      <w:r>
        <w:rPr>
          <w:rFonts w:hint="eastAsia" w:ascii="新宋体" w:hAnsi="新宋体" w:eastAsia="新宋体" w:cs="新宋体"/>
          <w:b/>
          <w:bCs/>
          <w:color w:val="auto"/>
          <w:sz w:val="24"/>
          <w:szCs w:val="24"/>
          <w:highlight w:val="none"/>
        </w:rPr>
      </w:r>
      <w:r/>
    </w:p>
    <w:p>
      <w:pPr>
        <w:pStyle w:val="1326"/>
        <w:ind w:firstLine="321"/>
        <w:jc w:val="center"/>
        <w:spacing w:line="600" w:lineRule="exact"/>
        <w:rPr>
          <w:rFonts w:hint="eastAsia" w:ascii="新宋体" w:hAnsi="新宋体" w:eastAsia="新宋体" w:cs="新宋体"/>
          <w:b/>
          <w:bCs/>
          <w:color w:val="auto"/>
          <w:sz w:val="24"/>
          <w:szCs w:val="24"/>
          <w:highlight w:val="none"/>
        </w:rPr>
      </w:pPr>
      <w:r>
        <w:rPr>
          <w:rFonts w:hint="eastAsia" w:ascii="新宋体" w:hAnsi="新宋体" w:eastAsia="新宋体" w:cs="新宋体"/>
          <w:b/>
          <w:bCs/>
          <w:color w:val="auto"/>
          <w:sz w:val="24"/>
          <w:szCs w:val="24"/>
          <w:highlight w:val="none"/>
        </w:rPr>
      </w:r>
      <w:r/>
    </w:p>
    <w:p>
      <w:pPr>
        <w:pStyle w:val="1326"/>
        <w:ind w:firstLine="321"/>
        <w:jc w:val="center"/>
        <w:spacing w:line="600" w:lineRule="exact"/>
        <w:rPr>
          <w:rFonts w:hint="eastAsia" w:ascii="新宋体" w:hAnsi="新宋体" w:eastAsia="新宋体" w:cs="新宋体"/>
          <w:b/>
          <w:bCs/>
          <w:color w:val="auto"/>
          <w:sz w:val="24"/>
          <w:szCs w:val="24"/>
          <w:highlight w:val="none"/>
        </w:rPr>
      </w:pPr>
      <w:r>
        <w:rPr>
          <w:rFonts w:hint="eastAsia" w:ascii="新宋体" w:hAnsi="新宋体" w:eastAsia="新宋体" w:cs="新宋体"/>
          <w:b/>
          <w:bCs/>
          <w:color w:val="auto"/>
          <w:sz w:val="24"/>
          <w:szCs w:val="24"/>
          <w:highlight w:val="none"/>
        </w:rPr>
      </w:r>
      <w:r/>
    </w:p>
    <w:p>
      <w:pPr>
        <w:pStyle w:val="1326"/>
        <w:ind w:firstLine="321"/>
        <w:jc w:val="center"/>
        <w:spacing w:line="600" w:lineRule="exact"/>
        <w:rPr>
          <w:rFonts w:hint="eastAsia" w:ascii="新宋体" w:hAnsi="新宋体" w:eastAsia="新宋体" w:cs="新宋体"/>
          <w:b/>
          <w:bCs/>
          <w:color w:val="auto"/>
          <w:sz w:val="24"/>
          <w:szCs w:val="24"/>
          <w:highlight w:val="none"/>
        </w:rPr>
      </w:pPr>
      <w:r>
        <w:rPr>
          <w:rFonts w:hint="eastAsia" w:ascii="新宋体" w:hAnsi="新宋体" w:eastAsia="新宋体" w:cs="新宋体"/>
          <w:b/>
          <w:bCs/>
          <w:color w:val="auto"/>
          <w:sz w:val="24"/>
          <w:szCs w:val="24"/>
          <w:highlight w:val="none"/>
        </w:rPr>
      </w:r>
      <w:r/>
    </w:p>
    <w:p>
      <w:pPr>
        <w:pStyle w:val="1326"/>
        <w:ind w:firstLine="321"/>
        <w:jc w:val="center"/>
        <w:spacing w:line="600" w:lineRule="exact"/>
        <w:rPr>
          <w:rFonts w:hint="eastAsia" w:ascii="新宋体" w:hAnsi="新宋体" w:eastAsia="新宋体" w:cs="新宋体"/>
          <w:b/>
          <w:bCs/>
          <w:color w:val="auto"/>
          <w:sz w:val="24"/>
          <w:szCs w:val="24"/>
          <w:highlight w:val="none"/>
        </w:rPr>
      </w:pPr>
      <w:r>
        <w:rPr>
          <w:rFonts w:hint="eastAsia" w:ascii="新宋体" w:hAnsi="新宋体" w:eastAsia="新宋体" w:cs="新宋体"/>
          <w:b/>
          <w:bCs/>
          <w:color w:val="auto"/>
          <w:sz w:val="24"/>
          <w:szCs w:val="24"/>
          <w:highlight w:val="none"/>
        </w:rPr>
      </w:r>
      <w:r/>
    </w:p>
    <w:p>
      <w:pPr>
        <w:pStyle w:val="1326"/>
        <w:ind w:firstLine="321"/>
        <w:jc w:val="center"/>
        <w:spacing w:line="600" w:lineRule="exact"/>
        <w:rPr>
          <w:rFonts w:hint="eastAsia" w:ascii="新宋体" w:hAnsi="新宋体" w:eastAsia="新宋体" w:cs="新宋体"/>
          <w:b/>
          <w:bCs/>
          <w:color w:val="auto"/>
          <w:sz w:val="24"/>
          <w:szCs w:val="24"/>
          <w:highlight w:val="none"/>
        </w:rPr>
      </w:pPr>
      <w:r>
        <w:rPr>
          <w:rFonts w:hint="eastAsia" w:ascii="新宋体" w:hAnsi="新宋体" w:eastAsia="新宋体" w:cs="新宋体"/>
          <w:b/>
          <w:bCs/>
          <w:color w:val="auto"/>
          <w:sz w:val="24"/>
          <w:szCs w:val="24"/>
          <w:highlight w:val="none"/>
        </w:rPr>
      </w:r>
      <w:r/>
    </w:p>
    <w:p>
      <w:pPr>
        <w:pStyle w:val="1326"/>
        <w:ind w:firstLine="321"/>
        <w:jc w:val="center"/>
        <w:spacing w:line="600" w:lineRule="exact"/>
        <w:rPr>
          <w:rFonts w:hint="eastAsia" w:ascii="新宋体" w:hAnsi="新宋体" w:eastAsia="新宋体" w:cs="新宋体"/>
          <w:b/>
          <w:bCs/>
          <w:color w:val="auto"/>
          <w:sz w:val="24"/>
          <w:szCs w:val="24"/>
          <w:highlight w:val="none"/>
        </w:rPr>
      </w:pPr>
      <w:r>
        <w:rPr>
          <w:rFonts w:hint="eastAsia" w:ascii="新宋体" w:hAnsi="新宋体" w:eastAsia="新宋体" w:cs="新宋体"/>
          <w:b/>
          <w:bCs/>
          <w:color w:val="auto"/>
          <w:sz w:val="24"/>
          <w:szCs w:val="24"/>
          <w:highlight w:val="none"/>
        </w:rPr>
      </w:r>
      <w:r/>
    </w:p>
    <w:p>
      <w:pPr>
        <w:pStyle w:val="1326"/>
        <w:ind w:firstLine="321"/>
        <w:jc w:val="center"/>
        <w:spacing w:line="600" w:lineRule="exact"/>
        <w:rPr>
          <w:rFonts w:hint="eastAsia" w:ascii="新宋体" w:hAnsi="新宋体" w:eastAsia="新宋体" w:cs="新宋体"/>
          <w:b/>
          <w:bCs/>
          <w:color w:val="auto"/>
          <w:sz w:val="24"/>
          <w:szCs w:val="24"/>
          <w:highlight w:val="none"/>
        </w:rPr>
      </w:pPr>
      <w:r>
        <w:rPr>
          <w:rFonts w:hint="eastAsia" w:ascii="新宋体" w:hAnsi="新宋体" w:eastAsia="新宋体" w:cs="新宋体"/>
          <w:b/>
          <w:bCs/>
          <w:color w:val="auto"/>
          <w:sz w:val="24"/>
          <w:szCs w:val="24"/>
          <w:highlight w:val="none"/>
        </w:rPr>
      </w:r>
      <w:r/>
    </w:p>
    <w:p>
      <w:pPr>
        <w:ind w:firstLine="320"/>
        <w:spacing w:before="0" w:after="0" w:line="520" w:lineRule="exact"/>
        <w:rPr>
          <w:rFonts w:hint="eastAsia" w:ascii="新宋体" w:hAnsi="新宋体" w:eastAsia="新宋体" w:cs="新宋体"/>
          <w:color w:val="auto"/>
          <w:sz w:val="24"/>
          <w:szCs w:val="24"/>
          <w:highlight w:val="none"/>
        </w:rPr>
        <w:outlineLvl w:val="9"/>
      </w:pPr>
      <w:r>
        <w:rPr>
          <w:rFonts w:hint="eastAsia" w:ascii="新宋体" w:hAnsi="新宋体" w:eastAsia="新宋体" w:cs="新宋体"/>
          <w:color w:val="auto"/>
          <w:sz w:val="24"/>
          <w:szCs w:val="24"/>
          <w:highlight w:val="none"/>
        </w:rPr>
        <w:t xml:space="preserve">项目组实施人员（除项目负责人外）</w:t>
      </w:r>
      <w:r/>
    </w:p>
    <w:tbl>
      <w:tblPr>
        <w:tblStyle w:val="678"/>
        <w:tblpPr w:horzAnchor="margin" w:tblpXSpec="center" w:vertAnchor="text" w:tblpY="74" w:leftFromText="180" w:topFromText="0" w:rightFromText="180" w:bottomFromText="0"/>
        <w:tblW w:w="844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367"/>
              <w:ind w:left="0" w:right="0"/>
              <w:jc w:val="center"/>
              <w:keepLines w:val="0"/>
              <w:keepNext w:val="0"/>
              <w:spacing w:before="0" w:beforeAutospacing="0" w:after="0" w:afterAutospacing="0" w:line="560" w:lineRule="exac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t xml:space="preserve">姓名</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367"/>
              <w:ind w:left="0" w:right="0"/>
              <w:jc w:val="center"/>
              <w:keepLines w:val="0"/>
              <w:keepNext w:val="0"/>
              <w:spacing w:before="0" w:beforeAutospacing="0" w:after="0" w:afterAutospacing="0" w:line="560" w:lineRule="exac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t xml:space="preserve">职务</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367"/>
              <w:ind w:left="0" w:right="0"/>
              <w:jc w:val="center"/>
              <w:keepLines w:val="0"/>
              <w:keepNext w:val="0"/>
              <w:spacing w:before="0" w:beforeAutospacing="0" w:after="0" w:afterAutospacing="0" w:line="560" w:lineRule="exac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t xml:space="preserve">学历</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367"/>
              <w:ind w:left="0" w:right="0"/>
              <w:jc w:val="center"/>
              <w:keepLines w:val="0"/>
              <w:keepNext w:val="0"/>
              <w:spacing w:before="0" w:beforeAutospacing="0" w:after="0" w:afterAutospacing="0" w:line="560" w:lineRule="exac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t xml:space="preserve">身份证号</w:t>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367"/>
              <w:ind w:left="0" w:right="0"/>
              <w:jc w:val="center"/>
              <w:keepLines w:val="0"/>
              <w:keepNext w:val="0"/>
              <w:spacing w:before="0" w:beforeAutospacing="0" w:after="0" w:afterAutospacing="0" w:line="560" w:lineRule="exac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t xml:space="preserve">相关证书</w:t>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367"/>
              <w:ind w:left="0" w:right="0"/>
              <w:jc w:val="center"/>
              <w:keepLines w:val="0"/>
              <w:keepNext w:val="0"/>
              <w:spacing w:before="0" w:beforeAutospacing="0" w:after="0" w:afterAutospacing="0" w:line="560" w:lineRule="exac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t xml:space="preserve">备注</w:t>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366"/>
              <w:ind w:left="0" w:right="0" w:firstLine="560"/>
              <w:jc w:val="center"/>
              <w:keepLines w:val="0"/>
              <w:keepNext w:val="0"/>
              <w:spacing w:before="0" w:beforeAutospacing="0" w:after="0" w:afterAutospacing="0" w:line="560" w:lineRule="exact"/>
              <w:widowControl/>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07"/>
              <w:ind w:left="0" w:right="0"/>
              <w:jc w:val="center"/>
              <w:keepLines w:val="0"/>
              <w:keepNext w:val="0"/>
              <w:spacing w:before="0" w:beforeAutospacing="0" w:after="0" w:afterAutospacing="0"/>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366"/>
              <w:ind w:left="0" w:right="0" w:firstLine="560"/>
              <w:jc w:val="center"/>
              <w:keepLines w:val="0"/>
              <w:keepNext w:val="0"/>
              <w:spacing w:before="0" w:beforeAutospacing="0" w:after="0" w:afterAutospacing="0" w:line="560" w:lineRule="exact"/>
              <w:widowControl/>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366"/>
              <w:ind w:left="0" w:right="0" w:firstLine="560"/>
              <w:jc w:val="center"/>
              <w:keepLines w:val="0"/>
              <w:keepNext w:val="0"/>
              <w:spacing w:before="0" w:beforeAutospacing="0" w:after="0" w:afterAutospacing="0" w:line="560" w:lineRule="exact"/>
              <w:widowControl/>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366"/>
              <w:ind w:left="0" w:right="0" w:firstLine="560"/>
              <w:jc w:val="center"/>
              <w:keepLines w:val="0"/>
              <w:keepNext w:val="0"/>
              <w:spacing w:before="0" w:beforeAutospacing="0" w:after="0" w:afterAutospacing="0" w:line="560" w:lineRule="exact"/>
              <w:widowControl/>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366"/>
              <w:ind w:left="0" w:right="0" w:firstLine="560"/>
              <w:jc w:val="center"/>
              <w:keepLines w:val="0"/>
              <w:keepNext w:val="0"/>
              <w:spacing w:before="0" w:beforeAutospacing="0" w:after="0" w:afterAutospacing="0" w:line="560" w:lineRule="exact"/>
              <w:widowControl/>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366"/>
              <w:ind w:left="0" w:right="0" w:firstLine="560"/>
              <w:jc w:val="center"/>
              <w:keepLines w:val="0"/>
              <w:keepNext w:val="0"/>
              <w:spacing w:before="0" w:beforeAutospacing="0" w:after="0" w:afterAutospacing="0" w:line="560" w:lineRule="exact"/>
              <w:widowControl/>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07"/>
              <w:ind w:left="0" w:right="0"/>
              <w:jc w:val="center"/>
              <w:keepLines w:val="0"/>
              <w:keepNext w:val="0"/>
              <w:spacing w:before="0" w:beforeAutospacing="0" w:after="0" w:afterAutospacing="0"/>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366"/>
              <w:ind w:left="0" w:right="0" w:firstLine="560"/>
              <w:jc w:val="center"/>
              <w:keepLines w:val="0"/>
              <w:keepNext w:val="0"/>
              <w:spacing w:before="0" w:beforeAutospacing="0" w:after="0" w:afterAutospacing="0" w:line="560" w:lineRule="exact"/>
              <w:widowControl/>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366"/>
              <w:ind w:left="0" w:right="0" w:firstLine="560"/>
              <w:jc w:val="center"/>
              <w:keepLines w:val="0"/>
              <w:keepNext w:val="0"/>
              <w:spacing w:before="0" w:beforeAutospacing="0" w:after="0" w:afterAutospacing="0" w:line="560" w:lineRule="exact"/>
              <w:widowControl/>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366"/>
              <w:ind w:left="0" w:right="0" w:firstLine="560"/>
              <w:jc w:val="center"/>
              <w:keepLines w:val="0"/>
              <w:keepNext w:val="0"/>
              <w:spacing w:before="0" w:beforeAutospacing="0" w:after="0" w:afterAutospacing="0" w:line="560" w:lineRule="exact"/>
              <w:widowControl/>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366"/>
              <w:ind w:left="0" w:right="0" w:firstLine="560"/>
              <w:jc w:val="center"/>
              <w:keepLines w:val="0"/>
              <w:keepNext w:val="0"/>
              <w:spacing w:before="0" w:beforeAutospacing="0" w:after="0" w:afterAutospacing="0" w:line="560" w:lineRule="exact"/>
              <w:widowControl/>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366"/>
              <w:ind w:left="0" w:right="0" w:firstLine="560"/>
              <w:jc w:val="center"/>
              <w:keepLines w:val="0"/>
              <w:keepNext w:val="0"/>
              <w:spacing w:before="0" w:beforeAutospacing="0" w:after="0" w:afterAutospacing="0" w:line="560" w:lineRule="exact"/>
              <w:widowControl/>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07"/>
              <w:ind w:left="0" w:right="0"/>
              <w:jc w:val="center"/>
              <w:keepLines w:val="0"/>
              <w:keepNext w:val="0"/>
              <w:spacing w:before="0" w:beforeAutospacing="0" w:after="0" w:afterAutospacing="0"/>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366"/>
              <w:ind w:left="0" w:right="0" w:firstLine="560"/>
              <w:jc w:val="center"/>
              <w:keepLines w:val="0"/>
              <w:keepNext w:val="0"/>
              <w:spacing w:before="0" w:beforeAutospacing="0" w:after="0" w:afterAutospacing="0" w:line="560" w:lineRule="exact"/>
              <w:widowControl/>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366"/>
              <w:ind w:left="0" w:right="0" w:firstLine="560"/>
              <w:jc w:val="center"/>
              <w:keepLines w:val="0"/>
              <w:keepNext w:val="0"/>
              <w:spacing w:before="0" w:beforeAutospacing="0" w:after="0" w:afterAutospacing="0" w:line="560" w:lineRule="exact"/>
              <w:widowControl/>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366"/>
              <w:ind w:left="0" w:right="0" w:firstLine="560"/>
              <w:jc w:val="center"/>
              <w:keepLines w:val="0"/>
              <w:keepNext w:val="0"/>
              <w:spacing w:before="0" w:beforeAutospacing="0" w:after="0" w:afterAutospacing="0" w:line="560" w:lineRule="exact"/>
              <w:widowControl/>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366"/>
              <w:ind w:left="0" w:right="0" w:firstLine="560"/>
              <w:jc w:val="center"/>
              <w:keepLines w:val="0"/>
              <w:keepNext w:val="0"/>
              <w:spacing w:before="0" w:beforeAutospacing="0" w:after="0" w:afterAutospacing="0" w:line="560" w:lineRule="exact"/>
              <w:widowControl/>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366"/>
              <w:ind w:left="0" w:right="0" w:firstLine="560"/>
              <w:jc w:val="center"/>
              <w:keepLines w:val="0"/>
              <w:keepNext w:val="0"/>
              <w:spacing w:before="0" w:beforeAutospacing="0" w:after="0" w:afterAutospacing="0" w:line="560" w:lineRule="exact"/>
              <w:widowControl/>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07"/>
              <w:ind w:left="0" w:right="0"/>
              <w:jc w:val="center"/>
              <w:keepLines w:val="0"/>
              <w:keepNext w:val="0"/>
              <w:spacing w:before="0" w:beforeAutospacing="0" w:after="0" w:afterAutospacing="0"/>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366"/>
              <w:ind w:left="0" w:right="0" w:firstLine="560"/>
              <w:jc w:val="center"/>
              <w:keepLines w:val="0"/>
              <w:keepNext w:val="0"/>
              <w:spacing w:before="0" w:beforeAutospacing="0" w:after="0" w:afterAutospacing="0" w:line="560" w:lineRule="exact"/>
              <w:widowControl/>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366"/>
              <w:ind w:left="0" w:right="0" w:firstLine="560"/>
              <w:jc w:val="center"/>
              <w:keepLines w:val="0"/>
              <w:keepNext w:val="0"/>
              <w:spacing w:before="0" w:beforeAutospacing="0" w:after="0" w:afterAutospacing="0" w:line="560" w:lineRule="exact"/>
              <w:widowControl/>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366"/>
              <w:ind w:left="0" w:right="0" w:firstLine="560"/>
              <w:jc w:val="center"/>
              <w:keepLines w:val="0"/>
              <w:keepNext w:val="0"/>
              <w:spacing w:before="0" w:beforeAutospacing="0" w:after="0" w:afterAutospacing="0" w:line="560" w:lineRule="exact"/>
              <w:widowControl/>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366"/>
              <w:ind w:left="0" w:right="0" w:firstLine="560"/>
              <w:jc w:val="center"/>
              <w:keepLines w:val="0"/>
              <w:keepNext w:val="0"/>
              <w:spacing w:before="0" w:beforeAutospacing="0" w:after="0" w:afterAutospacing="0" w:line="560" w:lineRule="exact"/>
              <w:widowControl/>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366"/>
              <w:ind w:left="0" w:right="0" w:firstLine="560"/>
              <w:jc w:val="center"/>
              <w:keepLines w:val="0"/>
              <w:keepNext w:val="0"/>
              <w:spacing w:before="0" w:beforeAutospacing="0" w:after="0" w:afterAutospacing="0" w:line="560" w:lineRule="exact"/>
              <w:widowControl/>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07"/>
              <w:ind w:left="0" w:right="0"/>
              <w:jc w:val="center"/>
              <w:keepLines w:val="0"/>
              <w:keepNext w:val="0"/>
              <w:spacing w:before="0" w:beforeAutospacing="0" w:after="0" w:afterAutospacing="0"/>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366"/>
              <w:ind w:left="0" w:right="0" w:firstLine="560"/>
              <w:jc w:val="center"/>
              <w:keepLines w:val="0"/>
              <w:keepNext w:val="0"/>
              <w:spacing w:before="0" w:beforeAutospacing="0" w:after="0" w:afterAutospacing="0" w:line="560" w:lineRule="exact"/>
              <w:widowControl/>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366"/>
              <w:ind w:left="0" w:right="0" w:firstLine="560"/>
              <w:jc w:val="center"/>
              <w:keepLines w:val="0"/>
              <w:keepNext w:val="0"/>
              <w:spacing w:before="0" w:beforeAutospacing="0" w:after="0" w:afterAutospacing="0" w:line="560" w:lineRule="exact"/>
              <w:widowControl/>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366"/>
              <w:ind w:left="0" w:right="0" w:firstLine="560"/>
              <w:jc w:val="center"/>
              <w:keepLines w:val="0"/>
              <w:keepNext w:val="0"/>
              <w:spacing w:before="0" w:beforeAutospacing="0" w:after="0" w:afterAutospacing="0" w:line="560" w:lineRule="exact"/>
              <w:widowControl/>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366"/>
              <w:ind w:left="0" w:right="0" w:firstLine="560"/>
              <w:jc w:val="center"/>
              <w:keepLines w:val="0"/>
              <w:keepNext w:val="0"/>
              <w:spacing w:before="0" w:beforeAutospacing="0" w:after="0" w:afterAutospacing="0" w:line="560" w:lineRule="exact"/>
              <w:widowControl/>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366"/>
              <w:ind w:left="0" w:right="0" w:firstLine="560"/>
              <w:jc w:val="center"/>
              <w:keepLines w:val="0"/>
              <w:keepNext w:val="0"/>
              <w:spacing w:before="0" w:beforeAutospacing="0" w:after="0" w:afterAutospacing="0" w:line="560" w:lineRule="exact"/>
              <w:widowControl/>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07"/>
              <w:ind w:left="0" w:right="0"/>
              <w:jc w:val="center"/>
              <w:keepLines w:val="0"/>
              <w:keepNext w:val="0"/>
              <w:spacing w:before="0" w:beforeAutospacing="0" w:after="0" w:afterAutospacing="0"/>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366"/>
              <w:ind w:left="0" w:right="0" w:firstLine="560"/>
              <w:jc w:val="center"/>
              <w:keepLines w:val="0"/>
              <w:keepNext w:val="0"/>
              <w:spacing w:before="0" w:beforeAutospacing="0" w:after="0" w:afterAutospacing="0" w:line="560" w:lineRule="exact"/>
              <w:widowControl/>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366"/>
              <w:ind w:left="0" w:right="0" w:firstLine="560"/>
              <w:jc w:val="center"/>
              <w:keepLines w:val="0"/>
              <w:keepNext w:val="0"/>
              <w:spacing w:before="0" w:beforeAutospacing="0" w:after="0" w:afterAutospacing="0" w:line="560" w:lineRule="exact"/>
              <w:widowControl/>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366"/>
              <w:ind w:left="0" w:right="0" w:firstLine="560"/>
              <w:jc w:val="center"/>
              <w:keepLines w:val="0"/>
              <w:keepNext w:val="0"/>
              <w:spacing w:before="0" w:beforeAutospacing="0" w:after="0" w:afterAutospacing="0" w:line="560" w:lineRule="exact"/>
              <w:widowControl/>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366"/>
              <w:ind w:left="0" w:right="0" w:firstLine="560"/>
              <w:jc w:val="center"/>
              <w:keepLines w:val="0"/>
              <w:keepNext w:val="0"/>
              <w:spacing w:before="0" w:beforeAutospacing="0" w:after="0" w:afterAutospacing="0" w:line="560" w:lineRule="exact"/>
              <w:widowControl/>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366"/>
              <w:ind w:left="0" w:right="0" w:firstLine="560"/>
              <w:jc w:val="center"/>
              <w:keepLines w:val="0"/>
              <w:keepNext w:val="0"/>
              <w:spacing w:before="0" w:beforeAutospacing="0" w:after="0" w:afterAutospacing="0" w:line="560" w:lineRule="exact"/>
              <w:widowControl/>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07"/>
              <w:ind w:left="0" w:right="0"/>
              <w:jc w:val="center"/>
              <w:keepLines w:val="0"/>
              <w:keepNext w:val="0"/>
              <w:spacing w:before="0" w:beforeAutospacing="0" w:after="0" w:afterAutospacing="0"/>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366"/>
              <w:ind w:left="0" w:right="0" w:firstLine="560"/>
              <w:jc w:val="center"/>
              <w:keepLines w:val="0"/>
              <w:keepNext w:val="0"/>
              <w:spacing w:before="0" w:beforeAutospacing="0" w:after="0" w:afterAutospacing="0" w:line="560" w:lineRule="exact"/>
              <w:widowControl/>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366"/>
              <w:ind w:left="0" w:right="0" w:firstLine="560"/>
              <w:jc w:val="center"/>
              <w:keepLines w:val="0"/>
              <w:keepNext w:val="0"/>
              <w:spacing w:before="0" w:beforeAutospacing="0" w:after="0" w:afterAutospacing="0" w:line="560" w:lineRule="exact"/>
              <w:widowControl/>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366"/>
              <w:ind w:left="0" w:right="0" w:firstLine="560"/>
              <w:jc w:val="center"/>
              <w:keepLines w:val="0"/>
              <w:keepNext w:val="0"/>
              <w:spacing w:before="0" w:beforeAutospacing="0" w:after="0" w:afterAutospacing="0" w:line="560" w:lineRule="exact"/>
              <w:widowControl/>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366"/>
              <w:ind w:left="0" w:right="0" w:firstLine="560"/>
              <w:jc w:val="center"/>
              <w:keepLines w:val="0"/>
              <w:keepNext w:val="0"/>
              <w:spacing w:before="0" w:beforeAutospacing="0" w:after="0" w:afterAutospacing="0" w:line="560" w:lineRule="exact"/>
              <w:widowControl/>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366"/>
              <w:ind w:left="0" w:right="0" w:firstLine="560"/>
              <w:jc w:val="center"/>
              <w:keepLines w:val="0"/>
              <w:keepNext w:val="0"/>
              <w:spacing w:before="0" w:beforeAutospacing="0" w:after="0" w:afterAutospacing="0" w:line="560" w:lineRule="exact"/>
              <w:widowControl/>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07"/>
              <w:ind w:left="0" w:right="0"/>
              <w:jc w:val="center"/>
              <w:keepLines w:val="0"/>
              <w:keepNext w:val="0"/>
              <w:spacing w:before="0" w:beforeAutospacing="0" w:after="0" w:afterAutospacing="0"/>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366"/>
              <w:ind w:left="0" w:right="0" w:firstLine="560"/>
              <w:jc w:val="center"/>
              <w:keepLines w:val="0"/>
              <w:keepNext w:val="0"/>
              <w:spacing w:before="0" w:beforeAutospacing="0" w:after="0" w:afterAutospacing="0" w:line="560" w:lineRule="exact"/>
              <w:widowControl/>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366"/>
              <w:ind w:left="0" w:right="0" w:firstLine="560"/>
              <w:jc w:val="center"/>
              <w:keepLines w:val="0"/>
              <w:keepNext w:val="0"/>
              <w:spacing w:before="0" w:beforeAutospacing="0" w:after="0" w:afterAutospacing="0" w:line="560" w:lineRule="exact"/>
              <w:widowControl/>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366"/>
              <w:ind w:left="0" w:right="0" w:firstLine="560"/>
              <w:jc w:val="center"/>
              <w:keepLines w:val="0"/>
              <w:keepNext w:val="0"/>
              <w:spacing w:before="0" w:beforeAutospacing="0" w:after="0" w:afterAutospacing="0" w:line="560" w:lineRule="exact"/>
              <w:widowControl/>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366"/>
              <w:ind w:left="0" w:right="0" w:firstLine="560"/>
              <w:jc w:val="center"/>
              <w:keepLines w:val="0"/>
              <w:keepNext w:val="0"/>
              <w:spacing w:before="0" w:beforeAutospacing="0" w:after="0" w:afterAutospacing="0" w:line="560" w:lineRule="exact"/>
              <w:widowControl/>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r>
    </w:tbl>
    <w:p>
      <w:pPr>
        <w:ind w:firstLine="21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注：如供应商成交，项目组成员（除项目负责人外）必须按本表承诺人员操作，不得随意更换。按采购文件要求附相关人员证书电子件。</w:t>
      </w:r>
      <w:bookmarkStart w:id="121" w:name="_格式2__法定代表人授权书"/>
      <w:r/>
      <w:bookmarkEnd w:id="121"/>
      <w:r/>
      <w:r/>
    </w:p>
    <w:p>
      <w:pPr>
        <w:ind w:firstLine="210"/>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r>
      <w:r/>
    </w:p>
    <w:p>
      <w:pPr>
        <w:ind w:firstLine="210"/>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r>
      <w:r/>
    </w:p>
    <w:p>
      <w:pPr>
        <w:ind w:firstLine="210"/>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r>
      <w:r/>
    </w:p>
    <w:p>
      <w:pPr>
        <w:ind w:firstLine="210"/>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r>
      <w:r/>
    </w:p>
    <w:p>
      <w:pPr>
        <w:ind w:firstLine="210"/>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r>
      <w:r/>
    </w:p>
    <w:p>
      <w:pPr>
        <w:ind w:firstLine="210"/>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r>
      <w:r/>
    </w:p>
    <w:p>
      <w:pPr>
        <w:ind w:firstLine="210"/>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r>
      <w:r/>
    </w:p>
    <w:p>
      <w:pPr>
        <w:ind w:firstLine="210"/>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r>
      <w:r/>
    </w:p>
    <w:p>
      <w:pPr>
        <w:ind w:firstLine="210"/>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r>
      <w:r/>
    </w:p>
    <w:p>
      <w:pPr>
        <w:ind w:firstLine="210"/>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r>
      <w:r/>
    </w:p>
    <w:p>
      <w:pPr>
        <w:ind w:firstLine="210"/>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r>
      <w:r/>
    </w:p>
    <w:p>
      <w:pPr>
        <w:rPr>
          <w:rFonts w:hint="eastAsia" w:ascii="新宋体" w:hAnsi="新宋体" w:eastAsia="新宋体" w:cs="新宋体"/>
          <w:b/>
          <w:bCs/>
          <w:color w:val="auto"/>
          <w:sz w:val="24"/>
          <w:szCs w:val="24"/>
          <w:highlight w:val="none"/>
        </w:rPr>
      </w:pPr>
      <w:r/>
      <w:bookmarkStart w:id="122" w:name="_Toc11176"/>
      <w:r>
        <w:rPr>
          <w:rFonts w:hint="eastAsia" w:ascii="新宋体" w:hAnsi="新宋体" w:eastAsia="新宋体" w:cs="新宋体"/>
          <w:b/>
          <w:bCs/>
          <w:color w:val="auto"/>
          <w:sz w:val="24"/>
          <w:szCs w:val="24"/>
          <w:highlight w:val="none"/>
        </w:rPr>
        <w:br w:type="page" w:clear="all"/>
      </w:r>
      <w:r/>
    </w:p>
    <w:p>
      <w:pPr>
        <w:pStyle w:val="669"/>
        <w:ind w:firstLine="320"/>
        <w:spacing w:before="0" w:after="0" w:line="520" w:lineRule="exact"/>
        <w:rPr>
          <w:rFonts w:hint="eastAsia" w:ascii="新宋体" w:hAnsi="新宋体" w:eastAsia="新宋体" w:cs="新宋体"/>
          <w:b/>
          <w:bCs/>
          <w:color w:val="auto"/>
          <w:sz w:val="24"/>
          <w:szCs w:val="24"/>
          <w:highlight w:val="none"/>
        </w:rPr>
        <w:outlineLvl w:val="1"/>
      </w:pPr>
      <w:r/>
      <w:bookmarkStart w:id="123" w:name="_Toc32688"/>
      <w:r>
        <w:rPr>
          <w:rFonts w:hint="eastAsia" w:ascii="新宋体" w:hAnsi="新宋体" w:eastAsia="新宋体" w:cs="新宋体"/>
          <w:b/>
          <w:bCs/>
          <w:color w:val="auto"/>
          <w:sz w:val="24"/>
          <w:szCs w:val="24"/>
          <w:highlight w:val="none"/>
          <w:lang w:val="en-US" w:eastAsia="zh-CN"/>
        </w:rPr>
        <w:t xml:space="preserve">九</w:t>
      </w:r>
      <w:r>
        <w:rPr>
          <w:rFonts w:hint="eastAsia" w:ascii="新宋体" w:hAnsi="新宋体" w:eastAsia="新宋体" w:cs="新宋体"/>
          <w:b/>
          <w:bCs/>
          <w:color w:val="auto"/>
          <w:sz w:val="24"/>
          <w:szCs w:val="24"/>
          <w:highlight w:val="none"/>
        </w:rPr>
        <w:t xml:space="preserve">、企业业绩</w:t>
      </w:r>
      <w:bookmarkEnd w:id="123"/>
      <w:r/>
      <w:r/>
    </w:p>
    <w:p>
      <w:pPr>
        <w:pStyle w:val="1331"/>
        <w:jc w:val="center"/>
        <w:rPr>
          <w:rFonts w:hint="eastAsia" w:ascii="新宋体" w:hAnsi="新宋体" w:eastAsia="新宋体" w:cs="新宋体"/>
          <w:bCs/>
          <w:color w:val="auto"/>
          <w:sz w:val="24"/>
          <w:szCs w:val="24"/>
          <w:highlight w:val="none"/>
        </w:rPr>
      </w:pPr>
      <w:r>
        <w:rPr>
          <w:rFonts w:hint="eastAsia" w:ascii="新宋体" w:hAnsi="新宋体" w:eastAsia="新宋体" w:cs="新宋体"/>
          <w:bCs/>
          <w:color w:val="auto"/>
          <w:sz w:val="24"/>
          <w:szCs w:val="24"/>
          <w:highlight w:val="none"/>
        </w:rPr>
        <w:t xml:space="preserve">类似项目业绩一览表</w:t>
      </w:r>
      <w:r/>
    </w:p>
    <w:tbl>
      <w:tblPr>
        <w:tblStyle w:val="678"/>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val="false"/>
          </w:tcPr>
          <w:p>
            <w:pPr>
              <w:pStyle w:val="1367"/>
              <w:ind w:left="0" w:right="0"/>
              <w:jc w:val="center"/>
              <w:keepLines w:val="0"/>
              <w:keepNext w:val="0"/>
              <w:spacing w:before="0" w:beforeAutospacing="0" w:after="0" w:afterAutospacing="0" w:line="560" w:lineRule="exac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t xml:space="preserve">序号</w:t>
            </w:r>
            <w:r/>
          </w:p>
        </w:tc>
        <w:tc>
          <w:tcPr>
            <w:tcW w:w="3827" w:type="dxa"/>
            <w:vAlign w:val="center"/>
            <w:textDirection w:val="lrTb"/>
            <w:noWrap w:val="false"/>
          </w:tcPr>
          <w:p>
            <w:pPr>
              <w:pStyle w:val="1367"/>
              <w:ind w:left="0" w:right="0"/>
              <w:jc w:val="center"/>
              <w:keepLines w:val="0"/>
              <w:keepNext w:val="0"/>
              <w:spacing w:before="0" w:beforeAutospacing="0" w:after="0" w:afterAutospacing="0" w:line="560" w:lineRule="exac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t xml:space="preserve">项目名称</w:t>
            </w:r>
            <w:r/>
          </w:p>
        </w:tc>
        <w:tc>
          <w:tcPr>
            <w:tcW w:w="2433" w:type="dxa"/>
            <w:vAlign w:val="center"/>
            <w:textDirection w:val="lrTb"/>
            <w:noWrap w:val="false"/>
          </w:tcPr>
          <w:p>
            <w:pPr>
              <w:pStyle w:val="1367"/>
              <w:ind w:left="0" w:right="0"/>
              <w:jc w:val="center"/>
              <w:keepLines w:val="0"/>
              <w:keepNext w:val="0"/>
              <w:spacing w:before="0" w:beforeAutospacing="0" w:after="0" w:afterAutospacing="0" w:line="560" w:lineRule="exac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t xml:space="preserve">采购单位</w:t>
            </w:r>
            <w:r/>
          </w:p>
        </w:tc>
        <w:tc>
          <w:tcPr>
            <w:tcW w:w="1395" w:type="dxa"/>
            <w:vAlign w:val="center"/>
            <w:textDirection w:val="lrTb"/>
            <w:noWrap w:val="false"/>
          </w:tcPr>
          <w:p>
            <w:pPr>
              <w:pStyle w:val="1367"/>
              <w:ind w:left="0" w:right="0"/>
              <w:jc w:val="center"/>
              <w:keepLines w:val="0"/>
              <w:keepNext w:val="0"/>
              <w:spacing w:before="0" w:beforeAutospacing="0" w:after="0" w:afterAutospacing="0" w:line="560" w:lineRule="exac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t xml:space="preserve">合同金额</w:t>
            </w:r>
            <w:r/>
          </w:p>
        </w:tc>
      </w:tr>
      <w:tr>
        <w:trPr>
          <w:jc w:val="center"/>
          <w:trHeight w:val="1510"/>
        </w:trPr>
        <w:tc>
          <w:tcPr>
            <w:tcW w:w="1229" w:type="dxa"/>
            <w:textDirection w:val="lrTb"/>
            <w:noWrap w:val="false"/>
          </w:tcPr>
          <w:p>
            <w:pPr>
              <w:pStyle w:val="1367"/>
              <w:ind w:left="0" w:right="0"/>
              <w:jc w:val="center"/>
              <w:keepLines w:val="0"/>
              <w:keepNext w:val="0"/>
              <w:spacing w:before="0" w:beforeAutospacing="0" w:after="0" w:afterAutospacing="0" w:line="560" w:lineRule="exac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W w:w="3827" w:type="dxa"/>
            <w:vAlign w:val="center"/>
            <w:textDirection w:val="lrTb"/>
            <w:noWrap w:val="false"/>
          </w:tcPr>
          <w:p>
            <w:pPr>
              <w:pStyle w:val="1367"/>
              <w:ind w:left="0" w:right="0"/>
              <w:jc w:val="center"/>
              <w:keepLines w:val="0"/>
              <w:keepNext w:val="0"/>
              <w:spacing w:before="0" w:beforeAutospacing="0" w:after="0" w:afterAutospacing="0" w:line="560" w:lineRule="exac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W w:w="2433" w:type="dxa"/>
            <w:vAlign w:val="center"/>
            <w:textDirection w:val="lrTb"/>
            <w:noWrap w:val="false"/>
          </w:tcPr>
          <w:p>
            <w:pPr>
              <w:pStyle w:val="1367"/>
              <w:ind w:left="0" w:right="0"/>
              <w:jc w:val="center"/>
              <w:keepLines w:val="0"/>
              <w:keepNext w:val="0"/>
              <w:spacing w:before="0" w:beforeAutospacing="0" w:after="0" w:afterAutospacing="0" w:line="560" w:lineRule="exac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W w:w="1395" w:type="dxa"/>
            <w:vAlign w:val="center"/>
            <w:textDirection w:val="lrTb"/>
            <w:noWrap w:val="false"/>
          </w:tcPr>
          <w:p>
            <w:pPr>
              <w:pStyle w:val="1367"/>
              <w:ind w:left="0" w:right="0"/>
              <w:jc w:val="center"/>
              <w:keepLines w:val="0"/>
              <w:keepNext w:val="0"/>
              <w:spacing w:before="0" w:beforeAutospacing="0" w:after="0" w:afterAutospacing="0" w:line="560" w:lineRule="exac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r>
      <w:tr>
        <w:trPr>
          <w:jc w:val="center"/>
          <w:trHeight w:val="1510"/>
        </w:trPr>
        <w:tc>
          <w:tcPr>
            <w:tcW w:w="1229" w:type="dxa"/>
            <w:textDirection w:val="lrTb"/>
            <w:noWrap w:val="false"/>
          </w:tcPr>
          <w:p>
            <w:pPr>
              <w:pStyle w:val="1367"/>
              <w:ind w:left="0" w:right="0"/>
              <w:jc w:val="center"/>
              <w:keepLines w:val="0"/>
              <w:keepNext w:val="0"/>
              <w:spacing w:before="0" w:beforeAutospacing="0" w:after="0" w:afterAutospacing="0" w:line="560" w:lineRule="exac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W w:w="3827" w:type="dxa"/>
            <w:vAlign w:val="center"/>
            <w:textDirection w:val="lrTb"/>
            <w:noWrap w:val="false"/>
          </w:tcPr>
          <w:p>
            <w:pPr>
              <w:pStyle w:val="1367"/>
              <w:ind w:left="0" w:right="0"/>
              <w:jc w:val="center"/>
              <w:keepLines w:val="0"/>
              <w:keepNext w:val="0"/>
              <w:spacing w:before="0" w:beforeAutospacing="0" w:after="0" w:afterAutospacing="0" w:line="560" w:lineRule="exac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W w:w="2433" w:type="dxa"/>
            <w:vAlign w:val="center"/>
            <w:textDirection w:val="lrTb"/>
            <w:noWrap w:val="false"/>
          </w:tcPr>
          <w:p>
            <w:pPr>
              <w:pStyle w:val="1367"/>
              <w:ind w:left="0" w:right="0"/>
              <w:jc w:val="center"/>
              <w:keepLines w:val="0"/>
              <w:keepNext w:val="0"/>
              <w:spacing w:before="0" w:beforeAutospacing="0" w:after="0" w:afterAutospacing="0" w:line="560" w:lineRule="exac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W w:w="1395" w:type="dxa"/>
            <w:vAlign w:val="center"/>
            <w:textDirection w:val="lrTb"/>
            <w:noWrap w:val="false"/>
          </w:tcPr>
          <w:p>
            <w:pPr>
              <w:pStyle w:val="1367"/>
              <w:ind w:left="0" w:right="0"/>
              <w:jc w:val="center"/>
              <w:keepLines w:val="0"/>
              <w:keepNext w:val="0"/>
              <w:spacing w:before="0" w:beforeAutospacing="0" w:after="0" w:afterAutospacing="0" w:line="560" w:lineRule="exac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r>
      <w:tr>
        <w:trPr>
          <w:jc w:val="center"/>
          <w:trHeight w:val="1510"/>
        </w:trPr>
        <w:tc>
          <w:tcPr>
            <w:tcW w:w="1229" w:type="dxa"/>
            <w:textDirection w:val="lrTb"/>
            <w:noWrap w:val="false"/>
          </w:tcPr>
          <w:p>
            <w:pPr>
              <w:pStyle w:val="1367"/>
              <w:ind w:left="0" w:right="0"/>
              <w:jc w:val="center"/>
              <w:keepLines w:val="0"/>
              <w:keepNext w:val="0"/>
              <w:spacing w:before="0" w:beforeAutospacing="0" w:after="0" w:afterAutospacing="0" w:line="560" w:lineRule="exac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W w:w="3827" w:type="dxa"/>
            <w:vAlign w:val="center"/>
            <w:textDirection w:val="lrTb"/>
            <w:noWrap w:val="false"/>
          </w:tcPr>
          <w:p>
            <w:pPr>
              <w:pStyle w:val="1367"/>
              <w:ind w:left="0" w:right="0"/>
              <w:jc w:val="center"/>
              <w:keepLines w:val="0"/>
              <w:keepNext w:val="0"/>
              <w:spacing w:before="0" w:beforeAutospacing="0" w:after="0" w:afterAutospacing="0" w:line="560" w:lineRule="exac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W w:w="2433" w:type="dxa"/>
            <w:vAlign w:val="center"/>
            <w:textDirection w:val="lrTb"/>
            <w:noWrap w:val="false"/>
          </w:tcPr>
          <w:p>
            <w:pPr>
              <w:pStyle w:val="1367"/>
              <w:ind w:left="0" w:right="0"/>
              <w:jc w:val="center"/>
              <w:keepLines w:val="0"/>
              <w:keepNext w:val="0"/>
              <w:spacing w:before="0" w:beforeAutospacing="0" w:after="0" w:afterAutospacing="0" w:line="560" w:lineRule="exac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W w:w="1395" w:type="dxa"/>
            <w:vAlign w:val="center"/>
            <w:textDirection w:val="lrTb"/>
            <w:noWrap w:val="false"/>
          </w:tcPr>
          <w:p>
            <w:pPr>
              <w:pStyle w:val="1367"/>
              <w:ind w:left="0" w:right="0"/>
              <w:jc w:val="center"/>
              <w:keepLines w:val="0"/>
              <w:keepNext w:val="0"/>
              <w:spacing w:before="0" w:beforeAutospacing="0" w:after="0" w:afterAutospacing="0" w:line="560" w:lineRule="exac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r>
      <w:tr>
        <w:trPr>
          <w:jc w:val="center"/>
          <w:trHeight w:val="1525"/>
        </w:trPr>
        <w:tc>
          <w:tcPr>
            <w:tcW w:w="1229" w:type="dxa"/>
            <w:textDirection w:val="lrTb"/>
            <w:noWrap w:val="false"/>
          </w:tcPr>
          <w:p>
            <w:pPr>
              <w:pStyle w:val="1367"/>
              <w:ind w:left="0" w:right="0"/>
              <w:jc w:val="center"/>
              <w:keepLines w:val="0"/>
              <w:keepNext w:val="0"/>
              <w:spacing w:before="0" w:beforeAutospacing="0" w:after="0" w:afterAutospacing="0" w:line="560" w:lineRule="exac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W w:w="3827" w:type="dxa"/>
            <w:vAlign w:val="center"/>
            <w:textDirection w:val="lrTb"/>
            <w:noWrap w:val="false"/>
          </w:tcPr>
          <w:p>
            <w:pPr>
              <w:pStyle w:val="1367"/>
              <w:ind w:left="0" w:right="0"/>
              <w:jc w:val="center"/>
              <w:keepLines w:val="0"/>
              <w:keepNext w:val="0"/>
              <w:spacing w:before="0" w:beforeAutospacing="0" w:after="0" w:afterAutospacing="0" w:line="560" w:lineRule="exac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W w:w="2433" w:type="dxa"/>
            <w:vAlign w:val="center"/>
            <w:textDirection w:val="lrTb"/>
            <w:noWrap w:val="false"/>
          </w:tcPr>
          <w:p>
            <w:pPr>
              <w:pStyle w:val="1367"/>
              <w:ind w:left="0" w:right="0"/>
              <w:jc w:val="center"/>
              <w:keepLines w:val="0"/>
              <w:keepNext w:val="0"/>
              <w:spacing w:before="0" w:beforeAutospacing="0" w:after="0" w:afterAutospacing="0" w:line="560" w:lineRule="exac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W w:w="1395" w:type="dxa"/>
            <w:vAlign w:val="center"/>
            <w:textDirection w:val="lrTb"/>
            <w:noWrap w:val="false"/>
          </w:tcPr>
          <w:p>
            <w:pPr>
              <w:pStyle w:val="1367"/>
              <w:ind w:left="0" w:right="0"/>
              <w:jc w:val="center"/>
              <w:keepLines w:val="0"/>
              <w:keepNext w:val="0"/>
              <w:spacing w:before="0" w:beforeAutospacing="0" w:after="0" w:afterAutospacing="0" w:line="560" w:lineRule="exac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r>
    </w:tbl>
    <w:p>
      <w:pPr>
        <w:pStyle w:val="1331"/>
        <w:ind w:firstLine="480"/>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注：请填写此表，并按要求上传业绩资料电子件。</w:t>
      </w:r>
      <w:r/>
    </w:p>
    <w:p>
      <w:pPr>
        <w:rPr>
          <w:rFonts w:hint="eastAsia" w:ascii="新宋体" w:hAnsi="新宋体" w:eastAsia="新宋体" w:cs="新宋体"/>
          <w:color w:val="auto"/>
          <w:sz w:val="24"/>
          <w:szCs w:val="24"/>
          <w:highlight w:val="none"/>
        </w:rPr>
        <w:sectPr>
          <w:footnotePr/>
          <w:endnotePr/>
          <w:type w:val="nextPage"/>
          <w:pgSz w:w="11906" w:h="16838" w:orient="portrait"/>
          <w:pgMar w:top="1440" w:right="1417" w:bottom="1440" w:left="1417" w:header="851" w:footer="992" w:gutter="0"/>
          <w:cols w:num="1" w:sep="0" w:space="720" w:equalWidth="1"/>
          <w:docGrid w:linePitch="360"/>
        </w:sectPr>
      </w:pPr>
      <w:r>
        <w:rPr>
          <w:rFonts w:hint="eastAsia" w:ascii="新宋体" w:hAnsi="新宋体" w:eastAsia="新宋体" w:cs="新宋体"/>
          <w:color w:val="auto"/>
          <w:sz w:val="24"/>
          <w:szCs w:val="24"/>
          <w:highlight w:val="none"/>
        </w:rPr>
      </w:r>
      <w:r/>
    </w:p>
    <w:p>
      <w:pPr>
        <w:ind w:left="0" w:right="0"/>
        <w:jc w:val="both"/>
        <w:keepLines w:val="0"/>
        <w:keepNext w:val="0"/>
        <w:spacing w:before="0" w:beforeAutospacing="0" w:after="0" w:afterAutospacing="0"/>
        <w:widowControl w:val="off"/>
        <w:rPr>
          <w:rFonts w:hint="eastAsia" w:ascii="新宋体" w:hAnsi="新宋体" w:eastAsia="新宋体" w:cs="新宋体"/>
          <w:b/>
          <w:bCs/>
          <w:color w:val="auto"/>
          <w:sz w:val="24"/>
          <w:szCs w:val="24"/>
          <w:highlight w:val="none"/>
        </w:rPr>
        <w:outlineLvl w:val="1"/>
        <w:suppressLineNumbers w:val="0"/>
      </w:pPr>
      <w:r/>
      <w:bookmarkStart w:id="124" w:name="_Toc1027"/>
      <w:r>
        <w:rPr>
          <w:rFonts w:hint="eastAsia" w:ascii="新宋体" w:hAnsi="新宋体" w:eastAsia="新宋体" w:cs="新宋体"/>
          <w:b/>
          <w:bCs/>
          <w:color w:val="auto"/>
          <w:sz w:val="24"/>
          <w:szCs w:val="24"/>
          <w:highlight w:val="none"/>
          <w:lang w:val="en-US" w:eastAsia="zh-CN"/>
        </w:rPr>
        <w:t xml:space="preserve">十、实施方案</w:t>
      </w:r>
      <w:bookmarkEnd w:id="124"/>
      <w:r/>
      <w:r/>
    </w:p>
    <w:p>
      <w:pPr>
        <w:pStyle w:val="705"/>
        <w:ind w:left="420" w:right="0"/>
        <w:jc w:val="center"/>
        <w:keepLines w:val="0"/>
        <w:keepNext w:val="0"/>
        <w:spacing w:before="0" w:beforeAutospacing="0" w:after="0" w:afterAutospacing="0"/>
        <w:widowControl/>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b/>
          <w:bCs w:val="0"/>
          <w:color w:val="auto"/>
          <w:sz w:val="24"/>
          <w:szCs w:val="24"/>
          <w:highlight w:val="none"/>
          <w:lang w:val="en-US" w:eastAsia="zh-CN" w:bidi="ar"/>
        </w:rPr>
        <w:t xml:space="preserve">（格式自拟）</w:t>
      </w:r>
      <w:r/>
    </w:p>
    <w:p>
      <w:pPr>
        <w:pStyle w:val="669"/>
        <w:ind w:firstLine="320"/>
        <w:spacing w:before="0" w:after="0" w:line="520" w:lineRule="exact"/>
        <w:rPr>
          <w:rFonts w:hint="eastAsia" w:ascii="新宋体" w:hAnsi="新宋体" w:eastAsia="新宋体" w:cs="新宋体"/>
          <w:color w:val="auto"/>
          <w:sz w:val="24"/>
          <w:szCs w:val="24"/>
          <w:highlight w:val="none"/>
        </w:rPr>
        <w:sectPr>
          <w:footnotePr/>
          <w:endnotePr/>
          <w:type w:val="nextPage"/>
          <w:pgSz w:w="11906" w:h="16838" w:orient="portrait"/>
          <w:pgMar w:top="1440" w:right="1417" w:bottom="1440" w:left="1417" w:header="851" w:footer="992" w:gutter="0"/>
          <w:cols w:num="1" w:sep="0" w:space="720" w:equalWidth="1"/>
          <w:docGrid w:linePitch="360"/>
        </w:sectPr>
      </w:pPr>
      <w:r>
        <w:rPr>
          <w:rFonts w:hint="eastAsia" w:ascii="新宋体" w:hAnsi="新宋体" w:eastAsia="新宋体" w:cs="新宋体"/>
          <w:color w:val="auto"/>
          <w:sz w:val="24"/>
          <w:szCs w:val="24"/>
          <w:highlight w:val="none"/>
        </w:rPr>
      </w:r>
      <w:r/>
    </w:p>
    <w:p>
      <w:pPr>
        <w:pStyle w:val="669"/>
        <w:ind w:firstLine="320"/>
        <w:spacing w:before="0" w:after="0" w:line="520" w:lineRule="exact"/>
        <w:rPr>
          <w:rFonts w:hint="eastAsia" w:ascii="新宋体" w:hAnsi="新宋体" w:eastAsia="新宋体" w:cs="新宋体"/>
          <w:b/>
          <w:bCs/>
          <w:color w:val="auto"/>
          <w:sz w:val="24"/>
          <w:szCs w:val="24"/>
          <w:highlight w:val="none"/>
          <w:lang w:val="en-US" w:eastAsia="zh-CN" w:bidi="ar-SA"/>
        </w:rPr>
        <w:outlineLvl w:val="1"/>
      </w:pPr>
      <w:r/>
      <w:bookmarkStart w:id="125" w:name="_Toc28227"/>
      <w:r>
        <w:rPr>
          <w:rFonts w:hint="eastAsia" w:ascii="新宋体" w:hAnsi="新宋体" w:eastAsia="新宋体" w:cs="新宋体"/>
          <w:b/>
          <w:bCs/>
          <w:color w:val="auto"/>
          <w:sz w:val="24"/>
          <w:szCs w:val="24"/>
          <w:highlight w:val="none"/>
          <w:lang w:val="en-US" w:eastAsia="zh-CN" w:bidi="ar-SA"/>
        </w:rPr>
        <w:t xml:space="preserve">十一、</w:t>
      </w:r>
      <w:bookmarkEnd w:id="122"/>
      <w:r/>
      <w:bookmarkStart w:id="126" w:name="_Toc28140"/>
      <w:r>
        <w:rPr>
          <w:rFonts w:hint="eastAsia" w:ascii="新宋体" w:hAnsi="新宋体" w:eastAsia="新宋体" w:cs="新宋体"/>
          <w:b/>
          <w:bCs/>
          <w:color w:val="auto"/>
          <w:sz w:val="24"/>
          <w:szCs w:val="24"/>
          <w:highlight w:val="none"/>
          <w:lang w:val="en-US" w:eastAsia="zh-CN" w:bidi="ar-SA"/>
        </w:rPr>
        <w:t xml:space="preserve">磋商所需其他材料</w:t>
      </w:r>
      <w:bookmarkEnd w:id="125"/>
      <w:r/>
      <w:bookmarkEnd w:id="126"/>
      <w:r/>
      <w:r/>
    </w:p>
    <w:p>
      <w:pPr>
        <w:pStyle w:val="1332"/>
        <w:ind w:firstLine="560"/>
        <w:spacing w:line="360" w:lineRule="auto"/>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r>
      <w:r/>
    </w:p>
    <w:p>
      <w:pPr>
        <w:pStyle w:val="1332"/>
        <w:ind w:firstLine="560"/>
        <w:spacing w:line="360" w:lineRule="auto"/>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请在此文档中增加磋商所需其他相关内容（包括资格要求、评分办法、采购需求中涉及的证件证明及其他供应商认为有必要提供的资料），如没有请将此空文档上传。</w:t>
      </w:r>
      <w:r/>
    </w:p>
    <w:p>
      <w:pPr>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r>
      <w:r/>
    </w:p>
    <w:p>
      <w:pPr>
        <w:rPr>
          <w:rFonts w:hint="eastAsia" w:ascii="新宋体" w:hAnsi="新宋体" w:eastAsia="新宋体" w:cs="新宋体"/>
          <w:color w:val="auto"/>
          <w:sz w:val="24"/>
          <w:szCs w:val="24"/>
          <w:highlight w:val="none"/>
          <w:lang w:val="en-US" w:eastAsia="zh-CN" w:bidi="ar-SA"/>
        </w:rPr>
        <w:sectPr>
          <w:footnotePr/>
          <w:endnotePr/>
          <w:type w:val="nextPage"/>
          <w:pgSz w:w="11906" w:h="16838" w:orient="portrait"/>
          <w:pgMar w:top="1440" w:right="1417" w:bottom="1440" w:left="1417" w:header="851" w:footer="992" w:gutter="0"/>
          <w:cols w:num="1" w:sep="0" w:space="720" w:equalWidth="1"/>
          <w:docGrid w:linePitch="360"/>
        </w:sectPr>
      </w:pPr>
      <w:r>
        <w:rPr>
          <w:rFonts w:hint="eastAsia" w:ascii="新宋体" w:hAnsi="新宋体" w:eastAsia="新宋体" w:cs="新宋体"/>
          <w:color w:val="auto"/>
          <w:sz w:val="24"/>
          <w:szCs w:val="24"/>
          <w:highlight w:val="none"/>
          <w:lang w:val="en-US" w:eastAsia="zh-CN" w:bidi="ar-SA"/>
        </w:rPr>
      </w:r>
      <w:r/>
    </w:p>
    <w:p>
      <w:pPr>
        <w:rPr>
          <w:rFonts w:hint="eastAsia" w:ascii="新宋体" w:hAnsi="新宋体" w:eastAsia="新宋体" w:cs="新宋体"/>
          <w:b/>
          <w:bCs/>
          <w:color w:val="auto"/>
          <w:sz w:val="24"/>
          <w:szCs w:val="24"/>
          <w:highlight w:val="none"/>
          <w:lang w:val="en-US" w:eastAsia="zh-CN" w:bidi="ar-SA"/>
        </w:rPr>
        <w:outlineLvl w:val="9"/>
      </w:pPr>
      <w:r>
        <w:rPr>
          <w:rFonts w:hint="eastAsia" w:ascii="新宋体" w:hAnsi="新宋体" w:eastAsia="新宋体" w:cs="新宋体"/>
          <w:b/>
          <w:bCs/>
          <w:color w:val="auto"/>
          <w:sz w:val="24"/>
          <w:szCs w:val="24"/>
          <w:highlight w:val="none"/>
          <w:lang w:val="en-US" w:eastAsia="zh-CN" w:bidi="ar-SA"/>
        </w:rPr>
      </w:r>
      <w:r/>
    </w:p>
    <w:p>
      <w:pPr>
        <w:rPr>
          <w:rFonts w:hint="eastAsia" w:ascii="新宋体" w:hAnsi="新宋体" w:eastAsia="新宋体" w:cs="新宋体"/>
          <w:b/>
          <w:bCs/>
          <w:color w:val="auto"/>
          <w:sz w:val="32"/>
          <w:szCs w:val="32"/>
          <w:highlight w:val="none"/>
          <w:lang w:val="en-US" w:eastAsia="zh-CN" w:bidi="ar-SA"/>
        </w:rPr>
        <w:outlineLvl w:val="1"/>
      </w:pPr>
      <w:r/>
      <w:bookmarkStart w:id="127" w:name="_Toc8716"/>
      <w:r>
        <w:rPr>
          <w:rFonts w:hint="eastAsia" w:ascii="新宋体" w:hAnsi="新宋体" w:eastAsia="新宋体" w:cs="新宋体"/>
          <w:b/>
          <w:bCs/>
          <w:color w:val="auto"/>
          <w:sz w:val="32"/>
          <w:szCs w:val="32"/>
          <w:highlight w:val="none"/>
          <w:lang w:val="en-US" w:eastAsia="zh-CN" w:bidi="ar-SA"/>
        </w:rPr>
        <w:t xml:space="preserve">十二、联合体协议书</w:t>
      </w:r>
      <w:bookmarkEnd w:id="127"/>
      <w:r/>
      <w:r/>
    </w:p>
    <w:p>
      <w:pPr>
        <w:rPr>
          <w:rFonts w:hint="eastAsia" w:ascii="新宋体" w:hAnsi="新宋体" w:eastAsia="新宋体" w:cs="新宋体"/>
          <w:color w:val="auto"/>
          <w:sz w:val="24"/>
          <w:szCs w:val="24"/>
          <w:highlight w:val="none"/>
          <w:lang w:val="en-US" w:eastAsia="zh-CN" w:bidi="ar-SA"/>
        </w:rPr>
      </w:pPr>
      <w:r>
        <w:rPr>
          <w:rFonts w:hint="eastAsia" w:ascii="新宋体" w:hAnsi="新宋体" w:eastAsia="新宋体" w:cs="新宋体"/>
          <w:color w:val="auto"/>
          <w:sz w:val="24"/>
          <w:szCs w:val="24"/>
          <w:highlight w:val="none"/>
          <w:lang w:val="en-US" w:eastAsia="zh-CN" w:bidi="ar-SA"/>
        </w:rPr>
        <w:t xml:space="preserve"> </w:t>
      </w:r>
      <w:r/>
    </w:p>
    <w:p>
      <w:pPr>
        <w:jc w:val="center"/>
        <w:keepLines w:val="0"/>
        <w:keepNext w:val="0"/>
        <w:widowControl/>
        <w:rPr>
          <w:sz w:val="32"/>
          <w:szCs w:val="32"/>
        </w:rPr>
        <w:outlineLvl w:val="9"/>
        <w:suppressLineNumbers w:val="0"/>
      </w:pPr>
      <w:r>
        <w:rPr>
          <w:sz w:val="32"/>
          <w:szCs w:val="32"/>
        </w:rPr>
        <w:t xml:space="preserve">联合体协议书</w:t>
      </w:r>
      <w:r/>
    </w:p>
    <w:p>
      <w:pPr>
        <w:pStyle w:val="705"/>
        <w:ind w:firstLine="482"/>
        <w:keepLines w:val="0"/>
        <w:keepNext w:val="0"/>
        <w:pageBreakBefore w:val="0"/>
        <w:spacing w:before="0" w:beforeAutospacing="0" w:after="0" w:afterAutospacing="0" w:line="360" w:lineRule="auto"/>
        <w:widowControl/>
        <w:suppressLineNumbers w:val="0"/>
      </w:pPr>
      <w:r>
        <w:rPr>
          <w:rStyle w:val="710"/>
        </w:rPr>
        <w:t xml:space="preserve">项目名称：</w:t>
      </w:r>
      <w:r>
        <w:t xml:space="preserve"> 宿城区2026年工业产品质量监督抽查服务采购项目</w:t>
      </w:r>
      <w:r/>
    </w:p>
    <w:p>
      <w:pPr>
        <w:pStyle w:val="705"/>
        <w:ind w:firstLine="482"/>
        <w:keepLines w:val="0"/>
        <w:keepNext w:val="0"/>
        <w:pageBreakBefore w:val="0"/>
        <w:spacing w:before="0" w:beforeAutospacing="0" w:after="0" w:afterAutospacing="0" w:line="360" w:lineRule="auto"/>
        <w:widowControl/>
        <w:suppressLineNumbers w:val="0"/>
      </w:pPr>
      <w:r>
        <w:rPr>
          <w:rStyle w:val="710"/>
        </w:rPr>
        <w:t xml:space="preserve">采购包编号：</w:t>
      </w:r>
      <w:r>
        <w:t xml:space="preserve"> 第____包（分包一/分包二/分包三/分包四）</w:t>
      </w:r>
      <w:r/>
    </w:p>
    <w:p>
      <w:pPr>
        <w:pStyle w:val="705"/>
        <w:ind w:firstLine="482"/>
        <w:keepLines w:val="0"/>
        <w:keepNext w:val="0"/>
        <w:pageBreakBefore w:val="0"/>
        <w:spacing w:before="0" w:beforeAutospacing="0" w:after="0" w:afterAutospacing="0" w:line="360" w:lineRule="auto"/>
        <w:widowControl/>
        <w:suppressLineNumbers w:val="0"/>
      </w:pPr>
      <w:r>
        <w:rPr>
          <w:rStyle w:val="710"/>
        </w:rPr>
        <w:t xml:space="preserve">采购人：</w:t>
      </w:r>
      <w:r>
        <w:t xml:space="preserve"> 宿迁市宿城区市场监督管理局</w:t>
      </w:r>
      <w:r/>
    </w:p>
    <w:p>
      <w:pPr>
        <w:pStyle w:val="705"/>
        <w:ind w:firstLine="482"/>
        <w:keepLines w:val="0"/>
        <w:keepNext w:val="0"/>
        <w:pageBreakBefore w:val="0"/>
        <w:spacing w:before="0" w:beforeAutospacing="0" w:after="0" w:afterAutospacing="0" w:line="360" w:lineRule="auto"/>
        <w:widowControl/>
        <w:rPr>
          <w:rFonts w:hint="default" w:eastAsia="宋体"/>
          <w:b/>
          <w:bCs/>
          <w:lang w:val="en-US" w:eastAsia="zh-CN"/>
        </w:rPr>
        <w:outlineLvl w:val="9"/>
        <w:suppressLineNumbers w:val="0"/>
      </w:pPr>
      <w:r>
        <w:rPr>
          <w:rFonts w:hint="eastAsia"/>
          <w:b/>
          <w:bCs/>
          <w:lang w:val="en-US" w:eastAsia="zh-CN"/>
        </w:rPr>
        <w:t xml:space="preserve">第一条 联合体组成</w:t>
      </w:r>
      <w:r/>
    </w:p>
    <w:tbl>
      <w:tblPr>
        <w:tblStyle w:val="70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45"/>
        <w:gridCol w:w="1333"/>
        <w:gridCol w:w="1530"/>
        <w:gridCol w:w="1553"/>
        <w:gridCol w:w="1426"/>
        <w:gridCol w:w="1038"/>
        <w:gridCol w:w="1237"/>
      </w:tblGrid>
      <w:tr>
        <w:trPr>
          <w:jc w:val="center"/>
        </w:trPr>
        <w:tc>
          <w:tcPr>
            <w:tcW w:w="845" w:type="dxa"/>
            <w:vAlign w:val="center"/>
            <w:textDirection w:val="lrTb"/>
            <w:noWrap w:val="false"/>
          </w:tcPr>
          <w:p>
            <w:pPr>
              <w:jc w:val="center"/>
              <w:keepLines w:val="0"/>
              <w:keepNext w:val="0"/>
              <w:widowControl/>
              <w:rPr>
                <w:rStyle w:val="710"/>
                <w:vertAlign w:val="baseline"/>
              </w:rPr>
              <w:suppressLineNumbers w:val="0"/>
            </w:pPr>
            <w:r>
              <w:rPr>
                <w:rFonts w:ascii="宋体" w:hAnsi="宋体" w:eastAsia="宋体" w:cs="宋体"/>
                <w:b/>
                <w:bCs/>
                <w:sz w:val="24"/>
                <w:szCs w:val="24"/>
                <w:lang w:val="en-US" w:eastAsia="zh-CN" w:bidi="ar"/>
              </w:rPr>
              <w:t xml:space="preserve">序号</w:t>
            </w:r>
            <w:r/>
          </w:p>
        </w:tc>
        <w:tc>
          <w:tcPr>
            <w:tcW w:w="1333" w:type="dxa"/>
            <w:vAlign w:val="center"/>
            <w:textDirection w:val="lrTb"/>
            <w:noWrap w:val="false"/>
          </w:tcPr>
          <w:p>
            <w:pPr>
              <w:jc w:val="center"/>
              <w:keepLines w:val="0"/>
              <w:keepNext w:val="0"/>
              <w:widowControl/>
              <w:rPr>
                <w:rStyle w:val="710"/>
                <w:vertAlign w:val="baseline"/>
              </w:rPr>
              <w:suppressLineNumbers w:val="0"/>
            </w:pPr>
            <w:r>
              <w:rPr>
                <w:rFonts w:ascii="宋体" w:hAnsi="宋体" w:eastAsia="宋体" w:cs="宋体"/>
                <w:b/>
                <w:bCs/>
                <w:sz w:val="24"/>
                <w:szCs w:val="24"/>
                <w:lang w:val="en-US" w:eastAsia="zh-CN" w:bidi="ar"/>
              </w:rPr>
              <w:t xml:space="preserve">单位名称</w:t>
            </w:r>
            <w:r/>
          </w:p>
        </w:tc>
        <w:tc>
          <w:tcPr>
            <w:tcW w:w="1530" w:type="dxa"/>
            <w:vAlign w:val="center"/>
            <w:textDirection w:val="lrTb"/>
            <w:noWrap w:val="false"/>
          </w:tcPr>
          <w:p>
            <w:pPr>
              <w:jc w:val="center"/>
              <w:keepLines w:val="0"/>
              <w:keepNext w:val="0"/>
              <w:widowControl/>
              <w:rPr>
                <w:rStyle w:val="710"/>
                <w:vertAlign w:val="baseline"/>
              </w:rPr>
              <w:suppressLineNumbers w:val="0"/>
            </w:pPr>
            <w:r>
              <w:rPr>
                <w:rFonts w:ascii="宋体" w:hAnsi="宋体" w:eastAsia="宋体" w:cs="宋体"/>
                <w:b/>
                <w:bCs/>
                <w:sz w:val="24"/>
                <w:szCs w:val="24"/>
                <w:lang w:val="en-US" w:eastAsia="zh-CN" w:bidi="ar"/>
              </w:rPr>
              <w:t xml:space="preserve">统一社会信用代码</w:t>
            </w:r>
            <w:r/>
          </w:p>
        </w:tc>
        <w:tc>
          <w:tcPr>
            <w:tcW w:w="1553" w:type="dxa"/>
            <w:vAlign w:val="center"/>
            <w:textDirection w:val="lrTb"/>
            <w:noWrap w:val="false"/>
          </w:tcPr>
          <w:p>
            <w:pPr>
              <w:jc w:val="center"/>
              <w:keepLines w:val="0"/>
              <w:keepNext w:val="0"/>
              <w:widowControl/>
              <w:rPr>
                <w:rStyle w:val="710"/>
                <w:vertAlign w:val="baseline"/>
              </w:rPr>
              <w:suppressLineNumbers w:val="0"/>
            </w:pPr>
            <w:r>
              <w:rPr>
                <w:rFonts w:ascii="宋体" w:hAnsi="宋体" w:eastAsia="宋体" w:cs="宋体"/>
                <w:b/>
                <w:bCs/>
                <w:sz w:val="24"/>
                <w:szCs w:val="24"/>
                <w:lang w:val="en-US" w:eastAsia="zh-CN" w:bidi="ar"/>
              </w:rPr>
              <w:t xml:space="preserve">联合体角色</w:t>
            </w:r>
            <w:r/>
          </w:p>
        </w:tc>
        <w:tc>
          <w:tcPr>
            <w:tcW w:w="1426" w:type="dxa"/>
            <w:vAlign w:val="center"/>
            <w:textDirection w:val="lrTb"/>
            <w:noWrap w:val="false"/>
          </w:tcPr>
          <w:p>
            <w:pPr>
              <w:jc w:val="center"/>
              <w:keepLines w:val="0"/>
              <w:keepNext w:val="0"/>
              <w:widowControl/>
              <w:rPr>
                <w:rStyle w:val="710"/>
                <w:vertAlign w:val="baseline"/>
              </w:rPr>
              <w:suppressLineNumbers w:val="0"/>
            </w:pPr>
            <w:r>
              <w:rPr>
                <w:rFonts w:ascii="宋体" w:hAnsi="宋体" w:eastAsia="宋体" w:cs="宋体"/>
                <w:b/>
                <w:bCs/>
                <w:sz w:val="24"/>
                <w:szCs w:val="24"/>
                <w:lang w:val="en-US" w:eastAsia="zh-CN" w:bidi="ar"/>
              </w:rPr>
              <w:t xml:space="preserve">法定代表人</w:t>
            </w:r>
            <w:r/>
          </w:p>
        </w:tc>
        <w:tc>
          <w:tcPr>
            <w:tcW w:w="1038" w:type="dxa"/>
            <w:vAlign w:val="center"/>
            <w:textDirection w:val="lrTb"/>
            <w:noWrap w:val="false"/>
          </w:tcPr>
          <w:p>
            <w:pPr>
              <w:jc w:val="center"/>
              <w:keepLines w:val="0"/>
              <w:keepNext w:val="0"/>
              <w:widowControl/>
              <w:rPr>
                <w:rStyle w:val="710"/>
                <w:vertAlign w:val="baseline"/>
              </w:rPr>
              <w:suppressLineNumbers w:val="0"/>
            </w:pPr>
            <w:r>
              <w:rPr>
                <w:rFonts w:ascii="宋体" w:hAnsi="宋体" w:eastAsia="宋体" w:cs="宋体"/>
                <w:b/>
                <w:bCs/>
                <w:sz w:val="24"/>
                <w:szCs w:val="24"/>
                <w:lang w:val="en-US" w:eastAsia="zh-CN" w:bidi="ar"/>
              </w:rPr>
              <w:t xml:space="preserve">联系人</w:t>
            </w:r>
            <w:r/>
          </w:p>
        </w:tc>
        <w:tc>
          <w:tcPr>
            <w:tcW w:w="1237" w:type="dxa"/>
            <w:vAlign w:val="center"/>
            <w:textDirection w:val="lrTb"/>
            <w:noWrap w:val="false"/>
          </w:tcPr>
          <w:p>
            <w:pPr>
              <w:jc w:val="center"/>
              <w:keepLines w:val="0"/>
              <w:keepNext w:val="0"/>
              <w:widowControl/>
              <w:rPr>
                <w:rStyle w:val="710"/>
                <w:vertAlign w:val="baseline"/>
              </w:rPr>
              <w:suppressLineNumbers w:val="0"/>
            </w:pPr>
            <w:r>
              <w:rPr>
                <w:rFonts w:hint="eastAsia" w:ascii="宋体" w:hAnsi="宋体" w:eastAsia="宋体" w:cs="宋体"/>
                <w:b/>
                <w:bCs/>
                <w:sz w:val="24"/>
                <w:szCs w:val="24"/>
                <w:lang w:val="en-US" w:eastAsia="zh-CN" w:bidi="ar"/>
              </w:rPr>
              <w:t xml:space="preserve">联系</w:t>
            </w:r>
            <w:r>
              <w:rPr>
                <w:rFonts w:ascii="宋体" w:hAnsi="宋体" w:eastAsia="宋体" w:cs="宋体"/>
                <w:b/>
                <w:bCs/>
                <w:sz w:val="24"/>
                <w:szCs w:val="24"/>
                <w:lang w:val="en-US" w:eastAsia="zh-CN" w:bidi="ar"/>
              </w:rPr>
              <w:t xml:space="preserve">电话</w:t>
            </w:r>
            <w:r/>
          </w:p>
        </w:tc>
      </w:tr>
      <w:tr>
        <w:trPr>
          <w:jc w:val="center"/>
        </w:trPr>
        <w:tc>
          <w:tcPr>
            <w:tcW w:w="845" w:type="dxa"/>
            <w:textDirection w:val="lrTb"/>
            <w:noWrap w:val="false"/>
          </w:tcPr>
          <w:p>
            <w:pPr>
              <w:pStyle w:val="705"/>
              <w:jc w:val="center"/>
              <w:keepLines w:val="0"/>
              <w:keepNext w:val="0"/>
              <w:widowControl/>
              <w:rPr>
                <w:rStyle w:val="710"/>
                <w:rFonts w:hint="eastAsia" w:eastAsia="宋体"/>
                <w:vertAlign w:val="baseline"/>
                <w:lang w:val="en-US" w:eastAsia="zh-CN"/>
              </w:rPr>
              <w:suppressLineNumbers w:val="0"/>
            </w:pPr>
            <w:r>
              <w:rPr>
                <w:rStyle w:val="710"/>
                <w:rFonts w:hint="eastAsia"/>
                <w:vertAlign w:val="baseline"/>
                <w:lang w:val="en-US" w:eastAsia="zh-CN"/>
              </w:rPr>
              <w:t xml:space="preserve">1</w:t>
            </w:r>
            <w:r/>
          </w:p>
        </w:tc>
        <w:tc>
          <w:tcPr>
            <w:tcW w:w="1333" w:type="dxa"/>
            <w:textDirection w:val="lrTb"/>
            <w:noWrap w:val="false"/>
          </w:tcPr>
          <w:p>
            <w:pPr>
              <w:pStyle w:val="705"/>
              <w:keepLines w:val="0"/>
              <w:keepNext w:val="0"/>
              <w:widowControl/>
              <w:rPr>
                <w:rStyle w:val="710"/>
                <w:vertAlign w:val="baseline"/>
              </w:rPr>
              <w:suppressLineNumbers w:val="0"/>
            </w:pPr>
            <w:r>
              <w:rPr>
                <w:vertAlign w:val="baseline"/>
              </w:rPr>
            </w:r>
            <w:r/>
          </w:p>
        </w:tc>
        <w:tc>
          <w:tcPr>
            <w:tcW w:w="1530" w:type="dxa"/>
            <w:textDirection w:val="lrTb"/>
            <w:noWrap w:val="false"/>
          </w:tcPr>
          <w:p>
            <w:pPr>
              <w:pStyle w:val="705"/>
              <w:keepLines w:val="0"/>
              <w:keepNext w:val="0"/>
              <w:widowControl/>
              <w:rPr>
                <w:rStyle w:val="710"/>
                <w:vertAlign w:val="baseline"/>
              </w:rPr>
              <w:suppressLineNumbers w:val="0"/>
            </w:pPr>
            <w:r>
              <w:rPr>
                <w:vertAlign w:val="baseline"/>
              </w:rPr>
            </w:r>
            <w:r/>
          </w:p>
        </w:tc>
        <w:tc>
          <w:tcPr>
            <w:tcW w:w="1553" w:type="dxa"/>
            <w:textDirection w:val="lrTb"/>
            <w:noWrap w:val="false"/>
          </w:tcPr>
          <w:p>
            <w:pPr>
              <w:pStyle w:val="705"/>
              <w:keepLines w:val="0"/>
              <w:keepNext w:val="0"/>
              <w:widowControl/>
              <w:rPr>
                <w:rStyle w:val="710"/>
                <w:vertAlign w:val="baseline"/>
              </w:rPr>
              <w:suppressLineNumbers w:val="0"/>
            </w:pPr>
            <w:r>
              <w:rPr>
                <w:rFonts w:ascii="宋体" w:hAnsi="宋体" w:eastAsia="宋体" w:cs="宋体"/>
                <w:sz w:val="24"/>
                <w:szCs w:val="24"/>
                <w:lang w:val="en-US" w:eastAsia="zh-CN" w:bidi="ar"/>
              </w:rPr>
              <w:t xml:space="preserve">牵头人</w:t>
            </w:r>
            <w:r/>
          </w:p>
        </w:tc>
        <w:tc>
          <w:tcPr>
            <w:tcW w:w="1426" w:type="dxa"/>
            <w:textDirection w:val="lrTb"/>
            <w:noWrap w:val="false"/>
          </w:tcPr>
          <w:p>
            <w:pPr>
              <w:pStyle w:val="705"/>
              <w:keepLines w:val="0"/>
              <w:keepNext w:val="0"/>
              <w:widowControl/>
              <w:rPr>
                <w:rStyle w:val="710"/>
                <w:vertAlign w:val="baseline"/>
              </w:rPr>
              <w:suppressLineNumbers w:val="0"/>
            </w:pPr>
            <w:r>
              <w:rPr>
                <w:vertAlign w:val="baseline"/>
              </w:rPr>
            </w:r>
            <w:r/>
          </w:p>
        </w:tc>
        <w:tc>
          <w:tcPr>
            <w:tcW w:w="1038" w:type="dxa"/>
            <w:textDirection w:val="lrTb"/>
            <w:noWrap w:val="false"/>
          </w:tcPr>
          <w:p>
            <w:pPr>
              <w:pStyle w:val="705"/>
              <w:keepLines w:val="0"/>
              <w:keepNext w:val="0"/>
              <w:widowControl/>
              <w:rPr>
                <w:rStyle w:val="710"/>
                <w:vertAlign w:val="baseline"/>
              </w:rPr>
              <w:suppressLineNumbers w:val="0"/>
            </w:pPr>
            <w:r>
              <w:rPr>
                <w:vertAlign w:val="baseline"/>
              </w:rPr>
            </w:r>
            <w:r/>
          </w:p>
        </w:tc>
        <w:tc>
          <w:tcPr>
            <w:tcW w:w="1237" w:type="dxa"/>
            <w:textDirection w:val="lrTb"/>
            <w:noWrap w:val="false"/>
          </w:tcPr>
          <w:p>
            <w:pPr>
              <w:pStyle w:val="705"/>
              <w:keepLines w:val="0"/>
              <w:keepNext w:val="0"/>
              <w:widowControl/>
              <w:rPr>
                <w:rStyle w:val="710"/>
                <w:vertAlign w:val="baseline"/>
              </w:rPr>
              <w:suppressLineNumbers w:val="0"/>
            </w:pPr>
            <w:r>
              <w:rPr>
                <w:vertAlign w:val="baseline"/>
              </w:rPr>
            </w:r>
            <w:r/>
          </w:p>
        </w:tc>
      </w:tr>
      <w:tr>
        <w:trPr>
          <w:jc w:val="center"/>
        </w:trPr>
        <w:tc>
          <w:tcPr>
            <w:tcW w:w="845" w:type="dxa"/>
            <w:textDirection w:val="lrTb"/>
            <w:noWrap w:val="false"/>
          </w:tcPr>
          <w:p>
            <w:pPr>
              <w:pStyle w:val="705"/>
              <w:jc w:val="center"/>
              <w:keepLines w:val="0"/>
              <w:keepNext w:val="0"/>
              <w:widowControl/>
              <w:rPr>
                <w:rStyle w:val="710"/>
                <w:rFonts w:hint="eastAsia" w:eastAsia="宋体"/>
                <w:vertAlign w:val="baseline"/>
                <w:lang w:val="en-US" w:eastAsia="zh-CN"/>
              </w:rPr>
              <w:suppressLineNumbers w:val="0"/>
            </w:pPr>
            <w:r>
              <w:rPr>
                <w:rStyle w:val="710"/>
                <w:rFonts w:hint="eastAsia"/>
                <w:vertAlign w:val="baseline"/>
                <w:lang w:val="en-US" w:eastAsia="zh-CN"/>
              </w:rPr>
              <w:t xml:space="preserve">2</w:t>
            </w:r>
            <w:r/>
          </w:p>
        </w:tc>
        <w:tc>
          <w:tcPr>
            <w:tcW w:w="1333" w:type="dxa"/>
            <w:textDirection w:val="lrTb"/>
            <w:noWrap w:val="false"/>
          </w:tcPr>
          <w:p>
            <w:pPr>
              <w:pStyle w:val="705"/>
              <w:keepLines w:val="0"/>
              <w:keepNext w:val="0"/>
              <w:widowControl/>
              <w:rPr>
                <w:rStyle w:val="710"/>
                <w:vertAlign w:val="baseline"/>
              </w:rPr>
              <w:suppressLineNumbers w:val="0"/>
            </w:pPr>
            <w:r>
              <w:rPr>
                <w:vertAlign w:val="baseline"/>
              </w:rPr>
            </w:r>
            <w:r/>
          </w:p>
        </w:tc>
        <w:tc>
          <w:tcPr>
            <w:tcW w:w="1530" w:type="dxa"/>
            <w:textDirection w:val="lrTb"/>
            <w:noWrap w:val="false"/>
          </w:tcPr>
          <w:p>
            <w:pPr>
              <w:pStyle w:val="705"/>
              <w:keepLines w:val="0"/>
              <w:keepNext w:val="0"/>
              <w:widowControl/>
              <w:rPr>
                <w:rStyle w:val="710"/>
                <w:vertAlign w:val="baseline"/>
              </w:rPr>
              <w:suppressLineNumbers w:val="0"/>
            </w:pPr>
            <w:r>
              <w:rPr>
                <w:vertAlign w:val="baseline"/>
              </w:rPr>
            </w:r>
            <w:r/>
          </w:p>
        </w:tc>
        <w:tc>
          <w:tcPr>
            <w:tcW w:w="1553" w:type="dxa"/>
            <w:textDirection w:val="lrTb"/>
            <w:noWrap w:val="false"/>
          </w:tcPr>
          <w:p>
            <w:pPr>
              <w:pStyle w:val="705"/>
              <w:keepLines w:val="0"/>
              <w:keepNext w:val="0"/>
              <w:widowControl/>
              <w:rPr>
                <w:rStyle w:val="710"/>
                <w:vertAlign w:val="baseline"/>
              </w:rPr>
              <w:suppressLineNumbers w:val="0"/>
            </w:pPr>
            <w:r>
              <w:rPr>
                <w:rFonts w:ascii="宋体" w:hAnsi="宋体" w:eastAsia="宋体" w:cs="宋体"/>
                <w:sz w:val="24"/>
                <w:szCs w:val="24"/>
                <w:lang w:val="en-US" w:eastAsia="zh-CN" w:bidi="ar"/>
              </w:rPr>
              <w:t xml:space="preserve">成员单位</w:t>
            </w:r>
            <w:r/>
          </w:p>
        </w:tc>
        <w:tc>
          <w:tcPr>
            <w:tcW w:w="1426" w:type="dxa"/>
            <w:textDirection w:val="lrTb"/>
            <w:noWrap w:val="false"/>
          </w:tcPr>
          <w:p>
            <w:pPr>
              <w:pStyle w:val="705"/>
              <w:keepLines w:val="0"/>
              <w:keepNext w:val="0"/>
              <w:widowControl/>
              <w:rPr>
                <w:rStyle w:val="710"/>
                <w:vertAlign w:val="baseline"/>
              </w:rPr>
              <w:suppressLineNumbers w:val="0"/>
            </w:pPr>
            <w:r>
              <w:rPr>
                <w:vertAlign w:val="baseline"/>
              </w:rPr>
            </w:r>
            <w:r/>
          </w:p>
        </w:tc>
        <w:tc>
          <w:tcPr>
            <w:tcW w:w="1038" w:type="dxa"/>
            <w:textDirection w:val="lrTb"/>
            <w:noWrap w:val="false"/>
          </w:tcPr>
          <w:p>
            <w:pPr>
              <w:pStyle w:val="705"/>
              <w:keepLines w:val="0"/>
              <w:keepNext w:val="0"/>
              <w:widowControl/>
              <w:rPr>
                <w:rStyle w:val="710"/>
                <w:vertAlign w:val="baseline"/>
              </w:rPr>
              <w:suppressLineNumbers w:val="0"/>
            </w:pPr>
            <w:r>
              <w:rPr>
                <w:vertAlign w:val="baseline"/>
              </w:rPr>
            </w:r>
            <w:r/>
          </w:p>
        </w:tc>
        <w:tc>
          <w:tcPr>
            <w:tcW w:w="1237" w:type="dxa"/>
            <w:textDirection w:val="lrTb"/>
            <w:noWrap w:val="false"/>
          </w:tcPr>
          <w:p>
            <w:pPr>
              <w:pStyle w:val="705"/>
              <w:keepLines w:val="0"/>
              <w:keepNext w:val="0"/>
              <w:widowControl/>
              <w:rPr>
                <w:rStyle w:val="710"/>
                <w:vertAlign w:val="baseline"/>
              </w:rPr>
              <w:suppressLineNumbers w:val="0"/>
            </w:pPr>
            <w:r>
              <w:rPr>
                <w:vertAlign w:val="baseline"/>
              </w:rPr>
            </w:r>
            <w:r/>
          </w:p>
        </w:tc>
      </w:tr>
    </w:tbl>
    <w:p>
      <w:pPr>
        <w:ind w:left="0" w:firstLine="480"/>
        <w:keepLines w:val="0"/>
        <w:keepNext w:val="0"/>
        <w:pageBreakBefore w:val="0"/>
        <w:spacing w:beforeAutospacing="0" w:afterAutospacing="0" w:line="360" w:lineRule="auto"/>
        <w:rPr>
          <w:rFonts w:hint="eastAsia" w:ascii="新宋体" w:hAnsi="新宋体" w:eastAsia="新宋体" w:cs="新宋体"/>
          <w:color w:val="auto"/>
          <w:sz w:val="24"/>
          <w:szCs w:val="24"/>
          <w:highlight w:val="none"/>
          <w:lang w:val="en-US" w:eastAsia="zh-CN" w:bidi="ar-SA"/>
        </w:rPr>
      </w:pPr>
      <w:r>
        <w:rPr>
          <w:rFonts w:hint="eastAsia" w:ascii="宋体" w:hAnsi="宋体" w:eastAsia="宋体" w:cs="宋体"/>
          <w:sz w:val="24"/>
          <w:szCs w:val="24"/>
        </w:rPr>
        <w:t xml:space="preserve">注：本项目联合体最多由2家单位组成。</w:t>
      </w:r>
      <w:r>
        <w:rPr>
          <w:rFonts w:hint="eastAsia" w:ascii="新宋体" w:hAnsi="新宋体" w:eastAsia="新宋体" w:cs="新宋体"/>
          <w:color w:val="auto"/>
          <w:sz w:val="24"/>
          <w:szCs w:val="24"/>
          <w:highlight w:val="none"/>
          <w:lang w:val="en-US" w:eastAsia="zh-CN" w:bidi="ar-SA"/>
        </w:rPr>
        <w:t xml:space="preserve"> </w:t>
      </w:r>
      <w:r/>
    </w:p>
    <w:p>
      <w:pPr>
        <w:ind w:left="0" w:firstLine="482"/>
        <w:keepLines w:val="0"/>
        <w:keepNext w:val="0"/>
        <w:pageBreakBefore w:val="0"/>
        <w:spacing w:before="0" w:beforeAutospacing="0" w:after="0" w:afterAutospacing="0" w:line="360" w:lineRule="auto"/>
        <w:widowControl/>
        <w:rPr>
          <w:rFonts w:hint="default" w:ascii="宋体" w:hAnsi="宋体" w:eastAsia="宋体" w:cs="宋体"/>
          <w:b/>
          <w:bCs/>
          <w:sz w:val="24"/>
          <w:szCs w:val="24"/>
          <w:lang w:val="en-US" w:eastAsia="zh-CN" w:bidi="ar-SA"/>
        </w:rPr>
        <w:outlineLvl w:val="9"/>
        <w:suppressLineNumbers w:val="0"/>
      </w:pPr>
      <w:r>
        <w:rPr>
          <w:rFonts w:hint="default" w:ascii="宋体" w:hAnsi="宋体" w:eastAsia="宋体" w:cs="宋体"/>
          <w:b/>
          <w:bCs/>
          <w:sz w:val="24"/>
          <w:szCs w:val="24"/>
          <w:lang w:val="en-US" w:eastAsia="zh-CN" w:bidi="ar-SA"/>
        </w:rPr>
        <w:t xml:space="preserve">第二条 联合体牵头人授权</w:t>
      </w:r>
      <w:r/>
    </w:p>
    <w:p>
      <w:pPr>
        <w:numPr>
          <w:ilvl w:val="0"/>
          <w:numId w:val="10"/>
        </w:numPr>
        <w:ind w:left="0" w:firstLine="480"/>
        <w:keepLines w:val="0"/>
        <w:keepNext w:val="0"/>
        <w:pageBreakBefore w:val="0"/>
        <w:spacing w:beforeAutospacing="0" w:afterAutospacing="0" w:line="360" w:lineRule="auto"/>
        <w:widowControl/>
        <w:rPr>
          <w:rFonts w:hint="default" w:ascii="宋体" w:hAnsi="宋体" w:eastAsia="宋体" w:cs="宋体"/>
          <w:sz w:val="24"/>
          <w:szCs w:val="24"/>
          <w:lang w:val="en-US" w:eastAsia="zh-CN" w:bidi="ar-SA"/>
        </w:rPr>
        <w:suppressLineNumbers w:val="0"/>
      </w:pPr>
      <w:r>
        <w:rPr>
          <w:rFonts w:hint="default" w:ascii="宋体" w:hAnsi="宋体" w:eastAsia="宋体" w:cs="宋体"/>
          <w:sz w:val="24"/>
          <w:szCs w:val="24"/>
          <w:lang w:val="en-US" w:eastAsia="zh-CN" w:bidi="ar-SA"/>
        </w:rPr>
        <w:t xml:space="preserve">联合体各方一致同意，由上表所列牵头人作为联合体的全权代表，负责本项目磋商响应文件的编制、递交、澄清、答疑、谈判、签约、履约协调、款项接收等全部对外事务。</w:t>
      </w:r>
      <w:r/>
    </w:p>
    <w:p>
      <w:pPr>
        <w:numPr>
          <w:ilvl w:val="0"/>
          <w:numId w:val="10"/>
        </w:numPr>
        <w:ind w:left="0" w:firstLine="480"/>
        <w:keepLines w:val="0"/>
        <w:keepNext w:val="0"/>
        <w:pageBreakBefore w:val="0"/>
        <w:spacing w:beforeAutospacing="0" w:afterAutospacing="0" w:line="360" w:lineRule="auto"/>
        <w:widowControl/>
        <w:rPr>
          <w:rFonts w:hint="default" w:ascii="宋体" w:hAnsi="宋体" w:eastAsia="宋体" w:cs="宋体"/>
          <w:sz w:val="24"/>
          <w:szCs w:val="24"/>
          <w:lang w:val="en-US" w:eastAsia="zh-CN" w:bidi="ar-SA"/>
        </w:rPr>
        <w:suppressLineNumbers w:val="0"/>
      </w:pPr>
      <w:r>
        <w:rPr>
          <w:rFonts w:hint="default" w:ascii="宋体" w:hAnsi="宋体" w:eastAsia="宋体" w:cs="宋体"/>
          <w:sz w:val="24"/>
          <w:szCs w:val="24"/>
          <w:lang w:val="en-US" w:eastAsia="zh-CN" w:bidi="ar-SA"/>
        </w:rPr>
        <w:t xml:space="preserve">牵头人在本项目磋商及履约过程中所作出的任何意思表示、签署的任何文件，均对联合体全体成员具有法律约束力。</w:t>
      </w:r>
      <w:r/>
    </w:p>
    <w:p>
      <w:pPr>
        <w:numPr>
          <w:ilvl w:val="0"/>
          <w:numId w:val="10"/>
        </w:numPr>
        <w:ind w:left="0" w:firstLine="480"/>
        <w:keepLines w:val="0"/>
        <w:keepNext w:val="0"/>
        <w:pageBreakBefore w:val="0"/>
        <w:spacing w:beforeAutospacing="0" w:afterAutospacing="0" w:line="360" w:lineRule="auto"/>
        <w:widowControl/>
        <w:rPr>
          <w:rFonts w:hint="default" w:ascii="宋体" w:hAnsi="宋体" w:eastAsia="宋体" w:cs="宋体"/>
          <w:sz w:val="24"/>
          <w:szCs w:val="24"/>
          <w:lang w:val="en-US" w:eastAsia="zh-CN" w:bidi="ar-SA"/>
        </w:rPr>
        <w:suppressLineNumbers w:val="0"/>
      </w:pPr>
      <w:r>
        <w:rPr>
          <w:rFonts w:hint="default" w:ascii="宋体" w:hAnsi="宋体" w:eastAsia="宋体" w:cs="宋体"/>
          <w:sz w:val="24"/>
          <w:szCs w:val="24"/>
          <w:lang w:val="en-US" w:eastAsia="zh-CN" w:bidi="ar-SA"/>
        </w:rPr>
        <w:t xml:space="preserve">采购人向联合体牵头人发出的任何通知、指令、函件，均视为已向联合体全体成员送达。</w:t>
      </w:r>
      <w:r/>
    </w:p>
    <w:p>
      <w:pPr>
        <w:numPr>
          <w:ilvl w:val="0"/>
          <w:numId w:val="0"/>
        </w:numPr>
        <w:ind w:left="0" w:firstLine="482"/>
        <w:keepLines w:val="0"/>
        <w:keepNext w:val="0"/>
        <w:pageBreakBefore w:val="0"/>
        <w:spacing w:beforeAutospacing="0" w:afterAutospacing="0" w:line="360" w:lineRule="auto"/>
        <w:widowControl/>
        <w:rPr>
          <w:rFonts w:hint="default" w:ascii="宋体" w:hAnsi="宋体" w:eastAsia="宋体" w:cs="宋体"/>
          <w:b/>
          <w:bCs/>
          <w:sz w:val="24"/>
          <w:szCs w:val="24"/>
          <w:lang w:val="en-US" w:eastAsia="zh-CN" w:bidi="ar-SA"/>
        </w:rPr>
        <w:outlineLvl w:val="9"/>
        <w:suppressLineNumbers w:val="0"/>
      </w:pPr>
      <w:r>
        <w:rPr>
          <w:rFonts w:hint="default" w:ascii="宋体" w:hAnsi="宋体" w:eastAsia="宋体" w:cs="宋体"/>
          <w:b/>
          <w:bCs/>
          <w:sz w:val="24"/>
          <w:szCs w:val="24"/>
          <w:lang w:val="en-US" w:eastAsia="zh-CN" w:bidi="ar-SA"/>
        </w:rPr>
        <w:t xml:space="preserve">第三条 资质承诺</w:t>
      </w:r>
      <w:r/>
    </w:p>
    <w:p>
      <w:pPr>
        <w:numPr>
          <w:ilvl w:val="0"/>
          <w:numId w:val="0"/>
        </w:numPr>
        <w:ind w:left="0" w:firstLine="480"/>
        <w:keepLines w:val="0"/>
        <w:keepNext w:val="0"/>
        <w:pageBreakBefore w:val="0"/>
        <w:spacing w:beforeAutospacing="0" w:afterAutospacing="0" w:line="360" w:lineRule="auto"/>
        <w:widowControl/>
        <w:rPr>
          <w:rFonts w:hint="default" w:ascii="宋体" w:hAnsi="宋体" w:eastAsia="宋体" w:cs="宋体"/>
          <w:sz w:val="24"/>
          <w:szCs w:val="24"/>
          <w:lang w:val="en-US" w:eastAsia="zh-CN" w:bidi="ar-SA"/>
        </w:rPr>
        <w:suppressLineNumbers w:val="0"/>
      </w:pPr>
      <w:r>
        <w:rPr>
          <w:rFonts w:hint="eastAsia" w:ascii="宋体" w:hAnsi="宋体" w:cs="宋体"/>
          <w:sz w:val="24"/>
          <w:szCs w:val="24"/>
          <w:lang w:val="en-US" w:eastAsia="zh-CN" w:bidi="ar-SA"/>
        </w:rPr>
        <w:t xml:space="preserve">1.</w:t>
      </w:r>
      <w:r>
        <w:rPr>
          <w:rFonts w:hint="default" w:ascii="宋体" w:hAnsi="宋体" w:eastAsia="宋体" w:cs="宋体"/>
          <w:sz w:val="24"/>
          <w:szCs w:val="24"/>
          <w:lang w:val="en-US" w:eastAsia="zh-CN" w:bidi="ar-SA"/>
        </w:rPr>
        <w:t xml:space="preserve">联合体各方均符合《中华人民共和国政府采购法》第二十二条规定的供应商基本条件。</w:t>
      </w:r>
      <w:r/>
    </w:p>
    <w:p>
      <w:pPr>
        <w:numPr>
          <w:ilvl w:val="0"/>
          <w:numId w:val="0"/>
        </w:numPr>
        <w:ind w:left="0" w:firstLine="480"/>
        <w:keepLines w:val="0"/>
        <w:keepNext w:val="0"/>
        <w:pageBreakBefore w:val="0"/>
        <w:spacing w:beforeAutospacing="0" w:afterAutospacing="0" w:line="360" w:lineRule="auto"/>
        <w:widowControl/>
        <w:rPr>
          <w:rFonts w:hint="default" w:ascii="宋体" w:hAnsi="宋体" w:eastAsia="宋体" w:cs="宋体"/>
          <w:sz w:val="24"/>
          <w:szCs w:val="24"/>
          <w:lang w:val="en-US" w:eastAsia="zh-CN" w:bidi="ar-SA"/>
        </w:rPr>
        <w:suppressLineNumbers w:val="0"/>
      </w:pPr>
      <w:r>
        <w:rPr>
          <w:rFonts w:hint="eastAsia" w:ascii="宋体" w:hAnsi="宋体" w:cs="宋体"/>
          <w:sz w:val="24"/>
          <w:szCs w:val="24"/>
          <w:lang w:val="en-US" w:eastAsia="zh-CN" w:bidi="ar-SA"/>
        </w:rPr>
        <w:t xml:space="preserve">2.</w:t>
      </w:r>
      <w:r>
        <w:rPr>
          <w:rFonts w:hint="default" w:ascii="宋体" w:hAnsi="宋体" w:eastAsia="宋体" w:cs="宋体"/>
          <w:sz w:val="24"/>
          <w:szCs w:val="24"/>
          <w:lang w:val="en-US" w:eastAsia="zh-CN" w:bidi="ar-SA"/>
        </w:rPr>
        <w:t xml:space="preserve">承担检测工作的联合体成员，其CMA检验检测机构资质认定证书在有效期内，且资质认定范围覆盖其分工范围内的全部检测参数/指标。</w:t>
      </w:r>
      <w:r/>
    </w:p>
    <w:p>
      <w:pPr>
        <w:numPr>
          <w:ilvl w:val="0"/>
          <w:numId w:val="0"/>
        </w:numPr>
        <w:ind w:left="0" w:firstLine="480"/>
        <w:keepLines w:val="0"/>
        <w:keepNext w:val="0"/>
        <w:pageBreakBefore w:val="0"/>
        <w:spacing w:beforeAutospacing="0" w:afterAutospacing="0" w:line="360" w:lineRule="auto"/>
        <w:widowControl/>
        <w:rPr>
          <w:rFonts w:hint="default" w:ascii="宋体" w:hAnsi="宋体" w:eastAsia="宋体" w:cs="宋体"/>
          <w:sz w:val="24"/>
          <w:szCs w:val="24"/>
          <w:lang w:val="en-US" w:eastAsia="zh-CN" w:bidi="ar-SA"/>
        </w:rPr>
        <w:suppressLineNumbers w:val="0"/>
      </w:pPr>
      <w:r>
        <w:rPr>
          <w:rFonts w:hint="eastAsia" w:ascii="宋体" w:hAnsi="宋体" w:cs="宋体"/>
          <w:sz w:val="24"/>
          <w:szCs w:val="24"/>
          <w:lang w:val="en-US" w:eastAsia="zh-CN" w:bidi="ar-SA"/>
        </w:rPr>
        <w:t xml:space="preserve">3.</w:t>
      </w:r>
      <w:r>
        <w:rPr>
          <w:rFonts w:hint="default" w:ascii="宋体" w:hAnsi="宋体" w:eastAsia="宋体" w:cs="宋体"/>
          <w:sz w:val="24"/>
          <w:szCs w:val="24"/>
          <w:lang w:val="en-US" w:eastAsia="zh-CN" w:bidi="ar-SA"/>
        </w:rPr>
        <w:t xml:space="preserve">联合体各方均未被列入失信被执行人、重大税收违法失信主体、政府采购严重违法失信行为记录名单。</w:t>
      </w:r>
      <w:r/>
    </w:p>
    <w:p>
      <w:pPr>
        <w:numPr>
          <w:ilvl w:val="0"/>
          <w:numId w:val="10"/>
        </w:numPr>
        <w:ind w:left="0" w:firstLine="480"/>
        <w:keepLines w:val="0"/>
        <w:keepNext w:val="0"/>
        <w:pageBreakBefore w:val="0"/>
        <w:spacing w:beforeAutospacing="0" w:afterAutospacing="0" w:line="360" w:lineRule="auto"/>
        <w:widowControl/>
        <w:rPr>
          <w:rFonts w:hint="default" w:ascii="宋体" w:hAnsi="宋体" w:eastAsia="宋体" w:cs="宋体"/>
          <w:sz w:val="24"/>
          <w:szCs w:val="24"/>
          <w:lang w:val="en-US" w:eastAsia="zh-CN" w:bidi="ar-SA"/>
        </w:rPr>
        <w:suppressLineNumbers w:val="0"/>
      </w:pPr>
      <w:r>
        <w:rPr>
          <w:rFonts w:hint="default" w:ascii="宋体" w:hAnsi="宋体" w:eastAsia="宋体" w:cs="宋体"/>
          <w:sz w:val="24"/>
          <w:szCs w:val="24"/>
          <w:lang w:val="en-US" w:eastAsia="zh-CN" w:bidi="ar-SA"/>
        </w:rPr>
        <w:t xml:space="preserve">联合体各方之间不存在单位负责人为同一人或者存在直接控股、管理关系的情形。</w:t>
      </w:r>
      <w:r/>
    </w:p>
    <w:p>
      <w:pPr>
        <w:ind w:left="0" w:firstLine="482"/>
        <w:keepLines w:val="0"/>
        <w:keepNext w:val="0"/>
        <w:pageBreakBefore w:val="0"/>
        <w:spacing w:before="0" w:beforeAutospacing="0" w:after="0" w:afterAutospacing="0" w:line="360" w:lineRule="auto"/>
        <w:widowControl/>
        <w:rPr>
          <w:rFonts w:hint="default" w:ascii="宋体" w:hAnsi="宋体" w:eastAsia="宋体" w:cs="宋体"/>
          <w:b/>
          <w:bCs/>
          <w:sz w:val="24"/>
          <w:szCs w:val="24"/>
          <w:lang w:val="en-US" w:eastAsia="zh-CN" w:bidi="ar-SA"/>
        </w:rPr>
        <w:outlineLvl w:val="9"/>
        <w:suppressLineNumbers w:val="0"/>
      </w:pPr>
      <w:r>
        <w:rPr>
          <w:rFonts w:hint="default" w:ascii="宋体" w:hAnsi="宋体" w:eastAsia="宋体" w:cs="宋体"/>
          <w:b/>
          <w:bCs/>
          <w:sz w:val="24"/>
          <w:szCs w:val="24"/>
          <w:lang w:val="en-US" w:eastAsia="zh-CN" w:bidi="ar-SA"/>
        </w:rPr>
        <w:t xml:space="preserve">第四条 全流程工作分工</w:t>
      </w:r>
      <w:r/>
    </w:p>
    <w:p>
      <w:pPr>
        <w:pStyle w:val="705"/>
        <w:ind w:left="0" w:firstLine="480"/>
        <w:keepLines w:val="0"/>
        <w:keepNext w:val="0"/>
        <w:pageBreakBefore w:val="0"/>
        <w:spacing w:before="0" w:beforeAutospacing="0" w:after="0" w:afterAutospacing="0" w:line="360" w:lineRule="auto"/>
        <w:widowControl/>
        <w:suppressLineNumbers w:val="0"/>
      </w:pPr>
      <w:r>
        <w:t xml:space="preserve">联合体各方按照以下分工承担本项目全部服务工作，各方均须实际参与履约，不得仅挂名不承担实质工作：</w:t>
      </w:r>
      <w:r/>
    </w:p>
    <w:tbl>
      <w:tblPr>
        <w:tblStyle w:val="709"/>
        <w:tblW w:w="92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265"/>
        <w:gridCol w:w="4141"/>
        <w:gridCol w:w="1950"/>
        <w:gridCol w:w="937"/>
      </w:tblGrid>
      <w:tr>
        <w:trPr>
          <w:trHeight w:val="450"/>
        </w:trPr>
        <w:tc>
          <w:tcPr>
            <w:tcW w:w="2265" w:type="dxa"/>
            <w:vAlign w:val="center"/>
            <w:textDirection w:val="lrTb"/>
            <w:noWrap w:val="false"/>
          </w:tcPr>
          <w:p>
            <w:pPr>
              <w:jc w:val="center"/>
              <w:keepLines w:val="0"/>
              <w:keepNext w:val="0"/>
              <w:widowControl/>
              <w:rPr>
                <w:rFonts w:hint="eastAsia" w:ascii="宋体" w:hAnsi="宋体" w:eastAsia="宋体" w:cs="宋体"/>
                <w:sz w:val="24"/>
                <w:szCs w:val="24"/>
                <w:lang w:val="en-US" w:eastAsia="zh-CN" w:bidi="ar"/>
              </w:rPr>
              <w:suppressLineNumbers w:val="0"/>
            </w:pPr>
            <w:r>
              <w:rPr>
                <w:rFonts w:ascii="宋体" w:hAnsi="宋体" w:eastAsia="宋体" w:cs="宋体"/>
                <w:sz w:val="24"/>
                <w:szCs w:val="24"/>
                <w:lang w:val="en-US" w:eastAsia="zh-CN" w:bidi="ar"/>
              </w:rPr>
              <w:t xml:space="preserve">工作环节</w:t>
            </w:r>
            <w:r/>
          </w:p>
        </w:tc>
        <w:tc>
          <w:tcPr>
            <w:tcW w:w="4141" w:type="dxa"/>
            <w:vAlign w:val="center"/>
            <w:textDirection w:val="lrTb"/>
            <w:noWrap w:val="false"/>
          </w:tcPr>
          <w:p>
            <w:pPr>
              <w:jc w:val="center"/>
              <w:keepLines w:val="0"/>
              <w:keepNext w:val="0"/>
              <w:widowControl/>
              <w:rPr>
                <w:rFonts w:hint="eastAsia" w:ascii="宋体" w:hAnsi="宋体" w:eastAsia="宋体" w:cs="宋体"/>
                <w:sz w:val="24"/>
                <w:szCs w:val="24"/>
                <w:lang w:val="en-US" w:eastAsia="zh-CN" w:bidi="ar"/>
              </w:rPr>
              <w:suppressLineNumbers w:val="0"/>
            </w:pPr>
            <w:r>
              <w:rPr>
                <w:rFonts w:ascii="宋体" w:hAnsi="宋体" w:eastAsia="宋体" w:cs="宋体"/>
                <w:sz w:val="24"/>
                <w:szCs w:val="24"/>
                <w:lang w:val="en-US" w:eastAsia="zh-CN" w:bidi="ar"/>
              </w:rPr>
              <w:t xml:space="preserve">具体工作内容</w:t>
            </w:r>
            <w:r/>
          </w:p>
        </w:tc>
        <w:tc>
          <w:tcPr>
            <w:tcW w:w="1950" w:type="dxa"/>
            <w:vAlign w:val="center"/>
            <w:textDirection w:val="lrTb"/>
            <w:noWrap w:val="false"/>
          </w:tcPr>
          <w:p>
            <w:pPr>
              <w:jc w:val="center"/>
              <w:keepLines w:val="0"/>
              <w:keepNext w:val="0"/>
              <w:widowControl/>
              <w:rPr>
                <w:rFonts w:hint="eastAsia" w:ascii="宋体" w:hAnsi="宋体" w:eastAsia="宋体" w:cs="宋体"/>
                <w:sz w:val="24"/>
                <w:szCs w:val="24"/>
                <w:lang w:val="en-US" w:eastAsia="zh-CN" w:bidi="ar"/>
              </w:rPr>
              <w:suppressLineNumbers w:val="0"/>
            </w:pPr>
            <w:r>
              <w:rPr>
                <w:rFonts w:ascii="宋体" w:hAnsi="宋体" w:eastAsia="宋体" w:cs="宋体"/>
                <w:sz w:val="24"/>
                <w:szCs w:val="24"/>
                <w:lang w:val="en-US" w:eastAsia="zh-CN" w:bidi="ar"/>
              </w:rPr>
              <w:t xml:space="preserve">承担单位（牵头人/成员单位）</w:t>
            </w:r>
            <w:r/>
          </w:p>
        </w:tc>
        <w:tc>
          <w:tcPr>
            <w:tcW w:w="937" w:type="dxa"/>
            <w:vAlign w:val="center"/>
            <w:textDirection w:val="lrTb"/>
            <w:noWrap w:val="false"/>
          </w:tcPr>
          <w:p>
            <w:pPr>
              <w:jc w:val="center"/>
              <w:keepLines w:val="0"/>
              <w:keepNext w:val="0"/>
              <w:widowControl/>
              <w:rPr>
                <w:rFonts w:hint="eastAsia" w:ascii="宋体" w:hAnsi="宋体" w:eastAsia="宋体" w:cs="宋体"/>
                <w:sz w:val="24"/>
                <w:szCs w:val="24"/>
                <w:lang w:val="en-US" w:eastAsia="zh-CN" w:bidi="ar"/>
              </w:rPr>
              <w:suppressLineNumbers w:val="0"/>
            </w:pPr>
            <w:r>
              <w:rPr>
                <w:rFonts w:ascii="宋体" w:hAnsi="宋体" w:eastAsia="宋体" w:cs="宋体"/>
                <w:sz w:val="24"/>
                <w:szCs w:val="24"/>
                <w:lang w:val="en-US" w:eastAsia="zh-CN" w:bidi="ar"/>
              </w:rPr>
              <w:t xml:space="preserve">备注</w:t>
            </w:r>
            <w:r/>
          </w:p>
        </w:tc>
      </w:tr>
      <w:tr>
        <w:trPr/>
        <w:tc>
          <w:tcPr>
            <w:tcW w:w="2265" w:type="dxa"/>
            <w:vAlign w:val="center"/>
            <w:textDirection w:val="lrTb"/>
            <w:noWrap w:val="false"/>
          </w:tcPr>
          <w:p>
            <w:pPr>
              <w:jc w:val="center"/>
              <w:keepLines w:val="0"/>
              <w:keepNext w:val="0"/>
              <w:widowControl/>
              <w:rPr>
                <w:rFonts w:hint="eastAsia" w:ascii="新宋体" w:hAnsi="新宋体" w:eastAsia="新宋体" w:cs="新宋体"/>
                <w:color w:val="auto"/>
                <w:sz w:val="24"/>
                <w:szCs w:val="24"/>
                <w:highlight w:val="none"/>
                <w:vertAlign w:val="baseline"/>
              </w:rPr>
              <w:suppressLineNumbers w:val="0"/>
            </w:pPr>
            <w:r>
              <w:rPr>
                <w:rFonts w:ascii="宋体" w:hAnsi="宋体" w:eastAsia="宋体" w:cs="宋体"/>
                <w:sz w:val="24"/>
                <w:szCs w:val="24"/>
                <w:lang w:val="en-US" w:eastAsia="zh-CN" w:bidi="ar"/>
              </w:rPr>
              <w:t xml:space="preserve">抽样工作</w:t>
            </w:r>
            <w:r/>
          </w:p>
        </w:tc>
        <w:tc>
          <w:tcPr>
            <w:tcW w:w="4141" w:type="dxa"/>
            <w:vAlign w:val="center"/>
            <w:textDirection w:val="lrTb"/>
            <w:noWrap w:val="false"/>
          </w:tcPr>
          <w:p>
            <w:pPr>
              <w:jc w:val="left"/>
              <w:keepLines w:val="0"/>
              <w:keepNext w:val="0"/>
              <w:widowControl/>
              <w:rPr>
                <w:rFonts w:hint="eastAsia" w:ascii="新宋体" w:hAnsi="新宋体" w:eastAsia="新宋体" w:cs="新宋体"/>
                <w:color w:val="auto"/>
                <w:sz w:val="24"/>
                <w:szCs w:val="24"/>
                <w:highlight w:val="none"/>
                <w:vertAlign w:val="baseline"/>
              </w:rPr>
              <w:suppressLineNumbers w:val="0"/>
            </w:pPr>
            <w:r>
              <w:rPr>
                <w:rFonts w:ascii="宋体" w:hAnsi="宋体" w:eastAsia="宋体" w:cs="宋体"/>
                <w:sz w:val="24"/>
                <w:szCs w:val="24"/>
                <w:lang w:val="en-US" w:eastAsia="zh-CN" w:bidi="ar"/>
              </w:rPr>
              <w:t xml:space="preserve">抽样人员派遣、抽样文书制作、抽样现场操作</w:t>
            </w:r>
            <w:r/>
          </w:p>
        </w:tc>
        <w:tc>
          <w:tcPr>
            <w:tcW w:w="1950" w:type="dxa"/>
            <w:textDirection w:val="lrTb"/>
            <w:noWrap w:val="false"/>
          </w:tcPr>
          <w:p>
            <w:pPr>
              <w:rPr>
                <w:rFonts w:hint="eastAsia" w:ascii="新宋体" w:hAnsi="新宋体" w:eastAsia="新宋体" w:cs="新宋体"/>
                <w:color w:val="auto"/>
                <w:sz w:val="24"/>
                <w:szCs w:val="24"/>
                <w:highlight w:val="none"/>
                <w:vertAlign w:val="baseline"/>
              </w:rPr>
            </w:pPr>
            <w:r>
              <w:rPr>
                <w:rFonts w:hint="eastAsia" w:ascii="新宋体" w:hAnsi="新宋体" w:eastAsia="新宋体" w:cs="新宋体"/>
                <w:color w:val="auto"/>
                <w:sz w:val="24"/>
                <w:szCs w:val="24"/>
                <w:highlight w:val="none"/>
                <w:vertAlign w:val="baseline"/>
              </w:rPr>
            </w:r>
            <w:r/>
          </w:p>
        </w:tc>
        <w:tc>
          <w:tcPr>
            <w:tcW w:w="937" w:type="dxa"/>
            <w:textDirection w:val="lrTb"/>
            <w:noWrap w:val="false"/>
          </w:tcPr>
          <w:p>
            <w:pPr>
              <w:rPr>
                <w:rFonts w:hint="eastAsia" w:ascii="新宋体" w:hAnsi="新宋体" w:eastAsia="新宋体" w:cs="新宋体"/>
                <w:color w:val="auto"/>
                <w:sz w:val="24"/>
                <w:szCs w:val="24"/>
                <w:highlight w:val="none"/>
                <w:vertAlign w:val="baseline"/>
              </w:rPr>
            </w:pPr>
            <w:r>
              <w:rPr>
                <w:rFonts w:hint="eastAsia" w:ascii="新宋体" w:hAnsi="新宋体" w:eastAsia="新宋体" w:cs="新宋体"/>
                <w:color w:val="auto"/>
                <w:sz w:val="24"/>
                <w:szCs w:val="24"/>
                <w:highlight w:val="none"/>
                <w:vertAlign w:val="baseline"/>
              </w:rPr>
            </w:r>
            <w:r/>
          </w:p>
        </w:tc>
      </w:tr>
      <w:tr>
        <w:trPr/>
        <w:tc>
          <w:tcPr>
            <w:tcW w:w="2265" w:type="dxa"/>
            <w:vAlign w:val="center"/>
            <w:textDirection w:val="lrTb"/>
            <w:noWrap w:val="false"/>
          </w:tcPr>
          <w:p>
            <w:pPr>
              <w:jc w:val="center"/>
              <w:keepLines w:val="0"/>
              <w:keepNext w:val="0"/>
              <w:widowControl/>
              <w:rPr>
                <w:rFonts w:hint="eastAsia" w:ascii="新宋体" w:hAnsi="新宋体" w:eastAsia="新宋体" w:cs="新宋体"/>
                <w:color w:val="auto"/>
                <w:sz w:val="24"/>
                <w:szCs w:val="24"/>
                <w:highlight w:val="none"/>
                <w:vertAlign w:val="baseline"/>
              </w:rPr>
              <w:suppressLineNumbers w:val="0"/>
            </w:pPr>
            <w:r>
              <w:rPr>
                <w:rFonts w:ascii="宋体" w:hAnsi="宋体" w:eastAsia="宋体" w:cs="宋体"/>
                <w:sz w:val="24"/>
                <w:szCs w:val="24"/>
                <w:lang w:val="en-US" w:eastAsia="zh-CN" w:bidi="ar"/>
              </w:rPr>
              <w:t xml:space="preserve">购样/样品获取</w:t>
            </w:r>
            <w:r/>
          </w:p>
        </w:tc>
        <w:tc>
          <w:tcPr>
            <w:tcW w:w="4141" w:type="dxa"/>
            <w:vAlign w:val="center"/>
            <w:textDirection w:val="lrTb"/>
            <w:noWrap w:val="false"/>
          </w:tcPr>
          <w:p>
            <w:pPr>
              <w:jc w:val="left"/>
              <w:keepLines w:val="0"/>
              <w:keepNext w:val="0"/>
              <w:widowControl/>
              <w:rPr>
                <w:rFonts w:hint="eastAsia" w:ascii="新宋体" w:hAnsi="新宋体" w:eastAsia="新宋体" w:cs="新宋体"/>
                <w:color w:val="auto"/>
                <w:sz w:val="24"/>
                <w:szCs w:val="24"/>
                <w:highlight w:val="none"/>
                <w:vertAlign w:val="baseline"/>
              </w:rPr>
              <w:suppressLineNumbers w:val="0"/>
            </w:pPr>
            <w:r>
              <w:rPr>
                <w:rFonts w:ascii="宋体" w:hAnsi="宋体" w:eastAsia="宋体" w:cs="宋体"/>
                <w:sz w:val="24"/>
                <w:szCs w:val="24"/>
                <w:lang w:val="en-US" w:eastAsia="zh-CN" w:bidi="ar"/>
              </w:rPr>
              <w:t xml:space="preserve">样品购买、费用垫付、票据留存</w:t>
            </w:r>
            <w:r/>
          </w:p>
        </w:tc>
        <w:tc>
          <w:tcPr>
            <w:tcW w:w="1950" w:type="dxa"/>
            <w:textDirection w:val="lrTb"/>
            <w:noWrap w:val="false"/>
          </w:tcPr>
          <w:p>
            <w:pPr>
              <w:rPr>
                <w:rFonts w:hint="eastAsia" w:ascii="新宋体" w:hAnsi="新宋体" w:eastAsia="新宋体" w:cs="新宋体"/>
                <w:color w:val="auto"/>
                <w:sz w:val="24"/>
                <w:szCs w:val="24"/>
                <w:highlight w:val="none"/>
                <w:vertAlign w:val="baseline"/>
              </w:rPr>
            </w:pPr>
            <w:r>
              <w:rPr>
                <w:rFonts w:hint="eastAsia" w:ascii="新宋体" w:hAnsi="新宋体" w:eastAsia="新宋体" w:cs="新宋体"/>
                <w:color w:val="auto"/>
                <w:sz w:val="24"/>
                <w:szCs w:val="24"/>
                <w:highlight w:val="none"/>
                <w:vertAlign w:val="baseline"/>
              </w:rPr>
            </w:r>
            <w:r/>
          </w:p>
        </w:tc>
        <w:tc>
          <w:tcPr>
            <w:tcW w:w="937" w:type="dxa"/>
            <w:textDirection w:val="lrTb"/>
            <w:noWrap w:val="false"/>
          </w:tcPr>
          <w:p>
            <w:pPr>
              <w:rPr>
                <w:rFonts w:hint="eastAsia" w:ascii="新宋体" w:hAnsi="新宋体" w:eastAsia="新宋体" w:cs="新宋体"/>
                <w:color w:val="auto"/>
                <w:sz w:val="24"/>
                <w:szCs w:val="24"/>
                <w:highlight w:val="none"/>
                <w:vertAlign w:val="baseline"/>
              </w:rPr>
            </w:pPr>
            <w:r>
              <w:rPr>
                <w:rFonts w:hint="eastAsia" w:ascii="新宋体" w:hAnsi="新宋体" w:eastAsia="新宋体" w:cs="新宋体"/>
                <w:color w:val="auto"/>
                <w:sz w:val="24"/>
                <w:szCs w:val="24"/>
                <w:highlight w:val="none"/>
                <w:vertAlign w:val="baseline"/>
              </w:rPr>
            </w:r>
            <w:r/>
          </w:p>
        </w:tc>
      </w:tr>
      <w:tr>
        <w:trPr/>
        <w:tc>
          <w:tcPr>
            <w:tcW w:w="2265" w:type="dxa"/>
            <w:vAlign w:val="center"/>
            <w:textDirection w:val="lrTb"/>
            <w:noWrap w:val="false"/>
          </w:tcPr>
          <w:p>
            <w:pPr>
              <w:jc w:val="center"/>
              <w:keepLines w:val="0"/>
              <w:keepNext w:val="0"/>
              <w:widowControl/>
              <w:rPr>
                <w:rFonts w:hint="eastAsia" w:ascii="新宋体" w:hAnsi="新宋体" w:eastAsia="新宋体" w:cs="新宋体"/>
                <w:color w:val="auto"/>
                <w:sz w:val="24"/>
                <w:szCs w:val="24"/>
                <w:highlight w:val="none"/>
                <w:vertAlign w:val="baseline"/>
              </w:rPr>
              <w:suppressLineNumbers w:val="0"/>
            </w:pPr>
            <w:r>
              <w:rPr>
                <w:rFonts w:ascii="宋体" w:hAnsi="宋体" w:eastAsia="宋体" w:cs="宋体"/>
                <w:sz w:val="24"/>
                <w:szCs w:val="24"/>
                <w:lang w:val="en-US" w:eastAsia="zh-CN" w:bidi="ar"/>
              </w:rPr>
              <w:t xml:space="preserve">样品运输与保管</w:t>
            </w:r>
            <w:r/>
          </w:p>
        </w:tc>
        <w:tc>
          <w:tcPr>
            <w:tcW w:w="4141" w:type="dxa"/>
            <w:vAlign w:val="center"/>
            <w:textDirection w:val="lrTb"/>
            <w:noWrap w:val="false"/>
          </w:tcPr>
          <w:p>
            <w:pPr>
              <w:jc w:val="left"/>
              <w:keepLines w:val="0"/>
              <w:keepNext w:val="0"/>
              <w:widowControl/>
              <w:rPr>
                <w:rFonts w:hint="eastAsia" w:ascii="新宋体" w:hAnsi="新宋体" w:eastAsia="新宋体" w:cs="新宋体"/>
                <w:color w:val="auto"/>
                <w:sz w:val="24"/>
                <w:szCs w:val="24"/>
                <w:highlight w:val="none"/>
                <w:vertAlign w:val="baseline"/>
              </w:rPr>
              <w:suppressLineNumbers w:val="0"/>
            </w:pPr>
            <w:r>
              <w:rPr>
                <w:rFonts w:ascii="宋体" w:hAnsi="宋体" w:eastAsia="宋体" w:cs="宋体"/>
                <w:sz w:val="24"/>
                <w:szCs w:val="24"/>
                <w:lang w:val="en-US" w:eastAsia="zh-CN" w:bidi="ar"/>
              </w:rPr>
              <w:t xml:space="preserve">样品包装、运输、交接、存储、留样管理</w:t>
            </w:r>
            <w:r/>
          </w:p>
        </w:tc>
        <w:tc>
          <w:tcPr>
            <w:tcW w:w="1950" w:type="dxa"/>
            <w:textDirection w:val="lrTb"/>
            <w:noWrap w:val="false"/>
          </w:tcPr>
          <w:p>
            <w:pPr>
              <w:rPr>
                <w:rFonts w:hint="eastAsia" w:ascii="新宋体" w:hAnsi="新宋体" w:eastAsia="新宋体" w:cs="新宋体"/>
                <w:color w:val="auto"/>
                <w:sz w:val="24"/>
                <w:szCs w:val="24"/>
                <w:highlight w:val="none"/>
                <w:vertAlign w:val="baseline"/>
              </w:rPr>
            </w:pPr>
            <w:r>
              <w:rPr>
                <w:rFonts w:hint="eastAsia" w:ascii="新宋体" w:hAnsi="新宋体" w:eastAsia="新宋体" w:cs="新宋体"/>
                <w:color w:val="auto"/>
                <w:sz w:val="24"/>
                <w:szCs w:val="24"/>
                <w:highlight w:val="none"/>
                <w:vertAlign w:val="baseline"/>
              </w:rPr>
            </w:r>
            <w:r/>
          </w:p>
        </w:tc>
        <w:tc>
          <w:tcPr>
            <w:tcW w:w="937" w:type="dxa"/>
            <w:textDirection w:val="lrTb"/>
            <w:noWrap w:val="false"/>
          </w:tcPr>
          <w:p>
            <w:pPr>
              <w:rPr>
                <w:rFonts w:hint="eastAsia" w:ascii="新宋体" w:hAnsi="新宋体" w:eastAsia="新宋体" w:cs="新宋体"/>
                <w:color w:val="auto"/>
                <w:sz w:val="24"/>
                <w:szCs w:val="24"/>
                <w:highlight w:val="none"/>
                <w:vertAlign w:val="baseline"/>
              </w:rPr>
            </w:pPr>
            <w:r>
              <w:rPr>
                <w:rFonts w:hint="eastAsia" w:ascii="新宋体" w:hAnsi="新宋体" w:eastAsia="新宋体" w:cs="新宋体"/>
                <w:color w:val="auto"/>
                <w:sz w:val="24"/>
                <w:szCs w:val="24"/>
                <w:highlight w:val="none"/>
                <w:vertAlign w:val="baseline"/>
              </w:rPr>
            </w:r>
            <w:r/>
          </w:p>
        </w:tc>
      </w:tr>
      <w:tr>
        <w:trPr/>
        <w:tc>
          <w:tcPr>
            <w:tcW w:w="2265" w:type="dxa"/>
            <w:vAlign w:val="center"/>
            <w:textDirection w:val="lrTb"/>
            <w:noWrap w:val="false"/>
          </w:tcPr>
          <w:p>
            <w:pPr>
              <w:jc w:val="center"/>
              <w:keepLines w:val="0"/>
              <w:keepNext w:val="0"/>
              <w:widowControl/>
              <w:rPr>
                <w:rFonts w:hint="eastAsia" w:ascii="新宋体" w:hAnsi="新宋体" w:eastAsia="新宋体" w:cs="新宋体"/>
                <w:color w:val="auto"/>
                <w:sz w:val="24"/>
                <w:szCs w:val="24"/>
                <w:highlight w:val="none"/>
                <w:vertAlign w:val="baseline"/>
              </w:rPr>
              <w:suppressLineNumbers w:val="0"/>
            </w:pPr>
            <w:r>
              <w:rPr>
                <w:rFonts w:ascii="宋体" w:hAnsi="宋体" w:eastAsia="宋体" w:cs="宋体"/>
                <w:sz w:val="24"/>
                <w:szCs w:val="24"/>
                <w:lang w:val="en-US" w:eastAsia="zh-CN" w:bidi="ar"/>
              </w:rPr>
              <w:t xml:space="preserve">检测工作</w:t>
            </w:r>
            <w:r/>
          </w:p>
        </w:tc>
        <w:tc>
          <w:tcPr>
            <w:tcW w:w="4141" w:type="dxa"/>
            <w:vAlign w:val="center"/>
            <w:textDirection w:val="lrTb"/>
            <w:noWrap w:val="false"/>
          </w:tcPr>
          <w:p>
            <w:pPr>
              <w:jc w:val="left"/>
              <w:keepLines w:val="0"/>
              <w:keepNext w:val="0"/>
              <w:widowControl/>
              <w:rPr>
                <w:rFonts w:hint="eastAsia" w:ascii="新宋体" w:hAnsi="新宋体" w:eastAsia="新宋体" w:cs="新宋体"/>
                <w:color w:val="auto"/>
                <w:sz w:val="24"/>
                <w:szCs w:val="24"/>
                <w:highlight w:val="none"/>
                <w:vertAlign w:val="baseline"/>
              </w:rPr>
              <w:suppressLineNumbers w:val="0"/>
            </w:pPr>
            <w:r>
              <w:rPr>
                <w:rFonts w:ascii="宋体" w:hAnsi="宋体" w:eastAsia="宋体" w:cs="宋体"/>
                <w:sz w:val="24"/>
                <w:szCs w:val="24"/>
                <w:lang w:val="en-US" w:eastAsia="zh-CN" w:bidi="ar"/>
              </w:rPr>
              <w:t xml:space="preserve">按采购清单及技术要求完成全部检测参数/指标的检验检测（须列明各方具体承担的样品类别及检测参数）</w:t>
            </w:r>
            <w:r/>
          </w:p>
        </w:tc>
        <w:tc>
          <w:tcPr>
            <w:tcW w:w="1950" w:type="dxa"/>
            <w:textDirection w:val="lrTb"/>
            <w:noWrap w:val="false"/>
          </w:tcPr>
          <w:p>
            <w:pPr>
              <w:rPr>
                <w:rFonts w:hint="eastAsia" w:ascii="新宋体" w:hAnsi="新宋体" w:eastAsia="新宋体" w:cs="新宋体"/>
                <w:color w:val="auto"/>
                <w:sz w:val="24"/>
                <w:szCs w:val="24"/>
                <w:highlight w:val="none"/>
                <w:vertAlign w:val="baseline"/>
              </w:rPr>
            </w:pPr>
            <w:r>
              <w:rPr>
                <w:rFonts w:hint="eastAsia" w:ascii="新宋体" w:hAnsi="新宋体" w:eastAsia="新宋体" w:cs="新宋体"/>
                <w:color w:val="auto"/>
                <w:sz w:val="24"/>
                <w:szCs w:val="24"/>
                <w:highlight w:val="none"/>
                <w:vertAlign w:val="baseline"/>
              </w:rPr>
            </w:r>
            <w:r/>
          </w:p>
        </w:tc>
        <w:tc>
          <w:tcPr>
            <w:tcW w:w="937" w:type="dxa"/>
            <w:textDirection w:val="lrTb"/>
            <w:noWrap w:val="false"/>
          </w:tcPr>
          <w:p>
            <w:pPr>
              <w:rPr>
                <w:rFonts w:hint="eastAsia" w:ascii="新宋体" w:hAnsi="新宋体" w:eastAsia="新宋体" w:cs="新宋体"/>
                <w:color w:val="auto"/>
                <w:sz w:val="24"/>
                <w:szCs w:val="24"/>
                <w:highlight w:val="none"/>
                <w:vertAlign w:val="baseline"/>
              </w:rPr>
            </w:pPr>
            <w:r>
              <w:rPr>
                <w:rFonts w:hint="eastAsia" w:ascii="新宋体" w:hAnsi="新宋体" w:eastAsia="新宋体" w:cs="新宋体"/>
                <w:color w:val="auto"/>
                <w:sz w:val="24"/>
                <w:szCs w:val="24"/>
                <w:highlight w:val="none"/>
                <w:vertAlign w:val="baseline"/>
              </w:rPr>
            </w:r>
            <w:r/>
          </w:p>
        </w:tc>
      </w:tr>
      <w:tr>
        <w:trPr/>
        <w:tc>
          <w:tcPr>
            <w:tcW w:w="2265" w:type="dxa"/>
            <w:vAlign w:val="center"/>
            <w:textDirection w:val="lrTb"/>
            <w:noWrap w:val="false"/>
          </w:tcPr>
          <w:p>
            <w:pPr>
              <w:jc w:val="center"/>
              <w:keepLines w:val="0"/>
              <w:keepNext w:val="0"/>
              <w:widowControl/>
              <w:rPr>
                <w:rFonts w:hint="eastAsia" w:ascii="新宋体" w:hAnsi="新宋体" w:eastAsia="新宋体" w:cs="新宋体"/>
                <w:color w:val="auto"/>
                <w:sz w:val="24"/>
                <w:szCs w:val="24"/>
                <w:highlight w:val="none"/>
                <w:vertAlign w:val="baseline"/>
              </w:rPr>
              <w:suppressLineNumbers w:val="0"/>
            </w:pPr>
            <w:r>
              <w:rPr>
                <w:rFonts w:ascii="宋体" w:hAnsi="宋体" w:eastAsia="宋体" w:cs="宋体"/>
                <w:sz w:val="24"/>
                <w:szCs w:val="24"/>
                <w:lang w:val="en-US" w:eastAsia="zh-CN" w:bidi="ar"/>
              </w:rPr>
              <w:t xml:space="preserve">报告编制与出具</w:t>
            </w:r>
            <w:r/>
          </w:p>
        </w:tc>
        <w:tc>
          <w:tcPr>
            <w:tcW w:w="4141" w:type="dxa"/>
            <w:vAlign w:val="center"/>
            <w:textDirection w:val="lrTb"/>
            <w:noWrap w:val="false"/>
          </w:tcPr>
          <w:p>
            <w:pPr>
              <w:jc w:val="left"/>
              <w:keepLines w:val="0"/>
              <w:keepNext w:val="0"/>
              <w:widowControl/>
              <w:rPr>
                <w:rFonts w:hint="eastAsia" w:ascii="新宋体" w:hAnsi="新宋体" w:eastAsia="新宋体" w:cs="新宋体"/>
                <w:color w:val="auto"/>
                <w:sz w:val="24"/>
                <w:szCs w:val="24"/>
                <w:highlight w:val="none"/>
                <w:vertAlign w:val="baseline"/>
              </w:rPr>
              <w:suppressLineNumbers w:val="0"/>
            </w:pPr>
            <w:r>
              <w:rPr>
                <w:rFonts w:ascii="宋体" w:hAnsi="宋体" w:eastAsia="宋体" w:cs="宋体"/>
                <w:sz w:val="24"/>
                <w:szCs w:val="24"/>
                <w:lang w:val="en-US" w:eastAsia="zh-CN" w:bidi="ar"/>
              </w:rPr>
              <w:t xml:space="preserve">检测数据汇总、报告编制、审核、签发、CMA签章</w:t>
            </w:r>
            <w:r/>
          </w:p>
        </w:tc>
        <w:tc>
          <w:tcPr>
            <w:tcW w:w="1950" w:type="dxa"/>
            <w:textDirection w:val="lrTb"/>
            <w:noWrap w:val="false"/>
          </w:tcPr>
          <w:p>
            <w:pPr>
              <w:rPr>
                <w:rFonts w:hint="eastAsia" w:ascii="新宋体" w:hAnsi="新宋体" w:eastAsia="新宋体" w:cs="新宋体"/>
                <w:color w:val="auto"/>
                <w:sz w:val="24"/>
                <w:szCs w:val="24"/>
                <w:highlight w:val="none"/>
                <w:vertAlign w:val="baseline"/>
              </w:rPr>
            </w:pPr>
            <w:r>
              <w:rPr>
                <w:rFonts w:hint="eastAsia" w:ascii="新宋体" w:hAnsi="新宋体" w:eastAsia="新宋体" w:cs="新宋体"/>
                <w:color w:val="auto"/>
                <w:sz w:val="24"/>
                <w:szCs w:val="24"/>
                <w:highlight w:val="none"/>
                <w:vertAlign w:val="baseline"/>
              </w:rPr>
            </w:r>
            <w:r/>
          </w:p>
        </w:tc>
        <w:tc>
          <w:tcPr>
            <w:tcW w:w="937" w:type="dxa"/>
            <w:textDirection w:val="lrTb"/>
            <w:noWrap w:val="false"/>
          </w:tcPr>
          <w:p>
            <w:pPr>
              <w:rPr>
                <w:rFonts w:hint="eastAsia" w:ascii="新宋体" w:hAnsi="新宋体" w:eastAsia="新宋体" w:cs="新宋体"/>
                <w:color w:val="auto"/>
                <w:sz w:val="24"/>
                <w:szCs w:val="24"/>
                <w:highlight w:val="none"/>
                <w:vertAlign w:val="baseline"/>
              </w:rPr>
            </w:pPr>
            <w:r>
              <w:rPr>
                <w:rFonts w:hint="eastAsia" w:ascii="新宋体" w:hAnsi="新宋体" w:eastAsia="新宋体" w:cs="新宋体"/>
                <w:color w:val="auto"/>
                <w:sz w:val="24"/>
                <w:szCs w:val="24"/>
                <w:highlight w:val="none"/>
                <w:vertAlign w:val="baseline"/>
              </w:rPr>
            </w:r>
            <w:r/>
          </w:p>
        </w:tc>
      </w:tr>
      <w:tr>
        <w:trPr/>
        <w:tc>
          <w:tcPr>
            <w:tcW w:w="2265" w:type="dxa"/>
            <w:vAlign w:val="center"/>
            <w:textDirection w:val="lrTb"/>
            <w:noWrap w:val="false"/>
          </w:tcPr>
          <w:p>
            <w:pPr>
              <w:jc w:val="center"/>
              <w:keepLines w:val="0"/>
              <w:keepNext w:val="0"/>
              <w:widowControl/>
              <w:rPr>
                <w:rFonts w:ascii="宋体" w:hAnsi="宋体" w:eastAsia="宋体" w:cs="宋体"/>
                <w:sz w:val="24"/>
                <w:szCs w:val="24"/>
                <w:lang w:val="en-US" w:eastAsia="zh-CN" w:bidi="ar"/>
              </w:rPr>
              <w:suppressLineNumbers w:val="0"/>
            </w:pPr>
            <w:r>
              <w:rPr>
                <w:rFonts w:ascii="宋体" w:hAnsi="宋体" w:eastAsia="宋体" w:cs="宋体"/>
                <w:sz w:val="24"/>
                <w:szCs w:val="24"/>
                <w:lang w:val="en-US" w:eastAsia="zh-CN" w:bidi="ar"/>
              </w:rPr>
              <w:t xml:space="preserve">台账与档案管理</w:t>
            </w:r>
            <w:r/>
          </w:p>
        </w:tc>
        <w:tc>
          <w:tcPr>
            <w:tcW w:w="4141" w:type="dxa"/>
            <w:vAlign w:val="center"/>
            <w:textDirection w:val="lrTb"/>
            <w:noWrap w:val="false"/>
          </w:tcPr>
          <w:p>
            <w:pPr>
              <w:jc w:val="left"/>
              <w:keepLines w:val="0"/>
              <w:keepNext w:val="0"/>
              <w:widowControl/>
              <w:rPr>
                <w:rFonts w:ascii="宋体" w:hAnsi="宋体" w:eastAsia="宋体" w:cs="宋体"/>
                <w:sz w:val="24"/>
                <w:szCs w:val="24"/>
                <w:lang w:val="en-US" w:eastAsia="zh-CN" w:bidi="ar"/>
              </w:rPr>
              <w:suppressLineNumbers w:val="0"/>
            </w:pPr>
            <w:r>
              <w:rPr>
                <w:rFonts w:ascii="宋体" w:hAnsi="宋体" w:eastAsia="宋体" w:cs="宋体"/>
                <w:sz w:val="24"/>
                <w:szCs w:val="24"/>
                <w:lang w:val="en-US" w:eastAsia="zh-CN" w:bidi="ar"/>
              </w:rPr>
              <w:t xml:space="preserve">抽样台账、检测台账、原始记录、报告归档、迎检资料整理</w:t>
            </w:r>
            <w:r/>
          </w:p>
        </w:tc>
        <w:tc>
          <w:tcPr>
            <w:tcW w:w="1950" w:type="dxa"/>
            <w:textDirection w:val="lrTb"/>
            <w:noWrap w:val="false"/>
          </w:tcPr>
          <w:p>
            <w:pPr>
              <w:rPr>
                <w:rFonts w:hint="eastAsia" w:ascii="新宋体" w:hAnsi="新宋体" w:eastAsia="新宋体" w:cs="新宋体"/>
                <w:color w:val="auto"/>
                <w:sz w:val="24"/>
                <w:szCs w:val="24"/>
                <w:highlight w:val="none"/>
                <w:vertAlign w:val="baseline"/>
              </w:rPr>
            </w:pPr>
            <w:r>
              <w:rPr>
                <w:rFonts w:hint="eastAsia" w:ascii="新宋体" w:hAnsi="新宋体" w:eastAsia="新宋体" w:cs="新宋体"/>
                <w:color w:val="auto"/>
                <w:sz w:val="24"/>
                <w:szCs w:val="24"/>
                <w:highlight w:val="none"/>
                <w:vertAlign w:val="baseline"/>
              </w:rPr>
            </w:r>
            <w:r/>
          </w:p>
        </w:tc>
        <w:tc>
          <w:tcPr>
            <w:tcW w:w="937" w:type="dxa"/>
            <w:textDirection w:val="lrTb"/>
            <w:noWrap w:val="false"/>
          </w:tcPr>
          <w:p>
            <w:pPr>
              <w:rPr>
                <w:rFonts w:hint="eastAsia" w:ascii="新宋体" w:hAnsi="新宋体" w:eastAsia="新宋体" w:cs="新宋体"/>
                <w:color w:val="auto"/>
                <w:sz w:val="24"/>
                <w:szCs w:val="24"/>
                <w:highlight w:val="none"/>
                <w:vertAlign w:val="baseline"/>
              </w:rPr>
            </w:pPr>
            <w:r>
              <w:rPr>
                <w:rFonts w:hint="eastAsia" w:ascii="新宋体" w:hAnsi="新宋体" w:eastAsia="新宋体" w:cs="新宋体"/>
                <w:color w:val="auto"/>
                <w:sz w:val="24"/>
                <w:szCs w:val="24"/>
                <w:highlight w:val="none"/>
                <w:vertAlign w:val="baseline"/>
              </w:rPr>
            </w:r>
            <w:r/>
          </w:p>
        </w:tc>
      </w:tr>
      <w:tr>
        <w:trPr/>
        <w:tc>
          <w:tcPr>
            <w:tcW w:w="2265" w:type="dxa"/>
            <w:vAlign w:val="center"/>
            <w:textDirection w:val="lrTb"/>
            <w:noWrap w:val="false"/>
          </w:tcPr>
          <w:p>
            <w:pPr>
              <w:jc w:val="center"/>
              <w:keepLines w:val="0"/>
              <w:keepNext w:val="0"/>
              <w:widowControl/>
              <w:rPr>
                <w:rFonts w:ascii="宋体" w:hAnsi="宋体" w:eastAsia="宋体" w:cs="宋体"/>
                <w:sz w:val="24"/>
                <w:szCs w:val="24"/>
                <w:lang w:val="en-US" w:eastAsia="zh-CN" w:bidi="ar"/>
              </w:rPr>
              <w:suppressLineNumbers w:val="0"/>
            </w:pPr>
            <w:r>
              <w:rPr>
                <w:rFonts w:ascii="宋体" w:hAnsi="宋体" w:eastAsia="宋体" w:cs="宋体"/>
                <w:sz w:val="24"/>
                <w:szCs w:val="24"/>
                <w:lang w:val="en-US" w:eastAsia="zh-CN" w:bidi="ar"/>
              </w:rPr>
              <w:t xml:space="preserve">异议与复检配合</w:t>
            </w:r>
            <w:r/>
          </w:p>
        </w:tc>
        <w:tc>
          <w:tcPr>
            <w:tcW w:w="4141" w:type="dxa"/>
            <w:vAlign w:val="center"/>
            <w:textDirection w:val="lrTb"/>
            <w:noWrap w:val="false"/>
          </w:tcPr>
          <w:p>
            <w:pPr>
              <w:jc w:val="left"/>
              <w:keepLines w:val="0"/>
              <w:keepNext w:val="0"/>
              <w:widowControl/>
              <w:rPr>
                <w:rFonts w:ascii="宋体" w:hAnsi="宋体" w:eastAsia="宋体" w:cs="宋体"/>
                <w:sz w:val="24"/>
                <w:szCs w:val="24"/>
                <w:lang w:val="en-US" w:eastAsia="zh-CN" w:bidi="ar"/>
              </w:rPr>
              <w:suppressLineNumbers w:val="0"/>
            </w:pPr>
            <w:r>
              <w:rPr>
                <w:rFonts w:ascii="宋体" w:hAnsi="宋体" w:eastAsia="宋体" w:cs="宋体"/>
                <w:sz w:val="24"/>
                <w:szCs w:val="24"/>
                <w:lang w:val="en-US" w:eastAsia="zh-CN" w:bidi="ar"/>
              </w:rPr>
              <w:t xml:space="preserve">异议答复、复检样品交接、复检过程配合、补充说明</w:t>
            </w:r>
            <w:r/>
          </w:p>
        </w:tc>
        <w:tc>
          <w:tcPr>
            <w:tcW w:w="1950" w:type="dxa"/>
            <w:textDirection w:val="lrTb"/>
            <w:noWrap w:val="false"/>
          </w:tcPr>
          <w:p>
            <w:pPr>
              <w:rPr>
                <w:rFonts w:hint="eastAsia" w:ascii="新宋体" w:hAnsi="新宋体" w:eastAsia="新宋体" w:cs="新宋体"/>
                <w:color w:val="auto"/>
                <w:sz w:val="24"/>
                <w:szCs w:val="24"/>
                <w:highlight w:val="none"/>
                <w:vertAlign w:val="baseline"/>
              </w:rPr>
            </w:pPr>
            <w:r>
              <w:rPr>
                <w:rFonts w:hint="eastAsia" w:ascii="新宋体" w:hAnsi="新宋体" w:eastAsia="新宋体" w:cs="新宋体"/>
                <w:color w:val="auto"/>
                <w:sz w:val="24"/>
                <w:szCs w:val="24"/>
                <w:highlight w:val="none"/>
                <w:vertAlign w:val="baseline"/>
              </w:rPr>
            </w:r>
            <w:r/>
          </w:p>
        </w:tc>
        <w:tc>
          <w:tcPr>
            <w:tcW w:w="937" w:type="dxa"/>
            <w:textDirection w:val="lrTb"/>
            <w:noWrap w:val="false"/>
          </w:tcPr>
          <w:p>
            <w:pPr>
              <w:rPr>
                <w:rFonts w:hint="eastAsia" w:ascii="新宋体" w:hAnsi="新宋体" w:eastAsia="新宋体" w:cs="新宋体"/>
                <w:color w:val="auto"/>
                <w:sz w:val="24"/>
                <w:szCs w:val="24"/>
                <w:highlight w:val="none"/>
                <w:vertAlign w:val="baseline"/>
              </w:rPr>
            </w:pPr>
            <w:r>
              <w:rPr>
                <w:rFonts w:hint="eastAsia" w:ascii="新宋体" w:hAnsi="新宋体" w:eastAsia="新宋体" w:cs="新宋体"/>
                <w:color w:val="auto"/>
                <w:sz w:val="24"/>
                <w:szCs w:val="24"/>
                <w:highlight w:val="none"/>
                <w:vertAlign w:val="baseline"/>
              </w:rPr>
            </w:r>
            <w:r/>
          </w:p>
        </w:tc>
      </w:tr>
      <w:tr>
        <w:trPr/>
        <w:tc>
          <w:tcPr>
            <w:tcW w:w="2265" w:type="dxa"/>
            <w:vAlign w:val="center"/>
            <w:textDirection w:val="lrTb"/>
            <w:noWrap w:val="false"/>
          </w:tcPr>
          <w:p>
            <w:pPr>
              <w:jc w:val="center"/>
              <w:keepLines w:val="0"/>
              <w:keepNext w:val="0"/>
              <w:widowControl/>
              <w:rPr>
                <w:rFonts w:ascii="宋体" w:hAnsi="宋体" w:eastAsia="宋体" w:cs="宋体"/>
                <w:sz w:val="24"/>
                <w:szCs w:val="24"/>
                <w:lang w:val="en-US" w:eastAsia="zh-CN" w:bidi="ar"/>
              </w:rPr>
              <w:suppressLineNumbers w:val="0"/>
            </w:pPr>
            <w:r>
              <w:rPr>
                <w:rFonts w:ascii="宋体" w:hAnsi="宋体" w:eastAsia="宋体" w:cs="宋体"/>
                <w:sz w:val="24"/>
                <w:szCs w:val="24"/>
                <w:lang w:val="en-US" w:eastAsia="zh-CN" w:bidi="ar"/>
              </w:rPr>
              <w:t xml:space="preserve">保密工作</w:t>
            </w:r>
            <w:r/>
          </w:p>
        </w:tc>
        <w:tc>
          <w:tcPr>
            <w:tcW w:w="4141" w:type="dxa"/>
            <w:vAlign w:val="center"/>
            <w:textDirection w:val="lrTb"/>
            <w:noWrap w:val="false"/>
          </w:tcPr>
          <w:p>
            <w:pPr>
              <w:jc w:val="left"/>
              <w:keepLines w:val="0"/>
              <w:keepNext w:val="0"/>
              <w:widowControl/>
              <w:rPr>
                <w:rFonts w:ascii="宋体" w:hAnsi="宋体" w:eastAsia="宋体" w:cs="宋体"/>
                <w:sz w:val="24"/>
                <w:szCs w:val="24"/>
                <w:lang w:val="en-US" w:eastAsia="zh-CN" w:bidi="ar"/>
              </w:rPr>
              <w:suppressLineNumbers w:val="0"/>
            </w:pPr>
            <w:r>
              <w:rPr>
                <w:rFonts w:ascii="宋体" w:hAnsi="宋体" w:eastAsia="宋体" w:cs="宋体"/>
                <w:sz w:val="24"/>
                <w:szCs w:val="24"/>
                <w:lang w:val="en-US" w:eastAsia="zh-CN" w:bidi="ar"/>
              </w:rPr>
              <w:t xml:space="preserve">抽检信息保密、数据安全、涉密资料管理</w:t>
            </w:r>
            <w:r/>
          </w:p>
        </w:tc>
        <w:tc>
          <w:tcPr>
            <w:tcW w:w="1950" w:type="dxa"/>
            <w:textDirection w:val="lrTb"/>
            <w:noWrap w:val="false"/>
          </w:tcPr>
          <w:p>
            <w:pPr>
              <w:rPr>
                <w:rFonts w:hint="eastAsia" w:ascii="新宋体" w:hAnsi="新宋体" w:eastAsia="新宋体" w:cs="新宋体"/>
                <w:color w:val="auto"/>
                <w:sz w:val="24"/>
                <w:szCs w:val="24"/>
                <w:highlight w:val="none"/>
                <w:vertAlign w:val="baseline"/>
              </w:rPr>
            </w:pPr>
            <w:r>
              <w:rPr>
                <w:rFonts w:hint="eastAsia" w:ascii="新宋体" w:hAnsi="新宋体" w:eastAsia="新宋体" w:cs="新宋体"/>
                <w:color w:val="auto"/>
                <w:sz w:val="24"/>
                <w:szCs w:val="24"/>
                <w:highlight w:val="none"/>
                <w:vertAlign w:val="baseline"/>
              </w:rPr>
            </w:r>
            <w:r/>
          </w:p>
        </w:tc>
        <w:tc>
          <w:tcPr>
            <w:tcW w:w="937" w:type="dxa"/>
            <w:textDirection w:val="lrTb"/>
            <w:noWrap w:val="false"/>
          </w:tcPr>
          <w:p>
            <w:pPr>
              <w:rPr>
                <w:rFonts w:hint="eastAsia" w:ascii="新宋体" w:hAnsi="新宋体" w:eastAsia="新宋体" w:cs="新宋体"/>
                <w:color w:val="auto"/>
                <w:sz w:val="24"/>
                <w:szCs w:val="24"/>
                <w:highlight w:val="none"/>
                <w:vertAlign w:val="baseline"/>
              </w:rPr>
            </w:pPr>
            <w:r>
              <w:rPr>
                <w:rFonts w:hint="eastAsia" w:ascii="新宋体" w:hAnsi="新宋体" w:eastAsia="新宋体" w:cs="新宋体"/>
                <w:color w:val="auto"/>
                <w:sz w:val="24"/>
                <w:szCs w:val="24"/>
                <w:highlight w:val="none"/>
                <w:vertAlign w:val="baseline"/>
              </w:rPr>
            </w:r>
            <w:r/>
          </w:p>
        </w:tc>
      </w:tr>
      <w:tr>
        <w:trPr/>
        <w:tc>
          <w:tcPr>
            <w:tcW w:w="2265" w:type="dxa"/>
            <w:vAlign w:val="center"/>
            <w:textDirection w:val="lrTb"/>
            <w:noWrap w:val="false"/>
          </w:tcPr>
          <w:p>
            <w:pPr>
              <w:jc w:val="center"/>
              <w:keepLines w:val="0"/>
              <w:keepNext w:val="0"/>
              <w:widowControl/>
              <w:rPr>
                <w:rFonts w:ascii="宋体" w:hAnsi="宋体" w:eastAsia="宋体" w:cs="宋体"/>
                <w:sz w:val="24"/>
                <w:szCs w:val="24"/>
                <w:lang w:val="en-US" w:eastAsia="zh-CN" w:bidi="ar"/>
              </w:rPr>
              <w:suppressLineNumbers w:val="0"/>
            </w:pPr>
            <w:r>
              <w:rPr>
                <w:rFonts w:ascii="宋体" w:hAnsi="宋体" w:eastAsia="宋体" w:cs="宋体"/>
                <w:sz w:val="24"/>
                <w:szCs w:val="24"/>
                <w:lang w:val="en-US" w:eastAsia="zh-CN" w:bidi="ar"/>
              </w:rPr>
              <w:t xml:space="preserve">其他</w:t>
            </w:r>
            <w:r/>
          </w:p>
        </w:tc>
        <w:tc>
          <w:tcPr>
            <w:tcW w:w="4141" w:type="dxa"/>
            <w:vAlign w:val="center"/>
            <w:textDirection w:val="lrTb"/>
            <w:noWrap w:val="false"/>
          </w:tcPr>
          <w:p>
            <w:pPr>
              <w:jc w:val="left"/>
              <w:keepLines w:val="0"/>
              <w:keepNext w:val="0"/>
              <w:widowControl/>
              <w:rPr>
                <w:rFonts w:ascii="宋体" w:hAnsi="宋体" w:eastAsia="宋体" w:cs="宋体"/>
                <w:sz w:val="24"/>
                <w:szCs w:val="24"/>
                <w:lang w:val="en-US" w:eastAsia="zh-CN" w:bidi="ar"/>
              </w:rPr>
              <w:suppressLineNumbers w:val="0"/>
            </w:pPr>
            <w:r>
              <w:rPr>
                <w:rFonts w:ascii="宋体" w:hAnsi="宋体" w:eastAsia="宋体" w:cs="宋体"/>
                <w:sz w:val="24"/>
                <w:szCs w:val="24"/>
                <w:lang w:val="en-US" w:eastAsia="zh-CN" w:bidi="ar"/>
              </w:rPr>
              <w:t xml:space="preserve">采购人要求的其他配合工作</w:t>
            </w:r>
            <w:r/>
          </w:p>
        </w:tc>
        <w:tc>
          <w:tcPr>
            <w:tcW w:w="1950" w:type="dxa"/>
            <w:textDirection w:val="lrTb"/>
            <w:noWrap w:val="false"/>
          </w:tcPr>
          <w:p>
            <w:pPr>
              <w:rPr>
                <w:rFonts w:hint="eastAsia" w:ascii="新宋体" w:hAnsi="新宋体" w:eastAsia="新宋体" w:cs="新宋体"/>
                <w:color w:val="auto"/>
                <w:sz w:val="24"/>
                <w:szCs w:val="24"/>
                <w:highlight w:val="none"/>
                <w:vertAlign w:val="baseline"/>
              </w:rPr>
            </w:pPr>
            <w:r>
              <w:rPr>
                <w:rFonts w:hint="eastAsia" w:ascii="新宋体" w:hAnsi="新宋体" w:eastAsia="新宋体" w:cs="新宋体"/>
                <w:color w:val="auto"/>
                <w:sz w:val="24"/>
                <w:szCs w:val="24"/>
                <w:highlight w:val="none"/>
                <w:vertAlign w:val="baseline"/>
              </w:rPr>
            </w:r>
            <w:r/>
          </w:p>
        </w:tc>
        <w:tc>
          <w:tcPr>
            <w:tcW w:w="937" w:type="dxa"/>
            <w:textDirection w:val="lrTb"/>
            <w:noWrap w:val="false"/>
          </w:tcPr>
          <w:p>
            <w:pPr>
              <w:rPr>
                <w:rFonts w:hint="eastAsia" w:ascii="新宋体" w:hAnsi="新宋体" w:eastAsia="新宋体" w:cs="新宋体"/>
                <w:color w:val="auto"/>
                <w:sz w:val="24"/>
                <w:szCs w:val="24"/>
                <w:highlight w:val="none"/>
                <w:vertAlign w:val="baseline"/>
              </w:rPr>
            </w:pPr>
            <w:r>
              <w:rPr>
                <w:rFonts w:hint="eastAsia" w:ascii="新宋体" w:hAnsi="新宋体" w:eastAsia="新宋体" w:cs="新宋体"/>
                <w:color w:val="auto"/>
                <w:sz w:val="24"/>
                <w:szCs w:val="24"/>
                <w:highlight w:val="none"/>
                <w:vertAlign w:val="baseline"/>
              </w:rPr>
            </w:r>
            <w:r/>
          </w:p>
        </w:tc>
      </w:tr>
    </w:tbl>
    <w:p>
      <w:pPr>
        <w:pStyle w:val="705"/>
        <w:ind w:left="0" w:right="0" w:firstLine="482"/>
        <w:keepLines w:val="0"/>
        <w:keepNext w:val="0"/>
        <w:pageBreakBefore w:val="0"/>
        <w:spacing w:before="181" w:beforeAutospacing="0" w:after="0" w:afterAutospacing="0" w:line="360" w:lineRule="auto"/>
        <w:widowControl/>
        <w:rPr>
          <w:rFonts w:hint="eastAsia" w:ascii="新宋体" w:hAnsi="新宋体" w:eastAsia="新宋体" w:cs="新宋体"/>
          <w:color w:val="0000ff"/>
          <w:sz w:val="24"/>
          <w:szCs w:val="24"/>
          <w:highlight w:val="none"/>
        </w:rPr>
        <w:suppressLineNumbers w:val="0"/>
      </w:pPr>
      <w:r>
        <w:rPr>
          <w:rStyle w:val="710"/>
          <w:rFonts w:hint="eastAsia" w:ascii="宋体" w:hAnsi="宋体" w:eastAsia="宋体" w:cs="宋体"/>
          <w:color w:val="0000ff"/>
          <w:sz w:val="24"/>
          <w:szCs w:val="24"/>
        </w:rPr>
        <w:t xml:space="preserve">特别说明：</w:t>
      </w:r>
      <w:r>
        <w:rPr>
          <w:rFonts w:hint="eastAsia" w:ascii="宋体" w:hAnsi="宋体" w:eastAsia="宋体" w:cs="宋体"/>
          <w:color w:val="0000ff"/>
          <w:sz w:val="24"/>
          <w:szCs w:val="24"/>
        </w:rPr>
        <w:t xml:space="preserve"> 承担检测工作的联合体成员，其CMA资质认定范围必须覆盖自身分工内全部检测参数，不得超出资质范围开展检测；不得将自身分工内的检测工作转交第三方机构完成。</w:t>
      </w:r>
      <w:r/>
    </w:p>
    <w:p>
      <w:pPr>
        <w:ind w:left="0" w:right="0" w:firstLine="482"/>
        <w:keepLines w:val="0"/>
        <w:keepNext w:val="0"/>
        <w:pageBreakBefore w:val="0"/>
        <w:spacing w:beforeAutospacing="0" w:afterAutospacing="0" w:line="360" w:lineRule="auto"/>
        <w:rPr>
          <w:rFonts w:hint="default" w:ascii="新宋体" w:hAnsi="新宋体" w:eastAsia="新宋体" w:cs="新宋体"/>
          <w:b/>
          <w:bCs/>
          <w:color w:val="auto"/>
          <w:sz w:val="24"/>
          <w:szCs w:val="24"/>
          <w:highlight w:val="none"/>
          <w:lang w:val="en-US" w:eastAsia="zh-CN"/>
        </w:rPr>
        <w:outlineLvl w:val="9"/>
      </w:pPr>
      <w:r>
        <w:rPr>
          <w:rFonts w:hint="eastAsia" w:ascii="新宋体" w:hAnsi="新宋体" w:eastAsia="新宋体" w:cs="新宋体"/>
          <w:b/>
          <w:bCs/>
          <w:color w:val="auto"/>
          <w:sz w:val="24"/>
          <w:szCs w:val="24"/>
          <w:highlight w:val="none"/>
          <w:lang w:val="en-US" w:eastAsia="zh-CN"/>
        </w:rPr>
        <w:t xml:space="preserve">第五条 项目团队人员归属</w:t>
      </w:r>
      <w:r/>
    </w:p>
    <w:p>
      <w:pPr>
        <w:numPr>
          <w:ilvl w:val="0"/>
          <w:numId w:val="0"/>
        </w:numPr>
        <w:ind w:left="0" w:right="0" w:firstLine="480"/>
        <w:keepLines w:val="0"/>
        <w:keepNext w:val="0"/>
        <w:pageBreakBefore w:val="0"/>
        <w:spacing w:beforeAutospacing="0" w:afterAutospacing="0" w:line="360" w:lineRule="auto"/>
        <w:widowControl/>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lang w:val="en-US" w:eastAsia="zh-CN" w:bidi="ar-SA"/>
        </w:rPr>
        <w:t xml:space="preserve">本项目拟投入的项目负责人、抽样人员、检验人员等团队成员，分别归属联合体各方如下：</w:t>
      </w:r>
      <w:r/>
    </w:p>
    <w:tbl>
      <w:tblPr>
        <w:tblStyle w:val="70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812"/>
        <w:gridCol w:w="1812"/>
        <w:gridCol w:w="1812"/>
        <w:gridCol w:w="1813"/>
        <w:gridCol w:w="1813"/>
      </w:tblGrid>
      <w:tr>
        <w:trPr/>
        <w:tc>
          <w:tcPr>
            <w:tcW w:w="1814" w:type="dxa"/>
            <w:textDirection w:val="lrTb"/>
            <w:noWrap w:val="false"/>
          </w:tcPr>
          <w:p>
            <w:pPr>
              <w:jc w:val="center"/>
              <w:rPr>
                <w:rFonts w:hint="eastAsia" w:ascii="新宋体" w:hAnsi="新宋体" w:eastAsia="新宋体" w:cs="新宋体"/>
                <w:b/>
                <w:bCs/>
                <w:color w:val="auto"/>
                <w:sz w:val="24"/>
                <w:szCs w:val="24"/>
                <w:highlight w:val="none"/>
                <w:vertAlign w:val="baseline"/>
                <w:lang w:val="en-US" w:eastAsia="zh-CN"/>
              </w:rPr>
            </w:pPr>
            <w:r>
              <w:rPr>
                <w:rFonts w:hint="eastAsia" w:ascii="新宋体" w:hAnsi="新宋体" w:eastAsia="新宋体" w:cs="新宋体"/>
                <w:b/>
                <w:bCs/>
                <w:color w:val="auto"/>
                <w:sz w:val="24"/>
                <w:szCs w:val="24"/>
                <w:highlight w:val="none"/>
                <w:vertAlign w:val="baseline"/>
                <w:lang w:val="en-US" w:eastAsia="zh-CN"/>
              </w:rPr>
              <w:t xml:space="preserve">岗位</w:t>
            </w:r>
            <w:r/>
          </w:p>
        </w:tc>
        <w:tc>
          <w:tcPr>
            <w:tcW w:w="1814" w:type="dxa"/>
            <w:textDirection w:val="lrTb"/>
            <w:noWrap w:val="false"/>
          </w:tcPr>
          <w:p>
            <w:pPr>
              <w:jc w:val="center"/>
              <w:rPr>
                <w:rFonts w:hint="eastAsia" w:ascii="新宋体" w:hAnsi="新宋体" w:eastAsia="新宋体" w:cs="新宋体"/>
                <w:b/>
                <w:bCs/>
                <w:color w:val="auto"/>
                <w:sz w:val="24"/>
                <w:szCs w:val="24"/>
                <w:highlight w:val="none"/>
                <w:vertAlign w:val="baseline"/>
                <w:lang w:val="en-US" w:eastAsia="zh-CN"/>
              </w:rPr>
            </w:pPr>
            <w:r>
              <w:rPr>
                <w:rFonts w:hint="eastAsia" w:ascii="新宋体" w:hAnsi="新宋体" w:eastAsia="新宋体" w:cs="新宋体"/>
                <w:b/>
                <w:bCs/>
                <w:color w:val="auto"/>
                <w:sz w:val="24"/>
                <w:szCs w:val="24"/>
                <w:highlight w:val="none"/>
                <w:vertAlign w:val="baseline"/>
                <w:lang w:val="en-US" w:eastAsia="zh-CN"/>
              </w:rPr>
              <w:t xml:space="preserve">姓名</w:t>
            </w:r>
            <w:r/>
          </w:p>
        </w:tc>
        <w:tc>
          <w:tcPr>
            <w:tcW w:w="1814" w:type="dxa"/>
            <w:textDirection w:val="lrTb"/>
            <w:noWrap w:val="false"/>
          </w:tcPr>
          <w:p>
            <w:pPr>
              <w:jc w:val="center"/>
              <w:rPr>
                <w:rFonts w:hint="default" w:ascii="新宋体" w:hAnsi="新宋体" w:eastAsia="新宋体" w:cs="新宋体"/>
                <w:b/>
                <w:bCs/>
                <w:color w:val="auto"/>
                <w:sz w:val="24"/>
                <w:szCs w:val="24"/>
                <w:highlight w:val="none"/>
                <w:vertAlign w:val="baseline"/>
                <w:lang w:val="en-US" w:eastAsia="zh-CN"/>
              </w:rPr>
            </w:pPr>
            <w:r>
              <w:rPr>
                <w:rFonts w:hint="eastAsia" w:ascii="新宋体" w:hAnsi="新宋体" w:eastAsia="新宋体" w:cs="新宋体"/>
                <w:b/>
                <w:bCs/>
                <w:color w:val="auto"/>
                <w:sz w:val="24"/>
                <w:szCs w:val="24"/>
                <w:highlight w:val="none"/>
                <w:vertAlign w:val="baseline"/>
                <w:lang w:val="en-US" w:eastAsia="zh-CN"/>
              </w:rPr>
              <w:t xml:space="preserve">所属单位</w:t>
            </w:r>
            <w:r/>
          </w:p>
        </w:tc>
        <w:tc>
          <w:tcPr>
            <w:tcW w:w="1815" w:type="dxa"/>
            <w:textDirection w:val="lrTb"/>
            <w:noWrap w:val="false"/>
          </w:tcPr>
          <w:p>
            <w:pPr>
              <w:jc w:val="center"/>
              <w:rPr>
                <w:rFonts w:hint="default" w:ascii="新宋体" w:hAnsi="新宋体" w:eastAsia="新宋体" w:cs="新宋体"/>
                <w:b/>
                <w:bCs/>
                <w:color w:val="auto"/>
                <w:sz w:val="24"/>
                <w:szCs w:val="24"/>
                <w:highlight w:val="none"/>
                <w:vertAlign w:val="baseline"/>
                <w:lang w:val="en-US" w:eastAsia="zh-CN"/>
              </w:rPr>
            </w:pPr>
            <w:r>
              <w:rPr>
                <w:rFonts w:hint="eastAsia" w:ascii="新宋体" w:hAnsi="新宋体" w:eastAsia="新宋体" w:cs="新宋体"/>
                <w:b/>
                <w:bCs/>
                <w:color w:val="auto"/>
                <w:sz w:val="24"/>
                <w:szCs w:val="24"/>
                <w:highlight w:val="none"/>
                <w:vertAlign w:val="baseline"/>
                <w:lang w:val="en-US" w:eastAsia="zh-CN"/>
              </w:rPr>
              <w:t xml:space="preserve">社保缴纳单位</w:t>
            </w:r>
            <w:r/>
          </w:p>
        </w:tc>
        <w:tc>
          <w:tcPr>
            <w:tcW w:w="1815" w:type="dxa"/>
            <w:textDirection w:val="lrTb"/>
            <w:noWrap w:val="false"/>
          </w:tcPr>
          <w:p>
            <w:pPr>
              <w:jc w:val="center"/>
              <w:rPr>
                <w:rFonts w:hint="default" w:ascii="新宋体" w:hAnsi="新宋体" w:eastAsia="新宋体" w:cs="新宋体"/>
                <w:b/>
                <w:bCs/>
                <w:color w:val="auto"/>
                <w:sz w:val="24"/>
                <w:szCs w:val="24"/>
                <w:highlight w:val="none"/>
                <w:vertAlign w:val="baseline"/>
                <w:lang w:val="en-US" w:eastAsia="zh-CN"/>
              </w:rPr>
            </w:pPr>
            <w:r>
              <w:rPr>
                <w:rFonts w:hint="eastAsia" w:ascii="新宋体" w:hAnsi="新宋体" w:eastAsia="新宋体" w:cs="新宋体"/>
                <w:b/>
                <w:bCs/>
                <w:color w:val="auto"/>
                <w:sz w:val="24"/>
                <w:szCs w:val="24"/>
                <w:highlight w:val="none"/>
                <w:vertAlign w:val="baseline"/>
                <w:lang w:val="en-US" w:eastAsia="zh-CN"/>
              </w:rPr>
              <w:t xml:space="preserve">主要职责</w:t>
            </w:r>
            <w:r/>
          </w:p>
        </w:tc>
      </w:tr>
      <w:tr>
        <w:trPr/>
        <w:tc>
          <w:tcPr>
            <w:tcW w:w="1814" w:type="dxa"/>
            <w:textDirection w:val="lrTb"/>
            <w:noWrap w:val="false"/>
          </w:tcPr>
          <w:p>
            <w:pPr>
              <w:jc w:val="center"/>
              <w:rPr>
                <w:rFonts w:hint="default" w:ascii="新宋体" w:hAnsi="新宋体" w:eastAsia="新宋体" w:cs="新宋体"/>
                <w:b/>
                <w:bCs/>
                <w:color w:val="auto"/>
                <w:sz w:val="24"/>
                <w:szCs w:val="24"/>
                <w:highlight w:val="none"/>
                <w:vertAlign w:val="baseline"/>
                <w:lang w:val="en-US" w:eastAsia="zh-CN"/>
              </w:rPr>
            </w:pPr>
            <w:r>
              <w:rPr>
                <w:rFonts w:hint="eastAsia" w:ascii="新宋体" w:hAnsi="新宋体" w:eastAsia="新宋体" w:cs="新宋体"/>
                <w:b/>
                <w:bCs/>
                <w:color w:val="auto"/>
                <w:sz w:val="24"/>
                <w:szCs w:val="24"/>
                <w:highlight w:val="none"/>
                <w:vertAlign w:val="baseline"/>
                <w:lang w:val="en-US" w:eastAsia="zh-CN"/>
              </w:rPr>
              <w:t xml:space="preserve">项目负责人</w:t>
            </w:r>
            <w:r/>
          </w:p>
        </w:tc>
        <w:tc>
          <w:tcPr>
            <w:tcW w:w="1814" w:type="dxa"/>
            <w:textDirection w:val="lrTb"/>
            <w:noWrap w:val="false"/>
          </w:tcPr>
          <w:p>
            <w:pPr>
              <w:jc w:val="center"/>
              <w:rPr>
                <w:rFonts w:hint="eastAsia" w:ascii="新宋体" w:hAnsi="新宋体" w:eastAsia="新宋体" w:cs="新宋体"/>
                <w:b/>
                <w:bCs/>
                <w:color w:val="auto"/>
                <w:sz w:val="24"/>
                <w:szCs w:val="24"/>
                <w:highlight w:val="none"/>
                <w:vertAlign w:val="baseline"/>
              </w:rPr>
            </w:pPr>
            <w:r>
              <w:rPr>
                <w:rFonts w:hint="eastAsia" w:ascii="新宋体" w:hAnsi="新宋体" w:eastAsia="新宋体" w:cs="新宋体"/>
                <w:b/>
                <w:bCs/>
                <w:color w:val="auto"/>
                <w:sz w:val="24"/>
                <w:szCs w:val="24"/>
                <w:highlight w:val="none"/>
                <w:vertAlign w:val="baseline"/>
              </w:rPr>
            </w:r>
            <w:r/>
          </w:p>
        </w:tc>
        <w:tc>
          <w:tcPr>
            <w:tcW w:w="1814" w:type="dxa"/>
            <w:textDirection w:val="lrTb"/>
            <w:noWrap w:val="false"/>
          </w:tcPr>
          <w:p>
            <w:pPr>
              <w:jc w:val="center"/>
              <w:rPr>
                <w:rFonts w:hint="eastAsia" w:ascii="新宋体" w:hAnsi="新宋体" w:eastAsia="新宋体" w:cs="新宋体"/>
                <w:b/>
                <w:bCs/>
                <w:color w:val="auto"/>
                <w:sz w:val="24"/>
                <w:szCs w:val="24"/>
                <w:highlight w:val="none"/>
                <w:vertAlign w:val="baseline"/>
              </w:rPr>
            </w:pPr>
            <w:r>
              <w:rPr>
                <w:rFonts w:hint="eastAsia" w:ascii="新宋体" w:hAnsi="新宋体" w:eastAsia="新宋体" w:cs="新宋体"/>
                <w:b/>
                <w:bCs/>
                <w:color w:val="auto"/>
                <w:sz w:val="24"/>
                <w:szCs w:val="24"/>
                <w:highlight w:val="none"/>
                <w:vertAlign w:val="baseline"/>
              </w:rPr>
            </w:r>
            <w:r/>
          </w:p>
        </w:tc>
        <w:tc>
          <w:tcPr>
            <w:tcW w:w="1815" w:type="dxa"/>
            <w:textDirection w:val="lrTb"/>
            <w:noWrap w:val="false"/>
          </w:tcPr>
          <w:p>
            <w:pPr>
              <w:jc w:val="center"/>
              <w:rPr>
                <w:rFonts w:hint="eastAsia" w:ascii="新宋体" w:hAnsi="新宋体" w:eastAsia="新宋体" w:cs="新宋体"/>
                <w:b/>
                <w:bCs/>
                <w:color w:val="auto"/>
                <w:sz w:val="24"/>
                <w:szCs w:val="24"/>
                <w:highlight w:val="none"/>
                <w:vertAlign w:val="baseline"/>
              </w:rPr>
            </w:pPr>
            <w:r>
              <w:rPr>
                <w:rFonts w:hint="eastAsia" w:ascii="新宋体" w:hAnsi="新宋体" w:eastAsia="新宋体" w:cs="新宋体"/>
                <w:b/>
                <w:bCs/>
                <w:color w:val="auto"/>
                <w:sz w:val="24"/>
                <w:szCs w:val="24"/>
                <w:highlight w:val="none"/>
                <w:vertAlign w:val="baseline"/>
              </w:rPr>
            </w:r>
            <w:r/>
          </w:p>
        </w:tc>
        <w:tc>
          <w:tcPr>
            <w:tcW w:w="1815" w:type="dxa"/>
            <w:textDirection w:val="lrTb"/>
            <w:noWrap w:val="false"/>
          </w:tcPr>
          <w:p>
            <w:pPr>
              <w:jc w:val="center"/>
              <w:rPr>
                <w:rFonts w:hint="eastAsia" w:ascii="新宋体" w:hAnsi="新宋体" w:eastAsia="新宋体" w:cs="新宋体"/>
                <w:b/>
                <w:bCs/>
                <w:color w:val="auto"/>
                <w:sz w:val="24"/>
                <w:szCs w:val="24"/>
                <w:highlight w:val="none"/>
                <w:vertAlign w:val="baseline"/>
              </w:rPr>
            </w:pPr>
            <w:r>
              <w:rPr>
                <w:rFonts w:hint="eastAsia" w:ascii="新宋体" w:hAnsi="新宋体" w:eastAsia="新宋体" w:cs="新宋体"/>
                <w:b/>
                <w:bCs/>
                <w:color w:val="auto"/>
                <w:sz w:val="24"/>
                <w:szCs w:val="24"/>
                <w:highlight w:val="none"/>
                <w:vertAlign w:val="baseline"/>
              </w:rPr>
            </w:r>
            <w:r/>
          </w:p>
        </w:tc>
      </w:tr>
      <w:tr>
        <w:trPr/>
        <w:tc>
          <w:tcPr>
            <w:tcW w:w="1814" w:type="dxa"/>
            <w:textDirection w:val="lrTb"/>
            <w:noWrap w:val="false"/>
          </w:tcPr>
          <w:p>
            <w:pPr>
              <w:jc w:val="center"/>
              <w:rPr>
                <w:rFonts w:hint="default" w:ascii="新宋体" w:hAnsi="新宋体" w:eastAsia="新宋体" w:cs="新宋体"/>
                <w:b/>
                <w:bCs/>
                <w:color w:val="auto"/>
                <w:sz w:val="24"/>
                <w:szCs w:val="24"/>
                <w:highlight w:val="none"/>
                <w:vertAlign w:val="baseline"/>
                <w:lang w:val="en-US" w:eastAsia="zh-CN"/>
              </w:rPr>
            </w:pPr>
            <w:r>
              <w:rPr>
                <w:rFonts w:hint="eastAsia" w:ascii="新宋体" w:hAnsi="新宋体" w:eastAsia="新宋体" w:cs="新宋体"/>
                <w:b/>
                <w:bCs/>
                <w:color w:val="auto"/>
                <w:sz w:val="24"/>
                <w:szCs w:val="24"/>
                <w:highlight w:val="none"/>
                <w:vertAlign w:val="baseline"/>
                <w:lang w:val="en-US" w:eastAsia="zh-CN"/>
              </w:rPr>
              <w:t xml:space="preserve">抽样人员</w:t>
            </w:r>
            <w:r/>
          </w:p>
        </w:tc>
        <w:tc>
          <w:tcPr>
            <w:tcW w:w="1814" w:type="dxa"/>
            <w:textDirection w:val="lrTb"/>
            <w:noWrap w:val="false"/>
          </w:tcPr>
          <w:p>
            <w:pPr>
              <w:jc w:val="center"/>
              <w:rPr>
                <w:rFonts w:hint="eastAsia" w:ascii="新宋体" w:hAnsi="新宋体" w:eastAsia="新宋体" w:cs="新宋体"/>
                <w:b/>
                <w:bCs/>
                <w:color w:val="auto"/>
                <w:sz w:val="24"/>
                <w:szCs w:val="24"/>
                <w:highlight w:val="none"/>
                <w:vertAlign w:val="baseline"/>
              </w:rPr>
            </w:pPr>
            <w:r>
              <w:rPr>
                <w:rFonts w:hint="eastAsia" w:ascii="新宋体" w:hAnsi="新宋体" w:eastAsia="新宋体" w:cs="新宋体"/>
                <w:b/>
                <w:bCs/>
                <w:color w:val="auto"/>
                <w:sz w:val="24"/>
                <w:szCs w:val="24"/>
                <w:highlight w:val="none"/>
                <w:vertAlign w:val="baseline"/>
              </w:rPr>
            </w:r>
            <w:r/>
          </w:p>
        </w:tc>
        <w:tc>
          <w:tcPr>
            <w:tcW w:w="1814" w:type="dxa"/>
            <w:textDirection w:val="lrTb"/>
            <w:noWrap w:val="false"/>
          </w:tcPr>
          <w:p>
            <w:pPr>
              <w:jc w:val="center"/>
              <w:rPr>
                <w:rFonts w:hint="eastAsia" w:ascii="新宋体" w:hAnsi="新宋体" w:eastAsia="新宋体" w:cs="新宋体"/>
                <w:b/>
                <w:bCs/>
                <w:color w:val="auto"/>
                <w:sz w:val="24"/>
                <w:szCs w:val="24"/>
                <w:highlight w:val="none"/>
                <w:vertAlign w:val="baseline"/>
              </w:rPr>
            </w:pPr>
            <w:r>
              <w:rPr>
                <w:rFonts w:hint="eastAsia" w:ascii="新宋体" w:hAnsi="新宋体" w:eastAsia="新宋体" w:cs="新宋体"/>
                <w:b/>
                <w:bCs/>
                <w:color w:val="auto"/>
                <w:sz w:val="24"/>
                <w:szCs w:val="24"/>
                <w:highlight w:val="none"/>
                <w:vertAlign w:val="baseline"/>
              </w:rPr>
            </w:r>
            <w:r/>
          </w:p>
        </w:tc>
        <w:tc>
          <w:tcPr>
            <w:tcW w:w="1815" w:type="dxa"/>
            <w:textDirection w:val="lrTb"/>
            <w:noWrap w:val="false"/>
          </w:tcPr>
          <w:p>
            <w:pPr>
              <w:jc w:val="center"/>
              <w:rPr>
                <w:rFonts w:hint="eastAsia" w:ascii="新宋体" w:hAnsi="新宋体" w:eastAsia="新宋体" w:cs="新宋体"/>
                <w:b/>
                <w:bCs/>
                <w:color w:val="auto"/>
                <w:sz w:val="24"/>
                <w:szCs w:val="24"/>
                <w:highlight w:val="none"/>
                <w:vertAlign w:val="baseline"/>
              </w:rPr>
            </w:pPr>
            <w:r>
              <w:rPr>
                <w:rFonts w:hint="eastAsia" w:ascii="新宋体" w:hAnsi="新宋体" w:eastAsia="新宋体" w:cs="新宋体"/>
                <w:b/>
                <w:bCs/>
                <w:color w:val="auto"/>
                <w:sz w:val="24"/>
                <w:szCs w:val="24"/>
                <w:highlight w:val="none"/>
                <w:vertAlign w:val="baseline"/>
              </w:rPr>
            </w:r>
            <w:r/>
          </w:p>
        </w:tc>
        <w:tc>
          <w:tcPr>
            <w:tcW w:w="1815" w:type="dxa"/>
            <w:textDirection w:val="lrTb"/>
            <w:noWrap w:val="false"/>
          </w:tcPr>
          <w:p>
            <w:pPr>
              <w:jc w:val="center"/>
              <w:rPr>
                <w:rFonts w:hint="eastAsia" w:ascii="新宋体" w:hAnsi="新宋体" w:eastAsia="新宋体" w:cs="新宋体"/>
                <w:b/>
                <w:bCs/>
                <w:color w:val="auto"/>
                <w:sz w:val="24"/>
                <w:szCs w:val="24"/>
                <w:highlight w:val="none"/>
                <w:vertAlign w:val="baseline"/>
              </w:rPr>
            </w:pPr>
            <w:r>
              <w:rPr>
                <w:rFonts w:hint="eastAsia" w:ascii="新宋体" w:hAnsi="新宋体" w:eastAsia="新宋体" w:cs="新宋体"/>
                <w:b/>
                <w:bCs/>
                <w:color w:val="auto"/>
                <w:sz w:val="24"/>
                <w:szCs w:val="24"/>
                <w:highlight w:val="none"/>
                <w:vertAlign w:val="baseline"/>
              </w:rPr>
            </w:r>
            <w:r/>
          </w:p>
        </w:tc>
      </w:tr>
      <w:tr>
        <w:trPr/>
        <w:tc>
          <w:tcPr>
            <w:tcW w:w="1814" w:type="dxa"/>
            <w:textDirection w:val="lrTb"/>
            <w:noWrap w:val="false"/>
          </w:tcPr>
          <w:p>
            <w:pPr>
              <w:jc w:val="center"/>
              <w:rPr>
                <w:rFonts w:hint="default" w:ascii="新宋体" w:hAnsi="新宋体" w:eastAsia="新宋体" w:cs="新宋体"/>
                <w:b/>
                <w:bCs/>
                <w:color w:val="auto"/>
                <w:sz w:val="24"/>
                <w:szCs w:val="24"/>
                <w:highlight w:val="none"/>
                <w:vertAlign w:val="baseline"/>
                <w:lang w:val="en-US" w:eastAsia="zh-CN"/>
              </w:rPr>
            </w:pPr>
            <w:r>
              <w:rPr>
                <w:rFonts w:hint="eastAsia" w:ascii="新宋体" w:hAnsi="新宋体" w:eastAsia="新宋体" w:cs="新宋体"/>
                <w:b/>
                <w:bCs/>
                <w:color w:val="auto"/>
                <w:sz w:val="24"/>
                <w:szCs w:val="24"/>
                <w:highlight w:val="none"/>
                <w:vertAlign w:val="baseline"/>
                <w:lang w:val="en-US" w:eastAsia="zh-CN"/>
              </w:rPr>
              <w:t xml:space="preserve">检验人员</w:t>
            </w:r>
            <w:r/>
          </w:p>
        </w:tc>
        <w:tc>
          <w:tcPr>
            <w:tcW w:w="1814" w:type="dxa"/>
            <w:textDirection w:val="lrTb"/>
            <w:noWrap w:val="false"/>
          </w:tcPr>
          <w:p>
            <w:pPr>
              <w:jc w:val="center"/>
              <w:rPr>
                <w:rFonts w:hint="eastAsia" w:ascii="新宋体" w:hAnsi="新宋体" w:eastAsia="新宋体" w:cs="新宋体"/>
                <w:b/>
                <w:bCs/>
                <w:color w:val="auto"/>
                <w:sz w:val="24"/>
                <w:szCs w:val="24"/>
                <w:highlight w:val="none"/>
                <w:vertAlign w:val="baseline"/>
              </w:rPr>
            </w:pPr>
            <w:r>
              <w:rPr>
                <w:rFonts w:hint="eastAsia" w:ascii="新宋体" w:hAnsi="新宋体" w:eastAsia="新宋体" w:cs="新宋体"/>
                <w:b/>
                <w:bCs/>
                <w:color w:val="auto"/>
                <w:sz w:val="24"/>
                <w:szCs w:val="24"/>
                <w:highlight w:val="none"/>
                <w:vertAlign w:val="baseline"/>
              </w:rPr>
            </w:r>
            <w:r/>
          </w:p>
        </w:tc>
        <w:tc>
          <w:tcPr>
            <w:tcW w:w="1814" w:type="dxa"/>
            <w:textDirection w:val="lrTb"/>
            <w:noWrap w:val="false"/>
          </w:tcPr>
          <w:p>
            <w:pPr>
              <w:jc w:val="center"/>
              <w:rPr>
                <w:rFonts w:hint="eastAsia" w:ascii="新宋体" w:hAnsi="新宋体" w:eastAsia="新宋体" w:cs="新宋体"/>
                <w:b/>
                <w:bCs/>
                <w:color w:val="auto"/>
                <w:sz w:val="24"/>
                <w:szCs w:val="24"/>
                <w:highlight w:val="none"/>
                <w:vertAlign w:val="baseline"/>
              </w:rPr>
            </w:pPr>
            <w:r>
              <w:rPr>
                <w:rFonts w:hint="eastAsia" w:ascii="新宋体" w:hAnsi="新宋体" w:eastAsia="新宋体" w:cs="新宋体"/>
                <w:b/>
                <w:bCs/>
                <w:color w:val="auto"/>
                <w:sz w:val="24"/>
                <w:szCs w:val="24"/>
                <w:highlight w:val="none"/>
                <w:vertAlign w:val="baseline"/>
              </w:rPr>
            </w:r>
            <w:r/>
          </w:p>
        </w:tc>
        <w:tc>
          <w:tcPr>
            <w:tcW w:w="1815" w:type="dxa"/>
            <w:textDirection w:val="lrTb"/>
            <w:noWrap w:val="false"/>
          </w:tcPr>
          <w:p>
            <w:pPr>
              <w:jc w:val="center"/>
              <w:rPr>
                <w:rFonts w:hint="eastAsia" w:ascii="新宋体" w:hAnsi="新宋体" w:eastAsia="新宋体" w:cs="新宋体"/>
                <w:b/>
                <w:bCs/>
                <w:color w:val="auto"/>
                <w:sz w:val="24"/>
                <w:szCs w:val="24"/>
                <w:highlight w:val="none"/>
                <w:vertAlign w:val="baseline"/>
              </w:rPr>
            </w:pPr>
            <w:r>
              <w:rPr>
                <w:rFonts w:hint="eastAsia" w:ascii="新宋体" w:hAnsi="新宋体" w:eastAsia="新宋体" w:cs="新宋体"/>
                <w:b/>
                <w:bCs/>
                <w:color w:val="auto"/>
                <w:sz w:val="24"/>
                <w:szCs w:val="24"/>
                <w:highlight w:val="none"/>
                <w:vertAlign w:val="baseline"/>
              </w:rPr>
            </w:r>
            <w:r/>
          </w:p>
        </w:tc>
        <w:tc>
          <w:tcPr>
            <w:tcW w:w="1815" w:type="dxa"/>
            <w:textDirection w:val="lrTb"/>
            <w:noWrap w:val="false"/>
          </w:tcPr>
          <w:p>
            <w:pPr>
              <w:jc w:val="center"/>
              <w:rPr>
                <w:rFonts w:hint="eastAsia" w:ascii="新宋体" w:hAnsi="新宋体" w:eastAsia="新宋体" w:cs="新宋体"/>
                <w:b/>
                <w:bCs/>
                <w:color w:val="auto"/>
                <w:sz w:val="24"/>
                <w:szCs w:val="24"/>
                <w:highlight w:val="none"/>
                <w:vertAlign w:val="baseline"/>
              </w:rPr>
            </w:pPr>
            <w:r>
              <w:rPr>
                <w:rFonts w:hint="eastAsia" w:ascii="新宋体" w:hAnsi="新宋体" w:eastAsia="新宋体" w:cs="新宋体"/>
                <w:b/>
                <w:bCs/>
                <w:color w:val="auto"/>
                <w:sz w:val="24"/>
                <w:szCs w:val="24"/>
                <w:highlight w:val="none"/>
                <w:vertAlign w:val="baseline"/>
              </w:rPr>
            </w:r>
            <w:r/>
          </w:p>
        </w:tc>
      </w:tr>
      <w:tr>
        <w:trPr/>
        <w:tc>
          <w:tcPr>
            <w:tcW w:w="1814" w:type="dxa"/>
            <w:textDirection w:val="lrTb"/>
            <w:noWrap w:val="false"/>
          </w:tcPr>
          <w:p>
            <w:pPr>
              <w:jc w:val="center"/>
              <w:rPr>
                <w:rFonts w:hint="default" w:ascii="新宋体" w:hAnsi="新宋体" w:eastAsia="新宋体" w:cs="新宋体"/>
                <w:b/>
                <w:bCs/>
                <w:color w:val="auto"/>
                <w:sz w:val="24"/>
                <w:szCs w:val="24"/>
                <w:highlight w:val="none"/>
                <w:vertAlign w:val="baseline"/>
                <w:lang w:val="en-US" w:eastAsia="zh-CN"/>
              </w:rPr>
            </w:pPr>
            <w:r>
              <w:rPr>
                <w:rFonts w:hint="eastAsia" w:ascii="新宋体" w:hAnsi="新宋体" w:eastAsia="新宋体" w:cs="新宋体"/>
                <w:b/>
                <w:bCs/>
                <w:color w:val="auto"/>
                <w:sz w:val="24"/>
                <w:szCs w:val="24"/>
                <w:highlight w:val="none"/>
                <w:vertAlign w:val="baseline"/>
                <w:lang w:val="en-US" w:eastAsia="zh-CN"/>
              </w:rPr>
              <w:t xml:space="preserve">.....</w:t>
            </w:r>
            <w:r/>
          </w:p>
        </w:tc>
        <w:tc>
          <w:tcPr>
            <w:tcW w:w="1814" w:type="dxa"/>
            <w:textDirection w:val="lrTb"/>
            <w:noWrap w:val="false"/>
          </w:tcPr>
          <w:p>
            <w:pPr>
              <w:jc w:val="center"/>
              <w:rPr>
                <w:rFonts w:hint="eastAsia" w:ascii="新宋体" w:hAnsi="新宋体" w:eastAsia="新宋体" w:cs="新宋体"/>
                <w:b/>
                <w:bCs/>
                <w:color w:val="auto"/>
                <w:sz w:val="24"/>
                <w:szCs w:val="24"/>
                <w:highlight w:val="none"/>
                <w:vertAlign w:val="baseline"/>
              </w:rPr>
            </w:pPr>
            <w:r>
              <w:rPr>
                <w:rFonts w:hint="eastAsia" w:ascii="新宋体" w:hAnsi="新宋体" w:eastAsia="新宋体" w:cs="新宋体"/>
                <w:b/>
                <w:bCs/>
                <w:color w:val="auto"/>
                <w:sz w:val="24"/>
                <w:szCs w:val="24"/>
                <w:highlight w:val="none"/>
                <w:vertAlign w:val="baseline"/>
              </w:rPr>
            </w:r>
            <w:r/>
          </w:p>
        </w:tc>
        <w:tc>
          <w:tcPr>
            <w:tcW w:w="1814" w:type="dxa"/>
            <w:textDirection w:val="lrTb"/>
            <w:noWrap w:val="false"/>
          </w:tcPr>
          <w:p>
            <w:pPr>
              <w:jc w:val="center"/>
              <w:rPr>
                <w:rFonts w:hint="eastAsia" w:ascii="新宋体" w:hAnsi="新宋体" w:eastAsia="新宋体" w:cs="新宋体"/>
                <w:b/>
                <w:bCs/>
                <w:color w:val="auto"/>
                <w:sz w:val="24"/>
                <w:szCs w:val="24"/>
                <w:highlight w:val="none"/>
                <w:vertAlign w:val="baseline"/>
              </w:rPr>
            </w:pPr>
            <w:r>
              <w:rPr>
                <w:rFonts w:hint="eastAsia" w:ascii="新宋体" w:hAnsi="新宋体" w:eastAsia="新宋体" w:cs="新宋体"/>
                <w:b/>
                <w:bCs/>
                <w:color w:val="auto"/>
                <w:sz w:val="24"/>
                <w:szCs w:val="24"/>
                <w:highlight w:val="none"/>
                <w:vertAlign w:val="baseline"/>
              </w:rPr>
            </w:r>
            <w:r/>
          </w:p>
        </w:tc>
        <w:tc>
          <w:tcPr>
            <w:tcW w:w="1815" w:type="dxa"/>
            <w:textDirection w:val="lrTb"/>
            <w:noWrap w:val="false"/>
          </w:tcPr>
          <w:p>
            <w:pPr>
              <w:jc w:val="center"/>
              <w:rPr>
                <w:rFonts w:hint="eastAsia" w:ascii="新宋体" w:hAnsi="新宋体" w:eastAsia="新宋体" w:cs="新宋体"/>
                <w:b/>
                <w:bCs/>
                <w:color w:val="auto"/>
                <w:sz w:val="24"/>
                <w:szCs w:val="24"/>
                <w:highlight w:val="none"/>
                <w:vertAlign w:val="baseline"/>
              </w:rPr>
            </w:pPr>
            <w:r>
              <w:rPr>
                <w:rFonts w:hint="eastAsia" w:ascii="新宋体" w:hAnsi="新宋体" w:eastAsia="新宋体" w:cs="新宋体"/>
                <w:b/>
                <w:bCs/>
                <w:color w:val="auto"/>
                <w:sz w:val="24"/>
                <w:szCs w:val="24"/>
                <w:highlight w:val="none"/>
                <w:vertAlign w:val="baseline"/>
              </w:rPr>
            </w:r>
            <w:r/>
          </w:p>
        </w:tc>
        <w:tc>
          <w:tcPr>
            <w:tcW w:w="1815" w:type="dxa"/>
            <w:textDirection w:val="lrTb"/>
            <w:noWrap w:val="false"/>
          </w:tcPr>
          <w:p>
            <w:pPr>
              <w:jc w:val="center"/>
              <w:rPr>
                <w:rFonts w:hint="eastAsia" w:ascii="新宋体" w:hAnsi="新宋体" w:eastAsia="新宋体" w:cs="新宋体"/>
                <w:b/>
                <w:bCs/>
                <w:color w:val="auto"/>
                <w:sz w:val="24"/>
                <w:szCs w:val="24"/>
                <w:highlight w:val="none"/>
                <w:vertAlign w:val="baseline"/>
              </w:rPr>
            </w:pPr>
            <w:r>
              <w:rPr>
                <w:rFonts w:hint="eastAsia" w:ascii="新宋体" w:hAnsi="新宋体" w:eastAsia="新宋体" w:cs="新宋体"/>
                <w:b/>
                <w:bCs/>
                <w:color w:val="auto"/>
                <w:sz w:val="24"/>
                <w:szCs w:val="24"/>
                <w:highlight w:val="none"/>
                <w:vertAlign w:val="baseline"/>
              </w:rPr>
            </w:r>
            <w:r/>
          </w:p>
        </w:tc>
      </w:tr>
    </w:tbl>
    <w:p>
      <w:pPr>
        <w:numPr>
          <w:ilvl w:val="0"/>
          <w:numId w:val="0"/>
        </w:numPr>
        <w:ind w:left="0" w:right="0" w:firstLine="480"/>
        <w:keepLines w:val="0"/>
        <w:keepNext w:val="0"/>
        <w:pageBreakBefore w:val="0"/>
        <w:spacing w:before="181" w:beforeAutospacing="0" w:afterAutospacing="0" w:line="360" w:lineRule="auto"/>
        <w:widowControl/>
        <w:rPr>
          <w:rFonts w:hint="eastAsia" w:ascii="宋体" w:hAnsi="宋体" w:eastAsia="宋体" w:cs="宋体"/>
          <w:sz w:val="24"/>
          <w:szCs w:val="24"/>
          <w:lang w:val="en-US" w:eastAsia="zh-CN" w:bidi="ar-SA"/>
        </w:rPr>
        <w:suppressLineNumbers w:val="0"/>
      </w:pPr>
      <w:r>
        <w:rPr>
          <w:rFonts w:hint="eastAsia" w:ascii="宋体" w:hAnsi="宋体" w:cs="宋体"/>
          <w:sz w:val="24"/>
          <w:szCs w:val="24"/>
          <w:lang w:val="en-US" w:eastAsia="zh-CN" w:bidi="ar-SA"/>
        </w:rPr>
        <w:t xml:space="preserve">1.</w:t>
      </w:r>
      <w:r>
        <w:rPr>
          <w:rFonts w:hint="eastAsia" w:ascii="宋体" w:hAnsi="宋体" w:eastAsia="宋体" w:cs="宋体"/>
          <w:sz w:val="24"/>
          <w:szCs w:val="24"/>
          <w:lang w:val="en-US" w:eastAsia="zh-CN" w:bidi="ar-SA"/>
        </w:rPr>
        <w:t xml:space="preserve">上述人员的劳动关系、社保缴纳均在其所属单位，联合体各方对各自派出人员的管理承担责任。</w:t>
      </w:r>
      <w:r/>
    </w:p>
    <w:p>
      <w:pPr>
        <w:numPr>
          <w:ilvl w:val="0"/>
          <w:numId w:val="0"/>
        </w:numPr>
        <w:ind w:left="0" w:right="0" w:firstLine="480"/>
        <w:keepLines w:val="0"/>
        <w:keepNext w:val="0"/>
        <w:pageBreakBefore w:val="0"/>
        <w:spacing w:beforeAutospacing="0" w:afterAutospacing="0" w:line="360" w:lineRule="auto"/>
        <w:widowControl/>
        <w:rPr>
          <w:rFonts w:hint="eastAsia" w:ascii="宋体" w:hAnsi="宋体" w:eastAsia="宋体" w:cs="宋体"/>
          <w:sz w:val="24"/>
          <w:szCs w:val="24"/>
          <w:lang w:val="en-US" w:eastAsia="zh-CN" w:bidi="ar-SA"/>
        </w:rPr>
        <w:suppressLineNumbers w:val="0"/>
      </w:pPr>
      <w:r>
        <w:rPr>
          <w:rFonts w:hint="eastAsia" w:ascii="宋体" w:hAnsi="宋体" w:cs="宋体"/>
          <w:sz w:val="24"/>
          <w:szCs w:val="24"/>
          <w:lang w:val="en-US" w:eastAsia="zh-CN" w:bidi="ar-SA"/>
        </w:rPr>
        <w:t xml:space="preserve">2.</w:t>
      </w:r>
      <w:r>
        <w:rPr>
          <w:rFonts w:hint="eastAsia" w:ascii="宋体" w:hAnsi="宋体" w:eastAsia="宋体" w:cs="宋体"/>
          <w:sz w:val="24"/>
          <w:szCs w:val="24"/>
          <w:lang w:val="en-US" w:eastAsia="zh-CN" w:bidi="ar-SA"/>
        </w:rPr>
        <w:t xml:space="preserve">履约过程中如需更换人员，须经采购人书面同意，且更换人员的资格条件不得低于原人员。</w:t>
      </w:r>
      <w:r/>
    </w:p>
    <w:p>
      <w:pPr>
        <w:ind w:left="0" w:firstLine="482"/>
        <w:jc w:val="center"/>
        <w:keepLines w:val="0"/>
        <w:keepNext w:val="0"/>
        <w:pageBreakBefore w:val="0"/>
        <w:spacing w:beforeAutospacing="0" w:afterAutospacing="0" w:line="360" w:lineRule="auto"/>
        <w:rPr>
          <w:rFonts w:hint="eastAsia" w:ascii="新宋体" w:hAnsi="新宋体" w:eastAsia="新宋体" w:cs="新宋体"/>
          <w:b/>
          <w:bCs/>
          <w:color w:val="auto"/>
          <w:sz w:val="24"/>
          <w:szCs w:val="24"/>
          <w:highlight w:val="none"/>
        </w:rPr>
        <w:sectPr>
          <w:footnotePr/>
          <w:endnotePr/>
          <w:type w:val="nextPage"/>
          <w:pgSz w:w="11906" w:h="16838" w:orient="portrait"/>
          <w:pgMar w:top="1440" w:right="1417" w:bottom="1440" w:left="1417" w:header="851" w:footer="992" w:gutter="0"/>
          <w:cols w:num="1" w:sep="0" w:space="720" w:equalWidth="1"/>
          <w:docGrid w:linePitch="360"/>
        </w:sectPr>
      </w:pPr>
      <w:r>
        <w:rPr>
          <w:rFonts w:hint="eastAsia" w:ascii="新宋体" w:hAnsi="新宋体" w:eastAsia="新宋体" w:cs="新宋体"/>
          <w:b/>
          <w:bCs/>
          <w:color w:val="auto"/>
          <w:sz w:val="24"/>
          <w:szCs w:val="24"/>
          <w:highlight w:val="none"/>
        </w:rPr>
      </w:r>
      <w:r/>
    </w:p>
    <w:p>
      <w:pPr>
        <w:ind w:left="0" w:firstLine="482"/>
        <w:keepLines w:val="0"/>
        <w:keepNext w:val="0"/>
        <w:pageBreakBefore w:val="0"/>
        <w:spacing w:before="0" w:beforeAutospacing="0" w:after="0" w:afterAutospacing="0" w:line="360" w:lineRule="auto"/>
        <w:widowControl/>
        <w:rPr>
          <w:rFonts w:hint="eastAsia" w:ascii="新宋体" w:hAnsi="新宋体" w:eastAsia="新宋体" w:cs="新宋体"/>
          <w:b/>
          <w:bCs/>
          <w:color w:val="auto"/>
          <w:sz w:val="24"/>
          <w:szCs w:val="24"/>
          <w:highlight w:val="none"/>
          <w:lang w:val="en-US" w:eastAsia="zh-CN" w:bidi="ar-SA"/>
        </w:rPr>
        <w:outlineLvl w:val="9"/>
        <w:suppressLineNumbers w:val="0"/>
      </w:pPr>
      <w:r>
        <w:rPr>
          <w:rFonts w:hint="eastAsia" w:ascii="新宋体" w:hAnsi="新宋体" w:eastAsia="新宋体" w:cs="新宋体"/>
          <w:b/>
          <w:bCs/>
          <w:color w:val="auto"/>
          <w:sz w:val="24"/>
          <w:szCs w:val="24"/>
          <w:highlight w:val="none"/>
          <w:lang w:val="en-US" w:eastAsia="zh-CN" w:bidi="ar-SA"/>
        </w:rPr>
        <w:t xml:space="preserve">第六条 合同金额与费用收取</w:t>
      </w:r>
      <w:r/>
    </w:p>
    <w:p>
      <w:pPr>
        <w:numPr>
          <w:ilvl w:val="0"/>
          <w:numId w:val="11"/>
        </w:numPr>
        <w:ind w:left="0" w:firstLine="480"/>
        <w:keepLines w:val="0"/>
        <w:keepNext w:val="0"/>
        <w:pageBreakBefore w:val="0"/>
        <w:spacing w:before="0" w:beforeAutospacing="0" w:after="0" w:afterAutospacing="0" w:line="360" w:lineRule="auto"/>
        <w:widowControl/>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lang w:val="en-US" w:eastAsia="zh-CN" w:bidi="ar-SA"/>
        </w:rPr>
        <w:t xml:space="preserve">本项目成交合同总价为人民币（大写）________元（¥________元）。</w:t>
      </w:r>
      <w:r/>
    </w:p>
    <w:p>
      <w:pPr>
        <w:numPr>
          <w:ilvl w:val="0"/>
          <w:numId w:val="11"/>
        </w:numPr>
        <w:ind w:left="0" w:firstLine="480"/>
        <w:keepLines w:val="0"/>
        <w:keepNext w:val="0"/>
        <w:pageBreakBefore w:val="0"/>
        <w:spacing w:before="0" w:beforeAutospacing="0" w:after="0" w:afterAutospacing="0" w:line="360" w:lineRule="auto"/>
        <w:widowControl/>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lang w:val="en-US" w:eastAsia="zh-CN" w:bidi="ar-SA"/>
        </w:rPr>
        <w:t xml:space="preserve">联合体各方内部合同金额分配比例如下：</w:t>
      </w:r>
      <w:r/>
    </w:p>
    <w:p>
      <w:pPr>
        <w:numPr>
          <w:ilvl w:val="0"/>
          <w:numId w:val="0"/>
        </w:numPr>
        <w:ind w:left="0" w:firstLine="480"/>
        <w:keepLines w:val="0"/>
        <w:keepNext w:val="0"/>
        <w:pageBreakBefore w:val="0"/>
        <w:spacing w:before="0" w:beforeAutospacing="0" w:after="0" w:afterAutospacing="0" w:line="360" w:lineRule="auto"/>
        <w:widowControl/>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lang w:val="en-US" w:eastAsia="zh-CN" w:bidi="ar-SA"/>
        </w:rPr>
        <w:t xml:space="preserve">牵头人：占合同总价的____%，即人民币________元；</w:t>
      </w:r>
      <w:r/>
    </w:p>
    <w:p>
      <w:pPr>
        <w:numPr>
          <w:ilvl w:val="0"/>
          <w:numId w:val="0"/>
        </w:numPr>
        <w:ind w:left="0" w:firstLine="480"/>
        <w:keepLines w:val="0"/>
        <w:keepNext w:val="0"/>
        <w:pageBreakBefore w:val="0"/>
        <w:spacing w:before="0" w:beforeAutospacing="0" w:after="0" w:afterAutospacing="0" w:line="360" w:lineRule="auto"/>
        <w:widowControl/>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lang w:val="en-US" w:eastAsia="zh-CN" w:bidi="ar-SA"/>
        </w:rPr>
        <w:t xml:space="preserve">成员单位：占合同总价的____%，即人民币________元。</w:t>
      </w:r>
      <w:r/>
    </w:p>
    <w:p>
      <w:pPr>
        <w:numPr>
          <w:ilvl w:val="0"/>
          <w:numId w:val="11"/>
        </w:numPr>
        <w:ind w:left="0" w:firstLine="480"/>
        <w:keepLines w:val="0"/>
        <w:keepNext w:val="0"/>
        <w:pageBreakBefore w:val="0"/>
        <w:spacing w:before="0" w:beforeAutospacing="0" w:after="0" w:afterAutospacing="0" w:line="360" w:lineRule="auto"/>
        <w:widowControl/>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lang w:val="en-US" w:eastAsia="zh-CN" w:bidi="ar-SA"/>
        </w:rPr>
        <w:t xml:space="preserve">对外收款： 采购人支付的合同款项（含预付款、进度款、尾款）全部由联合体牵头人统一接收，牵头人应向采购人提供合规的数字人民币收款账户及发票。</w:t>
      </w:r>
      <w:r/>
    </w:p>
    <w:p>
      <w:pPr>
        <w:numPr>
          <w:ilvl w:val="0"/>
          <w:numId w:val="11"/>
        </w:numPr>
        <w:ind w:left="0" w:firstLine="480"/>
        <w:keepLines w:val="0"/>
        <w:keepNext w:val="0"/>
        <w:pageBreakBefore w:val="0"/>
        <w:spacing w:before="0" w:beforeAutospacing="0" w:after="0" w:afterAutospacing="0" w:line="360" w:lineRule="auto"/>
        <w:widowControl/>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lang w:val="en-US" w:eastAsia="zh-CN" w:bidi="ar-SA"/>
        </w:rPr>
        <w:t xml:space="preserve">内部结算： 牵头人收到采购人付款后____个工作日内，按照本协议约定的内部分配比例及各方实际履约情况，将对应款项支付至成员单位指定账户。</w:t>
      </w:r>
      <w:r/>
    </w:p>
    <w:p>
      <w:pPr>
        <w:numPr>
          <w:ilvl w:val="0"/>
          <w:numId w:val="11"/>
        </w:numPr>
        <w:ind w:left="0" w:firstLine="480"/>
        <w:keepLines w:val="0"/>
        <w:keepNext w:val="0"/>
        <w:pageBreakBefore w:val="0"/>
        <w:spacing w:before="0" w:beforeAutospacing="0" w:after="0" w:afterAutospacing="0" w:line="360" w:lineRule="auto"/>
        <w:widowControl/>
        <w:suppressLineNumbers w:val="0"/>
      </w:pPr>
      <w:r>
        <w:rPr>
          <w:rFonts w:hint="eastAsia" w:ascii="宋体" w:hAnsi="宋体" w:eastAsia="宋体" w:cs="宋体"/>
          <w:sz w:val="24"/>
          <w:szCs w:val="24"/>
          <w:lang w:val="en-US" w:eastAsia="zh-CN" w:bidi="ar-SA"/>
        </w:rPr>
        <w:t xml:space="preserve">联合体各方内部因费用分配产生的任何争议，由各方自行协商解决，不得影响对采购人的履约义务及服务质</w:t>
      </w:r>
      <w:r>
        <w:t xml:space="preserve">量。</w:t>
      </w:r>
      <w:r/>
    </w:p>
    <w:p>
      <w:pPr>
        <w:ind w:left="0" w:firstLine="482"/>
        <w:keepLines w:val="0"/>
        <w:keepNext w:val="0"/>
        <w:pageBreakBefore w:val="0"/>
        <w:spacing w:before="0" w:beforeAutospacing="0" w:after="0" w:afterAutospacing="0" w:line="360" w:lineRule="auto"/>
        <w:widowControl/>
        <w:rPr>
          <w:rFonts w:hint="eastAsia" w:ascii="新宋体" w:hAnsi="新宋体" w:eastAsia="新宋体" w:cs="新宋体"/>
          <w:b/>
          <w:bCs/>
          <w:color w:val="auto"/>
          <w:sz w:val="24"/>
          <w:szCs w:val="24"/>
          <w:highlight w:val="none"/>
          <w:lang w:val="en-US" w:eastAsia="zh-CN" w:bidi="ar-SA"/>
        </w:rPr>
        <w:outlineLvl w:val="9"/>
        <w:suppressLineNumbers w:val="0"/>
      </w:pPr>
      <w:r>
        <w:rPr>
          <w:rFonts w:hint="eastAsia" w:ascii="新宋体" w:hAnsi="新宋体" w:eastAsia="新宋体" w:cs="新宋体"/>
          <w:b/>
          <w:bCs/>
          <w:color w:val="auto"/>
          <w:sz w:val="24"/>
          <w:szCs w:val="24"/>
          <w:highlight w:val="none"/>
          <w:lang w:val="en-US" w:eastAsia="zh-CN" w:bidi="ar-SA"/>
        </w:rPr>
        <w:t xml:space="preserve">第七条 检测报告与原始记录</w:t>
      </w:r>
      <w:r/>
    </w:p>
    <w:p>
      <w:pPr>
        <w:numPr>
          <w:ilvl w:val="0"/>
          <w:numId w:val="0"/>
        </w:numPr>
        <w:ind w:left="0" w:firstLine="480"/>
        <w:keepLines w:val="0"/>
        <w:keepNext w:val="0"/>
        <w:pageBreakBefore w:val="0"/>
        <w:spacing w:before="0" w:beforeAutospacing="0" w:after="0" w:afterAutospacing="0" w:line="360" w:lineRule="auto"/>
        <w:widowControl/>
        <w:rPr>
          <w:rFonts w:hint="eastAsia" w:ascii="宋体" w:hAnsi="宋体" w:eastAsia="宋体" w:cs="宋体"/>
          <w:sz w:val="24"/>
          <w:szCs w:val="24"/>
          <w:lang w:val="en-US" w:eastAsia="zh-CN" w:bidi="ar-SA"/>
        </w:rPr>
        <w:suppressLineNumbers w:val="0"/>
      </w:pPr>
      <w:r>
        <w:rPr>
          <w:rFonts w:hint="eastAsia" w:ascii="宋体" w:hAnsi="宋体" w:cs="宋体"/>
          <w:sz w:val="24"/>
          <w:szCs w:val="24"/>
          <w:lang w:val="en-US" w:eastAsia="zh-CN" w:bidi="ar-SA"/>
        </w:rPr>
        <w:t xml:space="preserve">1.</w:t>
      </w:r>
      <w:r>
        <w:rPr>
          <w:rFonts w:hint="eastAsia" w:ascii="宋体" w:hAnsi="宋体" w:eastAsia="宋体" w:cs="宋体"/>
          <w:sz w:val="24"/>
          <w:szCs w:val="24"/>
          <w:lang w:val="en-US" w:eastAsia="zh-CN" w:bidi="ar-SA"/>
        </w:rPr>
        <w:t xml:space="preserve">各方分工范围内的检测工作，由承担该部分检测工作且具备相应CMA资质的联合体成员出具检测报告，并加盖其CMA印章及检测专用章。</w:t>
      </w:r>
      <w:r/>
    </w:p>
    <w:p>
      <w:pPr>
        <w:numPr>
          <w:ilvl w:val="0"/>
          <w:numId w:val="0"/>
        </w:numPr>
        <w:ind w:left="0" w:firstLine="480"/>
        <w:keepLines w:val="0"/>
        <w:keepNext w:val="0"/>
        <w:pageBreakBefore w:val="0"/>
        <w:spacing w:before="0" w:beforeAutospacing="0" w:after="0" w:afterAutospacing="0" w:line="360" w:lineRule="auto"/>
        <w:widowControl/>
        <w:rPr>
          <w:rFonts w:hint="eastAsia" w:ascii="宋体" w:hAnsi="宋体" w:eastAsia="宋体" w:cs="宋体"/>
          <w:sz w:val="24"/>
          <w:szCs w:val="24"/>
          <w:lang w:val="en-US" w:eastAsia="zh-CN" w:bidi="ar-SA"/>
        </w:rPr>
        <w:suppressLineNumbers w:val="0"/>
      </w:pPr>
      <w:r>
        <w:rPr>
          <w:rFonts w:hint="eastAsia" w:ascii="宋体" w:hAnsi="宋体" w:cs="宋体"/>
          <w:sz w:val="24"/>
          <w:szCs w:val="24"/>
          <w:lang w:val="en-US" w:eastAsia="zh-CN" w:bidi="ar-SA"/>
        </w:rPr>
        <w:t xml:space="preserve">2.</w:t>
      </w:r>
      <w:r>
        <w:rPr>
          <w:rFonts w:hint="eastAsia" w:ascii="宋体" w:hAnsi="宋体" w:eastAsia="宋体" w:cs="宋体"/>
          <w:sz w:val="24"/>
          <w:szCs w:val="24"/>
          <w:lang w:val="en-US" w:eastAsia="zh-CN" w:bidi="ar-SA"/>
        </w:rPr>
        <w:t xml:space="preserve">全部检测原始记录、抽样记录、仪器设备使用记录等原始资料，由________（牵头人/成员单位）统一收集、整理、归档，保存期限不少于________年，确保采购人及监管部门随时调阅核查。</w:t>
      </w:r>
      <w:r/>
    </w:p>
    <w:p>
      <w:pPr>
        <w:numPr>
          <w:ilvl w:val="0"/>
          <w:numId w:val="0"/>
        </w:numPr>
        <w:ind w:left="0" w:firstLine="480"/>
        <w:keepLines w:val="0"/>
        <w:keepNext w:val="0"/>
        <w:pageBreakBefore w:val="0"/>
        <w:spacing w:before="0" w:beforeAutospacing="0" w:after="0" w:afterAutospacing="0" w:line="360" w:lineRule="auto"/>
        <w:widowControl/>
        <w:rPr>
          <w:rFonts w:hint="eastAsia" w:ascii="宋体" w:hAnsi="宋体" w:eastAsia="宋体" w:cs="宋体"/>
          <w:sz w:val="24"/>
          <w:szCs w:val="24"/>
          <w:lang w:val="en-US" w:eastAsia="zh-CN" w:bidi="ar-SA"/>
        </w:rPr>
        <w:suppressLineNumbers w:val="0"/>
      </w:pPr>
      <w:r>
        <w:rPr>
          <w:rFonts w:hint="eastAsia" w:ascii="宋体" w:hAnsi="宋体" w:cs="宋体"/>
          <w:sz w:val="24"/>
          <w:szCs w:val="24"/>
          <w:lang w:val="en-US" w:eastAsia="zh-CN" w:bidi="ar-SA"/>
        </w:rPr>
        <w:t xml:space="preserve">3.</w:t>
      </w:r>
      <w:r>
        <w:rPr>
          <w:rFonts w:hint="eastAsia" w:ascii="宋体" w:hAnsi="宋体" w:eastAsia="宋体" w:cs="宋体"/>
          <w:sz w:val="24"/>
          <w:szCs w:val="24"/>
          <w:lang w:val="en-US" w:eastAsia="zh-CN" w:bidi="ar-SA"/>
        </w:rPr>
        <w:t xml:space="preserve">报告出具前须经联合体内部交叉审核，确保数据准确、结论合规、格式统一。</w:t>
      </w:r>
      <w:r/>
    </w:p>
    <w:p>
      <w:pPr>
        <w:ind w:left="0" w:firstLine="482"/>
        <w:keepLines w:val="0"/>
        <w:keepNext w:val="0"/>
        <w:pageBreakBefore w:val="0"/>
        <w:spacing w:before="0" w:beforeAutospacing="0" w:after="0" w:afterAutospacing="0" w:line="360" w:lineRule="auto"/>
        <w:widowControl/>
        <w:rPr>
          <w:rFonts w:hint="eastAsia" w:ascii="新宋体" w:hAnsi="新宋体" w:eastAsia="新宋体" w:cs="新宋体"/>
          <w:b/>
          <w:bCs/>
          <w:color w:val="auto"/>
          <w:sz w:val="24"/>
          <w:szCs w:val="24"/>
          <w:highlight w:val="none"/>
          <w:lang w:val="en-US" w:eastAsia="zh-CN" w:bidi="ar-SA"/>
        </w:rPr>
        <w:outlineLvl w:val="9"/>
        <w:suppressLineNumbers w:val="0"/>
      </w:pPr>
      <w:r>
        <w:rPr>
          <w:rFonts w:hint="eastAsia" w:ascii="新宋体" w:hAnsi="新宋体" w:eastAsia="新宋体" w:cs="新宋体"/>
          <w:b/>
          <w:bCs/>
          <w:color w:val="auto"/>
          <w:sz w:val="24"/>
          <w:szCs w:val="24"/>
          <w:highlight w:val="none"/>
          <w:lang w:val="en-US" w:eastAsia="zh-CN" w:bidi="ar-SA"/>
        </w:rPr>
        <w:t xml:space="preserve">第八条 连带责任与内部追偿</w:t>
      </w:r>
      <w:r/>
    </w:p>
    <w:p>
      <w:pPr>
        <w:numPr>
          <w:ilvl w:val="0"/>
          <w:numId w:val="0"/>
        </w:numPr>
        <w:ind w:left="0" w:firstLine="480"/>
        <w:keepLines w:val="0"/>
        <w:keepNext w:val="0"/>
        <w:pageBreakBefore w:val="0"/>
        <w:spacing w:before="0" w:beforeAutospacing="0" w:after="0" w:afterAutospacing="0" w:line="360" w:lineRule="auto"/>
        <w:widowControl/>
        <w:rPr>
          <w:rFonts w:hint="eastAsia" w:ascii="宋体" w:hAnsi="宋体" w:eastAsia="宋体" w:cs="宋体"/>
          <w:sz w:val="24"/>
          <w:szCs w:val="24"/>
          <w:lang w:val="en-US" w:eastAsia="zh-CN" w:bidi="ar-SA"/>
        </w:rPr>
        <w:suppressLineNumbers w:val="0"/>
      </w:pPr>
      <w:r>
        <w:rPr>
          <w:rFonts w:hint="eastAsia" w:ascii="宋体" w:hAnsi="宋体" w:cs="宋体"/>
          <w:sz w:val="24"/>
          <w:szCs w:val="24"/>
          <w:lang w:val="en-US" w:eastAsia="zh-CN" w:bidi="ar-SA"/>
        </w:rPr>
        <w:t xml:space="preserve">1.</w:t>
      </w:r>
      <w:r>
        <w:rPr>
          <w:rFonts w:hint="eastAsia" w:ascii="宋体" w:hAnsi="宋体" w:eastAsia="宋体" w:cs="宋体"/>
          <w:sz w:val="24"/>
          <w:szCs w:val="24"/>
          <w:lang w:val="en-US" w:eastAsia="zh-CN" w:bidi="ar-SA"/>
        </w:rPr>
        <w:t xml:space="preserve">联合体各方对本项目磋商响应文件的真实性、合法性，以及中标（成交）后合同的全部义务承担不可分割的连带责任。</w:t>
      </w:r>
      <w:r/>
    </w:p>
    <w:p>
      <w:pPr>
        <w:numPr>
          <w:ilvl w:val="0"/>
          <w:numId w:val="0"/>
        </w:numPr>
        <w:ind w:left="0" w:firstLine="480"/>
        <w:keepLines w:val="0"/>
        <w:keepNext w:val="0"/>
        <w:pageBreakBefore w:val="0"/>
        <w:spacing w:before="0" w:beforeAutospacing="0" w:after="0" w:afterAutospacing="0" w:line="360" w:lineRule="auto"/>
        <w:widowControl/>
        <w:rPr>
          <w:rFonts w:hint="eastAsia" w:ascii="宋体" w:hAnsi="宋体" w:eastAsia="宋体" w:cs="宋体"/>
          <w:sz w:val="24"/>
          <w:szCs w:val="24"/>
          <w:lang w:val="en-US" w:eastAsia="zh-CN" w:bidi="ar-SA"/>
        </w:rPr>
        <w:suppressLineNumbers w:val="0"/>
      </w:pPr>
      <w:r>
        <w:rPr>
          <w:rFonts w:hint="eastAsia" w:ascii="宋体" w:hAnsi="宋体" w:cs="宋体"/>
          <w:sz w:val="24"/>
          <w:szCs w:val="24"/>
          <w:lang w:val="en-US" w:eastAsia="zh-CN" w:bidi="ar-SA"/>
        </w:rPr>
        <w:t xml:space="preserve">2.</w:t>
      </w:r>
      <w:r>
        <w:rPr>
          <w:rFonts w:hint="eastAsia" w:ascii="宋体" w:hAnsi="宋体" w:eastAsia="宋体" w:cs="宋体"/>
          <w:sz w:val="24"/>
          <w:szCs w:val="24"/>
          <w:lang w:val="en-US" w:eastAsia="zh-CN" w:bidi="ar-SA"/>
        </w:rPr>
        <w:t xml:space="preserve">因联合体任何一方的过错（包括但不限于人员不到岗、检测质量不合格、数据造假、报告延误、泄露抽检信息、未配合异议处理等）导致采购人遭受损失、产生违约金或扣款的，采购人有权向联合体牵头人或任意一方成员主张全部赔偿，被主张方不得以内部责任划分为由拒绝承担。</w:t>
      </w:r>
      <w:r/>
    </w:p>
    <w:p>
      <w:pPr>
        <w:numPr>
          <w:ilvl w:val="0"/>
          <w:numId w:val="0"/>
        </w:numPr>
        <w:ind w:left="0" w:firstLine="480"/>
        <w:keepLines w:val="0"/>
        <w:keepNext w:val="0"/>
        <w:pageBreakBefore w:val="0"/>
        <w:spacing w:before="0" w:beforeAutospacing="0" w:after="0" w:afterAutospacing="0" w:line="360" w:lineRule="auto"/>
        <w:widowControl/>
        <w:rPr>
          <w:rFonts w:hint="eastAsia" w:ascii="宋体" w:hAnsi="宋体" w:eastAsia="宋体" w:cs="宋体"/>
          <w:sz w:val="24"/>
          <w:szCs w:val="24"/>
          <w:lang w:val="en-US" w:eastAsia="zh-CN" w:bidi="ar-SA"/>
        </w:rPr>
        <w:suppressLineNumbers w:val="0"/>
      </w:pPr>
      <w:r>
        <w:rPr>
          <w:rFonts w:hint="eastAsia" w:ascii="宋体" w:hAnsi="宋体" w:cs="宋体"/>
          <w:sz w:val="24"/>
          <w:szCs w:val="24"/>
          <w:lang w:val="en-US" w:eastAsia="zh-CN" w:bidi="ar-SA"/>
        </w:rPr>
        <w:t xml:space="preserve">3.</w:t>
      </w:r>
      <w:r>
        <w:rPr>
          <w:rFonts w:hint="eastAsia" w:ascii="宋体" w:hAnsi="宋体" w:eastAsia="宋体" w:cs="宋体"/>
          <w:sz w:val="24"/>
          <w:szCs w:val="24"/>
          <w:lang w:val="en-US" w:eastAsia="zh-CN" w:bidi="ar-SA"/>
        </w:rPr>
        <w:t xml:space="preserve">联合体对外承担赔偿责任后，内部按照过错比例分担；因某一方单独过错导致的赔偿，由该过错方承担最终责任，其他方有权向过错方全额追偿。</w:t>
      </w:r>
      <w:r/>
    </w:p>
    <w:p>
      <w:pPr>
        <w:ind w:left="0" w:firstLine="482"/>
        <w:keepLines w:val="0"/>
        <w:keepNext w:val="0"/>
        <w:pageBreakBefore w:val="0"/>
        <w:spacing w:before="0" w:beforeAutospacing="0" w:after="0" w:afterAutospacing="0" w:line="360" w:lineRule="auto"/>
        <w:widowControl/>
        <w:rPr>
          <w:rFonts w:hint="eastAsia" w:ascii="新宋体" w:hAnsi="新宋体" w:eastAsia="新宋体" w:cs="新宋体"/>
          <w:b/>
          <w:bCs/>
          <w:color w:val="auto"/>
          <w:sz w:val="24"/>
          <w:szCs w:val="24"/>
          <w:highlight w:val="none"/>
          <w:lang w:val="en-US" w:eastAsia="zh-CN" w:bidi="ar-SA"/>
        </w:rPr>
        <w:outlineLvl w:val="9"/>
        <w:suppressLineNumbers w:val="0"/>
      </w:pPr>
      <w:r>
        <w:rPr>
          <w:rFonts w:hint="eastAsia" w:ascii="新宋体" w:hAnsi="新宋体" w:eastAsia="新宋体" w:cs="新宋体"/>
          <w:b/>
          <w:bCs/>
          <w:color w:val="auto"/>
          <w:sz w:val="24"/>
          <w:szCs w:val="24"/>
          <w:highlight w:val="none"/>
          <w:lang w:val="en-US" w:eastAsia="zh-CN" w:bidi="ar-SA"/>
        </w:rPr>
        <w:t xml:space="preserve">第九条 考核风险承担</w:t>
      </w:r>
      <w:r/>
    </w:p>
    <w:p>
      <w:pPr>
        <w:numPr>
          <w:ilvl w:val="0"/>
          <w:numId w:val="0"/>
        </w:numPr>
        <w:ind w:left="0" w:firstLine="480"/>
        <w:keepLines w:val="0"/>
        <w:keepNext w:val="0"/>
        <w:pageBreakBefore w:val="0"/>
        <w:spacing w:before="0" w:beforeAutospacing="0" w:after="0" w:afterAutospacing="0" w:line="360" w:lineRule="auto"/>
        <w:widowControl/>
        <w:rPr>
          <w:rFonts w:hint="eastAsia" w:ascii="宋体" w:hAnsi="宋体" w:eastAsia="宋体" w:cs="宋体"/>
          <w:sz w:val="24"/>
          <w:szCs w:val="24"/>
          <w:lang w:val="en-US" w:eastAsia="zh-CN" w:bidi="ar-SA"/>
        </w:rPr>
        <w:suppressLineNumbers w:val="0"/>
      </w:pPr>
      <w:r>
        <w:rPr>
          <w:rFonts w:hint="eastAsia" w:ascii="宋体" w:hAnsi="宋体" w:cs="宋体"/>
          <w:sz w:val="24"/>
          <w:szCs w:val="24"/>
          <w:lang w:val="en-US" w:eastAsia="zh-CN" w:bidi="ar-SA"/>
        </w:rPr>
        <w:t xml:space="preserve">1.</w:t>
      </w:r>
      <w:r>
        <w:rPr>
          <w:rFonts w:hint="eastAsia" w:ascii="宋体" w:hAnsi="宋体" w:eastAsia="宋体" w:cs="宋体"/>
          <w:sz w:val="24"/>
          <w:szCs w:val="24"/>
          <w:lang w:val="en-US" w:eastAsia="zh-CN" w:bidi="ar-SA"/>
        </w:rPr>
        <w:t xml:space="preserve">联合体各方已充分知悉本项目磋商文件第四章"考核管理要求"的全部内容，同意采购人对联合体整体实行服务期满一次性综合量化考核。</w:t>
      </w:r>
      <w:r/>
    </w:p>
    <w:p>
      <w:pPr>
        <w:numPr>
          <w:ilvl w:val="0"/>
          <w:numId w:val="0"/>
        </w:numPr>
        <w:ind w:left="0" w:firstLine="480"/>
        <w:keepLines w:val="0"/>
        <w:keepNext w:val="0"/>
        <w:pageBreakBefore w:val="0"/>
        <w:spacing w:before="0" w:beforeAutospacing="0" w:after="0" w:afterAutospacing="0" w:line="360" w:lineRule="auto"/>
        <w:widowControl/>
        <w:rPr>
          <w:rFonts w:hint="eastAsia" w:ascii="宋体" w:hAnsi="宋体" w:eastAsia="宋体" w:cs="宋体"/>
          <w:sz w:val="24"/>
          <w:szCs w:val="24"/>
          <w:lang w:val="en-US" w:eastAsia="zh-CN" w:bidi="ar-SA"/>
        </w:rPr>
        <w:suppressLineNumbers w:val="0"/>
      </w:pPr>
      <w:r>
        <w:rPr>
          <w:rFonts w:hint="eastAsia" w:ascii="宋体" w:hAnsi="宋体" w:cs="宋体"/>
          <w:sz w:val="24"/>
          <w:szCs w:val="24"/>
          <w:lang w:val="en-US" w:eastAsia="zh-CN" w:bidi="ar-SA"/>
        </w:rPr>
        <w:t xml:space="preserve">2.</w:t>
      </w:r>
      <w:r>
        <w:rPr>
          <w:rFonts w:hint="eastAsia" w:ascii="宋体" w:hAnsi="宋体" w:eastAsia="宋体" w:cs="宋体"/>
          <w:sz w:val="24"/>
          <w:szCs w:val="24"/>
          <w:lang w:val="en-US" w:eastAsia="zh-CN" w:bidi="ar-SA"/>
        </w:rPr>
        <w:t xml:space="preserve">联合体任何一方出现考核表所列任一违规情形，均视为联合体整体违约，采购人有权对联合体整体执行扣分、扣款、终止合同等处理措施，联合体各方不得提出异议。</w:t>
      </w:r>
      <w:r/>
    </w:p>
    <w:p>
      <w:pPr>
        <w:numPr>
          <w:ilvl w:val="0"/>
          <w:numId w:val="0"/>
        </w:numPr>
        <w:ind w:left="0" w:firstLine="480"/>
        <w:keepLines w:val="0"/>
        <w:keepNext w:val="0"/>
        <w:pageBreakBefore w:val="0"/>
        <w:spacing w:before="0" w:beforeAutospacing="0" w:after="0" w:afterAutospacing="0" w:line="360" w:lineRule="auto"/>
        <w:widowControl/>
        <w:rPr>
          <w:rFonts w:hint="eastAsia" w:ascii="宋体" w:hAnsi="宋体" w:eastAsia="宋体" w:cs="宋体"/>
          <w:sz w:val="24"/>
          <w:szCs w:val="24"/>
          <w:lang w:val="en-US" w:eastAsia="zh-CN" w:bidi="ar-SA"/>
        </w:rPr>
        <w:suppressLineNumbers w:val="0"/>
      </w:pPr>
      <w:r>
        <w:rPr>
          <w:rFonts w:hint="eastAsia" w:ascii="宋体" w:hAnsi="宋体" w:cs="宋体"/>
          <w:sz w:val="24"/>
          <w:szCs w:val="24"/>
          <w:lang w:val="en-US" w:eastAsia="zh-CN" w:bidi="ar-SA"/>
        </w:rPr>
        <w:t xml:space="preserve">3.</w:t>
      </w:r>
      <w:r>
        <w:rPr>
          <w:rFonts w:hint="eastAsia" w:ascii="宋体" w:hAnsi="宋体" w:eastAsia="宋体" w:cs="宋体"/>
          <w:sz w:val="24"/>
          <w:szCs w:val="24"/>
          <w:lang w:val="en-US" w:eastAsia="zh-CN" w:bidi="ar-SA"/>
        </w:rPr>
        <w:t xml:space="preserve">因考核产生的扣款，联合体内部按照本协议第八条约定的过错责任原则分担。</w:t>
      </w:r>
      <w:r/>
    </w:p>
    <w:p>
      <w:pPr>
        <w:ind w:left="0" w:firstLine="482"/>
        <w:keepLines w:val="0"/>
        <w:keepNext w:val="0"/>
        <w:pageBreakBefore w:val="0"/>
        <w:spacing w:before="0" w:beforeAutospacing="0" w:after="0" w:afterAutospacing="0" w:line="360" w:lineRule="auto"/>
        <w:widowControl/>
        <w:rPr>
          <w:rFonts w:hint="eastAsia" w:ascii="新宋体" w:hAnsi="新宋体" w:eastAsia="新宋体" w:cs="新宋体"/>
          <w:b/>
          <w:bCs/>
          <w:color w:val="auto"/>
          <w:sz w:val="24"/>
          <w:szCs w:val="24"/>
          <w:highlight w:val="none"/>
          <w:lang w:val="en-US" w:eastAsia="zh-CN" w:bidi="ar-SA"/>
        </w:rPr>
        <w:outlineLvl w:val="9"/>
        <w:suppressLineNumbers w:val="0"/>
      </w:pPr>
      <w:r>
        <w:rPr>
          <w:rFonts w:hint="eastAsia" w:ascii="新宋体" w:hAnsi="新宋体" w:eastAsia="新宋体" w:cs="新宋体"/>
          <w:b/>
          <w:bCs/>
          <w:color w:val="auto"/>
          <w:sz w:val="24"/>
          <w:szCs w:val="24"/>
          <w:highlight w:val="none"/>
          <w:lang w:val="en-US" w:eastAsia="zh-CN" w:bidi="ar-SA"/>
        </w:rPr>
        <w:t xml:space="preserve">第十条 禁止转包与再分包</w:t>
      </w:r>
      <w:r/>
    </w:p>
    <w:p>
      <w:pPr>
        <w:numPr>
          <w:ilvl w:val="0"/>
          <w:numId w:val="0"/>
        </w:numPr>
        <w:ind w:left="0" w:firstLine="480"/>
        <w:keepLines w:val="0"/>
        <w:keepNext w:val="0"/>
        <w:pageBreakBefore w:val="0"/>
        <w:spacing w:before="0" w:beforeAutospacing="0" w:after="0" w:afterAutospacing="0" w:line="360" w:lineRule="auto"/>
        <w:widowControl/>
        <w:rPr>
          <w:rFonts w:hint="eastAsia" w:ascii="宋体" w:hAnsi="宋体" w:eastAsia="宋体" w:cs="宋体"/>
          <w:sz w:val="24"/>
          <w:szCs w:val="24"/>
          <w:lang w:val="en-US" w:eastAsia="zh-CN" w:bidi="ar-SA"/>
        </w:rPr>
        <w:suppressLineNumbers w:val="0"/>
      </w:pPr>
      <w:r>
        <w:rPr>
          <w:rFonts w:hint="eastAsia" w:ascii="宋体" w:hAnsi="宋体" w:cs="宋体"/>
          <w:sz w:val="24"/>
          <w:szCs w:val="24"/>
          <w:lang w:val="en-US" w:eastAsia="zh-CN" w:bidi="ar-SA"/>
        </w:rPr>
        <w:t xml:space="preserve">1.</w:t>
      </w:r>
      <w:r>
        <w:rPr>
          <w:rFonts w:hint="eastAsia" w:ascii="宋体" w:hAnsi="宋体" w:eastAsia="宋体" w:cs="宋体"/>
          <w:sz w:val="24"/>
          <w:szCs w:val="24"/>
          <w:lang w:val="en-US" w:eastAsia="zh-CN" w:bidi="ar-SA"/>
        </w:rPr>
        <w:t xml:space="preserve">联合体各方均不得将本协议约定由自身承担的任何工作（含抽样、检测、报告编制等）转包或分包给第三方机构或个人。</w:t>
      </w:r>
      <w:r/>
    </w:p>
    <w:p>
      <w:pPr>
        <w:numPr>
          <w:ilvl w:val="0"/>
          <w:numId w:val="0"/>
        </w:numPr>
        <w:ind w:left="0" w:firstLine="480"/>
        <w:keepLines w:val="0"/>
        <w:keepNext w:val="0"/>
        <w:pageBreakBefore w:val="0"/>
        <w:spacing w:before="0" w:beforeAutospacing="0" w:after="0" w:afterAutospacing="0" w:line="360" w:lineRule="auto"/>
        <w:widowControl/>
        <w:rPr>
          <w:rFonts w:hint="eastAsia" w:ascii="宋体" w:hAnsi="宋体" w:eastAsia="宋体" w:cs="宋体"/>
          <w:sz w:val="24"/>
          <w:szCs w:val="24"/>
          <w:lang w:val="en-US" w:eastAsia="zh-CN" w:bidi="ar-SA"/>
        </w:rPr>
        <w:suppressLineNumbers w:val="0"/>
      </w:pPr>
      <w:r>
        <w:rPr>
          <w:rFonts w:hint="eastAsia" w:ascii="宋体" w:hAnsi="宋体" w:cs="宋体"/>
          <w:sz w:val="24"/>
          <w:szCs w:val="24"/>
          <w:lang w:val="en-US" w:eastAsia="zh-CN" w:bidi="ar-SA"/>
        </w:rPr>
        <w:t xml:space="preserve">2.</w:t>
      </w:r>
      <w:r>
        <w:rPr>
          <w:rFonts w:hint="eastAsia" w:ascii="宋体" w:hAnsi="宋体" w:eastAsia="宋体" w:cs="宋体"/>
          <w:sz w:val="24"/>
          <w:szCs w:val="24"/>
          <w:lang w:val="en-US" w:eastAsia="zh-CN" w:bidi="ar-SA"/>
        </w:rPr>
        <w:t xml:space="preserve">联合体各方按照本协议第四条约定的分工开展工作，属于联合体内部协作，不属于转包或违法分包。</w:t>
      </w:r>
      <w:r/>
    </w:p>
    <w:p>
      <w:pPr>
        <w:numPr>
          <w:ilvl w:val="0"/>
          <w:numId w:val="0"/>
        </w:numPr>
        <w:ind w:left="0" w:firstLine="480"/>
        <w:keepLines w:val="0"/>
        <w:keepNext w:val="0"/>
        <w:pageBreakBefore w:val="0"/>
        <w:spacing w:before="0" w:beforeAutospacing="0" w:after="0" w:afterAutospacing="0" w:line="360" w:lineRule="auto"/>
        <w:widowControl/>
        <w:rPr>
          <w:rFonts w:hint="eastAsia" w:ascii="宋体" w:hAnsi="宋体" w:eastAsia="宋体" w:cs="宋体"/>
          <w:sz w:val="24"/>
          <w:szCs w:val="24"/>
          <w:lang w:val="en-US" w:eastAsia="zh-CN" w:bidi="ar-SA"/>
        </w:rPr>
        <w:suppressLineNumbers w:val="0"/>
      </w:pPr>
      <w:r>
        <w:rPr>
          <w:rFonts w:hint="eastAsia" w:ascii="宋体" w:hAnsi="宋体" w:cs="宋体"/>
          <w:sz w:val="24"/>
          <w:szCs w:val="24"/>
          <w:lang w:val="en-US" w:eastAsia="zh-CN" w:bidi="ar-SA"/>
        </w:rPr>
        <w:t xml:space="preserve">3.</w:t>
      </w:r>
      <w:r>
        <w:rPr>
          <w:rFonts w:hint="eastAsia" w:ascii="宋体" w:hAnsi="宋体" w:eastAsia="宋体" w:cs="宋体"/>
          <w:sz w:val="24"/>
          <w:szCs w:val="24"/>
          <w:lang w:val="en-US" w:eastAsia="zh-CN" w:bidi="ar-SA"/>
        </w:rPr>
        <w:t xml:space="preserve">一经查实任何一方存在转包、违法分包或外包第三方检测的行为，采购人有权立即终止合同，联合体各方承担由此产生的全部法律责任及经济损失。</w:t>
      </w:r>
      <w:r/>
    </w:p>
    <w:p>
      <w:pPr>
        <w:ind w:left="0" w:firstLine="482"/>
        <w:keepLines w:val="0"/>
        <w:keepNext w:val="0"/>
        <w:pageBreakBefore w:val="0"/>
        <w:spacing w:before="0" w:beforeAutospacing="0" w:after="0" w:afterAutospacing="0" w:line="360" w:lineRule="auto"/>
        <w:widowControl/>
        <w:rPr>
          <w:rFonts w:hint="eastAsia" w:ascii="新宋体" w:hAnsi="新宋体" w:eastAsia="新宋体" w:cs="新宋体"/>
          <w:b/>
          <w:bCs/>
          <w:color w:val="auto"/>
          <w:sz w:val="24"/>
          <w:szCs w:val="24"/>
          <w:highlight w:val="none"/>
          <w:lang w:val="en-US" w:eastAsia="zh-CN" w:bidi="ar-SA"/>
        </w:rPr>
        <w:outlineLvl w:val="9"/>
        <w:suppressLineNumbers w:val="0"/>
      </w:pPr>
      <w:r>
        <w:rPr>
          <w:rFonts w:hint="eastAsia" w:ascii="新宋体" w:hAnsi="新宋体" w:eastAsia="新宋体" w:cs="新宋体"/>
          <w:b/>
          <w:bCs/>
          <w:color w:val="auto"/>
          <w:sz w:val="24"/>
          <w:szCs w:val="24"/>
          <w:highlight w:val="none"/>
          <w:lang w:val="en-US" w:eastAsia="zh-CN" w:bidi="ar-SA"/>
        </w:rPr>
        <w:t xml:space="preserve">第十一条 保密义务</w:t>
      </w:r>
      <w:r/>
    </w:p>
    <w:p>
      <w:pPr>
        <w:numPr>
          <w:ilvl w:val="0"/>
          <w:numId w:val="0"/>
        </w:numPr>
        <w:ind w:left="0" w:firstLine="480"/>
        <w:keepLines w:val="0"/>
        <w:keepNext w:val="0"/>
        <w:pageBreakBefore w:val="0"/>
        <w:spacing w:before="0" w:beforeAutospacing="0" w:after="0" w:afterAutospacing="0" w:line="360" w:lineRule="auto"/>
        <w:widowControl/>
        <w:rPr>
          <w:rFonts w:hint="eastAsia" w:ascii="宋体" w:hAnsi="宋体" w:eastAsia="宋体" w:cs="宋体"/>
          <w:sz w:val="24"/>
          <w:szCs w:val="24"/>
          <w:lang w:val="en-US" w:eastAsia="zh-CN" w:bidi="ar-SA"/>
        </w:rPr>
        <w:suppressLineNumbers w:val="0"/>
      </w:pPr>
      <w:r>
        <w:rPr>
          <w:rFonts w:hint="eastAsia" w:ascii="宋体" w:hAnsi="宋体" w:cs="宋体"/>
          <w:sz w:val="24"/>
          <w:szCs w:val="24"/>
          <w:lang w:val="en-US" w:eastAsia="zh-CN" w:bidi="ar-SA"/>
        </w:rPr>
        <w:t xml:space="preserve">1.</w:t>
      </w:r>
      <w:r>
        <w:rPr>
          <w:rFonts w:hint="eastAsia" w:ascii="宋体" w:hAnsi="宋体" w:eastAsia="宋体" w:cs="宋体"/>
          <w:sz w:val="24"/>
          <w:szCs w:val="24"/>
          <w:lang w:val="en-US" w:eastAsia="zh-CN" w:bidi="ar-SA"/>
        </w:rPr>
        <w:t xml:space="preserve">联合体各方对在本项目磋商及履约过程中知悉的采购人抽检计划、抽检信息、企业商业秘密、检测数据等负有保密义务，未经采购人书面同意不得向任何第三方泄露。</w:t>
      </w:r>
      <w:r/>
    </w:p>
    <w:p>
      <w:pPr>
        <w:numPr>
          <w:ilvl w:val="0"/>
          <w:numId w:val="0"/>
        </w:numPr>
        <w:ind w:left="0" w:firstLine="480"/>
        <w:keepLines w:val="0"/>
        <w:keepNext w:val="0"/>
        <w:pageBreakBefore w:val="0"/>
        <w:spacing w:before="0" w:beforeAutospacing="0" w:after="0" w:afterAutospacing="0" w:line="360" w:lineRule="auto"/>
        <w:widowControl/>
        <w:rPr>
          <w:rFonts w:hint="eastAsia" w:ascii="宋体" w:hAnsi="宋体" w:eastAsia="宋体" w:cs="宋体"/>
          <w:sz w:val="24"/>
          <w:szCs w:val="24"/>
          <w:lang w:val="en-US" w:eastAsia="zh-CN" w:bidi="ar-SA"/>
        </w:rPr>
        <w:suppressLineNumbers w:val="0"/>
      </w:pPr>
      <w:r>
        <w:rPr>
          <w:rFonts w:hint="eastAsia" w:ascii="宋体" w:hAnsi="宋体" w:cs="宋体"/>
          <w:sz w:val="24"/>
          <w:szCs w:val="24"/>
          <w:lang w:val="en-US" w:eastAsia="zh-CN" w:bidi="ar-SA"/>
        </w:rPr>
        <w:t xml:space="preserve">2.</w:t>
      </w:r>
      <w:r>
        <w:rPr>
          <w:rFonts w:hint="eastAsia" w:ascii="宋体" w:hAnsi="宋体" w:eastAsia="宋体" w:cs="宋体"/>
          <w:sz w:val="24"/>
          <w:szCs w:val="24"/>
          <w:lang w:val="en-US" w:eastAsia="zh-CN" w:bidi="ar-SA"/>
        </w:rPr>
        <w:t xml:space="preserve">保密义务在本协议终止或合同履行完毕后继续有效，期限不少于________年。</w:t>
      </w:r>
      <w:r/>
    </w:p>
    <w:p>
      <w:pPr>
        <w:numPr>
          <w:ilvl w:val="0"/>
          <w:numId w:val="0"/>
        </w:numPr>
        <w:ind w:left="0" w:firstLine="480"/>
        <w:keepLines w:val="0"/>
        <w:keepNext w:val="0"/>
        <w:pageBreakBefore w:val="0"/>
        <w:spacing w:before="0" w:beforeAutospacing="0" w:after="0" w:afterAutospacing="0" w:line="360" w:lineRule="auto"/>
        <w:widowControl/>
        <w:rPr>
          <w:rFonts w:hint="eastAsia" w:ascii="宋体" w:hAnsi="宋体" w:eastAsia="宋体" w:cs="宋体"/>
          <w:sz w:val="24"/>
          <w:szCs w:val="24"/>
          <w:lang w:val="en-US" w:eastAsia="zh-CN" w:bidi="ar-SA"/>
        </w:rPr>
        <w:suppressLineNumbers w:val="0"/>
      </w:pPr>
      <w:r>
        <w:rPr>
          <w:rFonts w:hint="eastAsia" w:ascii="宋体" w:hAnsi="宋体" w:cs="宋体"/>
          <w:sz w:val="24"/>
          <w:szCs w:val="24"/>
          <w:lang w:val="en-US" w:eastAsia="zh-CN" w:bidi="ar-SA"/>
        </w:rPr>
        <w:t xml:space="preserve">3.</w:t>
      </w:r>
      <w:r>
        <w:rPr>
          <w:rFonts w:hint="eastAsia" w:ascii="宋体" w:hAnsi="宋体" w:eastAsia="宋体" w:cs="宋体"/>
          <w:sz w:val="24"/>
          <w:szCs w:val="24"/>
          <w:lang w:val="en-US" w:eastAsia="zh-CN" w:bidi="ar-SA"/>
        </w:rPr>
        <w:t xml:space="preserve">任何一方违反保密义务的，由该方承担全部法律责任，联合体其他方承担连带责任。</w:t>
      </w:r>
      <w:r/>
    </w:p>
    <w:p>
      <w:pPr>
        <w:ind w:left="0" w:firstLine="482"/>
        <w:keepLines w:val="0"/>
        <w:keepNext w:val="0"/>
        <w:pageBreakBefore w:val="0"/>
        <w:spacing w:before="0" w:beforeAutospacing="0" w:after="0" w:afterAutospacing="0" w:line="360" w:lineRule="auto"/>
        <w:widowControl/>
        <w:rPr>
          <w:rFonts w:hint="eastAsia" w:ascii="新宋体" w:hAnsi="新宋体" w:eastAsia="新宋体" w:cs="新宋体"/>
          <w:b/>
          <w:bCs/>
          <w:color w:val="auto"/>
          <w:sz w:val="24"/>
          <w:szCs w:val="24"/>
          <w:highlight w:val="none"/>
          <w:lang w:val="en-US" w:eastAsia="zh-CN" w:bidi="ar-SA"/>
        </w:rPr>
        <w:outlineLvl w:val="9"/>
        <w:suppressLineNumbers w:val="0"/>
      </w:pPr>
      <w:r>
        <w:rPr>
          <w:rFonts w:hint="eastAsia" w:ascii="新宋体" w:hAnsi="新宋体" w:eastAsia="新宋体" w:cs="新宋体"/>
          <w:b/>
          <w:bCs/>
          <w:color w:val="auto"/>
          <w:sz w:val="24"/>
          <w:szCs w:val="24"/>
          <w:highlight w:val="none"/>
          <w:lang w:val="en-US" w:eastAsia="zh-CN" w:bidi="ar-SA"/>
        </w:rPr>
        <w:t xml:space="preserve">第十二条 协议有效期</w:t>
      </w:r>
      <w:r/>
    </w:p>
    <w:p>
      <w:pPr>
        <w:numPr>
          <w:ilvl w:val="0"/>
          <w:numId w:val="0"/>
        </w:numPr>
        <w:ind w:left="0" w:firstLine="480"/>
        <w:keepLines w:val="0"/>
        <w:keepNext w:val="0"/>
        <w:pageBreakBefore w:val="0"/>
        <w:spacing w:before="0" w:beforeAutospacing="0" w:after="0" w:afterAutospacing="0" w:line="360" w:lineRule="auto"/>
        <w:widowControl/>
        <w:rPr>
          <w:rFonts w:hint="eastAsia" w:ascii="宋体" w:hAnsi="宋体" w:eastAsia="宋体" w:cs="宋体"/>
          <w:sz w:val="24"/>
          <w:szCs w:val="24"/>
          <w:lang w:val="en-US" w:eastAsia="zh-CN" w:bidi="ar-SA"/>
        </w:rPr>
        <w:suppressLineNumbers w:val="0"/>
      </w:pPr>
      <w:r>
        <w:rPr>
          <w:rFonts w:hint="eastAsia" w:ascii="宋体" w:hAnsi="宋体" w:cs="宋体"/>
          <w:sz w:val="24"/>
          <w:szCs w:val="24"/>
          <w:lang w:val="en-US" w:eastAsia="zh-CN" w:bidi="ar-SA"/>
        </w:rPr>
        <w:t xml:space="preserve">1.</w:t>
      </w:r>
      <w:r>
        <w:rPr>
          <w:rFonts w:hint="eastAsia" w:ascii="宋体" w:hAnsi="宋体" w:eastAsia="宋体" w:cs="宋体"/>
          <w:sz w:val="24"/>
          <w:szCs w:val="24"/>
          <w:lang w:val="en-US" w:eastAsia="zh-CN" w:bidi="ar-SA"/>
        </w:rPr>
        <w:t xml:space="preserve">本协议书自联合体各方法定代表人或授权代表签字并加盖单位公章之日起生效。</w:t>
      </w:r>
      <w:r/>
    </w:p>
    <w:p>
      <w:pPr>
        <w:numPr>
          <w:ilvl w:val="0"/>
          <w:numId w:val="0"/>
        </w:numPr>
        <w:ind w:left="0" w:firstLine="480"/>
        <w:keepLines w:val="0"/>
        <w:keepNext w:val="0"/>
        <w:pageBreakBefore w:val="0"/>
        <w:spacing w:before="0" w:beforeAutospacing="0" w:after="0" w:afterAutospacing="0" w:line="360" w:lineRule="auto"/>
        <w:widowControl/>
        <w:rPr>
          <w:rFonts w:hint="eastAsia" w:ascii="宋体" w:hAnsi="宋体" w:eastAsia="宋体" w:cs="宋体"/>
          <w:sz w:val="24"/>
          <w:szCs w:val="24"/>
          <w:lang w:val="en-US" w:eastAsia="zh-CN" w:bidi="ar-SA"/>
        </w:rPr>
        <w:suppressLineNumbers w:val="0"/>
      </w:pPr>
      <w:r>
        <w:rPr>
          <w:rFonts w:hint="eastAsia" w:ascii="宋体" w:hAnsi="宋体" w:cs="宋体"/>
          <w:sz w:val="24"/>
          <w:szCs w:val="24"/>
          <w:lang w:val="en-US" w:eastAsia="zh-CN" w:bidi="ar-SA"/>
        </w:rPr>
        <w:t xml:space="preserve">2.</w:t>
      </w:r>
      <w:r>
        <w:rPr>
          <w:rFonts w:hint="eastAsia" w:ascii="宋体" w:hAnsi="宋体" w:eastAsia="宋体" w:cs="宋体"/>
          <w:sz w:val="24"/>
          <w:szCs w:val="24"/>
          <w:lang w:val="en-US" w:eastAsia="zh-CN" w:bidi="ar-SA"/>
        </w:rPr>
        <w:t xml:space="preserve">本协议书有效期覆盖本项目磋商响应有效期、合同履行期及质保/档案保存期，直至联合体各方对采购人的全部义务履行完毕为止。</w:t>
      </w:r>
      <w:r/>
    </w:p>
    <w:p>
      <w:pPr>
        <w:numPr>
          <w:ilvl w:val="0"/>
          <w:numId w:val="0"/>
        </w:numPr>
        <w:ind w:left="0" w:firstLine="480"/>
        <w:keepLines w:val="0"/>
        <w:keepNext w:val="0"/>
        <w:pageBreakBefore w:val="0"/>
        <w:spacing w:before="0" w:beforeAutospacing="0" w:after="0" w:afterAutospacing="0" w:line="360" w:lineRule="auto"/>
        <w:widowControl/>
        <w:rPr>
          <w:rFonts w:hint="eastAsia" w:ascii="宋体" w:hAnsi="宋体" w:eastAsia="宋体" w:cs="宋体"/>
          <w:sz w:val="24"/>
          <w:szCs w:val="24"/>
          <w:lang w:val="en-US" w:eastAsia="zh-CN" w:bidi="ar-SA"/>
        </w:rPr>
        <w:suppressLineNumbers w:val="0"/>
      </w:pPr>
      <w:r>
        <w:rPr>
          <w:rFonts w:hint="eastAsia" w:ascii="宋体" w:hAnsi="宋体" w:cs="宋体"/>
          <w:sz w:val="24"/>
          <w:szCs w:val="24"/>
          <w:lang w:val="en-US" w:eastAsia="zh-CN" w:bidi="ar-SA"/>
        </w:rPr>
        <w:t xml:space="preserve">3.</w:t>
      </w:r>
      <w:r>
        <w:rPr>
          <w:rFonts w:hint="eastAsia" w:ascii="宋体" w:hAnsi="宋体" w:eastAsia="宋体" w:cs="宋体"/>
          <w:sz w:val="24"/>
          <w:szCs w:val="24"/>
          <w:lang w:val="en-US" w:eastAsia="zh-CN" w:bidi="ar-SA"/>
        </w:rPr>
        <w:t xml:space="preserve">本项目若未成交，本协议书自动失效，但保密义务条款继续有效。</w:t>
      </w:r>
      <w:r/>
    </w:p>
    <w:p>
      <w:pPr>
        <w:ind w:left="0" w:firstLine="482"/>
        <w:keepLines w:val="0"/>
        <w:keepNext w:val="0"/>
        <w:pageBreakBefore w:val="0"/>
        <w:spacing w:beforeAutospacing="0" w:afterAutospacing="0" w:line="360" w:lineRule="auto"/>
        <w:widowControl/>
        <w:rPr>
          <w:rFonts w:hint="eastAsia" w:ascii="新宋体" w:hAnsi="新宋体" w:eastAsia="新宋体" w:cs="新宋体"/>
          <w:b/>
          <w:bCs/>
          <w:color w:val="auto"/>
          <w:sz w:val="24"/>
          <w:szCs w:val="24"/>
          <w:highlight w:val="none"/>
          <w:lang w:val="en-US" w:eastAsia="zh-CN" w:bidi="ar-SA"/>
        </w:rPr>
        <w:outlineLvl w:val="9"/>
        <w:suppressLineNumbers w:val="0"/>
      </w:pPr>
      <w:r>
        <w:rPr>
          <w:rFonts w:hint="eastAsia" w:ascii="新宋体" w:hAnsi="新宋体" w:eastAsia="新宋体" w:cs="新宋体"/>
          <w:b/>
          <w:bCs/>
          <w:color w:val="auto"/>
          <w:sz w:val="24"/>
          <w:szCs w:val="24"/>
          <w:highlight w:val="none"/>
          <w:lang w:val="en-US" w:eastAsia="zh-CN" w:bidi="ar-SA"/>
        </w:rPr>
        <w:t xml:space="preserve">第十三条 其他约定</w:t>
      </w:r>
      <w:r/>
    </w:p>
    <w:p>
      <w:pPr>
        <w:numPr>
          <w:ilvl w:val="0"/>
          <w:numId w:val="0"/>
        </w:numPr>
        <w:ind w:left="0" w:firstLine="480"/>
        <w:keepLines w:val="0"/>
        <w:keepNext w:val="0"/>
        <w:pageBreakBefore w:val="0"/>
        <w:spacing w:before="0" w:beforeAutospacing="0" w:after="0" w:afterAutospacing="0" w:line="360" w:lineRule="auto"/>
        <w:widowControl/>
        <w:rPr>
          <w:rFonts w:hint="eastAsia" w:ascii="宋体" w:hAnsi="宋体" w:eastAsia="宋体" w:cs="宋体"/>
          <w:sz w:val="24"/>
          <w:szCs w:val="24"/>
          <w:lang w:val="en-US" w:eastAsia="zh-CN" w:bidi="ar-SA"/>
        </w:rPr>
        <w:suppressLineNumbers w:val="0"/>
      </w:pPr>
      <w:r>
        <w:rPr>
          <w:rFonts w:hint="eastAsia" w:ascii="宋体" w:hAnsi="宋体" w:cs="宋体"/>
          <w:sz w:val="24"/>
          <w:szCs w:val="24"/>
          <w:lang w:val="en-US" w:eastAsia="zh-CN" w:bidi="ar-SA"/>
        </w:rPr>
        <w:t xml:space="preserve">1.</w:t>
      </w:r>
      <w:r>
        <w:rPr>
          <w:rFonts w:hint="eastAsia" w:ascii="宋体" w:hAnsi="宋体" w:eastAsia="宋体" w:cs="宋体"/>
          <w:sz w:val="24"/>
          <w:szCs w:val="24"/>
          <w:lang w:val="en-US" w:eastAsia="zh-CN" w:bidi="ar-SA"/>
        </w:rPr>
        <w:t xml:space="preserve">本协议书未尽事宜，由联合体各方另行协商签订补充协议，补充协议与本协议书具有同等法律效力。</w:t>
      </w:r>
      <w:r/>
    </w:p>
    <w:p>
      <w:pPr>
        <w:numPr>
          <w:ilvl w:val="0"/>
          <w:numId w:val="0"/>
        </w:numPr>
        <w:ind w:left="0" w:firstLine="480"/>
        <w:keepLines w:val="0"/>
        <w:keepNext w:val="0"/>
        <w:pageBreakBefore w:val="0"/>
        <w:spacing w:before="0" w:beforeAutospacing="0" w:after="0" w:afterAutospacing="0" w:line="360" w:lineRule="auto"/>
        <w:widowControl/>
        <w:rPr>
          <w:rFonts w:hint="eastAsia" w:ascii="宋体" w:hAnsi="宋体" w:eastAsia="宋体" w:cs="宋体"/>
          <w:sz w:val="24"/>
          <w:szCs w:val="24"/>
          <w:lang w:val="en-US" w:eastAsia="zh-CN" w:bidi="ar-SA"/>
        </w:rPr>
        <w:suppressLineNumbers w:val="0"/>
      </w:pPr>
      <w:r>
        <w:rPr>
          <w:rFonts w:hint="eastAsia" w:ascii="宋体" w:hAnsi="宋体" w:cs="宋体"/>
          <w:sz w:val="24"/>
          <w:szCs w:val="24"/>
          <w:lang w:val="en-US" w:eastAsia="zh-CN" w:bidi="ar-SA"/>
        </w:rPr>
        <w:t xml:space="preserve">2.</w:t>
      </w:r>
      <w:r>
        <w:rPr>
          <w:rFonts w:hint="eastAsia" w:ascii="宋体" w:hAnsi="宋体" w:eastAsia="宋体" w:cs="宋体"/>
          <w:sz w:val="24"/>
          <w:szCs w:val="24"/>
          <w:lang w:val="en-US" w:eastAsia="zh-CN" w:bidi="ar-SA"/>
        </w:rPr>
        <w:t xml:space="preserve">本协议书一式____份，采购人执____份，联合体牵头人执____份，成员单位执____份，具有同等法律效力。</w:t>
      </w:r>
      <w:r/>
    </w:p>
    <w:p>
      <w:pPr>
        <w:numPr>
          <w:ilvl w:val="0"/>
          <w:numId w:val="0"/>
        </w:numPr>
        <w:ind w:left="0" w:firstLine="480"/>
        <w:keepLines w:val="0"/>
        <w:keepNext w:val="0"/>
        <w:pageBreakBefore w:val="0"/>
        <w:spacing w:before="0" w:beforeAutospacing="0" w:after="0" w:afterAutospacing="0" w:line="360" w:lineRule="auto"/>
        <w:widowControl/>
        <w:rPr>
          <w:rFonts w:hint="eastAsia" w:ascii="宋体" w:hAnsi="宋体" w:eastAsia="宋体" w:cs="宋体"/>
          <w:sz w:val="24"/>
          <w:szCs w:val="24"/>
          <w:lang w:val="en-US" w:eastAsia="zh-CN" w:bidi="ar-SA"/>
        </w:rPr>
        <w:suppressLineNumbers w:val="0"/>
      </w:pPr>
      <w:r>
        <w:rPr>
          <w:rFonts w:hint="eastAsia" w:ascii="宋体" w:hAnsi="宋体" w:cs="宋体"/>
          <w:sz w:val="24"/>
          <w:szCs w:val="24"/>
          <w:lang w:val="en-US" w:eastAsia="zh-CN" w:bidi="ar-SA"/>
        </w:rPr>
        <w:t xml:space="preserve">3.</w:t>
      </w:r>
      <w:r>
        <w:rPr>
          <w:rFonts w:hint="eastAsia" w:ascii="宋体" w:hAnsi="宋体" w:eastAsia="宋体" w:cs="宋体"/>
          <w:sz w:val="24"/>
          <w:szCs w:val="24"/>
          <w:lang w:val="en-US" w:eastAsia="zh-CN" w:bidi="ar-SA"/>
        </w:rPr>
        <w:t xml:space="preserve">因本协议书产生的争议，由联合体各方协商解决；协商不成的，提交项目所在地有管辖权的人民法院诉讼解决。</w:t>
      </w:r>
      <w:r/>
    </w:p>
    <w:p>
      <w:pPr>
        <w:ind w:left="0" w:firstLine="420"/>
        <w:keepLines w:val="0"/>
        <w:keepNext w:val="0"/>
        <w:pageBreakBefore w:val="0"/>
        <w:spacing w:beforeAutospacing="0" w:afterAutospacing="0" w:line="360" w:lineRule="auto"/>
        <w:widowControl/>
        <w:suppressLineNumbers w:val="0"/>
      </w:pPr>
      <w:r/>
      <w:r/>
    </w:p>
    <w:p>
      <w:pPr>
        <w:pStyle w:val="705"/>
        <w:ind w:firstLine="241"/>
        <w:keepLines w:val="0"/>
        <w:keepNext w:val="0"/>
        <w:widowControl/>
        <w:suppressLineNumbers w:val="0"/>
      </w:pPr>
      <w:r>
        <w:rPr>
          <w:rStyle w:val="710"/>
        </w:rPr>
        <w:t xml:space="preserve">联合体牵头人（盖章）：</w:t>
      </w:r>
      <w:r/>
    </w:p>
    <w:p>
      <w:pPr>
        <w:pStyle w:val="705"/>
        <w:keepLines w:val="0"/>
        <w:keepNext w:val="0"/>
        <w:widowControl/>
        <w:suppressLineNumbers w:val="0"/>
      </w:pPr>
      <w:r>
        <w:t xml:space="preserve">法定代表人或授权代表（签字）：________________</w:t>
      </w:r>
      <w:r/>
    </w:p>
    <w:p>
      <w:pPr>
        <w:pStyle w:val="705"/>
        <w:keepLines w:val="0"/>
        <w:keepNext w:val="0"/>
        <w:widowControl/>
        <w:suppressLineNumbers w:val="0"/>
      </w:pPr>
      <w:r>
        <w:t xml:space="preserve">日期：______年____月____日</w:t>
      </w:r>
      <w:r/>
    </w:p>
    <w:p>
      <w:pPr>
        <w:pStyle w:val="705"/>
        <w:keepLines w:val="0"/>
        <w:keepNext w:val="0"/>
        <w:widowControl/>
        <w:suppressLineNumbers w:val="0"/>
      </w:pPr>
      <w:r>
        <w:t xml:space="preserve">联系人及电话：________________</w:t>
      </w:r>
      <w:r/>
    </w:p>
    <w:p>
      <w:pPr>
        <w:pStyle w:val="705"/>
        <w:ind w:firstLine="241"/>
        <w:keepLines w:val="0"/>
        <w:keepNext w:val="0"/>
        <w:widowControl/>
        <w:suppressLineNumbers w:val="0"/>
      </w:pPr>
      <w:r>
        <w:rPr>
          <w:rStyle w:val="710"/>
        </w:rPr>
        <w:t xml:space="preserve">联合体成员单位（盖章）：</w:t>
      </w:r>
      <w:r/>
    </w:p>
    <w:p>
      <w:pPr>
        <w:pStyle w:val="705"/>
        <w:keepLines w:val="0"/>
        <w:keepNext w:val="0"/>
        <w:widowControl/>
        <w:suppressLineNumbers w:val="0"/>
      </w:pPr>
      <w:r>
        <w:t xml:space="preserve">法定代表人或授权代表（签字）：________________</w:t>
      </w:r>
      <w:r/>
    </w:p>
    <w:p>
      <w:pPr>
        <w:pStyle w:val="705"/>
        <w:keepLines w:val="0"/>
        <w:keepNext w:val="0"/>
        <w:widowControl/>
        <w:suppressLineNumbers w:val="0"/>
      </w:pPr>
      <w:r>
        <w:t xml:space="preserve">日期：______年____月____日</w:t>
      </w:r>
      <w:r/>
    </w:p>
    <w:p>
      <w:pPr>
        <w:pStyle w:val="705"/>
        <w:keepLines w:val="0"/>
        <w:keepNext w:val="0"/>
        <w:widowControl/>
        <w:suppressLineNumbers w:val="0"/>
      </w:pPr>
      <w:r>
        <w:t xml:space="preserve">联系人及电话：________________</w:t>
      </w:r>
      <w:r/>
    </w:p>
    <w:p>
      <w:pPr>
        <w:keepLines w:val="0"/>
        <w:keepNext w:val="0"/>
        <w:widowControl/>
        <w:suppressLineNumbers w:val="0"/>
      </w:pPr>
      <w:r>
        <mc:AlternateContent>
          <mc:Choice Requires="wpg">
            <w:drawing>
              <wp:inline xmlns:wp="http://schemas.openxmlformats.org/drawingml/2006/wordprocessingDrawing" distT="0" distB="0" distL="0" distR="0">
                <wp:extent cx="5486400" cy="19050"/>
                <wp:effectExtent l="0" t="0" r="0" b="0"/>
                <wp:docPr id="2" name=""/>
                <wp:cNvGraphicFramePr/>
                <a:graphic xmlns:a="http://schemas.openxmlformats.org/drawingml/2006/main">
                  <a:graphicData uri="http://schemas.microsoft.com/office/word/2010/wordprocessingShape">
                    <wps:wsp>
                      <wps:cNvPr id="0" name=""/>
                      <wps:cNvSpPr/>
                      <wps:spPr bwMode="auto">
                        <a:xfrm>
                          <a:off x="0" y="0"/>
                          <a:ext cx="5486400" cy="19050"/>
                        </a:xfrm>
                        <a:prstGeom prst="rect">
                          <a:avLst/>
                        </a:prstGeom>
                        <a:solidFill>
                          <a:srgbClr val="A0A0A0"/>
                        </a:solidFill>
                        <a:ln>
                          <a:noFill/>
                        </a:ln>
                      </wps:spPr>
                      <wps:bodyPr rot="0">
                        <a:prstTxWarp prst="textNoShape">
                          <a:avLst/>
                        </a:prstTxWarp>
                        <a:noAutofit/>
                      </wps:bodyPr>
                    </wps:wsp>
                  </a:graphicData>
                </a:graphic>
              </wp:inline>
            </w:drawing>
          </mc:Choice>
          <mc:Fallback>
            <w:pict>
              <v:shape id="shape 1" o:spid="_x0000_s1" o:spt="1" type="#_x0000_t1" style="width:432.0pt;height:1.5pt;mso-wrap-distance-left:0.0pt;mso-wrap-distance-top:0.0pt;mso-wrap-distance-right:0.0pt;mso-wrap-distance-bottom:0.0pt;visibility:visible;" fillcolor="#A0A0A0" stroked="f"/>
            </w:pict>
          </mc:Fallback>
        </mc:AlternateContent>
      </w:r>
      <w:r/>
    </w:p>
    <w:p>
      <w:pPr>
        <w:pStyle w:val="705"/>
        <w:ind w:left="0" w:right="0" w:firstLine="482"/>
        <w:keepLines w:val="0"/>
        <w:keepNext w:val="0"/>
        <w:pageBreakBefore w:val="0"/>
        <w:spacing w:before="0" w:beforeAutospacing="0" w:after="0" w:afterAutospacing="0" w:line="360" w:lineRule="auto"/>
        <w:widowControl/>
        <w:suppressLineNumbers w:val="0"/>
      </w:pPr>
      <w:r>
        <w:rPr>
          <w:rStyle w:val="710"/>
          <w:rFonts w:hint="eastAsia" w:ascii="宋体" w:hAnsi="宋体" w:eastAsia="宋体" w:cs="宋体"/>
          <w:sz w:val="24"/>
          <w:szCs w:val="24"/>
        </w:rPr>
        <w:t xml:space="preserve">使用说明：</w:t>
      </w:r>
      <w:r/>
    </w:p>
    <w:p>
      <w:pPr>
        <w:numPr>
          <w:ilvl w:val="0"/>
          <w:numId w:val="12"/>
        </w:numPr>
        <w:ind w:left="0" w:right="0" w:firstLine="480"/>
        <w:keepLines w:val="0"/>
        <w:keepNext w:val="0"/>
        <w:pageBreakBefore w:val="0"/>
        <w:spacing w:beforeAutospacing="0" w:afterAutospacing="0" w:line="360" w:lineRule="auto"/>
        <w:widowControl/>
        <w:suppressLineNumbers w:val="0"/>
      </w:pPr>
      <w:r>
        <w:rPr>
          <w:rFonts w:hint="eastAsia" w:ascii="宋体" w:hAnsi="宋体" w:eastAsia="宋体" w:cs="宋体"/>
          <w:sz w:val="24"/>
          <w:szCs w:val="24"/>
        </w:rPr>
        <w:t xml:space="preserve">本协议为响应文件必备组成部分，须由联合体各方法定代表人或授权代表签字并加盖单位公章，随响应文件一并递交。</w:t>
      </w:r>
      <w:r/>
    </w:p>
    <w:p>
      <w:pPr>
        <w:numPr>
          <w:ilvl w:val="0"/>
          <w:numId w:val="12"/>
        </w:numPr>
        <w:ind w:left="0" w:right="0" w:firstLine="480"/>
        <w:keepLines w:val="0"/>
        <w:keepNext w:val="0"/>
        <w:pageBreakBefore w:val="0"/>
        <w:spacing w:beforeAutospacing="0" w:afterAutospacing="0" w:line="360" w:lineRule="auto"/>
        <w:widowControl/>
        <w:suppressLineNumbers w:val="0"/>
      </w:pPr>
      <w:r>
        <w:rPr>
          <w:rFonts w:hint="eastAsia" w:ascii="宋体" w:hAnsi="宋体" w:eastAsia="宋体" w:cs="宋体"/>
          <w:sz w:val="24"/>
          <w:szCs w:val="24"/>
        </w:rPr>
        <w:t xml:space="preserve">协议中带下划线的空白处须据实填写，不得留空；检测参数分工须逐项列明，可另附附表作为本协议附件。</w:t>
      </w:r>
      <w:r/>
    </w:p>
    <w:p>
      <w:pPr>
        <w:numPr>
          <w:ilvl w:val="0"/>
          <w:numId w:val="12"/>
        </w:numPr>
        <w:ind w:left="0" w:right="0" w:firstLine="480"/>
        <w:keepLines w:val="0"/>
        <w:keepNext w:val="0"/>
        <w:pageBreakBefore w:val="0"/>
        <w:spacing w:beforeAutospacing="0" w:afterAutospacing="0" w:line="360" w:lineRule="auto"/>
        <w:widowControl/>
        <w:suppressLineNumbers w:val="0"/>
      </w:pPr>
      <w:r>
        <w:rPr>
          <w:rFonts w:hint="eastAsia" w:ascii="宋体" w:hAnsi="宋体" w:eastAsia="宋体" w:cs="宋体"/>
          <w:sz w:val="24"/>
          <w:szCs w:val="24"/>
        </w:rPr>
        <w:t xml:space="preserve">本协议与磋商文件、成交供应商响应文件、政府采购合同共同构成联合体履约的完整依据。</w:t>
      </w:r>
      <w:r/>
    </w:p>
    <w:p>
      <w:pPr>
        <w:jc w:val="center"/>
        <w:rPr>
          <w:rFonts w:hint="eastAsia" w:ascii="新宋体" w:hAnsi="新宋体" w:eastAsia="新宋体" w:cs="新宋体"/>
          <w:b/>
          <w:bCs/>
          <w:color w:val="auto"/>
          <w:sz w:val="24"/>
          <w:szCs w:val="24"/>
          <w:highlight w:val="none"/>
        </w:rPr>
      </w:pPr>
      <w:r>
        <w:rPr>
          <w:rFonts w:hint="eastAsia" w:ascii="新宋体" w:hAnsi="新宋体" w:eastAsia="新宋体" w:cs="新宋体"/>
          <w:b/>
          <w:bCs/>
          <w:color w:val="auto"/>
          <w:sz w:val="24"/>
          <w:szCs w:val="24"/>
          <w:highlight w:val="none"/>
        </w:rPr>
      </w:r>
      <w:r/>
    </w:p>
    <w:p>
      <w:pPr>
        <w:jc w:val="center"/>
        <w:rPr>
          <w:rFonts w:hint="eastAsia" w:ascii="新宋体" w:hAnsi="新宋体" w:eastAsia="新宋体" w:cs="新宋体"/>
          <w:b/>
          <w:bCs/>
          <w:color w:val="auto"/>
          <w:sz w:val="24"/>
          <w:szCs w:val="24"/>
          <w:highlight w:val="none"/>
        </w:rPr>
        <w:sectPr>
          <w:footnotePr/>
          <w:endnotePr/>
          <w:type w:val="nextPage"/>
          <w:pgSz w:w="11906" w:h="16838" w:orient="portrait"/>
          <w:pgMar w:top="1440" w:right="1417" w:bottom="1440" w:left="1417" w:header="851" w:footer="992" w:gutter="0"/>
          <w:cols w:num="1" w:sep="0" w:space="720" w:equalWidth="1"/>
          <w:docGrid w:linePitch="360"/>
        </w:sectPr>
      </w:pPr>
      <w:r>
        <w:rPr>
          <w:rFonts w:hint="eastAsia" w:ascii="新宋体" w:hAnsi="新宋体" w:eastAsia="新宋体" w:cs="新宋体"/>
          <w:b/>
          <w:bCs/>
          <w:color w:val="auto"/>
          <w:sz w:val="24"/>
          <w:szCs w:val="24"/>
          <w:highlight w:val="none"/>
        </w:rPr>
      </w:r>
      <w:r/>
    </w:p>
    <w:p>
      <w:pPr>
        <w:jc w:val="center"/>
        <w:rPr>
          <w:rFonts w:hint="eastAsia" w:ascii="新宋体" w:hAnsi="新宋体" w:eastAsia="新宋体" w:cs="新宋体"/>
          <w:b/>
          <w:bCs/>
          <w:color w:val="auto"/>
          <w:sz w:val="24"/>
          <w:szCs w:val="24"/>
          <w:highlight w:val="none"/>
        </w:rPr>
      </w:pPr>
      <w:r>
        <w:rPr>
          <w:rFonts w:hint="eastAsia" w:ascii="新宋体" w:hAnsi="新宋体" w:eastAsia="新宋体" w:cs="新宋体"/>
          <w:b/>
          <w:bCs/>
          <w:color w:val="auto"/>
          <w:sz w:val="24"/>
          <w:szCs w:val="24"/>
          <w:highlight w:val="none"/>
        </w:rPr>
        <w:t xml:space="preserve">质疑函范本</w:t>
      </w:r>
      <w:r/>
    </w:p>
    <w:p>
      <w:pPr>
        <w:keepLines w:val="0"/>
        <w:keepNext w:val="0"/>
        <w:pageBreakBefore w:val="0"/>
        <w:spacing w:before="290" w:line="320" w:lineRule="exact"/>
        <w:widowControl w:val="off"/>
        <w:rPr>
          <w:rFonts w:hint="eastAsia" w:ascii="新宋体" w:hAnsi="新宋体" w:eastAsia="新宋体" w:cs="新宋体"/>
          <w:bCs/>
          <w:color w:val="auto"/>
          <w:sz w:val="24"/>
          <w:szCs w:val="24"/>
          <w:highlight w:val="none"/>
        </w:rPr>
      </w:pPr>
      <w:r>
        <w:rPr>
          <w:rFonts w:hint="eastAsia" w:ascii="新宋体" w:hAnsi="新宋体" w:eastAsia="新宋体" w:cs="新宋体"/>
          <w:bCs/>
          <w:color w:val="auto"/>
          <w:sz w:val="24"/>
          <w:szCs w:val="24"/>
          <w:highlight w:val="none"/>
        </w:rPr>
        <w:t xml:space="preserve">一、质疑供应商基本信息</w:t>
      </w:r>
      <w:r/>
    </w:p>
    <w:p>
      <w:pPr>
        <w:keepLines w:val="0"/>
        <w:keepNext w:val="0"/>
        <w:pageBreakBefore w:val="0"/>
        <w:spacing w:line="320" w:lineRule="exact"/>
        <w:widowControl w:val="off"/>
        <w:rPr>
          <w:rFonts w:hint="eastAsia" w:ascii="新宋体" w:hAnsi="新宋体" w:eastAsia="新宋体" w:cs="新宋体"/>
          <w:color w:val="auto"/>
          <w:sz w:val="24"/>
          <w:szCs w:val="24"/>
          <w:highlight w:val="none"/>
          <w:u w:val="single"/>
        </w:rPr>
      </w:pPr>
      <w:r>
        <w:rPr>
          <w:rFonts w:hint="eastAsia" w:ascii="新宋体" w:hAnsi="新宋体" w:eastAsia="新宋体" w:cs="新宋体"/>
          <w:color w:val="auto"/>
          <w:sz w:val="24"/>
          <w:szCs w:val="24"/>
          <w:highlight w:val="none"/>
        </w:rPr>
        <w:t xml:space="preserve">质疑供应商：</w:t>
      </w:r>
      <w:r>
        <w:rPr>
          <w:rFonts w:hint="eastAsia" w:ascii="新宋体" w:hAnsi="新宋体" w:eastAsia="新宋体" w:cs="新宋体"/>
          <w:color w:val="auto"/>
          <w:sz w:val="24"/>
          <w:szCs w:val="24"/>
          <w:highlight w:val="none"/>
          <w:u w:val="single"/>
        </w:rPr>
        <w:t xml:space="preserve">                                                              </w:t>
      </w:r>
      <w:r/>
    </w:p>
    <w:p>
      <w:pPr>
        <w:keepLines w:val="0"/>
        <w:keepNext w:val="0"/>
        <w:pageBreakBefore w:val="0"/>
        <w:spacing w:line="320" w:lineRule="exact"/>
        <w:widowControl w:val="off"/>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地址：</w:t>
      </w:r>
      <w:r>
        <w:rPr>
          <w:rFonts w:hint="eastAsia" w:ascii="新宋体" w:hAnsi="新宋体" w:eastAsia="新宋体" w:cs="新宋体"/>
          <w:color w:val="auto"/>
          <w:sz w:val="24"/>
          <w:szCs w:val="24"/>
          <w:highlight w:val="none"/>
          <w:u w:val="single"/>
        </w:rPr>
        <w:t xml:space="preserve">                             </w:t>
      </w:r>
      <w:r>
        <w:rPr>
          <w:rFonts w:hint="eastAsia" w:ascii="新宋体" w:hAnsi="新宋体" w:eastAsia="新宋体" w:cs="新宋体"/>
          <w:color w:val="auto"/>
          <w:sz w:val="24"/>
          <w:szCs w:val="24"/>
          <w:highlight w:val="none"/>
        </w:rPr>
        <w:t xml:space="preserve">邮编：</w:t>
      </w:r>
      <w:r>
        <w:rPr>
          <w:rFonts w:hint="eastAsia" w:ascii="新宋体" w:hAnsi="新宋体" w:eastAsia="新宋体" w:cs="新宋体"/>
          <w:color w:val="auto"/>
          <w:sz w:val="24"/>
          <w:szCs w:val="24"/>
          <w:highlight w:val="none"/>
          <w:u w:val="single"/>
        </w:rPr>
        <w:t xml:space="preserve">                                    </w:t>
      </w:r>
      <w:r/>
    </w:p>
    <w:p>
      <w:pPr>
        <w:keepLines w:val="0"/>
        <w:keepNext w:val="0"/>
        <w:pageBreakBefore w:val="0"/>
        <w:spacing w:line="320" w:lineRule="exact"/>
        <w:widowControl w:val="off"/>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联系人：</w:t>
      </w:r>
      <w:r>
        <w:rPr>
          <w:rFonts w:hint="eastAsia" w:ascii="新宋体" w:hAnsi="新宋体" w:eastAsia="新宋体" w:cs="新宋体"/>
          <w:color w:val="auto"/>
          <w:sz w:val="24"/>
          <w:szCs w:val="24"/>
          <w:highlight w:val="none"/>
          <w:u w:val="single"/>
        </w:rPr>
        <w:t xml:space="preserve">                      </w:t>
      </w:r>
      <w:r>
        <w:rPr>
          <w:rFonts w:hint="eastAsia" w:ascii="新宋体" w:hAnsi="新宋体" w:eastAsia="新宋体" w:cs="新宋体"/>
          <w:color w:val="auto"/>
          <w:sz w:val="24"/>
          <w:szCs w:val="24"/>
          <w:highlight w:val="none"/>
        </w:rPr>
        <w:t xml:space="preserve">联系电话：</w:t>
      </w:r>
      <w:r>
        <w:rPr>
          <w:rFonts w:hint="eastAsia" w:ascii="新宋体" w:hAnsi="新宋体" w:eastAsia="新宋体" w:cs="新宋体"/>
          <w:color w:val="auto"/>
          <w:sz w:val="24"/>
          <w:szCs w:val="24"/>
          <w:highlight w:val="none"/>
          <w:u w:val="single"/>
        </w:rPr>
        <w:t xml:space="preserve">                                       </w:t>
      </w:r>
      <w:r/>
    </w:p>
    <w:p>
      <w:pPr>
        <w:keepLines w:val="0"/>
        <w:keepNext w:val="0"/>
        <w:pageBreakBefore w:val="0"/>
        <w:spacing w:line="320" w:lineRule="exact"/>
        <w:widowControl w:val="off"/>
        <w:rPr>
          <w:rFonts w:hint="eastAsia" w:ascii="新宋体" w:hAnsi="新宋体" w:eastAsia="新宋体" w:cs="新宋体"/>
          <w:color w:val="auto"/>
          <w:sz w:val="24"/>
          <w:szCs w:val="24"/>
          <w:highlight w:val="none"/>
          <w:u w:val="single"/>
        </w:rPr>
      </w:pPr>
      <w:r>
        <w:rPr>
          <w:rFonts w:hint="eastAsia" w:ascii="新宋体" w:hAnsi="新宋体" w:eastAsia="新宋体" w:cs="新宋体"/>
          <w:color w:val="auto"/>
          <w:sz w:val="24"/>
          <w:szCs w:val="24"/>
          <w:highlight w:val="none"/>
        </w:rPr>
        <w:t xml:space="preserve">授权代表：</w:t>
      </w:r>
      <w:r>
        <w:rPr>
          <w:rFonts w:hint="eastAsia" w:ascii="新宋体" w:hAnsi="新宋体" w:eastAsia="新宋体" w:cs="新宋体"/>
          <w:color w:val="auto"/>
          <w:sz w:val="24"/>
          <w:szCs w:val="24"/>
          <w:highlight w:val="none"/>
          <w:u w:val="single"/>
        </w:rPr>
        <w:t xml:space="preserve">                                                                 </w:t>
      </w:r>
      <w:r/>
    </w:p>
    <w:p>
      <w:pPr>
        <w:keepLines w:val="0"/>
        <w:keepNext w:val="0"/>
        <w:pageBreakBefore w:val="0"/>
        <w:spacing w:line="320" w:lineRule="exact"/>
        <w:widowControl w:val="off"/>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联系电话：</w:t>
      </w:r>
      <w:r>
        <w:rPr>
          <w:rFonts w:hint="eastAsia" w:ascii="新宋体" w:hAnsi="新宋体" w:eastAsia="新宋体" w:cs="新宋体"/>
          <w:color w:val="auto"/>
          <w:sz w:val="24"/>
          <w:szCs w:val="24"/>
          <w:highlight w:val="none"/>
          <w:u w:val="single"/>
        </w:rPr>
        <w:t xml:space="preserve">                                                                </w:t>
      </w:r>
      <w:r/>
    </w:p>
    <w:p>
      <w:pPr>
        <w:keepLines w:val="0"/>
        <w:keepNext w:val="0"/>
        <w:pageBreakBefore w:val="0"/>
        <w:spacing w:line="320" w:lineRule="exact"/>
        <w:widowControl w:val="off"/>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地址： </w:t>
      </w:r>
      <w:r>
        <w:rPr>
          <w:rFonts w:hint="eastAsia" w:ascii="新宋体" w:hAnsi="新宋体" w:eastAsia="新宋体" w:cs="新宋体"/>
          <w:color w:val="auto"/>
          <w:sz w:val="24"/>
          <w:szCs w:val="24"/>
          <w:highlight w:val="none"/>
          <w:u w:val="single"/>
        </w:rPr>
        <w:t xml:space="preserve">                        </w:t>
      </w:r>
      <w:r>
        <w:rPr>
          <w:rFonts w:hint="eastAsia" w:ascii="新宋体" w:hAnsi="新宋体" w:eastAsia="新宋体" w:cs="新宋体"/>
          <w:color w:val="auto"/>
          <w:sz w:val="24"/>
          <w:szCs w:val="24"/>
          <w:highlight w:val="none"/>
        </w:rPr>
        <w:t xml:space="preserve">邮编：</w:t>
      </w:r>
      <w:r>
        <w:rPr>
          <w:rFonts w:hint="eastAsia" w:ascii="新宋体" w:hAnsi="新宋体" w:eastAsia="新宋体" w:cs="新宋体"/>
          <w:color w:val="auto"/>
          <w:sz w:val="24"/>
          <w:szCs w:val="24"/>
          <w:highlight w:val="none"/>
          <w:u w:val="single"/>
        </w:rPr>
        <w:t xml:space="preserve">                                     </w:t>
      </w:r>
      <w:r/>
    </w:p>
    <w:p>
      <w:pPr>
        <w:keepLines w:val="0"/>
        <w:keepNext w:val="0"/>
        <w:pageBreakBefore w:val="0"/>
        <w:spacing w:line="320" w:lineRule="exact"/>
        <w:widowControl w:val="off"/>
        <w:rPr>
          <w:rFonts w:hint="eastAsia" w:ascii="新宋体" w:hAnsi="新宋体" w:eastAsia="新宋体" w:cs="新宋体"/>
          <w:bCs/>
          <w:color w:val="auto"/>
          <w:sz w:val="24"/>
          <w:szCs w:val="24"/>
          <w:highlight w:val="none"/>
        </w:rPr>
      </w:pPr>
      <w:r>
        <w:rPr>
          <w:rFonts w:hint="eastAsia" w:ascii="新宋体" w:hAnsi="新宋体" w:eastAsia="新宋体" w:cs="新宋体"/>
          <w:bCs/>
          <w:color w:val="auto"/>
          <w:sz w:val="24"/>
          <w:szCs w:val="24"/>
          <w:highlight w:val="none"/>
        </w:rPr>
        <w:t xml:space="preserve">二、质疑项目基本情况</w:t>
      </w:r>
      <w:r/>
    </w:p>
    <w:p>
      <w:pPr>
        <w:keepLines w:val="0"/>
        <w:keepNext w:val="0"/>
        <w:pageBreakBefore w:val="0"/>
        <w:spacing w:line="320" w:lineRule="exact"/>
        <w:widowControl w:val="off"/>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质疑项目的名称：</w:t>
      </w:r>
      <w:r>
        <w:rPr>
          <w:rFonts w:hint="eastAsia" w:ascii="新宋体" w:hAnsi="新宋体" w:eastAsia="新宋体" w:cs="新宋体"/>
          <w:color w:val="auto"/>
          <w:sz w:val="24"/>
          <w:szCs w:val="24"/>
          <w:highlight w:val="none"/>
          <w:u w:val="single"/>
        </w:rPr>
        <w:t xml:space="preserve">                                                          </w:t>
      </w:r>
      <w:r/>
    </w:p>
    <w:p>
      <w:pPr>
        <w:keepLines w:val="0"/>
        <w:keepNext w:val="0"/>
        <w:pageBreakBefore w:val="0"/>
        <w:spacing w:line="320" w:lineRule="exact"/>
        <w:widowControl w:val="off"/>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质疑项目的编号：</w:t>
      </w:r>
      <w:r>
        <w:rPr>
          <w:rFonts w:hint="eastAsia" w:ascii="新宋体" w:hAnsi="新宋体" w:eastAsia="新宋体" w:cs="新宋体"/>
          <w:color w:val="auto"/>
          <w:sz w:val="24"/>
          <w:szCs w:val="24"/>
          <w:highlight w:val="none"/>
          <w:u w:val="single"/>
        </w:rPr>
        <w:t xml:space="preserve">                         </w:t>
      </w:r>
      <w:r>
        <w:rPr>
          <w:rFonts w:hint="eastAsia" w:ascii="新宋体" w:hAnsi="新宋体" w:eastAsia="新宋体" w:cs="新宋体"/>
          <w:color w:val="auto"/>
          <w:sz w:val="24"/>
          <w:szCs w:val="24"/>
          <w:highlight w:val="none"/>
        </w:rPr>
        <w:t xml:space="preserve">包号：</w:t>
      </w:r>
      <w:r>
        <w:rPr>
          <w:rFonts w:hint="eastAsia" w:ascii="新宋体" w:hAnsi="新宋体" w:eastAsia="新宋体" w:cs="新宋体"/>
          <w:color w:val="auto"/>
          <w:sz w:val="24"/>
          <w:szCs w:val="24"/>
          <w:highlight w:val="none"/>
          <w:u w:val="single"/>
        </w:rPr>
        <w:t xml:space="preserve">                           </w:t>
      </w:r>
      <w:r/>
    </w:p>
    <w:p>
      <w:pPr>
        <w:keepLines w:val="0"/>
        <w:keepNext w:val="0"/>
        <w:pageBreakBefore w:val="0"/>
        <w:spacing w:line="320" w:lineRule="exact"/>
        <w:widowControl w:val="off"/>
        <w:rPr>
          <w:rFonts w:hint="eastAsia" w:ascii="新宋体" w:hAnsi="新宋体" w:eastAsia="新宋体" w:cs="新宋体"/>
          <w:color w:val="auto"/>
          <w:sz w:val="24"/>
          <w:szCs w:val="24"/>
          <w:highlight w:val="none"/>
          <w:u w:val="single"/>
        </w:rPr>
      </w:pPr>
      <w:r>
        <w:rPr>
          <w:rFonts w:hint="eastAsia" w:ascii="新宋体" w:hAnsi="新宋体" w:eastAsia="新宋体" w:cs="新宋体"/>
          <w:color w:val="auto"/>
          <w:sz w:val="24"/>
          <w:szCs w:val="24"/>
          <w:highlight w:val="none"/>
        </w:rPr>
        <w:t xml:space="preserve">采购人名称：</w:t>
      </w:r>
      <w:r>
        <w:rPr>
          <w:rFonts w:hint="eastAsia" w:ascii="新宋体" w:hAnsi="新宋体" w:eastAsia="新宋体" w:cs="新宋体"/>
          <w:color w:val="auto"/>
          <w:sz w:val="24"/>
          <w:szCs w:val="24"/>
          <w:highlight w:val="none"/>
          <w:u w:val="single"/>
        </w:rPr>
        <w:t xml:space="preserve">                                                              </w:t>
      </w:r>
      <w:r/>
    </w:p>
    <w:p>
      <w:pPr>
        <w:keepLines w:val="0"/>
        <w:keepNext w:val="0"/>
        <w:pageBreakBefore w:val="0"/>
        <w:spacing w:line="320" w:lineRule="exact"/>
        <w:widowControl w:val="off"/>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采购文件获取日期：</w:t>
      </w:r>
      <w:r>
        <w:rPr>
          <w:rFonts w:hint="eastAsia" w:ascii="新宋体" w:hAnsi="新宋体" w:eastAsia="新宋体" w:cs="新宋体"/>
          <w:color w:val="auto"/>
          <w:sz w:val="24"/>
          <w:szCs w:val="24"/>
          <w:highlight w:val="none"/>
          <w:u w:val="single"/>
        </w:rPr>
        <w:t xml:space="preserve">                                                        </w:t>
      </w:r>
      <w:r/>
    </w:p>
    <w:p>
      <w:pPr>
        <w:keepLines w:val="0"/>
        <w:keepNext w:val="0"/>
        <w:pageBreakBefore w:val="0"/>
        <w:spacing w:line="320" w:lineRule="exact"/>
        <w:widowControl w:val="off"/>
        <w:rPr>
          <w:rFonts w:hint="eastAsia" w:ascii="新宋体" w:hAnsi="新宋体" w:eastAsia="新宋体" w:cs="新宋体"/>
          <w:bCs/>
          <w:color w:val="auto"/>
          <w:sz w:val="24"/>
          <w:szCs w:val="24"/>
          <w:highlight w:val="none"/>
        </w:rPr>
      </w:pPr>
      <w:r>
        <w:rPr>
          <w:rFonts w:hint="eastAsia" w:ascii="新宋体" w:hAnsi="新宋体" w:eastAsia="新宋体" w:cs="新宋体"/>
          <w:bCs/>
          <w:color w:val="auto"/>
          <w:sz w:val="24"/>
          <w:szCs w:val="24"/>
          <w:highlight w:val="none"/>
        </w:rPr>
        <w:t xml:space="preserve">三、质疑事项具体内容</w:t>
      </w:r>
      <w:r/>
    </w:p>
    <w:p>
      <w:pPr>
        <w:keepLines w:val="0"/>
        <w:keepNext w:val="0"/>
        <w:pageBreakBefore w:val="0"/>
        <w:spacing w:line="320" w:lineRule="exact"/>
        <w:widowControl w:val="off"/>
        <w:rPr>
          <w:rFonts w:hint="eastAsia" w:ascii="新宋体" w:hAnsi="新宋体" w:eastAsia="新宋体" w:cs="新宋体"/>
          <w:color w:val="auto"/>
          <w:sz w:val="24"/>
          <w:szCs w:val="24"/>
          <w:highlight w:val="none"/>
          <w:u w:val="single"/>
        </w:rPr>
      </w:pPr>
      <w:r>
        <w:rPr>
          <w:rFonts w:hint="eastAsia" w:ascii="新宋体" w:hAnsi="新宋体" w:eastAsia="新宋体" w:cs="新宋体"/>
          <w:color w:val="auto"/>
          <w:sz w:val="24"/>
          <w:szCs w:val="24"/>
          <w:highlight w:val="none"/>
        </w:rPr>
        <w:t xml:space="preserve">质疑事项1：</w:t>
      </w:r>
      <w:r>
        <w:rPr>
          <w:rFonts w:hint="eastAsia" w:ascii="新宋体" w:hAnsi="新宋体" w:eastAsia="新宋体" w:cs="新宋体"/>
          <w:color w:val="auto"/>
          <w:sz w:val="24"/>
          <w:szCs w:val="24"/>
          <w:highlight w:val="none"/>
          <w:u w:val="single"/>
        </w:rPr>
        <w:t xml:space="preserve">                                                              </w:t>
      </w:r>
      <w:r/>
    </w:p>
    <w:p>
      <w:pPr>
        <w:keepLines w:val="0"/>
        <w:keepNext w:val="0"/>
        <w:pageBreakBefore w:val="0"/>
        <w:spacing w:line="320" w:lineRule="exact"/>
        <w:widowControl w:val="off"/>
        <w:rPr>
          <w:rFonts w:hint="eastAsia" w:ascii="新宋体" w:hAnsi="新宋体" w:eastAsia="新宋体" w:cs="新宋体"/>
          <w:color w:val="auto"/>
          <w:sz w:val="24"/>
          <w:szCs w:val="24"/>
          <w:highlight w:val="none"/>
          <w:u w:val="single"/>
        </w:rPr>
      </w:pPr>
      <w:r>
        <w:rPr>
          <w:rFonts w:hint="eastAsia" w:ascii="新宋体" w:hAnsi="新宋体" w:eastAsia="新宋体" w:cs="新宋体"/>
          <w:color w:val="auto"/>
          <w:sz w:val="24"/>
          <w:szCs w:val="24"/>
          <w:highlight w:val="none"/>
        </w:rPr>
        <w:t xml:space="preserve">事实依据：</w:t>
      </w:r>
      <w:r>
        <w:rPr>
          <w:rFonts w:hint="eastAsia" w:ascii="新宋体" w:hAnsi="新宋体" w:eastAsia="新宋体" w:cs="新宋体"/>
          <w:color w:val="auto"/>
          <w:sz w:val="24"/>
          <w:szCs w:val="24"/>
          <w:highlight w:val="none"/>
          <w:u w:val="single"/>
        </w:rPr>
        <w:t xml:space="preserve">                                                                </w:t>
      </w:r>
      <w:r/>
    </w:p>
    <w:p>
      <w:pPr>
        <w:keepLines w:val="0"/>
        <w:keepNext w:val="0"/>
        <w:pageBreakBefore w:val="0"/>
        <w:spacing w:line="320" w:lineRule="exact"/>
        <w:widowControl w:val="off"/>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u w:val="single"/>
        </w:rPr>
        <w:t xml:space="preserve">                                                                           </w:t>
      </w:r>
      <w:r/>
    </w:p>
    <w:p>
      <w:pPr>
        <w:keepLines w:val="0"/>
        <w:keepNext w:val="0"/>
        <w:pageBreakBefore w:val="0"/>
        <w:spacing w:line="320" w:lineRule="exact"/>
        <w:widowControl w:val="off"/>
        <w:rPr>
          <w:rFonts w:hint="eastAsia" w:ascii="新宋体" w:hAnsi="新宋体" w:eastAsia="新宋体" w:cs="新宋体"/>
          <w:color w:val="auto"/>
          <w:sz w:val="24"/>
          <w:szCs w:val="24"/>
          <w:highlight w:val="none"/>
          <w:u w:val="single"/>
        </w:rPr>
      </w:pPr>
      <w:r>
        <w:rPr>
          <w:rFonts w:hint="eastAsia" w:ascii="新宋体" w:hAnsi="新宋体" w:eastAsia="新宋体" w:cs="新宋体"/>
          <w:color w:val="auto"/>
          <w:sz w:val="24"/>
          <w:szCs w:val="24"/>
          <w:highlight w:val="none"/>
        </w:rPr>
        <w:t xml:space="preserve">法律依据：</w:t>
      </w:r>
      <w:r>
        <w:rPr>
          <w:rFonts w:hint="eastAsia" w:ascii="新宋体" w:hAnsi="新宋体" w:eastAsia="新宋体" w:cs="新宋体"/>
          <w:color w:val="auto"/>
          <w:sz w:val="24"/>
          <w:szCs w:val="24"/>
          <w:highlight w:val="none"/>
          <w:u w:val="single"/>
        </w:rPr>
        <w:t xml:space="preserve">                                                                 </w:t>
      </w:r>
      <w:r/>
    </w:p>
    <w:p>
      <w:pPr>
        <w:keepLines w:val="0"/>
        <w:keepNext w:val="0"/>
        <w:pageBreakBefore w:val="0"/>
        <w:spacing w:line="320" w:lineRule="exact"/>
        <w:widowControl w:val="off"/>
        <w:rPr>
          <w:rFonts w:hint="eastAsia" w:ascii="新宋体" w:hAnsi="新宋体" w:eastAsia="新宋体" w:cs="新宋体"/>
          <w:color w:val="auto"/>
          <w:sz w:val="24"/>
          <w:szCs w:val="24"/>
          <w:highlight w:val="none"/>
          <w:u w:val="single"/>
        </w:rPr>
      </w:pPr>
      <w:r>
        <w:rPr>
          <w:rFonts w:hint="eastAsia" w:ascii="新宋体" w:hAnsi="新宋体" w:eastAsia="新宋体" w:cs="新宋体"/>
          <w:color w:val="auto"/>
          <w:sz w:val="24"/>
          <w:szCs w:val="24"/>
          <w:highlight w:val="none"/>
          <w:u w:val="single"/>
        </w:rPr>
        <w:t xml:space="preserve">                                                                           </w:t>
      </w:r>
      <w:r/>
    </w:p>
    <w:p>
      <w:pPr>
        <w:keepLines w:val="0"/>
        <w:keepNext w:val="0"/>
        <w:pageBreakBefore w:val="0"/>
        <w:spacing w:line="320" w:lineRule="exact"/>
        <w:widowControl w:val="off"/>
        <w:rPr>
          <w:rFonts w:hint="eastAsia" w:ascii="新宋体" w:hAnsi="新宋体" w:eastAsia="新宋体" w:cs="新宋体"/>
          <w:color w:val="auto"/>
          <w:sz w:val="24"/>
          <w:szCs w:val="24"/>
          <w:highlight w:val="none"/>
          <w:u w:val="single"/>
        </w:rPr>
      </w:pPr>
      <w:r>
        <w:rPr>
          <w:rFonts w:hint="eastAsia" w:ascii="新宋体" w:hAnsi="新宋体" w:eastAsia="新宋体" w:cs="新宋体"/>
          <w:color w:val="auto"/>
          <w:sz w:val="24"/>
          <w:szCs w:val="24"/>
          <w:highlight w:val="none"/>
        </w:rPr>
        <w:t xml:space="preserve">质疑事项2</w:t>
      </w:r>
      <w:r/>
    </w:p>
    <w:p>
      <w:pPr>
        <w:keepLines w:val="0"/>
        <w:keepNext w:val="0"/>
        <w:pageBreakBefore w:val="0"/>
        <w:spacing w:line="320" w:lineRule="exact"/>
        <w:widowControl w:val="off"/>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w:t>
      </w:r>
      <w:r/>
    </w:p>
    <w:p>
      <w:pPr>
        <w:keepLines w:val="0"/>
        <w:keepNext w:val="0"/>
        <w:pageBreakBefore w:val="0"/>
        <w:spacing w:line="320" w:lineRule="exact"/>
        <w:widowControl w:val="off"/>
        <w:rPr>
          <w:rFonts w:hint="eastAsia" w:ascii="新宋体" w:hAnsi="新宋体" w:eastAsia="新宋体" w:cs="新宋体"/>
          <w:bCs/>
          <w:color w:val="auto"/>
          <w:sz w:val="24"/>
          <w:szCs w:val="24"/>
          <w:highlight w:val="none"/>
        </w:rPr>
      </w:pPr>
      <w:r>
        <w:rPr>
          <w:rFonts w:hint="eastAsia" w:ascii="新宋体" w:hAnsi="新宋体" w:eastAsia="新宋体" w:cs="新宋体"/>
          <w:bCs/>
          <w:color w:val="auto"/>
          <w:sz w:val="24"/>
          <w:szCs w:val="24"/>
          <w:highlight w:val="none"/>
        </w:rPr>
        <w:t xml:space="preserve">四、与质疑事项相关的质疑请求</w:t>
      </w:r>
      <w:r/>
    </w:p>
    <w:p>
      <w:pPr>
        <w:keepLines w:val="0"/>
        <w:keepNext w:val="0"/>
        <w:pageBreakBefore w:val="0"/>
        <w:spacing w:line="320" w:lineRule="exact"/>
        <w:widowControl w:val="off"/>
        <w:rPr>
          <w:rFonts w:hint="eastAsia" w:ascii="新宋体" w:hAnsi="新宋体" w:eastAsia="新宋体" w:cs="新宋体"/>
          <w:color w:val="auto"/>
          <w:sz w:val="24"/>
          <w:szCs w:val="24"/>
          <w:highlight w:val="none"/>
          <w:u w:val="single"/>
        </w:rPr>
      </w:pPr>
      <w:r>
        <w:rPr>
          <w:rFonts w:hint="eastAsia" w:ascii="新宋体" w:hAnsi="新宋体" w:eastAsia="新宋体" w:cs="新宋体"/>
          <w:color w:val="auto"/>
          <w:sz w:val="24"/>
          <w:szCs w:val="24"/>
          <w:highlight w:val="none"/>
        </w:rPr>
        <w:t xml:space="preserve">请求：</w:t>
      </w:r>
      <w:r>
        <w:rPr>
          <w:rFonts w:hint="eastAsia" w:ascii="新宋体" w:hAnsi="新宋体" w:eastAsia="新宋体" w:cs="新宋体"/>
          <w:color w:val="auto"/>
          <w:sz w:val="24"/>
          <w:szCs w:val="24"/>
          <w:highlight w:val="none"/>
          <w:u w:val="single"/>
        </w:rPr>
        <w:t xml:space="preserve">                                                                     </w:t>
      </w:r>
      <w:r/>
    </w:p>
    <w:p>
      <w:pPr>
        <w:keepLines w:val="0"/>
        <w:keepNext w:val="0"/>
        <w:pageBreakBefore w:val="0"/>
        <w:spacing w:line="320" w:lineRule="exact"/>
        <w:widowControl w:val="off"/>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签字(签章)：                   公章：                      </w:t>
      </w:r>
      <w:r/>
    </w:p>
    <w:p>
      <w:pPr>
        <w:keepLines w:val="0"/>
        <w:keepNext w:val="0"/>
        <w:pageBreakBefore w:val="0"/>
        <w:spacing w:line="320" w:lineRule="exact"/>
        <w:widowControl w:val="off"/>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日期：    </w:t>
      </w:r>
      <w:r/>
    </w:p>
    <w:p>
      <w:pPr>
        <w:spacing w:line="400" w:lineRule="exact"/>
        <w:rPr>
          <w:rFonts w:hint="eastAsia" w:ascii="新宋体" w:hAnsi="新宋体" w:eastAsia="新宋体" w:cs="新宋体"/>
          <w:b/>
          <w:color w:val="auto"/>
          <w:sz w:val="24"/>
          <w:szCs w:val="24"/>
          <w:highlight w:val="none"/>
        </w:rPr>
      </w:pPr>
      <w:r>
        <w:rPr>
          <w:rFonts w:hint="eastAsia" w:ascii="新宋体" w:hAnsi="新宋体" w:eastAsia="新宋体" w:cs="新宋体"/>
          <w:b/>
          <w:color w:val="auto"/>
          <w:sz w:val="24"/>
          <w:szCs w:val="24"/>
          <w:highlight w:val="none"/>
        </w:rPr>
        <w:t xml:space="preserve">质疑函制作说明：</w:t>
      </w:r>
      <w:r/>
    </w:p>
    <w:p>
      <w:pPr>
        <w:ind w:firstLine="480"/>
        <w:jc w:val="left"/>
        <w:spacing w:line="400" w:lineRule="exact"/>
        <w:widowControl/>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1.供应商提出质疑时，应提交质疑函和必要的证明材料。</w:t>
      </w:r>
      <w:r/>
    </w:p>
    <w:p>
      <w:pPr>
        <w:ind w:firstLine="480"/>
        <w:jc w:val="left"/>
        <w:spacing w:line="400" w:lineRule="exact"/>
        <w:widowControl/>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spacing w:line="400" w:lineRule="exact"/>
        <w:widowControl/>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3.质疑供应商若对项目的某一分包进行质疑，质疑函中应列明具体分包号。</w:t>
      </w:r>
      <w:r/>
    </w:p>
    <w:p>
      <w:pPr>
        <w:ind w:firstLine="480"/>
        <w:jc w:val="left"/>
        <w:spacing w:line="400" w:lineRule="exact"/>
        <w:widowControl/>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4.质疑函的质疑事项应具体、明确，并有必要的事实依据和法律依据。</w:t>
      </w:r>
      <w:r/>
    </w:p>
    <w:p>
      <w:pPr>
        <w:ind w:firstLine="480"/>
        <w:jc w:val="left"/>
        <w:spacing w:line="400" w:lineRule="exact"/>
        <w:widowControl/>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5.质疑函的质疑请求应与质疑事项相关。</w:t>
      </w:r>
      <w:r/>
    </w:p>
    <w:p>
      <w:pPr>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p>
    <w:sectPr>
      <w:footnotePr/>
      <w:endnotePr/>
      <w:type w:val="nextPage"/>
      <w:pgSz w:w="11906" w:h="16838" w:orient="portrait"/>
      <w:pgMar w:top="1440" w:right="1417" w:bottom="1440" w:left="141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新宋体">
    <w:panose1 w:val="02010609030101010101"/>
  </w:font>
  <w:font w:name="Symbol">
    <w:panose1 w:val="05050102010706020507"/>
  </w:font>
  <w:font w:name="仿宋">
    <w:panose1 w:val="02010609060101010101"/>
  </w:font>
  <w:font w:name="Wingdings">
    <w:panose1 w:val="05000000000000000000"/>
  </w:font>
  <w:font w:name="华文楷体">
    <w:panose1 w:val="02010600040101010101"/>
  </w:font>
  <w:font w:name="方正仿宋_GB2312">
    <w:panose1 w:val="020B0503020202020204"/>
  </w:font>
  <w:font w:name="Segoe UI">
    <w:panose1 w:val="020B0502040204020203"/>
  </w:font>
  <w:font w:name="Book Antiqua">
    <w:panose1 w:val="02040602050305030304"/>
  </w:font>
  <w:font w:name="Tahoma">
    <w:panose1 w:val="020B0604030504040204"/>
  </w:font>
  <w:font w:name="楷体_GB2312">
    <w:panose1 w:val="02010609060101010101"/>
  </w:font>
  <w:font w:name="黑体">
    <w:panose1 w:val="02010609060101010101"/>
  </w:font>
  <w:font w:name="幼圆">
    <w:panose1 w:val="02010509060101010101"/>
  </w:font>
  <w:font w:name="仿宋_GB2312">
    <w:panose1 w:val="02010609060101010101"/>
  </w:font>
  <w:font w:name="Verdana">
    <w:panose1 w:val="020B0604030504040204"/>
  </w:font>
  <w:font w:name="Courier New">
    <w:panose1 w:val="02070309020205020404"/>
  </w:font>
  <w:font w:name="Cambria">
    <w:panose1 w:val="02040503050406030204"/>
  </w:font>
  <w:font w:name="Kingsoft Phonetic Plain">
    <w:panose1 w:val="020B0503020202020204"/>
  </w:font>
  <w:font w:name="方正仿宋_GBK">
    <w:panose1 w:val="020B0503020202020204"/>
  </w:font>
  <w:font w:name="Arial Unicode MS">
    <w:panose1 w:val="020B0604020202020204"/>
  </w:font>
  <w:font w:name="Arial">
    <w:panose1 w:val="020B0604020202020204"/>
  </w:font>
  <w:font w:name="微软雅黑">
    <w:panose1 w:val="020B0503020204020204"/>
  </w:font>
  <w:font w:name="Calibri">
    <w:panose1 w:val="020F0502020204030204"/>
  </w:font>
  <w:font w:name="Helvetica-Light">
    <w:panose1 w:val="020B0503020202020204"/>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4"/>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4"/>
      <w:jc w:val="cente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94"/>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69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840" w:hanging="420"/>
        <w:tabs>
          <w:tab w:val="left" w:pos="840" w:leader="none"/>
        </w:tabs>
      </w:pPr>
      <w:rPr>
        <w:rFonts w:hint="eastAsia"/>
      </w:rPr>
    </w:lvl>
    <w:lvl w:ilvl="1">
      <w:start w:val="1"/>
      <w:numFmt w:val="lowerLetter"/>
      <w:isLgl w:val="false"/>
      <w:suff w:val="tab"/>
      <w:lvlText w:val="%2)"/>
      <w:lvlJc w:val="left"/>
      <w:pPr>
        <w:ind w:left="1260" w:hanging="420"/>
        <w:tabs>
          <w:tab w:val="left" w:pos="1260" w:leader="none"/>
        </w:tabs>
      </w:pPr>
    </w:lvl>
    <w:lvl w:ilvl="2">
      <w:start w:val="1"/>
      <w:numFmt w:val="lowerRoman"/>
      <w:pStyle w:val="1211"/>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5">
    <w:multiLevelType w:val="hybridMultilevel"/>
    <w:lvl w:ilvl="0">
      <w:start w:val="1"/>
      <w:numFmt w:val="decimal"/>
      <w:isLgl w:val="false"/>
      <w:suff w:val="tab"/>
      <w:lvlText w:val="%1."/>
      <w:lvlJc w:val="left"/>
      <w:pPr>
        <w:ind w:left="720" w:hanging="360"/>
        <w:tabs>
          <w:tab w:val="left" w:pos="720" w:leader="none"/>
        </w:tabs>
      </w:pPr>
      <w:rPr>
        <w:sz w:val="24"/>
        <w:szCs w:val="24"/>
      </w:rPr>
    </w:lvl>
    <w:lvl w:ilvl="1">
      <w:start w:val="1"/>
      <w:numFmt w:val="bullet"/>
      <w:isLgl w:val="false"/>
      <w:suff w:val="tab"/>
      <w:lvlText w:val=""/>
      <w:lvlJc w:val="left"/>
      <w:pPr>
        <w:ind w:left="1440" w:hanging="360"/>
        <w:tabs>
          <w:tab w:val="left" w:pos="1440" w:leader="none"/>
        </w:tabs>
      </w:pPr>
      <w:rPr>
        <w:rFonts w:ascii="Symbol" w:hAnsi="Symbol" w:cs="Symbol"/>
        <w:sz w:val="20"/>
      </w:rPr>
    </w:lvl>
    <w:lvl w:ilvl="2">
      <w:start w:val="1"/>
      <w:numFmt w:val="decimal"/>
      <w:isLgl w:val="false"/>
      <w:suff w:val="tab"/>
      <w:lvlText w:val="%3."/>
      <w:lvlJc w:val="left"/>
      <w:pPr>
        <w:ind w:left="2160" w:hanging="360"/>
        <w:tabs>
          <w:tab w:val="left" w:pos="2160" w:leader="none"/>
        </w:tabs>
      </w:pPr>
      <w:rPr>
        <w:sz w:val="24"/>
        <w:szCs w:val="24"/>
      </w:rPr>
    </w:lvl>
    <w:lvl w:ilvl="3">
      <w:start w:val="1"/>
      <w:numFmt w:val="decimal"/>
      <w:isLgl w:val="false"/>
      <w:suff w:val="tab"/>
      <w:lvlText w:val="%4."/>
      <w:lvlJc w:val="left"/>
      <w:pPr>
        <w:ind w:left="2880" w:hanging="360"/>
        <w:tabs>
          <w:tab w:val="left" w:pos="2517" w:leader="none"/>
        </w:tabs>
      </w:pPr>
      <w:rPr>
        <w:sz w:val="24"/>
        <w:szCs w:val="24"/>
      </w:rPr>
    </w:lvl>
    <w:lvl w:ilvl="4">
      <w:start w:val="1"/>
      <w:numFmt w:val="decimal"/>
      <w:isLgl w:val="false"/>
      <w:suff w:val="tab"/>
      <w:lvlText w:val="%5."/>
      <w:lvlJc w:val="left"/>
      <w:pPr>
        <w:ind w:left="3600" w:hanging="360"/>
        <w:tabs>
          <w:tab w:val="left" w:pos="3238" w:leader="none"/>
        </w:tabs>
      </w:pPr>
      <w:rPr>
        <w:sz w:val="24"/>
        <w:szCs w:val="24"/>
      </w:rPr>
    </w:lvl>
    <w:lvl w:ilvl="5">
      <w:start w:val="1"/>
      <w:numFmt w:val="decimal"/>
      <w:isLgl w:val="false"/>
      <w:suff w:val="tab"/>
      <w:lvlText w:val="%6."/>
      <w:lvlJc w:val="left"/>
      <w:pPr>
        <w:ind w:left="4320" w:hanging="360"/>
        <w:tabs>
          <w:tab w:val="left" w:pos="3958" w:leader="none"/>
        </w:tabs>
      </w:pPr>
      <w:rPr>
        <w:sz w:val="24"/>
        <w:szCs w:val="24"/>
      </w:rPr>
    </w:lvl>
    <w:lvl w:ilvl="6">
      <w:start w:val="1"/>
      <w:numFmt w:val="decimal"/>
      <w:isLgl w:val="false"/>
      <w:suff w:val="tab"/>
      <w:lvlText w:val="%7."/>
      <w:lvlJc w:val="left"/>
      <w:pPr>
        <w:ind w:left="5040" w:hanging="360"/>
        <w:tabs>
          <w:tab w:val="left" w:pos="4678" w:leader="none"/>
        </w:tabs>
      </w:pPr>
      <w:rPr>
        <w:sz w:val="24"/>
        <w:szCs w:val="24"/>
      </w:rPr>
    </w:lvl>
    <w:lvl w:ilvl="7">
      <w:start w:val="1"/>
      <w:numFmt w:val="decimal"/>
      <w:isLgl w:val="false"/>
      <w:suff w:val="tab"/>
      <w:lvlText w:val="%8."/>
      <w:lvlJc w:val="left"/>
      <w:pPr>
        <w:ind w:left="5760" w:hanging="360"/>
        <w:tabs>
          <w:tab w:val="left" w:pos="5398" w:leader="none"/>
        </w:tabs>
      </w:pPr>
      <w:rPr>
        <w:sz w:val="24"/>
        <w:szCs w:val="24"/>
      </w:rPr>
    </w:lvl>
    <w:lvl w:ilvl="8">
      <w:start w:val="1"/>
      <w:numFmt w:val="decimal"/>
      <w:isLgl w:val="false"/>
      <w:suff w:val="tab"/>
      <w:lvlText w:val="%9."/>
      <w:lvlJc w:val="left"/>
      <w:pPr>
        <w:ind w:left="6480" w:hanging="360"/>
        <w:tabs>
          <w:tab w:val="left" w:pos="6118" w:leader="none"/>
        </w:tabs>
      </w:pPr>
      <w:rPr>
        <w:sz w:val="24"/>
        <w:szCs w:val="24"/>
      </w:rPr>
    </w:lvl>
  </w:abstractNum>
  <w:abstractNum w:abstractNumId="6">
    <w:multiLevelType w:val="hybridMultilevel"/>
    <w:lvl w:ilvl="0">
      <w:start w:val="1"/>
      <w:numFmt w:val="decimal"/>
      <w:isLgl w:val="false"/>
      <w:suff w:val="tab"/>
      <w:lvlText w:val="%1."/>
      <w:lvlJc w:val="left"/>
      <w:pPr>
        <w:ind w:left="720" w:hanging="360"/>
        <w:tabs>
          <w:tab w:val="left" w:pos="720" w:leader="none"/>
        </w:tabs>
      </w:pPr>
      <w:rPr>
        <w:sz w:val="24"/>
        <w:szCs w:val="24"/>
      </w:rPr>
    </w:lvl>
    <w:lvl w:ilvl="1">
      <w:start w:val="1"/>
      <w:numFmt w:val="decimal"/>
      <w:isLgl w:val="false"/>
      <w:suff w:val="tab"/>
      <w:lvlText w:val="%2."/>
      <w:lvlJc w:val="left"/>
      <w:pPr>
        <w:ind w:left="1440" w:hanging="360"/>
        <w:tabs>
          <w:tab w:val="left" w:pos="1440" w:leader="none"/>
        </w:tabs>
      </w:pPr>
      <w:rPr>
        <w:sz w:val="24"/>
        <w:szCs w:val="24"/>
      </w:rPr>
    </w:lvl>
    <w:lvl w:ilvl="2">
      <w:start w:val="1"/>
      <w:numFmt w:val="decimal"/>
      <w:isLgl w:val="false"/>
      <w:suff w:val="tab"/>
      <w:lvlText w:val="%3."/>
      <w:lvlJc w:val="left"/>
      <w:pPr>
        <w:ind w:left="2160" w:hanging="360"/>
        <w:tabs>
          <w:tab w:val="left" w:pos="2160" w:leader="none"/>
        </w:tabs>
      </w:pPr>
      <w:rPr>
        <w:sz w:val="24"/>
        <w:szCs w:val="24"/>
      </w:rPr>
    </w:lvl>
    <w:lvl w:ilvl="3">
      <w:start w:val="1"/>
      <w:numFmt w:val="decimal"/>
      <w:isLgl w:val="false"/>
      <w:suff w:val="tab"/>
      <w:lvlText w:val="%4."/>
      <w:lvlJc w:val="left"/>
      <w:pPr>
        <w:ind w:left="2880" w:hanging="360"/>
        <w:tabs>
          <w:tab w:val="left" w:pos="2517" w:leader="none"/>
        </w:tabs>
      </w:pPr>
      <w:rPr>
        <w:sz w:val="24"/>
        <w:szCs w:val="24"/>
      </w:rPr>
    </w:lvl>
    <w:lvl w:ilvl="4">
      <w:start w:val="1"/>
      <w:numFmt w:val="decimal"/>
      <w:isLgl w:val="false"/>
      <w:suff w:val="tab"/>
      <w:lvlText w:val="%5."/>
      <w:lvlJc w:val="left"/>
      <w:pPr>
        <w:ind w:left="3600" w:hanging="360"/>
        <w:tabs>
          <w:tab w:val="left" w:pos="3238" w:leader="none"/>
        </w:tabs>
      </w:pPr>
      <w:rPr>
        <w:sz w:val="24"/>
        <w:szCs w:val="24"/>
      </w:rPr>
    </w:lvl>
    <w:lvl w:ilvl="5">
      <w:start w:val="1"/>
      <w:numFmt w:val="decimal"/>
      <w:isLgl w:val="false"/>
      <w:suff w:val="tab"/>
      <w:lvlText w:val="%6."/>
      <w:lvlJc w:val="left"/>
      <w:pPr>
        <w:ind w:left="4320" w:hanging="360"/>
        <w:tabs>
          <w:tab w:val="left" w:pos="3958" w:leader="none"/>
        </w:tabs>
      </w:pPr>
      <w:rPr>
        <w:sz w:val="24"/>
        <w:szCs w:val="24"/>
      </w:rPr>
    </w:lvl>
    <w:lvl w:ilvl="6">
      <w:start w:val="1"/>
      <w:numFmt w:val="decimal"/>
      <w:isLgl w:val="false"/>
      <w:suff w:val="tab"/>
      <w:lvlText w:val="%7."/>
      <w:lvlJc w:val="left"/>
      <w:pPr>
        <w:ind w:left="5040" w:hanging="360"/>
        <w:tabs>
          <w:tab w:val="left" w:pos="4678" w:leader="none"/>
        </w:tabs>
      </w:pPr>
      <w:rPr>
        <w:sz w:val="24"/>
        <w:szCs w:val="24"/>
      </w:rPr>
    </w:lvl>
    <w:lvl w:ilvl="7">
      <w:start w:val="1"/>
      <w:numFmt w:val="decimal"/>
      <w:isLgl w:val="false"/>
      <w:suff w:val="tab"/>
      <w:lvlText w:val="%8."/>
      <w:lvlJc w:val="left"/>
      <w:pPr>
        <w:ind w:left="5760" w:hanging="360"/>
        <w:tabs>
          <w:tab w:val="left" w:pos="5398" w:leader="none"/>
        </w:tabs>
      </w:pPr>
      <w:rPr>
        <w:sz w:val="24"/>
        <w:szCs w:val="24"/>
      </w:rPr>
    </w:lvl>
    <w:lvl w:ilvl="8">
      <w:start w:val="1"/>
      <w:numFmt w:val="decimal"/>
      <w:isLgl w:val="false"/>
      <w:suff w:val="tab"/>
      <w:lvlText w:val="%9."/>
      <w:lvlJc w:val="left"/>
      <w:pPr>
        <w:ind w:left="6480" w:hanging="360"/>
        <w:tabs>
          <w:tab w:val="left" w:pos="6118" w:leader="none"/>
        </w:tabs>
      </w:pPr>
      <w:rPr>
        <w:sz w:val="24"/>
        <w:szCs w:val="24"/>
      </w:rPr>
    </w:lvl>
  </w:abstractNum>
  <w:abstractNum w:abstractNumId="7">
    <w:multiLevelType w:val="hybridMultilevel"/>
    <w:lvl w:ilvl="0">
      <w:start w:val="1"/>
      <w:numFmt w:val="decimal"/>
      <w:isLgl w:val="false"/>
      <w:suff w:val="tab"/>
      <w:lvlText w:val="%1."/>
      <w:lvlJc w:val="left"/>
      <w:pPr>
        <w:ind w:left="720" w:hanging="360"/>
        <w:tabs>
          <w:tab w:val="left" w:pos="720" w:leader="none"/>
        </w:tabs>
      </w:pPr>
      <w:rPr>
        <w:sz w:val="24"/>
        <w:szCs w:val="24"/>
      </w:rPr>
    </w:lvl>
    <w:lvl w:ilvl="1">
      <w:start w:val="1"/>
      <w:numFmt w:val="decimal"/>
      <w:isLgl w:val="false"/>
      <w:suff w:val="tab"/>
      <w:lvlText w:val="%2."/>
      <w:lvlJc w:val="left"/>
      <w:pPr>
        <w:ind w:left="1440" w:hanging="360"/>
        <w:tabs>
          <w:tab w:val="left" w:pos="1440" w:leader="none"/>
        </w:tabs>
      </w:pPr>
      <w:rPr>
        <w:sz w:val="24"/>
        <w:szCs w:val="24"/>
      </w:rPr>
    </w:lvl>
    <w:lvl w:ilvl="2">
      <w:start w:val="1"/>
      <w:numFmt w:val="decimal"/>
      <w:isLgl w:val="false"/>
      <w:suff w:val="tab"/>
      <w:lvlText w:val="%3."/>
      <w:lvlJc w:val="left"/>
      <w:pPr>
        <w:ind w:left="2160" w:hanging="360"/>
        <w:tabs>
          <w:tab w:val="left" w:pos="2160" w:leader="none"/>
        </w:tabs>
      </w:pPr>
      <w:rPr>
        <w:sz w:val="24"/>
        <w:szCs w:val="24"/>
      </w:rPr>
    </w:lvl>
    <w:lvl w:ilvl="3">
      <w:start w:val="1"/>
      <w:numFmt w:val="decimal"/>
      <w:isLgl w:val="false"/>
      <w:suff w:val="tab"/>
      <w:lvlText w:val="%4."/>
      <w:lvlJc w:val="left"/>
      <w:pPr>
        <w:ind w:left="2880" w:hanging="360"/>
        <w:tabs>
          <w:tab w:val="left" w:pos="2517" w:leader="none"/>
        </w:tabs>
      </w:pPr>
      <w:rPr>
        <w:sz w:val="24"/>
        <w:szCs w:val="24"/>
      </w:rPr>
    </w:lvl>
    <w:lvl w:ilvl="4">
      <w:start w:val="1"/>
      <w:numFmt w:val="decimal"/>
      <w:isLgl w:val="false"/>
      <w:suff w:val="tab"/>
      <w:lvlText w:val="%5."/>
      <w:lvlJc w:val="left"/>
      <w:pPr>
        <w:ind w:left="3600" w:hanging="360"/>
        <w:tabs>
          <w:tab w:val="left" w:pos="3238" w:leader="none"/>
        </w:tabs>
      </w:pPr>
      <w:rPr>
        <w:sz w:val="24"/>
        <w:szCs w:val="24"/>
      </w:rPr>
    </w:lvl>
    <w:lvl w:ilvl="5">
      <w:start w:val="1"/>
      <w:numFmt w:val="decimal"/>
      <w:isLgl w:val="false"/>
      <w:suff w:val="tab"/>
      <w:lvlText w:val="%6."/>
      <w:lvlJc w:val="left"/>
      <w:pPr>
        <w:ind w:left="4320" w:hanging="360"/>
        <w:tabs>
          <w:tab w:val="left" w:pos="3958" w:leader="none"/>
        </w:tabs>
      </w:pPr>
      <w:rPr>
        <w:sz w:val="24"/>
        <w:szCs w:val="24"/>
      </w:rPr>
    </w:lvl>
    <w:lvl w:ilvl="6">
      <w:start w:val="1"/>
      <w:numFmt w:val="decimal"/>
      <w:isLgl w:val="false"/>
      <w:suff w:val="tab"/>
      <w:lvlText w:val="%7."/>
      <w:lvlJc w:val="left"/>
      <w:pPr>
        <w:ind w:left="5040" w:hanging="360"/>
        <w:tabs>
          <w:tab w:val="left" w:pos="4678" w:leader="none"/>
        </w:tabs>
      </w:pPr>
      <w:rPr>
        <w:sz w:val="24"/>
        <w:szCs w:val="24"/>
      </w:rPr>
    </w:lvl>
    <w:lvl w:ilvl="7">
      <w:start w:val="1"/>
      <w:numFmt w:val="decimal"/>
      <w:isLgl w:val="false"/>
      <w:suff w:val="tab"/>
      <w:lvlText w:val="%8."/>
      <w:lvlJc w:val="left"/>
      <w:pPr>
        <w:ind w:left="5760" w:hanging="360"/>
        <w:tabs>
          <w:tab w:val="left" w:pos="5398" w:leader="none"/>
        </w:tabs>
      </w:pPr>
      <w:rPr>
        <w:sz w:val="24"/>
        <w:szCs w:val="24"/>
      </w:rPr>
    </w:lvl>
    <w:lvl w:ilvl="8">
      <w:start w:val="1"/>
      <w:numFmt w:val="decimal"/>
      <w:isLgl w:val="false"/>
      <w:suff w:val="tab"/>
      <w:lvlText w:val="%9."/>
      <w:lvlJc w:val="left"/>
      <w:pPr>
        <w:ind w:left="6480" w:hanging="360"/>
        <w:tabs>
          <w:tab w:val="left" w:pos="6118" w:leader="none"/>
        </w:tabs>
      </w:pPr>
      <w:rPr>
        <w:sz w:val="24"/>
        <w:szCs w:val="24"/>
      </w:rPr>
    </w:lvl>
  </w:abstractNum>
  <w:abstractNum w:abstractNumId="8">
    <w:multiLevelType w:val="hybridMultilevel"/>
    <w:lvl w:ilvl="0">
      <w:start w:val="1"/>
      <w:numFmt w:val="bullet"/>
      <w:pStyle w:val="1187"/>
      <w:isLgl w:val="false"/>
      <w:suff w:val="tab"/>
      <w:lvlText w:val="◆"/>
      <w:lvlJc w:val="left"/>
      <w:pPr>
        <w:ind w:left="930" w:hanging="210"/>
        <w:tabs>
          <w:tab w:val="left" w:pos="930" w:leader="none"/>
        </w:tabs>
      </w:pPr>
      <w:rPr>
        <w:rFonts w:hint="eastAsia" w:ascii="宋体" w:hAnsi="宋体"/>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9">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bullet"/>
      <w:isLgl w:val="false"/>
      <w:suff w:val="tab"/>
      <w:lvlText w:val=""/>
      <w:lvlJc w:val="left"/>
      <w:pPr>
        <w:ind w:left="900" w:hanging="420"/>
        <w:tabs>
          <w:tab w:val="left" w:pos="900" w:leader="none"/>
        </w:tabs>
      </w:pPr>
      <w:rPr>
        <w:rFonts w:ascii="Wingdings" w:hAnsi="Wingdings"/>
      </w:rPr>
    </w:lvl>
    <w:lvl w:ilvl="1">
      <w:start w:val="1"/>
      <w:numFmt w:val="bullet"/>
      <w:isLgl w:val="false"/>
      <w:suff w:val="tab"/>
      <w:lvlText w:val=""/>
      <w:lvlJc w:val="left"/>
      <w:pPr>
        <w:ind w:left="1320" w:hanging="420"/>
        <w:tabs>
          <w:tab w:val="left" w:pos="0" w:leader="none"/>
        </w:tabs>
      </w:pPr>
      <w:rPr>
        <w:rFonts w:ascii="Wingdings" w:hAnsi="Wingdings"/>
      </w:rPr>
    </w:lvl>
    <w:lvl w:ilvl="2">
      <w:start w:val="1"/>
      <w:numFmt w:val="bullet"/>
      <w:pStyle w:val="1212"/>
      <w:isLgl w:val="false"/>
      <w:suff w:val="tab"/>
      <w:lvlText w:val=""/>
      <w:lvlJc w:val="left"/>
      <w:pPr>
        <w:ind w:left="1740" w:hanging="420"/>
        <w:tabs>
          <w:tab w:val="left" w:pos="0" w:leader="none"/>
        </w:tabs>
      </w:pPr>
      <w:rPr>
        <w:rFonts w:ascii="Wingdings" w:hAnsi="Wingdings"/>
      </w:rPr>
    </w:lvl>
    <w:lvl w:ilvl="3">
      <w:start w:val="1"/>
      <w:numFmt w:val="bullet"/>
      <w:isLgl w:val="false"/>
      <w:suff w:val="tab"/>
      <w:lvlText w:val=""/>
      <w:lvlJc w:val="left"/>
      <w:pPr>
        <w:ind w:left="2160" w:hanging="420"/>
        <w:tabs>
          <w:tab w:val="left" w:pos="0" w:leader="none"/>
        </w:tabs>
      </w:pPr>
      <w:rPr>
        <w:rFonts w:ascii="Wingdings" w:hAnsi="Wingdings"/>
      </w:rPr>
    </w:lvl>
    <w:lvl w:ilvl="4">
      <w:start w:val="1"/>
      <w:numFmt w:val="bullet"/>
      <w:isLgl w:val="false"/>
      <w:suff w:val="tab"/>
      <w:lvlText w:val=""/>
      <w:lvlJc w:val="left"/>
      <w:pPr>
        <w:ind w:left="2580" w:hanging="420"/>
        <w:tabs>
          <w:tab w:val="left" w:pos="0" w:leader="none"/>
        </w:tabs>
      </w:pPr>
      <w:rPr>
        <w:rFonts w:ascii="Wingdings" w:hAnsi="Wingdings"/>
      </w:rPr>
    </w:lvl>
    <w:lvl w:ilvl="5">
      <w:start w:val="1"/>
      <w:numFmt w:val="bullet"/>
      <w:isLgl w:val="false"/>
      <w:suff w:val="tab"/>
      <w:lvlText w:val=""/>
      <w:lvlJc w:val="left"/>
      <w:pPr>
        <w:ind w:left="3000" w:hanging="420"/>
        <w:tabs>
          <w:tab w:val="left" w:pos="0" w:leader="none"/>
        </w:tabs>
      </w:pPr>
      <w:rPr>
        <w:rFonts w:ascii="Wingdings" w:hAnsi="Wingdings"/>
      </w:rPr>
    </w:lvl>
    <w:lvl w:ilvl="6">
      <w:start w:val="1"/>
      <w:numFmt w:val="bullet"/>
      <w:isLgl w:val="false"/>
      <w:suff w:val="tab"/>
      <w:lvlText w:val=""/>
      <w:lvlJc w:val="left"/>
      <w:pPr>
        <w:ind w:left="3420" w:hanging="420"/>
        <w:tabs>
          <w:tab w:val="left" w:pos="0" w:leader="none"/>
        </w:tabs>
      </w:pPr>
      <w:rPr>
        <w:rFonts w:ascii="Wingdings" w:hAnsi="Wingdings"/>
      </w:rPr>
    </w:lvl>
    <w:lvl w:ilvl="7">
      <w:start w:val="1"/>
      <w:numFmt w:val="bullet"/>
      <w:isLgl w:val="false"/>
      <w:suff w:val="tab"/>
      <w:lvlText w:val=""/>
      <w:lvlJc w:val="left"/>
      <w:pPr>
        <w:ind w:left="3840" w:hanging="420"/>
        <w:tabs>
          <w:tab w:val="left" w:pos="0" w:leader="none"/>
        </w:tabs>
      </w:pPr>
      <w:rPr>
        <w:rFonts w:ascii="Wingdings" w:hAnsi="Wingdings"/>
      </w:rPr>
    </w:lvl>
    <w:lvl w:ilvl="8">
      <w:start w:val="1"/>
      <w:numFmt w:val="bullet"/>
      <w:isLgl w:val="false"/>
      <w:suff w:val="tab"/>
      <w:lvlText w:val=""/>
      <w:lvlJc w:val="left"/>
      <w:pPr>
        <w:ind w:left="4260" w:hanging="420"/>
        <w:tabs>
          <w:tab w:val="left" w:pos="0" w:leader="none"/>
        </w:tabs>
      </w:pPr>
      <w:rPr>
        <w:rFonts w:ascii="Wingdings" w:hAnsi="Wingdings"/>
      </w:rPr>
    </w:lvl>
  </w:abstractNum>
  <w:abstractNum w:abstractNumId="1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8"/>
  </w:num>
  <w:num w:numId="2">
    <w:abstractNumId w:val="4"/>
  </w:num>
  <w:num w:numId="3">
    <w:abstractNumId w:val="10"/>
  </w:num>
  <w:num w:numId="4">
    <w:abstractNumId w:val="9"/>
  </w:num>
  <w:num w:numId="5">
    <w:abstractNumId w:val="3"/>
  </w:num>
  <w:num w:numId="6">
    <w:abstractNumId w:val="0"/>
  </w:num>
  <w:num w:numId="7">
    <w:abstractNumId w:val="1"/>
  </w:num>
  <w:num w:numId="8">
    <w:abstractNumId w:val="11"/>
  </w:num>
  <w:num w:numId="9">
    <w:abstractNumId w:val="2"/>
  </w:num>
  <w:num w:numId="10">
    <w:abstractNumId w:val="5"/>
  </w:num>
  <w:num w:numId="11">
    <w:abstractNumId w:val="6"/>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67" w:default="1">
    <w:name w:val="Normal"/>
    <w:uiPriority w:val="0"/>
    <w:qFormat/>
    <w:pPr>
      <w:jc w:val="both"/>
      <w:widowControl w:val="off"/>
    </w:pPr>
    <w:rPr>
      <w:rFonts w:hint="default" w:ascii="Calibri" w:hAnsi="Calibri" w:eastAsia="宋体" w:cs="Times New Roman"/>
      <w:sz w:val="21"/>
      <w:szCs w:val="22"/>
      <w:lang w:val="en-US" w:eastAsia="zh-CN" w:bidi="ar-SA"/>
    </w:rPr>
  </w:style>
  <w:style w:type="paragraph" w:styleId="668">
    <w:name w:val="Heading 1"/>
    <w:basedOn w:val="667"/>
    <w:next w:val="667"/>
    <w:link w:val="1374"/>
    <w:uiPriority w:val="9"/>
    <w:qFormat/>
    <w:pPr>
      <w:keepLines/>
      <w:keepNext/>
      <w:spacing w:before="480" w:after="200"/>
      <w:outlineLvl w:val="0"/>
    </w:pPr>
    <w:rPr>
      <w:rFonts w:ascii="Arial" w:hAnsi="Arial" w:eastAsia="Arial" w:cs="Arial"/>
      <w:sz w:val="40"/>
      <w:szCs w:val="40"/>
    </w:rPr>
  </w:style>
  <w:style w:type="paragraph" w:styleId="669">
    <w:name w:val="Heading 2"/>
    <w:basedOn w:val="667"/>
    <w:next w:val="667"/>
    <w:uiPriority w:val="9"/>
    <w:unhideWhenUsed/>
    <w:qFormat/>
    <w:pPr>
      <w:keepLines/>
      <w:keepNext/>
      <w:spacing w:before="360" w:after="200"/>
      <w:outlineLvl w:val="1"/>
    </w:pPr>
    <w:rPr>
      <w:rFonts w:ascii="Arial" w:hAnsi="Arial" w:eastAsia="Arial" w:cs="Arial"/>
      <w:sz w:val="34"/>
    </w:rPr>
  </w:style>
  <w:style w:type="paragraph" w:styleId="670">
    <w:name w:val="Heading 3"/>
    <w:basedOn w:val="667"/>
    <w:next w:val="667"/>
    <w:uiPriority w:val="9"/>
    <w:unhideWhenUsed/>
    <w:qFormat/>
    <w:pPr>
      <w:keepLines/>
      <w:keepNext/>
      <w:spacing w:before="320" w:after="200"/>
      <w:outlineLvl w:val="2"/>
    </w:pPr>
    <w:rPr>
      <w:rFonts w:ascii="Arial" w:hAnsi="Arial" w:eastAsia="Arial" w:cs="Arial"/>
      <w:sz w:val="30"/>
      <w:szCs w:val="30"/>
    </w:rPr>
  </w:style>
  <w:style w:type="paragraph" w:styleId="671">
    <w:name w:val="Heading 4"/>
    <w:basedOn w:val="667"/>
    <w:next w:val="667"/>
    <w:uiPriority w:val="9"/>
    <w:unhideWhenUsed/>
    <w:qFormat/>
    <w:pPr>
      <w:keepLines/>
      <w:keepNext/>
      <w:spacing w:before="320" w:after="200"/>
      <w:outlineLvl w:val="3"/>
    </w:pPr>
    <w:rPr>
      <w:rFonts w:ascii="Arial" w:hAnsi="Arial" w:eastAsia="Arial" w:cs="Arial"/>
      <w:b/>
      <w:bCs/>
      <w:sz w:val="26"/>
      <w:szCs w:val="26"/>
    </w:rPr>
  </w:style>
  <w:style w:type="paragraph" w:styleId="672">
    <w:name w:val="Heading 5"/>
    <w:basedOn w:val="667"/>
    <w:next w:val="667"/>
    <w:uiPriority w:val="9"/>
    <w:unhideWhenUsed/>
    <w:qFormat/>
    <w:pPr>
      <w:keepLines/>
      <w:keepNext/>
      <w:spacing w:before="320" w:after="200"/>
      <w:outlineLvl w:val="4"/>
    </w:pPr>
    <w:rPr>
      <w:rFonts w:ascii="Arial" w:hAnsi="Arial" w:eastAsia="Arial" w:cs="Arial"/>
      <w:b/>
      <w:bCs/>
      <w:sz w:val="24"/>
      <w:szCs w:val="24"/>
    </w:rPr>
  </w:style>
  <w:style w:type="paragraph" w:styleId="673">
    <w:name w:val="Heading 6"/>
    <w:basedOn w:val="667"/>
    <w:next w:val="667"/>
    <w:uiPriority w:val="9"/>
    <w:unhideWhenUsed/>
    <w:qFormat/>
    <w:pPr>
      <w:keepLines/>
      <w:keepNext/>
      <w:spacing w:before="320" w:after="200"/>
      <w:outlineLvl w:val="5"/>
    </w:pPr>
    <w:rPr>
      <w:rFonts w:ascii="Arial" w:hAnsi="Arial" w:eastAsia="Arial" w:cs="Arial"/>
      <w:b/>
      <w:bCs/>
      <w:sz w:val="22"/>
    </w:rPr>
  </w:style>
  <w:style w:type="paragraph" w:styleId="674">
    <w:name w:val="Heading 7"/>
    <w:basedOn w:val="667"/>
    <w:next w:val="667"/>
    <w:uiPriority w:val="9"/>
    <w:unhideWhenUsed/>
    <w:qFormat/>
    <w:pPr>
      <w:keepLines/>
      <w:keepNext/>
      <w:spacing w:before="320" w:after="200"/>
      <w:outlineLvl w:val="6"/>
    </w:pPr>
    <w:rPr>
      <w:rFonts w:ascii="Arial" w:hAnsi="Arial" w:eastAsia="Arial" w:cs="Arial"/>
      <w:b/>
      <w:bCs/>
      <w:i/>
      <w:iCs/>
      <w:sz w:val="22"/>
    </w:rPr>
  </w:style>
  <w:style w:type="paragraph" w:styleId="675">
    <w:name w:val="Heading 8"/>
    <w:basedOn w:val="667"/>
    <w:next w:val="667"/>
    <w:uiPriority w:val="9"/>
    <w:unhideWhenUsed/>
    <w:qFormat/>
    <w:pPr>
      <w:keepLines/>
      <w:keepNext/>
      <w:spacing w:before="320" w:after="200"/>
      <w:outlineLvl w:val="7"/>
    </w:pPr>
    <w:rPr>
      <w:rFonts w:ascii="Arial" w:hAnsi="Arial" w:eastAsia="Arial" w:cs="Arial"/>
      <w:i/>
      <w:iCs/>
      <w:sz w:val="22"/>
    </w:rPr>
  </w:style>
  <w:style w:type="paragraph" w:styleId="676">
    <w:name w:val="Heading 9"/>
    <w:basedOn w:val="667"/>
    <w:next w:val="667"/>
    <w:uiPriority w:val="9"/>
    <w:unhideWhenUsed/>
    <w:qFormat/>
    <w:pPr>
      <w:keepLines/>
      <w:keepNext/>
      <w:spacing w:before="320" w:after="200"/>
      <w:outlineLvl w:val="8"/>
    </w:pPr>
    <w:rPr>
      <w:rFonts w:ascii="Arial" w:hAnsi="Arial" w:eastAsia="Arial" w:cs="Arial"/>
      <w:i/>
      <w:iCs/>
      <w:szCs w:val="21"/>
    </w:rPr>
  </w:style>
  <w:style w:type="character" w:styleId="677" w:default="1">
    <w:name w:val="Default Paragraph Font"/>
    <w:uiPriority w:val="1"/>
    <w:semiHidden/>
    <w:unhideWhenUsed/>
    <w:qFormat/>
  </w:style>
  <w:style w:type="table" w:styleId="678" w:default="1">
    <w:name w:val="Normal Table"/>
    <w:uiPriority w:val="99"/>
    <w:semiHidden/>
    <w:unhideWhenUsed/>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679">
    <w:name w:val="toc 7"/>
    <w:basedOn w:val="667"/>
    <w:next w:val="667"/>
    <w:uiPriority w:val="0"/>
    <w:qFormat/>
    <w:pPr>
      <w:ind w:left="1260"/>
      <w:jc w:val="left"/>
    </w:pPr>
    <w:rPr>
      <w:rFonts w:cs="Calibri"/>
      <w:sz w:val="18"/>
      <w:szCs w:val="18"/>
    </w:rPr>
  </w:style>
  <w:style w:type="paragraph" w:styleId="680">
    <w:name w:val="Normal Indent"/>
    <w:basedOn w:val="667"/>
    <w:uiPriority w:val="0"/>
    <w:qFormat/>
    <w:pPr>
      <w:ind w:firstLine="420"/>
    </w:pPr>
    <w:rPr>
      <w:szCs w:val="21"/>
    </w:rPr>
  </w:style>
  <w:style w:type="paragraph" w:styleId="681">
    <w:name w:val="Caption"/>
    <w:basedOn w:val="667"/>
    <w:next w:val="66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82">
    <w:name w:val="annotation text"/>
    <w:basedOn w:val="667"/>
    <w:uiPriority w:val="99"/>
    <w:semiHidden/>
    <w:unhideWhenUsed/>
    <w:qFormat/>
    <w:pPr>
      <w:jc w:val="left"/>
    </w:pPr>
  </w:style>
  <w:style w:type="paragraph" w:styleId="683">
    <w:name w:val="Body Text"/>
    <w:basedOn w:val="667"/>
    <w:next w:val="667"/>
    <w:uiPriority w:val="1"/>
    <w:qFormat/>
    <w:pPr>
      <w:ind w:firstLine="600"/>
    </w:pPr>
    <w:rPr>
      <w:rFonts w:ascii="Times New Roman" w:hAnsi="Times New Roman" w:eastAsia="方正仿宋_GBK"/>
      <w:b/>
      <w:bCs/>
      <w:color w:val="ff0000"/>
      <w:sz w:val="30"/>
      <w:szCs w:val="30"/>
    </w:rPr>
  </w:style>
  <w:style w:type="paragraph" w:styleId="684">
    <w:name w:val="Body Text Indent"/>
    <w:basedOn w:val="667"/>
    <w:next w:val="685"/>
    <w:uiPriority w:val="0"/>
    <w:unhideWhenUsed/>
    <w:qFormat/>
    <w:pPr>
      <w:ind w:left="420"/>
      <w:spacing w:after="120"/>
    </w:pPr>
  </w:style>
  <w:style w:type="paragraph" w:styleId="685">
    <w:name w:val="envelope return"/>
    <w:basedOn w:val="667"/>
    <w:uiPriority w:val="0"/>
    <w:qFormat/>
    <w:rPr>
      <w:rFonts w:ascii="Arial" w:hAnsi="Arial"/>
    </w:rPr>
  </w:style>
  <w:style w:type="paragraph" w:styleId="686">
    <w:name w:val="Block Text"/>
    <w:basedOn w:val="667"/>
    <w:uiPriority w:val="99"/>
    <w:unhideWhenUsed/>
    <w:qFormat/>
    <w:rPr>
      <w:rFonts w:cs="Calibri"/>
    </w:rPr>
  </w:style>
  <w:style w:type="paragraph" w:styleId="687">
    <w:name w:val="toc 5"/>
    <w:basedOn w:val="667"/>
    <w:next w:val="667"/>
    <w:uiPriority w:val="0"/>
    <w:qFormat/>
    <w:pPr>
      <w:ind w:left="840"/>
      <w:jc w:val="left"/>
    </w:pPr>
    <w:rPr>
      <w:rFonts w:cs="Calibri"/>
      <w:sz w:val="18"/>
      <w:szCs w:val="18"/>
    </w:rPr>
  </w:style>
  <w:style w:type="paragraph" w:styleId="688">
    <w:name w:val="toc 3"/>
    <w:basedOn w:val="667"/>
    <w:next w:val="667"/>
    <w:uiPriority w:val="39"/>
    <w:qFormat/>
    <w:pPr>
      <w:ind w:left="420"/>
      <w:jc w:val="left"/>
    </w:pPr>
    <w:rPr>
      <w:rFonts w:cs="Calibri"/>
      <w:i/>
      <w:iCs/>
      <w:sz w:val="20"/>
      <w:szCs w:val="20"/>
    </w:rPr>
  </w:style>
  <w:style w:type="paragraph" w:styleId="689">
    <w:name w:val="Plain Text"/>
    <w:basedOn w:val="667"/>
    <w:uiPriority w:val="0"/>
    <w:qFormat/>
    <w:rPr>
      <w:rFonts w:ascii="宋体" w:hAnsi="Courier New" w:cs="Courier New"/>
      <w:szCs w:val="21"/>
    </w:rPr>
  </w:style>
  <w:style w:type="paragraph" w:styleId="690">
    <w:name w:val="toc 8"/>
    <w:basedOn w:val="667"/>
    <w:next w:val="667"/>
    <w:uiPriority w:val="0"/>
    <w:qFormat/>
    <w:pPr>
      <w:ind w:left="1470"/>
      <w:jc w:val="left"/>
    </w:pPr>
    <w:rPr>
      <w:rFonts w:cs="Calibri"/>
      <w:sz w:val="18"/>
      <w:szCs w:val="18"/>
    </w:rPr>
  </w:style>
  <w:style w:type="paragraph" w:styleId="691">
    <w:name w:val="Date"/>
    <w:basedOn w:val="667"/>
    <w:next w:val="667"/>
    <w:link w:val="1385"/>
    <w:uiPriority w:val="99"/>
    <w:semiHidden/>
    <w:unhideWhenUsed/>
    <w:qFormat/>
    <w:pPr>
      <w:ind w:left="100"/>
    </w:pPr>
  </w:style>
  <w:style w:type="paragraph" w:styleId="692">
    <w:name w:val="endnote text"/>
    <w:basedOn w:val="667"/>
    <w:uiPriority w:val="99"/>
    <w:semiHidden/>
    <w:unhideWhenUsed/>
    <w:qFormat/>
    <w:rPr>
      <w:sz w:val="20"/>
    </w:rPr>
  </w:style>
  <w:style w:type="paragraph" w:styleId="693">
    <w:name w:val="Balloon Text"/>
    <w:basedOn w:val="667"/>
    <w:link w:val="1373"/>
    <w:uiPriority w:val="99"/>
    <w:semiHidden/>
    <w:unhideWhenUsed/>
    <w:qFormat/>
    <w:rPr>
      <w:rFonts w:ascii="宋体"/>
      <w:sz w:val="18"/>
      <w:szCs w:val="18"/>
    </w:rPr>
  </w:style>
  <w:style w:type="paragraph" w:styleId="694">
    <w:name w:val="Footer"/>
    <w:basedOn w:val="667"/>
    <w:uiPriority w:val="99"/>
    <w:unhideWhenUsed/>
    <w:qFormat/>
    <w:pPr>
      <w:tabs>
        <w:tab w:val="center" w:pos="7143" w:leader="none"/>
        <w:tab w:val="right" w:pos="14287" w:leader="none"/>
      </w:tabs>
    </w:pPr>
  </w:style>
  <w:style w:type="paragraph" w:styleId="695">
    <w:name w:val="Header"/>
    <w:basedOn w:val="667"/>
    <w:uiPriority w:val="99"/>
    <w:unhideWhenUsed/>
    <w:qFormat/>
    <w:pPr>
      <w:tabs>
        <w:tab w:val="center" w:pos="7143" w:leader="none"/>
        <w:tab w:val="right" w:pos="14287" w:leader="none"/>
      </w:tabs>
    </w:pPr>
  </w:style>
  <w:style w:type="paragraph" w:styleId="696">
    <w:name w:val="toc 1"/>
    <w:basedOn w:val="667"/>
    <w:next w:val="667"/>
    <w:uiPriority w:val="39"/>
    <w:qFormat/>
    <w:pPr>
      <w:jc w:val="left"/>
      <w:spacing w:before="120" w:after="120"/>
    </w:pPr>
    <w:rPr>
      <w:rFonts w:cs="Calibri"/>
      <w:b/>
      <w:bCs/>
      <w:caps/>
      <w:sz w:val="20"/>
      <w:szCs w:val="20"/>
    </w:rPr>
  </w:style>
  <w:style w:type="paragraph" w:styleId="697">
    <w:name w:val="toc 4"/>
    <w:basedOn w:val="667"/>
    <w:next w:val="667"/>
    <w:uiPriority w:val="0"/>
    <w:qFormat/>
    <w:pPr>
      <w:ind w:left="630"/>
      <w:jc w:val="left"/>
    </w:pPr>
    <w:rPr>
      <w:rFonts w:cs="Calibri"/>
      <w:sz w:val="18"/>
      <w:szCs w:val="18"/>
    </w:rPr>
  </w:style>
  <w:style w:type="paragraph" w:styleId="698">
    <w:name w:val="Subtitle"/>
    <w:basedOn w:val="667"/>
    <w:next w:val="667"/>
    <w:uiPriority w:val="11"/>
    <w:qFormat/>
    <w:pPr>
      <w:spacing w:before="200" w:after="200"/>
    </w:pPr>
    <w:rPr>
      <w:sz w:val="24"/>
      <w:szCs w:val="24"/>
    </w:rPr>
  </w:style>
  <w:style w:type="paragraph" w:styleId="699">
    <w:name w:val="footnote text"/>
    <w:basedOn w:val="667"/>
    <w:uiPriority w:val="99"/>
    <w:semiHidden/>
    <w:unhideWhenUsed/>
    <w:qFormat/>
    <w:pPr>
      <w:spacing w:after="40"/>
    </w:pPr>
    <w:rPr>
      <w:sz w:val="18"/>
    </w:rPr>
  </w:style>
  <w:style w:type="paragraph" w:styleId="700">
    <w:name w:val="toc 6"/>
    <w:basedOn w:val="667"/>
    <w:next w:val="667"/>
    <w:uiPriority w:val="0"/>
    <w:qFormat/>
    <w:pPr>
      <w:ind w:left="1050"/>
      <w:jc w:val="left"/>
    </w:pPr>
    <w:rPr>
      <w:rFonts w:cs="Calibri"/>
      <w:sz w:val="18"/>
      <w:szCs w:val="18"/>
    </w:rPr>
  </w:style>
  <w:style w:type="paragraph" w:styleId="701">
    <w:name w:val="table of figures"/>
    <w:basedOn w:val="667"/>
    <w:next w:val="667"/>
    <w:uiPriority w:val="99"/>
    <w:unhideWhenUsed/>
    <w:qFormat/>
  </w:style>
  <w:style w:type="paragraph" w:styleId="702">
    <w:name w:val="toc 2"/>
    <w:basedOn w:val="667"/>
    <w:next w:val="667"/>
    <w:uiPriority w:val="39"/>
    <w:qFormat/>
    <w:pPr>
      <w:ind w:left="210"/>
      <w:jc w:val="left"/>
    </w:pPr>
    <w:rPr>
      <w:rFonts w:cs="Calibri"/>
      <w:smallCaps/>
      <w:sz w:val="20"/>
      <w:szCs w:val="20"/>
    </w:rPr>
  </w:style>
  <w:style w:type="paragraph" w:styleId="703">
    <w:name w:val="toc 9"/>
    <w:basedOn w:val="667"/>
    <w:next w:val="667"/>
    <w:uiPriority w:val="0"/>
    <w:qFormat/>
    <w:pPr>
      <w:ind w:left="1680"/>
      <w:jc w:val="left"/>
    </w:pPr>
    <w:rPr>
      <w:rFonts w:cs="Calibri"/>
      <w:sz w:val="18"/>
      <w:szCs w:val="18"/>
    </w:rPr>
  </w:style>
  <w:style w:type="paragraph" w:styleId="704">
    <w:name w:val="Body Text 2"/>
    <w:basedOn w:val="667"/>
    <w:next w:val="683"/>
    <w:uiPriority w:val="0"/>
    <w:qFormat/>
  </w:style>
  <w:style w:type="paragraph" w:styleId="705">
    <w:name w:val="Normal (Web)"/>
    <w:basedOn w:val="667"/>
    <w:uiPriority w:val="99"/>
    <w:qFormat/>
    <w:pPr>
      <w:jc w:val="left"/>
      <w:spacing w:before="100" w:beforeAutospacing="1" w:after="100" w:afterAutospacing="1"/>
      <w:widowControl/>
    </w:pPr>
    <w:rPr>
      <w:rFonts w:ascii="宋体" w:hAnsi="宋体" w:cs="宋体"/>
      <w:sz w:val="24"/>
      <w:szCs w:val="24"/>
    </w:rPr>
  </w:style>
  <w:style w:type="paragraph" w:styleId="706">
    <w:name w:val="Title"/>
    <w:basedOn w:val="667"/>
    <w:next w:val="667"/>
    <w:uiPriority w:val="10"/>
    <w:qFormat/>
    <w:pPr>
      <w:contextualSpacing/>
      <w:spacing w:before="300" w:after="200"/>
    </w:pPr>
    <w:rPr>
      <w:sz w:val="48"/>
      <w:szCs w:val="48"/>
    </w:rPr>
  </w:style>
  <w:style w:type="paragraph" w:styleId="707">
    <w:name w:val="Body Text First Indent"/>
    <w:basedOn w:val="683"/>
    <w:next w:val="667"/>
    <w:uiPriority w:val="0"/>
    <w:qFormat/>
    <w:pPr>
      <w:ind w:firstLine="200"/>
      <w:spacing w:line="360" w:lineRule="auto"/>
    </w:pPr>
    <w:rPr>
      <w:rFonts w:ascii="仿宋_GB2312" w:eastAsia="仿宋_GB2312"/>
    </w:rPr>
  </w:style>
  <w:style w:type="paragraph" w:styleId="708">
    <w:name w:val="Body Text First Indent 2"/>
    <w:basedOn w:val="684"/>
    <w:uiPriority w:val="0"/>
    <w:qFormat/>
    <w:pPr>
      <w:ind w:left="200" w:firstLine="200"/>
      <w:spacing w:after="120"/>
    </w:pPr>
    <w:rPr>
      <w:rFonts w:ascii="Times New Roman" w:hAnsi="Times New Roman"/>
      <w:sz w:val="24"/>
      <w:szCs w:val="24"/>
    </w:rPr>
  </w:style>
  <w:style w:type="table" w:styleId="709">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0">
    <w:name w:val="Strong"/>
    <w:basedOn w:val="677"/>
    <w:uiPriority w:val="22"/>
    <w:qFormat/>
    <w:rPr>
      <w:b/>
    </w:rPr>
  </w:style>
  <w:style w:type="character" w:styleId="711">
    <w:name w:val="endnote reference"/>
    <w:uiPriority w:val="99"/>
    <w:semiHidden/>
    <w:unhideWhenUsed/>
    <w:qFormat/>
    <w:rPr>
      <w:vertAlign w:val="superscript"/>
    </w:rPr>
  </w:style>
  <w:style w:type="character" w:styleId="712">
    <w:name w:val="Hyperlink"/>
    <w:uiPriority w:val="99"/>
    <w:unhideWhenUsed/>
    <w:qFormat/>
    <w:rPr>
      <w:color w:val="0000ff" w:themeColor="hyperlink"/>
      <w:u w:val="single"/>
      <w14:textFill>
        <w14:solidFill>
          <w14:schemeClr w14:val="hlink"/>
        </w14:solidFill>
      </w14:textFill>
    </w:rPr>
  </w:style>
  <w:style w:type="character" w:styleId="713">
    <w:name w:val="annotation reference"/>
    <w:basedOn w:val="677"/>
    <w:uiPriority w:val="99"/>
    <w:semiHidden/>
    <w:unhideWhenUsed/>
    <w:qFormat/>
    <w:rPr>
      <w:sz w:val="21"/>
      <w:szCs w:val="21"/>
    </w:rPr>
  </w:style>
  <w:style w:type="character" w:styleId="714">
    <w:name w:val="footnote reference"/>
    <w:uiPriority w:val="99"/>
    <w:unhideWhenUsed/>
    <w:qFormat/>
    <w:rPr>
      <w:vertAlign w:val="superscript"/>
    </w:rPr>
  </w:style>
  <w:style w:type="table" w:styleId="715" w:customStyle="1">
    <w:name w:val="Plain Table 1"/>
    <w:basedOn w:val="678"/>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6" w:customStyle="1">
    <w:name w:val="Plain Table 2"/>
    <w:basedOn w:val="678"/>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7" w:customStyle="1">
    <w:name w:val="Plain Table 3"/>
    <w:basedOn w:val="67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8" w:customStyle="1">
    <w:name w:val="Plain Table 4"/>
    <w:basedOn w:val="67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9" w:customStyle="1">
    <w:name w:val="Plain Table 5"/>
    <w:basedOn w:val="67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20" w:customStyle="1">
    <w:name w:val="Grid Table 1 Light"/>
    <w:basedOn w:val="678"/>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21" w:customStyle="1">
    <w:name w:val="Grid Table 2"/>
    <w:basedOn w:val="67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22" w:customStyle="1">
    <w:name w:val="Grid Table 3"/>
    <w:basedOn w:val="67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3" w:customStyle="1">
    <w:name w:val="Grid Table 4"/>
    <w:basedOn w:val="678"/>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4" w:customStyle="1">
    <w:name w:val="Grid Table 5 Dark"/>
    <w:basedOn w:val="67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25" w:customStyle="1">
    <w:name w:val="Grid Table 6 Colorful"/>
    <w:basedOn w:val="678"/>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26" w:customStyle="1">
    <w:name w:val="Grid Table 7 Colorful"/>
    <w:basedOn w:val="678"/>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27" w:customStyle="1">
    <w:name w:val="List Table 1 Light"/>
    <w:basedOn w:val="678"/>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8" w:customStyle="1">
    <w:name w:val="List Table 2"/>
    <w:basedOn w:val="678"/>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29" w:customStyle="1">
    <w:name w:val="List Table 3"/>
    <w:basedOn w:val="67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30" w:customStyle="1">
    <w:name w:val="List Table 4"/>
    <w:basedOn w:val="67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31" w:customStyle="1">
    <w:name w:val="List Table 5 Dark"/>
    <w:basedOn w:val="678"/>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32" w:customStyle="1">
    <w:name w:val="List Table 6 Colorful"/>
    <w:basedOn w:val="678"/>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33" w:customStyle="1">
    <w:name w:val="List Table 7 Colorful"/>
    <w:basedOn w:val="678"/>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34" w:customStyle="1">
    <w:name w:val="TOC Heading"/>
    <w:uiPriority w:val="39"/>
    <w:unhideWhenUsed/>
    <w:qFormat/>
    <w:rPr>
      <w:rFonts w:hint="default" w:ascii="Times New Roman" w:hAnsi="Times New Roman" w:eastAsia="宋体" w:cs="Times New Roman"/>
    </w:rPr>
  </w:style>
  <w:style w:type="table" w:styleId="735" w:customStyle="1">
    <w:name w:val="无格式表格 11"/>
    <w:basedOn w:val="73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6" w:customStyle="1">
    <w:name w:val="普通表格11"/>
    <w:uiPriority w:val="99"/>
    <w:unhideWhenUsed/>
    <w:qFormat/>
    <w:tblPr>
      <w:tblCellMar>
        <w:left w:w="0" w:type="dxa"/>
        <w:top w:w="0" w:type="dxa"/>
        <w:right w:w="0" w:type="dxa"/>
        <w:bottom w:w="0" w:type="dxa"/>
      </w:tblCellMar>
    </w:tblPr>
  </w:style>
  <w:style w:type="table" w:styleId="737" w:customStyle="1">
    <w:name w:val="无格式表格 21"/>
    <w:basedOn w:val="736"/>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8" w:customStyle="1">
    <w:name w:val="无格式表格 31"/>
    <w:basedOn w:val="736"/>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9" w:customStyle="1">
    <w:name w:val="无格式表格 41"/>
    <w:basedOn w:val="736"/>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0" w:customStyle="1">
    <w:name w:val="无格式表格 51"/>
    <w:basedOn w:val="736"/>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1" w:customStyle="1">
    <w:name w:val="网格表 1 浅色1"/>
    <w:basedOn w:val="736"/>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42" w:customStyle="1">
    <w:name w:val="网格表 21"/>
    <w:basedOn w:val="73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43" w:customStyle="1">
    <w:name w:val="网格表 31"/>
    <w:basedOn w:val="73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4" w:customStyle="1">
    <w:name w:val="网格表 41"/>
    <w:basedOn w:val="736"/>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5" w:customStyle="1">
    <w:name w:val="网格表 5 深色1"/>
    <w:basedOn w:val="73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46" w:customStyle="1">
    <w:name w:val="网格表 6 彩色1"/>
    <w:basedOn w:val="736"/>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47" w:customStyle="1">
    <w:name w:val="网格表 7 彩色1"/>
    <w:basedOn w:val="736"/>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48" w:customStyle="1">
    <w:name w:val="清单表 1 浅色1"/>
    <w:basedOn w:val="736"/>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9" w:customStyle="1">
    <w:name w:val="清单表 21"/>
    <w:basedOn w:val="736"/>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50" w:customStyle="1">
    <w:name w:val="清单表 31"/>
    <w:basedOn w:val="73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1" w:customStyle="1">
    <w:name w:val="清单表 41"/>
    <w:basedOn w:val="73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2" w:customStyle="1">
    <w:name w:val="清单表 5 深色1"/>
    <w:basedOn w:val="736"/>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53" w:customStyle="1">
    <w:name w:val="清单表 6 彩色1"/>
    <w:basedOn w:val="736"/>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54" w:customStyle="1">
    <w:name w:val="清单表 7 彩色1"/>
    <w:basedOn w:val="736"/>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55" w:customStyle="1">
    <w:name w:val="TOC 标题1"/>
    <w:uiPriority w:val="39"/>
    <w:unhideWhenUsed/>
    <w:qFormat/>
    <w:rPr>
      <w:rFonts w:hint="default" w:ascii="Times New Roman" w:hAnsi="Times New Roman" w:eastAsia="宋体" w:cs="Times New Roman"/>
      <w:lang w:val="en-US" w:eastAsia="zh-CN" w:bidi="ar-SA"/>
    </w:rPr>
  </w:style>
  <w:style w:type="paragraph" w:styleId="756" w:customStyle="1">
    <w:name w:val="Normal1"/>
    <w:next w:val="670"/>
    <w:uiPriority w:val="0"/>
    <w:qFormat/>
    <w:rPr>
      <w:rFonts w:hint="default" w:ascii="Times New Roman" w:hAnsi="Times New Roman" w:eastAsia="Times New Roman" w:cs="Times New Roman"/>
      <w:sz w:val="24"/>
      <w:szCs w:val="24"/>
      <w:lang w:val="en-US" w:eastAsia="zh-CN" w:bidi="ar-SA"/>
    </w:rPr>
  </w:style>
  <w:style w:type="paragraph" w:styleId="757" w:customStyle="1">
    <w:name w:val="Normal_19"/>
    <w:next w:val="758"/>
    <w:uiPriority w:val="0"/>
    <w:qFormat/>
    <w:rPr>
      <w:rFonts w:hint="default" w:ascii="Times New Roman" w:hAnsi="Times New Roman" w:eastAsia="Times New Roman" w:cs="Times New Roman"/>
      <w:sz w:val="24"/>
      <w:szCs w:val="24"/>
      <w:lang w:val="en-US" w:eastAsia="zh-CN" w:bidi="ar-SA"/>
    </w:rPr>
  </w:style>
  <w:style w:type="paragraph" w:styleId="758" w:customStyle="1">
    <w:name w:val="正文1"/>
    <w:next w:val="759"/>
    <w:uiPriority w:val="0"/>
    <w:qFormat/>
    <w:pPr>
      <w:jc w:val="both"/>
      <w:widowControl w:val="off"/>
    </w:pPr>
    <w:rPr>
      <w:rFonts w:hint="default" w:ascii="Times New Roman" w:hAnsi="Times New Roman" w:eastAsia="宋体" w:cs="Times New Roman"/>
      <w:szCs w:val="21"/>
      <w:lang w:val="en-US" w:eastAsia="zh-CN" w:bidi="ar-SA"/>
    </w:rPr>
  </w:style>
  <w:style w:type="paragraph" w:styleId="759" w:customStyle="1">
    <w:name w:val="Body Text First Indent1"/>
    <w:basedOn w:val="760"/>
    <w:uiPriority w:val="99"/>
    <w:unhideWhenUsed/>
    <w:qFormat/>
    <w:pPr>
      <w:ind w:firstLine="420"/>
    </w:pPr>
  </w:style>
  <w:style w:type="paragraph" w:styleId="760" w:customStyle="1">
    <w:name w:val="Body Text1"/>
    <w:basedOn w:val="758"/>
    <w:uiPriority w:val="99"/>
    <w:unhideWhenUsed/>
    <w:qFormat/>
    <w:pPr>
      <w:spacing w:after="120"/>
    </w:pPr>
  </w:style>
  <w:style w:type="paragraph" w:styleId="761" w:customStyle="1">
    <w:name w:val="TOC 标题117"/>
    <w:uiPriority w:val="39"/>
    <w:unhideWhenUsed/>
    <w:qFormat/>
    <w:rPr>
      <w:rFonts w:hint="default" w:ascii="Times New Roman" w:hAnsi="Times New Roman" w:eastAsia="宋体" w:cs="Times New Roman"/>
      <w:lang w:val="en-US" w:eastAsia="zh-CN" w:bidi="ar-SA"/>
    </w:rPr>
  </w:style>
  <w:style w:type="paragraph" w:styleId="762" w:customStyle="1">
    <w:name w:val="TOC 标题116"/>
    <w:uiPriority w:val="39"/>
    <w:unhideWhenUsed/>
    <w:qFormat/>
    <w:rPr>
      <w:rFonts w:hint="default" w:ascii="Times New Roman" w:hAnsi="Times New Roman" w:eastAsia="宋体" w:cs="Times New Roman"/>
      <w:lang w:val="en-US" w:eastAsia="zh-CN" w:bidi="ar-SA"/>
    </w:rPr>
  </w:style>
  <w:style w:type="paragraph" w:styleId="763" w:customStyle="1">
    <w:name w:val="TOC 标题115"/>
    <w:uiPriority w:val="39"/>
    <w:unhideWhenUsed/>
    <w:qFormat/>
    <w:rPr>
      <w:rFonts w:hint="default" w:ascii="Times New Roman" w:hAnsi="Times New Roman" w:eastAsia="宋体" w:cs="Times New Roman"/>
      <w:lang w:val="en-US" w:eastAsia="zh-CN" w:bidi="ar-SA"/>
    </w:rPr>
  </w:style>
  <w:style w:type="paragraph" w:styleId="764" w:customStyle="1">
    <w:name w:val="TOC 标题114"/>
    <w:uiPriority w:val="39"/>
    <w:unhideWhenUsed/>
    <w:qFormat/>
    <w:rPr>
      <w:rFonts w:hint="default" w:ascii="Times New Roman" w:hAnsi="Times New Roman" w:eastAsia="宋体" w:cs="Times New Roman"/>
      <w:lang w:val="en-US" w:eastAsia="zh-CN" w:bidi="ar-SA"/>
    </w:rPr>
  </w:style>
  <w:style w:type="character" w:styleId="765" w:customStyle="1">
    <w:name w:val="标题 1 字符"/>
    <w:link w:val="766"/>
    <w:uiPriority w:val="0"/>
    <w:qFormat/>
    <w:rPr>
      <w:b/>
      <w:sz w:val="44"/>
    </w:rPr>
  </w:style>
  <w:style w:type="paragraph" w:styleId="766" w:customStyle="1">
    <w:name w:val="标题 11"/>
    <w:basedOn w:val="667"/>
    <w:next w:val="667"/>
    <w:link w:val="765"/>
    <w:uiPriority w:val="0"/>
    <w:qFormat/>
    <w:pPr>
      <w:keepLines/>
      <w:keepNext/>
      <w:spacing w:before="340" w:after="330" w:line="576" w:lineRule="auto"/>
      <w:outlineLvl w:val="0"/>
    </w:pPr>
    <w:rPr>
      <w:rFonts w:ascii="Times New Roman" w:hAnsi="Times New Roman"/>
      <w:b/>
      <w:sz w:val="44"/>
      <w:szCs w:val="20"/>
    </w:rPr>
  </w:style>
  <w:style w:type="character" w:styleId="767" w:customStyle="1">
    <w:name w:val="标题 2 字符"/>
    <w:link w:val="768"/>
    <w:uiPriority w:val="0"/>
    <w:qFormat/>
    <w:rPr>
      <w:rFonts w:ascii="Arial" w:hAnsi="Arial" w:eastAsia="黑体"/>
      <w:b/>
      <w:sz w:val="32"/>
    </w:rPr>
  </w:style>
  <w:style w:type="paragraph" w:styleId="768" w:customStyle="1">
    <w:name w:val="标题 21"/>
    <w:basedOn w:val="667"/>
    <w:next w:val="667"/>
    <w:link w:val="767"/>
    <w:uiPriority w:val="0"/>
    <w:qFormat/>
    <w:pPr>
      <w:keepLines/>
      <w:keepNext/>
      <w:spacing w:before="260" w:after="260" w:line="413" w:lineRule="auto"/>
      <w:outlineLvl w:val="1"/>
    </w:pPr>
    <w:rPr>
      <w:rFonts w:ascii="Arial" w:hAnsi="Arial" w:eastAsia="黑体"/>
      <w:b/>
      <w:sz w:val="32"/>
      <w:szCs w:val="20"/>
    </w:rPr>
  </w:style>
  <w:style w:type="character" w:styleId="769" w:customStyle="1">
    <w:name w:val="标题 3 字符"/>
    <w:link w:val="770"/>
    <w:uiPriority w:val="0"/>
    <w:qFormat/>
    <w:rPr>
      <w:b/>
      <w:sz w:val="32"/>
    </w:rPr>
  </w:style>
  <w:style w:type="paragraph" w:styleId="770" w:customStyle="1">
    <w:name w:val="标题 31"/>
    <w:basedOn w:val="667"/>
    <w:next w:val="667"/>
    <w:link w:val="769"/>
    <w:uiPriority w:val="0"/>
    <w:qFormat/>
    <w:pPr>
      <w:keepLines/>
      <w:keepNext/>
      <w:spacing w:before="260" w:after="260" w:line="413" w:lineRule="auto"/>
      <w:outlineLvl w:val="2"/>
    </w:pPr>
    <w:rPr>
      <w:rFonts w:ascii="Times New Roman" w:hAnsi="Times New Roman"/>
      <w:b/>
      <w:sz w:val="32"/>
      <w:szCs w:val="20"/>
    </w:rPr>
  </w:style>
  <w:style w:type="character" w:styleId="771" w:customStyle="1">
    <w:name w:val="标题 4 字符"/>
    <w:link w:val="772"/>
    <w:uiPriority w:val="0"/>
    <w:qFormat/>
    <w:rPr>
      <w:rFonts w:ascii="宋体" w:eastAsia="宋体"/>
      <w:color w:val="800000"/>
      <w:sz w:val="28"/>
      <w:lang w:val="en-US" w:eastAsia="zh-CN" w:bidi="ar-SA"/>
    </w:rPr>
  </w:style>
  <w:style w:type="paragraph" w:styleId="772" w:customStyle="1">
    <w:name w:val="标题 41"/>
    <w:basedOn w:val="667"/>
    <w:next w:val="667"/>
    <w:link w:val="771"/>
    <w:uiPriority w:val="0"/>
    <w:qFormat/>
    <w:pPr>
      <w:keepLines/>
      <w:keepNext/>
      <w:spacing w:line="360" w:lineRule="auto"/>
      <w:tabs>
        <w:tab w:val="left" w:pos="1134" w:leader="none"/>
        <w:tab w:val="right" w:pos="7371" w:leader="none"/>
      </w:tabs>
      <w:outlineLvl w:val="3"/>
    </w:pPr>
    <w:rPr>
      <w:rFonts w:ascii="宋体" w:hAnsi="Times New Roman"/>
      <w:color w:val="800000"/>
      <w:sz w:val="28"/>
      <w:szCs w:val="20"/>
    </w:rPr>
  </w:style>
  <w:style w:type="paragraph" w:styleId="773">
    <w:name w:val="List Paragraph"/>
    <w:basedOn w:val="667"/>
    <w:uiPriority w:val="34"/>
    <w:qFormat/>
    <w:pPr>
      <w:contextualSpacing/>
      <w:ind w:left="720"/>
    </w:pPr>
  </w:style>
  <w:style w:type="paragraph" w:styleId="774">
    <w:name w:val="No Spacing"/>
    <w:uiPriority w:val="1"/>
    <w:qFormat/>
    <w:rPr>
      <w:rFonts w:hint="default" w:ascii="Times New Roman" w:hAnsi="Times New Roman" w:eastAsia="宋体" w:cs="Times New Roman"/>
      <w:lang w:val="en-US" w:eastAsia="zh-CN" w:bidi="ar-SA"/>
    </w:rPr>
  </w:style>
  <w:style w:type="paragraph" w:styleId="775">
    <w:name w:val="Quote"/>
    <w:basedOn w:val="667"/>
    <w:next w:val="667"/>
    <w:uiPriority w:val="29"/>
    <w:qFormat/>
    <w:pPr>
      <w:ind w:left="720" w:right="720"/>
    </w:pPr>
    <w:rPr>
      <w:i/>
    </w:rPr>
  </w:style>
  <w:style w:type="paragraph" w:styleId="776">
    <w:name w:val="Intense Quote"/>
    <w:basedOn w:val="667"/>
    <w:next w:val="66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777" w:customStyle="1">
    <w:name w:val="TOC 标题113"/>
    <w:uiPriority w:val="39"/>
    <w:unhideWhenUsed/>
    <w:qFormat/>
    <w:rPr>
      <w:rFonts w:hint="default" w:ascii="Times New Roman" w:hAnsi="Times New Roman" w:eastAsia="宋体" w:cs="Times New Roman"/>
      <w:lang w:val="en-US" w:eastAsia="zh-CN" w:bidi="ar-SA"/>
    </w:rPr>
  </w:style>
  <w:style w:type="paragraph" w:styleId="778" w:customStyle="1">
    <w:name w:val="标题 111"/>
    <w:basedOn w:val="667"/>
    <w:next w:val="667"/>
    <w:link w:val="788"/>
    <w:uiPriority w:val="9"/>
    <w:qFormat/>
    <w:pPr>
      <w:keepLines/>
      <w:keepNext/>
      <w:spacing w:before="480" w:after="200"/>
      <w:outlineLvl w:val="0"/>
    </w:pPr>
    <w:rPr>
      <w:rFonts w:ascii="Arial" w:hAnsi="Arial" w:eastAsia="Arial" w:cs="Arial"/>
      <w:sz w:val="40"/>
      <w:szCs w:val="40"/>
    </w:rPr>
  </w:style>
  <w:style w:type="paragraph" w:styleId="779" w:customStyle="1">
    <w:name w:val="标题 211"/>
    <w:basedOn w:val="667"/>
    <w:next w:val="667"/>
    <w:uiPriority w:val="9"/>
    <w:qFormat/>
    <w:pPr>
      <w:keepLines/>
      <w:keepNext/>
      <w:spacing w:before="360" w:after="200"/>
      <w:outlineLvl w:val="1"/>
    </w:pPr>
    <w:rPr>
      <w:rFonts w:ascii="Arial" w:hAnsi="Arial" w:eastAsia="Arial" w:cs="Arial"/>
      <w:sz w:val="34"/>
    </w:rPr>
  </w:style>
  <w:style w:type="paragraph" w:styleId="780" w:customStyle="1">
    <w:name w:val="标题 311"/>
    <w:basedOn w:val="667"/>
    <w:next w:val="667"/>
    <w:uiPriority w:val="9"/>
    <w:qFormat/>
    <w:pPr>
      <w:keepLines/>
      <w:keepNext/>
      <w:spacing w:before="320" w:after="200"/>
      <w:outlineLvl w:val="2"/>
    </w:pPr>
    <w:rPr>
      <w:rFonts w:ascii="Arial" w:hAnsi="Arial" w:eastAsia="Arial" w:cs="Arial"/>
      <w:sz w:val="30"/>
      <w:szCs w:val="30"/>
    </w:rPr>
  </w:style>
  <w:style w:type="paragraph" w:styleId="781" w:customStyle="1">
    <w:name w:val="标题 411"/>
    <w:basedOn w:val="667"/>
    <w:next w:val="667"/>
    <w:uiPriority w:val="9"/>
    <w:qFormat/>
    <w:pPr>
      <w:keepLines/>
      <w:keepNext/>
      <w:spacing w:before="320" w:after="200"/>
      <w:outlineLvl w:val="3"/>
    </w:pPr>
    <w:rPr>
      <w:rFonts w:ascii="Arial" w:hAnsi="Arial" w:eastAsia="Arial" w:cs="Arial"/>
      <w:b/>
      <w:bCs/>
      <w:sz w:val="26"/>
      <w:szCs w:val="26"/>
    </w:rPr>
  </w:style>
  <w:style w:type="paragraph" w:styleId="782" w:customStyle="1">
    <w:name w:val="标题 511"/>
    <w:basedOn w:val="667"/>
    <w:next w:val="667"/>
    <w:link w:val="789"/>
    <w:uiPriority w:val="9"/>
    <w:qFormat/>
    <w:pPr>
      <w:keepLines/>
      <w:keepNext/>
      <w:spacing w:before="320" w:after="200"/>
      <w:outlineLvl w:val="4"/>
    </w:pPr>
    <w:rPr>
      <w:rFonts w:ascii="Arial" w:hAnsi="Arial" w:eastAsia="Arial" w:cs="Arial"/>
      <w:b/>
      <w:bCs/>
      <w:sz w:val="24"/>
      <w:szCs w:val="24"/>
    </w:rPr>
  </w:style>
  <w:style w:type="paragraph" w:styleId="783" w:customStyle="1">
    <w:name w:val="标题 611"/>
    <w:basedOn w:val="667"/>
    <w:next w:val="667"/>
    <w:link w:val="790"/>
    <w:uiPriority w:val="9"/>
    <w:qFormat/>
    <w:pPr>
      <w:keepLines/>
      <w:keepNext/>
      <w:spacing w:before="320" w:after="200"/>
      <w:outlineLvl w:val="5"/>
    </w:pPr>
    <w:rPr>
      <w:rFonts w:ascii="Arial" w:hAnsi="Arial" w:eastAsia="Arial" w:cs="Arial"/>
      <w:b/>
      <w:bCs/>
      <w:sz w:val="22"/>
    </w:rPr>
  </w:style>
  <w:style w:type="paragraph" w:styleId="784" w:customStyle="1">
    <w:name w:val="标题 711"/>
    <w:basedOn w:val="667"/>
    <w:next w:val="667"/>
    <w:link w:val="791"/>
    <w:uiPriority w:val="9"/>
    <w:qFormat/>
    <w:pPr>
      <w:keepLines/>
      <w:keepNext/>
      <w:spacing w:before="320" w:after="200"/>
      <w:outlineLvl w:val="6"/>
    </w:pPr>
    <w:rPr>
      <w:rFonts w:ascii="Arial" w:hAnsi="Arial" w:eastAsia="Arial" w:cs="Arial"/>
      <w:b/>
      <w:bCs/>
      <w:i/>
      <w:iCs/>
      <w:sz w:val="22"/>
    </w:rPr>
  </w:style>
  <w:style w:type="paragraph" w:styleId="785" w:customStyle="1">
    <w:name w:val="标题 811"/>
    <w:basedOn w:val="667"/>
    <w:next w:val="667"/>
    <w:link w:val="792"/>
    <w:uiPriority w:val="9"/>
    <w:qFormat/>
    <w:pPr>
      <w:keepLines/>
      <w:keepNext/>
      <w:spacing w:before="320" w:after="200"/>
      <w:outlineLvl w:val="7"/>
    </w:pPr>
    <w:rPr>
      <w:rFonts w:ascii="Arial" w:hAnsi="Arial" w:eastAsia="Arial" w:cs="Arial"/>
      <w:i/>
      <w:iCs/>
      <w:sz w:val="22"/>
    </w:rPr>
  </w:style>
  <w:style w:type="paragraph" w:styleId="786" w:customStyle="1">
    <w:name w:val="标题 911"/>
    <w:basedOn w:val="667"/>
    <w:next w:val="667"/>
    <w:link w:val="793"/>
    <w:uiPriority w:val="9"/>
    <w:qFormat/>
    <w:pPr>
      <w:keepLines/>
      <w:keepNext/>
      <w:spacing w:before="320" w:after="200"/>
      <w:outlineLvl w:val="8"/>
    </w:pPr>
    <w:rPr>
      <w:rFonts w:ascii="Arial" w:hAnsi="Arial" w:eastAsia="Arial" w:cs="Arial"/>
      <w:i/>
      <w:iCs/>
      <w:szCs w:val="21"/>
    </w:rPr>
  </w:style>
  <w:style w:type="character" w:styleId="787" w:customStyle="1">
    <w:name w:val="默认段落字体11"/>
    <w:uiPriority w:val="1"/>
    <w:unhideWhenUsed/>
    <w:qFormat/>
  </w:style>
  <w:style w:type="character" w:styleId="788" w:customStyle="1">
    <w:name w:val="标题 1 字符1"/>
    <w:link w:val="778"/>
    <w:uiPriority w:val="9"/>
    <w:qFormat/>
    <w:rPr>
      <w:rFonts w:ascii="Arial" w:hAnsi="Arial" w:eastAsia="Arial" w:cs="Arial"/>
      <w:sz w:val="40"/>
      <w:szCs w:val="40"/>
    </w:rPr>
  </w:style>
  <w:style w:type="character" w:styleId="789" w:customStyle="1">
    <w:name w:val="标题 5 字符"/>
    <w:link w:val="782"/>
    <w:uiPriority w:val="9"/>
    <w:qFormat/>
    <w:rPr>
      <w:rFonts w:ascii="Arial" w:hAnsi="Arial" w:eastAsia="Arial" w:cs="Arial"/>
      <w:b/>
      <w:bCs/>
      <w:sz w:val="24"/>
      <w:szCs w:val="24"/>
    </w:rPr>
  </w:style>
  <w:style w:type="character" w:styleId="790" w:customStyle="1">
    <w:name w:val="标题 6 字符"/>
    <w:link w:val="783"/>
    <w:uiPriority w:val="9"/>
    <w:qFormat/>
    <w:rPr>
      <w:rFonts w:ascii="Arial" w:hAnsi="Arial" w:eastAsia="Arial" w:cs="Arial"/>
      <w:b/>
      <w:bCs/>
      <w:sz w:val="22"/>
      <w:szCs w:val="22"/>
    </w:rPr>
  </w:style>
  <w:style w:type="character" w:styleId="791" w:customStyle="1">
    <w:name w:val="标题 7 字符"/>
    <w:link w:val="784"/>
    <w:uiPriority w:val="9"/>
    <w:qFormat/>
    <w:rPr>
      <w:rFonts w:ascii="Arial" w:hAnsi="Arial" w:eastAsia="Arial" w:cs="Arial"/>
      <w:b/>
      <w:bCs/>
      <w:i/>
      <w:iCs/>
      <w:sz w:val="22"/>
      <w:szCs w:val="22"/>
    </w:rPr>
  </w:style>
  <w:style w:type="character" w:styleId="792" w:customStyle="1">
    <w:name w:val="标题 8 字符"/>
    <w:link w:val="785"/>
    <w:uiPriority w:val="9"/>
    <w:qFormat/>
    <w:rPr>
      <w:rFonts w:ascii="Arial" w:hAnsi="Arial" w:eastAsia="Arial" w:cs="Arial"/>
      <w:i/>
      <w:iCs/>
      <w:sz w:val="22"/>
      <w:szCs w:val="22"/>
    </w:rPr>
  </w:style>
  <w:style w:type="character" w:styleId="793" w:customStyle="1">
    <w:name w:val="标题 9 字符"/>
    <w:link w:val="786"/>
    <w:uiPriority w:val="9"/>
    <w:qFormat/>
    <w:rPr>
      <w:rFonts w:ascii="Arial" w:hAnsi="Arial" w:eastAsia="Arial" w:cs="Arial"/>
      <w:i/>
      <w:iCs/>
      <w:sz w:val="21"/>
      <w:szCs w:val="21"/>
    </w:rPr>
  </w:style>
  <w:style w:type="paragraph" w:styleId="794" w:customStyle="1">
    <w:name w:val="题注11"/>
    <w:basedOn w:val="667"/>
    <w:next w:val="667"/>
    <w:uiPriority w:val="35"/>
    <w:qFormat/>
    <w:pPr>
      <w:spacing w:line="276" w:lineRule="auto"/>
    </w:pPr>
    <w:rPr>
      <w:b/>
      <w:bCs/>
      <w:color w:val="4f81bd"/>
      <w:sz w:val="18"/>
      <w:szCs w:val="18"/>
    </w:rPr>
  </w:style>
  <w:style w:type="paragraph" w:styleId="795" w:customStyle="1">
    <w:name w:val="正文文本缩进11"/>
    <w:basedOn w:val="667"/>
    <w:link w:val="796"/>
    <w:uiPriority w:val="99"/>
    <w:unhideWhenUsed/>
    <w:qFormat/>
    <w:pPr>
      <w:ind w:left="420"/>
      <w:spacing w:after="120"/>
    </w:pPr>
  </w:style>
  <w:style w:type="character" w:styleId="796" w:customStyle="1">
    <w:name w:val="正文文本缩进 字符"/>
    <w:link w:val="795"/>
    <w:uiPriority w:val="99"/>
    <w:semiHidden/>
    <w:qFormat/>
    <w:rPr>
      <w:rFonts w:ascii="Calibri" w:hAnsi="Calibri"/>
      <w:sz w:val="21"/>
      <w:szCs w:val="22"/>
    </w:rPr>
  </w:style>
  <w:style w:type="paragraph" w:styleId="797" w:customStyle="1">
    <w:name w:val="尾注文本11"/>
    <w:basedOn w:val="667"/>
    <w:link w:val="798"/>
    <w:uiPriority w:val="99"/>
    <w:unhideWhenUsed/>
    <w:qFormat/>
    <w:rPr>
      <w:sz w:val="20"/>
    </w:rPr>
  </w:style>
  <w:style w:type="character" w:styleId="798" w:customStyle="1">
    <w:name w:val="尾注文本 字符"/>
    <w:link w:val="797"/>
    <w:uiPriority w:val="99"/>
    <w:qFormat/>
    <w:rPr>
      <w:sz w:val="20"/>
    </w:rPr>
  </w:style>
  <w:style w:type="paragraph" w:styleId="799" w:customStyle="1">
    <w:name w:val="页脚11"/>
    <w:basedOn w:val="667"/>
    <w:link w:val="800"/>
    <w:uiPriority w:val="99"/>
    <w:unhideWhenUsed/>
    <w:qFormat/>
    <w:pPr>
      <w:tabs>
        <w:tab w:val="center" w:pos="7143" w:leader="none"/>
        <w:tab w:val="right" w:pos="14287" w:leader="none"/>
      </w:tabs>
    </w:pPr>
  </w:style>
  <w:style w:type="character" w:styleId="800" w:customStyle="1">
    <w:name w:val="页脚 字符"/>
    <w:link w:val="799"/>
    <w:uiPriority w:val="99"/>
    <w:qFormat/>
  </w:style>
  <w:style w:type="paragraph" w:styleId="801" w:customStyle="1">
    <w:name w:val="页眉11"/>
    <w:basedOn w:val="667"/>
    <w:uiPriority w:val="99"/>
    <w:unhideWhenUsed/>
    <w:qFormat/>
    <w:pPr>
      <w:tabs>
        <w:tab w:val="center" w:pos="7143" w:leader="none"/>
        <w:tab w:val="right" w:pos="14287" w:leader="none"/>
      </w:tabs>
    </w:pPr>
  </w:style>
  <w:style w:type="paragraph" w:styleId="802" w:customStyle="1">
    <w:name w:val="副标题1"/>
    <w:basedOn w:val="667"/>
    <w:next w:val="667"/>
    <w:link w:val="803"/>
    <w:uiPriority w:val="11"/>
    <w:qFormat/>
    <w:pPr>
      <w:spacing w:before="200" w:after="200"/>
    </w:pPr>
    <w:rPr>
      <w:sz w:val="24"/>
      <w:szCs w:val="24"/>
    </w:rPr>
  </w:style>
  <w:style w:type="character" w:styleId="803" w:customStyle="1">
    <w:name w:val="副标题 字符"/>
    <w:link w:val="802"/>
    <w:uiPriority w:val="11"/>
    <w:qFormat/>
    <w:rPr>
      <w:sz w:val="24"/>
      <w:szCs w:val="24"/>
    </w:rPr>
  </w:style>
  <w:style w:type="paragraph" w:styleId="804" w:customStyle="1">
    <w:name w:val="脚注文本11"/>
    <w:basedOn w:val="667"/>
    <w:link w:val="805"/>
    <w:uiPriority w:val="99"/>
    <w:unhideWhenUsed/>
    <w:qFormat/>
    <w:pPr>
      <w:spacing w:after="40"/>
    </w:pPr>
    <w:rPr>
      <w:sz w:val="18"/>
    </w:rPr>
  </w:style>
  <w:style w:type="character" w:styleId="805" w:customStyle="1">
    <w:name w:val="脚注文本 字符"/>
    <w:link w:val="804"/>
    <w:uiPriority w:val="99"/>
    <w:qFormat/>
    <w:rPr>
      <w:sz w:val="18"/>
    </w:rPr>
  </w:style>
  <w:style w:type="paragraph" w:styleId="806" w:customStyle="1">
    <w:name w:val="图表目录12"/>
    <w:basedOn w:val="667"/>
    <w:next w:val="667"/>
    <w:uiPriority w:val="99"/>
    <w:unhideWhenUsed/>
    <w:qFormat/>
  </w:style>
  <w:style w:type="paragraph" w:styleId="807" w:customStyle="1">
    <w:name w:val="普通(网站)11"/>
    <w:basedOn w:val="667"/>
    <w:uiPriority w:val="99"/>
    <w:qFormat/>
    <w:rPr>
      <w:sz w:val="24"/>
    </w:rPr>
  </w:style>
  <w:style w:type="paragraph" w:styleId="808" w:customStyle="1">
    <w:name w:val="标题11"/>
    <w:basedOn w:val="667"/>
    <w:next w:val="667"/>
    <w:link w:val="809"/>
    <w:uiPriority w:val="10"/>
    <w:qFormat/>
    <w:pPr>
      <w:contextualSpacing/>
      <w:spacing w:before="300" w:after="200"/>
    </w:pPr>
    <w:rPr>
      <w:sz w:val="48"/>
      <w:szCs w:val="48"/>
    </w:rPr>
  </w:style>
  <w:style w:type="character" w:styleId="809" w:customStyle="1">
    <w:name w:val="标题 字符"/>
    <w:link w:val="808"/>
    <w:uiPriority w:val="10"/>
    <w:qFormat/>
    <w:rPr>
      <w:sz w:val="48"/>
      <w:szCs w:val="48"/>
    </w:rPr>
  </w:style>
  <w:style w:type="paragraph" w:styleId="810" w:customStyle="1">
    <w:name w:val="正文文本首行缩进 21"/>
    <w:basedOn w:val="795"/>
    <w:uiPriority w:val="0"/>
    <w:qFormat/>
    <w:pPr>
      <w:ind w:left="0" w:firstLine="420"/>
      <w:spacing w:after="0" w:line="360" w:lineRule="auto"/>
    </w:pPr>
    <w:rPr>
      <w:rFonts w:ascii="宋体" w:hAnsi="宋体"/>
      <w:szCs w:val="20"/>
    </w:rPr>
  </w:style>
  <w:style w:type="table" w:styleId="811" w:customStyle="1">
    <w:name w:val="网格型11"/>
    <w:uiPriority w:val="59"/>
    <w:qFormat/>
    <w:tblPr>
      <w:tblCellMar>
        <w:left w:w="0" w:type="dxa"/>
        <w:top w:w="0" w:type="dxa"/>
        <w:right w:w="0" w:type="dxa"/>
        <w:bottom w:w="0" w:type="dxa"/>
      </w:tblCellMar>
    </w:tblPr>
  </w:style>
  <w:style w:type="character" w:styleId="812" w:customStyle="1">
    <w:name w:val="要点11"/>
    <w:uiPriority w:val="22"/>
    <w:qFormat/>
    <w:rPr>
      <w:b/>
      <w:bCs/>
    </w:rPr>
  </w:style>
  <w:style w:type="character" w:styleId="813" w:customStyle="1">
    <w:name w:val="尾注引用11"/>
    <w:uiPriority w:val="99"/>
    <w:unhideWhenUsed/>
    <w:qFormat/>
    <w:rPr>
      <w:vertAlign w:val="superscript"/>
    </w:rPr>
  </w:style>
  <w:style w:type="character" w:styleId="814" w:customStyle="1">
    <w:name w:val="超链接11"/>
    <w:uiPriority w:val="99"/>
    <w:unhideWhenUsed/>
    <w:qFormat/>
    <w:rPr>
      <w:color w:val="0000ff"/>
      <w:u w:val="single"/>
    </w:rPr>
  </w:style>
  <w:style w:type="character" w:styleId="815" w:customStyle="1">
    <w:name w:val="脚注引用11"/>
    <w:uiPriority w:val="99"/>
    <w:unhideWhenUsed/>
    <w:qFormat/>
    <w:rPr>
      <w:vertAlign w:val="superscript"/>
    </w:rPr>
  </w:style>
  <w:style w:type="paragraph" w:styleId="816" w:customStyle="1">
    <w:name w:val="TOC 标题112"/>
    <w:uiPriority w:val="39"/>
    <w:unhideWhenUsed/>
    <w:qFormat/>
    <w:rPr>
      <w:rFonts w:hint="default" w:ascii="Times New Roman" w:hAnsi="Times New Roman" w:eastAsia="宋体" w:cs="Times New Roman"/>
      <w:lang w:val="en-US" w:eastAsia="zh-CN" w:bidi="ar-SA"/>
    </w:rPr>
  </w:style>
  <w:style w:type="character" w:styleId="817" w:customStyle="1">
    <w:name w:val="Heading 1 Char"/>
    <w:uiPriority w:val="9"/>
    <w:qFormat/>
    <w:rPr>
      <w:rFonts w:ascii="Arial" w:hAnsi="Arial" w:eastAsia="Arial" w:cs="Arial"/>
      <w:sz w:val="40"/>
      <w:szCs w:val="40"/>
    </w:rPr>
  </w:style>
  <w:style w:type="character" w:styleId="818" w:customStyle="1">
    <w:name w:val="Heading 5 Char"/>
    <w:uiPriority w:val="9"/>
    <w:qFormat/>
    <w:rPr>
      <w:rFonts w:ascii="Arial" w:hAnsi="Arial" w:eastAsia="Arial" w:cs="Arial"/>
      <w:b/>
      <w:bCs/>
      <w:sz w:val="24"/>
      <w:szCs w:val="24"/>
    </w:rPr>
  </w:style>
  <w:style w:type="character" w:styleId="819" w:customStyle="1">
    <w:name w:val="Heading 6 Char"/>
    <w:uiPriority w:val="9"/>
    <w:qFormat/>
    <w:rPr>
      <w:rFonts w:ascii="Arial" w:hAnsi="Arial" w:eastAsia="Arial" w:cs="Arial"/>
      <w:b/>
      <w:bCs/>
      <w:sz w:val="22"/>
      <w:szCs w:val="22"/>
    </w:rPr>
  </w:style>
  <w:style w:type="character" w:styleId="820" w:customStyle="1">
    <w:name w:val="Heading 7 Char"/>
    <w:uiPriority w:val="9"/>
    <w:qFormat/>
    <w:rPr>
      <w:rFonts w:ascii="Arial" w:hAnsi="Arial" w:eastAsia="Arial" w:cs="Arial"/>
      <w:b/>
      <w:bCs/>
      <w:i/>
      <w:iCs/>
      <w:sz w:val="22"/>
      <w:szCs w:val="22"/>
    </w:rPr>
  </w:style>
  <w:style w:type="character" w:styleId="821" w:customStyle="1">
    <w:name w:val="Heading 8 Char"/>
    <w:uiPriority w:val="9"/>
    <w:qFormat/>
    <w:rPr>
      <w:rFonts w:ascii="Arial" w:hAnsi="Arial" w:eastAsia="Arial" w:cs="Arial"/>
      <w:i/>
      <w:iCs/>
      <w:sz w:val="22"/>
      <w:szCs w:val="22"/>
    </w:rPr>
  </w:style>
  <w:style w:type="character" w:styleId="822" w:customStyle="1">
    <w:name w:val="Heading 9 Char"/>
    <w:uiPriority w:val="9"/>
    <w:qFormat/>
    <w:rPr>
      <w:rFonts w:ascii="Arial" w:hAnsi="Arial" w:eastAsia="Arial" w:cs="Arial"/>
      <w:i/>
      <w:iCs/>
      <w:sz w:val="21"/>
      <w:szCs w:val="21"/>
    </w:rPr>
  </w:style>
  <w:style w:type="character" w:styleId="823" w:customStyle="1">
    <w:name w:val="Title Char"/>
    <w:uiPriority w:val="10"/>
    <w:qFormat/>
    <w:rPr>
      <w:sz w:val="48"/>
      <w:szCs w:val="48"/>
    </w:rPr>
  </w:style>
  <w:style w:type="character" w:styleId="824" w:customStyle="1">
    <w:name w:val="Subtitle Char"/>
    <w:uiPriority w:val="11"/>
    <w:qFormat/>
    <w:rPr>
      <w:sz w:val="24"/>
      <w:szCs w:val="24"/>
    </w:rPr>
  </w:style>
  <w:style w:type="character" w:styleId="825" w:customStyle="1">
    <w:name w:val="Quote Char"/>
    <w:uiPriority w:val="29"/>
    <w:qFormat/>
    <w:rPr>
      <w:i/>
    </w:rPr>
  </w:style>
  <w:style w:type="character" w:styleId="826" w:customStyle="1">
    <w:name w:val="Intense Quote Char"/>
    <w:uiPriority w:val="30"/>
    <w:qFormat/>
    <w:rPr>
      <w:i/>
    </w:rPr>
  </w:style>
  <w:style w:type="character" w:styleId="827" w:customStyle="1">
    <w:name w:val="Caption Char"/>
    <w:uiPriority w:val="99"/>
    <w:qFormat/>
  </w:style>
  <w:style w:type="character" w:styleId="828" w:customStyle="1">
    <w:name w:val="Footnote Text Char"/>
    <w:uiPriority w:val="99"/>
    <w:qFormat/>
    <w:rPr>
      <w:sz w:val="18"/>
    </w:rPr>
  </w:style>
  <w:style w:type="character" w:styleId="829" w:customStyle="1">
    <w:name w:val="Endnote Text Char"/>
    <w:uiPriority w:val="99"/>
    <w:qFormat/>
    <w:rPr>
      <w:sz w:val="20"/>
    </w:rPr>
  </w:style>
  <w:style w:type="paragraph" w:styleId="830" w:customStyle="1">
    <w:name w:val="TOC 标题111"/>
    <w:uiPriority w:val="39"/>
    <w:unhideWhenUsed/>
    <w:qFormat/>
    <w:rPr>
      <w:rFonts w:hint="default" w:ascii="Times New Roman" w:hAnsi="Times New Roman" w:eastAsia="宋体" w:cs="Times New Roman"/>
      <w:lang w:val="en-US" w:eastAsia="zh-CN" w:bidi="ar-SA"/>
    </w:rPr>
  </w:style>
  <w:style w:type="paragraph" w:styleId="831" w:customStyle="1">
    <w:name w:val="无间隔1"/>
    <w:uiPriority w:val="1"/>
    <w:qFormat/>
    <w:rPr>
      <w:rFonts w:hint="default" w:ascii="Times New Roman" w:hAnsi="Times New Roman" w:eastAsia="宋体" w:cs="Times New Roman"/>
      <w:lang w:val="en-US" w:eastAsia="zh-CN" w:bidi="ar-SA"/>
    </w:rPr>
  </w:style>
  <w:style w:type="paragraph" w:styleId="832" w:customStyle="1">
    <w:name w:val="引用1"/>
    <w:basedOn w:val="667"/>
    <w:next w:val="667"/>
    <w:link w:val="833"/>
    <w:uiPriority w:val="29"/>
    <w:qFormat/>
    <w:pPr>
      <w:ind w:left="720" w:right="720"/>
    </w:pPr>
    <w:rPr>
      <w:i/>
    </w:rPr>
  </w:style>
  <w:style w:type="character" w:styleId="833" w:customStyle="1">
    <w:name w:val="引用 字符"/>
    <w:link w:val="832"/>
    <w:uiPriority w:val="29"/>
    <w:qFormat/>
    <w:rPr>
      <w:i/>
    </w:rPr>
  </w:style>
  <w:style w:type="paragraph" w:styleId="834" w:customStyle="1">
    <w:name w:val="明显引用1"/>
    <w:basedOn w:val="667"/>
    <w:next w:val="667"/>
    <w:link w:val="83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5" w:customStyle="1">
    <w:name w:val="明显引用 字符"/>
    <w:link w:val="834"/>
    <w:uiPriority w:val="30"/>
    <w:qFormat/>
    <w:rPr>
      <w:i/>
    </w:rPr>
  </w:style>
  <w:style w:type="table" w:styleId="836" w:customStyle="1">
    <w:name w:val="Table Grid Light"/>
    <w:uiPriority w:val="59"/>
    <w:qFormat/>
    <w:tblPr>
      <w:tblCellMar>
        <w:left w:w="0" w:type="dxa"/>
        <w:top w:w="0" w:type="dxa"/>
        <w:right w:w="0" w:type="dxa"/>
        <w:bottom w:w="0" w:type="dxa"/>
      </w:tblCellMar>
    </w:tblPr>
  </w:style>
  <w:style w:type="table" w:styleId="837" w:customStyle="1">
    <w:name w:val="Grid Table 1 Light - Accent 1"/>
    <w:uiPriority w:val="99"/>
    <w:qFormat/>
    <w:tblPr>
      <w:tblCellMar>
        <w:left w:w="0" w:type="dxa"/>
        <w:top w:w="0" w:type="dxa"/>
        <w:right w:w="0" w:type="dxa"/>
        <w:bottom w:w="0" w:type="dxa"/>
      </w:tblCellMar>
    </w:tblPr>
  </w:style>
  <w:style w:type="table" w:styleId="838" w:customStyle="1">
    <w:name w:val="Grid Table 1 Light - Accent 2"/>
    <w:uiPriority w:val="99"/>
    <w:qFormat/>
    <w:tblPr>
      <w:tblCellMar>
        <w:left w:w="0" w:type="dxa"/>
        <w:top w:w="0" w:type="dxa"/>
        <w:right w:w="0" w:type="dxa"/>
        <w:bottom w:w="0" w:type="dxa"/>
      </w:tblCellMar>
    </w:tblPr>
  </w:style>
  <w:style w:type="table" w:styleId="839" w:customStyle="1">
    <w:name w:val="Grid Table 1 Light - Accent 3"/>
    <w:uiPriority w:val="99"/>
    <w:qFormat/>
    <w:tblPr>
      <w:tblCellMar>
        <w:left w:w="0" w:type="dxa"/>
        <w:top w:w="0" w:type="dxa"/>
        <w:right w:w="0" w:type="dxa"/>
        <w:bottom w:w="0" w:type="dxa"/>
      </w:tblCellMar>
    </w:tblPr>
  </w:style>
  <w:style w:type="table" w:styleId="840" w:customStyle="1">
    <w:name w:val="Grid Table 1 Light - Accent 4"/>
    <w:uiPriority w:val="99"/>
    <w:qFormat/>
    <w:tblPr>
      <w:tblCellMar>
        <w:left w:w="0" w:type="dxa"/>
        <w:top w:w="0" w:type="dxa"/>
        <w:right w:w="0" w:type="dxa"/>
        <w:bottom w:w="0" w:type="dxa"/>
      </w:tblCellMar>
    </w:tblPr>
  </w:style>
  <w:style w:type="table" w:styleId="841" w:customStyle="1">
    <w:name w:val="Grid Table 1 Light - Accent 5"/>
    <w:uiPriority w:val="99"/>
    <w:qFormat/>
    <w:tblPr>
      <w:tblCellMar>
        <w:left w:w="0" w:type="dxa"/>
        <w:top w:w="0" w:type="dxa"/>
        <w:right w:w="0" w:type="dxa"/>
        <w:bottom w:w="0" w:type="dxa"/>
      </w:tblCellMar>
    </w:tblPr>
  </w:style>
  <w:style w:type="table" w:styleId="842" w:customStyle="1">
    <w:name w:val="Grid Table 1 Light - Accent 6"/>
    <w:uiPriority w:val="99"/>
    <w:qFormat/>
    <w:tblPr>
      <w:tblCellMar>
        <w:left w:w="0" w:type="dxa"/>
        <w:top w:w="0" w:type="dxa"/>
        <w:right w:w="0" w:type="dxa"/>
        <w:bottom w:w="0" w:type="dxa"/>
      </w:tblCellMar>
    </w:tblPr>
  </w:style>
  <w:style w:type="table" w:styleId="843" w:customStyle="1">
    <w:name w:val="Grid Table 2 - Accent 1"/>
    <w:uiPriority w:val="99"/>
    <w:qFormat/>
    <w:tblPr>
      <w:tblCellMar>
        <w:left w:w="0" w:type="dxa"/>
        <w:top w:w="0" w:type="dxa"/>
        <w:right w:w="0" w:type="dxa"/>
        <w:bottom w:w="0" w:type="dxa"/>
      </w:tblCellMar>
    </w:tblPr>
  </w:style>
  <w:style w:type="table" w:styleId="844" w:customStyle="1">
    <w:name w:val="Grid Table 2 - Accent 2"/>
    <w:uiPriority w:val="99"/>
    <w:qFormat/>
    <w:tblPr>
      <w:tblCellMar>
        <w:left w:w="0" w:type="dxa"/>
        <w:top w:w="0" w:type="dxa"/>
        <w:right w:w="0" w:type="dxa"/>
        <w:bottom w:w="0" w:type="dxa"/>
      </w:tblCellMar>
    </w:tblPr>
  </w:style>
  <w:style w:type="table" w:styleId="845" w:customStyle="1">
    <w:name w:val="Grid Table 2 - Accent 3"/>
    <w:uiPriority w:val="99"/>
    <w:qFormat/>
    <w:tblPr>
      <w:tblCellMar>
        <w:left w:w="0" w:type="dxa"/>
        <w:top w:w="0" w:type="dxa"/>
        <w:right w:w="0" w:type="dxa"/>
        <w:bottom w:w="0" w:type="dxa"/>
      </w:tblCellMar>
    </w:tblPr>
  </w:style>
  <w:style w:type="table" w:styleId="846" w:customStyle="1">
    <w:name w:val="Grid Table 2 - Accent 4"/>
    <w:uiPriority w:val="99"/>
    <w:qFormat/>
    <w:tblPr>
      <w:tblCellMar>
        <w:left w:w="0" w:type="dxa"/>
        <w:top w:w="0" w:type="dxa"/>
        <w:right w:w="0" w:type="dxa"/>
        <w:bottom w:w="0" w:type="dxa"/>
      </w:tblCellMar>
    </w:tblPr>
  </w:style>
  <w:style w:type="table" w:styleId="847" w:customStyle="1">
    <w:name w:val="Grid Table 2 - Accent 5"/>
    <w:uiPriority w:val="99"/>
    <w:qFormat/>
    <w:tblPr>
      <w:tblCellMar>
        <w:left w:w="0" w:type="dxa"/>
        <w:top w:w="0" w:type="dxa"/>
        <w:right w:w="0" w:type="dxa"/>
        <w:bottom w:w="0" w:type="dxa"/>
      </w:tblCellMar>
    </w:tblPr>
  </w:style>
  <w:style w:type="table" w:styleId="848" w:customStyle="1">
    <w:name w:val="Grid Table 2 - Accent 6"/>
    <w:uiPriority w:val="99"/>
    <w:qFormat/>
    <w:tblPr>
      <w:tblCellMar>
        <w:left w:w="0" w:type="dxa"/>
        <w:top w:w="0" w:type="dxa"/>
        <w:right w:w="0" w:type="dxa"/>
        <w:bottom w:w="0" w:type="dxa"/>
      </w:tblCellMar>
    </w:tblPr>
  </w:style>
  <w:style w:type="table" w:styleId="849" w:customStyle="1">
    <w:name w:val="Grid Table 3 - Accent 1"/>
    <w:uiPriority w:val="99"/>
    <w:qFormat/>
    <w:tblPr>
      <w:tblCellMar>
        <w:left w:w="0" w:type="dxa"/>
        <w:top w:w="0" w:type="dxa"/>
        <w:right w:w="0" w:type="dxa"/>
        <w:bottom w:w="0" w:type="dxa"/>
      </w:tblCellMar>
    </w:tblPr>
  </w:style>
  <w:style w:type="table" w:styleId="850" w:customStyle="1">
    <w:name w:val="Grid Table 3 - Accent 2"/>
    <w:uiPriority w:val="99"/>
    <w:qFormat/>
    <w:tblPr>
      <w:tblCellMar>
        <w:left w:w="0" w:type="dxa"/>
        <w:top w:w="0" w:type="dxa"/>
        <w:right w:w="0" w:type="dxa"/>
        <w:bottom w:w="0" w:type="dxa"/>
      </w:tblCellMar>
    </w:tblPr>
  </w:style>
  <w:style w:type="table" w:styleId="851" w:customStyle="1">
    <w:name w:val="Grid Table 3 - Accent 3"/>
    <w:uiPriority w:val="99"/>
    <w:qFormat/>
    <w:tblPr>
      <w:tblCellMar>
        <w:left w:w="0" w:type="dxa"/>
        <w:top w:w="0" w:type="dxa"/>
        <w:right w:w="0" w:type="dxa"/>
        <w:bottom w:w="0" w:type="dxa"/>
      </w:tblCellMar>
    </w:tblPr>
  </w:style>
  <w:style w:type="table" w:styleId="852" w:customStyle="1">
    <w:name w:val="Grid Table 3 - Accent 4"/>
    <w:uiPriority w:val="99"/>
    <w:qFormat/>
    <w:tblPr>
      <w:tblCellMar>
        <w:left w:w="0" w:type="dxa"/>
        <w:top w:w="0" w:type="dxa"/>
        <w:right w:w="0" w:type="dxa"/>
        <w:bottom w:w="0" w:type="dxa"/>
      </w:tblCellMar>
    </w:tblPr>
  </w:style>
  <w:style w:type="table" w:styleId="853" w:customStyle="1">
    <w:name w:val="Grid Table 3 - Accent 5"/>
    <w:uiPriority w:val="99"/>
    <w:qFormat/>
    <w:tblPr>
      <w:tblCellMar>
        <w:left w:w="0" w:type="dxa"/>
        <w:top w:w="0" w:type="dxa"/>
        <w:right w:w="0" w:type="dxa"/>
        <w:bottom w:w="0" w:type="dxa"/>
      </w:tblCellMar>
    </w:tblPr>
  </w:style>
  <w:style w:type="table" w:styleId="854" w:customStyle="1">
    <w:name w:val="Grid Table 3 - Accent 6"/>
    <w:uiPriority w:val="99"/>
    <w:qFormat/>
    <w:tblPr>
      <w:tblCellMar>
        <w:left w:w="0" w:type="dxa"/>
        <w:top w:w="0" w:type="dxa"/>
        <w:right w:w="0" w:type="dxa"/>
        <w:bottom w:w="0" w:type="dxa"/>
      </w:tblCellMar>
    </w:tblPr>
  </w:style>
  <w:style w:type="table" w:styleId="855" w:customStyle="1">
    <w:name w:val="Grid Table 4 - Accent 1"/>
    <w:uiPriority w:val="59"/>
    <w:qFormat/>
    <w:tblPr>
      <w:tblCellMar>
        <w:left w:w="0" w:type="dxa"/>
        <w:top w:w="0" w:type="dxa"/>
        <w:right w:w="0" w:type="dxa"/>
        <w:bottom w:w="0" w:type="dxa"/>
      </w:tblCellMar>
    </w:tblPr>
  </w:style>
  <w:style w:type="table" w:styleId="856" w:customStyle="1">
    <w:name w:val="Grid Table 4 - Accent 2"/>
    <w:uiPriority w:val="59"/>
    <w:qFormat/>
    <w:tblPr>
      <w:tblCellMar>
        <w:left w:w="0" w:type="dxa"/>
        <w:top w:w="0" w:type="dxa"/>
        <w:right w:w="0" w:type="dxa"/>
        <w:bottom w:w="0" w:type="dxa"/>
      </w:tblCellMar>
    </w:tblPr>
  </w:style>
  <w:style w:type="table" w:styleId="857" w:customStyle="1">
    <w:name w:val="Grid Table 4 - Accent 3"/>
    <w:uiPriority w:val="59"/>
    <w:qFormat/>
    <w:tblPr>
      <w:tblCellMar>
        <w:left w:w="0" w:type="dxa"/>
        <w:top w:w="0" w:type="dxa"/>
        <w:right w:w="0" w:type="dxa"/>
        <w:bottom w:w="0" w:type="dxa"/>
      </w:tblCellMar>
    </w:tblPr>
  </w:style>
  <w:style w:type="table" w:styleId="858" w:customStyle="1">
    <w:name w:val="Grid Table 4 - Accent 4"/>
    <w:uiPriority w:val="59"/>
    <w:qFormat/>
    <w:tblPr>
      <w:tblCellMar>
        <w:left w:w="0" w:type="dxa"/>
        <w:top w:w="0" w:type="dxa"/>
        <w:right w:w="0" w:type="dxa"/>
        <w:bottom w:w="0" w:type="dxa"/>
      </w:tblCellMar>
    </w:tblPr>
  </w:style>
  <w:style w:type="table" w:styleId="859" w:customStyle="1">
    <w:name w:val="Grid Table 4 - Accent 5"/>
    <w:uiPriority w:val="59"/>
    <w:qFormat/>
    <w:tblPr>
      <w:tblCellMar>
        <w:left w:w="0" w:type="dxa"/>
        <w:top w:w="0" w:type="dxa"/>
        <w:right w:w="0" w:type="dxa"/>
        <w:bottom w:w="0" w:type="dxa"/>
      </w:tblCellMar>
    </w:tblPr>
  </w:style>
  <w:style w:type="table" w:styleId="860" w:customStyle="1">
    <w:name w:val="Grid Table 4 - Accent 6"/>
    <w:uiPriority w:val="59"/>
    <w:qFormat/>
    <w:tblPr>
      <w:tblCellMar>
        <w:left w:w="0" w:type="dxa"/>
        <w:top w:w="0" w:type="dxa"/>
        <w:right w:w="0" w:type="dxa"/>
        <w:bottom w:w="0" w:type="dxa"/>
      </w:tblCellMar>
    </w:tblPr>
  </w:style>
  <w:style w:type="table" w:styleId="861" w:customStyle="1">
    <w:name w:val="Grid Table 5 Dark- Accent 1"/>
    <w:uiPriority w:val="99"/>
    <w:qFormat/>
    <w:tblPr>
      <w:tblCellMar>
        <w:left w:w="0" w:type="dxa"/>
        <w:top w:w="0" w:type="dxa"/>
        <w:right w:w="0" w:type="dxa"/>
        <w:bottom w:w="0" w:type="dxa"/>
      </w:tblCellMar>
    </w:tblPr>
  </w:style>
  <w:style w:type="table" w:styleId="862" w:customStyle="1">
    <w:name w:val="Grid Table 5 Dark - Accent 2"/>
    <w:uiPriority w:val="99"/>
    <w:qFormat/>
    <w:tblPr>
      <w:tblCellMar>
        <w:left w:w="0" w:type="dxa"/>
        <w:top w:w="0" w:type="dxa"/>
        <w:right w:w="0" w:type="dxa"/>
        <w:bottom w:w="0" w:type="dxa"/>
      </w:tblCellMar>
    </w:tblPr>
  </w:style>
  <w:style w:type="table" w:styleId="863" w:customStyle="1">
    <w:name w:val="Grid Table 5 Dark - Accent 3"/>
    <w:uiPriority w:val="99"/>
    <w:qFormat/>
    <w:tblPr>
      <w:tblCellMar>
        <w:left w:w="0" w:type="dxa"/>
        <w:top w:w="0" w:type="dxa"/>
        <w:right w:w="0" w:type="dxa"/>
        <w:bottom w:w="0" w:type="dxa"/>
      </w:tblCellMar>
    </w:tblPr>
  </w:style>
  <w:style w:type="table" w:styleId="864" w:customStyle="1">
    <w:name w:val="Grid Table 5 Dark- Accent 4"/>
    <w:uiPriority w:val="99"/>
    <w:qFormat/>
    <w:tblPr>
      <w:tblCellMar>
        <w:left w:w="0" w:type="dxa"/>
        <w:top w:w="0" w:type="dxa"/>
        <w:right w:w="0" w:type="dxa"/>
        <w:bottom w:w="0" w:type="dxa"/>
      </w:tblCellMar>
    </w:tblPr>
  </w:style>
  <w:style w:type="table" w:styleId="865" w:customStyle="1">
    <w:name w:val="Grid Table 5 Dark - Accent 5"/>
    <w:uiPriority w:val="99"/>
    <w:qFormat/>
    <w:tblPr>
      <w:tblCellMar>
        <w:left w:w="0" w:type="dxa"/>
        <w:top w:w="0" w:type="dxa"/>
        <w:right w:w="0" w:type="dxa"/>
        <w:bottom w:w="0" w:type="dxa"/>
      </w:tblCellMar>
    </w:tblPr>
  </w:style>
  <w:style w:type="table" w:styleId="866" w:customStyle="1">
    <w:name w:val="Grid Table 5 Dark - Accent 6"/>
    <w:uiPriority w:val="99"/>
    <w:qFormat/>
    <w:tblPr>
      <w:tblCellMar>
        <w:left w:w="0" w:type="dxa"/>
        <w:top w:w="0" w:type="dxa"/>
        <w:right w:w="0" w:type="dxa"/>
        <w:bottom w:w="0" w:type="dxa"/>
      </w:tblCellMar>
    </w:tblPr>
  </w:style>
  <w:style w:type="table" w:styleId="867" w:customStyle="1">
    <w:name w:val="Grid Table 6 Colorful - Accent 1"/>
    <w:uiPriority w:val="99"/>
    <w:qFormat/>
    <w:tblPr>
      <w:tblCellMar>
        <w:left w:w="0" w:type="dxa"/>
        <w:top w:w="0" w:type="dxa"/>
        <w:right w:w="0" w:type="dxa"/>
        <w:bottom w:w="0" w:type="dxa"/>
      </w:tblCellMar>
    </w:tblPr>
  </w:style>
  <w:style w:type="table" w:styleId="868" w:customStyle="1">
    <w:name w:val="Grid Table 6 Colorful - Accent 2"/>
    <w:uiPriority w:val="99"/>
    <w:qFormat/>
    <w:tblPr>
      <w:tblCellMar>
        <w:left w:w="0" w:type="dxa"/>
        <w:top w:w="0" w:type="dxa"/>
        <w:right w:w="0" w:type="dxa"/>
        <w:bottom w:w="0" w:type="dxa"/>
      </w:tblCellMar>
    </w:tblPr>
  </w:style>
  <w:style w:type="table" w:styleId="869" w:customStyle="1">
    <w:name w:val="Grid Table 6 Colorful - Accent 3"/>
    <w:uiPriority w:val="99"/>
    <w:qFormat/>
    <w:tblPr>
      <w:tblCellMar>
        <w:left w:w="0" w:type="dxa"/>
        <w:top w:w="0" w:type="dxa"/>
        <w:right w:w="0" w:type="dxa"/>
        <w:bottom w:w="0" w:type="dxa"/>
      </w:tblCellMar>
    </w:tblPr>
  </w:style>
  <w:style w:type="table" w:styleId="870" w:customStyle="1">
    <w:name w:val="Grid Table 6 Colorful - Accent 4"/>
    <w:uiPriority w:val="99"/>
    <w:qFormat/>
    <w:tblPr>
      <w:tblCellMar>
        <w:left w:w="0" w:type="dxa"/>
        <w:top w:w="0" w:type="dxa"/>
        <w:right w:w="0" w:type="dxa"/>
        <w:bottom w:w="0" w:type="dxa"/>
      </w:tblCellMar>
    </w:tblPr>
  </w:style>
  <w:style w:type="table" w:styleId="871" w:customStyle="1">
    <w:name w:val="Grid Table 6 Colorful - Accent 5"/>
    <w:uiPriority w:val="99"/>
    <w:qFormat/>
    <w:tblPr>
      <w:tblCellMar>
        <w:left w:w="0" w:type="dxa"/>
        <w:top w:w="0" w:type="dxa"/>
        <w:right w:w="0" w:type="dxa"/>
        <w:bottom w:w="0" w:type="dxa"/>
      </w:tblCellMar>
    </w:tblPr>
  </w:style>
  <w:style w:type="table" w:styleId="872" w:customStyle="1">
    <w:name w:val="Grid Table 6 Colorful - Accent 6"/>
    <w:uiPriority w:val="99"/>
    <w:qFormat/>
    <w:tblPr>
      <w:tblCellMar>
        <w:left w:w="0" w:type="dxa"/>
        <w:top w:w="0" w:type="dxa"/>
        <w:right w:w="0" w:type="dxa"/>
        <w:bottom w:w="0" w:type="dxa"/>
      </w:tblCellMar>
    </w:tblPr>
  </w:style>
  <w:style w:type="table" w:styleId="873" w:customStyle="1">
    <w:name w:val="Grid Table 7 Colorful - Accent 1"/>
    <w:uiPriority w:val="99"/>
    <w:qFormat/>
    <w:tblPr>
      <w:tblCellMar>
        <w:left w:w="0" w:type="dxa"/>
        <w:top w:w="0" w:type="dxa"/>
        <w:right w:w="0" w:type="dxa"/>
        <w:bottom w:w="0" w:type="dxa"/>
      </w:tblCellMar>
    </w:tblPr>
  </w:style>
  <w:style w:type="table" w:styleId="874" w:customStyle="1">
    <w:name w:val="Grid Table 7 Colorful - Accent 2"/>
    <w:uiPriority w:val="99"/>
    <w:qFormat/>
    <w:tblPr>
      <w:tblCellMar>
        <w:left w:w="0" w:type="dxa"/>
        <w:top w:w="0" w:type="dxa"/>
        <w:right w:w="0" w:type="dxa"/>
        <w:bottom w:w="0" w:type="dxa"/>
      </w:tblCellMar>
    </w:tblPr>
  </w:style>
  <w:style w:type="table" w:styleId="875" w:customStyle="1">
    <w:name w:val="Grid Table 7 Colorful - Accent 3"/>
    <w:uiPriority w:val="99"/>
    <w:qFormat/>
    <w:tblPr>
      <w:tblCellMar>
        <w:left w:w="0" w:type="dxa"/>
        <w:top w:w="0" w:type="dxa"/>
        <w:right w:w="0" w:type="dxa"/>
        <w:bottom w:w="0" w:type="dxa"/>
      </w:tblCellMar>
    </w:tblPr>
  </w:style>
  <w:style w:type="table" w:styleId="876" w:customStyle="1">
    <w:name w:val="Grid Table 7 Colorful - Accent 4"/>
    <w:uiPriority w:val="99"/>
    <w:qFormat/>
    <w:tblPr>
      <w:tblCellMar>
        <w:left w:w="0" w:type="dxa"/>
        <w:top w:w="0" w:type="dxa"/>
        <w:right w:w="0" w:type="dxa"/>
        <w:bottom w:w="0" w:type="dxa"/>
      </w:tblCellMar>
    </w:tblPr>
  </w:style>
  <w:style w:type="table" w:styleId="877" w:customStyle="1">
    <w:name w:val="Grid Table 7 Colorful - Accent 5"/>
    <w:uiPriority w:val="99"/>
    <w:qFormat/>
    <w:tblPr>
      <w:tblCellMar>
        <w:left w:w="0" w:type="dxa"/>
        <w:top w:w="0" w:type="dxa"/>
        <w:right w:w="0" w:type="dxa"/>
        <w:bottom w:w="0" w:type="dxa"/>
      </w:tblCellMar>
    </w:tblPr>
  </w:style>
  <w:style w:type="table" w:styleId="878" w:customStyle="1">
    <w:name w:val="Grid Table 7 Colorful - Accent 6"/>
    <w:uiPriority w:val="99"/>
    <w:qFormat/>
    <w:tblPr>
      <w:tblCellMar>
        <w:left w:w="0" w:type="dxa"/>
        <w:top w:w="0" w:type="dxa"/>
        <w:right w:w="0" w:type="dxa"/>
        <w:bottom w:w="0" w:type="dxa"/>
      </w:tblCellMar>
    </w:tblPr>
  </w:style>
  <w:style w:type="table" w:styleId="879" w:customStyle="1">
    <w:name w:val="List Table 1 Light - Accent 1"/>
    <w:uiPriority w:val="99"/>
    <w:qFormat/>
    <w:tblPr>
      <w:tblCellMar>
        <w:left w:w="0" w:type="dxa"/>
        <w:top w:w="0" w:type="dxa"/>
        <w:right w:w="0" w:type="dxa"/>
        <w:bottom w:w="0" w:type="dxa"/>
      </w:tblCellMar>
    </w:tblPr>
  </w:style>
  <w:style w:type="table" w:styleId="880" w:customStyle="1">
    <w:name w:val="List Table 1 Light - Accent 2"/>
    <w:uiPriority w:val="99"/>
    <w:qFormat/>
    <w:tblPr>
      <w:tblCellMar>
        <w:left w:w="0" w:type="dxa"/>
        <w:top w:w="0" w:type="dxa"/>
        <w:right w:w="0" w:type="dxa"/>
        <w:bottom w:w="0" w:type="dxa"/>
      </w:tblCellMar>
    </w:tblPr>
  </w:style>
  <w:style w:type="table" w:styleId="881" w:customStyle="1">
    <w:name w:val="List Table 1 Light - Accent 3"/>
    <w:uiPriority w:val="99"/>
    <w:qFormat/>
    <w:tblPr>
      <w:tblCellMar>
        <w:left w:w="0" w:type="dxa"/>
        <w:top w:w="0" w:type="dxa"/>
        <w:right w:w="0" w:type="dxa"/>
        <w:bottom w:w="0" w:type="dxa"/>
      </w:tblCellMar>
    </w:tblPr>
  </w:style>
  <w:style w:type="table" w:styleId="882" w:customStyle="1">
    <w:name w:val="List Table 1 Light - Accent 4"/>
    <w:uiPriority w:val="99"/>
    <w:qFormat/>
    <w:tblPr>
      <w:tblCellMar>
        <w:left w:w="0" w:type="dxa"/>
        <w:top w:w="0" w:type="dxa"/>
        <w:right w:w="0" w:type="dxa"/>
        <w:bottom w:w="0" w:type="dxa"/>
      </w:tblCellMar>
    </w:tblPr>
  </w:style>
  <w:style w:type="table" w:styleId="883" w:customStyle="1">
    <w:name w:val="List Table 1 Light - Accent 5"/>
    <w:uiPriority w:val="99"/>
    <w:qFormat/>
    <w:tblPr>
      <w:tblCellMar>
        <w:left w:w="0" w:type="dxa"/>
        <w:top w:w="0" w:type="dxa"/>
        <w:right w:w="0" w:type="dxa"/>
        <w:bottom w:w="0" w:type="dxa"/>
      </w:tblCellMar>
    </w:tblPr>
  </w:style>
  <w:style w:type="table" w:styleId="884" w:customStyle="1">
    <w:name w:val="List Table 1 Light - Accent 6"/>
    <w:uiPriority w:val="99"/>
    <w:qFormat/>
    <w:tblPr>
      <w:tblCellMar>
        <w:left w:w="0" w:type="dxa"/>
        <w:top w:w="0" w:type="dxa"/>
        <w:right w:w="0" w:type="dxa"/>
        <w:bottom w:w="0" w:type="dxa"/>
      </w:tblCellMar>
    </w:tblPr>
  </w:style>
  <w:style w:type="table" w:styleId="885" w:customStyle="1">
    <w:name w:val="List Table 2 - Accent 1"/>
    <w:uiPriority w:val="99"/>
    <w:qFormat/>
    <w:tblPr>
      <w:tblCellMar>
        <w:left w:w="0" w:type="dxa"/>
        <w:top w:w="0" w:type="dxa"/>
        <w:right w:w="0" w:type="dxa"/>
        <w:bottom w:w="0" w:type="dxa"/>
      </w:tblCellMar>
    </w:tblPr>
  </w:style>
  <w:style w:type="table" w:styleId="886" w:customStyle="1">
    <w:name w:val="List Table 2 - Accent 2"/>
    <w:uiPriority w:val="99"/>
    <w:qFormat/>
    <w:tblPr>
      <w:tblCellMar>
        <w:left w:w="0" w:type="dxa"/>
        <w:top w:w="0" w:type="dxa"/>
        <w:right w:w="0" w:type="dxa"/>
        <w:bottom w:w="0" w:type="dxa"/>
      </w:tblCellMar>
    </w:tblPr>
  </w:style>
  <w:style w:type="table" w:styleId="887" w:customStyle="1">
    <w:name w:val="List Table 2 - Accent 3"/>
    <w:uiPriority w:val="99"/>
    <w:qFormat/>
    <w:tblPr>
      <w:tblCellMar>
        <w:left w:w="0" w:type="dxa"/>
        <w:top w:w="0" w:type="dxa"/>
        <w:right w:w="0" w:type="dxa"/>
        <w:bottom w:w="0" w:type="dxa"/>
      </w:tblCellMar>
    </w:tblPr>
  </w:style>
  <w:style w:type="table" w:styleId="888" w:customStyle="1">
    <w:name w:val="List Table 2 - Accent 4"/>
    <w:uiPriority w:val="99"/>
    <w:qFormat/>
    <w:tblPr>
      <w:tblCellMar>
        <w:left w:w="0" w:type="dxa"/>
        <w:top w:w="0" w:type="dxa"/>
        <w:right w:w="0" w:type="dxa"/>
        <w:bottom w:w="0" w:type="dxa"/>
      </w:tblCellMar>
    </w:tblPr>
  </w:style>
  <w:style w:type="table" w:styleId="889" w:customStyle="1">
    <w:name w:val="List Table 2 - Accent 5"/>
    <w:uiPriority w:val="99"/>
    <w:qFormat/>
    <w:tblPr>
      <w:tblCellMar>
        <w:left w:w="0" w:type="dxa"/>
        <w:top w:w="0" w:type="dxa"/>
        <w:right w:w="0" w:type="dxa"/>
        <w:bottom w:w="0" w:type="dxa"/>
      </w:tblCellMar>
    </w:tblPr>
  </w:style>
  <w:style w:type="table" w:styleId="890" w:customStyle="1">
    <w:name w:val="List Table 2 - Accent 6"/>
    <w:uiPriority w:val="99"/>
    <w:qFormat/>
    <w:tblPr>
      <w:tblCellMar>
        <w:left w:w="0" w:type="dxa"/>
        <w:top w:w="0" w:type="dxa"/>
        <w:right w:w="0" w:type="dxa"/>
        <w:bottom w:w="0" w:type="dxa"/>
      </w:tblCellMar>
    </w:tblPr>
  </w:style>
  <w:style w:type="table" w:styleId="891" w:customStyle="1">
    <w:name w:val="List Table 3 - Accent 1"/>
    <w:uiPriority w:val="99"/>
    <w:qFormat/>
    <w:tblPr>
      <w:tblCellMar>
        <w:left w:w="0" w:type="dxa"/>
        <w:top w:w="0" w:type="dxa"/>
        <w:right w:w="0" w:type="dxa"/>
        <w:bottom w:w="0" w:type="dxa"/>
      </w:tblCellMar>
    </w:tblPr>
  </w:style>
  <w:style w:type="table" w:styleId="892" w:customStyle="1">
    <w:name w:val="List Table 3 - Accent 2"/>
    <w:uiPriority w:val="99"/>
    <w:qFormat/>
    <w:tblPr>
      <w:tblCellMar>
        <w:left w:w="0" w:type="dxa"/>
        <w:top w:w="0" w:type="dxa"/>
        <w:right w:w="0" w:type="dxa"/>
        <w:bottom w:w="0" w:type="dxa"/>
      </w:tblCellMar>
    </w:tblPr>
  </w:style>
  <w:style w:type="table" w:styleId="893" w:customStyle="1">
    <w:name w:val="List Table 3 - Accent 3"/>
    <w:uiPriority w:val="99"/>
    <w:qFormat/>
    <w:tblPr>
      <w:tblCellMar>
        <w:left w:w="0" w:type="dxa"/>
        <w:top w:w="0" w:type="dxa"/>
        <w:right w:w="0" w:type="dxa"/>
        <w:bottom w:w="0" w:type="dxa"/>
      </w:tblCellMar>
    </w:tblPr>
  </w:style>
  <w:style w:type="table" w:styleId="894" w:customStyle="1">
    <w:name w:val="List Table 3 - Accent 4"/>
    <w:uiPriority w:val="99"/>
    <w:qFormat/>
    <w:tblPr>
      <w:tblCellMar>
        <w:left w:w="0" w:type="dxa"/>
        <w:top w:w="0" w:type="dxa"/>
        <w:right w:w="0" w:type="dxa"/>
        <w:bottom w:w="0" w:type="dxa"/>
      </w:tblCellMar>
    </w:tblPr>
  </w:style>
  <w:style w:type="table" w:styleId="895" w:customStyle="1">
    <w:name w:val="List Table 3 - Accent 5"/>
    <w:uiPriority w:val="99"/>
    <w:qFormat/>
    <w:tblPr>
      <w:tblCellMar>
        <w:left w:w="0" w:type="dxa"/>
        <w:top w:w="0" w:type="dxa"/>
        <w:right w:w="0" w:type="dxa"/>
        <w:bottom w:w="0" w:type="dxa"/>
      </w:tblCellMar>
    </w:tblPr>
  </w:style>
  <w:style w:type="table" w:styleId="896" w:customStyle="1">
    <w:name w:val="List Table 3 - Accent 6"/>
    <w:uiPriority w:val="99"/>
    <w:qFormat/>
    <w:tblPr>
      <w:tblCellMar>
        <w:left w:w="0" w:type="dxa"/>
        <w:top w:w="0" w:type="dxa"/>
        <w:right w:w="0" w:type="dxa"/>
        <w:bottom w:w="0" w:type="dxa"/>
      </w:tblCellMar>
    </w:tblPr>
  </w:style>
  <w:style w:type="table" w:styleId="897" w:customStyle="1">
    <w:name w:val="List Table 4 - Accent 1"/>
    <w:uiPriority w:val="99"/>
    <w:qFormat/>
    <w:tblPr>
      <w:tblCellMar>
        <w:left w:w="0" w:type="dxa"/>
        <w:top w:w="0" w:type="dxa"/>
        <w:right w:w="0" w:type="dxa"/>
        <w:bottom w:w="0" w:type="dxa"/>
      </w:tblCellMar>
    </w:tblPr>
  </w:style>
  <w:style w:type="table" w:styleId="898" w:customStyle="1">
    <w:name w:val="List Table 4 - Accent 2"/>
    <w:uiPriority w:val="99"/>
    <w:qFormat/>
    <w:tblPr>
      <w:tblCellMar>
        <w:left w:w="0" w:type="dxa"/>
        <w:top w:w="0" w:type="dxa"/>
        <w:right w:w="0" w:type="dxa"/>
        <w:bottom w:w="0" w:type="dxa"/>
      </w:tblCellMar>
    </w:tblPr>
  </w:style>
  <w:style w:type="table" w:styleId="899" w:customStyle="1">
    <w:name w:val="List Table 4 - Accent 3"/>
    <w:uiPriority w:val="99"/>
    <w:qFormat/>
    <w:tblPr>
      <w:tblCellMar>
        <w:left w:w="0" w:type="dxa"/>
        <w:top w:w="0" w:type="dxa"/>
        <w:right w:w="0" w:type="dxa"/>
        <w:bottom w:w="0" w:type="dxa"/>
      </w:tblCellMar>
    </w:tblPr>
  </w:style>
  <w:style w:type="table" w:styleId="900" w:customStyle="1">
    <w:name w:val="List Table 4 - Accent 4"/>
    <w:uiPriority w:val="99"/>
    <w:qFormat/>
    <w:tblPr>
      <w:tblCellMar>
        <w:left w:w="0" w:type="dxa"/>
        <w:top w:w="0" w:type="dxa"/>
        <w:right w:w="0" w:type="dxa"/>
        <w:bottom w:w="0" w:type="dxa"/>
      </w:tblCellMar>
    </w:tblPr>
  </w:style>
  <w:style w:type="table" w:styleId="901" w:customStyle="1">
    <w:name w:val="List Table 4 - Accent 5"/>
    <w:uiPriority w:val="99"/>
    <w:qFormat/>
    <w:tblPr>
      <w:tblCellMar>
        <w:left w:w="0" w:type="dxa"/>
        <w:top w:w="0" w:type="dxa"/>
        <w:right w:w="0" w:type="dxa"/>
        <w:bottom w:w="0" w:type="dxa"/>
      </w:tblCellMar>
    </w:tblPr>
  </w:style>
  <w:style w:type="table" w:styleId="902" w:customStyle="1">
    <w:name w:val="List Table 4 - Accent 6"/>
    <w:uiPriority w:val="99"/>
    <w:qFormat/>
    <w:tblPr>
      <w:tblCellMar>
        <w:left w:w="0" w:type="dxa"/>
        <w:top w:w="0" w:type="dxa"/>
        <w:right w:w="0" w:type="dxa"/>
        <w:bottom w:w="0" w:type="dxa"/>
      </w:tblCellMar>
    </w:tblPr>
  </w:style>
  <w:style w:type="table" w:styleId="903" w:customStyle="1">
    <w:name w:val="List Table 5 Dark - Accent 1"/>
    <w:uiPriority w:val="99"/>
    <w:qFormat/>
    <w:tblPr>
      <w:tblCellMar>
        <w:left w:w="0" w:type="dxa"/>
        <w:top w:w="0" w:type="dxa"/>
        <w:right w:w="0" w:type="dxa"/>
        <w:bottom w:w="0" w:type="dxa"/>
      </w:tblCellMar>
    </w:tblPr>
  </w:style>
  <w:style w:type="table" w:styleId="904" w:customStyle="1">
    <w:name w:val="List Table 5 Dark - Accent 2"/>
    <w:uiPriority w:val="99"/>
    <w:qFormat/>
    <w:tblPr>
      <w:tblCellMar>
        <w:left w:w="0" w:type="dxa"/>
        <w:top w:w="0" w:type="dxa"/>
        <w:right w:w="0" w:type="dxa"/>
        <w:bottom w:w="0" w:type="dxa"/>
      </w:tblCellMar>
    </w:tblPr>
  </w:style>
  <w:style w:type="table" w:styleId="905" w:customStyle="1">
    <w:name w:val="List Table 5 Dark - Accent 3"/>
    <w:uiPriority w:val="99"/>
    <w:qFormat/>
    <w:tblPr>
      <w:tblCellMar>
        <w:left w:w="0" w:type="dxa"/>
        <w:top w:w="0" w:type="dxa"/>
        <w:right w:w="0" w:type="dxa"/>
        <w:bottom w:w="0" w:type="dxa"/>
      </w:tblCellMar>
    </w:tblPr>
  </w:style>
  <w:style w:type="table" w:styleId="906" w:customStyle="1">
    <w:name w:val="List Table 5 Dark - Accent 4"/>
    <w:uiPriority w:val="99"/>
    <w:qFormat/>
    <w:tblPr>
      <w:tblCellMar>
        <w:left w:w="0" w:type="dxa"/>
        <w:top w:w="0" w:type="dxa"/>
        <w:right w:w="0" w:type="dxa"/>
        <w:bottom w:w="0" w:type="dxa"/>
      </w:tblCellMar>
    </w:tblPr>
  </w:style>
  <w:style w:type="table" w:styleId="907" w:customStyle="1">
    <w:name w:val="List Table 5 Dark - Accent 5"/>
    <w:uiPriority w:val="99"/>
    <w:qFormat/>
    <w:tblPr>
      <w:tblCellMar>
        <w:left w:w="0" w:type="dxa"/>
        <w:top w:w="0" w:type="dxa"/>
        <w:right w:w="0" w:type="dxa"/>
        <w:bottom w:w="0" w:type="dxa"/>
      </w:tblCellMar>
    </w:tblPr>
  </w:style>
  <w:style w:type="table" w:styleId="908" w:customStyle="1">
    <w:name w:val="List Table 5 Dark - Accent 6"/>
    <w:uiPriority w:val="99"/>
    <w:qFormat/>
    <w:tblPr>
      <w:tblCellMar>
        <w:left w:w="0" w:type="dxa"/>
        <w:top w:w="0" w:type="dxa"/>
        <w:right w:w="0" w:type="dxa"/>
        <w:bottom w:w="0" w:type="dxa"/>
      </w:tblCellMar>
    </w:tblPr>
  </w:style>
  <w:style w:type="table" w:styleId="909" w:customStyle="1">
    <w:name w:val="List Table 6 Colorful - Accent 1"/>
    <w:uiPriority w:val="99"/>
    <w:qFormat/>
    <w:tblPr>
      <w:tblCellMar>
        <w:left w:w="0" w:type="dxa"/>
        <w:top w:w="0" w:type="dxa"/>
        <w:right w:w="0" w:type="dxa"/>
        <w:bottom w:w="0" w:type="dxa"/>
      </w:tblCellMar>
    </w:tblPr>
  </w:style>
  <w:style w:type="table" w:styleId="910" w:customStyle="1">
    <w:name w:val="List Table 6 Colorful - Accent 2"/>
    <w:uiPriority w:val="99"/>
    <w:qFormat/>
    <w:tblPr>
      <w:tblCellMar>
        <w:left w:w="0" w:type="dxa"/>
        <w:top w:w="0" w:type="dxa"/>
        <w:right w:w="0" w:type="dxa"/>
        <w:bottom w:w="0" w:type="dxa"/>
      </w:tblCellMar>
    </w:tblPr>
  </w:style>
  <w:style w:type="table" w:styleId="911" w:customStyle="1">
    <w:name w:val="List Table 6 Colorful - Accent 3"/>
    <w:uiPriority w:val="99"/>
    <w:qFormat/>
    <w:tblPr>
      <w:tblCellMar>
        <w:left w:w="0" w:type="dxa"/>
        <w:top w:w="0" w:type="dxa"/>
        <w:right w:w="0" w:type="dxa"/>
        <w:bottom w:w="0" w:type="dxa"/>
      </w:tblCellMar>
    </w:tblPr>
  </w:style>
  <w:style w:type="table" w:styleId="912" w:customStyle="1">
    <w:name w:val="List Table 6 Colorful - Accent 4"/>
    <w:uiPriority w:val="99"/>
    <w:qFormat/>
    <w:tblPr>
      <w:tblCellMar>
        <w:left w:w="0" w:type="dxa"/>
        <w:top w:w="0" w:type="dxa"/>
        <w:right w:w="0" w:type="dxa"/>
        <w:bottom w:w="0" w:type="dxa"/>
      </w:tblCellMar>
    </w:tblPr>
  </w:style>
  <w:style w:type="table" w:styleId="913" w:customStyle="1">
    <w:name w:val="List Table 6 Colorful - Accent 5"/>
    <w:uiPriority w:val="99"/>
    <w:qFormat/>
    <w:tblPr>
      <w:tblCellMar>
        <w:left w:w="0" w:type="dxa"/>
        <w:top w:w="0" w:type="dxa"/>
        <w:right w:w="0" w:type="dxa"/>
        <w:bottom w:w="0" w:type="dxa"/>
      </w:tblCellMar>
    </w:tblPr>
  </w:style>
  <w:style w:type="table" w:styleId="914" w:customStyle="1">
    <w:name w:val="List Table 6 Colorful - Accent 6"/>
    <w:uiPriority w:val="99"/>
    <w:qFormat/>
    <w:tblPr>
      <w:tblCellMar>
        <w:left w:w="0" w:type="dxa"/>
        <w:top w:w="0" w:type="dxa"/>
        <w:right w:w="0" w:type="dxa"/>
        <w:bottom w:w="0" w:type="dxa"/>
      </w:tblCellMar>
    </w:tblPr>
  </w:style>
  <w:style w:type="table" w:styleId="915" w:customStyle="1">
    <w:name w:val="List Table 7 Colorful - Accent 1"/>
    <w:uiPriority w:val="99"/>
    <w:qFormat/>
    <w:tblPr>
      <w:tblCellMar>
        <w:left w:w="0" w:type="dxa"/>
        <w:top w:w="0" w:type="dxa"/>
        <w:right w:w="0" w:type="dxa"/>
        <w:bottom w:w="0" w:type="dxa"/>
      </w:tblCellMar>
    </w:tblPr>
  </w:style>
  <w:style w:type="table" w:styleId="916" w:customStyle="1">
    <w:name w:val="List Table 7 Colorful - Accent 2"/>
    <w:uiPriority w:val="99"/>
    <w:qFormat/>
    <w:tblPr>
      <w:tblCellMar>
        <w:left w:w="0" w:type="dxa"/>
        <w:top w:w="0" w:type="dxa"/>
        <w:right w:w="0" w:type="dxa"/>
        <w:bottom w:w="0" w:type="dxa"/>
      </w:tblCellMar>
    </w:tblPr>
  </w:style>
  <w:style w:type="table" w:styleId="917" w:customStyle="1">
    <w:name w:val="List Table 7 Colorful - Accent 3"/>
    <w:uiPriority w:val="99"/>
    <w:qFormat/>
    <w:tblPr>
      <w:tblCellMar>
        <w:left w:w="0" w:type="dxa"/>
        <w:top w:w="0" w:type="dxa"/>
        <w:right w:w="0" w:type="dxa"/>
        <w:bottom w:w="0" w:type="dxa"/>
      </w:tblCellMar>
    </w:tblPr>
  </w:style>
  <w:style w:type="table" w:styleId="918" w:customStyle="1">
    <w:name w:val="List Table 7 Colorful - Accent 4"/>
    <w:uiPriority w:val="99"/>
    <w:qFormat/>
    <w:tblPr>
      <w:tblCellMar>
        <w:left w:w="0" w:type="dxa"/>
        <w:top w:w="0" w:type="dxa"/>
        <w:right w:w="0" w:type="dxa"/>
        <w:bottom w:w="0" w:type="dxa"/>
      </w:tblCellMar>
    </w:tblPr>
  </w:style>
  <w:style w:type="table" w:styleId="919" w:customStyle="1">
    <w:name w:val="List Table 7 Colorful - Accent 5"/>
    <w:uiPriority w:val="99"/>
    <w:qFormat/>
    <w:tblPr>
      <w:tblCellMar>
        <w:left w:w="0" w:type="dxa"/>
        <w:top w:w="0" w:type="dxa"/>
        <w:right w:w="0" w:type="dxa"/>
        <w:bottom w:w="0" w:type="dxa"/>
      </w:tblCellMar>
    </w:tblPr>
  </w:style>
  <w:style w:type="table" w:styleId="920" w:customStyle="1">
    <w:name w:val="List Table 7 Colorful - Accent 6"/>
    <w:uiPriority w:val="99"/>
    <w:qFormat/>
    <w:tblPr>
      <w:tblCellMar>
        <w:left w:w="0" w:type="dxa"/>
        <w:top w:w="0" w:type="dxa"/>
        <w:right w:w="0" w:type="dxa"/>
        <w:bottom w:w="0" w:type="dxa"/>
      </w:tblCellMar>
    </w:tblPr>
  </w:style>
  <w:style w:type="table" w:styleId="921" w:customStyle="1">
    <w:name w:val="Lined - Accent"/>
    <w:uiPriority w:val="99"/>
    <w:qFormat/>
    <w:rPr>
      <w:color w:val="404040"/>
    </w:rPr>
    <w:tblPr>
      <w:tblCellMar>
        <w:left w:w="0" w:type="dxa"/>
        <w:top w:w="0" w:type="dxa"/>
        <w:right w:w="0" w:type="dxa"/>
        <w:bottom w:w="0" w:type="dxa"/>
      </w:tblCellMar>
    </w:tblPr>
  </w:style>
  <w:style w:type="table" w:styleId="922" w:customStyle="1">
    <w:name w:val="Lined - Accent 1"/>
    <w:uiPriority w:val="99"/>
    <w:qFormat/>
    <w:rPr>
      <w:color w:val="404040"/>
    </w:rPr>
    <w:tblPr>
      <w:tblCellMar>
        <w:left w:w="0" w:type="dxa"/>
        <w:top w:w="0" w:type="dxa"/>
        <w:right w:w="0" w:type="dxa"/>
        <w:bottom w:w="0" w:type="dxa"/>
      </w:tblCellMar>
    </w:tblPr>
  </w:style>
  <w:style w:type="table" w:styleId="923" w:customStyle="1">
    <w:name w:val="Lined - Accent 2"/>
    <w:uiPriority w:val="99"/>
    <w:qFormat/>
    <w:rPr>
      <w:color w:val="404040"/>
    </w:rPr>
    <w:tblPr>
      <w:tblCellMar>
        <w:left w:w="0" w:type="dxa"/>
        <w:top w:w="0" w:type="dxa"/>
        <w:right w:w="0" w:type="dxa"/>
        <w:bottom w:w="0" w:type="dxa"/>
      </w:tblCellMar>
    </w:tblPr>
  </w:style>
  <w:style w:type="table" w:styleId="924" w:customStyle="1">
    <w:name w:val="Lined - Accent 3"/>
    <w:uiPriority w:val="99"/>
    <w:qFormat/>
    <w:rPr>
      <w:color w:val="404040"/>
    </w:rPr>
    <w:tblPr>
      <w:tblCellMar>
        <w:left w:w="0" w:type="dxa"/>
        <w:top w:w="0" w:type="dxa"/>
        <w:right w:w="0" w:type="dxa"/>
        <w:bottom w:w="0" w:type="dxa"/>
      </w:tblCellMar>
    </w:tblPr>
  </w:style>
  <w:style w:type="table" w:styleId="925" w:customStyle="1">
    <w:name w:val="Lined - Accent 4"/>
    <w:uiPriority w:val="99"/>
    <w:qFormat/>
    <w:rPr>
      <w:color w:val="404040"/>
    </w:rPr>
    <w:tblPr>
      <w:tblCellMar>
        <w:left w:w="0" w:type="dxa"/>
        <w:top w:w="0" w:type="dxa"/>
        <w:right w:w="0" w:type="dxa"/>
        <w:bottom w:w="0" w:type="dxa"/>
      </w:tblCellMar>
    </w:tblPr>
  </w:style>
  <w:style w:type="table" w:styleId="926" w:customStyle="1">
    <w:name w:val="Lined - Accent 5"/>
    <w:uiPriority w:val="99"/>
    <w:qFormat/>
    <w:rPr>
      <w:color w:val="404040"/>
    </w:rPr>
    <w:tblPr>
      <w:tblCellMar>
        <w:left w:w="0" w:type="dxa"/>
        <w:top w:w="0" w:type="dxa"/>
        <w:right w:w="0" w:type="dxa"/>
        <w:bottom w:w="0" w:type="dxa"/>
      </w:tblCellMar>
    </w:tblPr>
  </w:style>
  <w:style w:type="table" w:styleId="927" w:customStyle="1">
    <w:name w:val="Lined - Accent 6"/>
    <w:uiPriority w:val="99"/>
    <w:qFormat/>
    <w:rPr>
      <w:color w:val="404040"/>
    </w:rPr>
    <w:tblPr>
      <w:tblCellMar>
        <w:left w:w="0" w:type="dxa"/>
        <w:top w:w="0" w:type="dxa"/>
        <w:right w:w="0" w:type="dxa"/>
        <w:bottom w:w="0" w:type="dxa"/>
      </w:tblCellMar>
    </w:tblPr>
  </w:style>
  <w:style w:type="table" w:styleId="928" w:customStyle="1">
    <w:name w:val="Bordered &amp; Lined - Accent"/>
    <w:uiPriority w:val="99"/>
    <w:qFormat/>
    <w:rPr>
      <w:color w:val="404040"/>
    </w:rPr>
    <w:tblPr>
      <w:tblCellMar>
        <w:left w:w="0" w:type="dxa"/>
        <w:top w:w="0" w:type="dxa"/>
        <w:right w:w="0" w:type="dxa"/>
        <w:bottom w:w="0" w:type="dxa"/>
      </w:tblCellMar>
    </w:tblPr>
  </w:style>
  <w:style w:type="table" w:styleId="929" w:customStyle="1">
    <w:name w:val="Bordered &amp; Lined - Accent 1"/>
    <w:uiPriority w:val="99"/>
    <w:qFormat/>
    <w:rPr>
      <w:color w:val="404040"/>
    </w:rPr>
    <w:tblPr>
      <w:tblCellMar>
        <w:left w:w="0" w:type="dxa"/>
        <w:top w:w="0" w:type="dxa"/>
        <w:right w:w="0" w:type="dxa"/>
        <w:bottom w:w="0" w:type="dxa"/>
      </w:tblCellMar>
    </w:tblPr>
  </w:style>
  <w:style w:type="table" w:styleId="930" w:customStyle="1">
    <w:name w:val="Bordered &amp; Lined - Accent 2"/>
    <w:uiPriority w:val="99"/>
    <w:qFormat/>
    <w:rPr>
      <w:color w:val="404040"/>
    </w:rPr>
    <w:tblPr>
      <w:tblCellMar>
        <w:left w:w="0" w:type="dxa"/>
        <w:top w:w="0" w:type="dxa"/>
        <w:right w:w="0" w:type="dxa"/>
        <w:bottom w:w="0" w:type="dxa"/>
      </w:tblCellMar>
    </w:tblPr>
  </w:style>
  <w:style w:type="table" w:styleId="931" w:customStyle="1">
    <w:name w:val="Bordered &amp; Lined - Accent 3"/>
    <w:uiPriority w:val="99"/>
    <w:qFormat/>
    <w:rPr>
      <w:color w:val="404040"/>
    </w:rPr>
    <w:tblPr>
      <w:tblCellMar>
        <w:left w:w="0" w:type="dxa"/>
        <w:top w:w="0" w:type="dxa"/>
        <w:right w:w="0" w:type="dxa"/>
        <w:bottom w:w="0" w:type="dxa"/>
      </w:tblCellMar>
    </w:tblPr>
  </w:style>
  <w:style w:type="table" w:styleId="932" w:customStyle="1">
    <w:name w:val="Bordered &amp; Lined - Accent 4"/>
    <w:uiPriority w:val="99"/>
    <w:qFormat/>
    <w:rPr>
      <w:color w:val="404040"/>
    </w:rPr>
    <w:tblPr>
      <w:tblCellMar>
        <w:left w:w="0" w:type="dxa"/>
        <w:top w:w="0" w:type="dxa"/>
        <w:right w:w="0" w:type="dxa"/>
        <w:bottom w:w="0" w:type="dxa"/>
      </w:tblCellMar>
    </w:tblPr>
  </w:style>
  <w:style w:type="table" w:styleId="933" w:customStyle="1">
    <w:name w:val="Bordered &amp; Lined - Accent 5"/>
    <w:uiPriority w:val="99"/>
    <w:qFormat/>
    <w:rPr>
      <w:color w:val="404040"/>
    </w:rPr>
    <w:tblPr>
      <w:tblCellMar>
        <w:left w:w="0" w:type="dxa"/>
        <w:top w:w="0" w:type="dxa"/>
        <w:right w:w="0" w:type="dxa"/>
        <w:bottom w:w="0" w:type="dxa"/>
      </w:tblCellMar>
    </w:tblPr>
  </w:style>
  <w:style w:type="table" w:styleId="934" w:customStyle="1">
    <w:name w:val="Bordered &amp; Lined - Accent 6"/>
    <w:uiPriority w:val="99"/>
    <w:qFormat/>
    <w:rPr>
      <w:color w:val="404040"/>
    </w:rPr>
    <w:tblPr>
      <w:tblCellMar>
        <w:left w:w="0" w:type="dxa"/>
        <w:top w:w="0" w:type="dxa"/>
        <w:right w:w="0" w:type="dxa"/>
        <w:bottom w:w="0" w:type="dxa"/>
      </w:tblCellMar>
    </w:tblPr>
  </w:style>
  <w:style w:type="table" w:styleId="935" w:customStyle="1">
    <w:name w:val="Bordered"/>
    <w:uiPriority w:val="99"/>
    <w:qFormat/>
    <w:tblPr>
      <w:tblCellMar>
        <w:left w:w="0" w:type="dxa"/>
        <w:top w:w="0" w:type="dxa"/>
        <w:right w:w="0" w:type="dxa"/>
        <w:bottom w:w="0" w:type="dxa"/>
      </w:tblCellMar>
    </w:tblPr>
  </w:style>
  <w:style w:type="table" w:styleId="936" w:customStyle="1">
    <w:name w:val="Bordered - Accent 1"/>
    <w:uiPriority w:val="99"/>
    <w:qFormat/>
    <w:tblPr>
      <w:tblCellMar>
        <w:left w:w="0" w:type="dxa"/>
        <w:top w:w="0" w:type="dxa"/>
        <w:right w:w="0" w:type="dxa"/>
        <w:bottom w:w="0" w:type="dxa"/>
      </w:tblCellMar>
    </w:tblPr>
  </w:style>
  <w:style w:type="table" w:styleId="937" w:customStyle="1">
    <w:name w:val="Bordered - Accent 2"/>
    <w:uiPriority w:val="99"/>
    <w:qFormat/>
    <w:tblPr>
      <w:tblCellMar>
        <w:left w:w="0" w:type="dxa"/>
        <w:top w:w="0" w:type="dxa"/>
        <w:right w:w="0" w:type="dxa"/>
        <w:bottom w:w="0" w:type="dxa"/>
      </w:tblCellMar>
    </w:tblPr>
  </w:style>
  <w:style w:type="table" w:styleId="938" w:customStyle="1">
    <w:name w:val="Bordered - Accent 3"/>
    <w:uiPriority w:val="99"/>
    <w:qFormat/>
    <w:tblPr>
      <w:tblCellMar>
        <w:left w:w="0" w:type="dxa"/>
        <w:top w:w="0" w:type="dxa"/>
        <w:right w:w="0" w:type="dxa"/>
        <w:bottom w:w="0" w:type="dxa"/>
      </w:tblCellMar>
    </w:tblPr>
  </w:style>
  <w:style w:type="table" w:styleId="939" w:customStyle="1">
    <w:name w:val="Bordered - Accent 4"/>
    <w:uiPriority w:val="99"/>
    <w:qFormat/>
    <w:tblPr>
      <w:tblCellMar>
        <w:left w:w="0" w:type="dxa"/>
        <w:top w:w="0" w:type="dxa"/>
        <w:right w:w="0" w:type="dxa"/>
        <w:bottom w:w="0" w:type="dxa"/>
      </w:tblCellMar>
    </w:tblPr>
  </w:style>
  <w:style w:type="table" w:styleId="940" w:customStyle="1">
    <w:name w:val="Bordered - Accent 5"/>
    <w:uiPriority w:val="99"/>
    <w:qFormat/>
    <w:tblPr>
      <w:tblCellMar>
        <w:left w:w="0" w:type="dxa"/>
        <w:top w:w="0" w:type="dxa"/>
        <w:right w:w="0" w:type="dxa"/>
        <w:bottom w:w="0" w:type="dxa"/>
      </w:tblCellMar>
    </w:tblPr>
  </w:style>
  <w:style w:type="table" w:styleId="941" w:customStyle="1">
    <w:name w:val="Bordered - Accent 6"/>
    <w:uiPriority w:val="99"/>
    <w:qFormat/>
    <w:tblPr>
      <w:tblCellMar>
        <w:left w:w="0" w:type="dxa"/>
        <w:top w:w="0" w:type="dxa"/>
        <w:right w:w="0" w:type="dxa"/>
        <w:bottom w:w="0" w:type="dxa"/>
      </w:tblCellMar>
    </w:tblPr>
  </w:style>
  <w:style w:type="paragraph" w:styleId="942" w:customStyle="1">
    <w:name w:val="TOC 标题11"/>
    <w:uiPriority w:val="39"/>
    <w:unhideWhenUsed/>
    <w:qFormat/>
    <w:rPr>
      <w:rFonts w:hint="default" w:ascii="Times New Roman" w:hAnsi="Times New Roman" w:eastAsia="宋体" w:cs="Times New Roman"/>
      <w:lang w:val="en-US" w:eastAsia="zh-CN" w:bidi="ar-SA"/>
    </w:rPr>
  </w:style>
  <w:style w:type="paragraph" w:styleId="943" w:customStyle="1">
    <w:name w:val="标题 51"/>
    <w:basedOn w:val="667"/>
    <w:next w:val="667"/>
    <w:uiPriority w:val="0"/>
    <w:qFormat/>
    <w:pPr>
      <w:jc w:val="left"/>
      <w:keepLines/>
      <w:keepNext/>
      <w:spacing w:line="360" w:lineRule="auto"/>
      <w:tabs>
        <w:tab w:val="left" w:pos="1134" w:leader="none"/>
        <w:tab w:val="right" w:pos="7371" w:leader="none"/>
      </w:tabs>
      <w:outlineLvl w:val="4"/>
    </w:pPr>
    <w:rPr>
      <w:rFonts w:ascii="宋体"/>
      <w:color w:val="008000"/>
      <w:sz w:val="28"/>
      <w:szCs w:val="20"/>
    </w:rPr>
  </w:style>
  <w:style w:type="paragraph" w:styleId="944" w:customStyle="1">
    <w:name w:val="标题 61"/>
    <w:basedOn w:val="667"/>
    <w:next w:val="667"/>
    <w:uiPriority w:val="0"/>
    <w:qFormat/>
    <w:pPr>
      <w:jc w:val="left"/>
      <w:keepLines/>
      <w:keepNext/>
      <w:spacing w:before="240" w:after="64" w:line="316" w:lineRule="auto"/>
      <w:tabs>
        <w:tab w:val="left" w:pos="1134" w:leader="none"/>
        <w:tab w:val="right" w:pos="7371" w:leader="none"/>
      </w:tabs>
      <w:outlineLvl w:val="5"/>
    </w:pPr>
    <w:rPr>
      <w:rFonts w:ascii="Arial" w:hAnsi="Arial" w:eastAsia="黑体"/>
      <w:b/>
      <w:color w:val="000000"/>
      <w:sz w:val="24"/>
      <w:szCs w:val="20"/>
    </w:rPr>
  </w:style>
  <w:style w:type="paragraph" w:styleId="945" w:customStyle="1">
    <w:name w:val="标题 71"/>
    <w:basedOn w:val="667"/>
    <w:next w:val="667"/>
    <w:uiPriority w:val="0"/>
    <w:qFormat/>
    <w:pPr>
      <w:jc w:val="left"/>
      <w:keepLines/>
      <w:keepNext/>
      <w:spacing w:before="240" w:after="64" w:line="316" w:lineRule="auto"/>
      <w:tabs>
        <w:tab w:val="left" w:pos="1134" w:leader="none"/>
        <w:tab w:val="right" w:pos="7371" w:leader="none"/>
      </w:tabs>
      <w:outlineLvl w:val="6"/>
    </w:pPr>
    <w:rPr>
      <w:rFonts w:ascii="宋体"/>
      <w:b/>
      <w:color w:val="000000"/>
      <w:sz w:val="24"/>
      <w:szCs w:val="20"/>
    </w:rPr>
  </w:style>
  <w:style w:type="paragraph" w:styleId="946" w:customStyle="1">
    <w:name w:val="标题 81"/>
    <w:basedOn w:val="667"/>
    <w:next w:val="667"/>
    <w:uiPriority w:val="0"/>
    <w:qFormat/>
    <w:pPr>
      <w:jc w:val="left"/>
      <w:keepLines/>
      <w:keepNext/>
      <w:spacing w:before="240" w:after="64" w:line="316" w:lineRule="auto"/>
      <w:tabs>
        <w:tab w:val="left" w:pos="1134" w:leader="none"/>
        <w:tab w:val="right" w:pos="7371" w:leader="none"/>
      </w:tabs>
      <w:outlineLvl w:val="7"/>
    </w:pPr>
    <w:rPr>
      <w:rFonts w:ascii="Arial" w:hAnsi="Arial" w:eastAsia="黑体"/>
      <w:color w:val="000000"/>
      <w:sz w:val="24"/>
      <w:szCs w:val="20"/>
    </w:rPr>
  </w:style>
  <w:style w:type="paragraph" w:styleId="947" w:customStyle="1">
    <w:name w:val="标题 91"/>
    <w:basedOn w:val="667"/>
    <w:next w:val="667"/>
    <w:uiPriority w:val="0"/>
    <w:qFormat/>
    <w:pPr>
      <w:jc w:val="center"/>
      <w:keepNext/>
      <w:spacing w:line="600" w:lineRule="exact"/>
      <w:outlineLvl w:val="8"/>
    </w:pPr>
    <w:rPr>
      <w:rFonts w:ascii="仿宋_GB2312" w:eastAsia="仿宋_GB2312"/>
      <w:sz w:val="32"/>
    </w:rPr>
  </w:style>
  <w:style w:type="character" w:styleId="948" w:customStyle="1">
    <w:name w:val="默认段落字体1"/>
    <w:uiPriority w:val="1"/>
    <w:unhideWhenUsed/>
    <w:qFormat/>
  </w:style>
  <w:style w:type="table" w:styleId="949" w:customStyle="1">
    <w:name w:val="普通表格1"/>
    <w:uiPriority w:val="0"/>
    <w:semiHidden/>
    <w:qFormat/>
    <w:tblPr>
      <w:tblCellMar>
        <w:left w:w="0" w:type="dxa"/>
        <w:top w:w="0" w:type="dxa"/>
        <w:right w:w="0" w:type="dxa"/>
        <w:bottom w:w="0" w:type="dxa"/>
      </w:tblCellMar>
    </w:tblPr>
  </w:style>
  <w:style w:type="paragraph" w:styleId="950" w:customStyle="1">
    <w:name w:val="列表项目符号 41"/>
    <w:basedOn w:val="667"/>
    <w:uiPriority w:val="0"/>
    <w:qFormat/>
    <w:pPr>
      <w:ind w:left="360" w:hanging="360"/>
      <w:spacing w:line="380" w:lineRule="exact"/>
      <w:tabs>
        <w:tab w:val="left" w:pos="360" w:leader="none"/>
      </w:tabs>
    </w:pPr>
    <w:rPr>
      <w:sz w:val="28"/>
    </w:rPr>
  </w:style>
  <w:style w:type="paragraph" w:styleId="951" w:customStyle="1">
    <w:name w:val="索引 81"/>
    <w:basedOn w:val="667"/>
    <w:next w:val="667"/>
    <w:uiPriority w:val="0"/>
    <w:qFormat/>
    <w:pPr>
      <w:ind w:left="1400"/>
    </w:pPr>
  </w:style>
  <w:style w:type="paragraph" w:styleId="952" w:customStyle="1">
    <w:name w:val="列表编号1"/>
    <w:basedOn w:val="667"/>
    <w:uiPriority w:val="0"/>
    <w:qFormat/>
    <w:pPr>
      <w:spacing w:line="360" w:lineRule="auto"/>
      <w:tabs>
        <w:tab w:val="left" w:pos="0" w:leader="none"/>
        <w:tab w:val="left" w:pos="840" w:leader="none"/>
      </w:tabs>
    </w:pPr>
  </w:style>
  <w:style w:type="paragraph" w:styleId="953" w:customStyle="1">
    <w:name w:val="正文缩进11"/>
    <w:basedOn w:val="667"/>
    <w:uiPriority w:val="0"/>
    <w:qFormat/>
    <w:pPr>
      <w:ind w:firstLine="420"/>
    </w:pPr>
    <w:rPr>
      <w:rFonts w:ascii="宋体"/>
      <w:color w:val="000000"/>
      <w:sz w:val="24"/>
      <w:szCs w:val="20"/>
    </w:rPr>
  </w:style>
  <w:style w:type="paragraph" w:styleId="954" w:customStyle="1">
    <w:name w:val="题注1"/>
    <w:basedOn w:val="667"/>
    <w:next w:val="667"/>
    <w:link w:val="955"/>
    <w:uiPriority w:val="0"/>
    <w:qFormat/>
    <w:pPr>
      <w:spacing w:line="360" w:lineRule="auto"/>
      <w:tabs>
        <w:tab w:val="left" w:pos="0" w:leader="none"/>
      </w:tabs>
    </w:pPr>
    <w:rPr>
      <w:rFonts w:ascii="Arial" w:hAnsi="Arial" w:eastAsia="黑体"/>
      <w:sz w:val="20"/>
      <w:szCs w:val="20"/>
    </w:rPr>
  </w:style>
  <w:style w:type="character" w:styleId="955" w:customStyle="1">
    <w:name w:val="题注 字符"/>
    <w:link w:val="954"/>
    <w:uiPriority w:val="0"/>
    <w:qFormat/>
    <w:rPr>
      <w:rFonts w:ascii="Arial" w:hAnsi="Arial" w:eastAsia="黑体" w:cs="Arial"/>
    </w:rPr>
  </w:style>
  <w:style w:type="paragraph" w:styleId="956" w:customStyle="1">
    <w:name w:val="索引 51"/>
    <w:basedOn w:val="667"/>
    <w:next w:val="667"/>
    <w:uiPriority w:val="0"/>
    <w:qFormat/>
    <w:pPr>
      <w:ind w:left="800"/>
    </w:pPr>
  </w:style>
  <w:style w:type="paragraph" w:styleId="957" w:customStyle="1">
    <w:name w:val="列表项目符号1"/>
    <w:basedOn w:val="667"/>
    <w:uiPriority w:val="0"/>
    <w:qFormat/>
    <w:pPr>
      <w:ind w:left="962" w:hanging="480"/>
      <w:spacing w:line="360" w:lineRule="auto"/>
      <w:tabs>
        <w:tab w:val="left" w:pos="840" w:leader="none"/>
      </w:tabs>
    </w:pPr>
    <w:rPr>
      <w:sz w:val="24"/>
    </w:rPr>
  </w:style>
  <w:style w:type="paragraph" w:styleId="958" w:customStyle="1">
    <w:name w:val="文档结构图1"/>
    <w:basedOn w:val="667"/>
    <w:uiPriority w:val="0"/>
    <w:qFormat/>
    <w:pPr>
      <w:shd w:val="clear" w:color="auto" w:fill="000080"/>
    </w:pPr>
  </w:style>
  <w:style w:type="paragraph" w:styleId="959" w:customStyle="1">
    <w:name w:val="批注文字1"/>
    <w:basedOn w:val="667"/>
    <w:link w:val="960"/>
    <w:uiPriority w:val="99"/>
    <w:qFormat/>
    <w:pPr>
      <w:jc w:val="left"/>
    </w:pPr>
    <w:rPr>
      <w:szCs w:val="20"/>
    </w:rPr>
  </w:style>
  <w:style w:type="character" w:styleId="960" w:customStyle="1">
    <w:name w:val="批注文字 字符"/>
    <w:link w:val="959"/>
    <w:uiPriority w:val="99"/>
    <w:qFormat/>
    <w:rPr>
      <w:rFonts w:ascii="Calibri" w:hAnsi="Calibri" w:eastAsia="宋体" w:cs="Times New Roman"/>
      <w:sz w:val="21"/>
    </w:rPr>
  </w:style>
  <w:style w:type="paragraph" w:styleId="961" w:customStyle="1">
    <w:name w:val="索引 61"/>
    <w:basedOn w:val="667"/>
    <w:next w:val="667"/>
    <w:uiPriority w:val="0"/>
    <w:qFormat/>
    <w:pPr>
      <w:ind w:left="1000"/>
    </w:pPr>
  </w:style>
  <w:style w:type="paragraph" w:styleId="962" w:customStyle="1">
    <w:name w:val="正文文本 31"/>
    <w:basedOn w:val="667"/>
    <w:uiPriority w:val="0"/>
    <w:qFormat/>
    <w:rPr>
      <w:color w:val="000000"/>
    </w:rPr>
  </w:style>
  <w:style w:type="paragraph" w:styleId="963" w:customStyle="1">
    <w:name w:val="列表项目符号 31"/>
    <w:basedOn w:val="667"/>
    <w:uiPriority w:val="0"/>
    <w:qFormat/>
    <w:pPr>
      <w:ind w:left="1200" w:hanging="360"/>
      <w:spacing w:line="380" w:lineRule="exact"/>
      <w:tabs>
        <w:tab w:val="left" w:pos="1200" w:leader="none"/>
      </w:tabs>
    </w:pPr>
    <w:rPr>
      <w:sz w:val="28"/>
    </w:rPr>
  </w:style>
  <w:style w:type="paragraph" w:styleId="964" w:customStyle="1">
    <w:name w:val="正文文本1"/>
    <w:basedOn w:val="965"/>
    <w:next w:val="965"/>
    <w:uiPriority w:val="0"/>
    <w:qFormat/>
    <w:pPr>
      <w:spacing w:line="60" w:lineRule="auto"/>
    </w:pPr>
    <w:rPr>
      <w:rFonts w:ascii="仿宋_GB2312" w:eastAsia="仿宋_GB2312"/>
      <w:sz w:val="32"/>
    </w:rPr>
  </w:style>
  <w:style w:type="paragraph" w:styleId="965" w:customStyle="1">
    <w:name w:val="Normal_21"/>
    <w:uiPriority w:val="0"/>
    <w:qFormat/>
    <w:rPr>
      <w:rFonts w:hint="default" w:ascii="黑体" w:hAnsi="黑体" w:eastAsia="黑体" w:cs="Times New Roman"/>
      <w:b/>
      <w:sz w:val="32"/>
      <w:szCs w:val="24"/>
      <w:lang w:val="en-US" w:eastAsia="zh-CN" w:bidi="ar-SA"/>
    </w:rPr>
  </w:style>
  <w:style w:type="paragraph" w:styleId="966" w:customStyle="1">
    <w:name w:val="正文文本缩进1"/>
    <w:basedOn w:val="667"/>
    <w:uiPriority w:val="0"/>
    <w:qFormat/>
    <w:pPr>
      <w:ind w:firstLine="225"/>
    </w:pPr>
    <w:rPr>
      <w:rFonts w:ascii="仿宋_GB2312" w:eastAsia="仿宋_GB2312"/>
      <w:sz w:val="32"/>
    </w:rPr>
  </w:style>
  <w:style w:type="paragraph" w:styleId="967" w:customStyle="1">
    <w:name w:val="文本块1"/>
    <w:basedOn w:val="667"/>
    <w:uiPriority w:val="0"/>
    <w:qFormat/>
    <w:pPr>
      <w:ind w:left="1548" w:right="12" w:hanging="2405"/>
      <w:spacing w:line="360" w:lineRule="exact"/>
    </w:pPr>
    <w:rPr>
      <w:rFonts w:ascii="宋体"/>
      <w:bCs/>
      <w:sz w:val="28"/>
    </w:rPr>
  </w:style>
  <w:style w:type="paragraph" w:styleId="968" w:customStyle="1">
    <w:name w:val="列表项目符号 21"/>
    <w:basedOn w:val="667"/>
    <w:uiPriority w:val="0"/>
    <w:qFormat/>
    <w:pPr>
      <w:ind w:left="720" w:hanging="360"/>
      <w:spacing w:line="360" w:lineRule="auto"/>
      <w:tabs>
        <w:tab w:val="left" w:pos="720" w:leader="none"/>
      </w:tabs>
    </w:pPr>
    <w:rPr>
      <w:sz w:val="24"/>
    </w:rPr>
  </w:style>
  <w:style w:type="paragraph" w:styleId="969" w:customStyle="1">
    <w:name w:val="HTML 地址1"/>
    <w:basedOn w:val="667"/>
    <w:uiPriority w:val="0"/>
    <w:qFormat/>
    <w:rPr>
      <w:i/>
      <w:iCs/>
    </w:rPr>
  </w:style>
  <w:style w:type="paragraph" w:styleId="970" w:customStyle="1">
    <w:name w:val="索引 41"/>
    <w:basedOn w:val="667"/>
    <w:next w:val="667"/>
    <w:uiPriority w:val="0"/>
    <w:qFormat/>
    <w:pPr>
      <w:ind w:left="600"/>
    </w:pPr>
  </w:style>
  <w:style w:type="paragraph" w:styleId="971" w:customStyle="1">
    <w:name w:val="纯文本11"/>
    <w:basedOn w:val="667"/>
    <w:link w:val="972"/>
    <w:uiPriority w:val="0"/>
    <w:qFormat/>
    <w:rPr>
      <w:rFonts w:ascii="宋体"/>
      <w:szCs w:val="21"/>
    </w:rPr>
  </w:style>
  <w:style w:type="character" w:styleId="972" w:customStyle="1">
    <w:name w:val="纯文本 字符"/>
    <w:link w:val="971"/>
    <w:uiPriority w:val="0"/>
    <w:qFormat/>
    <w:rPr>
      <w:rFonts w:ascii="宋体" w:hAnsi="Calibri" w:eastAsia="宋体"/>
      <w:sz w:val="21"/>
      <w:szCs w:val="21"/>
      <w:lang w:val="en-US" w:eastAsia="zh-CN" w:bidi="ar-SA"/>
    </w:rPr>
  </w:style>
  <w:style w:type="paragraph" w:styleId="973" w:customStyle="1">
    <w:name w:val="列表项目符号 51"/>
    <w:basedOn w:val="667"/>
    <w:uiPriority w:val="0"/>
    <w:qFormat/>
    <w:pPr>
      <w:ind w:left="720" w:hanging="360"/>
      <w:spacing w:line="380" w:lineRule="exact"/>
      <w:tabs>
        <w:tab w:val="left" w:pos="720" w:leader="none"/>
      </w:tabs>
    </w:pPr>
    <w:rPr>
      <w:sz w:val="28"/>
    </w:rPr>
  </w:style>
  <w:style w:type="paragraph" w:styleId="974" w:customStyle="1">
    <w:name w:val="索引 31"/>
    <w:basedOn w:val="667"/>
    <w:next w:val="667"/>
    <w:uiPriority w:val="0"/>
    <w:qFormat/>
    <w:pPr>
      <w:ind w:left="400"/>
    </w:pPr>
  </w:style>
  <w:style w:type="paragraph" w:styleId="975" w:customStyle="1">
    <w:name w:val="日期1"/>
    <w:basedOn w:val="667"/>
    <w:next w:val="667"/>
    <w:uiPriority w:val="0"/>
    <w:qFormat/>
    <w:pPr>
      <w:ind w:left="2500"/>
    </w:pPr>
  </w:style>
  <w:style w:type="paragraph" w:styleId="976" w:customStyle="1">
    <w:name w:val="正文文本缩进 21"/>
    <w:basedOn w:val="667"/>
    <w:uiPriority w:val="0"/>
    <w:qFormat/>
    <w:pPr>
      <w:ind w:firstLine="225"/>
      <w:jc w:val="left"/>
      <w:spacing w:line="540" w:lineRule="exact"/>
    </w:pPr>
    <w:rPr>
      <w:rFonts w:ascii="仿宋_GB2312" w:eastAsia="仿宋_GB2312"/>
      <w:sz w:val="32"/>
    </w:rPr>
  </w:style>
  <w:style w:type="paragraph" w:styleId="977" w:customStyle="1">
    <w:name w:val="尾注文本1"/>
    <w:basedOn w:val="667"/>
    <w:uiPriority w:val="0"/>
    <w:qFormat/>
    <w:pPr>
      <w:jc w:val="left"/>
      <w:widowControl/>
    </w:pPr>
    <w:rPr>
      <w:rFonts w:ascii="宋体"/>
      <w:bCs/>
      <w:szCs w:val="21"/>
    </w:rPr>
  </w:style>
  <w:style w:type="paragraph" w:styleId="978" w:customStyle="1">
    <w:name w:val="批注框文本1"/>
    <w:basedOn w:val="667"/>
    <w:uiPriority w:val="0"/>
    <w:qFormat/>
    <w:rPr>
      <w:sz w:val="18"/>
      <w:szCs w:val="20"/>
    </w:rPr>
  </w:style>
  <w:style w:type="paragraph" w:styleId="979" w:customStyle="1">
    <w:name w:val="页脚1"/>
    <w:basedOn w:val="667"/>
    <w:uiPriority w:val="0"/>
    <w:qFormat/>
    <w:pPr>
      <w:jc w:val="left"/>
      <w:tabs>
        <w:tab w:val="center" w:pos="4153" w:leader="none"/>
        <w:tab w:val="right" w:pos="8306" w:leader="none"/>
      </w:tabs>
    </w:pPr>
    <w:rPr>
      <w:sz w:val="18"/>
      <w:szCs w:val="18"/>
    </w:rPr>
  </w:style>
  <w:style w:type="paragraph" w:styleId="980" w:customStyle="1">
    <w:name w:val="页眉1"/>
    <w:basedOn w:val="667"/>
    <w:uiPriority w:val="0"/>
    <w:qFormat/>
    <w:pPr>
      <w:jc w:val="center"/>
      <w:tabs>
        <w:tab w:val="center" w:pos="4153" w:leader="none"/>
        <w:tab w:val="right" w:pos="8306" w:leader="none"/>
      </w:tabs>
      <w:pBdr>
        <w:bottom w:val="single" w:color="000000" w:sz="6" w:space="1"/>
      </w:pBdr>
    </w:pPr>
    <w:rPr>
      <w:sz w:val="18"/>
      <w:szCs w:val="18"/>
    </w:rPr>
  </w:style>
  <w:style w:type="paragraph" w:styleId="981" w:customStyle="1">
    <w:name w:val="索引标题1"/>
    <w:basedOn w:val="667"/>
    <w:next w:val="982"/>
    <w:uiPriority w:val="0"/>
    <w:qFormat/>
  </w:style>
  <w:style w:type="paragraph" w:styleId="982" w:customStyle="1">
    <w:name w:val="索引 111"/>
    <w:basedOn w:val="667"/>
    <w:next w:val="667"/>
    <w:uiPriority w:val="0"/>
    <w:qFormat/>
  </w:style>
  <w:style w:type="paragraph" w:styleId="983" w:customStyle="1">
    <w:name w:val="脚注文本1"/>
    <w:basedOn w:val="667"/>
    <w:uiPriority w:val="0"/>
    <w:qFormat/>
    <w:pPr>
      <w:jc w:val="left"/>
    </w:pPr>
    <w:rPr>
      <w:rFonts w:ascii="宋体"/>
      <w:bCs/>
      <w:sz w:val="18"/>
      <w:szCs w:val="18"/>
    </w:rPr>
  </w:style>
  <w:style w:type="paragraph" w:styleId="984" w:customStyle="1">
    <w:name w:val="正文文本缩进 31"/>
    <w:basedOn w:val="667"/>
    <w:uiPriority w:val="0"/>
    <w:qFormat/>
    <w:pPr>
      <w:ind w:firstLine="213"/>
    </w:pPr>
    <w:rPr>
      <w:rFonts w:ascii="仿宋_GB2312" w:eastAsia="仿宋_GB2312"/>
      <w:sz w:val="30"/>
    </w:rPr>
  </w:style>
  <w:style w:type="paragraph" w:styleId="985" w:customStyle="1">
    <w:name w:val="索引 71"/>
    <w:basedOn w:val="667"/>
    <w:next w:val="667"/>
    <w:uiPriority w:val="0"/>
    <w:qFormat/>
    <w:pPr>
      <w:ind w:left="1200"/>
    </w:pPr>
  </w:style>
  <w:style w:type="paragraph" w:styleId="986" w:customStyle="1">
    <w:name w:val="索引 91"/>
    <w:basedOn w:val="667"/>
    <w:next w:val="667"/>
    <w:uiPriority w:val="0"/>
    <w:qFormat/>
    <w:pPr>
      <w:ind w:left="1600"/>
    </w:pPr>
  </w:style>
  <w:style w:type="paragraph" w:styleId="987" w:customStyle="1">
    <w:name w:val="图表目录11"/>
    <w:basedOn w:val="667"/>
    <w:next w:val="667"/>
    <w:uiPriority w:val="0"/>
    <w:qFormat/>
    <w:pPr>
      <w:ind w:left="400" w:hanging="200"/>
      <w:jc w:val="left"/>
      <w:widowControl/>
    </w:pPr>
    <w:rPr>
      <w:rFonts w:ascii="宋体"/>
      <w:bCs/>
      <w:szCs w:val="21"/>
    </w:rPr>
  </w:style>
  <w:style w:type="paragraph" w:styleId="988" w:customStyle="1">
    <w:name w:val="正文文本 21"/>
    <w:basedOn w:val="667"/>
    <w:uiPriority w:val="0"/>
    <w:qFormat/>
    <w:pPr>
      <w:spacing w:line="560" w:lineRule="exact"/>
    </w:pPr>
    <w:rPr>
      <w:rFonts w:ascii="仿宋_GB2312" w:eastAsia="仿宋_GB2312"/>
      <w:sz w:val="28"/>
      <w:szCs w:val="30"/>
    </w:rPr>
  </w:style>
  <w:style w:type="paragraph" w:styleId="989" w:customStyle="1">
    <w:name w:val="列表接续 21"/>
    <w:basedOn w:val="667"/>
    <w:uiPriority w:val="0"/>
    <w:qFormat/>
    <w:pPr>
      <w:ind w:left="840"/>
      <w:spacing w:after="120"/>
    </w:pPr>
  </w:style>
  <w:style w:type="paragraph" w:styleId="990" w:customStyle="1">
    <w:name w:val="HTML 预设格式1"/>
    <w:basedOn w:val="667"/>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rPr>
  </w:style>
  <w:style w:type="paragraph" w:styleId="991" w:customStyle="1">
    <w:name w:val="普通(网站)1"/>
    <w:basedOn w:val="667"/>
    <w:uiPriority w:val="99"/>
    <w:qFormat/>
    <w:pPr>
      <w:jc w:val="left"/>
      <w:spacing w:before="100" w:beforeAutospacing="1" w:after="100" w:afterAutospacing="1"/>
      <w:widowControl/>
    </w:pPr>
    <w:rPr>
      <w:rFonts w:ascii="宋体"/>
      <w:sz w:val="24"/>
      <w:szCs w:val="20"/>
    </w:rPr>
  </w:style>
  <w:style w:type="paragraph" w:styleId="992" w:customStyle="1">
    <w:name w:val="索引 21"/>
    <w:basedOn w:val="667"/>
    <w:next w:val="667"/>
    <w:uiPriority w:val="0"/>
    <w:qFormat/>
    <w:pPr>
      <w:ind w:left="200"/>
    </w:pPr>
  </w:style>
  <w:style w:type="paragraph" w:styleId="993" w:customStyle="1">
    <w:name w:val="标题1"/>
    <w:basedOn w:val="667"/>
    <w:uiPriority w:val="0"/>
    <w:qFormat/>
    <w:pPr>
      <w:jc w:val="center"/>
      <w:spacing w:before="240" w:after="60"/>
      <w:outlineLvl w:val="0"/>
    </w:pPr>
    <w:rPr>
      <w:rFonts w:ascii="Cambria" w:hAnsi="Cambria"/>
      <w:b/>
      <w:bCs/>
      <w:sz w:val="32"/>
      <w:szCs w:val="32"/>
    </w:rPr>
  </w:style>
  <w:style w:type="paragraph" w:styleId="994" w:customStyle="1">
    <w:name w:val="批注主题1"/>
    <w:basedOn w:val="959"/>
    <w:next w:val="959"/>
    <w:uiPriority w:val="0"/>
    <w:qFormat/>
    <w:rPr>
      <w:b/>
    </w:rPr>
  </w:style>
  <w:style w:type="paragraph" w:styleId="995" w:customStyle="1">
    <w:name w:val="正文文本首行缩进1"/>
    <w:basedOn w:val="964"/>
    <w:uiPriority w:val="0"/>
    <w:qFormat/>
    <w:pPr>
      <w:ind w:firstLine="100"/>
      <w:spacing w:after="120" w:line="240" w:lineRule="auto"/>
    </w:pPr>
    <w:rPr>
      <w:rFonts w:ascii="Times New Roman" w:hAnsi="Times New Roman" w:eastAsia="宋体"/>
      <w:sz w:val="21"/>
    </w:rPr>
  </w:style>
  <w:style w:type="paragraph" w:styleId="996" w:customStyle="1">
    <w:name w:val="正文文本首行缩进 211"/>
    <w:basedOn w:val="795"/>
    <w:link w:val="997"/>
    <w:uiPriority w:val="0"/>
    <w:qFormat/>
    <w:pPr>
      <w:ind w:left="200" w:firstLine="200"/>
    </w:pPr>
    <w:rPr>
      <w:rFonts w:ascii="Times New Roman" w:hAnsi="Times New Roman"/>
      <w:sz w:val="24"/>
      <w:szCs w:val="24"/>
    </w:rPr>
  </w:style>
  <w:style w:type="character" w:styleId="997" w:customStyle="1">
    <w:name w:val="正文文本首行缩进 2 字符"/>
    <w:link w:val="996"/>
    <w:uiPriority w:val="0"/>
    <w:qFormat/>
    <w:rPr>
      <w:rFonts w:eastAsia="仿宋_GB2312"/>
      <w:sz w:val="24"/>
      <w:szCs w:val="24"/>
      <w:lang w:bidi="ar-SA"/>
    </w:rPr>
  </w:style>
  <w:style w:type="table" w:styleId="998" w:customStyle="1">
    <w:name w:val="网格型1"/>
    <w:basedOn w:val="949"/>
    <w:uiPriority w:val="0"/>
    <w:qFormat/>
    <w:tblPr/>
  </w:style>
  <w:style w:type="character" w:styleId="999" w:customStyle="1">
    <w:name w:val="要点1"/>
    <w:uiPriority w:val="0"/>
    <w:qFormat/>
    <w:rPr>
      <w:b/>
    </w:rPr>
  </w:style>
  <w:style w:type="character" w:styleId="1000" w:customStyle="1">
    <w:name w:val="尾注引用1"/>
    <w:uiPriority w:val="0"/>
    <w:qFormat/>
    <w:rPr>
      <w:vertAlign w:val="superscript"/>
    </w:rPr>
  </w:style>
  <w:style w:type="character" w:styleId="1001" w:customStyle="1">
    <w:name w:val="页码1"/>
    <w:uiPriority w:val="0"/>
    <w:qFormat/>
  </w:style>
  <w:style w:type="character" w:styleId="1002" w:customStyle="1">
    <w:name w:val="访问过的超链接1"/>
    <w:uiPriority w:val="0"/>
    <w:qFormat/>
    <w:rPr>
      <w:color w:val="800080"/>
      <w:u w:val="single"/>
    </w:rPr>
  </w:style>
  <w:style w:type="character" w:styleId="1003" w:customStyle="1">
    <w:name w:val="强调1"/>
    <w:uiPriority w:val="0"/>
    <w:qFormat/>
    <w:rPr>
      <w:color w:val="cc0033"/>
    </w:rPr>
  </w:style>
  <w:style w:type="character" w:styleId="1004" w:customStyle="1">
    <w:name w:val="HTML 打字机1"/>
    <w:uiPriority w:val="0"/>
    <w:qFormat/>
    <w:rPr>
      <w:rFonts w:ascii="宋体" w:eastAsia="宋体" w:cs="宋体"/>
      <w:sz w:val="24"/>
      <w:szCs w:val="24"/>
      <w:lang w:bidi="ar-SA"/>
    </w:rPr>
  </w:style>
  <w:style w:type="character" w:styleId="1005" w:customStyle="1">
    <w:name w:val="超链接1"/>
    <w:uiPriority w:val="99"/>
    <w:qFormat/>
    <w:rPr>
      <w:color w:val="0000ff"/>
      <w:u w:val="single"/>
    </w:rPr>
  </w:style>
  <w:style w:type="character" w:styleId="1006" w:customStyle="1">
    <w:name w:val="批注引用1"/>
    <w:uiPriority w:val="0"/>
    <w:qFormat/>
    <w:rPr>
      <w:sz w:val="21"/>
    </w:rPr>
  </w:style>
  <w:style w:type="character" w:styleId="1007" w:customStyle="1">
    <w:name w:val="脚注引用1"/>
    <w:uiPriority w:val="0"/>
    <w:qFormat/>
    <w:rPr>
      <w:vertAlign w:val="superscript"/>
    </w:rPr>
  </w:style>
  <w:style w:type="paragraph" w:styleId="1008" w:customStyle="1">
    <w:name w:val="正文（标记）"/>
    <w:basedOn w:val="667"/>
    <w:link w:val="1009"/>
    <w:uiPriority w:val="0"/>
    <w:qFormat/>
    <w:pPr>
      <w:spacing w:before="50" w:after="50"/>
      <w:tabs>
        <w:tab w:val="left" w:pos="0" w:leader="none"/>
        <w:tab w:val="left" w:pos="840" w:leader="none"/>
      </w:tabs>
    </w:pPr>
    <w:rPr>
      <w:rFonts w:ascii="Times New Roman" w:hAnsi="Times New Roman"/>
      <w:sz w:val="24"/>
      <w:szCs w:val="24"/>
    </w:rPr>
  </w:style>
  <w:style w:type="character" w:styleId="1009" w:customStyle="1">
    <w:name w:val="正文（标记） Char2"/>
    <w:link w:val="1008"/>
    <w:uiPriority w:val="0"/>
    <w:qFormat/>
    <w:rPr>
      <w:sz w:val="24"/>
      <w:szCs w:val="24"/>
    </w:rPr>
  </w:style>
  <w:style w:type="character" w:styleId="1010" w:customStyle="1">
    <w:name w:val="Char Char2"/>
    <w:uiPriority w:val="0"/>
    <w:qFormat/>
    <w:rPr>
      <w:sz w:val="18"/>
      <w:szCs w:val="18"/>
    </w:rPr>
  </w:style>
  <w:style w:type="character" w:styleId="1011" w:customStyle="1">
    <w:name w:val="maywed421"/>
    <w:uiPriority w:val="0"/>
    <w:qFormat/>
    <w:rPr>
      <w:color w:val="366fb6"/>
      <w:u w:val="none"/>
    </w:rPr>
  </w:style>
  <w:style w:type="paragraph" w:styleId="1012" w:customStyle="1">
    <w:name w:val="编号2"/>
    <w:uiPriority w:val="0"/>
    <w:qFormat/>
    <w:pPr>
      <w:ind w:left="720" w:hanging="360"/>
      <w:spacing w:before="120" w:after="120" w:line="360" w:lineRule="auto"/>
      <w:tabs>
        <w:tab w:val="left" w:pos="-40" w:leader="none"/>
      </w:tabs>
    </w:pPr>
    <w:rPr>
      <w:rFonts w:hint="default" w:ascii="仿宋_GB2312" w:hAnsi="Times New Roman" w:eastAsia="仿宋_GB2312" w:cs="Times New Roman"/>
      <w:color w:val="ff0000"/>
      <w:sz w:val="24"/>
      <w:szCs w:val="24"/>
      <w:lang w:val="en-US" w:eastAsia="zh-CN" w:bidi="ar-SA"/>
    </w:rPr>
  </w:style>
  <w:style w:type="paragraph" w:styleId="1013" w:customStyle="1">
    <w:name w:val="一级缩进"/>
    <w:uiPriority w:val="0"/>
    <w:qFormat/>
    <w:pPr>
      <w:jc w:val="both"/>
      <w:spacing w:before="120" w:after="120" w:line="360" w:lineRule="auto"/>
      <w:tabs>
        <w:tab w:val="left" w:pos="0" w:leader="none"/>
        <w:tab w:val="left" w:pos="568" w:leader="none"/>
      </w:tabs>
    </w:pPr>
    <w:rPr>
      <w:rFonts w:hint="default" w:ascii="Times New Roman" w:hAnsi="Times New Roman" w:eastAsia="仿宋_GB2312" w:cs="Times New Roman"/>
      <w:sz w:val="24"/>
      <w:szCs w:val="24"/>
      <w:lang w:val="en-US" w:eastAsia="zh-CN" w:bidi="ar-SA"/>
    </w:rPr>
  </w:style>
  <w:style w:type="character" w:styleId="1014" w:customStyle="1">
    <w:name w:val="Comment Text Char"/>
    <w:uiPriority w:val="0"/>
    <w:qFormat/>
    <w:rPr>
      <w:rFonts w:cs="Times New Roman"/>
      <w:sz w:val="21"/>
      <w:szCs w:val="21"/>
      <w:lang w:bidi="ar-SA"/>
    </w:rPr>
  </w:style>
  <w:style w:type="character" w:styleId="1015" w:customStyle="1">
    <w:name w:val="Footer Char"/>
    <w:uiPriority w:val="0"/>
    <w:qFormat/>
    <w:rPr>
      <w:rFonts w:eastAsia="宋体"/>
      <w:sz w:val="18"/>
      <w:lang w:val="en-US" w:eastAsia="zh-CN"/>
    </w:rPr>
  </w:style>
  <w:style w:type="character" w:styleId="1016" w:customStyle="1">
    <w:name w:val="ca-41"/>
    <w:uiPriority w:val="0"/>
    <w:qFormat/>
    <w:rPr>
      <w:rFonts w:ascii="宋体" w:eastAsia="宋体"/>
      <w:b/>
      <w:bCs/>
      <w:color w:val="000000"/>
      <w:spacing w:val="-20"/>
      <w:sz w:val="21"/>
      <w:szCs w:val="21"/>
    </w:rPr>
  </w:style>
  <w:style w:type="character" w:styleId="1017" w:customStyle="1">
    <w:name w:val="ca-1"/>
    <w:uiPriority w:val="0"/>
    <w:qFormat/>
  </w:style>
  <w:style w:type="character" w:styleId="1018" w:customStyle="1">
    <w:name w:val="Plain Text Char"/>
    <w:uiPriority w:val="0"/>
    <w:qFormat/>
    <w:rPr>
      <w:rFonts w:ascii="宋体" w:eastAsia="宋体"/>
      <w:sz w:val="21"/>
      <w:lang w:val="en-US" w:eastAsia="zh-CN"/>
    </w:rPr>
  </w:style>
  <w:style w:type="character" w:styleId="1019" w:customStyle="1">
    <w:name w:val="Header Char"/>
    <w:uiPriority w:val="0"/>
    <w:qFormat/>
    <w:rPr>
      <w:rFonts w:eastAsia="宋体"/>
      <w:sz w:val="18"/>
      <w:lang w:val="en-US" w:eastAsia="zh-CN"/>
    </w:rPr>
  </w:style>
  <w:style w:type="character" w:styleId="1020" w:customStyle="1">
    <w:name w:val="marklong"/>
    <w:uiPriority w:val="0"/>
    <w:qFormat/>
  </w:style>
  <w:style w:type="character" w:styleId="1021" w:customStyle="1">
    <w:name w:val="普通文字1 Char"/>
    <w:uiPriority w:val="0"/>
    <w:qFormat/>
    <w:rPr>
      <w:rFonts w:ascii="宋体" w:eastAsia="宋体" w:cs="Courier New"/>
      <w:sz w:val="21"/>
      <w:szCs w:val="21"/>
      <w:lang w:val="en-US" w:eastAsia="zh-CN" w:bidi="ar-SA"/>
    </w:rPr>
  </w:style>
  <w:style w:type="character" w:styleId="1022" w:customStyle="1">
    <w:name w:val="ca-21"/>
    <w:uiPriority w:val="0"/>
    <w:qFormat/>
    <w:rPr>
      <w:rFonts w:ascii="宋体" w:eastAsia="宋体"/>
      <w:sz w:val="21"/>
    </w:rPr>
  </w:style>
  <w:style w:type="paragraph" w:styleId="1023" w:customStyle="1">
    <w:name w:val="正文（缩进）"/>
    <w:basedOn w:val="667"/>
    <w:uiPriority w:val="0"/>
    <w:qFormat/>
    <w:pPr>
      <w:ind w:firstLine="200"/>
      <w:spacing w:before="50" w:after="50" w:line="360" w:lineRule="auto"/>
    </w:pPr>
    <w:rPr>
      <w:sz w:val="24"/>
    </w:rPr>
  </w:style>
  <w:style w:type="character" w:styleId="1024" w:customStyle="1">
    <w:name w:val="Heading 3 Char"/>
    <w:uiPriority w:val="0"/>
    <w:qFormat/>
    <w:rPr>
      <w:rFonts w:cs="Times New Roman"/>
      <w:b/>
      <w:bCs/>
      <w:sz w:val="32"/>
      <w:szCs w:val="32"/>
      <w:lang w:bidi="ar-SA"/>
    </w:rPr>
  </w:style>
  <w:style w:type="character" w:styleId="1025" w:customStyle="1">
    <w:name w:val="z12 style23"/>
    <w:uiPriority w:val="0"/>
    <w:qFormat/>
  </w:style>
  <w:style w:type="paragraph" w:styleId="1026" w:customStyle="1">
    <w:name w:val="Indent Normal"/>
    <w:basedOn w:val="667"/>
    <w:uiPriority w:val="0"/>
    <w:qFormat/>
    <w:pPr>
      <w:ind w:firstLine="150"/>
    </w:pPr>
    <w:rPr>
      <w:sz w:val="24"/>
      <w:szCs w:val="20"/>
    </w:rPr>
  </w:style>
  <w:style w:type="character" w:styleId="1027" w:customStyle="1">
    <w:name w:val="Char Char21"/>
    <w:uiPriority w:val="0"/>
    <w:qFormat/>
    <w:rPr>
      <w:sz w:val="18"/>
      <w:szCs w:val="18"/>
    </w:rPr>
  </w:style>
  <w:style w:type="character" w:styleId="1028" w:customStyle="1">
    <w:name w:val="ca-31"/>
    <w:uiPriority w:val="0"/>
    <w:qFormat/>
    <w:rPr>
      <w:rFonts w:ascii="宋体" w:eastAsia="宋体"/>
      <w:color w:val="000000"/>
      <w:sz w:val="21"/>
      <w:szCs w:val="21"/>
    </w:rPr>
  </w:style>
  <w:style w:type="character" w:styleId="1029" w:customStyle="1">
    <w:name w:val="apple-converted-space"/>
    <w:uiPriority w:val="0"/>
    <w:qFormat/>
  </w:style>
  <w:style w:type="character" w:styleId="1030" w:customStyle="1">
    <w:name w:val="Char Char1"/>
    <w:uiPriority w:val="0"/>
    <w:qFormat/>
    <w:rPr>
      <w:rFonts w:ascii="宋体" w:eastAsia="宋体"/>
      <w:sz w:val="21"/>
      <w:lang w:val="en-US" w:eastAsia="zh-CN"/>
    </w:rPr>
  </w:style>
  <w:style w:type="character" w:styleId="1031" w:customStyle="1">
    <w:name w:val="font21"/>
    <w:basedOn w:val="677"/>
    <w:uiPriority w:val="0"/>
    <w:qFormat/>
    <w:rPr>
      <w:rFonts w:ascii="Times New Roman" w:hAnsi="Times New Roman"/>
      <w:color w:val="000000"/>
      <w:sz w:val="20"/>
      <w:u w:val="none"/>
    </w:rPr>
  </w:style>
  <w:style w:type="character" w:styleId="1032" w:customStyle="1">
    <w:name w:val="ca-01"/>
    <w:uiPriority w:val="0"/>
    <w:qFormat/>
    <w:rPr>
      <w:rFonts w:ascii="宋体" w:eastAsia="宋体"/>
      <w:b/>
      <w:bCs/>
      <w:spacing w:val="-20"/>
      <w:sz w:val="24"/>
      <w:szCs w:val="24"/>
    </w:rPr>
  </w:style>
  <w:style w:type="character" w:styleId="1033" w:customStyle="1">
    <w:name w:val="Char Char23"/>
    <w:uiPriority w:val="0"/>
    <w:qFormat/>
    <w:rPr>
      <w:sz w:val="24"/>
      <w:szCs w:val="21"/>
      <w:lang w:bidi="ar-SA"/>
    </w:rPr>
  </w:style>
  <w:style w:type="character" w:styleId="1034" w:customStyle="1">
    <w:name w:val="Char Char"/>
    <w:uiPriority w:val="0"/>
    <w:qFormat/>
    <w:rPr>
      <w:rFonts w:eastAsia="宋体"/>
      <w:sz w:val="18"/>
      <w:lang w:val="en-US" w:eastAsia="zh-CN"/>
    </w:rPr>
  </w:style>
  <w:style w:type="character" w:styleId="1035" w:customStyle="1">
    <w:name w:val="Char Char3"/>
    <w:uiPriority w:val="0"/>
    <w:qFormat/>
    <w:rPr>
      <w:rFonts w:ascii="宋体" w:eastAsia="宋体"/>
      <w:sz w:val="18"/>
      <w:szCs w:val="18"/>
      <w:lang w:val="en-US" w:eastAsia="zh-CN" w:bidi="ar-SA"/>
    </w:rPr>
  </w:style>
  <w:style w:type="paragraph" w:styleId="1036" w:customStyle="1">
    <w:name w:val="段落"/>
    <w:uiPriority w:val="0"/>
    <w:qFormat/>
    <w:pPr>
      <w:ind w:firstLine="420"/>
      <w:jc w:val="both"/>
      <w:spacing w:before="120" w:after="120" w:line="360" w:lineRule="auto"/>
    </w:pPr>
    <w:rPr>
      <w:rFonts w:hint="default" w:ascii="Times New Roman" w:hAnsi="Times New Roman" w:eastAsia="仿宋_GB2312" w:cs="Times New Roman"/>
      <w:sz w:val="24"/>
      <w:szCs w:val="24"/>
      <w:lang w:val="en-US" w:eastAsia="zh-CN" w:bidi="ar-SA"/>
    </w:rPr>
  </w:style>
  <w:style w:type="character" w:styleId="1037" w:customStyle="1">
    <w:name w:val="Heading 4 Char"/>
    <w:uiPriority w:val="0"/>
    <w:qFormat/>
    <w:rPr>
      <w:rFonts w:ascii="Cambria" w:hAnsi="Cambria" w:eastAsia="宋体" w:cs="Cambria"/>
      <w:b/>
      <w:bCs/>
      <w:sz w:val="28"/>
      <w:szCs w:val="28"/>
      <w:lang w:bidi="ar-SA"/>
    </w:rPr>
  </w:style>
  <w:style w:type="character" w:styleId="1038" w:customStyle="1">
    <w:name w:val="Header Char1"/>
    <w:uiPriority w:val="0"/>
    <w:qFormat/>
    <w:rPr>
      <w:rFonts w:cs="Times New Roman"/>
      <w:sz w:val="18"/>
      <w:szCs w:val="18"/>
      <w:lang w:bidi="ar-SA"/>
    </w:rPr>
  </w:style>
  <w:style w:type="character" w:styleId="1039" w:customStyle="1">
    <w:name w:val="Footer Char1"/>
    <w:uiPriority w:val="0"/>
    <w:qFormat/>
    <w:rPr>
      <w:rFonts w:cs="Times New Roman"/>
      <w:sz w:val="18"/>
      <w:szCs w:val="18"/>
      <w:lang w:bidi="ar-SA"/>
    </w:rPr>
  </w:style>
  <w:style w:type="character" w:styleId="1040" w:customStyle="1">
    <w:name w:val="wj1"/>
    <w:uiPriority w:val="0"/>
    <w:qFormat/>
    <w:rPr>
      <w:color w:val="000000"/>
      <w:sz w:val="18"/>
      <w:szCs w:val="18"/>
      <w:u w:val="none"/>
    </w:rPr>
  </w:style>
  <w:style w:type="character" w:styleId="1041" w:customStyle="1">
    <w:name w:val="ca-11"/>
    <w:uiPriority w:val="0"/>
    <w:qFormat/>
    <w:rPr>
      <w:rFonts w:ascii="宋体" w:eastAsia="宋体"/>
      <w:b/>
      <w:bCs/>
      <w:color w:val="000000"/>
      <w:spacing w:val="-20"/>
      <w:sz w:val="28"/>
      <w:szCs w:val="28"/>
    </w:rPr>
  </w:style>
  <w:style w:type="paragraph" w:styleId="1042" w:customStyle="1">
    <w:name w:val="表格样式居中"/>
    <w:uiPriority w:val="0"/>
    <w:qFormat/>
    <w:pPr>
      <w:jc w:val="center"/>
    </w:pPr>
    <w:rPr>
      <w:rFonts w:hint="default" w:ascii="Times New Roman" w:hAnsi="Times New Roman" w:eastAsia="仿宋_GB2312" w:cs="Times New Roman"/>
      <w:bCs/>
      <w:sz w:val="21"/>
      <w:szCs w:val="44"/>
      <w:lang w:val="en-US" w:eastAsia="zh-CN" w:bidi="ar-SA"/>
    </w:rPr>
  </w:style>
  <w:style w:type="character" w:styleId="1043" w:customStyle="1">
    <w:name w:val="Plain Text Char1"/>
    <w:uiPriority w:val="0"/>
    <w:qFormat/>
    <w:rPr>
      <w:rFonts w:ascii="宋体" w:eastAsia="宋体"/>
      <w:sz w:val="21"/>
      <w:szCs w:val="21"/>
      <w:lang w:val="en-US" w:eastAsia="zh-CN" w:bidi="ar-SA"/>
    </w:rPr>
  </w:style>
  <w:style w:type="character" w:styleId="1044" w:customStyle="1">
    <w:name w:val="段落 Char"/>
    <w:uiPriority w:val="0"/>
    <w:qFormat/>
    <w:rPr>
      <w:rFonts w:ascii="仿宋_GB2312" w:eastAsia="仿宋_GB2312"/>
      <w:sz w:val="24"/>
      <w:szCs w:val="24"/>
      <w:lang w:val="en-US" w:eastAsia="zh-CN" w:bidi="ar-SA"/>
    </w:rPr>
  </w:style>
  <w:style w:type="character" w:styleId="1045" w:customStyle="1">
    <w:name w:val="Heading 2 Char"/>
    <w:uiPriority w:val="0"/>
    <w:qFormat/>
    <w:rPr>
      <w:rFonts w:ascii="Arial" w:hAnsi="Arial" w:eastAsia="黑体"/>
      <w:b/>
      <w:bCs/>
      <w:sz w:val="32"/>
      <w:szCs w:val="32"/>
      <w:lang w:val="en-US" w:eastAsia="zh-CN" w:bidi="ar-SA"/>
    </w:rPr>
  </w:style>
  <w:style w:type="paragraph" w:styleId="1046" w:customStyle="1">
    <w:name w:val="表格样式居左"/>
    <w:uiPriority w:val="0"/>
    <w:qFormat/>
    <w:pPr>
      <w:jc w:val="both"/>
      <w:spacing w:before="120" w:after="120" w:line="400" w:lineRule="exact"/>
    </w:pPr>
    <w:rPr>
      <w:rFonts w:hint="default" w:ascii="Times New Roman" w:hAnsi="Times New Roman" w:eastAsia="仿宋_GB2312" w:cs="Times New Roman"/>
      <w:bCs/>
      <w:sz w:val="21"/>
      <w:szCs w:val="21"/>
      <w:lang w:val="en-US" w:eastAsia="zh-CN" w:bidi="ar-SA"/>
    </w:rPr>
  </w:style>
  <w:style w:type="character" w:styleId="1047" w:customStyle="1">
    <w:name w:val="Char Char31"/>
    <w:uiPriority w:val="0"/>
    <w:qFormat/>
    <w:rPr>
      <w:rFonts w:ascii="Arial" w:hAnsi="Arial" w:eastAsia="黑体" w:cs="Times New Roman"/>
      <w:b/>
      <w:bCs/>
      <w:sz w:val="32"/>
      <w:szCs w:val="32"/>
      <w:lang w:val="en-US" w:eastAsia="zh-CN" w:bidi="ar-SA"/>
    </w:rPr>
  </w:style>
  <w:style w:type="paragraph" w:styleId="1048" w:customStyle="1">
    <w:name w:val="正文（黑体）"/>
    <w:basedOn w:val="667"/>
    <w:next w:val="667"/>
    <w:uiPriority w:val="0"/>
    <w:qFormat/>
    <w:pPr>
      <w:ind w:firstLine="200"/>
      <w:spacing w:before="50" w:after="50" w:line="360" w:lineRule="auto"/>
    </w:pPr>
    <w:rPr>
      <w:rFonts w:ascii="黑体" w:eastAsia="黑体"/>
      <w:color w:val="000080"/>
      <w:sz w:val="24"/>
    </w:rPr>
  </w:style>
  <w:style w:type="character" w:styleId="1049" w:customStyle="1">
    <w:name w:val="ca-51"/>
    <w:uiPriority w:val="0"/>
    <w:qFormat/>
    <w:rPr>
      <w:rFonts w:ascii="楷体_GB2312" w:eastAsia="楷体_GB2312"/>
      <w:b/>
      <w:bCs/>
      <w:spacing w:val="-20"/>
      <w:sz w:val="24"/>
      <w:szCs w:val="24"/>
    </w:rPr>
  </w:style>
  <w:style w:type="paragraph" w:styleId="1050" w:customStyle="1">
    <w:name w:val="加点正文缩进"/>
    <w:basedOn w:val="667"/>
    <w:uiPriority w:val="0"/>
    <w:qFormat/>
    <w:pPr>
      <w:ind w:left="962" w:hanging="480"/>
      <w:spacing w:line="300" w:lineRule="auto"/>
      <w:tabs>
        <w:tab w:val="left" w:pos="840" w:leader="none"/>
      </w:tabs>
    </w:pPr>
    <w:rPr>
      <w:sz w:val="24"/>
    </w:rPr>
  </w:style>
  <w:style w:type="paragraph" w:styleId="1051" w:customStyle="1">
    <w:name w:val="默认段落字体 Para Char Char Char Char Char Char Char Char Char Char Char Char Char Char"/>
    <w:basedOn w:val="958"/>
    <w:uiPriority w:val="0"/>
    <w:qFormat/>
    <w:rPr>
      <w:rFonts w:ascii="Tahoma" w:hAnsi="Tahoma"/>
      <w:sz w:val="24"/>
    </w:rPr>
  </w:style>
  <w:style w:type="paragraph" w:styleId="1052" w:customStyle="1">
    <w:name w:val="列表段落1"/>
    <w:basedOn w:val="667"/>
    <w:uiPriority w:val="0"/>
    <w:qFormat/>
    <w:pPr>
      <w:ind w:firstLine="200"/>
    </w:pPr>
  </w:style>
  <w:style w:type="paragraph" w:styleId="1053" w:customStyle="1">
    <w:name w:val="序号"/>
    <w:next w:val="667"/>
    <w:uiPriority w:val="0"/>
    <w:qFormat/>
    <w:pPr>
      <w:jc w:val="center"/>
    </w:pPr>
    <w:rPr>
      <w:rFonts w:hint="default" w:ascii="Times New Roman" w:hAnsi="Times New Roman" w:eastAsia="仿宋_GB2312" w:cs="Times New Roman"/>
      <w:bCs/>
      <w:sz w:val="21"/>
      <w:szCs w:val="44"/>
      <w:lang w:val="en-US" w:eastAsia="zh-CN" w:bidi="ar-SA"/>
    </w:rPr>
  </w:style>
  <w:style w:type="paragraph" w:styleId="1054" w:customStyle="1">
    <w:name w:val="Char"/>
    <w:basedOn w:val="667"/>
    <w:uiPriority w:val="0"/>
    <w:qFormat/>
    <w:pPr>
      <w:tabs>
        <w:tab w:val="left" w:pos="360" w:leader="none"/>
      </w:tabs>
    </w:pPr>
    <w:rPr>
      <w:rFonts w:ascii="仿宋_GB2312" w:eastAsia="仿宋_GB2312"/>
      <w:b/>
      <w:sz w:val="24"/>
    </w:rPr>
  </w:style>
  <w:style w:type="paragraph" w:styleId="1055" w:customStyle="1">
    <w:name w:val="xl35"/>
    <w:basedOn w:val="66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056" w:customStyle="1">
    <w:name w:val="xl36"/>
    <w:basedOn w:val="667"/>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057" w:customStyle="1">
    <w:name w:val="Char Char Char"/>
    <w:basedOn w:val="667"/>
    <w:uiPriority w:val="0"/>
    <w:qFormat/>
    <w:rPr>
      <w:rFonts w:ascii="Tahoma" w:hAnsi="Tahoma"/>
      <w:sz w:val="24"/>
      <w:szCs w:val="20"/>
    </w:rPr>
  </w:style>
  <w:style w:type="paragraph" w:styleId="1058" w:customStyle="1">
    <w:name w:val="Char12"/>
    <w:basedOn w:val="667"/>
    <w:uiPriority w:val="0"/>
    <w:qFormat/>
    <w:pPr>
      <w:ind w:left="360" w:right="202" w:firstLine="360"/>
      <w:spacing w:line="480" w:lineRule="auto"/>
      <w:tabs>
        <w:tab w:val="left" w:pos="360" w:leader="none"/>
      </w:tabs>
    </w:pPr>
    <w:rPr>
      <w:sz w:val="24"/>
    </w:rPr>
  </w:style>
  <w:style w:type="paragraph" w:styleId="1059" w:customStyle="1">
    <w:name w:val="Char Char Char Char Char Char Char Char Char Char"/>
    <w:basedOn w:val="667"/>
    <w:uiPriority w:val="0"/>
    <w:qFormat/>
    <w:rPr>
      <w:rFonts w:ascii="Tahoma" w:hAnsi="Tahoma"/>
      <w:sz w:val="24"/>
      <w:szCs w:val="20"/>
    </w:rPr>
  </w:style>
  <w:style w:type="paragraph" w:styleId="1060" w:customStyle="1">
    <w:name w:val="正文段"/>
    <w:basedOn w:val="667"/>
    <w:uiPriority w:val="0"/>
    <w:qFormat/>
    <w:pPr>
      <w:ind w:firstLine="425"/>
      <w:spacing w:after="240" w:line="240" w:lineRule="atLeast"/>
      <w:widowControl/>
    </w:pPr>
    <w:rPr>
      <w:sz w:val="24"/>
      <w:szCs w:val="20"/>
    </w:rPr>
  </w:style>
  <w:style w:type="paragraph" w:styleId="1061" w:customStyle="1">
    <w:name w:val="段"/>
    <w:uiPriority w:val="0"/>
    <w:qFormat/>
    <w:pPr>
      <w:ind w:firstLine="200"/>
      <w:jc w:val="both"/>
    </w:pPr>
    <w:rPr>
      <w:rFonts w:hint="default" w:ascii="宋体" w:hAnsi="Times New Roman" w:eastAsia="宋体" w:cs="Times New Roman"/>
      <w:sz w:val="21"/>
      <w:lang w:val="en-US" w:eastAsia="zh-CN" w:bidi="ar-SA"/>
    </w:rPr>
  </w:style>
  <w:style w:type="paragraph" w:styleId="1062" w:customStyle="1">
    <w:name w:val="Char Char Char Char Char Char Char Char Char Char1"/>
    <w:basedOn w:val="667"/>
    <w:uiPriority w:val="0"/>
    <w:qFormat/>
    <w:rPr>
      <w:rFonts w:ascii="Tahoma" w:hAnsi="Tahoma" w:cs="Tahoma"/>
      <w:sz w:val="24"/>
    </w:rPr>
  </w:style>
  <w:style w:type="paragraph" w:styleId="1063" w:customStyle="1">
    <w:name w:val="xl34"/>
    <w:basedOn w:val="667"/>
    <w:uiPriority w:val="0"/>
    <w:qFormat/>
    <w:pPr>
      <w:jc w:val="center"/>
      <w:spacing w:before="100" w:beforeAutospacing="1" w:after="100" w:afterAutospacing="1"/>
      <w:widowControl/>
    </w:pPr>
    <w:rPr>
      <w:rFonts w:ascii="Arial Unicode MS" w:hAnsi="Arial Unicode MS" w:eastAsia="Arial Unicode MS"/>
      <w:sz w:val="24"/>
    </w:rPr>
  </w:style>
  <w:style w:type="paragraph" w:styleId="1064" w:customStyle="1">
    <w:name w:val="前言、引言标题"/>
    <w:next w:val="667"/>
    <w:uiPriority w:val="0"/>
    <w:qFormat/>
    <w:pPr>
      <w:jc w:val="center"/>
      <w:spacing w:before="640" w:after="560"/>
      <w:shd w:val="clear" w:color="ffffff" w:fill="ffffff"/>
      <w:outlineLvl w:val="0"/>
    </w:pPr>
    <w:rPr>
      <w:rFonts w:hint="default" w:ascii="黑体" w:hAnsi="Times New Roman" w:eastAsia="黑体" w:cs="Times New Roman"/>
      <w:sz w:val="32"/>
      <w:lang w:val="en-US" w:eastAsia="zh-CN" w:bidi="ar-SA"/>
    </w:rPr>
  </w:style>
  <w:style w:type="paragraph" w:styleId="1065" w:customStyle="1">
    <w:name w:val="Char Char Char Char Char Char Char Char Char Char Char Char Char"/>
    <w:basedOn w:val="667"/>
    <w:uiPriority w:val="0"/>
    <w:qFormat/>
    <w:pPr>
      <w:jc w:val="left"/>
      <w:spacing w:after="160" w:line="240" w:lineRule="exact"/>
      <w:widowControl/>
    </w:pPr>
    <w:rPr>
      <w:rFonts w:ascii="Verdana" w:hAnsi="Verdana"/>
      <w:sz w:val="20"/>
      <w:szCs w:val="20"/>
      <w:lang w:eastAsia="en-US"/>
    </w:rPr>
  </w:style>
  <w:style w:type="paragraph" w:styleId="1066" w:customStyle="1">
    <w:name w:val="pa-0"/>
    <w:basedOn w:val="667"/>
    <w:uiPriority w:val="0"/>
    <w:qFormat/>
    <w:pPr>
      <w:ind w:firstLine="480"/>
      <w:spacing w:line="360" w:lineRule="atLeast"/>
      <w:widowControl/>
    </w:pPr>
    <w:rPr>
      <w:rFonts w:ascii="宋体" w:cs="宋体"/>
      <w:sz w:val="24"/>
    </w:rPr>
  </w:style>
  <w:style w:type="paragraph" w:styleId="1067" w:customStyle="1">
    <w:name w:val="Char111"/>
    <w:basedOn w:val="667"/>
    <w:uiPriority w:val="0"/>
    <w:qFormat/>
    <w:pPr>
      <w:jc w:val="left"/>
      <w:spacing w:after="160" w:line="240" w:lineRule="exact"/>
      <w:widowControl/>
    </w:pPr>
    <w:rPr>
      <w:rFonts w:ascii="Verdana" w:hAnsi="Verdana"/>
      <w:sz w:val="20"/>
      <w:szCs w:val="20"/>
      <w:lang w:eastAsia="en-US"/>
    </w:rPr>
  </w:style>
  <w:style w:type="paragraph" w:styleId="1068" w:customStyle="1">
    <w:name w:val="三级条标题"/>
    <w:basedOn w:val="1069"/>
    <w:next w:val="1061"/>
    <w:uiPriority w:val="0"/>
    <w:qFormat/>
    <w:pPr>
      <w:ind w:left="1050"/>
      <w:outlineLvl w:val="4"/>
    </w:pPr>
  </w:style>
  <w:style w:type="paragraph" w:styleId="1069" w:customStyle="1">
    <w:name w:val="二级条标题"/>
    <w:basedOn w:val="1070"/>
    <w:next w:val="1061"/>
    <w:uiPriority w:val="0"/>
    <w:qFormat/>
    <w:pPr>
      <w:ind w:left="360"/>
      <w:outlineLvl w:val="3"/>
    </w:pPr>
  </w:style>
  <w:style w:type="paragraph" w:styleId="1070" w:customStyle="1">
    <w:name w:val="一级条标题"/>
    <w:next w:val="1061"/>
    <w:uiPriority w:val="0"/>
    <w:qFormat/>
    <w:pPr>
      <w:outlineLvl w:val="2"/>
    </w:pPr>
    <w:rPr>
      <w:rFonts w:hint="default" w:ascii="Times New Roman" w:hAnsi="Times New Roman" w:eastAsia="黑体" w:cs="Times New Roman"/>
      <w:sz w:val="21"/>
      <w:lang w:val="en-US" w:eastAsia="zh-CN" w:bidi="ar-SA"/>
    </w:rPr>
  </w:style>
  <w:style w:type="paragraph" w:styleId="1071" w:customStyle="1">
    <w:name w:val="FA正文+标号"/>
    <w:basedOn w:val="667"/>
    <w:uiPriority w:val="0"/>
    <w:qFormat/>
    <w:pPr>
      <w:ind w:left="900" w:hanging="420"/>
      <w:spacing w:line="400" w:lineRule="exact"/>
      <w:tabs>
        <w:tab w:val="left" w:pos="907" w:leader="none"/>
        <w:tab w:val="left" w:pos="3375" w:leader="none"/>
      </w:tabs>
    </w:pPr>
    <w:rPr>
      <w:rFonts w:ascii="仿宋_GB2312" w:eastAsia="仿宋_GB2312"/>
      <w:sz w:val="24"/>
      <w:szCs w:val="20"/>
    </w:rPr>
  </w:style>
  <w:style w:type="paragraph" w:styleId="1072" w:customStyle="1">
    <w:name w:val="表文1"/>
    <w:basedOn w:val="667"/>
    <w:uiPriority w:val="0"/>
    <w:qFormat/>
    <w:pPr>
      <w:ind w:firstLine="196"/>
      <w:spacing w:line="360" w:lineRule="auto"/>
      <w:widowControl/>
    </w:pPr>
    <w:rPr>
      <w:rFonts w:ascii="宋体"/>
      <w:sz w:val="24"/>
    </w:rPr>
  </w:style>
  <w:style w:type="paragraph" w:styleId="1073" w:customStyle="1">
    <w:name w:val="表内容"/>
    <w:basedOn w:val="1074"/>
    <w:uiPriority w:val="0"/>
    <w:qFormat/>
    <w:pPr>
      <w:ind w:left="0" w:firstLine="0"/>
      <w:spacing w:line="320" w:lineRule="exact"/>
    </w:pPr>
    <w:rPr>
      <w:sz w:val="20"/>
    </w:rPr>
  </w:style>
  <w:style w:type="paragraph" w:styleId="1074" w:customStyle="1">
    <w:name w:val="正文11"/>
    <w:basedOn w:val="667"/>
    <w:uiPriority w:val="0"/>
    <w:qFormat/>
    <w:pPr>
      <w:ind w:left="357" w:firstLine="420"/>
      <w:jc w:val="left"/>
      <w:spacing w:line="360" w:lineRule="auto"/>
      <w:widowControl/>
    </w:pPr>
    <w:rPr>
      <w:rFonts w:cs="Arial"/>
      <w:szCs w:val="20"/>
    </w:rPr>
  </w:style>
  <w:style w:type="paragraph" w:styleId="1075" w:customStyle="1">
    <w:name w:val="Char Char1 Char Char Char Char Char Char"/>
    <w:basedOn w:val="667"/>
    <w:uiPriority w:val="0"/>
    <w:qFormat/>
    <w:pPr>
      <w:jc w:val="center"/>
      <w:widowControl/>
    </w:pPr>
    <w:rPr>
      <w:szCs w:val="20"/>
    </w:rPr>
  </w:style>
  <w:style w:type="paragraph" w:styleId="1076" w:customStyle="1">
    <w:name w:val="xl27"/>
    <w:basedOn w:val="66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077" w:customStyle="1">
    <w:name w:val="普通正文"/>
    <w:basedOn w:val="667"/>
    <w:uiPriority w:val="0"/>
    <w:qFormat/>
    <w:pPr>
      <w:ind w:firstLine="425"/>
      <w:jc w:val="left"/>
    </w:pPr>
    <w:rPr>
      <w:rFonts w:ascii="宋体"/>
      <w:sz w:val="20"/>
      <w:szCs w:val="20"/>
    </w:rPr>
  </w:style>
  <w:style w:type="paragraph" w:styleId="1078" w:customStyle="1">
    <w:name w:val="封面标准号1"/>
    <w:uiPriority w:val="0"/>
    <w:qFormat/>
    <w:pPr>
      <w:jc w:val="right"/>
      <w:spacing w:before="308"/>
      <w:widowControl w:val="off"/>
    </w:pPr>
    <w:rPr>
      <w:rFonts w:hint="default" w:ascii="Times New Roman" w:hAnsi="Times New Roman" w:eastAsia="宋体" w:cs="Times New Roman"/>
      <w:sz w:val="28"/>
      <w:lang w:val="en-US" w:eastAsia="zh-CN" w:bidi="ar-SA"/>
    </w:rPr>
  </w:style>
  <w:style w:type="paragraph" w:styleId="1079" w:customStyle="1">
    <w:name w:val="附图标题"/>
    <w:basedOn w:val="954"/>
    <w:next w:val="953"/>
    <w:uiPriority w:val="0"/>
    <w:qFormat/>
    <w:pPr>
      <w:ind w:left="780" w:hanging="480"/>
      <w:jc w:val="center"/>
      <w:spacing w:after="100"/>
      <w:tabs>
        <w:tab w:val="left" w:pos="780" w:leader="none"/>
      </w:tabs>
    </w:pPr>
    <w:rPr>
      <w:b/>
      <w:sz w:val="21"/>
    </w:rPr>
  </w:style>
  <w:style w:type="paragraph" w:styleId="1080" w:customStyle="1">
    <w:name w:val="图号"/>
    <w:basedOn w:val="667"/>
    <w:uiPriority w:val="0"/>
    <w:qFormat/>
    <w:pPr>
      <w:jc w:val="center"/>
      <w:keepNext/>
      <w:spacing w:before="105" w:line="360" w:lineRule="auto"/>
      <w:tabs>
        <w:tab w:val="left" w:pos="0" w:leader="none"/>
        <w:tab w:val="left" w:pos="3360" w:leader="none"/>
      </w:tabs>
    </w:pPr>
    <w:rPr>
      <w:rFonts w:ascii="Arial" w:hAnsi="Arial"/>
      <w:sz w:val="18"/>
      <w:szCs w:val="18"/>
    </w:rPr>
  </w:style>
  <w:style w:type="paragraph" w:styleId="1081" w:customStyle="1">
    <w:name w:val="xl40"/>
    <w:basedOn w:val="667"/>
    <w:uiPriority w:val="0"/>
    <w:qFormat/>
    <w:pPr>
      <w:jc w:val="left"/>
      <w:spacing w:before="100" w:beforeAutospacing="1" w:after="100" w:afterAutospacing="1"/>
      <w:widowControl/>
      <w:pBdr>
        <w:right w:val="single" w:color="000000" w:sz="4" w:space="0"/>
      </w:pBdr>
    </w:pPr>
    <w:rPr>
      <w:rFonts w:ascii="Arial Unicode MS" w:hAnsi="Arial Unicode MS"/>
      <w:sz w:val="24"/>
    </w:rPr>
  </w:style>
  <w:style w:type="paragraph" w:styleId="1082" w:customStyle="1">
    <w:name w:val="缩进正文"/>
    <w:basedOn w:val="667"/>
    <w:uiPriority w:val="0"/>
    <w:qFormat/>
    <w:pPr>
      <w:ind w:left="1418" w:firstLine="425"/>
      <w:jc w:val="left"/>
      <w:spacing w:after="200" w:line="400" w:lineRule="exact"/>
      <w:widowControl/>
    </w:pPr>
    <w:rPr>
      <w:rFonts w:ascii="宋体"/>
      <w:sz w:val="24"/>
      <w:szCs w:val="20"/>
    </w:rPr>
  </w:style>
  <w:style w:type="paragraph" w:styleId="1083" w:customStyle="1">
    <w:name w:val="xl28"/>
    <w:basedOn w:val="66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084" w:customStyle="1">
    <w:name w:val="xl29"/>
    <w:basedOn w:val="66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085" w:customStyle="1">
    <w:name w:val="Char1"/>
    <w:basedOn w:val="667"/>
    <w:uiPriority w:val="0"/>
    <w:qFormat/>
    <w:pPr>
      <w:ind w:left="360" w:right="202" w:firstLine="360"/>
      <w:spacing w:line="480" w:lineRule="auto"/>
      <w:tabs>
        <w:tab w:val="left" w:pos="360" w:leader="none"/>
      </w:tabs>
    </w:pPr>
    <w:rPr>
      <w:sz w:val="24"/>
    </w:rPr>
  </w:style>
  <w:style w:type="paragraph" w:styleId="1086" w:customStyle="1">
    <w:name w:val="首页标题"/>
    <w:uiPriority w:val="0"/>
    <w:qFormat/>
    <w:pPr>
      <w:jc w:val="center"/>
    </w:pPr>
    <w:rPr>
      <w:rFonts w:hint="default" w:ascii="宋体" w:hAnsi="Times New Roman" w:eastAsia="宋体" w:cs="宋体"/>
      <w:sz w:val="72"/>
      <w:szCs w:val="72"/>
      <w:lang w:val="en-US" w:eastAsia="zh-CN" w:bidi="ar-SA"/>
    </w:rPr>
  </w:style>
  <w:style w:type="paragraph" w:styleId="1087" w:customStyle="1">
    <w:name w:val="pa-10"/>
    <w:basedOn w:val="667"/>
    <w:uiPriority w:val="0"/>
    <w:qFormat/>
    <w:pPr>
      <w:spacing w:line="240" w:lineRule="atLeast"/>
      <w:widowControl/>
    </w:pPr>
    <w:rPr>
      <w:rFonts w:ascii="宋体" w:cs="宋体"/>
      <w:sz w:val="24"/>
    </w:rPr>
  </w:style>
  <w:style w:type="paragraph" w:styleId="1088" w:customStyle="1">
    <w:name w:val="特点"/>
    <w:basedOn w:val="667"/>
    <w:next w:val="667"/>
    <w:uiPriority w:val="0"/>
    <w:qFormat/>
    <w:pPr>
      <w:jc w:val="center"/>
      <w:spacing w:line="360" w:lineRule="auto"/>
    </w:pPr>
    <w:rPr>
      <w:rFonts w:ascii="Arial" w:hAnsi="Arial"/>
      <w:sz w:val="24"/>
      <w:szCs w:val="20"/>
    </w:rPr>
  </w:style>
  <w:style w:type="paragraph" w:styleId="1089" w:customStyle="1">
    <w:name w:val="pa-4"/>
    <w:basedOn w:val="667"/>
    <w:uiPriority w:val="0"/>
    <w:qFormat/>
    <w:pPr>
      <w:jc w:val="center"/>
      <w:spacing w:line="280" w:lineRule="atLeast"/>
      <w:widowControl/>
    </w:pPr>
    <w:rPr>
      <w:rFonts w:ascii="宋体" w:cs="宋体"/>
      <w:sz w:val="24"/>
    </w:rPr>
  </w:style>
  <w:style w:type="paragraph" w:styleId="1090" w:customStyle="1">
    <w:name w:val="编号"/>
    <w:basedOn w:val="667"/>
    <w:next w:val="1036"/>
    <w:uiPriority w:val="0"/>
    <w:qFormat/>
    <w:pPr>
      <w:ind w:left="420" w:right="-136" w:hanging="420"/>
      <w:widowControl/>
      <w:tabs>
        <w:tab w:val="left" w:pos="420" w:leader="none"/>
      </w:tabs>
    </w:pPr>
    <w:rPr>
      <w:rFonts w:ascii="仿宋_GB2312" w:eastAsia="仿宋_GB2312"/>
      <w:b/>
      <w:bCs/>
      <w:sz w:val="24"/>
      <w:szCs w:val="21"/>
    </w:rPr>
  </w:style>
  <w:style w:type="paragraph" w:styleId="1091" w:customStyle="1">
    <w:name w:val="编号3"/>
    <w:uiPriority w:val="0"/>
    <w:qFormat/>
    <w:pPr>
      <w:ind w:left="1021" w:hanging="250"/>
      <w:jc w:val="both"/>
      <w:spacing w:before="120" w:after="120" w:line="360" w:lineRule="auto"/>
      <w:tabs>
        <w:tab w:val="left" w:pos="771" w:leader="none"/>
      </w:tabs>
    </w:pPr>
    <w:rPr>
      <w:rFonts w:hint="default" w:ascii="Times New Roman" w:hAnsi="Times New Roman" w:eastAsia="仿宋_GB2312" w:cs="Times New Roman"/>
      <w:sz w:val="24"/>
      <w:szCs w:val="24"/>
      <w:lang w:val="en-US" w:eastAsia="zh-CN" w:bidi="ar-SA"/>
    </w:rPr>
  </w:style>
  <w:style w:type="paragraph" w:styleId="1092" w:customStyle="1">
    <w:name w:val="xl33"/>
    <w:basedOn w:val="667"/>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093" w:customStyle="1">
    <w:name w:val="编号1"/>
    <w:next w:val="1036"/>
    <w:uiPriority w:val="0"/>
    <w:qFormat/>
    <w:pPr>
      <w:ind w:left="720" w:hanging="360"/>
      <w:spacing w:before="120" w:after="120" w:line="360" w:lineRule="auto"/>
      <w:tabs>
        <w:tab w:val="left" w:pos="420" w:leader="none"/>
      </w:tabs>
    </w:pPr>
    <w:rPr>
      <w:rFonts w:hint="default" w:ascii="Times New Roman" w:hAnsi="Times New Roman" w:eastAsia="宋体" w:cs="Times New Roman"/>
      <w:sz w:val="24"/>
      <w:szCs w:val="24"/>
      <w:lang w:val="en-US" w:eastAsia="zh-CN" w:bidi="ar-SA"/>
    </w:rPr>
  </w:style>
  <w:style w:type="paragraph" w:styleId="1094" w:customStyle="1">
    <w:name w:val="xl32"/>
    <w:basedOn w:val="66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095" w:customStyle="1">
    <w:name w:val="CM17"/>
    <w:basedOn w:val="667"/>
    <w:next w:val="667"/>
    <w:uiPriority w:val="0"/>
    <w:qFormat/>
    <w:pPr>
      <w:jc w:val="left"/>
      <w:spacing w:after="273" w:line="360" w:lineRule="auto"/>
    </w:pPr>
    <w:rPr>
      <w:rFonts w:ascii="宋体"/>
      <w:sz w:val="24"/>
    </w:rPr>
  </w:style>
  <w:style w:type="paragraph" w:styleId="1096" w:customStyle="1">
    <w:name w:val="xl38"/>
    <w:basedOn w:val="667"/>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097" w:customStyle="1">
    <w:name w:val="参考资料清单+倾斜+蓝色"/>
    <w:basedOn w:val="667"/>
    <w:uiPriority w:val="0"/>
    <w:qFormat/>
    <w:pPr>
      <w:spacing w:line="360" w:lineRule="auto"/>
    </w:pPr>
    <w:rPr>
      <w:rFonts w:ascii="Arial" w:hAnsi="Arial"/>
      <w:i/>
      <w:iCs/>
      <w:color w:val="0000ff"/>
      <w:szCs w:val="21"/>
    </w:rPr>
  </w:style>
  <w:style w:type="paragraph" w:styleId="1098" w:customStyle="1">
    <w:name w:val="英文音标"/>
    <w:uiPriority w:val="0"/>
    <w:qFormat/>
    <w:rPr>
      <w:rFonts w:hint="default" w:ascii="Kingsoft Phonetic Plain" w:hAnsi="Kingsoft Phonetic Plain" w:eastAsia="Kingsoft Phonetic Plain" w:cs="Times New Roman"/>
      <w:sz w:val="24"/>
      <w:szCs w:val="24"/>
      <w:lang w:val="en-US" w:eastAsia="zh-CN" w:bidi="ar-SA"/>
    </w:rPr>
  </w:style>
  <w:style w:type="paragraph" w:styleId="1099" w:customStyle="1">
    <w:name w:val="pa-8"/>
    <w:basedOn w:val="667"/>
    <w:uiPriority w:val="0"/>
    <w:qFormat/>
    <w:pPr>
      <w:ind w:firstLine="480"/>
      <w:spacing w:line="280" w:lineRule="atLeast"/>
      <w:widowControl/>
    </w:pPr>
    <w:rPr>
      <w:rFonts w:ascii="宋体" w:cs="宋体"/>
      <w:sz w:val="24"/>
    </w:rPr>
  </w:style>
  <w:style w:type="paragraph" w:styleId="1100" w:customStyle="1">
    <w:name w:val="标书2"/>
    <w:next w:val="1036"/>
    <w:uiPriority w:val="0"/>
    <w:qFormat/>
    <w:rPr>
      <w:rFonts w:hint="default" w:ascii="Times New Roman" w:hAnsi="Times New Roman" w:eastAsia="黑体" w:cs="宋体"/>
      <w:b/>
      <w:sz w:val="44"/>
      <w:lang w:val="en-US" w:eastAsia="zh-CN" w:bidi="ar-SA"/>
    </w:rPr>
  </w:style>
  <w:style w:type="paragraph" w:styleId="1101" w:customStyle="1">
    <w:name w:val="表格文字"/>
    <w:basedOn w:val="667"/>
    <w:uiPriority w:val="0"/>
    <w:qFormat/>
    <w:pPr>
      <w:jc w:val="left"/>
    </w:pPr>
    <w:rPr>
      <w:sz w:val="18"/>
    </w:rPr>
  </w:style>
  <w:style w:type="paragraph" w:styleId="1102" w:customStyle="1">
    <w:name w:val="首页空格"/>
    <w:uiPriority w:val="0"/>
    <w:qFormat/>
    <w:pPr>
      <w:jc w:val="center"/>
    </w:pPr>
    <w:rPr>
      <w:rFonts w:hint="default" w:ascii="Times New Roman" w:hAnsi="Times New Roman" w:eastAsia="宋体" w:cs="宋体"/>
      <w:sz w:val="72"/>
      <w:lang w:val="en-US" w:eastAsia="zh-CN" w:bidi="ar-SA"/>
    </w:rPr>
  </w:style>
  <w:style w:type="paragraph" w:styleId="1103" w:customStyle="1">
    <w:name w:val="保密事宜格式"/>
    <w:basedOn w:val="954"/>
    <w:uiPriority w:val="0"/>
    <w:qFormat/>
    <w:pPr>
      <w:spacing w:before="152" w:after="160"/>
      <w:shd w:val="clear" w:color="auto" w:fill="e6e6e6"/>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paragraph" w:styleId="1104" w:customStyle="1">
    <w:name w:val="SFClearBullets"/>
    <w:uiPriority w:val="0"/>
    <w:qFormat/>
    <w:pPr>
      <w:ind w:left="1440" w:hanging="360"/>
      <w:tabs>
        <w:tab w:val="left" w:pos="1440" w:leader="none"/>
      </w:tabs>
    </w:pPr>
    <w:rPr>
      <w:rFonts w:hint="default" w:ascii="Helvetica" w:hAnsi="Helvetica" w:eastAsia="宋体" w:cs="Times New Roman"/>
      <w:szCs w:val="24"/>
      <w:lang w:val="en-US" w:eastAsia="en-US" w:bidi="ar-SA"/>
    </w:rPr>
  </w:style>
  <w:style w:type="paragraph" w:styleId="1105" w:customStyle="1">
    <w:name w:val="È±Ê¡ÎÄ±¾"/>
    <w:basedOn w:val="667"/>
    <w:uiPriority w:val="0"/>
    <w:qFormat/>
    <w:pPr>
      <w:jc w:val="left"/>
      <w:spacing w:line="360" w:lineRule="auto"/>
      <w:widowControl/>
    </w:pPr>
    <w:rPr>
      <w:sz w:val="24"/>
      <w:szCs w:val="20"/>
    </w:rPr>
  </w:style>
  <w:style w:type="paragraph" w:styleId="1106" w:customStyle="1">
    <w:name w:val="Char Char Char Char Char Char Char"/>
    <w:basedOn w:val="667"/>
    <w:uiPriority w:val="0"/>
    <w:qFormat/>
    <w:pPr>
      <w:jc w:val="left"/>
      <w:spacing w:after="160" w:line="240" w:lineRule="exact"/>
      <w:widowControl/>
    </w:pPr>
    <w:rPr>
      <w:rFonts w:ascii="Verdana" w:hAnsi="Verdana"/>
      <w:sz w:val="20"/>
      <w:szCs w:val="20"/>
      <w:lang w:eastAsia="en-US"/>
    </w:rPr>
  </w:style>
  <w:style w:type="paragraph" w:styleId="1107" w:customStyle="1">
    <w:name w:val="xl26"/>
    <w:basedOn w:val="66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08" w:customStyle="1">
    <w:name w:val="附图居中"/>
    <w:basedOn w:val="667"/>
    <w:next w:val="1079"/>
    <w:uiPriority w:val="0"/>
    <w:qFormat/>
    <w:pPr>
      <w:ind w:left="1271" w:hanging="420"/>
      <w:jc w:val="center"/>
      <w:keepNext/>
      <w:spacing w:line="360" w:lineRule="auto"/>
      <w:tabs>
        <w:tab w:val="left" w:pos="0" w:leader="none"/>
      </w:tabs>
    </w:pPr>
    <w:rPr>
      <w:caps/>
      <w:sz w:val="24"/>
    </w:rPr>
  </w:style>
  <w:style w:type="paragraph" w:styleId="1109" w:customStyle="1">
    <w:name w:val="pa-6"/>
    <w:basedOn w:val="667"/>
    <w:uiPriority w:val="0"/>
    <w:qFormat/>
    <w:pPr>
      <w:spacing w:line="360" w:lineRule="atLeast"/>
      <w:widowControl/>
    </w:pPr>
    <w:rPr>
      <w:rFonts w:ascii="宋体"/>
      <w:sz w:val="24"/>
      <w:szCs w:val="20"/>
    </w:rPr>
  </w:style>
  <w:style w:type="paragraph" w:styleId="1110" w:customStyle="1">
    <w:name w:val="规范正文"/>
    <w:basedOn w:val="667"/>
    <w:uiPriority w:val="0"/>
    <w:qFormat/>
    <w:pPr>
      <w:ind w:left="480"/>
      <w:spacing w:line="360" w:lineRule="auto"/>
    </w:pPr>
    <w:rPr>
      <w:sz w:val="24"/>
      <w:szCs w:val="20"/>
    </w:rPr>
  </w:style>
  <w:style w:type="paragraph" w:styleId="1111" w:customStyle="1">
    <w:name w:val="font7"/>
    <w:basedOn w:val="667"/>
    <w:uiPriority w:val="0"/>
    <w:qFormat/>
    <w:pPr>
      <w:jc w:val="left"/>
      <w:spacing w:before="100" w:beforeAutospacing="1" w:after="100" w:afterAutospacing="1"/>
      <w:widowControl/>
    </w:pPr>
    <w:rPr>
      <w:rFonts w:ascii="宋体"/>
      <w:sz w:val="20"/>
      <w:szCs w:val="20"/>
    </w:rPr>
  </w:style>
  <w:style w:type="paragraph" w:styleId="1112" w:customStyle="1">
    <w:name w:val="缺省文本"/>
    <w:basedOn w:val="667"/>
    <w:uiPriority w:val="0"/>
    <w:qFormat/>
    <w:pPr>
      <w:jc w:val="left"/>
    </w:pPr>
    <w:rPr>
      <w:sz w:val="24"/>
      <w:szCs w:val="20"/>
    </w:rPr>
  </w:style>
  <w:style w:type="paragraph" w:styleId="1113" w:customStyle="1">
    <w:name w:val="序号-----------"/>
    <w:basedOn w:val="667"/>
    <w:uiPriority w:val="0"/>
    <w:qFormat/>
    <w:pPr>
      <w:jc w:val="left"/>
      <w:widowControl/>
    </w:pPr>
    <w:rPr>
      <w:rFonts w:ascii="宋体"/>
      <w:bCs/>
      <w:szCs w:val="21"/>
    </w:rPr>
  </w:style>
  <w:style w:type="paragraph" w:styleId="1114" w:customStyle="1">
    <w:name w:val="font8"/>
    <w:basedOn w:val="667"/>
    <w:uiPriority w:val="0"/>
    <w:qFormat/>
    <w:pPr>
      <w:jc w:val="left"/>
      <w:spacing w:before="100" w:beforeAutospacing="1" w:after="100" w:afterAutospacing="1"/>
      <w:widowControl/>
    </w:pPr>
    <w:rPr>
      <w:rFonts w:ascii="Arial" w:hAnsi="Arial" w:cs="Arial"/>
      <w:color w:val="000000"/>
      <w:sz w:val="18"/>
      <w:szCs w:val="18"/>
    </w:rPr>
  </w:style>
  <w:style w:type="paragraph" w:styleId="1115" w:customStyle="1">
    <w:name w:val="表格标题"/>
    <w:basedOn w:val="667"/>
    <w:uiPriority w:val="0"/>
    <w:qFormat/>
    <w:pPr>
      <w:jc w:val="center"/>
    </w:pPr>
    <w:rPr>
      <w:b/>
    </w:rPr>
  </w:style>
  <w:style w:type="paragraph" w:styleId="1116" w:customStyle="1">
    <w:name w:val="章标题"/>
    <w:next w:val="1061"/>
    <w:uiPriority w:val="0"/>
    <w:qFormat/>
    <w:pPr>
      <w:ind w:left="1320" w:hanging="420"/>
      <w:jc w:val="both"/>
      <w:spacing w:before="50" w:after="50"/>
      <w:tabs>
        <w:tab w:val="left" w:pos="1200" w:leader="none"/>
      </w:tabs>
      <w:outlineLvl w:val="1"/>
    </w:pPr>
    <w:rPr>
      <w:rFonts w:hint="default" w:ascii="黑体" w:hAnsi="Times New Roman" w:eastAsia="黑体" w:cs="Times New Roman"/>
      <w:sz w:val="21"/>
      <w:lang w:val="en-US" w:eastAsia="zh-CN" w:bidi="ar-SA"/>
    </w:rPr>
  </w:style>
  <w:style w:type="paragraph" w:styleId="1117" w:customStyle="1">
    <w:name w:val="首页单位日期"/>
    <w:basedOn w:val="667"/>
    <w:uiPriority w:val="0"/>
    <w:qFormat/>
    <w:pPr>
      <w:jc w:val="center"/>
      <w:widowControl/>
    </w:pPr>
    <w:rPr>
      <w:rFonts w:ascii="宋体" w:cs="宋体"/>
      <w:bCs/>
      <w:sz w:val="28"/>
      <w:szCs w:val="20"/>
    </w:rPr>
  </w:style>
  <w:style w:type="paragraph" w:styleId="1118" w:customStyle="1">
    <w:name w:val="样式 正文缩进 + (中文) 仿宋_GB2312 小四 Char"/>
    <w:basedOn w:val="953"/>
    <w:uiPriority w:val="0"/>
    <w:qFormat/>
    <w:pPr>
      <w:ind w:firstLine="200"/>
      <w:spacing w:line="360" w:lineRule="auto"/>
    </w:pPr>
    <w:rPr>
      <w:szCs w:val="24"/>
    </w:rPr>
  </w:style>
  <w:style w:type="paragraph" w:styleId="1119" w:customStyle="1">
    <w:name w:val="项目"/>
    <w:basedOn w:val="667"/>
    <w:uiPriority w:val="0"/>
    <w:qFormat/>
    <w:pPr>
      <w:ind w:left="840" w:hanging="420"/>
      <w:spacing w:before="60" w:after="60" w:line="360" w:lineRule="auto"/>
      <w:tabs>
        <w:tab w:val="left" w:pos="840" w:leader="none"/>
      </w:tabs>
    </w:pPr>
    <w:rPr>
      <w:rFonts w:ascii="宋体"/>
      <w:szCs w:val="20"/>
    </w:rPr>
  </w:style>
  <w:style w:type="paragraph" w:styleId="1120" w:customStyle="1">
    <w:name w:val="默认段落字体 Para Char"/>
    <w:basedOn w:val="667"/>
    <w:uiPriority w:val="0"/>
    <w:qFormat/>
    <w:rPr>
      <w:rFonts w:ascii="宋体"/>
      <w:b/>
      <w:sz w:val="28"/>
      <w:szCs w:val="28"/>
    </w:rPr>
  </w:style>
  <w:style w:type="paragraph" w:styleId="1121" w:customStyle="1">
    <w:name w:val="篇名"/>
    <w:next w:val="766"/>
    <w:uiPriority w:val="0"/>
    <w:qFormat/>
    <w:pPr>
      <w:jc w:val="center"/>
      <w:pageBreakBefore/>
      <w:spacing w:before="480" w:after="480"/>
    </w:pPr>
    <w:rPr>
      <w:rFonts w:hint="default" w:ascii="Times New Roman" w:hAnsi="Times New Roman" w:eastAsia="黑体" w:cs="Times New Roman"/>
      <w:b/>
      <w:sz w:val="44"/>
      <w:szCs w:val="24"/>
      <w:lang w:val="en-US" w:eastAsia="zh-CN" w:bidi="ar-SA"/>
    </w:rPr>
  </w:style>
  <w:style w:type="paragraph" w:styleId="1122" w:customStyle="1">
    <w:name w:val="Char13"/>
    <w:basedOn w:val="667"/>
    <w:uiPriority w:val="0"/>
    <w:qFormat/>
  </w:style>
  <w:style w:type="paragraph" w:styleId="1123" w:customStyle="1">
    <w:name w:val="表头"/>
    <w:basedOn w:val="1074"/>
    <w:uiPriority w:val="0"/>
    <w:qFormat/>
    <w:pPr>
      <w:ind w:left="0" w:firstLine="0"/>
      <w:spacing w:line="240" w:lineRule="auto"/>
    </w:pPr>
    <w:rPr>
      <w:sz w:val="20"/>
    </w:rPr>
  </w:style>
  <w:style w:type="paragraph" w:styleId="1124" w:customStyle="1">
    <w:name w:val="表格序号"/>
    <w:uiPriority w:val="0"/>
    <w:qFormat/>
    <w:rPr>
      <w:rFonts w:hint="default" w:ascii="Times New Roman" w:hAnsi="Times New Roman" w:eastAsia="仿宋_GB2312" w:cs="宋体"/>
      <w:sz w:val="21"/>
      <w:lang w:val="en-US" w:eastAsia="zh-CN" w:bidi="ar-SA"/>
    </w:rPr>
  </w:style>
  <w:style w:type="paragraph" w:styleId="1125" w:customStyle="1">
    <w:name w:val="Char Char Char Char1"/>
    <w:basedOn w:val="667"/>
    <w:uiPriority w:val="0"/>
    <w:qFormat/>
    <w:pPr>
      <w:ind w:firstLine="200"/>
      <w:spacing w:line="360" w:lineRule="auto"/>
    </w:pPr>
    <w:rPr>
      <w:sz w:val="24"/>
      <w:szCs w:val="20"/>
    </w:rPr>
  </w:style>
  <w:style w:type="paragraph" w:styleId="1126" w:customStyle="1">
    <w:name w:val="标书3"/>
    <w:next w:val="1036"/>
    <w:uiPriority w:val="0"/>
    <w:qFormat/>
    <w:pPr>
      <w:jc w:val="center"/>
      <w:widowControl w:val="off"/>
    </w:pPr>
    <w:rPr>
      <w:rFonts w:hint="default" w:ascii="Times New Roman" w:hAnsi="Times New Roman" w:eastAsia="黑体" w:cs="Times New Roman"/>
      <w:b/>
      <w:sz w:val="44"/>
      <w:szCs w:val="24"/>
      <w:lang w:val="en-US" w:eastAsia="zh-CN" w:bidi="ar-SA"/>
    </w:rPr>
  </w:style>
  <w:style w:type="paragraph" w:styleId="1127" w:customStyle="1">
    <w:name w:val="首页小标题"/>
    <w:next w:val="1102"/>
    <w:uiPriority w:val="0"/>
    <w:qFormat/>
    <w:pPr>
      <w:jc w:val="center"/>
    </w:pPr>
    <w:rPr>
      <w:rFonts w:hint="default" w:ascii="Times New Roman" w:hAnsi="Times New Roman" w:eastAsia="宋体" w:cs="宋体"/>
      <w:sz w:val="44"/>
      <w:lang w:val="en-US" w:eastAsia="zh-CN" w:bidi="ar-SA"/>
    </w:rPr>
  </w:style>
  <w:style w:type="paragraph" w:styleId="1128" w:customStyle="1">
    <w:name w:val="新段落缩进"/>
    <w:basedOn w:val="667"/>
    <w:uiPriority w:val="0"/>
    <w:qFormat/>
    <w:pPr>
      <w:ind w:firstLine="200"/>
      <w:spacing w:line="400" w:lineRule="exact"/>
    </w:pPr>
    <w:rPr>
      <w:rFonts w:ascii="仿宋_GB2312" w:eastAsia="仿宋_GB2312"/>
      <w:sz w:val="24"/>
    </w:rPr>
  </w:style>
  <w:style w:type="paragraph" w:styleId="1129" w:customStyle="1">
    <w:name w:val="pa-2"/>
    <w:basedOn w:val="667"/>
    <w:uiPriority w:val="0"/>
    <w:qFormat/>
    <w:pPr>
      <w:spacing w:line="360" w:lineRule="atLeast"/>
      <w:widowControl/>
    </w:pPr>
    <w:rPr>
      <w:rFonts w:ascii="宋体" w:cs="宋体"/>
      <w:sz w:val="24"/>
    </w:rPr>
  </w:style>
  <w:style w:type="paragraph" w:styleId="1130" w:customStyle="1">
    <w:name w:val="四级条标题"/>
    <w:basedOn w:val="1068"/>
    <w:next w:val="1061"/>
    <w:uiPriority w:val="0"/>
    <w:qFormat/>
    <w:pPr>
      <w:ind w:left="0"/>
      <w:outlineLvl w:val="5"/>
    </w:pPr>
  </w:style>
  <w:style w:type="paragraph" w:styleId="1131" w:customStyle="1">
    <w:name w:val="保密事宜内容"/>
    <w:basedOn w:val="667"/>
    <w:uiPriority w:val="0"/>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 w:val="24"/>
      <w:szCs w:val="20"/>
    </w:rPr>
  </w:style>
  <w:style w:type="paragraph" w:styleId="1132" w:customStyle="1">
    <w:name w:val="xl30"/>
    <w:basedOn w:val="66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33" w:customStyle="1">
    <w:name w:val="Char1 Char Char Char"/>
    <w:basedOn w:val="667"/>
    <w:uiPriority w:val="0"/>
    <w:qFormat/>
    <w:rPr>
      <w:szCs w:val="20"/>
    </w:rPr>
  </w:style>
  <w:style w:type="paragraph" w:styleId="1134" w:customStyle="1">
    <w:name w:val="正文 + 宋体"/>
    <w:basedOn w:val="667"/>
    <w:uiPriority w:val="0"/>
    <w:qFormat/>
    <w:pPr>
      <w:ind w:firstLine="250"/>
    </w:pPr>
    <w:rPr>
      <w:rFonts w:ascii="宋体"/>
      <w:szCs w:val="21"/>
    </w:rPr>
  </w:style>
  <w:style w:type="paragraph" w:styleId="1135" w:customStyle="1">
    <w:name w:val="xl31"/>
    <w:basedOn w:val="667"/>
    <w:uiPriority w:val="0"/>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color w:val="000000"/>
      <w:sz w:val="18"/>
      <w:szCs w:val="18"/>
    </w:rPr>
  </w:style>
  <w:style w:type="paragraph" w:styleId="1136" w:customStyle="1">
    <w:name w:val="pbody"/>
    <w:basedOn w:val="667"/>
    <w:uiPriority w:val="0"/>
    <w:qFormat/>
    <w:pPr>
      <w:jc w:val="left"/>
      <w:spacing w:before="100" w:beforeAutospacing="1" w:after="100" w:afterAutospacing="1" w:line="360" w:lineRule="auto"/>
      <w:widowControl/>
    </w:pPr>
    <w:rPr>
      <w:rFonts w:ascii="宋体" w:cs="宋体"/>
      <w:sz w:val="24"/>
    </w:rPr>
  </w:style>
  <w:style w:type="paragraph" w:styleId="1137" w:customStyle="1">
    <w:name w:val="xl42"/>
    <w:basedOn w:val="667"/>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4"/>
    </w:rPr>
  </w:style>
  <w:style w:type="paragraph" w:styleId="1138" w:customStyle="1">
    <w:name w:val="txt"/>
    <w:basedOn w:val="667"/>
    <w:uiPriority w:val="0"/>
    <w:qFormat/>
    <w:pPr>
      <w:jc w:val="left"/>
      <w:spacing w:before="100" w:beforeAutospacing="1" w:after="100" w:afterAutospacing="1"/>
      <w:widowControl/>
    </w:pPr>
    <w:rPr>
      <w:rFonts w:ascii="宋体" w:cs="宋体"/>
      <w:sz w:val="24"/>
    </w:rPr>
  </w:style>
  <w:style w:type="paragraph" w:styleId="1139" w:customStyle="1">
    <w:name w:val="样式1"/>
    <w:basedOn w:val="952"/>
    <w:next w:val="667"/>
    <w:uiPriority w:val="0"/>
    <w:qFormat/>
    <w:rPr>
      <w:rFonts w:ascii="Arial" w:hAnsi="Arial" w:eastAsia="幼圆" w:cs="Arial"/>
      <w:sz w:val="24"/>
      <w:szCs w:val="20"/>
    </w:rPr>
  </w:style>
  <w:style w:type="paragraph" w:styleId="1140" w:customStyle="1">
    <w:name w:val="xl37"/>
    <w:basedOn w:val="667"/>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sz w:val="20"/>
      <w:szCs w:val="20"/>
    </w:rPr>
  </w:style>
  <w:style w:type="paragraph" w:styleId="1141" w:customStyle="1">
    <w:name w:val="列表段落11"/>
    <w:basedOn w:val="667"/>
    <w:uiPriority w:val="0"/>
    <w:qFormat/>
    <w:pPr>
      <w:ind w:firstLine="420"/>
    </w:pPr>
  </w:style>
  <w:style w:type="paragraph" w:styleId="1142" w:customStyle="1">
    <w:name w:val="图表目录1"/>
    <w:uiPriority w:val="0"/>
    <w:qFormat/>
    <w:pPr>
      <w:ind w:left="840" w:hanging="420"/>
    </w:pPr>
    <w:rPr>
      <w:rFonts w:hint="default" w:ascii="Times New Roman" w:hAnsi="Times New Roman" w:eastAsia="宋体" w:cs="宋体"/>
      <w:sz w:val="21"/>
      <w:lang w:val="en-US" w:eastAsia="zh-CN" w:bidi="ar-SA"/>
    </w:rPr>
  </w:style>
  <w:style w:type="paragraph" w:styleId="1143" w:customStyle="1">
    <w:name w:val="样式 序号----------- + 仿宋_GB2312"/>
    <w:basedOn w:val="1113"/>
    <w:uiPriority w:val="0"/>
    <w:qFormat/>
    <w:pPr>
      <w:ind w:firstLine="200"/>
      <w:spacing w:line="360" w:lineRule="auto"/>
    </w:pPr>
    <w:rPr>
      <w:rFonts w:ascii="仿宋_GB2312" w:eastAsia="仿宋_GB2312"/>
      <w:bCs w:val="0"/>
    </w:rPr>
  </w:style>
  <w:style w:type="paragraph" w:styleId="1144" w:customStyle="1">
    <w:name w:val="xl41"/>
    <w:basedOn w:val="667"/>
    <w:uiPriority w:val="0"/>
    <w:qFormat/>
    <w:pPr>
      <w:jc w:val="left"/>
      <w:spacing w:before="100" w:beforeAutospacing="1" w:after="100" w:afterAutospacing="1"/>
      <w:widowControl/>
      <w:pBdr>
        <w:bottom w:val="single" w:color="000000" w:sz="4" w:space="0"/>
        <w:right w:val="single" w:color="000000" w:sz="4" w:space="0"/>
      </w:pBdr>
    </w:pPr>
    <w:rPr>
      <w:rFonts w:ascii="Arial Unicode MS" w:hAnsi="Arial Unicode MS"/>
      <w:sz w:val="24"/>
    </w:rPr>
  </w:style>
  <w:style w:type="paragraph" w:styleId="1145" w:customStyle="1">
    <w:name w:val="Char11"/>
    <w:basedOn w:val="667"/>
    <w:uiPriority w:val="0"/>
    <w:qFormat/>
    <w:rPr>
      <w:szCs w:val="21"/>
    </w:rPr>
  </w:style>
  <w:style w:type="paragraph" w:styleId="1146" w:customStyle="1">
    <w:name w:val="样式 序号----------- + 仿宋_GB23121"/>
    <w:basedOn w:val="1113"/>
    <w:uiPriority w:val="0"/>
    <w:qFormat/>
    <w:pPr>
      <w:spacing w:line="360" w:lineRule="auto"/>
    </w:pPr>
    <w:rPr>
      <w:rFonts w:ascii="仿宋_GB2312" w:eastAsia="仿宋_GB2312"/>
      <w:bCs w:val="0"/>
    </w:rPr>
  </w:style>
  <w:style w:type="paragraph" w:styleId="1147" w:customStyle="1">
    <w:name w:val="pa-9"/>
    <w:basedOn w:val="667"/>
    <w:uiPriority w:val="0"/>
    <w:qFormat/>
    <w:pPr>
      <w:jc w:val="center"/>
      <w:spacing w:line="360" w:lineRule="atLeast"/>
      <w:widowControl/>
    </w:pPr>
    <w:rPr>
      <w:rFonts w:ascii="宋体" w:cs="宋体"/>
      <w:sz w:val="24"/>
    </w:rPr>
  </w:style>
  <w:style w:type="paragraph" w:styleId="1148" w:customStyle="1">
    <w:name w:val="pa-3"/>
    <w:basedOn w:val="667"/>
    <w:uiPriority w:val="0"/>
    <w:qFormat/>
    <w:pPr>
      <w:jc w:val="left"/>
      <w:spacing w:before="150" w:after="150"/>
      <w:widowControl/>
    </w:pPr>
    <w:rPr>
      <w:rFonts w:ascii="宋体" w:cs="宋体"/>
      <w:sz w:val="24"/>
    </w:rPr>
  </w:style>
  <w:style w:type="paragraph" w:styleId="1149" w:customStyle="1">
    <w:name w:val="font5"/>
    <w:basedOn w:val="667"/>
    <w:uiPriority w:val="0"/>
    <w:qFormat/>
    <w:pPr>
      <w:jc w:val="left"/>
      <w:spacing w:before="100" w:beforeAutospacing="1" w:after="100" w:afterAutospacing="1"/>
      <w:widowControl/>
    </w:pPr>
    <w:rPr>
      <w:rFonts w:ascii="宋体"/>
      <w:sz w:val="18"/>
      <w:szCs w:val="18"/>
    </w:rPr>
  </w:style>
  <w:style w:type="paragraph" w:styleId="1150" w:customStyle="1">
    <w:name w:val="pa-5"/>
    <w:basedOn w:val="667"/>
    <w:uiPriority w:val="0"/>
    <w:qFormat/>
    <w:pPr>
      <w:spacing w:line="280" w:lineRule="atLeast"/>
      <w:widowControl/>
    </w:pPr>
    <w:rPr>
      <w:rFonts w:ascii="宋体" w:cs="宋体"/>
      <w:sz w:val="24"/>
    </w:rPr>
  </w:style>
  <w:style w:type="paragraph" w:styleId="1151" w:customStyle="1">
    <w:name w:val="xl39"/>
    <w:basedOn w:val="667"/>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0"/>
      <w:szCs w:val="20"/>
    </w:rPr>
  </w:style>
  <w:style w:type="paragraph" w:styleId="1152" w:customStyle="1">
    <w:name w:val="font6"/>
    <w:basedOn w:val="667"/>
    <w:uiPriority w:val="0"/>
    <w:qFormat/>
    <w:pPr>
      <w:jc w:val="left"/>
      <w:spacing w:before="100" w:beforeAutospacing="1" w:after="100" w:afterAutospacing="1"/>
      <w:widowControl/>
    </w:pPr>
    <w:rPr>
      <w:sz w:val="20"/>
      <w:szCs w:val="20"/>
    </w:rPr>
  </w:style>
  <w:style w:type="paragraph" w:styleId="1153" w:customStyle="1">
    <w:name w:val="font9"/>
    <w:basedOn w:val="667"/>
    <w:uiPriority w:val="0"/>
    <w:qFormat/>
    <w:pPr>
      <w:jc w:val="left"/>
      <w:spacing w:before="100" w:beforeAutospacing="1" w:after="100" w:afterAutospacing="1"/>
      <w:widowControl/>
    </w:pPr>
    <w:rPr>
      <w:rFonts w:ascii="宋体"/>
      <w:color w:val="000000"/>
      <w:sz w:val="18"/>
      <w:szCs w:val="18"/>
    </w:rPr>
  </w:style>
  <w:style w:type="paragraph" w:styleId="1154" w:customStyle="1">
    <w:name w:val="列出段落1"/>
    <w:basedOn w:val="667"/>
    <w:link w:val="1382"/>
    <w:uiPriority w:val="0"/>
    <w:qFormat/>
    <w:pPr>
      <w:ind w:firstLine="200"/>
    </w:pPr>
  </w:style>
  <w:style w:type="paragraph" w:styleId="1155" w:customStyle="1">
    <w:name w:val="p0"/>
    <w:basedOn w:val="667"/>
    <w:uiPriority w:val="0"/>
    <w:qFormat/>
    <w:pPr>
      <w:widowControl/>
    </w:pPr>
    <w:rPr>
      <w:szCs w:val="21"/>
    </w:rPr>
  </w:style>
  <w:style w:type="paragraph" w:styleId="1156" w:customStyle="1">
    <w:name w:val="Char Char Char Char Char Char Char Char Char Char21"/>
    <w:basedOn w:val="667"/>
    <w:uiPriority w:val="0"/>
    <w:qFormat/>
    <w:rPr>
      <w:rFonts w:ascii="Tahoma" w:hAnsi="Tahoma"/>
      <w:sz w:val="24"/>
      <w:szCs w:val="20"/>
    </w:rPr>
  </w:style>
  <w:style w:type="paragraph" w:styleId="1157" w:customStyle="1">
    <w:name w:val="封面标准名称"/>
    <w:uiPriority w:val="0"/>
    <w:qFormat/>
    <w:pPr>
      <w:jc w:val="center"/>
      <w:spacing w:line="680" w:lineRule="exact"/>
      <w:widowControl w:val="off"/>
    </w:pPr>
    <w:rPr>
      <w:rFonts w:hint="default" w:ascii="黑体" w:hAnsi="Times New Roman" w:eastAsia="黑体" w:cs="Times New Roman"/>
      <w:sz w:val="52"/>
      <w:lang w:val="en-US" w:eastAsia="zh-CN" w:bidi="ar-SA"/>
    </w:rPr>
  </w:style>
  <w:style w:type="paragraph" w:styleId="1158" w:customStyle="1">
    <w:name w:val="表格正文"/>
    <w:basedOn w:val="667"/>
    <w:uiPriority w:val="0"/>
    <w:qFormat/>
    <w:pPr>
      <w:spacing w:line="300" w:lineRule="auto"/>
      <w:tabs>
        <w:tab w:val="left" w:pos="420" w:leader="none"/>
      </w:tabs>
    </w:pPr>
  </w:style>
  <w:style w:type="paragraph" w:styleId="1159" w:customStyle="1">
    <w:name w:val="首页标题小初"/>
    <w:uiPriority w:val="0"/>
    <w:qFormat/>
    <w:pPr>
      <w:jc w:val="center"/>
    </w:pPr>
    <w:rPr>
      <w:rFonts w:hint="default" w:ascii="黑体" w:hAnsi="Times New Roman" w:eastAsia="黑体" w:cs="宋体"/>
      <w:sz w:val="72"/>
      <w:lang w:val="en-US" w:eastAsia="zh-CN" w:bidi="ar-SA"/>
    </w:rPr>
  </w:style>
  <w:style w:type="paragraph" w:styleId="1160" w:customStyle="1">
    <w:name w:val="五级条标题"/>
    <w:basedOn w:val="1130"/>
    <w:next w:val="1061"/>
    <w:uiPriority w:val="0"/>
    <w:qFormat/>
    <w:pPr>
      <w:outlineLvl w:val="6"/>
    </w:pPr>
  </w:style>
  <w:style w:type="paragraph" w:styleId="1161" w:customStyle="1">
    <w:name w:val="Char Char Char Char Char Char Char1"/>
    <w:basedOn w:val="667"/>
    <w:uiPriority w:val="0"/>
    <w:qFormat/>
    <w:pPr>
      <w:jc w:val="left"/>
      <w:spacing w:after="160" w:line="240" w:lineRule="exact"/>
      <w:widowControl/>
    </w:pPr>
    <w:rPr>
      <w:rFonts w:ascii="Verdana" w:hAnsi="Verdana"/>
      <w:sz w:val="20"/>
      <w:szCs w:val="20"/>
      <w:lang w:eastAsia="en-US"/>
    </w:rPr>
  </w:style>
  <w:style w:type="paragraph" w:styleId="1162" w:customStyle="1">
    <w:name w:val="ibm-list-next"/>
    <w:basedOn w:val="667"/>
    <w:uiPriority w:val="0"/>
    <w:qFormat/>
    <w:pPr>
      <w:jc w:val="left"/>
      <w:spacing w:before="100" w:beforeAutospacing="1" w:after="100" w:afterAutospacing="1"/>
      <w:widowControl/>
    </w:pPr>
    <w:rPr>
      <w:rFonts w:ascii="宋体" w:cs="宋体"/>
      <w:sz w:val="24"/>
    </w:rPr>
  </w:style>
  <w:style w:type="paragraph" w:styleId="1163" w:customStyle="1">
    <w:name w:val="首页标题 一号"/>
    <w:basedOn w:val="1159"/>
    <w:uiPriority w:val="0"/>
    <w:qFormat/>
    <w:rPr>
      <w:sz w:val="52"/>
    </w:rPr>
  </w:style>
  <w:style w:type="paragraph" w:styleId="1164" w:customStyle="1">
    <w:name w:val="Char Char Char Char Char Char Char Char Char Char2"/>
    <w:basedOn w:val="667"/>
    <w:uiPriority w:val="0"/>
    <w:qFormat/>
    <w:rPr>
      <w:rFonts w:ascii="Tahoma" w:hAnsi="Tahoma"/>
      <w:sz w:val="24"/>
      <w:szCs w:val="20"/>
    </w:rPr>
  </w:style>
  <w:style w:type="paragraph" w:styleId="1165" w:customStyle="1">
    <w:name w:val="正文（编号）"/>
    <w:basedOn w:val="1023"/>
    <w:link w:val="1166"/>
    <w:uiPriority w:val="0"/>
    <w:qFormat/>
    <w:pPr>
      <w:ind w:left="720" w:firstLine="0"/>
      <w:tabs>
        <w:tab w:val="left" w:pos="720" w:leader="none"/>
        <w:tab w:val="left" w:pos="780" w:leader="none"/>
      </w:tabs>
    </w:pPr>
    <w:rPr>
      <w:rFonts w:ascii="Times New Roman" w:hAnsi="Times New Roman"/>
      <w:szCs w:val="24"/>
    </w:rPr>
  </w:style>
  <w:style w:type="character" w:styleId="1166" w:customStyle="1">
    <w:name w:val="正文（编号） Char Char"/>
    <w:link w:val="1165"/>
    <w:uiPriority w:val="0"/>
    <w:qFormat/>
    <w:rPr>
      <w:sz w:val="24"/>
      <w:szCs w:val="24"/>
    </w:rPr>
  </w:style>
  <w:style w:type="paragraph" w:styleId="1167" w:customStyle="1">
    <w:name w:val="表格"/>
    <w:basedOn w:val="667"/>
    <w:uiPriority w:val="0"/>
    <w:qFormat/>
    <w:pPr>
      <w:ind w:firstLine="21"/>
    </w:pPr>
    <w:rPr>
      <w:rFonts w:ascii="宋体"/>
      <w:szCs w:val="20"/>
    </w:rPr>
  </w:style>
  <w:style w:type="character" w:styleId="1168" w:customStyle="1">
    <w:name w:val="正文（缩进） Char Char"/>
    <w:uiPriority w:val="0"/>
    <w:qFormat/>
    <w:rPr>
      <w:rFonts w:eastAsia="宋体"/>
      <w:sz w:val="24"/>
      <w:szCs w:val="24"/>
      <w:lang w:val="en-US" w:eastAsia="zh-CN" w:bidi="ar-SA"/>
    </w:rPr>
  </w:style>
  <w:style w:type="paragraph" w:styleId="1169" w:customStyle="1">
    <w:name w:val="Char Char Char1"/>
    <w:basedOn w:val="667"/>
    <w:uiPriority w:val="0"/>
    <w:qFormat/>
    <w:rPr>
      <w:szCs w:val="21"/>
    </w:rPr>
  </w:style>
  <w:style w:type="paragraph" w:styleId="1170" w:customStyle="1">
    <w:name w:val="样式 正文2 + 首行缩进:  0 厘米 段后: 1.5 行"/>
    <w:basedOn w:val="667"/>
    <w:uiPriority w:val="0"/>
    <w:qFormat/>
    <w:pPr>
      <w:ind w:left="985" w:hanging="567"/>
      <w:jc w:val="left"/>
      <w:spacing w:line="360" w:lineRule="auto"/>
      <w:widowControl/>
      <w:tabs>
        <w:tab w:val="left" w:pos="987" w:leader="none"/>
      </w:tabs>
    </w:pPr>
    <w:rPr>
      <w:rFonts w:eastAsia="楷体_GB2312"/>
      <w:sz w:val="24"/>
      <w:szCs w:val="20"/>
      <w:lang w:eastAsia="en-US"/>
    </w:rPr>
  </w:style>
  <w:style w:type="paragraph" w:styleId="1171" w:customStyle="1">
    <w:name w:val="表中文字"/>
    <w:basedOn w:val="667"/>
    <w:uiPriority w:val="0"/>
    <w:qFormat/>
    <w:pPr>
      <w:widowControl/>
    </w:pPr>
    <w:rPr>
      <w:szCs w:val="20"/>
    </w:rPr>
  </w:style>
  <w:style w:type="character" w:styleId="1172" w:customStyle="1">
    <w:name w:val="z1"/>
    <w:uiPriority w:val="0"/>
    <w:qFormat/>
  </w:style>
  <w:style w:type="paragraph" w:styleId="1173" w:customStyle="1">
    <w:name w:val="a1"/>
    <w:basedOn w:val="667"/>
    <w:uiPriority w:val="0"/>
    <w:qFormat/>
    <w:pPr>
      <w:jc w:val="left"/>
      <w:spacing w:before="100" w:beforeAutospacing="1" w:after="100" w:afterAutospacing="1"/>
      <w:widowControl/>
    </w:pPr>
    <w:rPr>
      <w:rFonts w:ascii="宋体"/>
      <w:sz w:val="24"/>
    </w:rPr>
  </w:style>
  <w:style w:type="paragraph" w:styleId="1174" w:customStyle="1">
    <w:name w:val="a0"/>
    <w:basedOn w:val="667"/>
    <w:uiPriority w:val="0"/>
    <w:qFormat/>
    <w:pPr>
      <w:jc w:val="left"/>
      <w:spacing w:before="100" w:beforeAutospacing="1" w:after="100" w:afterAutospacing="1"/>
      <w:widowControl/>
    </w:pPr>
    <w:rPr>
      <w:rFonts w:ascii="宋体"/>
      <w:sz w:val="24"/>
    </w:rPr>
  </w:style>
  <w:style w:type="paragraph" w:styleId="1175" w:customStyle="1">
    <w:name w:val="tabletext"/>
    <w:basedOn w:val="667"/>
    <w:uiPriority w:val="0"/>
    <w:qFormat/>
    <w:pPr>
      <w:jc w:val="left"/>
      <w:spacing w:before="100" w:beforeAutospacing="1" w:after="100" w:afterAutospacing="1"/>
      <w:widowControl/>
    </w:pPr>
    <w:rPr>
      <w:rFonts w:ascii="宋体"/>
      <w:sz w:val="24"/>
    </w:rPr>
  </w:style>
  <w:style w:type="paragraph" w:styleId="1176" w:customStyle="1">
    <w:name w:val="我的样式"/>
    <w:basedOn w:val="667"/>
    <w:uiPriority w:val="0"/>
    <w:qFormat/>
    <w:pPr>
      <w:ind w:firstLine="420"/>
      <w:jc w:val="left"/>
      <w:spacing w:after="120"/>
      <w:widowControl/>
    </w:pPr>
    <w:rPr>
      <w:rFonts w:ascii="宋体"/>
      <w:color w:val="000000"/>
      <w:sz w:val="24"/>
      <w:szCs w:val="16"/>
    </w:rPr>
  </w:style>
  <w:style w:type="paragraph" w:styleId="1177" w:customStyle="1">
    <w:name w:val="Figure and Table Title"/>
    <w:basedOn w:val="667"/>
    <w:uiPriority w:val="0"/>
    <w:qFormat/>
    <w:pPr>
      <w:ind w:left="2160"/>
      <w:jc w:val="left"/>
      <w:widowControl/>
    </w:pPr>
    <w:rPr>
      <w:rFonts w:ascii="Helvetica-Light" w:hAnsi="Helvetica-Light"/>
      <w:b/>
      <w:bCs/>
      <w:sz w:val="20"/>
      <w:lang w:eastAsia="en-US"/>
    </w:rPr>
  </w:style>
  <w:style w:type="paragraph" w:styleId="1178" w:customStyle="1">
    <w:name w:val="Table Text/Title"/>
    <w:basedOn w:val="667"/>
    <w:uiPriority w:val="0"/>
    <w:qFormat/>
    <w:pPr>
      <w:jc w:val="left"/>
      <w:widowControl/>
    </w:pPr>
    <w:rPr>
      <w:rFonts w:ascii="宋体"/>
      <w:b/>
      <w:bCs/>
      <w:sz w:val="20"/>
      <w:szCs w:val="20"/>
      <w:lang w:eastAsia="en-US"/>
    </w:rPr>
  </w:style>
  <w:style w:type="paragraph" w:styleId="1179" w:customStyle="1">
    <w:name w:val="Sourcetext bullet"/>
    <w:basedOn w:val="667"/>
    <w:uiPriority w:val="0"/>
    <w:qFormat/>
    <w:pPr>
      <w:ind w:left="2160" w:hanging="360"/>
      <w:jc w:val="left"/>
      <w:spacing w:after="120"/>
      <w:widowControl/>
      <w:tabs>
        <w:tab w:val="left" w:pos="360" w:leader="none"/>
      </w:tabs>
    </w:pPr>
    <w:rPr>
      <w:rFonts w:ascii="Book Antiqua" w:hAnsi="Book Antiqua"/>
      <w:sz w:val="20"/>
      <w:szCs w:val="20"/>
      <w:lang w:eastAsia="en-US"/>
    </w:rPr>
  </w:style>
  <w:style w:type="paragraph" w:styleId="1180" w:customStyle="1">
    <w:name w:val="无标题正文 Char Char Char Char Char Char Char Char Char Char Char Char Char Char Char Char Char Char Char Char Char Char Char Char Char Char Char1 Char"/>
    <w:basedOn w:val="667"/>
    <w:uiPriority w:val="0"/>
    <w:qFormat/>
    <w:pPr>
      <w:jc w:val="center"/>
      <w:spacing w:after="160" w:line="240" w:lineRule="exact"/>
      <w:widowControl/>
    </w:pPr>
    <w:rPr>
      <w:rFonts w:ascii="Arial" w:hAnsi="Arial"/>
      <w:sz w:val="20"/>
      <w:szCs w:val="20"/>
      <w:lang w:eastAsia="en-US"/>
    </w:rPr>
  </w:style>
  <w:style w:type="paragraph" w:styleId="1181" w:customStyle="1">
    <w:name w:val="Char Char Char Char"/>
    <w:basedOn w:val="667"/>
    <w:uiPriority w:val="0"/>
    <w:qFormat/>
    <w:pPr>
      <w:ind w:left="560" w:firstLine="200"/>
      <w:jc w:val="left"/>
      <w:spacing w:after="120" w:line="360" w:lineRule="auto"/>
      <w:widowControl/>
    </w:pPr>
    <w:rPr>
      <w:rFonts w:ascii="Verdana" w:hAnsi="Verdana"/>
      <w:sz w:val="24"/>
    </w:rPr>
  </w:style>
  <w:style w:type="character" w:styleId="1182" w:customStyle="1">
    <w:name w:val="style91"/>
    <w:uiPriority w:val="0"/>
    <w:qFormat/>
    <w:rPr>
      <w:color w:val="2060c0"/>
      <w:sz w:val="24"/>
      <w:szCs w:val="24"/>
    </w:rPr>
  </w:style>
  <w:style w:type="paragraph" w:styleId="1183" w:customStyle="1">
    <w:name w:val="标准小四"/>
    <w:basedOn w:val="667"/>
    <w:uiPriority w:val="0"/>
    <w:qFormat/>
    <w:pPr>
      <w:ind w:firstLine="200"/>
      <w:spacing w:line="360" w:lineRule="auto"/>
    </w:pPr>
    <w:rPr>
      <w:rFonts w:ascii="Arial" w:hAnsi="Arial"/>
      <w:sz w:val="24"/>
      <w:szCs w:val="21"/>
    </w:rPr>
  </w:style>
  <w:style w:type="paragraph" w:styleId="1184" w:customStyle="1">
    <w:name w:val="样式 正文首行缩进 + 宋体 首行缩进:  0.74 厘米"/>
    <w:basedOn w:val="995"/>
    <w:uiPriority w:val="0"/>
    <w:qFormat/>
    <w:pPr>
      <w:ind w:firstLine="210"/>
      <w:spacing w:before="120" w:after="0" w:line="380" w:lineRule="exact"/>
    </w:pPr>
    <w:rPr>
      <w:rFonts w:ascii="宋体" w:cs="宋体"/>
      <w:sz w:val="24"/>
      <w:szCs w:val="20"/>
    </w:rPr>
  </w:style>
  <w:style w:type="paragraph" w:styleId="1185" w:customStyle="1">
    <w:name w:val="默认段落字体 Para Char Char Char Char Char Char Char Char Char1"/>
    <w:basedOn w:val="667"/>
    <w:uiPriority w:val="0"/>
    <w:qFormat/>
    <w:rPr>
      <w:rFonts w:ascii="Tahoma" w:hAnsi="Tahoma"/>
      <w:sz w:val="24"/>
      <w:szCs w:val="20"/>
    </w:rPr>
  </w:style>
  <w:style w:type="paragraph" w:styleId="1186" w:customStyle="1">
    <w:name w:val="正文小四"/>
    <w:basedOn w:val="667"/>
    <w:uiPriority w:val="0"/>
    <w:qFormat/>
    <w:pPr>
      <w:spacing w:line="312" w:lineRule="auto"/>
    </w:pPr>
    <w:rPr>
      <w:sz w:val="24"/>
    </w:rPr>
  </w:style>
  <w:style w:type="paragraph" w:styleId="1187" w:customStyle="1">
    <w:name w:val="ul"/>
    <w:basedOn w:val="667"/>
    <w:uiPriority w:val="0"/>
    <w:qFormat/>
    <w:pPr>
      <w:numPr>
        <w:ilvl w:val="0"/>
        <w:numId w:val="1"/>
      </w:numPr>
      <w:ind w:left="567" w:hanging="85"/>
      <w:jc w:val="left"/>
      <w:spacing w:line="360" w:lineRule="auto"/>
      <w:widowControl/>
      <w:tabs>
        <w:tab w:val="left" w:pos="842" w:leader="none"/>
      </w:tabs>
    </w:pPr>
    <w:rPr>
      <w:sz w:val="24"/>
    </w:rPr>
  </w:style>
  <w:style w:type="paragraph" w:styleId="1188" w:customStyle="1">
    <w:name w:val="Bullet"/>
    <w:basedOn w:val="667"/>
    <w:uiPriority w:val="0"/>
    <w:qFormat/>
    <w:pPr>
      <w:ind w:left="720" w:right="360" w:hanging="360"/>
      <w:spacing w:before="120" w:after="60" w:line="387" w:lineRule="atLeast"/>
      <w:widowControl/>
      <w:tabs>
        <w:tab w:val="left" w:pos="360" w:leader="none"/>
        <w:tab w:val="left" w:pos="720" w:leader="none"/>
      </w:tabs>
    </w:pPr>
    <w:rPr>
      <w:rFonts w:ascii="Book Antiqua" w:hAnsi="Book Antiqua"/>
      <w:sz w:val="24"/>
      <w:szCs w:val="20"/>
    </w:rPr>
  </w:style>
  <w:style w:type="paragraph" w:styleId="1189" w:customStyle="1">
    <w:name w:val="正文（首行缩进）"/>
    <w:basedOn w:val="667"/>
    <w:uiPriority w:val="0"/>
    <w:qFormat/>
    <w:pPr>
      <w:ind w:firstLine="482"/>
      <w:spacing w:before="120" w:line="360" w:lineRule="auto"/>
      <w:widowControl/>
    </w:pPr>
    <w:rPr>
      <w:sz w:val="24"/>
      <w:szCs w:val="20"/>
    </w:rPr>
  </w:style>
  <w:style w:type="character" w:styleId="1190" w:customStyle="1">
    <w:name w:val="style161"/>
    <w:uiPriority w:val="0"/>
    <w:qFormat/>
    <w:rPr>
      <w:rFonts w:ascii="Verdana" w:hAnsi="Verdana" w:eastAsia="宋体"/>
      <w:b/>
      <w:color w:val="0a246a"/>
      <w:sz w:val="24"/>
      <w:szCs w:val="24"/>
      <w:lang w:val="en-US" w:eastAsia="zh-CN" w:bidi="ar-SA"/>
    </w:rPr>
  </w:style>
  <w:style w:type="paragraph" w:styleId="1191" w:customStyle="1">
    <w:name w:val="正文（首行缩进两字）"/>
    <w:basedOn w:val="667"/>
    <w:uiPriority w:val="0"/>
    <w:qFormat/>
    <w:pPr>
      <w:spacing w:line="312" w:lineRule="auto"/>
    </w:pPr>
    <w:rPr>
      <w:rFonts w:ascii="宋体" w:cs="宋体"/>
      <w:sz w:val="24"/>
    </w:rPr>
  </w:style>
  <w:style w:type="paragraph" w:styleId="1192" w:customStyle="1">
    <w:name w:val="正文文字缩进 3"/>
    <w:basedOn w:val="667"/>
    <w:uiPriority w:val="0"/>
    <w:qFormat/>
    <w:pPr>
      <w:ind w:left="420" w:firstLine="420"/>
      <w:spacing w:line="312" w:lineRule="auto"/>
    </w:pPr>
    <w:rPr>
      <w:rFonts w:ascii="黑体" w:hAnsi="黑体" w:cs="宋体"/>
      <w:bCs/>
      <w:color w:val="000000"/>
      <w:sz w:val="24"/>
    </w:rPr>
  </w:style>
  <w:style w:type="paragraph" w:styleId="1193" w:customStyle="1">
    <w:name w:val="技术方案3"/>
    <w:basedOn w:val="667"/>
    <w:uiPriority w:val="0"/>
    <w:qFormat/>
    <w:pPr>
      <w:spacing w:line="360" w:lineRule="auto"/>
    </w:pPr>
    <w:rPr>
      <w:rFonts w:ascii="宋体"/>
      <w:b/>
      <w:bCs/>
      <w:sz w:val="32"/>
    </w:rPr>
  </w:style>
  <w:style w:type="paragraph" w:styleId="1194" w:customStyle="1">
    <w:name w:val="技术方案2"/>
    <w:basedOn w:val="667"/>
    <w:uiPriority w:val="0"/>
    <w:qFormat/>
    <w:pPr>
      <w:spacing w:line="480" w:lineRule="auto"/>
    </w:pPr>
    <w:rPr>
      <w:rFonts w:ascii="宋体"/>
      <w:b/>
      <w:bCs/>
      <w:sz w:val="36"/>
    </w:rPr>
  </w:style>
  <w:style w:type="paragraph" w:styleId="1195" w:customStyle="1">
    <w:name w:val="技术方案正文"/>
    <w:basedOn w:val="667"/>
    <w:uiPriority w:val="0"/>
    <w:qFormat/>
    <w:pPr>
      <w:ind w:firstLine="480"/>
      <w:spacing w:line="360" w:lineRule="auto"/>
    </w:pPr>
    <w:rPr>
      <w:rFonts w:ascii="宋体"/>
      <w:sz w:val="24"/>
    </w:rPr>
  </w:style>
  <w:style w:type="paragraph" w:styleId="1196"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197" w:customStyle="1">
    <w:name w:val="Normal Paragraph"/>
    <w:basedOn w:val="667"/>
    <w:uiPriority w:val="0"/>
    <w:qFormat/>
    <w:pPr>
      <w:ind w:firstLine="425"/>
      <w:spacing w:before="120" w:line="360" w:lineRule="auto"/>
      <w:widowControl/>
    </w:pPr>
    <w:rPr>
      <w:sz w:val="24"/>
      <w:szCs w:val="20"/>
    </w:rPr>
  </w:style>
  <w:style w:type="paragraph" w:styleId="1198" w:customStyle="1">
    <w:name w:val="Normal Paragraph Char"/>
    <w:basedOn w:val="667"/>
    <w:uiPriority w:val="0"/>
    <w:qFormat/>
    <w:pPr>
      <w:ind w:firstLine="425"/>
      <w:spacing w:before="120" w:line="360" w:lineRule="auto"/>
      <w:widowControl/>
    </w:pPr>
    <w:rPr>
      <w:sz w:val="24"/>
    </w:rPr>
  </w:style>
  <w:style w:type="paragraph" w:styleId="1199" w:customStyle="1">
    <w:name w:val="文档正文"/>
    <w:basedOn w:val="667"/>
    <w:uiPriority w:val="0"/>
    <w:qFormat/>
    <w:rPr>
      <w:rFonts w:ascii="宋体"/>
      <w:szCs w:val="20"/>
    </w:rPr>
  </w:style>
  <w:style w:type="paragraph" w:styleId="1200" w:customStyle="1">
    <w:name w:val="默认段落字体 Para Char Char Char Char Char"/>
    <w:basedOn w:val="667"/>
    <w:uiPriority w:val="0"/>
    <w:qFormat/>
    <w:pPr>
      <w:ind w:firstLine="200"/>
      <w:jc w:val="left"/>
      <w:spacing w:before="100" w:beforeAutospacing="1" w:after="100" w:afterAutospacing="1" w:line="360" w:lineRule="auto"/>
    </w:pPr>
    <w:rPr>
      <w:rFonts w:ascii="Arial" w:hAnsi="Arial"/>
      <w:sz w:val="24"/>
      <w:lang w:eastAsia="en-US"/>
    </w:rPr>
  </w:style>
  <w:style w:type="paragraph" w:styleId="1201" w:customStyle="1">
    <w:name w:val="标题2"/>
    <w:basedOn w:val="667"/>
    <w:uiPriority w:val="0"/>
    <w:qFormat/>
    <w:pPr>
      <w:tabs>
        <w:tab w:val="left" w:pos="0" w:leader="none"/>
      </w:tabs>
    </w:pPr>
    <w:rPr>
      <w:rFonts w:ascii="黑体" w:eastAsia="黑体"/>
      <w:sz w:val="24"/>
    </w:rPr>
  </w:style>
  <w:style w:type="paragraph" w:styleId="1202" w:customStyle="1">
    <w:name w:val="Char Char Char Char Char Char Char Char Char Char Char Char Char1"/>
    <w:basedOn w:val="667"/>
    <w:uiPriority w:val="0"/>
    <w:qFormat/>
    <w:pPr>
      <w:jc w:val="left"/>
      <w:spacing w:after="160" w:line="240" w:lineRule="exact"/>
      <w:widowControl/>
    </w:pPr>
    <w:rPr>
      <w:rFonts w:ascii="Arial" w:hAnsi="Arial" w:eastAsia="Times New Roman" w:cs="Verdana"/>
      <w:b/>
      <w:sz w:val="24"/>
      <w:szCs w:val="32"/>
      <w:lang w:eastAsia="en-US"/>
    </w:rPr>
  </w:style>
  <w:style w:type="paragraph" w:styleId="1203" w:customStyle="1">
    <w:name w:val="样式2"/>
    <w:basedOn w:val="770"/>
    <w:uiPriority w:val="0"/>
    <w:qFormat/>
    <w:pPr>
      <w:spacing w:line="415" w:lineRule="auto"/>
    </w:pPr>
    <w:rPr>
      <w:rFonts w:ascii="Calibri" w:hAnsi="Calibri"/>
      <w:bCs/>
      <w:color w:val="000000"/>
      <w:sz w:val="28"/>
      <w:szCs w:val="28"/>
    </w:rPr>
  </w:style>
  <w:style w:type="paragraph" w:styleId="1204" w:customStyle="1">
    <w:name w:val="样式3"/>
    <w:basedOn w:val="770"/>
    <w:uiPriority w:val="0"/>
    <w:qFormat/>
    <w:pPr>
      <w:spacing w:line="415" w:lineRule="auto"/>
    </w:pPr>
    <w:rPr>
      <w:rFonts w:ascii="Calibri" w:hAnsi="Calibri"/>
      <w:bCs/>
      <w:color w:val="000000"/>
      <w:sz w:val="28"/>
      <w:szCs w:val="28"/>
    </w:rPr>
  </w:style>
  <w:style w:type="paragraph" w:styleId="1205" w:customStyle="1">
    <w:name w:val="样式4"/>
    <w:basedOn w:val="770"/>
    <w:uiPriority w:val="0"/>
    <w:qFormat/>
    <w:pPr>
      <w:spacing w:line="415" w:lineRule="auto"/>
    </w:pPr>
    <w:rPr>
      <w:rFonts w:ascii="Calibri" w:hAnsi="Calibri"/>
      <w:bCs/>
      <w:color w:val="000000"/>
      <w:sz w:val="28"/>
      <w:szCs w:val="28"/>
    </w:rPr>
  </w:style>
  <w:style w:type="paragraph" w:styleId="1206" w:customStyle="1">
    <w:name w:val="样式5"/>
    <w:basedOn w:val="770"/>
    <w:uiPriority w:val="0"/>
    <w:qFormat/>
    <w:pPr>
      <w:spacing w:line="415" w:lineRule="auto"/>
    </w:pPr>
    <w:rPr>
      <w:rFonts w:ascii="Calibri" w:hAnsi="Calibri"/>
      <w:bCs/>
      <w:color w:val="000000"/>
      <w:sz w:val="28"/>
      <w:szCs w:val="28"/>
    </w:rPr>
  </w:style>
  <w:style w:type="paragraph" w:styleId="1207" w:customStyle="1">
    <w:name w:val="样式6"/>
    <w:basedOn w:val="1139"/>
    <w:uiPriority w:val="0"/>
    <w:qFormat/>
    <w:pPr>
      <w:keepLines/>
      <w:keepNext/>
      <w:spacing w:before="260" w:after="260" w:line="415" w:lineRule="auto"/>
      <w:outlineLvl w:val="1"/>
    </w:pPr>
    <w:rPr>
      <w:rFonts w:ascii="Times New Roman" w:hAnsi="Times New Roman" w:eastAsia="宋体" w:cs="Times New Roman"/>
      <w:b/>
      <w:bCs/>
      <w:sz w:val="32"/>
      <w:szCs w:val="32"/>
    </w:rPr>
  </w:style>
  <w:style w:type="paragraph" w:styleId="1208" w:customStyle="1">
    <w:name w:val="大汉方案正文 Char"/>
    <w:basedOn w:val="667"/>
    <w:uiPriority w:val="0"/>
    <w:qFormat/>
    <w:pPr>
      <w:ind w:firstLine="200"/>
      <w:spacing w:line="360" w:lineRule="auto"/>
    </w:pPr>
    <w:rPr>
      <w:rFonts w:ascii="Arial" w:hAnsi="Arial"/>
      <w:sz w:val="24"/>
    </w:rPr>
  </w:style>
  <w:style w:type="character" w:styleId="1209" w:customStyle="1">
    <w:name w:val="标题 2 Char Char Char"/>
    <w:uiPriority w:val="0"/>
    <w:qFormat/>
    <w:rPr>
      <w:rFonts w:ascii="Arial" w:hAnsi="Arial" w:eastAsia="宋体" w:cs="Arial"/>
      <w:b/>
      <w:bCs/>
      <w:i/>
      <w:iCs/>
      <w:sz w:val="28"/>
      <w:szCs w:val="28"/>
      <w:lang w:val="en-US" w:eastAsia="zh-CN" w:bidi="ar-SA"/>
    </w:rPr>
  </w:style>
  <w:style w:type="character" w:styleId="1210" w:customStyle="1">
    <w:name w:val="question-title"/>
    <w:uiPriority w:val="0"/>
    <w:qFormat/>
  </w:style>
  <w:style w:type="paragraph" w:styleId="1211" w:customStyle="1">
    <w:name w:val="说明书2级标题"/>
    <w:basedOn w:val="667"/>
    <w:next w:val="1212"/>
    <w:uiPriority w:val="0"/>
    <w:qFormat/>
    <w:pPr>
      <w:numPr>
        <w:ilvl w:val="2"/>
        <w:numId w:val="2"/>
      </w:numPr>
      <w:spacing w:before="100"/>
    </w:pPr>
    <w:rPr>
      <w:rFonts w:eastAsia="黑体"/>
      <w:sz w:val="28"/>
      <w:szCs w:val="28"/>
    </w:rPr>
  </w:style>
  <w:style w:type="paragraph" w:styleId="1212" w:customStyle="1">
    <w:name w:val="说明书3级标题"/>
    <w:basedOn w:val="667"/>
    <w:next w:val="667"/>
    <w:uiPriority w:val="0"/>
    <w:qFormat/>
    <w:pPr>
      <w:numPr>
        <w:ilvl w:val="2"/>
        <w:numId w:val="3"/>
      </w:numPr>
      <w:spacing w:line="360" w:lineRule="auto"/>
    </w:pPr>
    <w:rPr>
      <w:rFonts w:eastAsia="黑体"/>
      <w:sz w:val="24"/>
    </w:rPr>
  </w:style>
  <w:style w:type="character" w:styleId="1213" w:customStyle="1">
    <w:name w:val="style15"/>
    <w:uiPriority w:val="0"/>
    <w:qFormat/>
  </w:style>
  <w:style w:type="paragraph" w:styleId="1214" w:customStyle="1">
    <w:name w:val="列出段落[858D7CFB-ED40-4347-BF05-701D383B685F][858D7CFB-ED40-4347-BF05-701D383B685F]"/>
    <w:basedOn w:val="667"/>
    <w:uiPriority w:val="0"/>
    <w:qFormat/>
    <w:pPr>
      <w:ind w:firstLine="200"/>
    </w:pPr>
  </w:style>
  <w:style w:type="paragraph" w:styleId="1215" w:customStyle="1">
    <w:name w:val="默认段落字体 Para Char Char Char Char Char Char Char Char Char1 Char Char Char Char Char Char Char Char"/>
    <w:basedOn w:val="958"/>
    <w:uiPriority w:val="0"/>
    <w:qFormat/>
  </w:style>
  <w:style w:type="paragraph" w:styleId="1216" w:customStyle="1">
    <w:name w:val="style42"/>
    <w:basedOn w:val="667"/>
    <w:uiPriority w:val="0"/>
    <w:qFormat/>
    <w:pPr>
      <w:jc w:val="left"/>
      <w:spacing w:before="100" w:beforeAutospacing="1" w:after="100" w:afterAutospacing="1"/>
      <w:widowControl/>
    </w:pPr>
    <w:rPr>
      <w:rFonts w:ascii="宋体" w:cs="宋体"/>
      <w:color w:val="000000"/>
      <w:sz w:val="15"/>
      <w:szCs w:val="15"/>
    </w:rPr>
  </w:style>
  <w:style w:type="paragraph" w:styleId="1217" w:customStyle="1">
    <w:name w:val="Char Char1 Char Char Char Char Char Char Char Char"/>
    <w:basedOn w:val="667"/>
    <w:uiPriority w:val="0"/>
    <w:qFormat/>
    <w:pPr>
      <w:jc w:val="left"/>
      <w:spacing w:after="160" w:line="240" w:lineRule="exact"/>
      <w:widowControl/>
    </w:pPr>
  </w:style>
  <w:style w:type="paragraph" w:styleId="1218" w:customStyle="1">
    <w:name w:val="技术方案正文样式"/>
    <w:basedOn w:val="667"/>
    <w:uiPriority w:val="0"/>
    <w:qFormat/>
    <w:pPr>
      <w:ind w:firstLine="200"/>
      <w:spacing w:line="400" w:lineRule="exact"/>
    </w:pPr>
    <w:rPr>
      <w:rFonts w:ascii="宋体" w:cs="宋体"/>
      <w:sz w:val="24"/>
      <w:szCs w:val="21"/>
    </w:rPr>
  </w:style>
  <w:style w:type="paragraph" w:styleId="1219" w:customStyle="1">
    <w:name w:val="修订1"/>
    <w:uiPriority w:val="0"/>
    <w:qFormat/>
    <w:rPr>
      <w:rFonts w:hint="default" w:ascii="Times New Roman" w:hAnsi="Times New Roman" w:eastAsia="宋体" w:cs="Times New Roman"/>
      <w:sz w:val="21"/>
      <w:szCs w:val="24"/>
      <w:lang w:val="en-US" w:eastAsia="zh-CN" w:bidi="ar-SA"/>
    </w:rPr>
  </w:style>
  <w:style w:type="paragraph" w:styleId="1220" w:customStyle="1">
    <w:name w:val="D&amp;L"/>
    <w:basedOn w:val="980"/>
    <w:uiPriority w:val="0"/>
    <w:qFormat/>
    <w:pPr>
      <w:spacing w:line="240" w:lineRule="atLeast"/>
      <w:pBdr>
        <w:bottom w:val="single" w:color="000000" w:sz="18" w:space="1"/>
      </w:pBdr>
    </w:pPr>
    <w:rPr>
      <w:sz w:val="24"/>
      <w:szCs w:val="20"/>
    </w:rPr>
  </w:style>
  <w:style w:type="paragraph" w:styleId="1221" w:customStyle="1">
    <w:name w:val="样式 标题 2 + Times New Roman 四号 非加粗 段前: 5 磅 段后: 0 磅 行距: 固定值 20..."/>
    <w:basedOn w:val="768"/>
    <w:uiPriority w:val="0"/>
    <w:qFormat/>
    <w:pPr>
      <w:spacing w:before="100" w:after="0" w:line="400" w:lineRule="exact"/>
    </w:pPr>
    <w:rPr>
      <w:rFonts w:ascii="Times New Roman" w:hAnsi="Times New Roman" w:cs="宋体"/>
      <w:b w:val="0"/>
      <w:sz w:val="28"/>
    </w:rPr>
  </w:style>
  <w:style w:type="paragraph" w:styleId="1222" w:customStyle="1">
    <w:name w:val="Char Char Char Char Char Char Char1 Char"/>
    <w:basedOn w:val="667"/>
    <w:uiPriority w:val="0"/>
    <w:qFormat/>
    <w:rPr>
      <w:rFonts w:ascii="Tahoma" w:hAnsi="Tahoma"/>
      <w:sz w:val="24"/>
      <w:szCs w:val="20"/>
    </w:rPr>
  </w:style>
  <w:style w:type="paragraph" w:styleId="1223" w:customStyle="1">
    <w:name w:val="TOC 标题2"/>
    <w:basedOn w:val="766"/>
    <w:next w:val="667"/>
    <w:uiPriority w:val="0"/>
    <w:qFormat/>
    <w:pPr>
      <w:spacing w:before="480" w:after="0" w:line="276" w:lineRule="auto"/>
      <w:widowControl/>
      <w:outlineLvl w:val="9"/>
    </w:pPr>
    <w:rPr>
      <w:rFonts w:ascii="Cambria" w:hAnsi="Cambria"/>
      <w:color w:val="365f91"/>
      <w:sz w:val="28"/>
    </w:rPr>
  </w:style>
  <w:style w:type="paragraph" w:styleId="1224" w:customStyle="1">
    <w:name w:val="无间隔11"/>
    <w:link w:val="1225"/>
    <w:uiPriority w:val="0"/>
    <w:qFormat/>
    <w:rPr>
      <w:rFonts w:hint="default" w:ascii="Calibri" w:hAnsi="Calibri" w:eastAsia="宋体" w:cs="Times New Roman"/>
      <w:sz w:val="22"/>
      <w:lang w:val="en-US" w:eastAsia="zh-CN" w:bidi="ar-SA"/>
    </w:rPr>
  </w:style>
  <w:style w:type="character" w:styleId="1225" w:customStyle="1">
    <w:name w:val="无间隔 字符"/>
    <w:link w:val="1224"/>
    <w:uiPriority w:val="0"/>
    <w:qFormat/>
    <w:rPr>
      <w:rFonts w:ascii="Calibri" w:hAnsi="Calibri"/>
      <w:sz w:val="22"/>
      <w:lang w:bidi="ar-SA"/>
    </w:rPr>
  </w:style>
  <w:style w:type="paragraph" w:styleId="1226" w:customStyle="1">
    <w:name w:val="Normal_0"/>
    <w:uiPriority w:val="0"/>
    <w:qFormat/>
    <w:rPr>
      <w:rFonts w:hint="default" w:ascii="黑体" w:hAnsi="黑体" w:eastAsia="黑体" w:cs="Times New Roman"/>
      <w:b/>
      <w:sz w:val="32"/>
      <w:szCs w:val="24"/>
      <w:lang w:val="en-US" w:eastAsia="zh-CN" w:bidi="ar-SA"/>
    </w:rPr>
  </w:style>
  <w:style w:type="paragraph" w:styleId="1227" w:customStyle="1">
    <w:name w:val="正文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28" w:customStyle="1">
    <w:name w:val="Normal_1"/>
    <w:uiPriority w:val="0"/>
    <w:qFormat/>
    <w:rPr>
      <w:rFonts w:hint="default" w:ascii="黑体" w:hAnsi="黑体" w:eastAsia="黑体" w:cs="Times New Roman"/>
      <w:b/>
      <w:sz w:val="32"/>
      <w:szCs w:val="24"/>
      <w:lang w:val="en-US" w:eastAsia="zh-CN" w:bidi="ar-SA"/>
    </w:rPr>
  </w:style>
  <w:style w:type="paragraph" w:styleId="1229" w:customStyle="1">
    <w:name w:val="正文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30" w:customStyle="1">
    <w:name w:val="正文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31" w:customStyle="1">
    <w:name w:val="正文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32" w:customStyle="1">
    <w:name w:val="Normal_2"/>
    <w:uiPriority w:val="0"/>
    <w:qFormat/>
    <w:rPr>
      <w:rFonts w:hint="default" w:ascii="黑体" w:hAnsi="黑体" w:eastAsia="黑体" w:cs="Times New Roman"/>
      <w:b/>
      <w:sz w:val="32"/>
      <w:szCs w:val="24"/>
      <w:lang w:val="en-US" w:eastAsia="zh-CN" w:bidi="ar-SA"/>
    </w:rPr>
  </w:style>
  <w:style w:type="paragraph" w:styleId="1233" w:customStyle="1">
    <w:name w:val="正文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34" w:customStyle="1">
    <w:name w:val="Normal_3"/>
    <w:uiPriority w:val="0"/>
    <w:qFormat/>
    <w:rPr>
      <w:rFonts w:hint="default" w:ascii="黑体" w:hAnsi="黑体" w:eastAsia="黑体" w:cs="Times New Roman"/>
      <w:b/>
      <w:sz w:val="32"/>
      <w:szCs w:val="24"/>
      <w:lang w:val="en-US" w:eastAsia="zh-CN" w:bidi="ar-SA"/>
    </w:rPr>
  </w:style>
  <w:style w:type="paragraph" w:styleId="1235" w:customStyle="1">
    <w:name w:val="Normal_4"/>
    <w:uiPriority w:val="0"/>
    <w:qFormat/>
    <w:rPr>
      <w:rFonts w:hint="default" w:ascii="黑体" w:hAnsi="黑体" w:eastAsia="黑体" w:cs="Times New Roman"/>
      <w:b/>
      <w:sz w:val="32"/>
      <w:szCs w:val="24"/>
      <w:lang w:val="en-US" w:eastAsia="zh-CN" w:bidi="ar-SA"/>
    </w:rPr>
  </w:style>
  <w:style w:type="paragraph" w:styleId="1236" w:customStyle="1">
    <w:name w:val="Normal_5"/>
    <w:uiPriority w:val="0"/>
    <w:qFormat/>
    <w:rPr>
      <w:rFonts w:hint="default" w:ascii="黑体" w:hAnsi="黑体" w:eastAsia="黑体" w:cs="Times New Roman"/>
      <w:b/>
      <w:sz w:val="32"/>
      <w:szCs w:val="24"/>
      <w:lang w:val="en-US" w:eastAsia="zh-CN" w:bidi="ar-SA"/>
    </w:rPr>
  </w:style>
  <w:style w:type="paragraph" w:styleId="1237" w:customStyle="1">
    <w:name w:val="正文_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38" w:customStyle="1">
    <w:name w:val="Normal_6"/>
    <w:uiPriority w:val="0"/>
    <w:qFormat/>
    <w:rPr>
      <w:rFonts w:hint="default" w:ascii="黑体" w:hAnsi="黑体" w:eastAsia="黑体" w:cs="Times New Roman"/>
      <w:b/>
      <w:sz w:val="32"/>
      <w:szCs w:val="24"/>
      <w:lang w:val="en-US" w:eastAsia="zh-CN" w:bidi="ar-SA"/>
    </w:rPr>
  </w:style>
  <w:style w:type="paragraph" w:styleId="1239" w:customStyle="1">
    <w:name w:val="正文_5"/>
    <w:uiPriority w:val="0"/>
    <w:qFormat/>
    <w:pPr>
      <w:jc w:val="both"/>
      <w:widowControl w:val="off"/>
    </w:pPr>
    <w:rPr>
      <w:rFonts w:hint="default" w:ascii="Times New Roman" w:hAnsi="Times New Roman" w:eastAsia="宋体" w:cs="Times New Roman"/>
      <w:sz w:val="21"/>
      <w:lang w:val="en-US" w:eastAsia="zh-CN" w:bidi="ar-SA"/>
    </w:rPr>
  </w:style>
  <w:style w:type="paragraph" w:styleId="1240" w:customStyle="1">
    <w:name w:val="Normal_7"/>
    <w:uiPriority w:val="0"/>
    <w:qFormat/>
    <w:rPr>
      <w:rFonts w:hint="default" w:ascii="黑体" w:hAnsi="黑体" w:eastAsia="黑体" w:cs="Times New Roman"/>
      <w:b/>
      <w:sz w:val="32"/>
      <w:szCs w:val="24"/>
      <w:lang w:val="en-US" w:eastAsia="zh-CN" w:bidi="ar-SA"/>
    </w:rPr>
  </w:style>
  <w:style w:type="paragraph" w:styleId="1241" w:customStyle="1">
    <w:name w:val="Normal_8"/>
    <w:uiPriority w:val="0"/>
    <w:qFormat/>
    <w:rPr>
      <w:rFonts w:hint="default" w:ascii="Times New Roman" w:hAnsi="Times New Roman" w:eastAsia="Times New Roman" w:cs="Times New Roman"/>
      <w:sz w:val="24"/>
      <w:szCs w:val="24"/>
      <w:lang w:val="en-US" w:eastAsia="zh-CN" w:bidi="ar-SA"/>
    </w:rPr>
  </w:style>
  <w:style w:type="paragraph" w:styleId="1242" w:customStyle="1">
    <w:name w:val="Normal_9"/>
    <w:uiPriority w:val="0"/>
    <w:qFormat/>
    <w:rPr>
      <w:rFonts w:hint="default" w:ascii="黑体" w:hAnsi="黑体" w:eastAsia="黑体" w:cs="Times New Roman"/>
      <w:b/>
      <w:sz w:val="32"/>
      <w:szCs w:val="24"/>
      <w:lang w:val="en-US" w:eastAsia="zh-CN" w:bidi="ar-SA"/>
    </w:rPr>
  </w:style>
  <w:style w:type="paragraph" w:styleId="1243" w:customStyle="1">
    <w:name w:val="正文_6"/>
    <w:uiPriority w:val="0"/>
    <w:qFormat/>
    <w:pPr>
      <w:jc w:val="both"/>
      <w:widowControl w:val="off"/>
    </w:pPr>
    <w:rPr>
      <w:rFonts w:hint="default" w:ascii="Calibri" w:hAnsi="Calibri" w:eastAsia="宋体" w:cs="Times New Roman"/>
      <w:sz w:val="21"/>
      <w:szCs w:val="22"/>
      <w:lang w:val="en-US" w:eastAsia="zh-CN" w:bidi="ar-SA"/>
    </w:rPr>
  </w:style>
  <w:style w:type="paragraph" w:styleId="1244" w:customStyle="1">
    <w:name w:val="Normal_10"/>
    <w:uiPriority w:val="0"/>
    <w:qFormat/>
    <w:rPr>
      <w:rFonts w:hint="default" w:ascii="黑体" w:hAnsi="黑体" w:eastAsia="黑体" w:cs="Times New Roman"/>
      <w:b/>
      <w:sz w:val="32"/>
      <w:szCs w:val="24"/>
      <w:lang w:val="en-US" w:eastAsia="zh-CN" w:bidi="ar-SA"/>
    </w:rPr>
  </w:style>
  <w:style w:type="paragraph" w:styleId="1245" w:customStyle="1">
    <w:name w:val="正文_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46" w:customStyle="1">
    <w:name w:val="正文缩进_0"/>
    <w:basedOn w:val="1245"/>
    <w:link w:val="1247"/>
    <w:uiPriority w:val="0"/>
    <w:unhideWhenUsed/>
    <w:qFormat/>
    <w:pPr>
      <w:ind w:firstLine="420"/>
    </w:pPr>
    <w:rPr>
      <w:szCs w:val="22"/>
    </w:rPr>
  </w:style>
  <w:style w:type="character" w:styleId="1247" w:customStyle="1">
    <w:name w:val="正文缩进 Char1_0"/>
    <w:link w:val="1246"/>
    <w:uiPriority w:val="0"/>
    <w:qFormat/>
    <w:rPr>
      <w:sz w:val="21"/>
      <w:szCs w:val="22"/>
    </w:rPr>
  </w:style>
  <w:style w:type="paragraph" w:styleId="1248" w:customStyle="1">
    <w:name w:val="纯文本_0"/>
    <w:basedOn w:val="1245"/>
    <w:link w:val="1249"/>
    <w:uiPriority w:val="0"/>
    <w:unhideWhenUsed/>
    <w:qFormat/>
    <w:rPr>
      <w:rFonts w:ascii="宋体" w:hAnsi="Courier New"/>
      <w:szCs w:val="21"/>
    </w:rPr>
  </w:style>
  <w:style w:type="character" w:styleId="1249" w:customStyle="1">
    <w:name w:val="纯文本 Char_0"/>
    <w:link w:val="1248"/>
    <w:uiPriority w:val="0"/>
    <w:qFormat/>
    <w:rPr>
      <w:rFonts w:ascii="宋体" w:hAnsi="Courier New" w:cs="Courier New"/>
      <w:sz w:val="21"/>
      <w:szCs w:val="21"/>
    </w:rPr>
  </w:style>
  <w:style w:type="paragraph" w:styleId="1250" w:customStyle="1">
    <w:name w:val="Normal_11"/>
    <w:uiPriority w:val="0"/>
    <w:qFormat/>
    <w:rPr>
      <w:rFonts w:hint="default" w:ascii="黑体" w:hAnsi="黑体" w:eastAsia="黑体" w:cs="Times New Roman"/>
      <w:b/>
      <w:sz w:val="32"/>
      <w:szCs w:val="24"/>
      <w:lang w:val="en-US" w:eastAsia="zh-CN" w:bidi="ar-SA"/>
    </w:rPr>
  </w:style>
  <w:style w:type="paragraph" w:styleId="1251" w:customStyle="1">
    <w:name w:val="正文_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52" w:customStyle="1">
    <w:name w:val="Normal_12"/>
    <w:uiPriority w:val="0"/>
    <w:qFormat/>
    <w:rPr>
      <w:rFonts w:hint="default" w:ascii="黑体" w:hAnsi="黑体" w:eastAsia="黑体" w:cs="Times New Roman"/>
      <w:b/>
      <w:sz w:val="32"/>
      <w:szCs w:val="24"/>
      <w:lang w:val="en-US" w:eastAsia="zh-CN" w:bidi="ar-SA"/>
    </w:rPr>
  </w:style>
  <w:style w:type="paragraph" w:styleId="1253" w:customStyle="1">
    <w:name w:val="正文_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54" w:customStyle="1">
    <w:name w:val="Normal_13"/>
    <w:uiPriority w:val="0"/>
    <w:qFormat/>
    <w:rPr>
      <w:rFonts w:hint="default" w:ascii="黑体" w:hAnsi="黑体" w:eastAsia="黑体" w:cs="Times New Roman"/>
      <w:b/>
      <w:sz w:val="32"/>
      <w:szCs w:val="24"/>
      <w:lang w:val="en-US" w:eastAsia="zh-CN" w:bidi="ar-SA"/>
    </w:rPr>
  </w:style>
  <w:style w:type="paragraph" w:styleId="1255" w:customStyle="1">
    <w:name w:val="正文_1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56" w:customStyle="1">
    <w:name w:val="Normal_14"/>
    <w:uiPriority w:val="0"/>
    <w:qFormat/>
    <w:rPr>
      <w:rFonts w:hint="default" w:ascii="黑体" w:hAnsi="黑体" w:eastAsia="黑体" w:cs="Times New Roman"/>
      <w:b/>
      <w:sz w:val="32"/>
      <w:szCs w:val="24"/>
      <w:lang w:val="en-US" w:eastAsia="zh-CN" w:bidi="ar-SA"/>
    </w:rPr>
  </w:style>
  <w:style w:type="paragraph" w:styleId="1257" w:customStyle="1">
    <w:name w:val="正文_1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58" w:customStyle="1">
    <w:name w:val="Normal_15"/>
    <w:uiPriority w:val="0"/>
    <w:qFormat/>
    <w:rPr>
      <w:rFonts w:hint="default" w:ascii="黑体" w:hAnsi="黑体" w:eastAsia="黑体" w:cs="Times New Roman"/>
      <w:b/>
      <w:sz w:val="32"/>
      <w:szCs w:val="24"/>
      <w:lang w:val="en-US" w:eastAsia="zh-CN" w:bidi="ar-SA"/>
    </w:rPr>
  </w:style>
  <w:style w:type="paragraph" w:styleId="1259" w:customStyle="1">
    <w:name w:val="正文_1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60" w:customStyle="1">
    <w:name w:val="Normal_16"/>
    <w:uiPriority w:val="0"/>
    <w:qFormat/>
    <w:rPr>
      <w:rFonts w:hint="default" w:ascii="黑体" w:hAnsi="黑体" w:eastAsia="黑体" w:cs="Times New Roman"/>
      <w:b/>
      <w:sz w:val="32"/>
      <w:szCs w:val="24"/>
      <w:lang w:val="en-US" w:eastAsia="zh-CN" w:bidi="ar-SA"/>
    </w:rPr>
  </w:style>
  <w:style w:type="paragraph" w:styleId="1261" w:customStyle="1">
    <w:name w:val="正文_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62" w:customStyle="1">
    <w:name w:val="正文_14"/>
    <w:uiPriority w:val="0"/>
    <w:qFormat/>
    <w:pPr>
      <w:jc w:val="both"/>
      <w:widowControl w:val="off"/>
    </w:pPr>
    <w:rPr>
      <w:rFonts w:hint="default" w:ascii="Calibri" w:hAnsi="Calibri" w:eastAsia="宋体" w:cs="Times New Roman"/>
      <w:sz w:val="21"/>
      <w:szCs w:val="22"/>
      <w:lang w:val="en-US" w:eastAsia="zh-CN" w:bidi="ar-SA"/>
    </w:rPr>
  </w:style>
  <w:style w:type="paragraph" w:styleId="1263" w:customStyle="1">
    <w:name w:val="Normal_17"/>
    <w:uiPriority w:val="0"/>
    <w:qFormat/>
    <w:rPr>
      <w:rFonts w:hint="default" w:ascii="黑体" w:hAnsi="黑体" w:eastAsia="黑体" w:cs="Times New Roman"/>
      <w:b/>
      <w:sz w:val="32"/>
      <w:szCs w:val="24"/>
      <w:lang w:val="en-US" w:eastAsia="zh-CN" w:bidi="ar-SA"/>
    </w:rPr>
  </w:style>
  <w:style w:type="paragraph" w:styleId="1264" w:customStyle="1">
    <w:name w:val="Normal_18"/>
    <w:uiPriority w:val="0"/>
    <w:qFormat/>
    <w:rPr>
      <w:rFonts w:hint="default" w:ascii="黑体" w:hAnsi="黑体" w:eastAsia="黑体" w:cs="Times New Roman"/>
      <w:b/>
      <w:sz w:val="32"/>
      <w:szCs w:val="24"/>
      <w:lang w:val="en-US" w:eastAsia="zh-CN" w:bidi="ar-SA"/>
    </w:rPr>
  </w:style>
  <w:style w:type="paragraph" w:styleId="1265" w:customStyle="1">
    <w:name w:val="正文_15"/>
    <w:uiPriority w:val="0"/>
    <w:qFormat/>
    <w:pPr>
      <w:jc w:val="both"/>
      <w:widowControl w:val="off"/>
    </w:pPr>
    <w:rPr>
      <w:rFonts w:hint="default" w:ascii="Calibri" w:hAnsi="Calibri" w:eastAsia="宋体" w:cs="Times New Roman"/>
      <w:sz w:val="21"/>
      <w:szCs w:val="22"/>
      <w:lang w:val="en-US" w:eastAsia="zh-CN" w:bidi="ar-SA"/>
    </w:rPr>
  </w:style>
  <w:style w:type="paragraph" w:styleId="1266" w:customStyle="1">
    <w:name w:val="Normal_0_0"/>
    <w:uiPriority w:val="0"/>
    <w:qFormat/>
    <w:rPr>
      <w:rFonts w:hint="default" w:ascii="黑体" w:hAnsi="黑体" w:eastAsia="黑体" w:cs="Times New Roman"/>
      <w:b/>
      <w:sz w:val="40"/>
      <w:szCs w:val="24"/>
      <w:lang w:val="en-US" w:eastAsia="zh-CN" w:bidi="ar-SA"/>
    </w:rPr>
  </w:style>
  <w:style w:type="paragraph" w:styleId="1267" w:customStyle="1">
    <w:name w:val="Normal_1_0"/>
    <w:uiPriority w:val="0"/>
    <w:qFormat/>
    <w:rPr>
      <w:rFonts w:hint="default" w:ascii="Times New Roman" w:hAnsi="Times New Roman" w:eastAsia="Times New Roman" w:cs="Times New Roman"/>
      <w:sz w:val="24"/>
      <w:szCs w:val="24"/>
      <w:lang w:val="en-US" w:eastAsia="zh-CN" w:bidi="ar-SA"/>
    </w:rPr>
  </w:style>
  <w:style w:type="paragraph" w:styleId="1268" w:customStyle="1">
    <w:name w:val="正文_0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69" w:customStyle="1">
    <w:name w:val="正文_3"/>
    <w:next w:val="1270"/>
    <w:uiPriority w:val="0"/>
    <w:qFormat/>
    <w:pPr>
      <w:jc w:val="both"/>
      <w:widowControl w:val="off"/>
    </w:pPr>
    <w:rPr>
      <w:rFonts w:hint="default" w:ascii="Calibri" w:hAnsi="Calibri" w:eastAsia="宋体" w:cs="Times New Roman"/>
      <w:sz w:val="21"/>
      <w:szCs w:val="22"/>
      <w:lang w:val="en-US" w:eastAsia="zh-CN" w:bidi="ar-SA"/>
    </w:rPr>
  </w:style>
  <w:style w:type="paragraph" w:styleId="1270" w:customStyle="1">
    <w:name w:val="正文首行缩进 2_1"/>
    <w:basedOn w:val="1271"/>
    <w:next w:val="1273"/>
    <w:uiPriority w:val="0"/>
    <w:qFormat/>
    <w:pPr>
      <w:ind w:left="200" w:firstLine="200"/>
      <w:spacing w:after="120"/>
    </w:pPr>
    <w:rPr>
      <w:rFonts w:ascii="Times New Roman" w:hAnsi="Times New Roman"/>
      <w:sz w:val="24"/>
      <w:szCs w:val="24"/>
    </w:rPr>
  </w:style>
  <w:style w:type="paragraph" w:styleId="1271" w:customStyle="1">
    <w:name w:val="正文文本缩进_1"/>
    <w:basedOn w:val="1272"/>
    <w:next w:val="1270"/>
    <w:uiPriority w:val="0"/>
    <w:qFormat/>
    <w:pPr>
      <w:ind w:firstLine="225"/>
    </w:pPr>
    <w:rPr>
      <w:rFonts w:ascii="仿宋_GB2312" w:eastAsia="仿宋_GB2312"/>
      <w:sz w:val="32"/>
    </w:rPr>
  </w:style>
  <w:style w:type="paragraph" w:styleId="1272" w:customStyle="1">
    <w:name w:val="正文_18"/>
    <w:next w:val="1271"/>
    <w:uiPriority w:val="0"/>
    <w:qFormat/>
    <w:pPr>
      <w:jc w:val="both"/>
      <w:widowControl w:val="off"/>
    </w:pPr>
    <w:rPr>
      <w:rFonts w:hint="default" w:ascii="Calibri" w:hAnsi="Calibri" w:eastAsia="宋体" w:cs="Times New Roman"/>
      <w:sz w:val="21"/>
      <w:szCs w:val="22"/>
      <w:lang w:val="en-US" w:eastAsia="zh-CN" w:bidi="ar-SA"/>
    </w:rPr>
  </w:style>
  <w:style w:type="paragraph" w:styleId="1273" w:customStyle="1">
    <w:name w:val="xl53_0"/>
    <w:next w:val="1269"/>
    <w:uiPriority w:val="0"/>
    <w:qFormat/>
    <w:pPr>
      <w:jc w:val="center"/>
      <w:spacing w:before="100" w:beforeAutospacing="1" w:after="100" w:afterAutospacing="1"/>
      <w:pBdr>
        <w:top w:val="single" w:color="auto" w:sz="4" w:space="0"/>
        <w:left w:val="single" w:color="auto" w:sz="8" w:space="0"/>
        <w:bottom w:val="single" w:color="auto" w:sz="8" w:space="0"/>
        <w:right w:val="single" w:color="auto" w:sz="4" w:space="0"/>
      </w:pBdr>
    </w:pPr>
    <w:rPr>
      <w:rFonts w:hint="default" w:ascii="宋体" w:hAnsi="宋体" w:eastAsia="宋体" w:cs="Times New Roman"/>
      <w:b/>
      <w:bCs/>
      <w:lang w:val="en-US" w:eastAsia="zh-CN" w:bidi="ar-SA"/>
    </w:rPr>
  </w:style>
  <w:style w:type="paragraph" w:styleId="1274" w:customStyle="1">
    <w:name w:val="正文_16"/>
    <w:uiPriority w:val="0"/>
    <w:qFormat/>
    <w:pPr>
      <w:jc w:val="both"/>
      <w:widowControl w:val="off"/>
    </w:pPr>
    <w:rPr>
      <w:rFonts w:hint="default" w:ascii="Calibri" w:hAnsi="Calibri" w:eastAsia="宋体" w:cs="Times New Roman"/>
      <w:sz w:val="21"/>
      <w:szCs w:val="22"/>
      <w:lang w:val="en-US" w:eastAsia="zh-CN" w:bidi="ar-SA"/>
    </w:rPr>
  </w:style>
  <w:style w:type="paragraph" w:styleId="1275" w:customStyle="1">
    <w:name w:val="正文首行缩进 2_0"/>
    <w:basedOn w:val="1276"/>
    <w:uiPriority w:val="0"/>
    <w:qFormat/>
    <w:pPr>
      <w:ind w:left="200" w:firstLine="200"/>
      <w:spacing w:after="120"/>
    </w:pPr>
    <w:rPr>
      <w:rFonts w:ascii="Times New Roman" w:hAnsi="Times New Roman"/>
      <w:sz w:val="24"/>
      <w:szCs w:val="24"/>
    </w:rPr>
  </w:style>
  <w:style w:type="paragraph" w:styleId="1276" w:customStyle="1">
    <w:name w:val="正文文本缩进_0"/>
    <w:basedOn w:val="1274"/>
    <w:uiPriority w:val="0"/>
    <w:qFormat/>
    <w:pPr>
      <w:ind w:firstLine="225"/>
    </w:pPr>
    <w:rPr>
      <w:rFonts w:ascii="仿宋_GB2312" w:eastAsia="仿宋_GB2312"/>
      <w:sz w:val="32"/>
    </w:rPr>
  </w:style>
  <w:style w:type="paragraph" w:styleId="1277" w:customStyle="1">
    <w:name w:val="正文_2"/>
    <w:next w:val="1278"/>
    <w:uiPriority w:val="0"/>
    <w:qFormat/>
    <w:pPr>
      <w:jc w:val="both"/>
      <w:widowControl w:val="off"/>
    </w:pPr>
    <w:rPr>
      <w:rFonts w:hint="default" w:ascii="Calibri" w:hAnsi="Calibri" w:eastAsia="宋体" w:cs="Times New Roman"/>
      <w:sz w:val="21"/>
      <w:szCs w:val="22"/>
      <w:lang w:val="en-US" w:eastAsia="zh-CN" w:bidi="ar-SA"/>
    </w:rPr>
  </w:style>
  <w:style w:type="paragraph" w:styleId="1278" w:customStyle="1">
    <w:name w:val="文本块_0"/>
    <w:basedOn w:val="1277"/>
    <w:uiPriority w:val="0"/>
    <w:qFormat/>
    <w:pPr>
      <w:ind w:left="1548" w:right="12" w:hanging="2405"/>
      <w:spacing w:line="360" w:lineRule="exact"/>
    </w:pPr>
    <w:rPr>
      <w:rFonts w:ascii="宋体"/>
      <w:bCs/>
      <w:sz w:val="28"/>
    </w:rPr>
  </w:style>
  <w:style w:type="paragraph" w:styleId="1279" w:customStyle="1">
    <w:name w:val="标题 12"/>
    <w:basedOn w:val="757"/>
    <w:next w:val="757"/>
    <w:uiPriority w:val="0"/>
    <w:qFormat/>
    <w:pPr>
      <w:keepLines/>
      <w:keepNext/>
      <w:spacing w:before="340" w:after="330" w:line="576" w:lineRule="auto"/>
      <w:outlineLvl w:val="0"/>
    </w:pPr>
    <w:rPr>
      <w:b/>
      <w:sz w:val="44"/>
      <w:szCs w:val="20"/>
    </w:rPr>
  </w:style>
  <w:style w:type="paragraph" w:styleId="1280" w:customStyle="1">
    <w:name w:val="段_0"/>
    <w:next w:val="1281"/>
    <w:uiPriority w:val="0"/>
    <w:qFormat/>
    <w:pPr>
      <w:ind w:firstLine="200"/>
      <w:jc w:val="both"/>
    </w:pPr>
    <w:rPr>
      <w:rFonts w:hint="default" w:ascii="宋体" w:hAnsi="Times New Roman" w:eastAsia="宋体" w:cs="Times New Roman"/>
      <w:sz w:val="21"/>
      <w:lang w:val="en-US" w:eastAsia="zh-CN" w:bidi="ar-SA"/>
    </w:rPr>
  </w:style>
  <w:style w:type="paragraph" w:styleId="1281" w:customStyle="1">
    <w:name w:val="Normal_19_1"/>
    <w:next w:val="1280"/>
    <w:uiPriority w:val="0"/>
    <w:qFormat/>
    <w:rPr>
      <w:rFonts w:hint="default" w:ascii="黑体" w:hAnsi="黑体" w:eastAsia="黑体" w:cs="Times New Roman"/>
      <w:b/>
      <w:sz w:val="32"/>
      <w:szCs w:val="24"/>
      <w:lang w:val="en-US" w:eastAsia="zh-CN" w:bidi="ar-SA"/>
    </w:rPr>
  </w:style>
  <w:style w:type="paragraph" w:styleId="1282" w:customStyle="1">
    <w:name w:val="Normal_0_1"/>
    <w:uiPriority w:val="0"/>
    <w:qFormat/>
    <w:rPr>
      <w:rFonts w:hint="default" w:ascii="黑体" w:hAnsi="黑体" w:eastAsia="黑体" w:cs="Times New Roman"/>
      <w:b/>
      <w:sz w:val="32"/>
      <w:szCs w:val="24"/>
      <w:lang w:val="en-US" w:eastAsia="zh-CN" w:bidi="ar-SA"/>
    </w:rPr>
  </w:style>
  <w:style w:type="paragraph" w:styleId="1283" w:customStyle="1">
    <w:name w:val="Normal_1_1"/>
    <w:uiPriority w:val="0"/>
    <w:qFormat/>
    <w:pPr>
      <w:jc w:val="both"/>
      <w:widowControl w:val="off"/>
    </w:pPr>
    <w:rPr>
      <w:rFonts w:hint="default" w:ascii="Calibri" w:hAnsi="Calibri" w:eastAsia="宋体" w:cs="Times New Roman"/>
      <w:sz w:val="21"/>
      <w:szCs w:val="22"/>
      <w:lang w:val="en-US" w:eastAsia="zh-CN" w:bidi="ar-SA"/>
    </w:rPr>
  </w:style>
  <w:style w:type="paragraph" w:styleId="1284" w:customStyle="1">
    <w:name w:val="Normal_2_0"/>
    <w:uiPriority w:val="0"/>
    <w:qFormat/>
    <w:rPr>
      <w:rFonts w:hint="default" w:ascii="黑体" w:hAnsi="黑体" w:eastAsia="黑体" w:cs="Times New Roman"/>
      <w:b/>
      <w:sz w:val="32"/>
      <w:szCs w:val="24"/>
      <w:lang w:val="en-US" w:eastAsia="zh-CN" w:bidi="ar-SA"/>
    </w:rPr>
  </w:style>
  <w:style w:type="paragraph" w:styleId="1285" w:customStyle="1">
    <w:name w:val="正文_1_0_0"/>
    <w:uiPriority w:val="0"/>
    <w:qFormat/>
    <w:pPr>
      <w:jc w:val="both"/>
      <w:widowControl w:val="off"/>
    </w:pPr>
    <w:rPr>
      <w:rFonts w:hint="default" w:ascii="Times New Roman" w:hAnsi="Times New Roman" w:eastAsia="宋体" w:cs="Times New Roman"/>
      <w:sz w:val="21"/>
      <w:lang w:val="en-US" w:eastAsia="zh-CN" w:bidi="ar-SA"/>
    </w:rPr>
  </w:style>
  <w:style w:type="paragraph" w:styleId="1286" w:customStyle="1">
    <w:name w:val="Normal_3_0"/>
    <w:uiPriority w:val="0"/>
    <w:qFormat/>
    <w:rPr>
      <w:rFonts w:hint="default" w:ascii="黑体" w:hAnsi="黑体" w:eastAsia="黑体" w:cs="Times New Roman"/>
      <w:b/>
      <w:sz w:val="32"/>
      <w:szCs w:val="24"/>
      <w:lang w:val="en-US" w:eastAsia="zh-CN" w:bidi="ar-SA"/>
    </w:rPr>
  </w:style>
  <w:style w:type="paragraph" w:styleId="1287" w:customStyle="1">
    <w:name w:val="Normal_4_0"/>
    <w:uiPriority w:val="0"/>
    <w:qFormat/>
    <w:pPr>
      <w:jc w:val="both"/>
      <w:widowControl w:val="off"/>
    </w:pPr>
    <w:rPr>
      <w:rFonts w:hint="default" w:ascii="Calibri" w:hAnsi="Calibri" w:eastAsia="宋体" w:cs="Times New Roman"/>
      <w:sz w:val="21"/>
      <w:szCs w:val="22"/>
      <w:lang w:val="en-US" w:eastAsia="zh-CN" w:bidi="ar-SA"/>
    </w:rPr>
  </w:style>
  <w:style w:type="paragraph" w:styleId="1288" w:customStyle="1">
    <w:name w:val="Normal_5_0"/>
    <w:uiPriority w:val="0"/>
    <w:qFormat/>
    <w:rPr>
      <w:rFonts w:hint="default" w:ascii="黑体" w:hAnsi="黑体" w:eastAsia="黑体" w:cs="Times New Roman"/>
      <w:b/>
      <w:sz w:val="32"/>
      <w:szCs w:val="24"/>
      <w:lang w:val="en-US" w:eastAsia="zh-CN" w:bidi="ar-SA"/>
    </w:rPr>
  </w:style>
  <w:style w:type="paragraph" w:styleId="1289" w:customStyle="1">
    <w:name w:val="正文_0_2"/>
    <w:uiPriority w:val="0"/>
    <w:qFormat/>
    <w:pPr>
      <w:jc w:val="both"/>
      <w:widowControl w:val="off"/>
    </w:pPr>
    <w:rPr>
      <w:rFonts w:hint="default" w:ascii="Calibri" w:hAnsi="Calibri" w:eastAsia="宋体" w:cs="Times New Roman"/>
      <w:sz w:val="21"/>
      <w:szCs w:val="22"/>
      <w:lang w:val="en-US" w:eastAsia="zh-CN" w:bidi="ar-SA"/>
    </w:rPr>
  </w:style>
  <w:style w:type="paragraph" w:styleId="1290" w:customStyle="1">
    <w:name w:val="Normal_6_0"/>
    <w:uiPriority w:val="0"/>
    <w:qFormat/>
    <w:rPr>
      <w:rFonts w:hint="default" w:ascii="黑体" w:hAnsi="黑体" w:eastAsia="黑体" w:cs="Times New Roman"/>
      <w:b/>
      <w:sz w:val="32"/>
      <w:szCs w:val="24"/>
      <w:lang w:val="en-US" w:eastAsia="zh-CN" w:bidi="ar-SA"/>
    </w:rPr>
  </w:style>
  <w:style w:type="paragraph" w:styleId="1291" w:customStyle="1">
    <w:name w:val="Normal_7_0"/>
    <w:uiPriority w:val="0"/>
    <w:qFormat/>
    <w:pPr>
      <w:jc w:val="both"/>
      <w:widowControl w:val="off"/>
    </w:pPr>
    <w:rPr>
      <w:rFonts w:hint="default" w:ascii="Calibri" w:hAnsi="Calibri" w:eastAsia="宋体" w:cs="Times New Roman"/>
      <w:sz w:val="21"/>
      <w:szCs w:val="22"/>
      <w:lang w:val="en-US" w:eastAsia="zh-CN" w:bidi="ar-SA"/>
    </w:rPr>
  </w:style>
  <w:style w:type="paragraph" w:styleId="1292" w:customStyle="1">
    <w:name w:val="Normal_8_0"/>
    <w:uiPriority w:val="0"/>
    <w:qFormat/>
    <w:rPr>
      <w:rFonts w:hint="default" w:ascii="黑体" w:hAnsi="黑体" w:eastAsia="黑体" w:cs="Times New Roman"/>
      <w:b/>
      <w:sz w:val="32"/>
      <w:szCs w:val="24"/>
      <w:lang w:val="en-US" w:eastAsia="zh-CN" w:bidi="ar-SA"/>
    </w:rPr>
  </w:style>
  <w:style w:type="paragraph" w:styleId="1293" w:customStyle="1">
    <w:name w:val="Normal_9_0"/>
    <w:uiPriority w:val="0"/>
    <w:qFormat/>
    <w:rPr>
      <w:rFonts w:hint="default" w:ascii="Times New Roman" w:hAnsi="Times New Roman" w:eastAsia="Times New Roman" w:cs="Times New Roman"/>
      <w:sz w:val="24"/>
      <w:szCs w:val="24"/>
      <w:lang w:val="en-US" w:eastAsia="zh-CN" w:bidi="ar-SA"/>
    </w:rPr>
  </w:style>
  <w:style w:type="paragraph" w:styleId="1294" w:customStyle="1">
    <w:name w:val="Normal_10_0"/>
    <w:uiPriority w:val="0"/>
    <w:qFormat/>
    <w:rPr>
      <w:rFonts w:hint="default" w:ascii="Times New Roman" w:hAnsi="Times New Roman" w:eastAsia="Times New Roman" w:cs="Times New Roman"/>
      <w:sz w:val="24"/>
      <w:szCs w:val="24"/>
      <w:lang w:val="en-US" w:eastAsia="zh-CN" w:bidi="ar-SA"/>
    </w:rPr>
  </w:style>
  <w:style w:type="paragraph" w:styleId="1295" w:customStyle="1">
    <w:name w:val="Normal_11_0"/>
    <w:uiPriority w:val="0"/>
    <w:qFormat/>
    <w:rPr>
      <w:rFonts w:hint="default" w:ascii="黑体" w:hAnsi="黑体" w:eastAsia="黑体" w:cs="Times New Roman"/>
      <w:b/>
      <w:sz w:val="32"/>
      <w:szCs w:val="24"/>
      <w:lang w:val="en-US" w:eastAsia="zh-CN" w:bidi="ar-SA"/>
    </w:rPr>
  </w:style>
  <w:style w:type="paragraph" w:styleId="1296" w:customStyle="1">
    <w:name w:val="正文_1_1"/>
    <w:uiPriority w:val="0"/>
    <w:qFormat/>
    <w:pPr>
      <w:jc w:val="both"/>
      <w:widowControl w:val="off"/>
    </w:pPr>
    <w:rPr>
      <w:rFonts w:hint="default" w:ascii="Calibri" w:hAnsi="Calibri" w:eastAsia="宋体" w:cs="Times New Roman"/>
      <w:sz w:val="21"/>
      <w:szCs w:val="22"/>
      <w:lang w:val="en-US" w:eastAsia="zh-CN" w:bidi="ar-SA"/>
    </w:rPr>
  </w:style>
  <w:style w:type="paragraph" w:styleId="1297" w:customStyle="1">
    <w:name w:val="正文_2_0"/>
    <w:next w:val="667"/>
    <w:uiPriority w:val="0"/>
    <w:qFormat/>
    <w:pPr>
      <w:jc w:val="both"/>
      <w:widowControl w:val="off"/>
    </w:pPr>
    <w:rPr>
      <w:rFonts w:hint="default" w:ascii="Calibri" w:hAnsi="Calibri" w:eastAsia="宋体" w:cs="Times New Roman"/>
      <w:sz w:val="21"/>
      <w:szCs w:val="22"/>
      <w:lang w:val="en-US" w:eastAsia="zh-CN" w:bidi="ar-SA"/>
    </w:rPr>
  </w:style>
  <w:style w:type="paragraph" w:styleId="1298" w:customStyle="1">
    <w:name w:val="Normal_12_0"/>
    <w:uiPriority w:val="0"/>
    <w:qFormat/>
    <w:rPr>
      <w:rFonts w:hint="default" w:ascii="黑体" w:hAnsi="黑体" w:eastAsia="黑体" w:cs="Times New Roman"/>
      <w:b/>
      <w:sz w:val="32"/>
      <w:szCs w:val="24"/>
      <w:lang w:val="en-US" w:eastAsia="zh-CN" w:bidi="ar-SA"/>
    </w:rPr>
  </w:style>
  <w:style w:type="paragraph" w:styleId="1299" w:customStyle="1">
    <w:name w:val="Normal_13_0"/>
    <w:uiPriority w:val="0"/>
    <w:qFormat/>
    <w:pPr>
      <w:jc w:val="both"/>
      <w:widowControl w:val="off"/>
    </w:pPr>
    <w:rPr>
      <w:rFonts w:hint="default" w:ascii="Calibri" w:hAnsi="Calibri" w:eastAsia="宋体" w:cs="Times New Roman"/>
      <w:sz w:val="21"/>
      <w:szCs w:val="22"/>
      <w:lang w:val="en-US" w:eastAsia="zh-CN" w:bidi="ar-SA"/>
    </w:rPr>
  </w:style>
  <w:style w:type="paragraph" w:styleId="1300" w:customStyle="1">
    <w:name w:val="正文_9_0"/>
    <w:uiPriority w:val="0"/>
    <w:qFormat/>
    <w:pPr>
      <w:jc w:val="both"/>
      <w:widowControl w:val="off"/>
    </w:pPr>
    <w:rPr>
      <w:rFonts w:hint="default" w:ascii="Calibri" w:hAnsi="Calibri" w:eastAsia="宋体" w:cs="Times New Roman"/>
      <w:sz w:val="21"/>
      <w:szCs w:val="22"/>
      <w:lang w:val="en-US" w:eastAsia="zh-CN" w:bidi="ar-SA"/>
    </w:rPr>
  </w:style>
  <w:style w:type="paragraph" w:styleId="1301" w:customStyle="1">
    <w:name w:val="正文_8_1"/>
    <w:uiPriority w:val="0"/>
    <w:qFormat/>
    <w:pPr>
      <w:jc w:val="both"/>
      <w:widowControl w:val="off"/>
    </w:pPr>
    <w:rPr>
      <w:rFonts w:hint="default" w:ascii="Calibri" w:hAnsi="Calibri" w:eastAsia="宋体" w:cs="Times New Roman"/>
      <w:sz w:val="21"/>
      <w:szCs w:val="22"/>
      <w:lang w:val="en-US" w:eastAsia="zh-CN" w:bidi="ar-SA"/>
    </w:rPr>
  </w:style>
  <w:style w:type="paragraph" w:styleId="1302" w:customStyle="1">
    <w:name w:val="正文_1_0_0_0_0"/>
    <w:uiPriority w:val="0"/>
    <w:qFormat/>
    <w:pPr>
      <w:jc w:val="both"/>
      <w:widowControl w:val="off"/>
    </w:pPr>
    <w:rPr>
      <w:rFonts w:hint="default" w:ascii="Times New Roman" w:hAnsi="Times New Roman" w:eastAsia="宋体" w:cs="Times New Roman"/>
      <w:sz w:val="21"/>
      <w:lang w:val="en-US" w:eastAsia="zh-CN" w:bidi="ar-SA"/>
    </w:rPr>
  </w:style>
  <w:style w:type="paragraph" w:styleId="1303" w:customStyle="1">
    <w:name w:val="列出段落_2"/>
    <w:basedOn w:val="1301"/>
    <w:uiPriority w:val="34"/>
    <w:qFormat/>
    <w:pPr>
      <w:ind w:firstLine="420"/>
    </w:pPr>
  </w:style>
  <w:style w:type="paragraph" w:styleId="1304" w:customStyle="1">
    <w:name w:val="Normal_14_0"/>
    <w:uiPriority w:val="0"/>
    <w:qFormat/>
    <w:rPr>
      <w:rFonts w:hint="default" w:ascii="黑体" w:hAnsi="黑体" w:eastAsia="黑体" w:cs="Times New Roman"/>
      <w:b/>
      <w:sz w:val="32"/>
      <w:szCs w:val="24"/>
      <w:lang w:val="en-US" w:eastAsia="zh-CN" w:bidi="ar-SA"/>
    </w:rPr>
  </w:style>
  <w:style w:type="paragraph" w:styleId="1305" w:customStyle="1">
    <w:name w:val="正文_7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06" w:customStyle="1">
    <w:name w:val="正文缩进_0_0"/>
    <w:basedOn w:val="1305"/>
    <w:link w:val="1307"/>
    <w:uiPriority w:val="0"/>
    <w:unhideWhenUsed/>
    <w:qFormat/>
    <w:pPr>
      <w:ind w:firstLine="420"/>
    </w:pPr>
    <w:rPr>
      <w:rFonts w:ascii="Calibri" w:hAnsi="Calibri"/>
      <w:szCs w:val="22"/>
    </w:rPr>
  </w:style>
  <w:style w:type="character" w:styleId="1307" w:customStyle="1">
    <w:name w:val="正文缩进 Char1_0_0"/>
    <w:link w:val="1306"/>
    <w:uiPriority w:val="0"/>
    <w:qFormat/>
    <w:rPr>
      <w:sz w:val="21"/>
      <w:szCs w:val="22"/>
    </w:rPr>
  </w:style>
  <w:style w:type="paragraph" w:styleId="1308" w:customStyle="1">
    <w:name w:val="纯文本_0_0"/>
    <w:basedOn w:val="1309"/>
    <w:link w:val="1310"/>
    <w:uiPriority w:val="0"/>
    <w:unhideWhenUsed/>
    <w:qFormat/>
    <w:rPr>
      <w:rFonts w:ascii="宋体" w:hAnsi="Courier New"/>
      <w:szCs w:val="21"/>
    </w:rPr>
  </w:style>
  <w:style w:type="paragraph" w:styleId="1309" w:customStyle="1">
    <w:name w:val="正文_7_1_0"/>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310" w:customStyle="1">
    <w:name w:val="纯文本 Char_0_0"/>
    <w:link w:val="1308"/>
    <w:uiPriority w:val="0"/>
    <w:qFormat/>
    <w:rPr>
      <w:rFonts w:ascii="宋体" w:hAnsi="Courier New"/>
      <w:sz w:val="21"/>
      <w:szCs w:val="21"/>
    </w:rPr>
  </w:style>
  <w:style w:type="paragraph" w:styleId="1311" w:customStyle="1">
    <w:name w:val="Normal_15_0"/>
    <w:uiPriority w:val="0"/>
    <w:qFormat/>
    <w:rPr>
      <w:rFonts w:hint="default" w:ascii="黑体" w:hAnsi="黑体" w:eastAsia="黑体" w:cs="Times New Roman"/>
      <w:b/>
      <w:sz w:val="32"/>
      <w:szCs w:val="24"/>
      <w:lang w:val="en-US" w:eastAsia="zh-CN" w:bidi="ar-SA"/>
    </w:rPr>
  </w:style>
  <w:style w:type="paragraph" w:styleId="1312" w:customStyle="1">
    <w:name w:val="正文_8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13" w:customStyle="1">
    <w:name w:val="Normal_16_0"/>
    <w:uiPriority w:val="0"/>
    <w:qFormat/>
    <w:rPr>
      <w:rFonts w:hint="default" w:ascii="黑体" w:hAnsi="黑体" w:eastAsia="黑体" w:cs="Times New Roman"/>
      <w:b/>
      <w:sz w:val="32"/>
      <w:szCs w:val="24"/>
      <w:lang w:val="en-US" w:eastAsia="zh-CN" w:bidi="ar-SA"/>
    </w:rPr>
  </w:style>
  <w:style w:type="paragraph" w:styleId="1314" w:customStyle="1">
    <w:name w:val="正文_5_0"/>
    <w:uiPriority w:val="0"/>
    <w:qFormat/>
    <w:pPr>
      <w:jc w:val="both"/>
      <w:widowControl w:val="off"/>
    </w:pPr>
    <w:rPr>
      <w:rFonts w:hint="default" w:ascii="Calibri" w:hAnsi="Calibri" w:eastAsia="宋体" w:cs="Times New Roman"/>
      <w:sz w:val="21"/>
      <w:szCs w:val="22"/>
      <w:lang w:val="en-US" w:eastAsia="zh-CN" w:bidi="ar-SA"/>
    </w:rPr>
  </w:style>
  <w:style w:type="paragraph" w:styleId="1315" w:customStyle="1">
    <w:name w:val="正文_9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16" w:customStyle="1">
    <w:name w:val="Normal_17_0"/>
    <w:uiPriority w:val="0"/>
    <w:qFormat/>
    <w:rPr>
      <w:rFonts w:hint="default" w:ascii="黑体" w:hAnsi="黑体" w:eastAsia="黑体" w:cs="Times New Roman"/>
      <w:b/>
      <w:sz w:val="32"/>
      <w:szCs w:val="24"/>
      <w:lang w:val="en-US" w:eastAsia="zh-CN" w:bidi="ar-SA"/>
    </w:rPr>
  </w:style>
  <w:style w:type="paragraph" w:styleId="1317" w:customStyle="1">
    <w:name w:val="正文_1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18" w:customStyle="1">
    <w:name w:val="Normal_18_0"/>
    <w:uiPriority w:val="0"/>
    <w:qFormat/>
    <w:rPr>
      <w:rFonts w:hint="default" w:ascii="黑体" w:hAnsi="黑体" w:eastAsia="黑体" w:cs="Times New Roman"/>
      <w:b/>
      <w:sz w:val="32"/>
      <w:szCs w:val="24"/>
      <w:lang w:val="en-US" w:eastAsia="zh-CN" w:bidi="ar-SA"/>
    </w:rPr>
  </w:style>
  <w:style w:type="paragraph" w:styleId="1319" w:customStyle="1">
    <w:name w:val="正文_1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20" w:customStyle="1">
    <w:name w:val="Normal_19_0"/>
    <w:basedOn w:val="756"/>
    <w:next w:val="1321"/>
    <w:uiPriority w:val="0"/>
    <w:qFormat/>
    <w:rPr>
      <w:rFonts w:ascii="黑体" w:hAnsi="黑体" w:eastAsia="黑体"/>
      <w:b/>
      <w:sz w:val="32"/>
    </w:rPr>
  </w:style>
  <w:style w:type="paragraph" w:styleId="1321" w:customStyle="1">
    <w:name w:val="Body Text First Indent_1_0"/>
    <w:basedOn w:val="1320"/>
    <w:uiPriority w:val="0"/>
    <w:qFormat/>
    <w:pPr>
      <w:ind w:firstLine="100"/>
      <w:spacing w:after="120"/>
    </w:pPr>
  </w:style>
  <w:style w:type="paragraph" w:styleId="1322" w:customStyle="1">
    <w:name w:val="Body Text_0"/>
    <w:basedOn w:val="1320"/>
    <w:uiPriority w:val="99"/>
    <w:unhideWhenUsed/>
    <w:qFormat/>
    <w:pPr>
      <w:spacing w:after="120"/>
    </w:pPr>
    <w:rPr>
      <w:rFonts w:ascii="Calibri" w:hAnsi="Calibri"/>
      <w:sz w:val="20"/>
    </w:rPr>
  </w:style>
  <w:style w:type="paragraph" w:styleId="1323" w:customStyle="1">
    <w:name w:val="正文_12_0"/>
    <w:uiPriority w:val="0"/>
    <w:qFormat/>
    <w:pPr>
      <w:jc w:val="both"/>
      <w:widowControl w:val="off"/>
    </w:pPr>
    <w:rPr>
      <w:rFonts w:hint="default" w:ascii="Calibri" w:hAnsi="Calibri" w:eastAsia="宋体" w:cs="Times New Roman"/>
      <w:sz w:val="21"/>
      <w:szCs w:val="22"/>
      <w:lang w:val="en-US" w:eastAsia="zh-CN" w:bidi="ar-SA"/>
    </w:rPr>
  </w:style>
  <w:style w:type="paragraph" w:styleId="1324" w:customStyle="1">
    <w:name w:val="正文_9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25" w:customStyle="1">
    <w:name w:val="Normal_14_0_0"/>
    <w:uiPriority w:val="0"/>
    <w:qFormat/>
    <w:rPr>
      <w:rFonts w:hint="default" w:ascii="黑体" w:hAnsi="黑体" w:eastAsia="黑体" w:cs="Times New Roman"/>
      <w:b/>
      <w:sz w:val="32"/>
      <w:szCs w:val="24"/>
      <w:lang w:val="en-US" w:eastAsia="zh-CN" w:bidi="ar-SA"/>
    </w:rPr>
  </w:style>
  <w:style w:type="paragraph" w:styleId="1326" w:customStyle="1">
    <w:name w:val="正文_12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27" w:customStyle="1">
    <w:name w:val="Normal_20"/>
    <w:next w:val="1328"/>
    <w:uiPriority w:val="0"/>
    <w:qFormat/>
    <w:rPr>
      <w:rFonts w:hint="default" w:ascii="黑体" w:hAnsi="黑体" w:eastAsia="黑体" w:cs="Times New Roman"/>
      <w:b/>
      <w:sz w:val="32"/>
      <w:szCs w:val="24"/>
      <w:lang w:val="en-US" w:eastAsia="zh-CN" w:bidi="ar-SA"/>
    </w:rPr>
  </w:style>
  <w:style w:type="paragraph" w:styleId="1328" w:customStyle="1">
    <w:name w:val="正文文本首行缩进 22"/>
    <w:basedOn w:val="1329"/>
    <w:uiPriority w:val="0"/>
    <w:qFormat/>
    <w:pPr>
      <w:ind w:left="200" w:firstLine="200"/>
      <w:spacing w:after="120"/>
    </w:pPr>
    <w:rPr>
      <w:rFonts w:ascii="Times New Roman" w:hAnsi="Times New Roman"/>
      <w:sz w:val="24"/>
    </w:rPr>
  </w:style>
  <w:style w:type="paragraph" w:styleId="1329" w:customStyle="1">
    <w:name w:val="正文文本缩进2"/>
    <w:basedOn w:val="1327"/>
    <w:uiPriority w:val="0"/>
    <w:qFormat/>
    <w:pPr>
      <w:ind w:firstLine="225"/>
    </w:pPr>
    <w:rPr>
      <w:rFonts w:ascii="仿宋_GB2312" w:eastAsia="仿宋_GB2312"/>
    </w:rPr>
  </w:style>
  <w:style w:type="paragraph" w:styleId="1330" w:customStyle="1">
    <w:name w:val="正文_13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31"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332"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333" w:customStyle="1">
    <w:name w:val="Normal_0_2"/>
    <w:uiPriority w:val="0"/>
    <w:qFormat/>
    <w:rPr>
      <w:rFonts w:hint="default" w:ascii="黑体" w:hAnsi="黑体" w:eastAsia="黑体" w:cs="Times New Roman"/>
      <w:b/>
      <w:sz w:val="32"/>
      <w:szCs w:val="24"/>
      <w:lang w:val="en-US" w:eastAsia="zh-CN" w:bidi="ar-SA"/>
    </w:rPr>
  </w:style>
  <w:style w:type="paragraph" w:styleId="1334"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335" w:customStyle="1">
    <w:name w:val="Normal_0_3"/>
    <w:uiPriority w:val="0"/>
    <w:qFormat/>
    <w:rPr>
      <w:rFonts w:hint="default" w:ascii="黑体" w:hAnsi="黑体" w:eastAsia="黑体" w:cs="Times New Roman"/>
      <w:b/>
      <w:sz w:val="32"/>
      <w:szCs w:val="24"/>
      <w:lang w:val="en-US" w:eastAsia="zh-CN" w:bidi="ar-SA"/>
    </w:rPr>
  </w:style>
  <w:style w:type="paragraph" w:styleId="1336" w:customStyle="1">
    <w:name w:val="正文_17"/>
    <w:uiPriority w:val="0"/>
    <w:qFormat/>
    <w:pPr>
      <w:jc w:val="both"/>
      <w:widowControl w:val="off"/>
    </w:pPr>
    <w:rPr>
      <w:rFonts w:hint="default" w:ascii="Calibri" w:hAnsi="Calibri" w:eastAsia="宋体" w:cs="Times New Roman"/>
      <w:sz w:val="21"/>
      <w:szCs w:val="22"/>
      <w:lang w:val="en-US" w:eastAsia="zh-CN" w:bidi="ar-SA"/>
    </w:rPr>
  </w:style>
  <w:style w:type="paragraph" w:styleId="1337" w:customStyle="1">
    <w:name w:val="正文缩进1"/>
    <w:basedOn w:val="667"/>
    <w:uiPriority w:val="99"/>
    <w:qFormat/>
    <w:pPr>
      <w:ind w:firstLine="420"/>
      <w:jc w:val="left"/>
    </w:pPr>
    <w:rPr>
      <w:rFonts w:ascii="宋体"/>
      <w:sz w:val="24"/>
    </w:rPr>
  </w:style>
  <w:style w:type="paragraph" w:styleId="1338" w:customStyle="1">
    <w:name w:val="索引 11"/>
    <w:basedOn w:val="667"/>
    <w:next w:val="667"/>
    <w:uiPriority w:val="0"/>
    <w:qFormat/>
    <w:pPr>
      <w:spacing w:line="360" w:lineRule="auto"/>
    </w:pPr>
    <w:rPr>
      <w:rFonts w:ascii="仿宋_GB2312" w:eastAsia="仿宋_GB2312"/>
      <w:sz w:val="24"/>
      <w:szCs w:val="20"/>
    </w:rPr>
  </w:style>
  <w:style w:type="paragraph" w:styleId="1339" w:customStyle="1">
    <w:name w:val="纯文本1"/>
    <w:basedOn w:val="1274"/>
    <w:uiPriority w:val="0"/>
    <w:qFormat/>
    <w:rPr>
      <w:rFonts w:ascii="宋体" w:hAnsi="Courier New"/>
    </w:rPr>
  </w:style>
  <w:style w:type="paragraph" w:styleId="1340" w:customStyle="1">
    <w:name w:val="Normal_20_0_0"/>
    <w:next w:val="667"/>
    <w:uiPriority w:val="0"/>
    <w:qFormat/>
    <w:pPr>
      <w:jc w:val="both"/>
      <w:spacing w:line="360" w:lineRule="auto"/>
      <w:widowControl w:val="off"/>
    </w:pPr>
    <w:rPr>
      <w:rFonts w:hint="default" w:ascii="Arial" w:hAnsi="Arial" w:eastAsia="宋体" w:cs="Times New Roman"/>
      <w:sz w:val="28"/>
      <w:szCs w:val="28"/>
      <w:lang w:val="en-US" w:eastAsia="zh-CN" w:bidi="ar-SA"/>
    </w:rPr>
  </w:style>
  <w:style w:type="paragraph" w:styleId="1341" w:customStyle="1">
    <w:name w:val="正文1_0"/>
    <w:uiPriority w:val="0"/>
    <w:qFormat/>
    <w:pPr>
      <w:jc w:val="both"/>
      <w:widowControl w:val="off"/>
    </w:pPr>
    <w:rPr>
      <w:rFonts w:hint="default" w:ascii="Times New Roman" w:hAnsi="Times New Roman" w:eastAsia="宋体" w:cs="Times New Roman"/>
      <w:szCs w:val="24"/>
      <w:lang w:val="en-US" w:eastAsia="zh-CN" w:bidi="ar-SA"/>
    </w:rPr>
  </w:style>
  <w:style w:type="paragraph" w:styleId="1342" w:customStyle="1">
    <w:name w:val="正文缩进1_0"/>
    <w:basedOn w:val="1341"/>
    <w:link w:val="1343"/>
    <w:uiPriority w:val="0"/>
    <w:qFormat/>
    <w:pPr>
      <w:ind w:firstLine="420"/>
      <w:jc w:val="left"/>
    </w:pPr>
    <w:rPr>
      <w:rFonts w:ascii="宋体" w:hAnsi="Calibri" w:eastAsia="Times New Roman"/>
      <w:sz w:val="24"/>
      <w:szCs w:val="22"/>
    </w:rPr>
  </w:style>
  <w:style w:type="character" w:styleId="1343" w:customStyle="1">
    <w:name w:val="正文缩进 Char1_1"/>
    <w:link w:val="1342"/>
    <w:uiPriority w:val="0"/>
    <w:qFormat/>
    <w:rPr>
      <w:rFonts w:ascii="宋体" w:hAnsi="Calibri" w:eastAsia="Times New Roman"/>
      <w:sz w:val="24"/>
      <w:szCs w:val="22"/>
    </w:rPr>
  </w:style>
  <w:style w:type="paragraph" w:styleId="1344" w:customStyle="1">
    <w:name w:val="无间隔1_0"/>
    <w:uiPriority w:val="1"/>
    <w:qFormat/>
    <w:pPr>
      <w:jc w:val="both"/>
      <w:widowControl w:val="off"/>
    </w:pPr>
    <w:rPr>
      <w:rFonts w:hint="default" w:ascii="Times New Roman" w:hAnsi="Times New Roman" w:eastAsia="宋体" w:cs="Times New Roman"/>
      <w:szCs w:val="24"/>
      <w:lang w:val="en-US" w:eastAsia="zh-CN" w:bidi="ar-SA"/>
    </w:rPr>
  </w:style>
  <w:style w:type="paragraph" w:styleId="1345" w:customStyle="1">
    <w:name w:val="Normal_22"/>
    <w:uiPriority w:val="0"/>
    <w:qFormat/>
    <w:pPr>
      <w:jc w:val="both"/>
      <w:widowControl w:val="off"/>
    </w:pPr>
    <w:rPr>
      <w:rFonts w:hint="default" w:ascii="Times New Roman" w:hAnsi="Times New Roman" w:eastAsia="宋体" w:cs="Times New Roman"/>
      <w:szCs w:val="24"/>
      <w:lang w:val="en-US" w:eastAsia="zh-CN" w:bidi="ar-SA"/>
    </w:rPr>
  </w:style>
  <w:style w:type="character" w:styleId="1346" w:customStyle="1">
    <w:name w:val="未处理的提及1"/>
    <w:uiPriority w:val="99"/>
    <w:unhideWhenUsed/>
    <w:qFormat/>
    <w:rPr>
      <w:color w:val="605e5c"/>
      <w:shd w:val="clear" w:color="auto" w:fill="e1dfdd"/>
    </w:rPr>
  </w:style>
  <w:style w:type="character" w:styleId="1347" w:customStyle="1">
    <w:name w:val="未处理的提及2"/>
    <w:uiPriority w:val="99"/>
    <w:unhideWhenUsed/>
    <w:qFormat/>
    <w:rPr>
      <w:color w:val="605e5c"/>
      <w:shd w:val="clear" w:color="auto" w:fill="e1dfdd"/>
    </w:rPr>
  </w:style>
  <w:style w:type="paragraph" w:styleId="1348" w:customStyle="1">
    <w:name w:val="正文_4_0"/>
    <w:uiPriority w:val="0"/>
    <w:qFormat/>
    <w:pPr>
      <w:jc w:val="both"/>
      <w:widowControl w:val="off"/>
    </w:pPr>
    <w:rPr>
      <w:rFonts w:hint="default" w:ascii="Calibri" w:hAnsi="Calibri" w:eastAsia="宋体" w:cs="Times New Roman"/>
      <w:sz w:val="21"/>
      <w:szCs w:val="22"/>
      <w:lang w:val="en-US" w:eastAsia="zh-CN" w:bidi="ar-SA"/>
    </w:rPr>
  </w:style>
  <w:style w:type="paragraph" w:styleId="1349"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350" w:customStyle="1">
    <w:name w:val="10"/>
    <w:uiPriority w:val="0"/>
    <w:qFormat/>
    <w:rPr>
      <w:rFonts w:ascii="Times New Roman" w:hAnsi="Times New Roman" w:cs="Times New Roman"/>
    </w:rPr>
  </w:style>
  <w:style w:type="paragraph" w:styleId="1351" w:customStyle="1">
    <w:name w:val="正文文本2"/>
    <w:basedOn w:val="757"/>
    <w:uiPriority w:val="1"/>
    <w:qFormat/>
    <w:rPr>
      <w:rFonts w:ascii="Segoe UI" w:hAnsi="Segoe UI" w:cs="Segoe UI"/>
    </w:rPr>
  </w:style>
  <w:style w:type="paragraph" w:styleId="1352" w:customStyle="1">
    <w:name w:val="正文_16_0"/>
    <w:basedOn w:val="1272"/>
    <w:uiPriority w:val="0"/>
    <w:qFormat/>
  </w:style>
  <w:style w:type="paragraph" w:styleId="1353" w:customStyle="1">
    <w:name w:val="Normal_16_0_0"/>
    <w:uiPriority w:val="0"/>
    <w:qFormat/>
    <w:pPr>
      <w:jc w:val="both"/>
      <w:widowControl w:val="off"/>
    </w:pPr>
    <w:rPr>
      <w:rFonts w:hint="default" w:ascii="Calibri" w:hAnsi="Calibri" w:eastAsia="宋体" w:cs="Times New Roman"/>
      <w:sz w:val="21"/>
      <w:szCs w:val="22"/>
      <w:lang w:val="en-US" w:eastAsia="zh-CN" w:bidi="ar-SA"/>
    </w:rPr>
  </w:style>
  <w:style w:type="paragraph" w:styleId="1354" w:customStyle="1">
    <w:name w:val="Normal_22_0"/>
    <w:uiPriority w:val="0"/>
    <w:qFormat/>
    <w:pPr>
      <w:jc w:val="both"/>
      <w:widowControl w:val="off"/>
    </w:pPr>
    <w:rPr>
      <w:rFonts w:hint="default" w:ascii="Calibri" w:hAnsi="Calibri" w:eastAsia="宋体" w:cs="Times New Roman"/>
      <w:sz w:val="21"/>
      <w:szCs w:val="24"/>
      <w:lang w:val="en-US" w:eastAsia="zh-CN" w:bidi="ar-SA"/>
    </w:rPr>
  </w:style>
  <w:style w:type="paragraph" w:styleId="1355" w:customStyle="1">
    <w:name w:val="Normal_19_0_1"/>
    <w:uiPriority w:val="0"/>
    <w:qFormat/>
    <w:rPr>
      <w:rFonts w:hint="default" w:ascii="Tahoma" w:hAnsi="Tahoma" w:eastAsia="微软雅黑" w:cs="Times New Roman"/>
      <w:lang w:val="en-US" w:eastAsia="zh-CN" w:bidi="ar-SA"/>
    </w:rPr>
  </w:style>
  <w:style w:type="paragraph" w:styleId="1356" w:customStyle="1">
    <w:name w:val="正文_2_0_0"/>
    <w:uiPriority w:val="0"/>
    <w:qFormat/>
    <w:pPr>
      <w:jc w:val="both"/>
      <w:widowControl w:val="off"/>
    </w:pPr>
    <w:rPr>
      <w:rFonts w:hint="default" w:ascii="Calibri" w:hAnsi="Calibri" w:eastAsia="宋体" w:cs="Times New Roman"/>
      <w:sz w:val="21"/>
      <w:szCs w:val="22"/>
      <w:lang w:val="en-US" w:eastAsia="zh-CN" w:bidi="ar-SA"/>
    </w:rPr>
  </w:style>
  <w:style w:type="paragraph" w:styleId="1357" w:customStyle="1">
    <w:name w:val="正文_16_0_0_0"/>
    <w:basedOn w:val="1358"/>
    <w:uiPriority w:val="0"/>
    <w:qFormat/>
    <w:rPr>
      <w:rFonts w:ascii="Calibri" w:hAnsi="Calibri" w:cs="Calibri"/>
      <w:szCs w:val="21"/>
    </w:rPr>
  </w:style>
  <w:style w:type="paragraph" w:styleId="1358" w:customStyle="1">
    <w:name w:val="正文_3_0"/>
    <w:uiPriority w:val="0"/>
    <w:qFormat/>
    <w:pPr>
      <w:jc w:val="both"/>
      <w:widowControl w:val="off"/>
    </w:pPr>
    <w:rPr>
      <w:rFonts w:hint="default" w:ascii="Times New Roman" w:hAnsi="Times New Roman" w:eastAsia="宋体" w:cs="Times New Roman"/>
      <w:sz w:val="21"/>
      <w:lang w:val="en-US" w:eastAsia="zh-CN" w:bidi="ar-SA"/>
    </w:rPr>
  </w:style>
  <w:style w:type="character" w:styleId="1359" w:customStyle="1">
    <w:name w:val="15"/>
    <w:uiPriority w:val="0"/>
    <w:qFormat/>
    <w:rPr>
      <w:rFonts w:ascii="Times New Roman" w:hAnsi="Times New Roman" w:cs="Times New Roman"/>
      <w:color w:val="0000ff"/>
      <w:u w:val="single"/>
    </w:rPr>
  </w:style>
  <w:style w:type="character" w:styleId="1360" w:customStyle="1">
    <w:name w:val="16_0"/>
    <w:uiPriority w:val="0"/>
    <w:qFormat/>
    <w:rPr>
      <w:rFonts w:ascii="Times New Roman" w:hAnsi="Times New Roman" w:cs="Times New Roman"/>
    </w:rPr>
  </w:style>
  <w:style w:type="paragraph" w:styleId="1361" w:customStyle="1">
    <w:name w:val="正文_16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62" w:customStyle="1">
    <w:name w:val="正文空2字"/>
    <w:basedOn w:val="667"/>
    <w:uiPriority w:val="99"/>
    <w:qFormat/>
    <w:pPr>
      <w:ind w:firstLine="640"/>
      <w:jc w:val="left"/>
      <w:spacing w:line="560" w:lineRule="exact"/>
    </w:pPr>
    <w:rPr>
      <w:rFonts w:ascii="仿宋_GB2312" w:hAnsi="仿宋_GB2312" w:eastAsia="仿宋_GB2312" w:cs="仿宋_GB2312"/>
      <w:sz w:val="32"/>
      <w:szCs w:val="32"/>
      <w:lang w:val="zh-TW"/>
    </w:rPr>
  </w:style>
  <w:style w:type="character" w:styleId="1363" w:customStyle="1">
    <w:name w:val="未处理的提及3"/>
    <w:uiPriority w:val="99"/>
    <w:unhideWhenUsed/>
    <w:qFormat/>
    <w:rPr>
      <w:color w:val="605e5c"/>
      <w:shd w:val="clear" w:color="auto" w:fill="e1dfdd"/>
    </w:rPr>
  </w:style>
  <w:style w:type="character" w:styleId="1364" w:customStyle="1">
    <w:name w:val="正文文本首行缩进 2 字符1"/>
    <w:uiPriority w:val="99"/>
    <w:semiHidden/>
    <w:qFormat/>
    <w:rPr>
      <w:rFonts w:ascii="Calibri" w:hAnsi="Calibri"/>
      <w:sz w:val="21"/>
      <w:szCs w:val="22"/>
    </w:rPr>
  </w:style>
  <w:style w:type="paragraph" w:styleId="1365" w:customStyle="1">
    <w:name w:val="Normal_20_0"/>
    <w:uiPriority w:val="0"/>
    <w:qFormat/>
    <w:pPr>
      <w:jc w:val="both"/>
      <w:widowControl w:val="off"/>
    </w:pPr>
    <w:rPr>
      <w:rFonts w:hint="default" w:ascii="Calibri" w:hAnsi="Calibri" w:eastAsia="宋体" w:cs="Times New Roman"/>
      <w:lang w:val="en-US" w:eastAsia="zh-CN" w:bidi="ar-SA"/>
    </w:rPr>
  </w:style>
  <w:style w:type="paragraph" w:styleId="1366" w:customStyle="1">
    <w:name w:val="正文_12_0_0_0_0"/>
    <w:basedOn w:val="667"/>
    <w:uiPriority w:val="0"/>
    <w:qFormat/>
    <w:rPr>
      <w:rFonts w:ascii="Times New Roman" w:hAnsi="Times New Roman"/>
      <w:szCs w:val="24"/>
    </w:rPr>
  </w:style>
  <w:style w:type="paragraph" w:styleId="1367"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368" w:customStyle="1">
    <w:name w:val="custom-tag-placeholder-class"/>
    <w:uiPriority w:val="0"/>
    <w:qFormat/>
  </w:style>
  <w:style w:type="paragraph" w:styleId="1369" w:customStyle="1">
    <w:name w:val="正文缩进_1_0_0"/>
    <w:basedOn w:val="1370"/>
    <w:uiPriority w:val="0"/>
    <w:qFormat/>
    <w:pPr>
      <w:ind w:firstLine="420"/>
    </w:pPr>
    <w:rPr>
      <w:rFonts w:ascii="宋体"/>
      <w:color w:val="000000"/>
      <w:sz w:val="24"/>
      <w:szCs w:val="20"/>
    </w:rPr>
  </w:style>
  <w:style w:type="paragraph" w:styleId="1370" w:customStyle="1">
    <w:name w:val="正文_2_0_1"/>
    <w:next w:val="1369"/>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71" w:customStyle="1">
    <w:name w:val="表内文字居中_0"/>
    <w:uiPriority w:val="0"/>
    <w:qFormat/>
    <w:pPr>
      <w:jc w:val="center"/>
    </w:pPr>
    <w:rPr>
      <w:rFonts w:hint="default" w:ascii="Times New Roman" w:hAnsi="Times New Roman" w:eastAsia="宋体" w:cs="Times New Roman"/>
      <w:sz w:val="24"/>
      <w:szCs w:val="24"/>
      <w:lang w:val="en-US" w:eastAsia="zh-CN" w:bidi="ar-SA"/>
    </w:rPr>
  </w:style>
  <w:style w:type="paragraph" w:styleId="1372" w:customStyle="1">
    <w:name w:val="正文_16_0_0"/>
    <w:next w:val="1369"/>
    <w:uiPriority w:val="99"/>
    <w:qFormat/>
    <w:pPr>
      <w:jc w:val="both"/>
      <w:widowControl w:val="off"/>
    </w:pPr>
    <w:rPr>
      <w:rFonts w:hint="default" w:ascii="Calibri" w:hAnsi="Calibri" w:eastAsia="宋体" w:cs="Times New Roman"/>
      <w:sz w:val="21"/>
      <w:szCs w:val="22"/>
      <w:lang w:val="en-US" w:eastAsia="zh-CN" w:bidi="ar-SA"/>
    </w:rPr>
  </w:style>
  <w:style w:type="character" w:styleId="1373" w:customStyle="1">
    <w:name w:val="批注框文本 字符"/>
    <w:basedOn w:val="677"/>
    <w:link w:val="693"/>
    <w:uiPriority w:val="99"/>
    <w:semiHidden/>
    <w:qFormat/>
    <w:rPr>
      <w:rFonts w:ascii="宋体" w:hAnsi="Calibri"/>
      <w:sz w:val="18"/>
      <w:szCs w:val="18"/>
    </w:rPr>
  </w:style>
  <w:style w:type="character" w:styleId="1374" w:customStyle="1">
    <w:name w:val="标题 1 字符2"/>
    <w:link w:val="668"/>
    <w:uiPriority w:val="9"/>
    <w:qFormat/>
    <w:rPr>
      <w:rFonts w:ascii="Arial" w:hAnsi="Arial" w:eastAsia="Arial" w:cs="Arial"/>
      <w:sz w:val="40"/>
      <w:szCs w:val="40"/>
    </w:rPr>
  </w:style>
  <w:style w:type="paragraph" w:styleId="1375" w:customStyle="1">
    <w:name w:val="Normal_19_0_0"/>
    <w:next w:val="667"/>
    <w:uiPriority w:val="0"/>
    <w:qFormat/>
    <w:pPr>
      <w:ind w:firstLine="200"/>
      <w:jc w:val="both"/>
      <w:spacing w:line="360" w:lineRule="auto"/>
      <w:widowControl w:val="off"/>
    </w:pPr>
    <w:rPr>
      <w:rFonts w:hint="default" w:ascii="Calibri" w:hAnsi="Calibri" w:eastAsia="宋体" w:cs="Times New Roman"/>
      <w:sz w:val="24"/>
      <w:lang w:val="en-US" w:eastAsia="zh-CN" w:bidi="ar-SA"/>
    </w:rPr>
  </w:style>
  <w:style w:type="paragraph" w:styleId="1376" w:customStyle="1">
    <w:name w:val="Body Text_0_0"/>
    <w:basedOn w:val="1375"/>
    <w:uiPriority w:val="99"/>
    <w:unhideWhenUsed/>
    <w:qFormat/>
    <w:pPr>
      <w:spacing w:after="120"/>
    </w:pPr>
    <w:rPr>
      <w:sz w:val="20"/>
    </w:rPr>
  </w:style>
  <w:style w:type="paragraph" w:styleId="1377" w:customStyle="1">
    <w:name w:val="*正文"/>
    <w:basedOn w:val="667"/>
    <w:uiPriority w:val="0"/>
    <w:qFormat/>
    <w:pPr>
      <w:ind w:firstLine="560"/>
      <w:spacing w:line="360" w:lineRule="auto"/>
    </w:pPr>
    <w:rPr>
      <w:rFonts w:ascii="方正仿宋_GB2312" w:hAnsi="Times New Roman" w:eastAsia="方正仿宋_GB2312"/>
      <w:sz w:val="28"/>
      <w:szCs w:val="28"/>
    </w:rPr>
  </w:style>
  <w:style w:type="paragraph" w:styleId="1378" w:customStyle="1">
    <w:name w:val="Normal_21_0"/>
    <w:next w:val="66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79" w:customStyle="1">
    <w:name w:val="正文3"/>
    <w:next w:val="770"/>
    <w:uiPriority w:val="0"/>
    <w:qFormat/>
    <w:pPr>
      <w:spacing w:after="160" w:line="278" w:lineRule="auto"/>
    </w:pPr>
    <w:rPr>
      <w:rFonts w:hint="default" w:ascii="Times New Roman" w:hAnsi="Times New Roman" w:eastAsia="Times New Roman" w:cs="Times New Roman"/>
      <w:sz w:val="24"/>
      <w:szCs w:val="24"/>
      <w:lang w:val="en-US" w:eastAsia="zh-CN" w:bidi="ar-SA"/>
    </w:rPr>
  </w:style>
  <w:style w:type="paragraph" w:styleId="1380"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1381" w:customStyle="1">
    <w:name w:val="p17_0_0"/>
    <w:basedOn w:val="1320"/>
    <w:uiPriority w:val="0"/>
    <w:qFormat/>
    <w:pPr>
      <w:spacing w:before="100" w:beforeAutospacing="1" w:after="100" w:afterAutospacing="1"/>
    </w:pPr>
    <w:rPr>
      <w:rFonts w:ascii="宋体" w:hAnsi="宋体" w:eastAsia="Times New Roman" w:cs="宋体"/>
      <w:sz w:val="24"/>
    </w:rPr>
  </w:style>
  <w:style w:type="character" w:styleId="1382" w:customStyle="1">
    <w:name w:val="列出段落 Char"/>
    <w:link w:val="1154"/>
    <w:uiPriority w:val="0"/>
    <w:qFormat/>
    <w:rPr>
      <w:rFonts w:ascii="Calibri" w:hAnsi="Calibri"/>
      <w:sz w:val="21"/>
      <w:szCs w:val="22"/>
    </w:rPr>
  </w:style>
  <w:style w:type="paragraph" w:styleId="1383" w:customStyle="1">
    <w:name w:val="☆ 正文"/>
    <w:basedOn w:val="667"/>
    <w:uiPriority w:val="0"/>
    <w:qFormat/>
    <w:pPr>
      <w:ind w:firstLine="482"/>
    </w:pPr>
    <w:rPr>
      <w:b/>
    </w:rPr>
  </w:style>
  <w:style w:type="paragraph" w:styleId="1384" w:customStyle="1">
    <w:name w:val="正文首行缩进1"/>
    <w:basedOn w:val="667"/>
    <w:uiPriority w:val="0"/>
    <w:qFormat/>
    <w:pPr>
      <w:ind w:firstLine="200"/>
      <w:spacing w:line="360" w:lineRule="auto"/>
    </w:pPr>
    <w:rPr>
      <w:rFonts w:ascii="仿宋_GB2312" w:eastAsia="仿宋_GB2312"/>
      <w:sz w:val="30"/>
      <w:szCs w:val="30"/>
    </w:rPr>
  </w:style>
  <w:style w:type="character" w:styleId="1385" w:customStyle="1">
    <w:name w:val="日期 字符"/>
    <w:basedOn w:val="677"/>
    <w:link w:val="691"/>
    <w:uiPriority w:val="99"/>
    <w:semiHidden/>
    <w:qFormat/>
    <w:rPr>
      <w:rFonts w:ascii="Calibri" w:hAnsi="Calibri"/>
      <w:sz w:val="21"/>
      <w:szCs w:val="22"/>
    </w:rPr>
  </w:style>
  <w:style w:type="paragraph" w:styleId="1386" w:customStyle="1">
    <w:name w:val="List Paragraph_0"/>
    <w:basedOn w:val="1274"/>
    <w:uiPriority w:val="0"/>
    <w:qFormat/>
    <w:pPr>
      <w:ind w:firstLine="200"/>
    </w:pPr>
  </w:style>
  <w:style w:type="paragraph" w:styleId="1387" w:customStyle="1">
    <w:name w:val="正文文本_0"/>
    <w:basedOn w:val="1277"/>
    <w:uiPriority w:val="0"/>
    <w:qFormat/>
    <w:rPr>
      <w:rFonts w:ascii="仿宋" w:eastAsia="仿宋" w:cs="仿宋"/>
      <w:sz w:val="24"/>
      <w:szCs w:val="24"/>
      <w:lang w:val="zh-CN" w:bidi="zh-CN"/>
    </w:rPr>
  </w:style>
  <w:style w:type="paragraph" w:styleId="1388" w:customStyle="1">
    <w:name w:val="Normal_20_1_0"/>
    <w:next w:val="1389"/>
    <w:uiPriority w:val="0"/>
    <w:qFormat/>
    <w:pPr>
      <w:jc w:val="both"/>
      <w:widowControl w:val="off"/>
    </w:pPr>
    <w:rPr>
      <w:rFonts w:hint="default" w:ascii="Calibri" w:hAnsi="Calibri" w:eastAsia="宋体" w:cs="Times New Roman"/>
      <w:sz w:val="21"/>
      <w:szCs w:val="22"/>
      <w:lang w:val="en-US" w:eastAsia="zh-CN" w:bidi="ar-SA"/>
    </w:rPr>
  </w:style>
  <w:style w:type="paragraph" w:styleId="1389" w:customStyle="1">
    <w:name w:val="List Continue 2_0_0"/>
    <w:basedOn w:val="1388"/>
    <w:next w:val="1390"/>
    <w:uiPriority w:val="0"/>
    <w:qFormat/>
    <w:pPr>
      <w:ind w:left="840"/>
      <w:spacing w:after="120"/>
    </w:pPr>
  </w:style>
  <w:style w:type="paragraph" w:styleId="1390" w:customStyle="1">
    <w:name w:val="TOC 4_0_0"/>
    <w:basedOn w:val="1388"/>
    <w:next w:val="1388"/>
    <w:uiPriority w:val="0"/>
    <w:qFormat/>
    <w:pPr>
      <w:ind w:left="630"/>
      <w:jc w:val="left"/>
    </w:pPr>
    <w:rPr>
      <w:rFonts w:ascii="Calibri" w:hAnsi="Calibri" w:cs="Calibri"/>
      <w:sz w:val="18"/>
      <w:szCs w:val="18"/>
    </w:rPr>
  </w:style>
  <w:style w:type="character" w:styleId="1391" w:customStyle="1">
    <w:name w:val="font91"/>
    <w:basedOn w:val="677"/>
    <w:uiPriority w:val="0"/>
    <w:qFormat/>
    <w:rPr>
      <w:rFonts w:hint="default" w:ascii="Times New Roman" w:hAnsi="Times New Roman" w:cs="Times New Roman"/>
      <w:color w:val="000000"/>
      <w:sz w:val="20"/>
      <w:szCs w:val="20"/>
      <w:u w:val="none"/>
    </w:rPr>
  </w:style>
  <w:style w:type="character" w:styleId="1392" w:customStyle="1">
    <w:name w:val="font61"/>
    <w:basedOn w:val="677"/>
    <w:uiPriority w:val="0"/>
    <w:qFormat/>
    <w:rPr>
      <w:rFonts w:hint="default" w:ascii="Times New Roman" w:hAnsi="Times New Roman" w:cs="Times New Roman"/>
      <w:color w:val="000000"/>
      <w:sz w:val="20"/>
      <w:szCs w:val="20"/>
      <w:u w:val="none"/>
    </w:rPr>
  </w:style>
  <w:style w:type="character" w:styleId="1393" w:customStyle="1">
    <w:name w:val="font81"/>
    <w:basedOn w:val="677"/>
    <w:uiPriority w:val="0"/>
    <w:qFormat/>
    <w:rPr>
      <w:rFonts w:hint="eastAsia" w:ascii="宋体" w:hAnsi="宋体" w:eastAsia="宋体" w:cs="宋体"/>
      <w:color w:val="000000"/>
      <w:sz w:val="20"/>
      <w:szCs w:val="20"/>
      <w:u w:val="none"/>
    </w:rPr>
  </w:style>
  <w:style w:type="character" w:styleId="1394" w:customStyle="1">
    <w:name w:val="font41"/>
    <w:basedOn w:val="677"/>
    <w:uiPriority w:val="0"/>
    <w:qFormat/>
    <w:rPr>
      <w:rFonts w:hint="eastAsia" w:ascii="宋体" w:hAnsi="宋体" w:eastAsia="宋体" w:cs="宋体"/>
      <w:b/>
      <w:bCs/>
      <w:color w:val="000000"/>
      <w:sz w:val="20"/>
      <w:szCs w:val="20"/>
      <w:u w:val="none"/>
    </w:rPr>
  </w:style>
  <w:style w:type="character" w:styleId="1395" w:customStyle="1">
    <w:name w:val="font31"/>
    <w:basedOn w:val="677"/>
    <w:uiPriority w:val="0"/>
    <w:qFormat/>
    <w:rPr>
      <w:rFonts w:hint="eastAsia" w:ascii="宋体" w:hAnsi="宋体" w:eastAsia="宋体" w:cs="宋体"/>
      <w:color w:val="000000"/>
      <w:sz w:val="20"/>
      <w:szCs w:val="20"/>
      <w:u w:val="none"/>
    </w:rPr>
  </w:style>
  <w:style w:type="character" w:styleId="1396" w:customStyle="1">
    <w:name w:val="font51"/>
    <w:basedOn w:val="677"/>
    <w:uiPriority w:val="0"/>
    <w:qFormat/>
    <w:rPr>
      <w:rFonts w:hint="eastAsia" w:ascii="宋体" w:hAnsi="宋体" w:eastAsia="宋体" w:cs="宋体"/>
      <w:color w:val="000000"/>
      <w:sz w:val="20"/>
      <w:szCs w:val="20"/>
      <w:u w:val="none"/>
    </w:rPr>
  </w:style>
  <w:style w:type="numbering" w:styleId="1968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contractReview xmlns="http://schemas.wps.cn/vas-ai-hub/contract-review">
  <reviewItems>
    <reviewItem>
      <errorID>411a6b24-b705-4cee-92b2-a68f52f10e6a</errorID>
      <errorWord>)</errorWord>
      <group>L1_Format</group>
      <groupName>格式问题</groupName>
      <ability>L2_HalfPunc_CN</ability>
      <abilityName>全半角问题</abilityName>
      <candidateList>
        <item>）</item>
      </candidateList>
      <explain>文本全半角错误。</explain>
      <paraID>44BF1941</paraID>
      <start>70</start>
      <end>71</end>
      <status>unmodified</status>
      <modifiedWord/>
      <trackRevisions>false</trackRevisions>
    </reviewItem>
    <reviewItem>
      <errorID>aa197aa4-780b-4b77-b8a6-e7e4dee32912</errorID>
      <errorWord>江苏政府采购网</errorWord>
      <group>L1_Other</group>
      <groupName>其他问题</groupName>
      <ability>L2_Consistency</ability>
      <abilityName>一致性检查</abilityName>
      <candidateList>
        <item>江苏省政府采购网</item>
      </candidateList>
      <explain>实体一致性，政府采购网站名称前后表述不一致</explain>
      <paraID>1F8A13BE</paraID>
      <start>33</start>
      <end>40</end>
      <status>unmodified</status>
      <modifiedWord/>
      <trackRevisions>false</trackRevisions>
    </reviewItem>
    <reviewItem>
      <errorID>b81fcb0c-041e-4d73-84d1-a8d2e0953762</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1F8A13BE</paraID>
      <start>40</start>
      <end>43</end>
      <status>unmodified</status>
      <modifiedWord/>
      <trackRevisions>false</trackRevisions>
    </reviewItem>
    <reviewItem>
      <errorID>9f9adfcf-6caf-4629-b359-7083fd10ddf8</errorID>
      <errorWord>儿童和学生用品</errorWord>
      <group>L1_Other</group>
      <groupName>其他问题</groupName>
      <ability>L2_Consistency</ability>
      <abilityName>一致性检查</abilityName>
      <candidateList>
        <item>儿童学生用品</item>
      </candidateList>
      <explain>实体一致性，抽检产品类别名称前后表述不一致</explain>
      <paraID>519DD3D8</paraID>
      <start>40</start>
      <end>47</end>
      <status>unmodified</status>
      <modifiedWord/>
      <trackRevisions>false</trackRevisions>
    </reviewItem>
    <reviewItem>
      <errorID>144609a5-f4be-4648-98be-d07fcf442d6b</errorID>
      <errorWord>服务进行采购</errorWord>
      <group>L1_Grammar</group>
      <groupName>语法问题</groupName>
      <ability>L2_Grammar</ability>
      <abilityName>语法错误</abilityName>
      <candidateList>
        <item>服务</item>
      </candidateList>
      <explain/>
      <paraID>519DD3D8</paraID>
      <start>111</start>
      <end>117</end>
      <status>unmodified</status>
      <modifiedWord/>
      <trackRevisions>false</trackRevisions>
    </reviewItem>
    <reviewItem>
      <errorID>0a295ce5-76e9-4243-91f7-64c30ee70236</errorID>
      <errorWord>学生用品</errorWord>
      <group>L1_Word</group>
      <groupName>字词问题</groupName>
      <ability>L2_Typo</ability>
      <abilityName>字词错误</abilityName>
      <candidateList>
        <item>和学生用品</item>
      </candidateList>
      <explain/>
      <paraID>5C8177C8</paraID>
      <start>22</start>
      <end>26</end>
      <status>unmodified</status>
      <modifiedWord/>
      <trackRevisions>false</trackRevisions>
    </reviewItem>
    <reviewItem>
      <errorID>26da88ac-4fa3-4576-8391-c0cc6e0d27a0</errorID>
      <errorWord>签订之日起至</errorWord>
      <group>L1_Word</group>
      <groupName>字词问题</groupName>
      <ability>L2_Typo</ability>
      <abilityName>字词错误</abilityName>
      <candidateList>
        <item>签订之日起</item>
      </candidateList>
      <explain/>
      <paraID>3A55100C</paraID>
      <start>12</start>
      <end>18</end>
      <status>unmodified</status>
      <modifiedWord/>
      <trackRevisions>false</trackRevisions>
    </reviewItem>
    <reviewItem>
      <errorID>2335d497-a986-411e-8faf-77ef72a3768e</errorID>
      <errorWord>原件</errorWord>
      <group>L1_Punc</group>
      <groupName>标点问题</groupName>
      <ability>L2_Punc_CN</ability>
      <abilityName>标点符号问题</abilityName>
      <candidateList>
        <item>原件。</item>
      </candidateList>
      <explain/>
      <paraID>623FDEB8</paraID>
      <start>152</start>
      <end>154</end>
      <status>unmodified</status>
      <modifiedWord/>
      <trackRevisions>false</trackRevisions>
    </reviewItem>
    <reviewItem>
      <errorID>a13802b7-9117-4f10-8700-e91aa2aa740b</errorID>
      <errorWord>、也</errorWord>
      <group>L1_Punc</group>
      <groupName>标点问题</groupName>
      <ability>L2_Punc_CN</ability>
      <abilityName>标点符号问题</abilityName>
      <candidateList>
        <item>，也</item>
      </candidateList>
      <explain>连接词前后不宜使用顿号，建议使用逗号。</explain>
      <paraID>623FDEB8</paraID>
      <start>168</start>
      <end>170</end>
      <status>unmodified</status>
      <modifiedWord/>
      <trackRevisions>false</trackRevisions>
    </reviewItem>
    <reviewItem>
      <errorID>6866d91c-55f8-48fc-9dda-59362afa4a91</errorID>
      <errorWord>“.</errorWord>
      <group>L1_Punc</group>
      <groupName>标点问题</groupName>
      <ability>L2_Punc_CN</ability>
      <abilityName>标点符号问题</abilityName>
      <candidateList>
        <item>“</item>
      </candidateList>
      <explain/>
      <paraID>203D729F</paraID>
      <start>88</start>
      <end>90</end>
      <status>unmodified</status>
      <modifiedWord/>
      <trackRevisions>false</trackRevisions>
    </reviewItem>
    <reviewItem>
      <errorID>e6edf280-66c1-456d-b5b1-1298ca6b3c48</errorID>
      <errorWord>【2022】002号</errorWord>
      <group>L1_Knowledge</group>
      <groupName>知识性问题</groupName>
      <ability>L2_Knowledge</ability>
      <abilityName>其他知识</abilityName>
      <candidateList>
        <item>〔2022〕2号</item>
      </candidateList>
      <explain>发文字号格式错误。</explain>
      <paraID>13780FC6</paraID>
      <start>30</start>
      <end>40</end>
      <status>unmodified</status>
      <modifiedWord/>
      <trackRevisions>false</trackRevisions>
    </reviewItem>
    <reviewItem>
      <errorID>761fdc30-9607-4261-844c-cf9b67f275ca</errorID>
      <errorWord>【2022】002号</errorWord>
      <group>L1_Knowledge</group>
      <groupName>知识性问题</groupName>
      <ability>L2_Knowledge</ability>
      <abilityName>其他知识</abilityName>
      <candidateList>
        <item>〔2022〕2号</item>
      </candidateList>
      <explain>发文字号格式错误。</explain>
      <paraID> 8A219DE</paraID>
      <start>30</start>
      <end>40</end>
      <status>unmodified</status>
      <modifiedWord/>
      <trackRevisions>false</trackRevisions>
    </reviewItem>
    <reviewItem>
      <errorID>c79fe73e-c4e1-484c-8abb-a671f712d54b</errorID>
      <errorWord>【2022】002号</errorWord>
      <group>L1_Knowledge</group>
      <groupName>知识性问题</groupName>
      <ability>L2_Knowledge</ability>
      <abilityName>其他知识</abilityName>
      <candidateList>
        <item>〔2022〕2号</item>
      </candidateList>
      <explain>发文字号格式错误。</explain>
      <paraID>7F7D07EF</paraID>
      <start>30</start>
      <end>40</end>
      <status>unmodified</status>
      <modifiedWord/>
      <trackRevisions>false</trackRevisions>
    </reviewItem>
    <reviewItem>
      <errorID>c6c7ed35-371a-45a0-9b77-c727066aa73c</errorID>
      <errorWord>【2022】002号</errorWord>
      <group>L1_Knowledge</group>
      <groupName>知识性问题</groupName>
      <ability>L2_Knowledge</ability>
      <abilityName>其他知识</abilityName>
      <candidateList>
        <item>〔2022〕2号</item>
      </candidateList>
      <explain>发文字号格式错误。</explain>
      <paraID>3C905951</paraID>
      <start>30</start>
      <end>40</end>
      <status>unmodified</status>
      <modifiedWord/>
      <trackRevisions>false</trackRevisions>
    </reviewItem>
    <reviewItem>
      <errorID>919e7b53-834e-4ecc-af39-3353261ca165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2DBC3D5A</paraID>
      <start>0</start>
      <end>2</end>
      <status>unmodified</status>
      <modifiedWord/>
      <trackRevisions>false</trackRevisions>
    </reviewItem>
    <reviewItem>
      <errorID>b6f2326b-c322-4041-bde7-52af465a5bf6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47F22E69</paraID>
      <start>0</start>
      <end>2</end>
      <status>unmodified</status>
      <modifiedWord/>
      <trackRevisions>false</trackRevisions>
    </reviewItem>
    <reviewItem>
      <errorID>15c68851-b1e4-4867-b80b-0a6416398023</errorID>
      <errorWord>相关</errorWord>
      <group>L1_Word</group>
      <groupName>字词问题</groupName>
      <ability>L2_Typo</ability>
      <abilityName>字词错误</abilityName>
      <candidateList>
        <item>的相关</item>
      </candidateList>
      <explain/>
      <paraID> 90E65B7</paraID>
      <start>41</start>
      <end>43</end>
      <status>unmodified</status>
      <modifiedWord/>
      <trackRevisions>false</trackRevisions>
    </reviewItem>
    <reviewItem>
      <errorID>4bf49342-e3ad-469b-9afc-e662aab88249</errorID>
      <errorWord>实质性要求的</errorWord>
      <group>L1_Word</group>
      <groupName>字词问题</groupName>
      <ability>L2_Typo</ability>
      <abilityName>字词错误</abilityName>
      <candidateList>
        <item>的实质性要求</item>
      </candidateList>
      <explain/>
      <paraID>1A8F9326</paraID>
      <start>8</start>
      <end>14</end>
      <status>unmodified</status>
      <modifiedWord/>
      <trackRevisions>false</trackRevisions>
    </reviewItem>
    <reviewItem>
      <errorID>2ed12b03-c0e3-4a3c-ae72-5b5adf58dc20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70572C61</paraID>
      <start>0</start>
      <end>2</end>
      <status>unmodified</status>
      <modifiedWord/>
      <trackRevisions>false</trackRevisions>
    </reviewItem>
    <reviewItem>
      <errorID>5faac34f-8099-48a8-aa0b-75a951bcbb55</errorID>
      <errorWord>法律、法规</errorWord>
      <group>L1_Word</group>
      <groupName>字词问题</groupName>
      <ability>L2_Typo</ability>
      <abilityName>字词错误</abilityName>
      <candidateList>
        <item>法律法规</item>
      </candidateList>
      <explain/>
      <paraID>2ADB4690</paraID>
      <start>24</start>
      <end>29</end>
      <status>unmodified</status>
      <modifiedWord/>
      <trackRevisions>false</trackRevisions>
    </reviewItem>
    <reviewItem>
      <errorID>288570c4-48a7-44d2-86c5-c9674a31da54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799DAA30</paraID>
      <start>0</start>
      <end>2</end>
      <status>unmodified</status>
      <modifiedWord/>
      <trackRevisions>false</trackRevisions>
    </reviewItem>
    <reviewItem>
      <errorID>4eca449b-867a-44e7-8199-e74a76f9709d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4701BD53</paraID>
      <start>0</start>
      <end>2</end>
      <status>unmodified</status>
      <modifiedWord/>
      <trackRevisions>false</trackRevisions>
    </reviewItem>
    <reviewItem>
      <errorID>85482379-e3d2-44bc-94fb-0d717111a048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40AF5EE5</paraID>
      <start>0</start>
      <end>2</end>
      <status>unmodified</status>
      <modifiedWord/>
      <trackRevisions>false</trackRevisions>
    </reviewItem>
    <reviewItem>
      <errorID>50bee765-7d41-4db4-ab58-f3ac4c62c03a</errorID>
      <errorWord> </errorWord>
      <group>L1_Punc</group>
      <groupName>标点问题</groupName>
      <ability>L2_Punc_CN</ability>
      <abilityName>标点符号问题</abilityName>
      <candidateList>
        <item/>
      </candidateList>
      <explain>此处空格冗余，建议删除。</explain>
      <paraID> 118DF06</paraID>
      <start>17</start>
      <end>18</end>
      <status>unmodified</status>
      <modifiedWord/>
      <trackRevisions>false</trackRevisions>
    </reviewItem>
    <reviewItem>
      <errorID>283493c1-2c6f-4f1f-a2aa-9fad3f92304a</errorID>
      <errorWord>1</errorWord>
      <group>L1_Punc</group>
      <groupName>标点问题</groupName>
      <ability>L2_Punc_CN</ability>
      <abilityName>标点符号问题</abilityName>
      <candidateList>
        <item>1。</item>
      </candidateList>
      <explain/>
      <paraID> 118DF06</paraID>
      <start>20</start>
      <end>21</end>
      <status>unmodified</status>
      <modifiedWord/>
      <trackRevisions>false</trackRevisions>
    </reviewItem>
    <reviewItem>
      <errorID>e7fc836f-a54f-4c82-95e1-02c0bc18c898</errorID>
      <errorWord>)</errorWord>
      <group>L1_Format</group>
      <groupName>格式问题</groupName>
      <ability>L2_HalfPunc_CN</ability>
      <abilityName>全半角问题</abilityName>
      <candidateList>
        <item>）</item>
      </candidateList>
      <explain>文本全半角错误。</explain>
      <paraID>2F7CA28C</paraID>
      <start>104</start>
      <end>105</end>
      <status>unmodified</status>
      <modifiedWord/>
      <trackRevisions>false</trackRevisions>
    </reviewItem>
    <reviewItem>
      <errorID>db405e7e-9f88-471d-b3d2-47f47aeaaa70</errorID>
      <errorWord>（</errorWord>
      <group>L1_Word</group>
      <groupName>字词问题</groupName>
      <ability>L2_Typo</ability>
      <abilityName>字词错误</abilityName>
      <candidateList>
        <item>（在</item>
      </candidateList>
      <explain/>
      <paraID>2F7CA28C</paraID>
      <start>119</start>
      <end>120</end>
      <status>unmodified</status>
      <modifiedWord/>
      <trackRevisions>false</trackRevisions>
    </reviewItem>
    <reviewItem>
      <errorID>8a3c0a01-55d9-45dc-a990-f7004f0e3702</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6FC9CCF9</paraID>
      <start>182</start>
      <end>185</end>
      <status>unmodified</status>
      <modifiedWord/>
      <trackRevisions>false</trackRevisions>
    </reviewItem>
    <reviewItem>
      <errorID>6c6b6baa-eb69-4d98-b2db-8ec339361492</errorID>
      <errorWord>》</errorWord>
      <group>L1_Word</group>
      <groupName>字词问题</groupName>
      <ability>L2_Typo</ability>
      <abilityName>字词错误</abilityName>
      <candidateList>
        <item>》和</item>
      </candidateList>
      <explain/>
      <paraID> C204E73</paraID>
      <start>25</start>
      <end>26</end>
      <status>unmodified</status>
      <modifiedWord/>
      <trackRevisions>false</trackRevisions>
    </reviewItem>
    <reviewItem>
      <errorID>d1419806-73bd-46af-96ad-781988a8a774</errorID>
      <errorWord> </errorWord>
      <group>L1_Punc</group>
      <groupName>标点问题</groupName>
      <ability>L2_Punc_CN</ability>
      <abilityName>标点符号问题</abilityName>
      <candidateList>
        <item>、</item>
      </candidateList>
      <explain/>
      <paraID>52E8D031</paraID>
      <start>5</start>
      <end>6</end>
      <status>unmodified</status>
      <modifiedWord/>
      <trackRevisions>false</trackRevisions>
    </reviewItem>
    <reviewItem>
      <errorID>9381169d-ce84-44b2-b32a-52b4239f7689</errorID>
      <errorWord> </errorWord>
      <group>L1_Punc</group>
      <groupName>标点问题</groupName>
      <ability>L2_Punc_CN</ability>
      <abilityName>标点符号问题</abilityName>
      <candidateList>
        <item>、</item>
      </candidateList>
      <explain/>
      <paraID>52E8D031</paraID>
      <start>11</start>
      <end>12</end>
      <status>unmodified</status>
      <modifiedWord/>
      <trackRevisions>false</trackRevisions>
    </reviewItem>
    <reviewItem>
      <errorID>41841e76-262e-4f8e-9485-6a2203389376</errorID>
      <errorWord>关于</errorWord>
      <group>L1_Punc</group>
      <groupName>标点问题</groupName>
      <ability>L2_Punc_CN</ability>
      <abilityName>标点符号问题</abilityName>
      <candidateList>
        <item>《关于</item>
      </candidateList>
      <explain/>
      <paraID>52E8D031</paraID>
      <start>19</start>
      <end>21</end>
      <status>unmodified</status>
      <modifiedWord/>
      <trackRevisions>false</trackRevisions>
    </reviewItem>
    <reviewItem>
      <errorID>19c7c72d-4ea3-499c-80ab-a3320c8af1c3</errorID>
      <errorWord>《</errorWord>
      <group>L1_Punc</group>
      <groupName>标点问题</groupName>
      <ability>L2_Punc_CN</ability>
      <abilityName>标点符号问题</abilityName>
      <candidateList>
        <item>〈</item>
      </candidateList>
      <explain/>
      <paraID>52E8D031</paraID>
      <start>23</start>
      <end>24</end>
      <status>unmodified</status>
      <modifiedWord/>
      <trackRevisions>false</trackRevisions>
    </reviewItem>
    <reviewItem>
      <errorID>acc4665f-1455-4c82-8f6b-bcf6794cc3cd</errorID>
      <errorWord>》</errorWord>
      <group>L1_Punc</group>
      <groupName>标点问题</groupName>
      <ability>L2_Punc_CN</ability>
      <abilityName>标点符号问题</abilityName>
      <candidateList>
        <item>〉</item>
      </candidateList>
      <explain/>
      <paraID>52E8D031</paraID>
      <start>42</start>
      <end>43</end>
      <status>unmodified</status>
      <modifiedWord/>
      <trackRevisions>false</trackRevisions>
    </reviewItem>
    <reviewItem>
      <errorID>1a681192-f58d-4a04-b278-f032d2ae43f6</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52E8D031</paraID>
      <start>46</start>
      <end>47</end>
      <status>unmodified</status>
      <modifiedWord/>
      <trackRevisions>false</trackRevisions>
    </reviewItem>
    <reviewItem>
      <errorID>f1f8c7f9-0902-43c5-8ec3-9c26a7ef3ca3</errorID>
      <errorWord> </errorWord>
      <group>L1_Punc</group>
      <groupName>标点问题</groupName>
      <ability>L2_Punc_CN</ability>
      <abilityName>标点符号问题</abilityName>
      <candidateList>
        <item>、</item>
      </candidateList>
      <explain/>
      <paraID>623C60D3</paraID>
      <start>5</start>
      <end>6</end>
      <status>unmodified</status>
      <modifiedWord/>
      <trackRevisions>false</trackRevisions>
    </reviewItem>
    <reviewItem>
      <errorID>6c4add6a-6f0c-4b9b-af30-43dcff811bc2</errorID>
      <errorWord> </errorWord>
      <group>L1_Punc</group>
      <groupName>标点问题</groupName>
      <ability>L2_Punc_CN</ability>
      <abilityName>标点符号问题</abilityName>
      <candidateList>
        <item>、</item>
      </candidateList>
      <explain/>
      <paraID>623C60D3</paraID>
      <start>14</start>
      <end>15</end>
      <status>unmodified</status>
      <modifiedWord/>
      <trackRevisions>false</trackRevisions>
    </reviewItem>
    <reviewItem>
      <errorID>7d27a2b5-bbef-47df-ba28-3f22343990fc</errorID>
      <errorWord>关于</errorWord>
      <group>L1_Punc</group>
      <groupName>标点问题</groupName>
      <ability>L2_Punc_CN</ability>
      <abilityName>标点符号问题</abilityName>
      <candidateList>
        <item>《关于</item>
      </candidateList>
      <explain/>
      <paraID>623C60D3</paraID>
      <start>22</start>
      <end>24</end>
      <status>unmodified</status>
      <modifiedWord/>
      <trackRevisions>false</trackRevisions>
    </reviewItem>
    <reviewItem>
      <errorID>6034c933-80cd-4386-a23a-83e9af89673a</errorID>
      <errorWord>《</errorWord>
      <group>L1_Punc</group>
      <groupName>标点问题</groupName>
      <ability>L2_Punc_CN</ability>
      <abilityName>标点符号问题</abilityName>
      <candidateList>
        <item>〈</item>
      </candidateList>
      <explain/>
      <paraID>623C60D3</paraID>
      <start>26</start>
      <end>27</end>
      <status>unmodified</status>
      <modifiedWord/>
      <trackRevisions>false</trackRevisions>
    </reviewItem>
    <reviewItem>
      <errorID>899fdad3-e2a0-42b4-a3bb-202f2738b440</errorID>
      <errorWord>》</errorWord>
      <group>L1_Punc</group>
      <groupName>标点问题</groupName>
      <ability>L2_Punc_CN</ability>
      <abilityName>标点符号问题</abilityName>
      <candidateList>
        <item>〉》</item>
      </candidateList>
      <explain/>
      <paraID>623C60D3</paraID>
      <start>58</start>
      <end>59</end>
      <status>unmodified</status>
      <modifiedWord/>
      <trackRevisions>false</trackRevisions>
    </reviewItem>
    <reviewItem>
      <errorID>a387b3a9-d82c-456b-ac52-f87af68d8566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18F6678</paraID>
      <start>0</start>
      <end>2</end>
      <status>unmodified</status>
      <modifiedWord/>
      <trackRevisions>false</trackRevisions>
    </reviewItem>
    <reviewItem>
      <errorID>4930462e-9bd3-42fc-8a8f-bfaaa6d76d2a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71986A1A</paraID>
      <start>0</start>
      <end>2</end>
      <status>unmodified</status>
      <modifiedWord/>
      <trackRevisions>false</trackRevisions>
    </reviewItem>
    <reviewItem>
      <errorID>398621d3-ca67-4dfb-8354-4444de4b468c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1EE526AD</paraID>
      <start>0</start>
      <end>2</end>
      <status>unmodified</status>
      <modifiedWord/>
      <trackRevisions>false</trackRevisions>
    </reviewItem>
    <reviewItem>
      <errorID>a1753219-f44c-4fd0-ab76-104e88f7c9e9</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7E8A7676</paraID>
      <start>0</start>
      <end>3</end>
      <status>unmodified</status>
      <modifiedWord/>
      <trackRevisions>false</trackRevisions>
    </reviewItem>
    <reviewItem>
      <errorID>80a9cfe1-82e2-42bb-b5ea-c6cc915371c2</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5AFD5C70</paraID>
      <start>0</start>
      <end>3</end>
      <status>unmodified</status>
      <modifiedWord/>
      <trackRevisions>false</trackRevisions>
    </reviewItem>
    <reviewItem>
      <errorID>c447558b-0db0-4441-ac27-c2a3c66a998f</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58601E3F</paraID>
      <start>0</start>
      <end>3</end>
      <status>unmodified</status>
      <modifiedWord/>
      <trackRevisions>false</trackRevisions>
    </reviewItem>
    <reviewItem>
      <errorID>9ca6c597-596b-466d-91c9-9b73826e412b</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2F2BF8DF</paraID>
      <start>0</start>
      <end>3</end>
      <status>unmodified</status>
      <modifiedWord/>
      <trackRevisions>false</trackRevisions>
    </reviewItem>
    <reviewItem>
      <errorID>ba151fb5-0213-4d68-b429-f9e4f6f49c45</errorID>
      <errorWord>间</errorWord>
      <group>L1_Word</group>
      <groupName>字词问题</groupName>
      <ability>L2_Typo</ability>
      <abilityName>字词错误</abilityName>
      <candidateList>
        <item>间之</item>
      </candidateList>
      <explain/>
      <paraID>41B8469B</paraID>
      <start>21</start>
      <end>22</end>
      <status>unmodified</status>
      <modifiedWord/>
      <trackRevisions>false</trackRevisions>
    </reviewItem>
    <reviewItem>
      <errorID>fe3079ba-138d-4a74-9008-0250e4631f1b</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CEC7A38</paraID>
      <start>0</start>
      <end>3</end>
      <status>unmodified</status>
      <modifiedWord/>
      <trackRevisions>false</trackRevisions>
    </reviewItem>
    <reviewItem>
      <errorID>a4e02f8b-9339-4e27-892f-f52cdc260e3d</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55020570</paraID>
      <start>0</start>
      <end>3</end>
      <status>unmodified</status>
      <modifiedWord/>
      <trackRevisions>false</trackRevisions>
    </reviewItem>
    <reviewItem>
      <errorID>4e9c844b-bcf6-43b4-9e7f-3a4985a671df</errorID>
      <errorWord>保持通讯畅通</errorWord>
      <group>L1_Word</group>
      <groupName>字词问题</groupName>
      <ability>L2_Typo</ability>
      <abilityName>字词错误</abilityName>
      <candidateList>
        <item>保持通信畅通</item>
      </candidateList>
      <explain/>
      <paraID>6E24BE99</paraID>
      <start>15</start>
      <end>21</end>
      <status>unmodified</status>
      <modifiedWord/>
      <trackRevisions>false</trackRevisions>
    </reviewItem>
    <reviewItem>
      <errorID>d03258af-4140-47d6-9aed-d103458d8206</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838D077</paraID>
      <start>0</start>
      <end>3</end>
      <status>unmodified</status>
      <modifiedWord/>
      <trackRevisions>false</trackRevisions>
    </reviewItem>
    <reviewItem>
      <errorID>e2a1797b-5cc0-4a33-9a04-571978b08f8c</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9C7D11A</paraID>
      <start>0</start>
      <end>3</end>
      <status>unmodified</status>
      <modifiedWord/>
      <trackRevisions>false</trackRevisions>
    </reviewItem>
    <reviewItem>
      <errorID>b4a0e6c6-2c9a-4b76-b014-d3239b2c7f1f</errorID>
      <errorWord>&lt;</errorWord>
      <group>L1_Format</group>
      <groupName>格式问题</groupName>
      <ability>L2_HalfPunc_CN</ability>
      <abilityName>全半角问题</abilityName>
      <candidateList>
        <item>〈</item>
      </candidateList>
      <explain>文本全半角错误。</explain>
      <paraID>5515B6E1</paraID>
      <start>37</start>
      <end>38</end>
      <status>unmodified</status>
      <modifiedWord/>
      <trackRevisions>false</trackRevisions>
    </reviewItem>
    <reviewItem>
      <errorID>f42eba99-6ec1-46a8-b3aa-0718ef91d468</errorID>
      <errorWord>&lt;</errorWord>
      <group>L1_Format</group>
      <groupName>格式问题</groupName>
      <ability>L2_HalfPunc_CN</ability>
      <abilityName>全半角问题</abilityName>
      <candidateList>
        <item>〈</item>
      </candidateList>
      <explain>文本全半角错误。</explain>
      <paraID>6948E169</paraID>
      <start>37</start>
      <end>38</end>
      <status>unmodified</status>
      <modifiedWord/>
      <trackRevisions>false</trackRevisions>
    </reviewItem>
    <reviewItem>
      <errorID>3396bf23-465b-46cc-875f-edf1ab14ee24</errorID>
      <errorWord>&lt;</errorWord>
      <group>L1_Format</group>
      <groupName>格式问题</groupName>
      <ability>L2_HalfPunc_CN</ability>
      <abilityName>全半角问题</abilityName>
      <candidateList>
        <item>〈</item>
      </candidateList>
      <explain>文本全半角错误。</explain>
      <paraID>1B1491ED</paraID>
      <start>26</start>
      <end>27</end>
      <status>unmodified</status>
      <modifiedWord/>
      <trackRevisions>false</trackRevisions>
    </reviewItem>
    <reviewItem>
      <errorID>5428a3ac-b95b-4d34-8adb-62f85855cba3</errorID>
      <errorWord>，</errorWord>
      <group>L1_Word</group>
      <groupName>字词问题</groupName>
      <ability>L2_Typo</ability>
      <abilityName>字词错误</abilityName>
      <candidateList>
        <item>，并</item>
      </candidateList>
      <explain/>
      <paraID>6D486661</paraID>
      <start>66</start>
      <end>67</end>
      <status>unmodified</status>
      <modifiedWord/>
      <trackRevisions>false</trackRevisions>
    </reviewItem>
    <reviewItem>
      <errorID>30397dc1-66e6-4e79-8b55-3dc4423d4d14</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6D444552</paraID>
      <start>0</start>
      <end>3</end>
      <status>unmodified</status>
      <modifiedWord/>
      <trackRevisions>false</trackRevisions>
    </reviewItem>
    <reviewItem>
      <errorID>58dadc58-18ec-4e0c-9806-22702acfe9bf</errorID>
      <errorWord>法律、法规</errorWord>
      <group>L1_Word</group>
      <groupName>字词问题</groupName>
      <ability>L2_Typo</ability>
      <abilityName>字词错误</abilityName>
      <candidateList>
        <item>法律法规</item>
      </candidateList>
      <explain/>
      <paraID> 4B3B356</paraID>
      <start>5</start>
      <end>10</end>
      <status>unmodified</status>
      <modifiedWord/>
      <trackRevisions>false</trackRevisions>
    </reviewItem>
    <reviewItem>
      <errorID>7944d2ef-5597-48df-9c3b-59978c109e77</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497D1DC6</paraID>
      <start>0</start>
      <end>3</end>
      <status>unmodified</status>
      <modifiedWord/>
      <trackRevisions>false</trackRevisions>
    </reviewItem>
    <reviewItem>
      <errorID>d6a455d3-a4f5-4dc7-b2a3-c3129e732fcf</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42739719</paraID>
      <start>0</start>
      <end>3</end>
      <status>unmodified</status>
      <modifiedWord/>
      <trackRevisions>false</trackRevisions>
    </reviewItem>
    <reviewItem>
      <errorID>0ae7cedb-8377-40ee-b1c8-4c876d7eb35a</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177A32BB</paraID>
      <start>0</start>
      <end>3</end>
      <status>unmodified</status>
      <modifiedWord/>
      <trackRevisions>false</trackRevisions>
    </reviewItem>
    <reviewItem>
      <errorID>8c19f052-cada-4484-85f0-a062d5a19316</errorID>
      <errorWord>法律、法规</errorWord>
      <group>L1_Word</group>
      <groupName>字词问题</groupName>
      <ability>L2_Typo</ability>
      <abilityName>字词错误</abilityName>
      <candidateList>
        <item>法律法规</item>
      </candidateList>
      <explain/>
      <paraID>7E664145</paraID>
      <start>4</start>
      <end>9</end>
      <status>unmodified</status>
      <modifiedWord/>
      <trackRevisions>false</trackRevisions>
    </reviewItem>
    <reviewItem>
      <errorID>a7133043-42e8-4e31-a364-997ea2703a8b</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31B5B340</paraID>
      <start>0</start>
      <end>3</end>
      <status>unmodified</status>
      <modifiedWord/>
      <trackRevisions>false</trackRevisions>
    </reviewItem>
    <reviewItem>
      <errorID>397fdf94-3f63-4c23-a585-41d966a427dc</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55C694DC</paraID>
      <start>0</start>
      <end>3</end>
      <status>unmodified</status>
      <modifiedWord/>
      <trackRevisions>false</trackRevisions>
    </reviewItem>
    <reviewItem>
      <errorID>23b13e5b-a353-428c-ba45-030e734b7947</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6E0F5E44</paraID>
      <start>0</start>
      <end>3</end>
      <status>unmodified</status>
      <modifiedWord/>
      <trackRevisions>false</trackRevisions>
    </reviewItem>
    <reviewItem>
      <errorID>67fd2237-dffb-49de-98c1-3ff425bc6b2d</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204ACEBE</paraID>
      <start>0</start>
      <end>3</end>
      <status>unmodified</status>
      <modifiedWord/>
      <trackRevisions>false</trackRevisions>
    </reviewItem>
    <reviewItem>
      <errorID>8d56c099-20ac-4a7d-93d5-5d0edf5cd13a</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36DE870A</paraID>
      <start>0</start>
      <end>3</end>
      <status>unmodified</status>
      <modifiedWord/>
      <trackRevisions>false</trackRevisions>
    </reviewItem>
    <reviewItem>
      <errorID>70b23968-7631-44e1-97e4-c3afc863fc86</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6A05A3AA</paraID>
      <start>0</start>
      <end>3</end>
      <status>unmodified</status>
      <modifiedWord/>
      <trackRevisions>false</trackRevisions>
    </reviewItem>
    <reviewItem>
      <errorID>2fe2222b-608b-400f-a09e-3d02a75dc237</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2E4A20A1</paraID>
      <start>0</start>
      <end>3</end>
      <status>unmodified</status>
      <modifiedWord/>
      <trackRevisions>false</trackRevisions>
    </reviewItem>
    <reviewItem>
      <errorID>eb322c25-cc47-4e6c-a745-01db2a380a31</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69831B81</paraID>
      <start>0</start>
      <end>3</end>
      <status>unmodified</status>
      <modifiedWord/>
      <trackRevisions>false</trackRevisions>
    </reviewItem>
    <reviewItem>
      <errorID>5d408b82-ab9f-441b-b4ed-d8bde0ade725</errorID>
      <errorWord>依此类推</errorWord>
      <group>L1_Word</group>
      <groupName>字词问题</groupName>
      <ability>L2_Typo</ability>
      <abilityName>字词错误</abilityName>
      <candidateList>
        <item>以此类推</item>
      </candidateList>
      <explain>存在发音相同字词的误用。</explain>
      <paraID>4DEC10A8</paraID>
      <start>63</start>
      <end>67</end>
      <status>unmodified</status>
      <modifiedWord/>
      <trackRevisions>false</trackRevisions>
    </reviewItem>
    <reviewItem>
      <errorID>c4eca75c-fc9f-4772-b624-5ae3af1bd334</errorID>
      <errorWord>)</errorWord>
      <group>L1_Format</group>
      <groupName>格式问题</groupName>
      <ability>L2_HalfPunc_CN</ability>
      <abilityName>全半角问题</abilityName>
      <candidateList>
        <item>）</item>
      </candidateList>
      <explain>文本全半角错误。</explain>
      <paraID> 281F3BA</paraID>
      <start>49</start>
      <end>50</end>
      <status>unmodified</status>
      <modifiedWord/>
      <trackRevisions>false</trackRevisions>
    </reviewItem>
    <reviewItem>
      <errorID>538d379e-afba-44c4-abaa-7b1123197aeb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3C2865DA</paraID>
      <start>0</start>
      <end>2</end>
      <status>unmodified</status>
      <modifiedWord/>
      <trackRevisions>false</trackRevisions>
    </reviewItem>
    <reviewItem>
      <errorID>376a672b-3039-450c-813f-e781778c29d9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3CBFE1DA</paraID>
      <start>0</start>
      <end>2</end>
      <status>unmodified</status>
      <modifiedWord/>
      <trackRevisions>false</trackRevisions>
    </reviewItem>
    <reviewItem>
      <errorID>c71819d6-1039-473d-96ff-c73a230273f3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197E53C7</paraID>
      <start>0</start>
      <end>2</end>
      <status>unmodified</status>
      <modifiedWord/>
      <trackRevisions>false</trackRevisions>
    </reviewItem>
    <reviewItem>
      <errorID>399b2550-e50d-4b54-8053-d0260d5ee9be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47C5D870</paraID>
      <start>0</start>
      <end>2</end>
      <status>unmodified</status>
      <modifiedWord/>
      <trackRevisions>false</trackRevisions>
    </reviewItem>
    <reviewItem>
      <errorID>4bc7a621-c7c4-49cd-8718-efb1f46d357a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2CF0E400</paraID>
      <start>0</start>
      <end>2</end>
      <status>unmodified</status>
      <modifiedWord/>
      <trackRevisions>false</trackRevisions>
    </reviewItem>
    <reviewItem>
      <errorID>16848bd5-d72e-4be7-936c-ea06cce1b9ab</errorID>
      <errorWord>，</errorWord>
      <group>L1_Word</group>
      <groupName>字词问题</groupName>
      <ability>L2_Typo</ability>
      <abilityName>字词错误</abilityName>
      <candidateList>
        <item>，并</item>
      </candidateList>
      <explain/>
      <paraID>6A8DBBF7</paraID>
      <start>127</start>
      <end>128</end>
      <status>unmodified</status>
      <modifiedWord/>
      <trackRevisions>false</trackRevisions>
    </reviewItem>
    <reviewItem>
      <errorID>010d5b98-fcaf-4a73-bced-1d27900d689e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4C2169B4</paraID>
      <start>0</start>
      <end>2</end>
      <status>unmodified</status>
      <modifiedWord/>
      <trackRevisions>false</trackRevisions>
    </reviewItem>
    <reviewItem>
      <errorID>e7745678-c471-49c9-988d-9bc94d3dff73</errorID>
      <errorWord>详实</errorWord>
      <group>L1_Word</group>
      <groupName>字词问题</groupName>
      <ability>L2_Typo</ability>
      <abilityName>字词错误</abilityName>
      <candidateList>
        <item>翔实</item>
      </candidateList>
      <explain/>
      <paraID>4C2169B4</paraID>
      <start>66</start>
      <end>68</end>
      <status>unmodified</status>
      <modifiedWord/>
      <trackRevisions>false</trackRevisions>
    </reviewItem>
    <reviewItem>
      <errorID>af2f1fcd-7de9-4563-b6f6-52a6930ee072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6B6AACCE</paraID>
      <start>0</start>
      <end>2</end>
      <status>unmodified</status>
      <modifiedWord/>
      <trackRevisions>false</trackRevisions>
    </reviewItem>
    <reviewItem>
      <errorID>a358cf7d-662d-48cf-aed5-548695367e89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613B453F</paraID>
      <start>0</start>
      <end>2</end>
      <status>unmodified</status>
      <modifiedWord/>
      <trackRevisions>false</trackRevisions>
    </reviewItem>
    <reviewItem>
      <errorID>6a166222-7ac5-437a-a866-40ee70705d26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2A0F19F2</paraID>
      <start>0</start>
      <end>2</end>
      <status>unmodified</status>
      <modifiedWord/>
      <trackRevisions>false</trackRevisions>
    </reviewItem>
    <reviewItem>
      <errorID>826bb05b-1853-436a-99c3-f6fc1bb9591b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3C2C5428</paraID>
      <start>0</start>
      <end>2</end>
      <status>unmodified</status>
      <modifiedWord/>
      <trackRevisions>false</trackRevisions>
    </reviewItem>
    <reviewItem>
      <errorID>341958f2-3343-479c-afab-968f48f1a43b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6FBBF37E</paraID>
      <start>0</start>
      <end>2</end>
      <status>unmodified</status>
      <modifiedWord/>
      <trackRevisions>false</trackRevisions>
    </reviewItem>
    <reviewItem>
      <errorID>78750f48-4e3d-4e70-b063-378d96a9daa0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1A444829</paraID>
      <start>0</start>
      <end>2</end>
      <status>unmodified</status>
      <modifiedWord/>
      <trackRevisions>false</trackRevisions>
    </reviewItem>
    <reviewItem>
      <errorID>4a606a57-ea1e-4b32-9657-51a7b949e849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372B5CB1</paraID>
      <start>0</start>
      <end>2</end>
      <status>unmodified</status>
      <modifiedWord/>
      <trackRevisions>false</trackRevisions>
    </reviewItem>
    <reviewItem>
      <errorID>8d2bdd1c-12c2-488d-8592-03882725f0d6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3A7AA930</paraID>
      <start>0</start>
      <end>2</end>
      <status>unmodified</status>
      <modifiedWord/>
      <trackRevisions>false</trackRevisions>
    </reviewItem>
    <reviewItem>
      <errorID>50dba044-aebb-4e87-8132-fdac615e61bd</errorID>
      <errorWord>详实</errorWord>
      <group>L1_Word</group>
      <groupName>字词问题</groupName>
      <ability>L2_Typo</ability>
      <abilityName>字词错误</abilityName>
      <candidateList>
        <item>翔实</item>
      </candidateList>
      <explain>存在发音相同字词的误用。</explain>
      <paraID>3A7AA930</paraID>
      <start>56</start>
      <end>58</end>
      <status>unmodified</status>
      <modifiedWord/>
      <trackRevisions>false</trackRevisions>
    </reviewItem>
    <reviewItem>
      <errorID>7daa4dd1-0ac9-4e32-b275-975e61c6f401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41EAB5F4</paraID>
      <start>0</start>
      <end>2</end>
      <status>unmodified</status>
      <modifiedWord/>
      <trackRevisions>false</trackRevisions>
    </reviewItem>
    <reviewItem>
      <errorID>28d06474-8c52-4874-a390-08771878cb03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3372AE3E</paraID>
      <start>0</start>
      <end>2</end>
      <status>unmodified</status>
      <modifiedWord/>
      <trackRevisions>false</trackRevisions>
    </reviewItem>
    <reviewItem>
      <errorID>a2e52307-e5d5-4b12-8170-5f91fc93527e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1F10BE26</paraID>
      <start>0</start>
      <end>2</end>
      <status>unmodified</status>
      <modifiedWord/>
      <trackRevisions>false</trackRevisions>
    </reviewItem>
    <reviewItem>
      <errorID>07a67243-7871-4020-9b07-cadcfd49a1b3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7DD6AC7F</paraID>
      <start>0</start>
      <end>2</end>
      <status>unmodified</status>
      <modifiedWord/>
      <trackRevisions>false</trackRevisions>
    </reviewItem>
    <reviewItem>
      <errorID>4f7b7e1c-3e4f-4ebc-87ba-54f14b815136</errorID>
      <errorWord>详实</errorWord>
      <group>L1_Word</group>
      <groupName>字词问题</groupName>
      <ability>L2_Typo</ability>
      <abilityName>字词错误</abilityName>
      <candidateList>
        <item>翔实</item>
      </candidateList>
      <explain>存在发音相同字词的误用。</explain>
      <paraID>7DD6AC7F</paraID>
      <start>93</start>
      <end>95</end>
      <status>unmodified</status>
      <modifiedWord/>
      <trackRevisions>false</trackRevisions>
    </reviewItem>
    <reviewItem>
      <errorID>a52aa4ed-4fd8-4772-b584-dd4f73f633f9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6CA940C0</paraID>
      <start>0</start>
      <end>2</end>
      <status>unmodified</status>
      <modifiedWord/>
      <trackRevisions>false</trackRevisions>
    </reviewItem>
    <reviewItem>
      <errorID>74bba16e-cc3c-478b-8ff0-5e2097556b79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5A659E87</paraID>
      <start>0</start>
      <end>2</end>
      <status>unmodified</status>
      <modifiedWord/>
      <trackRevisions>false</trackRevisions>
    </reviewItem>
    <reviewItem>
      <errorID>855e689d-1536-4d9e-9653-23566ec2a668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14A71FA0</paraID>
      <start>0</start>
      <end>2</end>
      <status>unmodified</status>
      <modifiedWord/>
      <trackRevisions>false</trackRevisions>
    </reviewItem>
    <reviewItem>
      <errorID>cad51465-0e86-495e-9914-89008f93fbdc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4C353791</paraID>
      <start>0</start>
      <end>2</end>
      <status>unmodified</status>
      <modifiedWord/>
      <trackRevisions>false</trackRevisions>
    </reviewItem>
    <reviewItem>
      <errorID>ef03f86c-3742-435a-a779-a343c741f2f6</errorID>
      <errorWord>详实</errorWord>
      <group>L1_Word</group>
      <groupName>字词问题</groupName>
      <ability>L2_Typo</ability>
      <abilityName>字词错误</abilityName>
      <candidateList>
        <item>翔实</item>
      </candidateList>
      <explain/>
      <paraID>4C353791</paraID>
      <start>91</start>
      <end>93</end>
      <status>unmodified</status>
      <modifiedWord/>
      <trackRevisions>false</trackRevisions>
    </reviewItem>
    <reviewItem>
      <errorID>ed874ebb-47fd-443b-a6f8-396d5fa076e1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16032DE4</paraID>
      <start>0</start>
      <end>2</end>
      <status>unmodified</status>
      <modifiedWord/>
      <trackRevisions>false</trackRevisions>
    </reviewItem>
    <reviewItem>
      <errorID>1f67fa45-e362-45a6-9ab4-e417696fb5df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2FFD31E4</paraID>
      <start>0</start>
      <end>2</end>
      <status>unmodified</status>
      <modifiedWord/>
      <trackRevisions>false</trackRevisions>
    </reviewItem>
    <reviewItem>
      <errorID>f01539e3-947c-4d45-a4e2-66fce7a8d3c9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3C7B0533</paraID>
      <start>0</start>
      <end>2</end>
      <status>unmodified</status>
      <modifiedWord/>
      <trackRevisions>false</trackRevisions>
    </reviewItem>
    <reviewItem>
      <errorID>47d9c512-a2a3-403b-af47-5a2010d1c403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78A5A8A7</paraID>
      <start>0</start>
      <end>2</end>
      <status>unmodified</status>
      <modifiedWord/>
      <trackRevisions>false</trackRevisions>
    </reviewItem>
    <reviewItem>
      <errorID>31edec33-0bf3-4379-942e-d07637430d6b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1BDBC6D2</paraID>
      <start>0</start>
      <end>2</end>
      <status>unmodified</status>
      <modifiedWord/>
      <trackRevisions>false</trackRevisions>
    </reviewItem>
    <reviewItem>
      <errorID>d62ff235-5fcd-4da8-80e5-39a3d1479ab8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4BADAE0E</paraID>
      <start>0</start>
      <end>2</end>
      <status>unmodified</status>
      <modifiedWord/>
      <trackRevisions>false</trackRevisions>
    </reviewItem>
    <reviewItem>
      <errorID>f91698c4-0521-4aa2-a4c6-553184e2de04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300A0CB6</paraID>
      <start>0</start>
      <end>2</end>
      <status>unmodified</status>
      <modifiedWord/>
      <trackRevisions>false</trackRevisions>
    </reviewItem>
    <reviewItem>
      <errorID>ffb25faf-9ea2-491e-a096-8813a70e469e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24C8C4F4</paraID>
      <start>0</start>
      <end>2</end>
      <status>unmodified</status>
      <modifiedWord/>
      <trackRevisions>false</trackRevisions>
    </reviewItem>
    <reviewItem>
      <errorID>1c528888-5f4e-44d0-bd70-87ae6ce0adc8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9A7F724</paraID>
      <start>0</start>
      <end>2</end>
      <status>unmodified</status>
      <modifiedWord/>
      <trackRevisions>false</trackRevisions>
    </reviewItem>
    <reviewItem>
      <errorID>e44b0a0f-aa69-4b89-91f5-3ed7e244c588</errorID>
      <errorWord>员</errorWord>
      <group>L1_Word</group>
      <groupName>字词问题</groupName>
      <ability>L2_Typo</ability>
      <abilityName>字词错误</abilityName>
      <candidateList>
        <item>员在</item>
      </candidateList>
      <explain/>
      <paraID> 9A7F724</paraID>
      <start>7</start>
      <end>8</end>
      <status>unmodified</status>
      <modifiedWord/>
      <trackRevisions>false</trackRevisions>
    </reviewItem>
    <reviewItem>
      <errorID>4ad0c24d-86d2-4089-9940-1f69b9535eb5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6A165CE3</paraID>
      <start>0</start>
      <end>2</end>
      <status>unmodified</status>
      <modifiedWord/>
      <trackRevisions>false</trackRevisions>
    </reviewItem>
    <reviewItem>
      <errorID>55ff407f-af75-4dd0-b375-deae07e07bc6</errorID>
      <errorWord>员</errorWord>
      <group>L1_Word</group>
      <groupName>字词问题</groupName>
      <ability>L2_Typo</ability>
      <abilityName>字词错误</abilityName>
      <candidateList>
        <item>员在</item>
      </candidateList>
      <explain/>
      <paraID>6A165CE3</paraID>
      <start>7</start>
      <end>8</end>
      <status>unmodified</status>
      <modifiedWord/>
      <trackRevisions>false</trackRevisions>
    </reviewItem>
    <reviewItem>
      <errorID>01b898cb-56b2-4515-aad7-45d81d76ba85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70069F5C</paraID>
      <start>0</start>
      <end>2</end>
      <status>unmodified</status>
      <modifiedWord/>
      <trackRevisions>false</trackRevisions>
    </reviewItem>
    <reviewItem>
      <errorID>a263b413-bcd6-453d-8695-062c487695f1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23B549F0</paraID>
      <start>0</start>
      <end>2</end>
      <status>unmodified</status>
      <modifiedWord/>
      <trackRevisions>false</trackRevisions>
    </reviewItem>
    <reviewItem>
      <errorID>f6083372-51c1-4f61-9f93-128fbcf3dc4e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758C135A</paraID>
      <start>0</start>
      <end>2</end>
      <status>unmodified</status>
      <modifiedWord/>
      <trackRevisions>false</trackRevisions>
    </reviewItem>
    <reviewItem>
      <errorID>3e391c48-7296-4dcc-8e4f-3567aeccd812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5E6385E5</paraID>
      <start>0</start>
      <end>2</end>
      <status>unmodified</status>
      <modifiedWord/>
      <trackRevisions>false</trackRevisions>
    </reviewItem>
    <reviewItem>
      <errorID>390a77c4-0344-4d13-9a1f-8a88c3eee68d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4BE03A1</paraID>
      <start>0</start>
      <end>2</end>
      <status>unmodified</status>
      <modifiedWord/>
      <trackRevisions>false</trackRevisions>
    </reviewItem>
    <reviewItem>
      <errorID>8d2c9470-9199-4fc2-bb54-d2870c3ab176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179AAE82</paraID>
      <start>0</start>
      <end>2</end>
      <status>unmodified</status>
      <modifiedWord/>
      <trackRevisions>false</trackRevisions>
    </reviewItem>
    <reviewItem>
      <errorID>908d3a15-7055-4cfe-8d02-8e72c0972a12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1979658B</paraID>
      <start>0</start>
      <end>2</end>
      <status>unmodified</status>
      <modifiedWord/>
      <trackRevisions>false</trackRevisions>
    </reviewItem>
    <reviewItem>
      <errorID>39973c21-4973-46e6-86cf-a0871f4cdc27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7F733F0B</paraID>
      <start>0</start>
      <end>2</end>
      <status>unmodified</status>
      <modifiedWord/>
      <trackRevisions>false</trackRevisions>
    </reviewItem>
    <reviewItem>
      <errorID>b04699f6-a456-443f-b4f8-8f90224347b0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A9B3D</paraID>
      <start>0</start>
      <end>2</end>
      <status>unmodified</status>
      <modifiedWord/>
      <trackRevisions>false</trackRevisions>
    </reviewItem>
    <reviewItem>
      <errorID>7ae0bd03-47ec-4ce2-9b3d-f899865771cd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79FD266</paraID>
      <start>0</start>
      <end>2</end>
      <status>unmodified</status>
      <modifiedWord/>
      <trackRevisions>false</trackRevisions>
    </reviewItem>
    <reviewItem>
      <errorID>bfe2f7db-b683-423d-ba84-6f7a8f60b90c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7B8ED912</paraID>
      <start>0</start>
      <end>2</end>
      <status>unmodified</status>
      <modifiedWord/>
      <trackRevisions>false</trackRevisions>
    </reviewItem>
    <reviewItem>
      <errorID>34761a41-14e7-4968-a0d3-009cd4b55d15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840FF0</paraID>
      <start>0</start>
      <end>2</end>
      <status>unmodified</status>
      <modifiedWord/>
      <trackRevisions>false</trackRevisions>
    </reviewItem>
    <reviewItem>
      <errorID>38cba4dd-4e63-400d-80b2-76ed5392c59a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6B0D29EF</paraID>
      <start>0</start>
      <end>2</end>
      <status>unmodified</status>
      <modifiedWord/>
      <trackRevisions>false</trackRevisions>
    </reviewItem>
    <reviewItem>
      <errorID>84553adb-18bd-4944-83f1-4f6ff30b40d5</errorID>
      <errorWord>&lt;</errorWord>
      <group>L1_Format</group>
      <groupName>格式问题</groupName>
      <ability>L2_HalfPunc_CN</ability>
      <abilityName>全半角问题</abilityName>
      <candidateList>
        <item>〈</item>
      </candidateList>
      <explain>文本全半角错误。</explain>
      <paraID>705A5CAA</paraID>
      <start>37</start>
      <end>38</end>
      <status>unmodified</status>
      <modifiedWord/>
      <trackRevisions>false</trackRevisions>
    </reviewItem>
    <reviewItem>
      <errorID>81c3b2a6-fa4d-44b8-83f2-5333231ac794</errorID>
      <errorWord>&lt;</errorWord>
      <group>L1_Format</group>
      <groupName>格式问题</groupName>
      <ability>L2_HalfPunc_CN</ability>
      <abilityName>全半角问题</abilityName>
      <candidateList>
        <item>〈</item>
      </candidateList>
      <explain>文本全半角错误。</explain>
      <paraID>641A15BC</paraID>
      <start>37</start>
      <end>38</end>
      <status>unmodified</status>
      <modifiedWord/>
      <trackRevisions>false</trackRevisions>
    </reviewItem>
    <reviewItem>
      <errorID>5f909812-9057-4b9f-b51f-0db2aac26c4a</errorID>
      <errorWord>&lt;</errorWord>
      <group>L1_Format</group>
      <groupName>格式问题</groupName>
      <ability>L2_HalfPunc_CN</ability>
      <abilityName>全半角问题</abilityName>
      <candidateList>
        <item>〈</item>
      </candidateList>
      <explain>文本全半角错误。</explain>
      <paraID>7DCC3BC0</paraID>
      <start>26</start>
      <end>27</end>
      <status>unmodified</status>
      <modifiedWord/>
      <trackRevisions>false</trackRevisions>
    </reviewItem>
    <reviewItem>
      <errorID>10039611-b02d-494e-9753-fcba585036c0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294F88C5</paraID>
      <start>0</start>
      <end>2</end>
      <status>unmodified</status>
      <modifiedWord/>
      <trackRevisions>false</trackRevisions>
    </reviewItem>
    <reviewItem>
      <errorID>fedea8ee-0b34-481d-b91d-ebf3d73b2c67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F4A6C82</paraID>
      <start>0</start>
      <end>2</end>
      <status>unmodified</status>
      <modifiedWord/>
      <trackRevisions>false</trackRevisions>
    </reviewItem>
    <reviewItem>
      <errorID>318c8c7e-063e-4cfb-98e0-093b7f5bb373</errorID>
      <errorWord>)</errorWord>
      <group>L1_Format</group>
      <groupName>格式问题</groupName>
      <ability>L2_HalfPunc_CN</ability>
      <abilityName>全半角问题</abilityName>
      <candidateList>
        <item>）</item>
      </candidateList>
      <explain>文本全半角错误。</explain>
      <paraID>3C115981</paraID>
      <start>104</start>
      <end>105</end>
      <status>unmodified</status>
      <modifiedWord/>
      <trackRevisions>false</trackRevisions>
    </reviewItem>
    <reviewItem>
      <errorID>ab1ea409-d810-4cab-8e94-47293705f0c4</errorID>
      <errorWord>（</errorWord>
      <group>L1_Word</group>
      <groupName>字词问题</groupName>
      <ability>L2_Typo</ability>
      <abilityName>字词错误</abilityName>
      <candidateList>
        <item>（在</item>
      </candidateList>
      <explain/>
      <paraID>3C115981</paraID>
      <start>119</start>
      <end>120</end>
      <status>unmodified</status>
      <modifiedWord/>
      <trackRevisions>false</trackRevisions>
    </reviewItem>
    <reviewItem>
      <errorID>63426783-12a7-4dc5-bd56-cc8346a254c2</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34ABBE63</paraID>
      <start>182</start>
      <end>185</end>
      <status>unmodified</status>
      <modifiedWord/>
      <trackRevisions>false</trackRevisions>
    </reviewItem>
    <reviewItem>
      <errorID>ddbb23e0-a862-464a-8654-5395909fabc0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667075AA</paraID>
      <start>0</start>
      <end>2</end>
      <status>unmodified</status>
      <modifiedWord/>
      <trackRevisions>false</trackRevisions>
    </reviewItem>
    <reviewItem>
      <errorID>2bfed64a-d11b-4815-8faa-2cff8791f4b2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22916931</paraID>
      <start>0</start>
      <end>2</end>
      <status>unmodified</status>
      <modifiedWord/>
      <trackRevisions>false</trackRevisions>
    </reviewItem>
    <reviewItem>
      <errorID>48373102-b6e3-443a-93de-cc288533cba7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19802786</paraID>
      <start>0</start>
      <end>2</end>
      <status>unmodified</status>
      <modifiedWord/>
      <trackRevisions>false</trackRevisions>
    </reviewItem>
    <reviewItem>
      <errorID>35ec603f-3db6-47b1-aa1c-d90dfbcbb37a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5FF6FA8E</paraID>
      <start>0</start>
      <end>2</end>
      <status>unmodified</status>
      <modifiedWord/>
      <trackRevisions>false</trackRevisions>
    </reviewItem>
    <reviewItem>
      <errorID>bb48caf3-9d18-4310-ba71-7abc41ae86ba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76FB6EC2</paraID>
      <start>0</start>
      <end>2</end>
      <status>unmodified</status>
      <modifiedWord/>
      <trackRevisions>false</trackRevisions>
    </reviewItem>
    <reviewItem>
      <errorID>0f923a65-68a5-4922-87b0-48d4e9a4d03b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2359F147</paraID>
      <start>0</start>
      <end>2</end>
      <status>unmodified</status>
      <modifiedWord/>
      <trackRevisions>false</trackRevisions>
    </reviewItem>
    <reviewItem>
      <errorID>359b3581-8298-43f1-bc3d-3272dc4d5269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2CDD6DDF</paraID>
      <start>0</start>
      <end>2</end>
      <status>unmodified</status>
      <modifiedWord/>
      <trackRevisions>false</trackRevisions>
    </reviewItem>
    <reviewItem>
      <errorID>cb3e6701-0085-44e1-861f-e41e211ca10c</errorID>
      <errorWord>签订之日起至</errorWord>
      <group>L1_Word</group>
      <groupName>字词问题</groupName>
      <ability>L2_Typo</ability>
      <abilityName>字词错误</abilityName>
      <candidateList>
        <item>签订之日起</item>
      </candidateList>
      <explain/>
      <paraID>37D48175</paraID>
      <start>13</start>
      <end>19</end>
      <status>unmodified</status>
      <modifiedWord/>
      <trackRevisions>false</trackRevisions>
    </reviewItem>
    <reviewItem>
      <errorID>7bea963e-75db-41d1-8660-e68c240e7312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679F9783</paraID>
      <start>0</start>
      <end>2</end>
      <status>unmodified</status>
      <modifiedWord/>
      <trackRevisions>false</trackRevisions>
    </reviewItem>
    <reviewItem>
      <errorID>0b24c59c-b71b-47e6-97b5-d572f935a8ab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50E49CA2</paraID>
      <start>0</start>
      <end>2</end>
      <status>unmodified</status>
      <modifiedWord/>
      <trackRevisions>false</trackRevisions>
    </reviewItem>
    <reviewItem>
      <errorID>43fec92f-383e-4c54-8eda-dd48ebede825</errorID>
      <errorWord>)</errorWord>
      <group>L1_Format</group>
      <groupName>格式问题</groupName>
      <ability>L2_HalfPunc_CN</ability>
      <abilityName>全半角问题</abilityName>
      <candidateList>
        <item>）</item>
      </candidateList>
      <explain>文本全半角错误。</explain>
      <paraID>74123117</paraID>
      <start>4</start>
      <end>5</end>
      <status>unmodified</status>
      <modifiedWord/>
      <trackRevisions>false</trackRevisions>
    </reviewItem>
    <reviewItem>
      <errorID>2b01e4dd-1bb3-40e3-a4d9-cf907a7b855d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5395EE97</paraID>
      <start>0</start>
      <end>2</end>
      <status>unmodified</status>
      <modifiedWord/>
      <trackRevisions>false</trackRevisions>
    </reviewItem>
    <reviewItem>
      <errorID>3e6dc2ce-bd48-423d-ad2f-685891b34c64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70E96FB0</paraID>
      <start>0</start>
      <end>2</end>
      <status>unmodified</status>
      <modifiedWord/>
      <trackRevisions>false</trackRevisions>
    </reviewItem>
    <reviewItem>
      <errorID>be843209-da81-4009-9ef3-704272403b07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315104E5</paraID>
      <start>0</start>
      <end>2</end>
      <status>unmodified</status>
      <modifiedWord/>
      <trackRevisions>false</trackRevisions>
    </reviewItem>
    <reviewItem>
      <errorID>2066dafe-7276-4cc2-b2ef-9587ad613c90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575A6572</paraID>
      <start>0</start>
      <end>2</end>
      <status>unmodified</status>
      <modifiedWord/>
      <trackRevisions>false</trackRevisions>
    </reviewItem>
    <reviewItem>
      <errorID>8873e19b-20d9-4798-bea7-2c7abab4b302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569B19DA</paraID>
      <start>0</start>
      <end>2</end>
      <status>unmodified</status>
      <modifiedWord/>
      <trackRevisions>false</trackRevisions>
    </reviewItem>
    <reviewItem>
      <errorID>69041927-8dd6-480c-b078-1a50d2a13afd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10C3593</paraID>
      <start>0</start>
      <end>2</end>
      <status>unmodified</status>
      <modifiedWord/>
      <trackRevisions>false</trackRevisions>
    </reviewItem>
    <reviewItem>
      <errorID>188bad35-1a26-4494-880f-edb316c935a4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938CF37</paraID>
      <start>0</start>
      <end>2</end>
      <status>unmodified</status>
      <modifiedWord/>
      <trackRevisions>false</trackRevisions>
    </reviewItem>
    <reviewItem>
      <errorID>ae4c34a6-f96d-4421-80aa-458a3684ea7b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6ECEFA1E</paraID>
      <start>0</start>
      <end>2</end>
      <status>unmodified</status>
      <modifiedWord/>
      <trackRevisions>false</trackRevisions>
    </reviewItem>
    <reviewItem>
      <errorID>13032d03-4e12-45b9-86e5-48790131e3a1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5118DBE6</paraID>
      <start>0</start>
      <end>2</end>
      <status>unmodified</status>
      <modifiedWord/>
      <trackRevisions>false</trackRevisions>
    </reviewItem>
    <reviewItem>
      <errorID>81b5ced5-5186-4b2c-b0ed-517b75c4c328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362019C5</paraID>
      <start>0</start>
      <end>2</end>
      <status>unmodified</status>
      <modifiedWord/>
      <trackRevisions>false</trackRevisions>
    </reviewItem>
    <reviewItem>
      <errorID>fe5951ea-d013-4467-8138-f82e546c3a7f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485F8D47</paraID>
      <start>0</start>
      <end>2</end>
      <status>unmodified</status>
      <modifiedWord/>
      <trackRevisions>false</trackRevisions>
    </reviewItem>
    <reviewItem>
      <errorID>f76b4a29-0ecc-4ab0-9025-a3ea3f9c554d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4F089EFB</paraID>
      <start>0</start>
      <end>2</end>
      <status>unmodified</status>
      <modifiedWord/>
      <trackRevisions>false</trackRevisions>
    </reviewItem>
    <reviewItem>
      <errorID>28cd35dd-c8a9-4bdd-92a2-12027e4d7feb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5515DD4</paraID>
      <start>0</start>
      <end>2</end>
      <status>unmodified</status>
      <modifiedWord/>
      <trackRevisions>false</trackRevisions>
    </reviewItem>
    <reviewItem>
      <errorID>40e20212-ee99-45bc-94cb-ffd26beb4eb3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286279B5</paraID>
      <start>0</start>
      <end>2</end>
      <status>unmodified</status>
      <modifiedWord/>
      <trackRevisions>false</trackRevisions>
    </reviewItem>
    <reviewItem>
      <errorID>3d793203-2e2d-4c52-acf1-2450530d8e0d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5CD414E3</paraID>
      <start>0</start>
      <end>2</end>
      <status>unmodified</status>
      <modifiedWord/>
      <trackRevisions>false</trackRevisions>
    </reviewItem>
    <reviewItem>
      <errorID>4e235b0e-0585-41ce-af06-686f2408915a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318A782B</paraID>
      <start>0</start>
      <end>2</end>
      <status>unmodified</status>
      <modifiedWord/>
      <trackRevisions>false</trackRevisions>
    </reviewItem>
    <reviewItem>
      <errorID>0c32e539-ddfe-476f-b333-47b85b2276ae</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FD994F8</paraID>
      <start>0</start>
      <end>2</end>
      <status>unmodified</status>
      <modifiedWord/>
      <trackRevisions>false</trackRevisions>
    </reviewItem>
    <reviewItem>
      <errorID>3ca87e5d-32cf-4a76-a5a1-0d3089f92b07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54205544</paraID>
      <start>0</start>
      <end>2</end>
      <status>unmodified</status>
      <modifiedWord/>
      <trackRevisions>false</trackRevisions>
    </reviewItem>
    <reviewItem>
      <errorID>4cc7465d-e817-45c3-a626-a812fda889db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31422045</paraID>
      <start>0</start>
      <end>2</end>
      <status>unmodified</status>
      <modifiedWord/>
      <trackRevisions>false</trackRevisions>
    </reviewItem>
    <reviewItem>
      <errorID>4f7bc7f1-af4b-46ec-a724-9be62dacaa70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67044B21</paraID>
      <start>0</start>
      <end>2</end>
      <status>unmodified</status>
      <modifiedWord/>
      <trackRevisions>false</trackRevisions>
    </reviewItem>
    <reviewItem>
      <errorID>3a8c98c7-1745-4971-b404-896f106f8154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3D9EF089</paraID>
      <start>0</start>
      <end>2</end>
      <status>unmodified</status>
      <modifiedWord/>
      <trackRevisions>false</trackRevisions>
    </reviewItem>
    <reviewItem>
      <errorID>aca0d579-1085-4ac7-b71c-046cfd01e181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7E026BBB</paraID>
      <start>0</start>
      <end>2</end>
      <status>unmodified</status>
      <modifiedWord/>
      <trackRevisions>false</trackRevisions>
    </reviewItem>
    <reviewItem>
      <errorID>f81be487-3887-4c15-b23a-af154f1fe2df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3778050F</paraID>
      <start>0</start>
      <end>2</end>
      <status>unmodified</status>
      <modifiedWord/>
      <trackRevisions>false</trackRevisions>
    </reviewItem>
    <reviewItem>
      <errorID>608762fb-dbb0-4dbb-b81a-d947885e9797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54AA8C52</paraID>
      <start>0</start>
      <end>2</end>
      <status>unmodified</status>
      <modifiedWord/>
      <trackRevisions>false</trackRevisions>
    </reviewItem>
    <reviewItem>
      <errorID>15b743fb-5629-4498-8787-e102bb1a2f3a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5C4914E</paraID>
      <start>0</start>
      <end>2</end>
      <status>unmodified</status>
      <modifiedWord/>
      <trackRevisions>false</trackRevisions>
    </reviewItem>
    <reviewItem>
      <errorID>4988fca1-c200-4829-94b0-28a9bc11bfb5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1F123A5F</paraID>
      <start>0</start>
      <end>2</end>
      <status>unmodified</status>
      <modifiedWord/>
      <trackRevisions>false</trackRevisions>
    </reviewItem>
    <reviewItem>
      <errorID>914ce4c4-d970-4089-8907-48d293adbe21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1D03BA40</paraID>
      <start>0</start>
      <end>2</end>
      <status>unmodified</status>
      <modifiedWord/>
      <trackRevisions>false</trackRevisions>
    </reviewItem>
    <reviewItem>
      <errorID>6601c139-c105-4291-bcc8-465456ea0d9a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7752AD4C</paraID>
      <start>0</start>
      <end>2</end>
      <status>unmodified</status>
      <modifiedWord/>
      <trackRevisions>false</trackRevisions>
    </reviewItem>
    <reviewItem>
      <errorID>cace8737-581b-4251-97d5-3a14f4263446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5869C9D8</paraID>
      <start>0</start>
      <end>2</end>
      <status>unmodified</status>
      <modifiedWord/>
      <trackRevisions>false</trackRevisions>
    </reviewItem>
    <reviewItem>
      <errorID>58a06726-60d7-4ef6-9807-c4089c3b25a4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38379074</paraID>
      <start>0</start>
      <end>2</end>
      <status>unmodified</status>
      <modifiedWord/>
      <trackRevisions>false</trackRevisions>
    </reviewItem>
    <reviewItem>
      <errorID>ae4c61cd-f146-4021-8862-c1a0fb0984ba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72683CA7</paraID>
      <start>0</start>
      <end>2</end>
      <status>unmodified</status>
      <modifiedWord/>
      <trackRevisions>false</trackRevisions>
    </reviewItem>
    <reviewItem>
      <errorID>ea74c9fe-0835-4cb0-9a78-b320d950c768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77E804B7</paraID>
      <start>0</start>
      <end>2</end>
      <status>unmodified</status>
      <modifiedWord/>
      <trackRevisions>false</trackRevisions>
    </reviewItem>
    <reviewItem>
      <errorID>9b9d1a7e-b917-48e2-996f-3bab59e38e55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5AA90F0</paraID>
      <start>0</start>
      <end>2</end>
      <status>unmodified</status>
      <modifiedWord/>
      <trackRevisions>false</trackRevisions>
    </reviewItem>
    <reviewItem>
      <errorID>ae738b93-254f-41cf-a466-71fc41840a20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6A13AA1E</paraID>
      <start>0</start>
      <end>2</end>
      <status>unmodified</status>
      <modifiedWord/>
      <trackRevisions>false</trackRevisions>
    </reviewItem>
    <reviewItem>
      <errorID>fae918fa-bf8b-4236-9575-4eddf1b08e6d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234F7AEA</paraID>
      <start>0</start>
      <end>2</end>
      <status>unmodified</status>
      <modifiedWord/>
      <trackRevisions>false</trackRevisions>
    </reviewItem>
    <reviewItem>
      <errorID>fa4bd7fd-545b-443a-bbbe-54fe09014484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556A1BAC</paraID>
      <start>0</start>
      <end>2</end>
      <status>unmodified</status>
      <modifiedWord/>
      <trackRevisions>false</trackRevisions>
    </reviewItem>
    <reviewItem>
      <errorID>a4546e75-3378-4cfb-bda2-a912636ac084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5F02264F</paraID>
      <start>0</start>
      <end>2</end>
      <status>unmodified</status>
      <modifiedWord/>
      <trackRevisions>false</trackRevisions>
    </reviewItem>
    <reviewItem>
      <errorID>5ce94fff-9db5-40f3-8543-859714f62b4c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7E1569A5</paraID>
      <start>0</start>
      <end>2</end>
      <status>unmodified</status>
      <modifiedWord/>
      <trackRevisions>false</trackRevisions>
    </reviewItem>
    <reviewItem>
      <errorID>c89a3459-cfbd-498a-8af2-9c8c7c36066c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71089284</paraID>
      <start>0</start>
      <end>2</end>
      <status>unmodified</status>
      <modifiedWord/>
      <trackRevisions>false</trackRevisions>
    </reviewItem>
    <reviewItem>
      <errorID>064908bb-5b85-458d-9ccc-4fca0e999af2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768AA442</paraID>
      <start>0</start>
      <end>2</end>
      <status>unmodified</status>
      <modifiedWord/>
      <trackRevisions>false</trackRevisions>
    </reviewItem>
    <reviewItem>
      <errorID>0faa7e40-4b06-46b5-a50e-e2960e3ec7b4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41371A40</paraID>
      <start>0</start>
      <end>2</end>
      <status>unmodified</status>
      <modifiedWord/>
      <trackRevisions>false</trackRevisions>
    </reviewItem>
    <reviewItem>
      <errorID>04cfb245-d561-4647-a909-4d2c6eeaa9e2</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41371A40</paraID>
      <start>9</start>
      <end>10</end>
      <status>unmodified</status>
      <modifiedWord/>
      <trackRevisions>false</trackRevisions>
    </reviewItem>
    <reviewItem>
      <errorID>a8684d4a-92ed-45d6-911a-397bcbe8f7cf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2294C930</paraID>
      <start>0</start>
      <end>2</end>
      <status>unmodified</status>
      <modifiedWord/>
      <trackRevisions>false</trackRevisions>
    </reviewItem>
    <reviewItem>
      <errorID>719556cc-0dd2-4ecf-b66f-74dfb21956ec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38E3F9FE</paraID>
      <start>0</start>
      <end>2</end>
      <status>unmodified</status>
      <modifiedWord/>
      <trackRevisions>false</trackRevisions>
    </reviewItem>
    <reviewItem>
      <errorID>4ffee9fd-771a-467c-8321-e0a22b74be51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4388BFAA</paraID>
      <start>0</start>
      <end>2</end>
      <status>unmodified</status>
      <modifiedWord/>
      <trackRevisions>false</trackRevisions>
    </reviewItem>
    <reviewItem>
      <errorID>bf190c64-0be6-4fc5-93d6-7e6cc1e0a7a7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54D15AF0</paraID>
      <start>0</start>
      <end>2</end>
      <status>unmodified</status>
      <modifiedWord/>
      <trackRevisions>false</trackRevisions>
    </reviewItem>
    <reviewItem>
      <errorID>6d9c850d-67c0-4666-b5c2-6ed3080d3522</errorID>
      <errorWord>,</errorWord>
      <group>L1_Format</group>
      <groupName>格式问题</groupName>
      <ability>L2_HalfPunc_CN</ability>
      <abilityName>全半角问题</abilityName>
      <candidateList>
        <item>，</item>
      </candidateList>
      <explain>文本全半角错误。</explain>
      <paraID>54D15AF0</paraID>
      <start>88</start>
      <end>89</end>
      <status>unmodified</status>
      <modifiedWord/>
      <trackRevisions>false</trackRevisions>
    </reviewItem>
    <reviewItem>
      <errorID>e3d8587e-87b1-45d0-beab-7f89dab7c648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4330C2C9</paraID>
      <start>0</start>
      <end>2</end>
      <status>unmodified</status>
      <modifiedWord/>
      <trackRevisions>false</trackRevisions>
    </reviewItem>
    <reviewItem>
      <errorID>149ce2e4-cb69-4726-9ed0-c0268760aae7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1597B4E5</paraID>
      <start>0</start>
      <end>2</end>
      <status>unmodified</status>
      <modifiedWord/>
      <trackRevisions>false</trackRevisions>
    </reviewItem>
    <reviewItem>
      <errorID>aa71287c-1d77-43f6-a6b6-52bb20a5f26d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62030219</paraID>
      <start>0</start>
      <end>2</end>
      <status>unmodified</status>
      <modifiedWord/>
      <trackRevisions>false</trackRevisions>
    </reviewItem>
    <reviewItem>
      <errorID>dcf02831-f73d-4f06-985e-e41b47ed56b8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E15A10B</paraID>
      <start>0</start>
      <end>2</end>
      <status>unmodified</status>
      <modifiedWord/>
      <trackRevisions>false</trackRevisions>
    </reviewItem>
    <reviewItem>
      <errorID>ef235be9-078b-43af-99e2-d4ad8977ed18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7E8FDC78</paraID>
      <start>0</start>
      <end>2</end>
      <status>unmodified</status>
      <modifiedWord/>
      <trackRevisions>false</trackRevisions>
    </reviewItem>
    <reviewItem>
      <errorID>a9017def-34fb-4645-abeb-dc89318efe6d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546F1E8B</paraID>
      <start>0</start>
      <end>2</end>
      <status>unmodified</status>
      <modifiedWord/>
      <trackRevisions>false</trackRevisions>
    </reviewItem>
    <reviewItem>
      <errorID>4a718664-8000-4d62-8d5d-0ddabd230865</errorID>
      <errorWord>:</errorWord>
      <group>L1_Format</group>
      <groupName>格式问题</groupName>
      <ability>L2_HalfPunc_CN</ability>
      <abilityName>全半角问题</abilityName>
      <candidateList>
        <item>：</item>
      </candidateList>
      <explain>文本全半角错误。</explain>
      <paraID>546F1E8B</paraID>
      <start>21</start>
      <end>22</end>
      <status>unmodified</status>
      <modifiedWord/>
      <trackRevisions>false</trackRevisions>
    </reviewItem>
    <reviewItem>
      <errorID>b0b880e7-5fd2-49b9-915f-f4c043c0483e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3202D40E</paraID>
      <start>0</start>
      <end>2</end>
      <status>unmodified</status>
      <modifiedWord/>
      <trackRevisions>false</trackRevisions>
    </reviewItem>
    <reviewItem>
      <errorID>e76471a8-64d9-4d7d-bb2f-fa5c7684868c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61A01CB4</paraID>
      <start>0</start>
      <end>2</end>
      <status>unmodified</status>
      <modifiedWord/>
      <trackRevisions>false</trackRevisions>
    </reviewItem>
    <reviewItem>
      <errorID>df5c97fd-9068-44ec-950a-a6f0bd0fdac3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B4E154D</paraID>
      <start>0</start>
      <end>2</end>
      <status>unmodified</status>
      <modifiedWord/>
      <trackRevisions>false</trackRevisions>
    </reviewItem>
    <reviewItem>
      <errorID>60ac8006-9553-4776-826c-85261af02c4c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C3BF0E4</paraID>
      <start>0</start>
      <end>2</end>
      <status>unmodified</status>
      <modifiedWord/>
      <trackRevisions>false</trackRevisions>
    </reviewItem>
    <reviewItem>
      <errorID>e9214188-b22e-4c0c-bf14-068e797eeb24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29963B27</paraID>
      <start>0</start>
      <end>2</end>
      <status>unmodified</status>
      <modifiedWord/>
      <trackRevisions>false</trackRevisions>
    </reviewItem>
    <reviewItem>
      <errorID>96609825-cd27-4472-a9f8-4264ebb37cd0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49D6F881</paraID>
      <start>0</start>
      <end>2</end>
      <status>unmodified</status>
      <modifiedWord/>
      <trackRevisions>false</trackRevisions>
    </reviewItem>
    <reviewItem>
      <errorID>7ddfcf7e-ad49-4734-93e7-122a60d9515a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17307303</paraID>
      <start>0</start>
      <end>2</end>
      <status>unmodified</status>
      <modifiedWord/>
      <trackRevisions>false</trackRevisions>
    </reviewItem>
    <reviewItem>
      <errorID>40705be2-9ac5-4194-ad8b-7634214e4183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6D28661F</paraID>
      <start>0</start>
      <end>2</end>
      <status>unmodified</status>
      <modifiedWord/>
      <trackRevisions>false</trackRevisions>
    </reviewItem>
    <reviewItem>
      <errorID>a894ed2e-549d-43c7-ab60-14e707e44e8d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48B52136</paraID>
      <start>0</start>
      <end>2</end>
      <status>unmodified</status>
      <modifiedWord/>
      <trackRevisions>false</trackRevisions>
    </reviewItem>
    <reviewItem>
      <errorID>76c90530-b04d-4ca6-ae64-c02909db36ba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1D5FEE85</paraID>
      <start>0</start>
      <end>2</end>
      <status>unmodified</status>
      <modifiedWord/>
      <trackRevisions>false</trackRevisions>
    </reviewItem>
    <reviewItem>
      <errorID>23166dd0-e2b6-4025-ab51-5863d7a9252f</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1D5FEE85</paraID>
      <start>9</start>
      <end>10</end>
      <status>unmodified</status>
      <modifiedWord/>
      <trackRevisions>false</trackRevisions>
    </reviewItem>
    <reviewItem>
      <errorID>a10dedec-e022-404c-84a9-24b47f075327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9CB01D2</paraID>
      <start>0</start>
      <end>2</end>
      <status>unmodified</status>
      <modifiedWord/>
      <trackRevisions>false</trackRevisions>
    </reviewItem>
    <reviewItem>
      <errorID>935cab9d-cab0-439a-b4f3-7a64a9fd3bc0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3207CE84</paraID>
      <start>0</start>
      <end>2</end>
      <status>unmodified</status>
      <modifiedWord/>
      <trackRevisions>false</trackRevisions>
    </reviewItem>
    <reviewItem>
      <errorID>d951798c-d6c6-4fe8-9f4b-287aa9616009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61053B6A</paraID>
      <start>0</start>
      <end>2</end>
      <status>unmodified</status>
      <modifiedWord/>
      <trackRevisions>false</trackRevisions>
    </reviewItem>
    <reviewItem>
      <errorID>dabc26e7-28d0-415d-944c-2612553e93b5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12737CEB</paraID>
      <start>0</start>
      <end>2</end>
      <status>unmodified</status>
      <modifiedWord/>
      <trackRevisions>false</trackRevisions>
    </reviewItem>
    <reviewItem>
      <errorID>f81bc198-dab1-4fd5-b4f7-ad9822c6c9cc</errorID>
      <errorWord>,</errorWord>
      <group>L1_Format</group>
      <groupName>格式问题</groupName>
      <ability>L2_HalfPunc_CN</ability>
      <abilityName>全半角问题</abilityName>
      <candidateList>
        <item>，</item>
      </candidateList>
      <explain>文本全半角错误。</explain>
      <paraID>12737CEB</paraID>
      <start>88</start>
      <end>89</end>
      <status>unmodified</status>
      <modifiedWord/>
      <trackRevisions>false</trackRevisions>
    </reviewItem>
    <reviewItem>
      <errorID>163f5d01-55d4-4b39-9ccf-0124f121274d</errorID>
      <errorWord>；）</errorWord>
      <group>L1_Punc</group>
      <groupName>标点问题</groupName>
      <ability>L2_Punc_CN</ability>
      <abilityName>标点符号问题</abilityName>
      <candidateList>
        <item>）</item>
      </candidateList>
      <explain/>
      <paraID>12737CEB</paraID>
      <start>128</start>
      <end>130</end>
      <status>unmodified</status>
      <modifiedWord/>
      <trackRevisions>false</trackRevisions>
    </reviewItem>
    <reviewItem>
      <errorID>fb6648c5-fb54-4c47-929b-211c2a201757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593AA6CF</paraID>
      <start>0</start>
      <end>2</end>
      <status>unmodified</status>
      <modifiedWord/>
      <trackRevisions>false</trackRevisions>
    </reviewItem>
    <reviewItem>
      <errorID>2708a515-bdce-475a-92e4-92a6ae2c2eca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7EB4AC9F</paraID>
      <start>0</start>
      <end>2</end>
      <status>unmodified</status>
      <modifiedWord/>
      <trackRevisions>false</trackRevisions>
    </reviewItem>
    <reviewItem>
      <errorID>62504d75-a1bf-4519-87e8-b9ec0c013504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596FD5DE</paraID>
      <start>0</start>
      <end>2</end>
      <status>unmodified</status>
      <modifiedWord/>
      <trackRevisions>false</trackRevisions>
    </reviewItem>
    <reviewItem>
      <errorID>0b9911ae-c50a-4d96-a24e-ddf799b394b8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32C2D506</paraID>
      <start>0</start>
      <end>2</end>
      <status>unmodified</status>
      <modifiedWord/>
      <trackRevisions>false</trackRevisions>
    </reviewItem>
    <reviewItem>
      <errorID>30c549ee-6615-489c-9c92-4599c682cc9c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23709144</paraID>
      <start>0</start>
      <end>2</end>
      <status>unmodified</status>
      <modifiedWord/>
      <trackRevisions>false</trackRevisions>
    </reviewItem>
    <reviewItem>
      <errorID>a80830d9-bc7d-49c7-a294-1461818bd5c7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5899BDE9</paraID>
      <start>0</start>
      <end>2</end>
      <status>unmodified</status>
      <modifiedWord/>
      <trackRevisions>false</trackRevisions>
    </reviewItem>
    <reviewItem>
      <errorID>b0c08764-d413-4993-b91a-790855fd73fa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4F26FBD</paraID>
      <start>0</start>
      <end>2</end>
      <status>unmodified</status>
      <modifiedWord/>
      <trackRevisions>false</trackRevisions>
    </reviewItem>
    <reviewItem>
      <errorID>57598d21-c045-4931-bc22-2112a5ca1c70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2E2CF863</paraID>
      <start>0</start>
      <end>2</end>
      <status>unmodified</status>
      <modifiedWord/>
      <trackRevisions>false</trackRevisions>
    </reviewItem>
    <reviewItem>
      <errorID>c2a8a4dd-58e1-40a7-b87e-4192501a2aad</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2E2CF863</paraID>
      <start>9</start>
      <end>10</end>
      <status>unmodified</status>
      <modifiedWord/>
      <trackRevisions>false</trackRevisions>
    </reviewItem>
    <reviewItem>
      <errorID>97c68424-7bb4-4d21-8ba4-444ff0c91282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3FF2D67D</paraID>
      <start>0</start>
      <end>2</end>
      <status>unmodified</status>
      <modifiedWord/>
      <trackRevisions>false</trackRevisions>
    </reviewItem>
    <reviewItem>
      <errorID>6a33dcfa-d8c3-4130-9d11-ad3ec5cd0ec7</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3FF2D67D</paraID>
      <start>6</start>
      <end>7</end>
      <status>unmodified</status>
      <modifiedWord/>
      <trackRevisions>false</trackRevisions>
    </reviewItem>
    <reviewItem>
      <errorID>f55a25b7-bc9d-4c41-911c-36292dc9f7b3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52B3F180</paraID>
      <start>0</start>
      <end>2</end>
      <status>unmodified</status>
      <modifiedWord/>
      <trackRevisions>false</trackRevisions>
    </reviewItem>
    <reviewItem>
      <errorID>bcf7128f-687d-441b-b6fa-f34b2b58efcf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1D6FFCAD</paraID>
      <start>0</start>
      <end>2</end>
      <status>unmodified</status>
      <modifiedWord/>
      <trackRevisions>false</trackRevisions>
    </reviewItem>
    <reviewItem>
      <errorID>2dacd519-6ca8-4bfd-af5b-93c4d0ea4060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563581B0</paraID>
      <start>0</start>
      <end>2</end>
      <status>unmodified</status>
      <modifiedWord/>
      <trackRevisions>false</trackRevisions>
    </reviewItem>
    <reviewItem>
      <errorID>92c538ff-a284-40da-af5e-c1d7b7819190</errorID>
      <errorWord>,</errorWord>
      <group>L1_Format</group>
      <groupName>格式问题</groupName>
      <ability>L2_HalfPunc_CN</ability>
      <abilityName>全半角问题</abilityName>
      <candidateList>
        <item>，</item>
      </candidateList>
      <explain>文本全半角错误。</explain>
      <paraID>563581B0</paraID>
      <start>88</start>
      <end>89</end>
      <status>unmodified</status>
      <modifiedWord/>
      <trackRevisions>false</trackRevisions>
    </reviewItem>
    <reviewItem>
      <errorID>16fa6d8a-fc9d-4e6a-9128-cd92d9cb1b02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20113C87</paraID>
      <start>0</start>
      <end>2</end>
      <status>unmodified</status>
      <modifiedWord/>
      <trackRevisions>false</trackRevisions>
    </reviewItem>
    <reviewItem>
      <errorID>b65ea290-777b-459f-8720-32500fe13a4d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7AF3B51A</paraID>
      <start>0</start>
      <end>2</end>
      <status>unmodified</status>
      <modifiedWord/>
      <trackRevisions>false</trackRevisions>
    </reviewItem>
    <reviewItem>
      <errorID>c931fc0e-fe18-4406-ae1c-531b9c700c46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1C1E36C1</paraID>
      <start>0</start>
      <end>2</end>
      <status>unmodified</status>
      <modifiedWord/>
      <trackRevisions>false</trackRevisions>
    </reviewItem>
    <reviewItem>
      <errorID>369b6484-55e8-4c10-b12b-31bbc6aa2ea0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211EDADC</paraID>
      <start>0</start>
      <end>2</end>
      <status>unmodified</status>
      <modifiedWord/>
      <trackRevisions>false</trackRevisions>
    </reviewItem>
    <reviewItem>
      <errorID>52e94fca-9b34-4c2a-b492-7379cb8bf598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6CEC510A</paraID>
      <start>0</start>
      <end>2</end>
      <status>unmodified</status>
      <modifiedWord/>
      <trackRevisions>false</trackRevisions>
    </reviewItem>
    <reviewItem>
      <errorID>fb271d33-94f6-4a94-bae8-2c2da13db0bc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276B5B4B</paraID>
      <start>0</start>
      <end>2</end>
      <status>unmodified</status>
      <modifiedWord/>
      <trackRevisions>false</trackRevisions>
    </reviewItem>
    <reviewItem>
      <errorID>35422350-aa65-48c7-833b-72b3962ee798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8B491A</paraID>
      <start>0</start>
      <end>2</end>
      <status>unmodified</status>
      <modifiedWord/>
      <trackRevisions>false</trackRevisions>
    </reviewItem>
    <reviewItem>
      <errorID>83dbb985-9745-42c1-b34a-e7912a1edcbc</errorID>
      <errorWord>2、</errorWord>
      <group>L1_Format</group>
      <groupName>格式问题</groupName>
      <ability>L2_Ordinal</ability>
      <abilityName>序号格式</abilityName>
      <candidateList>
        <item>2.</item>
      </candidateList>
      <explain>当前序号格式不规范，建议修改为规范格式[2.]。</explain>
      <paraID>73304334</paraID>
      <start>0</start>
      <end>2</end>
      <status>unmodified</status>
      <modifiedWord/>
      <trackRevisions>false</trackRevisions>
    </reviewItem>
    <reviewItem>
      <errorID>8b6d1f59-3bcc-43bf-a9f9-d3e5036bfeb0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FD7819C</paraID>
      <start>0</start>
      <end>2</end>
      <status>unmodified</status>
      <modifiedWord/>
      <trackRevisions>false</trackRevisions>
    </reviewItem>
    <reviewItem>
      <errorID>15955e04-14ac-4ece-be08-c548d866cb24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13279B8C</paraID>
      <start>0</start>
      <end>2</end>
      <status>unmodified</status>
      <modifiedWord/>
      <trackRevisions>false</trackRevisions>
    </reviewItem>
    <reviewItem>
      <errorID>bde97949-017b-4a91-875b-c3e7acc42bd2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190400FA</paraID>
      <start>0</start>
      <end>2</end>
      <status>unmodified</status>
      <modifiedWord/>
      <trackRevisions>false</trackRevisions>
    </reviewItem>
    <reviewItem>
      <errorID>e422b234-a046-45bc-b1d7-e8ddd7fb4e0b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687E106</paraID>
      <start>0</start>
      <end>2</end>
      <status>unmodified</status>
      <modifiedWord/>
      <trackRevisions>false</trackRevisions>
    </reviewItem>
    <reviewItem>
      <errorID>2584f6f8-66a5-480d-89c5-11c38bfc6a12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2D627AEA</paraID>
      <start>0</start>
      <end>2</end>
      <status>unmodified</status>
      <modifiedWord/>
      <trackRevisions>false</trackRevisions>
    </reviewItem>
    <reviewItem>
      <errorID>a9674b62-454d-4ca1-b8b3-1945d1f7075c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6E0892DB</paraID>
      <start>0</start>
      <end>2</end>
      <status>unmodified</status>
      <modifiedWord/>
      <trackRevisions>false</trackRevisions>
    </reviewItem>
    <reviewItem>
      <errorID>539cb875-58bb-4245-88fb-a486e10f81f3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D5B98B1</paraID>
      <start>0</start>
      <end>2</end>
      <status>unmodified</status>
      <modifiedWord/>
      <trackRevisions>false</trackRevisions>
    </reviewItem>
    <reviewItem>
      <errorID>df1dddfb-5d0a-46bd-ae39-08fdf5048b3f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356CEE71</paraID>
      <start>0</start>
      <end>2</end>
      <status>unmodified</status>
      <modifiedWord/>
      <trackRevisions>false</trackRevisions>
    </reviewItem>
    <reviewItem>
      <errorID>184b47fd-8b2e-455c-b159-0d514795833c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2661C7F8</paraID>
      <start>0</start>
      <end>2</end>
      <status>unmodified</status>
      <modifiedWord/>
      <trackRevisions>false</trackRevisions>
    </reviewItem>
    <reviewItem>
      <errorID>efba0b63-709b-47b9-9cba-466e845dc5f1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49C46C36</paraID>
      <start>0</start>
      <end>2</end>
      <status>unmodified</status>
      <modifiedWord/>
      <trackRevisions>false</trackRevisions>
    </reviewItem>
    <reviewItem>
      <errorID>b43fe85f-d55e-4d1d-bc0a-0c622e55722f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65BADF38</paraID>
      <start>0</start>
      <end>2</end>
      <status>unmodified</status>
      <modifiedWord/>
      <trackRevisions>false</trackRevisions>
    </reviewItem>
    <reviewItem>
      <errorID>4ad2cdee-0e65-42fe-ac28-afc4c18a1451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4AED669F</paraID>
      <start>0</start>
      <end>2</end>
      <status>unmodified</status>
      <modifiedWord/>
      <trackRevisions>false</trackRevisions>
    </reviewItem>
    <reviewItem>
      <errorID>d116afb5-07ad-4bf2-88f0-6e8632c93bda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5EED3B64</paraID>
      <start>0</start>
      <end>2</end>
      <status>unmodified</status>
      <modifiedWord/>
      <trackRevisions>false</trackRevisions>
    </reviewItem>
    <reviewItem>
      <errorID>c1661d63-711f-4097-afc0-0f3a6d4fb63c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78B2DDFA</paraID>
      <start>0</start>
      <end>2</end>
      <status>unmodified</status>
      <modifiedWord/>
      <trackRevisions>false</trackRevisions>
    </reviewItem>
    <reviewItem>
      <errorID>a2cf97a2-4236-430b-ad1a-c6967d445165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5B3FCA18</paraID>
      <start>0</start>
      <end>2</end>
      <status>unmodified</status>
      <modifiedWord/>
      <trackRevisions>false</trackRevisions>
    </reviewItem>
    <reviewItem>
      <errorID>7fd86ae7-764d-4754-aed0-509e3b2ba46f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1642A584</paraID>
      <start>0</start>
      <end>2</end>
      <status>unmodified</status>
      <modifiedWord/>
      <trackRevisions>false</trackRevisions>
    </reviewItem>
    <reviewItem>
      <errorID>61e8ae80-d429-4391-b1bc-8fcecfd490e0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19CFC1E6</paraID>
      <start>0</start>
      <end>2</end>
      <status>unmodified</status>
      <modifiedWord/>
      <trackRevisions>false</trackRevisions>
    </reviewItem>
    <reviewItem>
      <errorID>04791529-b509-4f35-8a84-a135d4a31253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29F88E1C</paraID>
      <start>0</start>
      <end>2</end>
      <status>unmodified</status>
      <modifiedWord/>
      <trackRevisions>false</trackRevisions>
    </reviewItem>
    <reviewItem>
      <errorID>ac722546-d60a-484b-b610-a49c328d7b6d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5990EA8A</paraID>
      <start>0</start>
      <end>2</end>
      <status>unmodified</status>
      <modifiedWord/>
      <trackRevisions>false</trackRevisions>
    </reviewItem>
    <reviewItem>
      <errorID>e401a8ee-7ec3-43c3-8c3c-6a4c0898c0af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6CEDB356</paraID>
      <start>0</start>
      <end>2</end>
      <status>unmodified</status>
      <modifiedWord/>
      <trackRevisions>false</trackRevisions>
    </reviewItem>
    <reviewItem>
      <errorID>3ea2611e-9746-4a5d-b880-3fae645dbb20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55CB5AE4</paraID>
      <start>0</start>
      <end>2</end>
      <status>unmodified</status>
      <modifiedWord/>
      <trackRevisions>false</trackRevisions>
    </reviewItem>
    <reviewItem>
      <errorID>abef9734-1de0-4356-b76d-5ebe00badbbb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35AE582C</paraID>
      <start>0</start>
      <end>2</end>
      <status>unmodified</status>
      <modifiedWord/>
      <trackRevisions>false</trackRevisions>
    </reviewItem>
    <reviewItem>
      <errorID>ae6c8b42-ee3a-4fb2-a82a-20d74cbb79f4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69F7A386</paraID>
      <start>0</start>
      <end>2</end>
      <status>unmodified</status>
      <modifiedWord/>
      <trackRevisions>false</trackRevisions>
    </reviewItem>
    <reviewItem>
      <errorID>d4ac6b84-d7aa-4f0a-b28d-71a7665a3c38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465815ED</paraID>
      <start>0</start>
      <end>2</end>
      <status>unmodified</status>
      <modifiedWord/>
      <trackRevisions>false</trackRevisions>
    </reviewItem>
    <reviewItem>
      <errorID>aa422801-9c1d-4292-b6b4-ffb283f96acc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1BFC6A2E</paraID>
      <start>0</start>
      <end>2</end>
      <status>unmodified</status>
      <modifiedWord/>
      <trackRevisions>false</trackRevisions>
    </reviewItem>
    <reviewItem>
      <errorID>20043209-9e08-4ef9-b143-08e4119b3443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438D2336</paraID>
      <start>0</start>
      <end>2</end>
      <status>unmodified</status>
      <modifiedWord/>
      <trackRevisions>false</trackRevisions>
    </reviewItem>
    <reviewItem>
      <errorID>4917d913-f1da-48fe-b70e-76244b631867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2036397F</paraID>
      <start>0</start>
      <end>2</end>
      <status>unmodified</status>
      <modifiedWord/>
      <trackRevisions>false</trackRevisions>
    </reviewItem>
    <reviewItem>
      <errorID>1e0b0c80-d68d-4089-b195-3b417f2b0dc7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524EDACD</paraID>
      <start>0</start>
      <end>2</end>
      <status>unmodified</status>
      <modifiedWord/>
      <trackRevisions>false</trackRevisions>
    </reviewItem>
    <reviewItem>
      <errorID>e39434e3-f11d-482e-9720-142ebbabb6ca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6BBBCAC7</paraID>
      <start>0</start>
      <end>2</end>
      <status>unmodified</status>
      <modifiedWord/>
      <trackRevisions>false</trackRevisions>
    </reviewItem>
    <reviewItem>
      <errorID>0e251b7b-895b-4ed0-b245-673768e095d3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17231418</paraID>
      <start>0</start>
      <end>2</end>
      <status>unmodified</status>
      <modifiedWord/>
      <trackRevisions>false</trackRevisions>
    </reviewItem>
    <reviewItem>
      <errorID>85c2ede5-2a09-47b5-8385-9841fbfb2387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11129EC1</paraID>
      <start>0</start>
      <end>2</end>
      <status>unmodified</status>
      <modifiedWord/>
      <trackRevisions>false</trackRevisions>
    </reviewItem>
    <reviewItem>
      <errorID>6e0d4942-1863-4d9d-ab22-0fe47a016b7b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13AB7A27</paraID>
      <start>0</start>
      <end>2</end>
      <status>unmodified</status>
      <modifiedWord/>
      <trackRevisions>false</trackRevisions>
    </reviewItem>
    <reviewItem>
      <errorID>1de8688f-54be-4930-ad81-fdee100a289e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77B0E522</paraID>
      <start>0</start>
      <end>2</end>
      <status>unmodified</status>
      <modifiedWord/>
      <trackRevisions>false</trackRevisions>
    </reviewItem>
    <reviewItem>
      <errorID>84b3b76b-cecb-4f6c-88f2-cfa5a6e05043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627BE5F5</paraID>
      <start>0</start>
      <end>2</end>
      <status>unmodified</status>
      <modifiedWord/>
      <trackRevisions>false</trackRevisions>
    </reviewItem>
    <reviewItem>
      <errorID>fc552491-8f2e-40f4-8f34-3cb94438e867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8073608</paraID>
      <start>0</start>
      <end>2</end>
      <status>unmodified</status>
      <modifiedWord/>
      <trackRevisions>false</trackRevisions>
    </reviewItem>
    <reviewItem>
      <errorID>0aca4cc7-0711-44fc-b858-31d4695f17dd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6B350422</paraID>
      <start>0</start>
      <end>2</end>
      <status>unmodified</status>
      <modifiedWord/>
      <trackRevisions>false</trackRevisions>
    </reviewItem>
    <reviewItem>
      <errorID>46d24b9e-7306-43c7-9ac7-9e168613ebf2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3B2666DD</paraID>
      <start>0</start>
      <end>2</end>
      <status>unmodified</status>
      <modifiedWord/>
      <trackRevisions>false</trackRevisions>
    </reviewItem>
    <reviewItem>
      <errorID>bcdba83a-e9e4-4f61-95e3-f466b929a35b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7C0847EA</paraID>
      <start>0</start>
      <end>2</end>
      <status>unmodified</status>
      <modifiedWord/>
      <trackRevisions>false</trackRevisions>
    </reviewItem>
    <reviewItem>
      <errorID>e800d126-0ac7-484a-bdc1-0641b8838b6c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262254DA</paraID>
      <start>0</start>
      <end>2</end>
      <status>unmodified</status>
      <modifiedWord/>
      <trackRevisions>false</trackRevisions>
    </reviewItem>
    <reviewItem>
      <errorID>d06c4b8d-636e-47f3-9e9e-27e27a9b173c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593BFEDA</paraID>
      <start>0</start>
      <end>2</end>
      <status>unmodified</status>
      <modifiedWord/>
      <trackRevisions>false</trackRevisions>
    </reviewItem>
    <reviewItem>
      <errorID>3effd467-ff02-41e0-b448-dcc8cef341db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E0D1BAF</paraID>
      <start>0</start>
      <end>2</end>
      <status>unmodified</status>
      <modifiedWord/>
      <trackRevisions>false</trackRevisions>
    </reviewItem>
    <reviewItem>
      <errorID>0d68aba3-bf10-4c44-8b1b-d3ca601248fd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62919F02</paraID>
      <start>0</start>
      <end>2</end>
      <status>unmodified</status>
      <modifiedWord/>
      <trackRevisions>false</trackRevisions>
    </reviewItem>
    <reviewItem>
      <errorID>98a72e3b-8b44-47bd-9f17-41debf6efaa0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5FF31931</paraID>
      <start>0</start>
      <end>2</end>
      <status>unmodified</status>
      <modifiedWord/>
      <trackRevisions>false</trackRevisions>
    </reviewItem>
    <reviewItem>
      <errorID>c81f8add-2162-4114-8678-82fb59156aec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66081B3A</paraID>
      <start>0</start>
      <end>2</end>
      <status>unmodified</status>
      <modifiedWord/>
      <trackRevisions>false</trackRevisions>
    </reviewItem>
    <reviewItem>
      <errorID>33aa71fc-5388-4425-b2ad-929f07b54a05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3706A02B</paraID>
      <start>0</start>
      <end>2</end>
      <status>unmodified</status>
      <modifiedWord/>
      <trackRevisions>false</trackRevisions>
    </reviewItem>
    <reviewItem>
      <errorID>1119bef0-0355-4ef6-bfa0-bc5ce29e4110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70926DB8</paraID>
      <start>0</start>
      <end>2</end>
      <status>unmodified</status>
      <modifiedWord/>
      <trackRevisions>false</trackRevisions>
    </reviewItem>
    <reviewItem>
      <errorID>2437569e-1f97-4c1f-8d28-70101e67b850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67B3A61A</paraID>
      <start>0</start>
      <end>2</end>
      <status>unmodified</status>
      <modifiedWord/>
      <trackRevisions>false</trackRevisions>
    </reviewItem>
    <reviewItem>
      <errorID>afafb540-fe44-433a-bfa6-5378f750f3fd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A813276</paraID>
      <start>0</start>
      <end>2</end>
      <status>unmodified</status>
      <modifiedWord/>
      <trackRevisions>false</trackRevisions>
    </reviewItem>
    <reviewItem>
      <errorID>7721d055-a992-4129-b2df-05dc43471116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2172EDA2</paraID>
      <start>0</start>
      <end>2</end>
      <status>unmodified</status>
      <modifiedWord/>
      <trackRevisions>false</trackRevisions>
    </reviewItem>
    <reviewItem>
      <errorID>f6189da4-255f-480d-a1ad-d1372bd97b17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23BD1189</paraID>
      <start>0</start>
      <end>2</end>
      <status>unmodified</status>
      <modifiedWord/>
      <trackRevisions>false</trackRevisions>
    </reviewItem>
    <reviewItem>
      <errorID>bf7f98eb-c2de-4366-9d99-76db36ba0247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C4D7716</paraID>
      <start>0</start>
      <end>2</end>
      <status>unmodified</status>
      <modifiedWord/>
      <trackRevisions>false</trackRevisions>
    </reviewItem>
    <reviewItem>
      <errorID>119eafcd-371e-4832-9515-430e4d3bcbdf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2C6C088</paraID>
      <start>0</start>
      <end>2</end>
      <status>unmodified</status>
      <modifiedWord/>
      <trackRevisions>false</trackRevisions>
    </reviewItem>
    <reviewItem>
      <errorID>afc2c7a6-b5fe-4230-bc86-53382f23859f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5CCAC409</paraID>
      <start>0</start>
      <end>2</end>
      <status>unmodified</status>
      <modifiedWord/>
      <trackRevisions>false</trackRevisions>
    </reviewItem>
    <reviewItem>
      <errorID>e733960e-0bf4-492f-b632-45eea99d07a3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566BFAB5</paraID>
      <start>0</start>
      <end>2</end>
      <status>unmodified</status>
      <modifiedWord/>
      <trackRevisions>false</trackRevisions>
    </reviewItem>
    <reviewItem>
      <errorID>06eb92f8-06fa-492e-afdd-e7cd1cc7b117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3AF377EB</paraID>
      <start>0</start>
      <end>2</end>
      <status>unmodified</status>
      <modifiedWord/>
      <trackRevisions>false</trackRevisions>
    </reviewItem>
    <reviewItem>
      <errorID>768dd2b5-b283-43d9-9800-66a578b20e19</errorID>
      <errorWord>)</errorWord>
      <group>L1_Format</group>
      <groupName>格式问题</groupName>
      <ability>L2_HalfPunc_CN</ability>
      <abilityName>全半角问题</abilityName>
      <candidateList>
        <item>）</item>
      </candidateList>
      <explain>文本全半角错误。</explain>
      <paraID> C743F4B</paraID>
      <start>39</start>
      <end>40</end>
      <status>unmodified</status>
      <modifiedWord/>
      <trackRevisions>false</trackRevisions>
    </reviewItem>
    <reviewItem>
      <errorID>dc4d3316-8ba9-4c2f-948a-68f0b7d058d0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BD46300</paraID>
      <start>0</start>
      <end>2</end>
      <status>unmodified</status>
      <modifiedWord/>
      <trackRevisions>false</trackRevisions>
    </reviewItem>
    <reviewItem>
      <errorID>37fc8695-6ade-4723-a717-979c8b1cdb1e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5238DEC4</paraID>
      <start>0</start>
      <end>2</end>
      <status>unmodified</status>
      <modifiedWord/>
      <trackRevisions>false</trackRevisions>
    </reviewItem>
    <reviewItem>
      <errorID>1a54b388-1cf3-4842-8dd8-bbe9e9c8318c</errorID>
      <errorWord>检</errorWord>
      <group>L1_Word</group>
      <groupName>字词问题</groupName>
      <ability>L2_Typo</ability>
      <abilityName>字词错误</abilityName>
      <candidateList>
        <item>见</item>
      </candidateList>
      <explain>存在发音相同字词的误用。</explain>
      <paraID> 25A59CB</paraID>
      <start>9</start>
      <end>10</end>
      <status>unmodified</status>
      <modifiedWord/>
      <trackRevisions>false</trackRevisions>
    </reviewItem>
    <reviewItem>
      <errorID>a061e7d5-b746-4c40-959e-aad387cbe9e3</errorID>
      <errorWord>融化</errorWord>
      <group>L1_Word</group>
      <groupName>字词问题</groupName>
      <ability>L2_Typo</ability>
      <abilityName>字词错误</abilityName>
      <candidateList>
        <item>熔化</item>
      </candidateList>
      <explain>存在发音相同字词的误用。</explain>
      <paraID>66749C2C</paraID>
      <start>23</start>
      <end>25</end>
      <status>unmodified</status>
      <modifiedWord/>
      <trackRevisions>false</trackRevisions>
    </reviewItem>
    <reviewItem>
      <errorID>e649d8d4-2cba-434a-9925-3ec4775e7221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652FF2D2</paraID>
      <start>0</start>
      <end>2</end>
      <status>unmodified</status>
      <modifiedWord/>
      <trackRevisions>false</trackRevisions>
    </reviewItem>
    <reviewItem>
      <errorID>30f9d8ee-ce17-4313-b635-b2fc815c49a3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BCF4FF8</paraID>
      <start>0</start>
      <end>2</end>
      <status>unmodified</status>
      <modifiedWord/>
      <trackRevisions>false</trackRevisions>
    </reviewItem>
    <reviewItem>
      <errorID>db15f345-ce90-47ba-9b50-151b715f3d5e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44AA9D</paraID>
      <start>0</start>
      <end>2</end>
      <status>unmodified</status>
      <modifiedWord/>
      <trackRevisions>false</trackRevisions>
    </reviewItem>
    <reviewItem>
      <errorID>70d70e84-876e-44d4-9564-a46fc45b5254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5418B298</paraID>
      <start>0</start>
      <end>2</end>
      <status>unmodified</status>
      <modifiedWord/>
      <trackRevisions>false</trackRevisions>
    </reviewItem>
    <reviewItem>
      <errorID>bf4ed2a9-d4cd-40c4-a14d-f1f39a475008</errorID>
      <errorWord>)</errorWord>
      <group>L1_Format</group>
      <groupName>格式问题</groupName>
      <ability>L2_HalfPunc_CN</ability>
      <abilityName>全半角问题</abilityName>
      <candidateList>
        <item>）</item>
      </candidateList>
      <explain>文本全半角错误。</explain>
      <paraID>5418B298</paraID>
      <start>64</start>
      <end>65</end>
      <status>unmodified</status>
      <modifiedWord/>
      <trackRevisions>false</trackRevisions>
    </reviewItem>
    <reviewItem>
      <errorID>e0994767-cede-4504-8dc9-cab502f47000</errorID>
      <errorWord>-</errorWord>
      <group>L1_Format</group>
      <groupName>格式问题</groupName>
      <ability>L2_HalfPunc_CN</ability>
      <abilityName>全半角问题</abilityName>
      <candidateList>
        <item>－</item>
      </candidateList>
      <explain>文本全半角错误。</explain>
      <paraID>31AAA5D7</paraID>
      <start>2</start>
      <end>3</end>
      <status>unmodified</status>
      <modifiedWord/>
      <trackRevisions>false</trackRevisions>
    </reviewItem>
    <reviewItem>
      <errorID>fd4a7566-18cb-4a2f-8448-38d706f8d211</errorID>
      <errorWord>-</errorWord>
      <group>L1_Format</group>
      <groupName>格式问题</groupName>
      <ability>L2_HalfPunc_CN</ability>
      <abilityName>全半角问题</abilityName>
      <candidateList>
        <item>－</item>
      </candidateList>
      <explain>文本全半角错误。</explain>
      <paraID>31AAA5D7</paraID>
      <start>12</start>
      <end>13</end>
      <status>unmodified</status>
      <modifiedWord/>
      <trackRevisions>false</trackRevisions>
    </reviewItem>
    <reviewItem>
      <errorID>e39f7253-cafc-4888-b15e-ddfba6b16a5f</errorID>
      <errorWord>-</errorWord>
      <group>L1_Format</group>
      <groupName>格式问题</groupName>
      <ability>L2_HalfPunc_CN</ability>
      <abilityName>全半角问题</abilityName>
      <candidateList>
        <item>－</item>
      </candidateList>
      <explain>文本全半角错误。</explain>
      <paraID>31AAA5D7</paraID>
      <start>22</start>
      <end>23</end>
      <status>unmodified</status>
      <modifiedWord/>
      <trackRevisions>false</trackRevisions>
    </reviewItem>
    <reviewItem>
      <errorID>14764ecb-7967-4727-8201-0da5a877f9f7</errorID>
      <errorWord>-</errorWord>
      <group>L1_Format</group>
      <groupName>格式问题</groupName>
      <ability>L2_HalfPunc_CN</ability>
      <abilityName>全半角问题</abilityName>
      <candidateList>
        <item>－</item>
      </candidateList>
      <explain>文本全半角错误。</explain>
      <paraID>31AAA5D7</paraID>
      <start>30</start>
      <end>31</end>
      <status>unmodified</status>
      <modifiedWord/>
      <trackRevisions>false</trackRevisions>
    </reviewItem>
    <reviewItem>
      <errorID>6e7deea4-bc2a-4d2d-a6dc-a8d420484f72</errorID>
      <errorWord>-</errorWord>
      <group>L1_Format</group>
      <groupName>格式问题</groupName>
      <ability>L2_HalfPunc_CN</ability>
      <abilityName>全半角问题</abilityName>
      <candidateList>
        <item>－</item>
      </candidateList>
      <explain>文本全半角错误。</explain>
      <paraID>31AAA5D7</paraID>
      <start>42</start>
      <end>43</end>
      <status>unmodified</status>
      <modifiedWord/>
      <trackRevisions>false</trackRevisions>
    </reviewItem>
    <reviewItem>
      <errorID>0af3fd03-6a70-4397-b547-d7e2a38cf7bf</errorID>
      <errorWord>-</errorWord>
      <group>L1_Format</group>
      <groupName>格式问题</groupName>
      <ability>L2_HalfPunc_CN</ability>
      <abilityName>全半角问题</abilityName>
      <candidateList>
        <item>－</item>
      </candidateList>
      <explain>文本全半角错误。</explain>
      <paraID>31AAA5D7</paraID>
      <start>48</start>
      <end>49</end>
      <status>unmodified</status>
      <modifiedWord/>
      <trackRevisions>false</trackRevisions>
    </reviewItem>
    <reviewItem>
      <errorID>32b8a2c9-bff5-4d15-9a0f-6ddd1120cb78</errorID>
      <errorWord>-</errorWord>
      <group>L1_Format</group>
      <groupName>格式问题</groupName>
      <ability>L2_HalfPunc_CN</ability>
      <abilityName>全半角问题</abilityName>
      <candidateList>
        <item>－</item>
      </candidateList>
      <explain>文本全半角错误。</explain>
      <paraID>31AAA5D7</paraID>
      <start>56</start>
      <end>57</end>
      <status>unmodified</status>
      <modifiedWord/>
      <trackRevisions>false</trackRevisions>
    </reviewItem>
    <reviewItem>
      <errorID>cae2922b-e3d5-44d3-a5da-e73aad4a5397</errorID>
      <errorWord>-</errorWord>
      <group>L1_Format</group>
      <groupName>格式问题</groupName>
      <ability>L2_HalfPunc_CN</ability>
      <abilityName>全半角问题</abilityName>
      <candidateList>
        <item>－</item>
      </candidateList>
      <explain>文本全半角错误。</explain>
      <paraID>31AAA5D7</paraID>
      <start>65</start>
      <end>66</end>
      <status>unmodified</status>
      <modifiedWord/>
      <trackRevisions>false</trackRevisions>
    </reviewItem>
    <reviewItem>
      <errorID>cbba7a8d-d56b-4ac1-b6b4-7264c0055a8b</errorID>
      <errorWord>-</errorWord>
      <group>L1_Format</group>
      <groupName>格式问题</groupName>
      <ability>L2_HalfPunc_CN</ability>
      <abilityName>全半角问题</abilityName>
      <candidateList>
        <item>－</item>
      </candidateList>
      <explain>文本全半角错误。</explain>
      <paraID>31AAA5D7</paraID>
      <start>75</start>
      <end>76</end>
      <status>unmodified</status>
      <modifiedWord/>
      <trackRevisions>false</trackRevisions>
    </reviewItem>
    <reviewItem>
      <errorID>024f9b25-d5b9-4954-8d60-d433af3a988e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475DD6E5</paraID>
      <start>0</start>
      <end>2</end>
      <status>unmodified</status>
      <modifiedWord/>
      <trackRevisions>false</trackRevisions>
    </reviewItem>
    <reviewItem>
      <errorID>e07675a3-69fa-47a9-99d9-b1af0aabf16c</errorID>
      <errorWord>2、</errorWord>
      <group>L1_Format</group>
      <groupName>格式问题</groupName>
      <ability>L2_Ordinal</ability>
      <abilityName>序号格式</abilityName>
      <candidateList>
        <item>2.</item>
      </candidateList>
      <explain>当前序号格式不规范，建议修改为规范格式[2.]。</explain>
      <paraID>74E180DE</paraID>
      <start>0</start>
      <end>2</end>
      <status>unmodified</status>
      <modifiedWord/>
      <trackRevisions>false</trackRevisions>
    </reviewItem>
    <reviewItem>
      <errorID>f6bef59a-f04a-4ef7-bea7-b0809c2efdd4</errorID>
      <errorWord>~</errorWord>
      <group>L1_Format</group>
      <groupName>格式问题</groupName>
      <ability>L2_HalfPunc_CN</ability>
      <abilityName>全半角问题</abilityName>
      <candidateList>
        <item>～</item>
      </candidateList>
      <explain>文本全半角错误。</explain>
      <paraID>74E180DE</paraID>
      <start>42</start>
      <end>43</end>
      <status>unmodified</status>
      <modifiedWord/>
      <trackRevisions>false</trackRevisions>
    </reviewItem>
    <reviewItem>
      <errorID>f09cef63-c490-4317-a350-42e214a5bd6b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5537D497</paraID>
      <start>0</start>
      <end>2</end>
      <status>unmodified</status>
      <modifiedWord/>
      <trackRevisions>false</trackRevisions>
    </reviewItem>
    <reviewItem>
      <errorID>5985f764-a6dd-4055-abfa-eae30fb79b17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7431A20E</paraID>
      <start>0</start>
      <end>2</end>
      <status>unmodified</status>
      <modifiedWord/>
      <trackRevisions>false</trackRevisions>
    </reviewItem>
    <reviewItem>
      <errorID>82312d4d-e5ce-4ac3-a1cf-13d6af22354e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5AC29736</paraID>
      <start>0</start>
      <end>2</end>
      <status>unmodified</status>
      <modifiedWord/>
      <trackRevisions>false</trackRevisions>
    </reviewItem>
    <reviewItem>
      <errorID>57d4a179-c825-4271-865e-178582a47ef3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6BE5C977</paraID>
      <start>0</start>
      <end>2</end>
      <status>unmodified</status>
      <modifiedWord/>
      <trackRevisions>false</trackRevisions>
    </reviewItem>
    <reviewItem>
      <errorID>9cf99e83-534d-47a0-935f-8af96a0b0cd0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4D0AA747</paraID>
      <start>0</start>
      <end>2</end>
      <status>unmodified</status>
      <modifiedWord/>
      <trackRevisions>false</trackRevisions>
    </reviewItem>
    <reviewItem>
      <errorID>8b2313f6-d4c6-4af6-a9a6-d3dea40cf9bf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4A67B0AC</paraID>
      <start>0</start>
      <end>2</end>
      <status>unmodified</status>
      <modifiedWord/>
      <trackRevisions>false</trackRevisions>
    </reviewItem>
    <reviewItem>
      <errorID>8f990781-c47f-42ce-8bde-fba5fd485db2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235BBFF6</paraID>
      <start>0</start>
      <end>2</end>
      <status>unmodified</status>
      <modifiedWord/>
      <trackRevisions>false</trackRevisions>
    </reviewItem>
    <reviewItem>
      <errorID>7e6e70ec-d3e6-4838-bff4-bab622afc77b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7CEAF9BC</paraID>
      <start>0</start>
      <end>2</end>
      <status>unmodified</status>
      <modifiedWord/>
      <trackRevisions>false</trackRevisions>
    </reviewItem>
    <reviewItem>
      <errorID>74f40964-1c6e-4c4c-8b25-4dbc0dd25263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655EE283</paraID>
      <start>0</start>
      <end>2</end>
      <status>unmodified</status>
      <modifiedWord/>
      <trackRevisions>false</trackRevisions>
    </reviewItem>
    <reviewItem>
      <errorID>670baa0c-f595-4346-8c08-d16136a41944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25959056</paraID>
      <start>0</start>
      <end>2</end>
      <status>unmodified</status>
      <modifiedWord/>
      <trackRevisions>false</trackRevisions>
    </reviewItem>
    <reviewItem>
      <errorID>5dcf5ff7-d10d-4836-bf38-b94fd4642ea1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1771DE93</paraID>
      <start>0</start>
      <end>2</end>
      <status>unmodified</status>
      <modifiedWord/>
      <trackRevisions>false</trackRevisions>
    </reviewItem>
    <reviewItem>
      <errorID>bdcf9296-2c1e-4762-aa02-65e812a57d54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1495BF5E</paraID>
      <start>0</start>
      <end>2</end>
      <status>unmodified</status>
      <modifiedWord/>
      <trackRevisions>false</trackRevisions>
    </reviewItem>
    <reviewItem>
      <errorID>b756c1de-8e42-479c-b355-8ad399d89af8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40BE3DE5</paraID>
      <start>0</start>
      <end>2</end>
      <status>unmodified</status>
      <modifiedWord/>
      <trackRevisions>false</trackRevisions>
    </reviewItem>
    <reviewItem>
      <errorID>31772b7e-6d0e-40d9-a13e-cad96218be57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71A6168B</paraID>
      <start>0</start>
      <end>2</end>
      <status>unmodified</status>
      <modifiedWord/>
      <trackRevisions>false</trackRevisions>
    </reviewItem>
    <reviewItem>
      <errorID>f1800eef-3525-4493-b38a-be54639e4534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56FD40C7</paraID>
      <start>0</start>
      <end>2</end>
      <status>unmodified</status>
      <modifiedWord/>
      <trackRevisions>false</trackRevisions>
    </reviewItem>
    <reviewItem>
      <errorID>a6b9534d-5456-44fd-918f-69337e2aa945</errorID>
      <errorWord>-</errorWord>
      <group>L1_Format</group>
      <groupName>格式问题</groupName>
      <ability>L2_HalfPunc_CN</ability>
      <abilityName>全半角问题</abilityName>
      <candidateList>
        <item>－</item>
      </candidateList>
      <explain>文本全半角错误。</explain>
      <paraID>56FD40C7</paraID>
      <start>14</start>
      <end>15</end>
      <status>unmodified</status>
      <modifiedWord/>
      <trackRevisions>false</trackRevisions>
    </reviewItem>
    <reviewItem>
      <errorID>e69a0bd9-b01a-4cc5-bdca-c65183bedff3</errorID>
      <errorWord>-</errorWord>
      <group>L1_Format</group>
      <groupName>格式问题</groupName>
      <ability>L2_HalfPunc_CN</ability>
      <abilityName>全半角问题</abilityName>
      <candidateList>
        <item>－</item>
      </candidateList>
      <explain>文本全半角错误。</explain>
      <paraID>56FD40C7</paraID>
      <start>30</start>
      <end>31</end>
      <status>unmodified</status>
      <modifiedWord/>
      <trackRevisions>false</trackRevisions>
    </reviewItem>
    <reviewItem>
      <errorID>224572ea-a753-4604-8357-4b50c6df8c8b</errorID>
      <errorWord>-</errorWord>
      <group>L1_Format</group>
      <groupName>格式问题</groupName>
      <ability>L2_HalfPunc_CN</ability>
      <abilityName>全半角问题</abilityName>
      <candidateList>
        <item>－</item>
      </candidateList>
      <explain>文本全半角错误。</explain>
      <paraID>56FD40C7</paraID>
      <start>45</start>
      <end>46</end>
      <status>unmodified</status>
      <modifiedWord/>
      <trackRevisions>false</trackRevisions>
    </reviewItem>
    <reviewItem>
      <errorID>3e2065fb-b656-401c-a2d9-121f9b5a9975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1A518622</paraID>
      <start>0</start>
      <end>2</end>
      <status>unmodified</status>
      <modifiedWord/>
      <trackRevisions>false</trackRevisions>
    </reviewItem>
    <reviewItem>
      <errorID>902d6949-e174-49d5-8c20-e9d0c98708ce</errorID>
      <errorWord>-</errorWord>
      <group>L1_Format</group>
      <groupName>格式问题</groupName>
      <ability>L2_HalfPunc_CN</ability>
      <abilityName>全半角问题</abilityName>
      <candidateList>
        <item>－</item>
      </candidateList>
      <explain>文本全半角错误。</explain>
      <paraID>1A518622</paraID>
      <start>14</start>
      <end>15</end>
      <status>unmodified</status>
      <modifiedWord/>
      <trackRevisions>false</trackRevisions>
    </reviewItem>
    <reviewItem>
      <errorID>dd7dfc5f-88af-4666-8e5f-93caf6f48dcf</errorID>
      <errorWord>-</errorWord>
      <group>L1_Format</group>
      <groupName>格式问题</groupName>
      <ability>L2_HalfPunc_CN</ability>
      <abilityName>全半角问题</abilityName>
      <candidateList>
        <item>－</item>
      </candidateList>
      <explain>文本全半角错误。</explain>
      <paraID>1A518622</paraID>
      <start>30</start>
      <end>31</end>
      <status>unmodified</status>
      <modifiedWord/>
      <trackRevisions>false</trackRevisions>
    </reviewItem>
    <reviewItem>
      <errorID>f0d80b19-1289-471b-8a5f-0d83efb29fd2</errorID>
      <errorWord>-</errorWord>
      <group>L1_Format</group>
      <groupName>格式问题</groupName>
      <ability>L2_HalfPunc_CN</ability>
      <abilityName>全半角问题</abilityName>
      <candidateList>
        <item>－</item>
      </candidateList>
      <explain>文本全半角错误。</explain>
      <paraID>1A518622</paraID>
      <start>45</start>
      <end>46</end>
      <status>unmodified</status>
      <modifiedWord/>
      <trackRevisions>false</trackRevisions>
    </reviewItem>
    <reviewItem>
      <errorID>7ff4ed13-1c5d-49bc-b127-960af60b3c74</errorID>
      <errorWord>-</errorWord>
      <group>L1_Format</group>
      <groupName>格式问题</groupName>
      <ability>L2_HalfPunc_CN</ability>
      <abilityName>全半角问题</abilityName>
      <candidateList>
        <item>－</item>
      </candidateList>
      <explain>文本全半角错误。</explain>
      <paraID>1A518622</paraID>
      <start>86</start>
      <end>87</end>
      <status>unmodified</status>
      <modifiedWord/>
      <trackRevisions>false</trackRevisions>
    </reviewItem>
    <reviewItem>
      <errorID>652975d3-cb41-4466-bb3b-2e5b78660c3e</errorID>
      <errorWord>-</errorWord>
      <group>L1_Format</group>
      <groupName>格式问题</groupName>
      <ability>L2_HalfPunc_CN</ability>
      <abilityName>全半角问题</abilityName>
      <candidateList>
        <item>－</item>
      </candidateList>
      <explain>文本全半角错误。</explain>
      <paraID>1A518622</paraID>
      <start>118</start>
      <end>119</end>
      <status>unmodified</status>
      <modifiedWord/>
      <trackRevisions>false</trackRevisions>
    </reviewItem>
    <reviewItem>
      <errorID>289d3dba-eb87-4478-bbc3-0d122ab380e3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24F68133</paraID>
      <start>0</start>
      <end>2</end>
      <status>unmodified</status>
      <modifiedWord/>
      <trackRevisions>false</trackRevisions>
    </reviewItem>
    <reviewItem>
      <errorID>a747bb9f-2e00-4db2-bfad-afffb6a7c4ba</errorID>
      <errorWord>-</errorWord>
      <group>L1_Format</group>
      <groupName>格式问题</groupName>
      <ability>L2_HalfPunc_CN</ability>
      <abilityName>全半角问题</abilityName>
      <candidateList>
        <item>－</item>
      </candidateList>
      <explain>文本全半角错误。</explain>
      <paraID>24F68133</paraID>
      <start>15</start>
      <end>16</end>
      <status>unmodified</status>
      <modifiedWord/>
      <trackRevisions>false</trackRevisions>
    </reviewItem>
    <reviewItem>
      <errorID>2a2236b2-5066-4e88-91c8-8747d479d3fd</errorID>
      <errorWord>-</errorWord>
      <group>L1_Format</group>
      <groupName>格式问题</groupName>
      <ability>L2_HalfPunc_CN</ability>
      <abilityName>全半角问题</abilityName>
      <candidateList>
        <item>－</item>
      </candidateList>
      <explain>文本全半角错误。</explain>
      <paraID>24F68133</paraID>
      <start>31</start>
      <end>32</end>
      <status>unmodified</status>
      <modifiedWord/>
      <trackRevisions>false</trackRevisions>
    </reviewItem>
    <reviewItem>
      <errorID>7a73ec3f-4e94-48cc-a852-e498f2546e3d</errorID>
      <errorWord>-</errorWord>
      <group>L1_Format</group>
      <groupName>格式问题</groupName>
      <ability>L2_HalfPunc_CN</ability>
      <abilityName>全半角问题</abilityName>
      <candidateList>
        <item>－</item>
      </candidateList>
      <explain>文本全半角错误。</explain>
      <paraID>24F68133</paraID>
      <start>46</start>
      <end>47</end>
      <status>unmodified</status>
      <modifiedWord/>
      <trackRevisions>false</trackRevisions>
    </reviewItem>
    <reviewItem>
      <errorID>47dcff2c-c17b-4b01-83fb-6f4aa084097d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588BE2BB</paraID>
      <start>0</start>
      <end>2</end>
      <status>unmodified</status>
      <modifiedWord/>
      <trackRevisions>false</trackRevisions>
    </reviewItem>
    <reviewItem>
      <errorID>c8e2a818-8f41-4522-a03c-f41564cb01f4</errorID>
      <errorWord>-</errorWord>
      <group>L1_Format</group>
      <groupName>格式问题</groupName>
      <ability>L2_HalfPunc_CN</ability>
      <abilityName>全半角问题</abilityName>
      <candidateList>
        <item>－</item>
      </candidateList>
      <explain>文本全半角错误。</explain>
      <paraID>588BE2BB</paraID>
      <start>10</start>
      <end>11</end>
      <status>unmodified</status>
      <modifiedWord/>
      <trackRevisions>false</trackRevisions>
    </reviewItem>
    <reviewItem>
      <errorID>5f537de9-689f-4e23-a63b-537612618b88</errorID>
      <errorWord>-</errorWord>
      <group>L1_Format</group>
      <groupName>格式问题</groupName>
      <ability>L2_HalfPunc_CN</ability>
      <abilityName>全半角问题</abilityName>
      <candidateList>
        <item>－</item>
      </candidateList>
      <explain>文本全半角错误。</explain>
      <paraID>588BE2BB</paraID>
      <start>47</start>
      <end>48</end>
      <status>unmodified</status>
      <modifiedWord/>
      <trackRevisions>false</trackRevisions>
    </reviewItem>
    <reviewItem>
      <errorID>9a216321-30c1-47ff-891a-f1e52c49cfbb</errorID>
      <errorWord>-</errorWord>
      <group>L1_Format</group>
      <groupName>格式问题</groupName>
      <ability>L2_HalfPunc_CN</ability>
      <abilityName>全半角问题</abilityName>
      <candidateList>
        <item>－</item>
      </candidateList>
      <explain>文本全半角错误。</explain>
      <paraID>588BE2BB</paraID>
      <start>63</start>
      <end>64</end>
      <status>unmodified</status>
      <modifiedWord/>
      <trackRevisions>false</trackRevisions>
    </reviewItem>
    <reviewItem>
      <errorID>3d8bcf1c-1649-413c-868f-26b0caee006d</errorID>
      <errorWord>-</errorWord>
      <group>L1_Format</group>
      <groupName>格式问题</groupName>
      <ability>L2_HalfPunc_CN</ability>
      <abilityName>全半角问题</abilityName>
      <candidateList>
        <item>－</item>
      </candidateList>
      <explain>文本全半角错误。</explain>
      <paraID>588BE2BB</paraID>
      <start>81</start>
      <end>82</end>
      <status>unmodified</status>
      <modifiedWord/>
      <trackRevisions>false</trackRevisions>
    </reviewItem>
    <reviewItem>
      <errorID>2c083cc0-7a1a-48c3-981e-6b0d976916fd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428EC94B</paraID>
      <start>0</start>
      <end>2</end>
      <status>unmodified</status>
      <modifiedWord/>
      <trackRevisions>false</trackRevisions>
    </reviewItem>
    <reviewItem>
      <errorID>58514273-baa8-4397-8e69-c985723eb2d3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4AAEC1B3</paraID>
      <start>0</start>
      <end>2</end>
      <status>unmodified</status>
      <modifiedWord/>
      <trackRevisions>false</trackRevisions>
    </reviewItem>
    <reviewItem>
      <errorID>7f4c600d-bc48-4647-897d-1c65a590c5fa</errorID>
      <errorWord>3、</errorWord>
      <group>L1_Format</group>
      <groupName>格式问题</groupName>
      <ability>L2_Ordinal</ability>
      <abilityName>序号格式</abilityName>
      <candidateList>
        <item>3.</item>
      </candidateList>
      <explain>当前序号格式不规范，建议修改为规范格式[3.]。</explain>
      <paraID>7288BF5A</paraID>
      <start>0</start>
      <end>2</end>
      <status>unmodified</status>
      <modifiedWord/>
      <trackRevisions>false</trackRevisions>
    </reviewItem>
    <reviewItem>
      <errorID>819598b9-bcc6-4f2d-87b0-78c8b54f1080</errorID>
      <errorWord>4、</errorWord>
      <group>L1_Format</group>
      <groupName>格式问题</groupName>
      <ability>L2_Ordinal</ability>
      <abilityName>序号格式</abilityName>
      <candidateList>
        <item>4.</item>
      </candidateList>
      <explain>当前序号格式不规范，建议修改为规范格式[4.]。</explain>
      <paraID>6B7F243D</paraID>
      <start>0</start>
      <end>2</end>
      <status>unmodified</status>
      <modifiedWord/>
      <trackRevisions>false</trackRevisions>
    </reviewItem>
    <reviewItem>
      <errorID>1634b2fe-6d8b-44c8-94e0-afef129ca64d</errorID>
      <errorWord>5、</errorWord>
      <group>L1_Format</group>
      <groupName>格式问题</groupName>
      <ability>L2_Ordinal</ability>
      <abilityName>序号格式</abilityName>
      <candidateList>
        <item>5.</item>
      </candidateList>
      <explain>当前序号格式不规范，建议修改为规范格式[5.]。</explain>
      <paraID>14CC6322</paraID>
      <start>0</start>
      <end>2</end>
      <status>unmodified</status>
      <modifiedWord/>
      <trackRevisions>false</trackRevisions>
    </reviewItem>
    <reviewItem>
      <errorID>83a03682-9c79-4fea-beff-d272f706a209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30180F70</paraID>
      <start>0</start>
      <end>2</end>
      <status>unmodified</status>
      <modifiedWord/>
      <trackRevisions>false</trackRevisions>
    </reviewItem>
    <reviewItem>
      <errorID>2d7f7707-0610-4107-a152-16188f122645</errorID>
      <errorWord>7、</errorWord>
      <group>L1_Format</group>
      <groupName>格式问题</groupName>
      <ability>L2_Ordinal</ability>
      <abilityName>序号格式</abilityName>
      <candidateList>
        <item>7.</item>
      </candidateList>
      <explain>当前序号格式不规范，建议修改为规范格式[7.]。</explain>
      <paraID>5F633A94</paraID>
      <start>0</start>
      <end>2</end>
      <status>unmodified</status>
      <modifiedWord/>
      <trackRevisions>false</trackRevisions>
    </reviewItem>
    <reviewItem>
      <errorID>0a8e87de-b003-4c6d-93d3-54ef9e198ee8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2C41DEAA</paraID>
      <start>0</start>
      <end>2</end>
      <status>unmodified</status>
      <modifiedWord/>
      <trackRevisions>false</trackRevisions>
    </reviewItem>
    <reviewItem>
      <errorID>1756a1c8-9084-46ce-8d72-c28ebdb1dc62</errorID>
      <errorWord>)</errorWord>
      <group>L1_Format</group>
      <groupName>格式问题</groupName>
      <ability>L2_HalfPunc_CN</ability>
      <abilityName>全半角问题</abilityName>
      <candidateList>
        <item>）</item>
      </candidateList>
      <explain>文本全半角错误。</explain>
      <paraID>2C41DEAA</paraID>
      <start>17</start>
      <end>18</end>
      <status>unmodified</status>
      <modifiedWord/>
      <trackRevisions>false</trackRevisions>
    </reviewItem>
    <reviewItem>
      <errorID>0627367a-2772-4301-980f-1d382ccaddea</errorID>
      <errorWord>)</errorWord>
      <group>L1_Format</group>
      <groupName>格式问题</groupName>
      <ability>L2_HalfPunc_CN</ability>
      <abilityName>全半角问题</abilityName>
      <candidateList>
        <item>）</item>
      </candidateList>
      <explain>文本全半角错误。</explain>
      <paraID>2C41DEAA</paraID>
      <start>35</start>
      <end>36</end>
      <status>unmodified</status>
      <modifiedWord/>
      <trackRevisions>false</trackRevisions>
    </reviewItem>
    <reviewItem>
      <errorID>f94552f2-23a1-46b1-ac5b-7d8cd7a1ae1b</errorID>
      <errorWord>)</errorWord>
      <group>L1_Format</group>
      <groupName>格式问题</groupName>
      <ability>L2_HalfPunc_CN</ability>
      <abilityName>全半角问题</abilityName>
      <candidateList>
        <item>）</item>
      </candidateList>
      <explain>文本全半角错误。</explain>
      <paraID>2C41DEAA</paraID>
      <start>47</start>
      <end>48</end>
      <status>unmodified</status>
      <modifiedWord/>
      <trackRevisions>false</trackRevisions>
    </reviewItem>
    <reviewItem>
      <errorID>1ea5e836-12c2-493e-92d8-a0cfd4388ecd</errorID>
      <errorWord>)</errorWord>
      <group>L1_Format</group>
      <groupName>格式问题</groupName>
      <ability>L2_HalfPunc_CN</ability>
      <abilityName>全半角问题</abilityName>
      <candidateList>
        <item>）</item>
      </candidateList>
      <explain>文本全半角错误。</explain>
      <paraID>2C41DEAA</paraID>
      <start>64</start>
      <end>65</end>
      <status>unmodified</status>
      <modifiedWord/>
      <trackRevisions>false</trackRevisions>
    </reviewItem>
    <reviewItem>
      <errorID>7d00a777-4d40-40e6-9efb-43027689d4e5</errorID>
      <errorWord>)</errorWord>
      <group>L1_Format</group>
      <groupName>格式问题</groupName>
      <ability>L2_HalfPunc_CN</ability>
      <abilityName>全半角问题</abilityName>
      <candidateList>
        <item>）</item>
      </candidateList>
      <explain>文本全半角错误。</explain>
      <paraID>2C41DEAA</paraID>
      <start>120</start>
      <end>121</end>
      <status>unmodified</status>
      <modifiedWord/>
      <trackRevisions>false</trackRevisions>
    </reviewItem>
    <reviewItem>
      <errorID>e3968c9d-eedc-43b9-9eb0-fd3787e29cdc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645359F7</paraID>
      <start>0</start>
      <end>2</end>
      <status>unmodified</status>
      <modifiedWord/>
      <trackRevisions>false</trackRevisions>
    </reviewItem>
    <reviewItem>
      <errorID>9d67e736-22e4-4744-bb05-164f3d06bd5a</errorID>
      <errorWord>)</errorWord>
      <group>L1_Format</group>
      <groupName>格式问题</groupName>
      <ability>L2_HalfPunc_CN</ability>
      <abilityName>全半角问题</abilityName>
      <candidateList>
        <item>）</item>
      </candidateList>
      <explain>文本全半角错误。</explain>
      <paraID>645359F7</paraID>
      <start>19</start>
      <end>20</end>
      <status>unmodified</status>
      <modifiedWord/>
      <trackRevisions>false</trackRevisions>
    </reviewItem>
    <reviewItem>
      <errorID>5ff322fe-d3ea-48f7-b2a3-e59ae1c79e2b</errorID>
      <errorWord>)</errorWord>
      <group>L1_Format</group>
      <groupName>格式问题</groupName>
      <ability>L2_HalfPunc_CN</ability>
      <abilityName>全半角问题</abilityName>
      <candidateList>
        <item>）</item>
      </candidateList>
      <explain>文本全半角错误。</explain>
      <paraID>645359F7</paraID>
      <start>27</start>
      <end>28</end>
      <status>unmodified</status>
      <modifiedWord/>
      <trackRevisions>false</trackRevisions>
    </reviewItem>
    <reviewItem>
      <errorID>eb05cf20-f269-46f9-b366-a6fe3b748aa5</errorID>
      <errorWord>)</errorWord>
      <group>L1_Format</group>
      <groupName>格式问题</groupName>
      <ability>L2_HalfPunc_CN</ability>
      <abilityName>全半角问题</abilityName>
      <candidateList>
        <item>）</item>
      </candidateList>
      <explain>文本全半角错误。</explain>
      <paraID>645359F7</paraID>
      <start>44</start>
      <end>45</end>
      <status>unmodified</status>
      <modifiedWord/>
      <trackRevisions>false</trackRevisions>
    </reviewItem>
    <reviewItem>
      <errorID>f69dd66a-2b16-4094-baa1-5e7889b1a2cb</errorID>
      <errorWord>~</errorWord>
      <group>L1_Format</group>
      <groupName>格式问题</groupName>
      <ability>L2_HalfPunc_CN</ability>
      <abilityName>全半角问题</abilityName>
      <candidateList>
        <item>～</item>
      </candidateList>
      <explain>文本全半角错误。</explain>
      <paraID>645359F7</paraID>
      <start>55</start>
      <end>56</end>
      <status>unmodified</status>
      <modifiedWord/>
      <trackRevisions>false</trackRevisions>
    </reviewItem>
    <reviewItem>
      <errorID>e808b4bc-c043-4ba1-a5d7-d52d92d32dfb</errorID>
      <errorWord>)</errorWord>
      <group>L1_Format</group>
      <groupName>格式问题</groupName>
      <ability>L2_HalfPunc_CN</ability>
      <abilityName>全半角问题</abilityName>
      <candidateList>
        <item>）</item>
      </candidateList>
      <explain>文本全半角错误。</explain>
      <paraID>645359F7</paraID>
      <start>62</start>
      <end>63</end>
      <status>unmodified</status>
      <modifiedWord/>
      <trackRevisions>false</trackRevisions>
    </reviewItem>
    <reviewItem>
      <errorID>dbad1379-897a-450c-9358-8f95dc0cacdf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7FD55CCE</paraID>
      <start>0</start>
      <end>2</end>
      <status>unmodified</status>
      <modifiedWord/>
      <trackRevisions>false</trackRevisions>
    </reviewItem>
    <reviewItem>
      <errorID>113da839-c956-449f-8fcc-24d607ca081b</errorID>
      <errorWord>~</errorWord>
      <group>L1_Format</group>
      <groupName>格式问题</groupName>
      <ability>L2_HalfPunc_CN</ability>
      <abilityName>全半角问题</abilityName>
      <candidateList>
        <item>～</item>
      </candidateList>
      <explain>文本全半角错误。</explain>
      <paraID>7FD55CCE</paraID>
      <start>73</start>
      <end>74</end>
      <status>unmodified</status>
      <modifiedWord/>
      <trackRevisions>false</trackRevisions>
    </reviewItem>
    <reviewItem>
      <errorID>39c78dd0-f3ae-4afe-ab6e-a6ba200afc6f</errorID>
      <errorWord>~</errorWord>
      <group>L1_Format</group>
      <groupName>格式问题</groupName>
      <ability>L2_HalfPunc_CN</ability>
      <abilityName>全半角问题</abilityName>
      <candidateList>
        <item>～</item>
      </candidateList>
      <explain>文本全半角错误。</explain>
      <paraID>7FD55CCE</paraID>
      <start>87</start>
      <end>88</end>
      <status>unmodified</status>
      <modifiedWord/>
      <trackRevisions>false</trackRevisions>
    </reviewItem>
    <reviewItem>
      <errorID>6816350b-0cb0-4346-8bbb-f2d5908d34ea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7930B6F6</paraID>
      <start>0</start>
      <end>2</end>
      <status>unmodified</status>
      <modifiedWord/>
      <trackRevisions>false</trackRevisions>
    </reviewItem>
    <reviewItem>
      <errorID>35cd83d1-19c9-4b55-9af9-7044df30861a</errorID>
      <errorWord>~</errorWord>
      <group>L1_Format</group>
      <groupName>格式问题</groupName>
      <ability>L2_HalfPunc_CN</ability>
      <abilityName>全半角问题</abilityName>
      <candidateList>
        <item>～</item>
      </candidateList>
      <explain>文本全半角错误。</explain>
      <paraID>7930B6F6</paraID>
      <start>75</start>
      <end>76</end>
      <status>unmodified</status>
      <modifiedWord/>
      <trackRevisions>false</trackRevisions>
    </reviewItem>
    <reviewItem>
      <errorID>b8c14668-6766-4c02-bd53-a97c4166ed08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5F9E24D6</paraID>
      <start>0</start>
      <end>2</end>
      <status>unmodified</status>
      <modifiedWord/>
      <trackRevisions>false</trackRevisions>
    </reviewItem>
    <reviewItem>
      <errorID>dad6cd99-dfb9-42d5-85fb-f7a096320470</errorID>
      <errorWord>~</errorWord>
      <group>L1_Format</group>
      <groupName>格式问题</groupName>
      <ability>L2_HalfPunc_CN</ability>
      <abilityName>全半角问题</abilityName>
      <candidateList>
        <item>～</item>
      </candidateList>
      <explain>文本全半角错误。</explain>
      <paraID>5F9E24D6</paraID>
      <start>89</start>
      <end>90</end>
      <status>unmodified</status>
      <modifiedWord/>
      <trackRevisions>false</trackRevisions>
    </reviewItem>
    <reviewItem>
      <errorID>06595c4b-f99b-4956-bba0-b80d09879c30</errorID>
      <errorWord>~</errorWord>
      <group>L1_Format</group>
      <groupName>格式问题</groupName>
      <ability>L2_HalfPunc_CN</ability>
      <abilityName>全半角问题</abilityName>
      <candidateList>
        <item>～</item>
      </candidateList>
      <explain>文本全半角错误。</explain>
      <paraID>5F9E24D6</paraID>
      <start>101</start>
      <end>102</end>
      <status>unmodified</status>
      <modifiedWord/>
      <trackRevisions>false</trackRevisions>
    </reviewItem>
    <reviewItem>
      <errorID>55b4be1e-96be-4bff-82ad-f5f9bcb126e7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2819B4F5</paraID>
      <start>0</start>
      <end>2</end>
      <status>unmodified</status>
      <modifiedWord/>
      <trackRevisions>false</trackRevisions>
    </reviewItem>
    <reviewItem>
      <errorID>97c34535-8890-4316-a4c8-86d746eb7ef4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2A76B3EA</paraID>
      <start>0</start>
      <end>2</end>
      <status>unmodified</status>
      <modifiedWord/>
      <trackRevisions>false</trackRevisions>
    </reviewItem>
    <reviewItem>
      <errorID>c5dc963d-eb2e-4232-9009-195ff14e440f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14D63029</paraID>
      <start>0</start>
      <end>2</end>
      <status>unmodified</status>
      <modifiedWord/>
      <trackRevisions>false</trackRevisions>
    </reviewItem>
    <reviewItem>
      <errorID>751b4fac-e8c3-4776-86fd-a4ef3cbb2265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56760585</paraID>
      <start>0</start>
      <end>2</end>
      <status>unmodified</status>
      <modifiedWord/>
      <trackRevisions>false</trackRevisions>
    </reviewItem>
    <reviewItem>
      <errorID>2ac7a7fa-c0e2-48e2-a98b-437499f11ee4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377D8057</paraID>
      <start>0</start>
      <end>2</end>
      <status>unmodified</status>
      <modifiedWord/>
      <trackRevisions>false</trackRevisions>
    </reviewItem>
    <reviewItem>
      <errorID>2dc5b9d8-19f0-4814-b285-adaf9f074b23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201A3E3E</paraID>
      <start>0</start>
      <end>2</end>
      <status>unmodified</status>
      <modifiedWord/>
      <trackRevisions>false</trackRevisions>
    </reviewItem>
    <reviewItem>
      <errorID>8387017c-6c89-46d5-9dba-3ccbedecd9ea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449EB190</paraID>
      <start>0</start>
      <end>2</end>
      <status>unmodified</status>
      <modifiedWord/>
      <trackRevisions>false</trackRevisions>
    </reviewItem>
    <reviewItem>
      <errorID>7ab8a8e8-6c48-4441-81b8-76a1ec50e29f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7852B3F3</paraID>
      <start>0</start>
      <end>2</end>
      <status>unmodified</status>
      <modifiedWord/>
      <trackRevisions>false</trackRevisions>
    </reviewItem>
    <reviewItem>
      <errorID>957b3a2f-7fe3-4652-a68b-e3b077c5cc75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2921E4CD</paraID>
      <start>0</start>
      <end>2</end>
      <status>unmodified</status>
      <modifiedWord/>
      <trackRevisions>false</trackRevisions>
    </reviewItem>
    <reviewItem>
      <errorID>2159484c-92b3-4808-82a5-e5440eee7515</errorID>
      <errorWord>2、</errorWord>
      <group>L1_Format</group>
      <groupName>格式问题</groupName>
      <ability>L2_Ordinal</ability>
      <abilityName>序号格式</abilityName>
      <candidateList>
        <item>2.</item>
      </candidateList>
      <explain>当前序号格式不规范，建议修改为规范格式[2.]。</explain>
      <paraID>3166149F</paraID>
      <start>0</start>
      <end>2</end>
      <status>unmodified</status>
      <modifiedWord/>
      <trackRevisions>false</trackRevisions>
    </reviewItem>
    <reviewItem>
      <errorID>16b01ef4-17e1-4cf7-8b82-de77abb02473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5E0E794D</paraID>
      <start>0</start>
      <end>2</end>
      <status>unmodified</status>
      <modifiedWord/>
      <trackRevisions>false</trackRevisions>
    </reviewItem>
    <reviewItem>
      <errorID>9868382d-8cdc-4c4b-956b-635346becb9b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71A5C468</paraID>
      <start>0</start>
      <end>2</end>
      <status>unmodified</status>
      <modifiedWord/>
      <trackRevisions>false</trackRevisions>
    </reviewItem>
    <reviewItem>
      <errorID>46e1f01b-e843-422e-927e-345c1ae0691b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2C6923C4</paraID>
      <start>0</start>
      <end>2</end>
      <status>unmodified</status>
      <modifiedWord/>
      <trackRevisions>false</trackRevisions>
    </reviewItem>
    <reviewItem>
      <errorID>9455064e-8a1c-49c5-9f02-4634618e0753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7463276</paraID>
      <start>0</start>
      <end>2</end>
      <status>unmodified</status>
      <modifiedWord/>
      <trackRevisions>false</trackRevisions>
    </reviewItem>
    <reviewItem>
      <errorID>d082a56d-fd35-44a4-8c80-ef8f2ddf8b27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3690574F</paraID>
      <start>0</start>
      <end>2</end>
      <status>unmodified</status>
      <modifiedWord/>
      <trackRevisions>false</trackRevisions>
    </reviewItem>
    <reviewItem>
      <errorID>f1eb94c1-0ed4-45e8-b3c2-60a43890d269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84B8840</paraID>
      <start>0</start>
      <end>2</end>
      <status>unmodified</status>
      <modifiedWord/>
      <trackRevisions>false</trackRevisions>
    </reviewItem>
    <reviewItem>
      <errorID>700f5403-944c-4ad5-88f0-e378f278c0f1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CCDF726</paraID>
      <start>0</start>
      <end>2</end>
      <status>unmodified</status>
      <modifiedWord/>
      <trackRevisions>false</trackRevisions>
    </reviewItem>
    <reviewItem>
      <errorID>78a6175e-93cd-44af-ab0a-e85f2c9c1a00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14DF7E10</paraID>
      <start>0</start>
      <end>2</end>
      <status>unmodified</status>
      <modifiedWord/>
      <trackRevisions>false</trackRevisions>
    </reviewItem>
    <reviewItem>
      <errorID>96b3d09f-cf38-4d4c-8199-88a7086788e8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5BF650AD</paraID>
      <start>0</start>
      <end>2</end>
      <status>unmodified</status>
      <modifiedWord/>
      <trackRevisions>false</trackRevisions>
    </reviewItem>
    <reviewItem>
      <errorID>1c9516b5-90b1-486e-939c-0fbf4f072f52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79505D94</paraID>
      <start>0</start>
      <end>2</end>
      <status>unmodified</status>
      <modifiedWord/>
      <trackRevisions>false</trackRevisions>
    </reviewItem>
    <reviewItem>
      <errorID>8348ee97-6288-4c37-a972-211424194a40</errorID>
      <errorWord>4、</errorWord>
      <group>L1_Format</group>
      <groupName>格式问题</groupName>
      <ability>L2_Ordinal</ability>
      <abilityName>序号格式</abilityName>
      <candidateList>
        <item>4.</item>
      </candidateList>
      <explain>当前序号格式不规范，建议修改为规范格式[4.]。</explain>
      <paraID> 57C2FE8</paraID>
      <start>0</start>
      <end>2</end>
      <status>unmodified</status>
      <modifiedWord/>
      <trackRevisions>false</trackRevisions>
    </reviewItem>
    <reviewItem>
      <errorID>f43a2905-6995-491e-ab4f-557ad9cfadbe</errorID>
      <errorWord>5、</errorWord>
      <group>L1_Format</group>
      <groupName>格式问题</groupName>
      <ability>L2_Ordinal</ability>
      <abilityName>序号格式</abilityName>
      <candidateList>
        <item>5.</item>
      </candidateList>
      <explain>当前序号格式不规范，建议修改为规范格式[5.]。</explain>
      <paraID>5C5AC57D</paraID>
      <start>0</start>
      <end>2</end>
      <status>unmodified</status>
      <modifiedWord/>
      <trackRevisions>false</trackRevisions>
    </reviewItem>
    <reviewItem>
      <errorID>20239e28-2212-4e75-9133-8e91f28add89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19327065</paraID>
      <start>0</start>
      <end>2</end>
      <status>unmodified</status>
      <modifiedWord/>
      <trackRevisions>false</trackRevisions>
    </reviewItem>
    <reviewItem>
      <errorID>89693d4e-9452-4412-bc1a-79e9bb68e3aa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492456BE</paraID>
      <start>0</start>
      <end>2</end>
      <status>unmodified</status>
      <modifiedWord/>
      <trackRevisions>false</trackRevisions>
    </reviewItem>
    <reviewItem>
      <errorID>2b4b6796-947d-4a11-8d3e-3bf1e0a9180c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775C186</paraID>
      <start>0</start>
      <end>2</end>
      <status>unmodified</status>
      <modifiedWord/>
      <trackRevisions>false</trackRevisions>
    </reviewItem>
    <reviewItem>
      <errorID>b01ef4fd-5531-47a3-8774-1702bff76afd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664500BA</paraID>
      <start>0</start>
      <end>2</end>
      <status>unmodified</status>
      <modifiedWord/>
      <trackRevisions>false</trackRevisions>
    </reviewItem>
    <reviewItem>
      <errorID>95da64b0-713b-4503-aef7-b64417f35821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916EFAE</paraID>
      <start>0</start>
      <end>2</end>
      <status>unmodified</status>
      <modifiedWord/>
      <trackRevisions>false</trackRevisions>
    </reviewItem>
    <reviewItem>
      <errorID>e39fe1f5-db68-49c2-86c0-edd4582e3641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50E6059B</paraID>
      <start>0</start>
      <end>2</end>
      <status>unmodified</status>
      <modifiedWord/>
      <trackRevisions>false</trackRevisions>
    </reviewItem>
    <reviewItem>
      <errorID>4510d0b6-9af7-41b7-a38c-a8fae3e5bc60</errorID>
      <errorWord>4、</errorWord>
      <group>L1_Format</group>
      <groupName>格式问题</groupName>
      <ability>L2_Ordinal</ability>
      <abilityName>序号格式</abilityName>
      <candidateList>
        <item>4.</item>
      </candidateList>
      <explain>当前序号格式不规范，建议修改为规范格式[4.]。</explain>
      <paraID>3F17C5E9</paraID>
      <start>0</start>
      <end>2</end>
      <status>unmodified</status>
      <modifiedWord/>
      <trackRevisions>false</trackRevisions>
    </reviewItem>
    <reviewItem>
      <errorID>0dd11c3a-e7ea-41bd-96e5-4ae6e54d314b</errorID>
      <errorWord>5、</errorWord>
      <group>L1_Format</group>
      <groupName>格式问题</groupName>
      <ability>L2_Ordinal</ability>
      <abilityName>序号格式</abilityName>
      <candidateList>
        <item>5.</item>
      </candidateList>
      <explain>当前序号格式不规范，建议修改为规范格式[5.]。</explain>
      <paraID>197B24A8</paraID>
      <start>0</start>
      <end>2</end>
      <status>unmodified</status>
      <modifiedWord/>
      <trackRevisions>false</trackRevisions>
    </reviewItem>
    <reviewItem>
      <errorID>15cdd10b-acc3-4d87-9eab-2370e47e7a5c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699E4976</paraID>
      <start>0</start>
      <end>2</end>
      <status>unmodified</status>
      <modifiedWord/>
      <trackRevisions>false</trackRevisions>
    </reviewItem>
    <reviewItem>
      <errorID>477acd42-70b2-4488-a4d5-dbf007b66107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33644D4F</paraID>
      <start>0</start>
      <end>2</end>
      <status>unmodified</status>
      <modifiedWord/>
      <trackRevisions>false</trackRevisions>
    </reviewItem>
    <reviewItem>
      <errorID>43e48c67-f97b-4eb5-8e32-a119b45460c6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13C99706</paraID>
      <start>0</start>
      <end>2</end>
      <status>unmodified</status>
      <modifiedWord/>
      <trackRevisions>false</trackRevisions>
    </reviewItem>
    <reviewItem>
      <errorID>19f6d682-6b8b-4625-9be5-8d9dd410230a</errorID>
      <errorWord>9、</errorWord>
      <group>L1_Format</group>
      <groupName>格式问题</groupName>
      <ability>L2_Ordinal</ability>
      <abilityName>序号格式</abilityName>
      <candidateList>
        <item>9.</item>
      </candidateList>
      <explain>当前序号格式不规范，建议修改为规范格式[9.]。</explain>
      <paraID>109C2D6E</paraID>
      <start>0</start>
      <end>2</end>
      <status>unmodified</status>
      <modifiedWord/>
      <trackRevisions>false</trackRevisions>
    </reviewItem>
    <reviewItem>
      <errorID>00f827c3-e3c9-4030-b657-a244f0ead9a3</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661A14CB</paraID>
      <start>0</start>
      <end>3</end>
      <status>unmodified</status>
      <modifiedWord/>
      <trackRevisions>false</trackRevisions>
    </reviewItem>
    <reviewItem>
      <errorID>d16c444d-fd6c-4874-8071-3c4dab8a8ef3</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4B35E856</paraID>
      <start>0</start>
      <end>3</end>
      <status>unmodified</status>
      <modifiedWord/>
      <trackRevisions>false</trackRevisions>
    </reviewItem>
    <reviewItem>
      <errorID>dba0dfda-ee24-4745-af9f-d01a3047dad2</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25546DB5</paraID>
      <start>0</start>
      <end>3</end>
      <status>unmodified</status>
      <modifiedWord/>
      <trackRevisions>false</trackRevisions>
    </reviewItem>
    <reviewItem>
      <errorID>29eb144f-6858-47e9-b43c-c23ac59b8c8b</errorID>
      <errorWord>13、</errorWord>
      <group>L1_Format</group>
      <groupName>格式问题</groupName>
      <ability>L2_Ordinal</ability>
      <abilityName>序号格式</abilityName>
      <candidateList>
        <item>13.</item>
      </candidateList>
      <explain>当前序号格式不规范，建议修改为规范格式[13.]。</explain>
      <paraID>15407556</paraID>
      <start>0</start>
      <end>3</end>
      <status>unmodified</status>
      <modifiedWord/>
      <trackRevisions>false</trackRevisions>
    </reviewItem>
    <reviewItem>
      <errorID>34e93d41-51d4-4c18-8229-a0b446e80e3f</errorID>
      <errorWord>14、</errorWord>
      <group>L1_Format</group>
      <groupName>格式问题</groupName>
      <ability>L2_Ordinal</ability>
      <abilityName>序号格式</abilityName>
      <candidateList>
        <item>14.</item>
      </candidateList>
      <explain>当前序号格式不规范，建议修改为规范格式[14.]。</explain>
      <paraID>70335092</paraID>
      <start>0</start>
      <end>3</end>
      <status>unmodified</status>
      <modifiedWord/>
      <trackRevisions>false</trackRevisions>
    </reviewItem>
    <reviewItem>
      <errorID>3ddb5530-f05d-4c39-a478-2bca6f104844</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17224AC3</paraID>
      <start>0</start>
      <end>3</end>
      <status>unmodified</status>
      <modifiedWord/>
      <trackRevisions>false</trackRevisions>
    </reviewItem>
    <reviewItem>
      <errorID>10fd3f95-9c37-4f2b-bdde-84964a3e312f</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6788CDC2</paraID>
      <start>0</start>
      <end>3</end>
      <status>unmodified</status>
      <modifiedWord/>
      <trackRevisions>false</trackRevisions>
    </reviewItem>
    <reviewItem>
      <errorID>a0e85dc2-2745-472b-967e-891882444e96</errorID>
      <errorWord>17、</errorWord>
      <group>L1_Format</group>
      <groupName>格式问题</groupName>
      <ability>L2_Ordinal</ability>
      <abilityName>序号格式</abilityName>
      <candidateList>
        <item>17.</item>
      </candidateList>
      <explain>当前序号格式不规范，建议修改为规范格式[17.]。</explain>
      <paraID>69EC20FF</paraID>
      <start>0</start>
      <end>3</end>
      <status>unmodified</status>
      <modifiedWord/>
      <trackRevisions>false</trackRevisions>
    </reviewItem>
    <reviewItem>
      <errorID>24dbf1c8-8d3b-42ed-98fe-2e309e2456ee</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F71C5D1</paraID>
      <start>0</start>
      <end>3</end>
      <status>unmodified</status>
      <modifiedWord/>
      <trackRevisions>false</trackRevisions>
    </reviewItem>
    <reviewItem>
      <errorID>fec01208-0d8b-43f7-b52b-490563409326</errorID>
      <errorWord>19、</errorWord>
      <group>L1_Format</group>
      <groupName>格式问题</groupName>
      <ability>L2_Ordinal</ability>
      <abilityName>序号格式</abilityName>
      <candidateList>
        <item>19.</item>
      </candidateList>
      <explain>当前序号格式不规范，建议修改为规范格式[19.]。</explain>
      <paraID>19E85825</paraID>
      <start>0</start>
      <end>3</end>
      <status>unmodified</status>
      <modifiedWord/>
      <trackRevisions>false</trackRevisions>
    </reviewItem>
    <reviewItem>
      <errorID>3283549c-c04b-41a0-909c-97a5b913b1c9</errorID>
      <errorWord>20、</errorWord>
      <group>L1_Format</group>
      <groupName>格式问题</groupName>
      <ability>L2_Ordinal</ability>
      <abilityName>序号格式</abilityName>
      <candidateList>
        <item>20.</item>
      </candidateList>
      <explain>当前序号格式不规范，建议修改为规范格式[20.]。</explain>
      <paraID>2465088E</paraID>
      <start>0</start>
      <end>3</end>
      <status>unmodified</status>
      <modifiedWord/>
      <trackRevisions>false</trackRevisions>
    </reviewItem>
    <reviewItem>
      <errorID>c8f47295-5d88-482b-90cb-20d5cb0b5d93</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2B3D4763</paraID>
      <start>0</start>
      <end>3</end>
      <status>unmodified</status>
      <modifiedWord/>
      <trackRevisions>false</trackRevisions>
    </reviewItem>
    <reviewItem>
      <errorID>8a434387-9040-4e29-ac1b-1a81f532b9eb</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60935F05</paraID>
      <start>0</start>
      <end>3</end>
      <status>unmodified</status>
      <modifiedWord/>
      <trackRevisions>false</trackRevisions>
    </reviewItem>
    <reviewItem>
      <errorID>377a06c0-6a7b-4ffa-a7f3-1b57bbb32fa3</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4918A971</paraID>
      <start>0</start>
      <end>3</end>
      <status>unmodified</status>
      <modifiedWord/>
      <trackRevisions>false</trackRevisions>
    </reviewItem>
    <reviewItem>
      <errorID>95f9db46-eea0-4f7f-be6f-036b8f7caaf4</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6E7ABBA3</paraID>
      <start>0</start>
      <end>3</end>
      <status>unmodified</status>
      <modifiedWord/>
      <trackRevisions>false</trackRevisions>
    </reviewItem>
    <reviewItem>
      <errorID>98eb1d2b-dad6-4e94-a261-bf38f3b9e7cd</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7D439BAD</paraID>
      <start>0</start>
      <end>3</end>
      <status>unmodified</status>
      <modifiedWord/>
      <trackRevisions>false</trackRevisions>
    </reviewItem>
    <reviewItem>
      <errorID>9807ffc9-a4c3-438e-abe3-91419e433ad4</errorID>
      <errorWord>26、</errorWord>
      <group>L1_Format</group>
      <groupName>格式问题</groupName>
      <ability>L2_Ordinal</ability>
      <abilityName>序号格式</abilityName>
      <candidateList>
        <item>26.</item>
      </candidateList>
      <explain>当前序号格式不规范，建议修改为规范格式[26.]。</explain>
      <paraID>1F846EA3</paraID>
      <start>0</start>
      <end>3</end>
      <status>unmodified</status>
      <modifiedWord/>
      <trackRevisions>false</trackRevisions>
    </reviewItem>
    <reviewItem>
      <errorID>37f716e8-9f77-4fc1-a551-065d74428f4c</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1BE05CBD</paraID>
      <start>0</start>
      <end>3</end>
      <status>unmodified</status>
      <modifiedWord/>
      <trackRevisions>false</trackRevisions>
    </reviewItem>
    <reviewItem>
      <errorID>a104f18d-cd0d-4e3a-88e5-48b3f79ea0c8</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6701D2A9</paraID>
      <start>0</start>
      <end>3</end>
      <status>unmodified</status>
      <modifiedWord/>
      <trackRevisions>false</trackRevisions>
    </reviewItem>
    <reviewItem>
      <errorID>2c528a52-3d20-46c6-8e1f-7654c8bcc6cc</errorID>
      <errorWord>29、</errorWord>
      <group>L1_Format</group>
      <groupName>格式问题</groupName>
      <ability>L2_Ordinal</ability>
      <abilityName>序号格式</abilityName>
      <candidateList>
        <item>29.</item>
      </candidateList>
      <explain>当前序号格式不规范，建议修改为规范格式[29.]。</explain>
      <paraID>287D0B94</paraID>
      <start>0</start>
      <end>3</end>
      <status>unmodified</status>
      <modifiedWord/>
      <trackRevisions>false</trackRevisions>
    </reviewItem>
    <reviewItem>
      <errorID>6b6741aa-77e0-4ea8-bc21-8d23318b3543</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68B411C1</paraID>
      <start>0</start>
      <end>3</end>
      <status>unmodified</status>
      <modifiedWord/>
      <trackRevisions>false</trackRevisions>
    </reviewItem>
    <reviewItem>
      <errorID>ad1d2dcc-b7aa-4b82-859f-aafd1b2a9127</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5A31C1C8</paraID>
      <start>0</start>
      <end>3</end>
      <status>unmodified</status>
      <modifiedWord/>
      <trackRevisions>false</trackRevisions>
    </reviewItem>
    <reviewItem>
      <errorID>5728d953-6a3d-4d6b-a2df-817ed6eb3618</errorID>
      <errorWord>32、</errorWord>
      <group>L1_Format</group>
      <groupName>格式问题</groupName>
      <ability>L2_Ordinal</ability>
      <abilityName>序号格式</abilityName>
      <candidateList>
        <item>32.</item>
      </candidateList>
      <explain>当前序号格式不规范，建议修改为规范格式[32.]。</explain>
      <paraID> 216D777</paraID>
      <start>0</start>
      <end>3</end>
      <status>unmodified</status>
      <modifiedWord/>
      <trackRevisions>false</trackRevisions>
    </reviewItem>
    <reviewItem>
      <errorID>9fbd3bda-79b8-44fc-98d2-6979c94bd66c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648681C5</paraID>
      <start>0</start>
      <end>2</end>
      <status>unmodified</status>
      <modifiedWord/>
      <trackRevisions>false</trackRevisions>
    </reviewItem>
    <reviewItem>
      <errorID>740bff7f-98eb-4f7b-a928-fb8b2e06cd95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5404E9E5</paraID>
      <start>0</start>
      <end>2</end>
      <status>unmodified</status>
      <modifiedWord/>
      <trackRevisions>false</trackRevisions>
    </reviewItem>
    <reviewItem>
      <errorID>182208a8-264a-4e31-ae8a-0df72ff9ca8a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2034DE09</paraID>
      <start>0</start>
      <end>2</end>
      <status>unmodified</status>
      <modifiedWord/>
      <trackRevisions>false</trackRevisions>
    </reviewItem>
    <reviewItem>
      <errorID>80b0fc06-9635-4ca0-8838-d94b1b96ad9c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6A079D6C</paraID>
      <start>0</start>
      <end>2</end>
      <status>unmodified</status>
      <modifiedWord/>
      <trackRevisions>false</trackRevisions>
    </reviewItem>
    <reviewItem>
      <errorID>6ae73af6-7a4b-4210-b08a-28cb3de5143f</errorID>
      <errorWord>2、</errorWord>
      <group>L1_Format</group>
      <groupName>格式问题</groupName>
      <ability>L2_Ordinal</ability>
      <abilityName>序号格式</abilityName>
      <candidateList>
        <item>2.</item>
      </candidateList>
      <explain>当前序号格式不规范，建议修改为规范格式[2.]。</explain>
      <paraID>5BA1654C</paraID>
      <start>0</start>
      <end>2</end>
      <status>unmodified</status>
      <modifiedWord/>
      <trackRevisions>false</trackRevisions>
    </reviewItem>
    <reviewItem>
      <errorID>d5754813-6827-41c3-88fb-a25de5f4c85c</errorID>
      <errorWord>3、</errorWord>
      <group>L1_Format</group>
      <groupName>格式问题</groupName>
      <ability>L2_Ordinal</ability>
      <abilityName>序号格式</abilityName>
      <candidateList>
        <item>3.</item>
      </candidateList>
      <explain>当前序号格式不规范，建议修改为规范格式[3.]。</explain>
      <paraID>31C0E59A</paraID>
      <start>0</start>
      <end>2</end>
      <status>unmodified</status>
      <modifiedWord/>
      <trackRevisions>false</trackRevisions>
    </reviewItem>
    <reviewItem>
      <errorID>0b48165d-f333-4ea3-847d-c7934477555b</errorID>
      <errorWord>4、</errorWord>
      <group>L1_Format</group>
      <groupName>格式问题</groupName>
      <ability>L2_Ordinal</ability>
      <abilityName>序号格式</abilityName>
      <candidateList>
        <item>4.</item>
      </candidateList>
      <explain>当前序号格式不规范，建议修改为规范格式[4.]。</explain>
      <paraID> A744B81</paraID>
      <start>0</start>
      <end>2</end>
      <status>unmodified</status>
      <modifiedWord/>
      <trackRevisions>false</trackRevisions>
    </reviewItem>
    <reviewItem>
      <errorID>e89b94db-ef23-429b-add8-dccb9c99e1a7</errorID>
      <errorWord>5、</errorWord>
      <group>L1_Format</group>
      <groupName>格式问题</groupName>
      <ability>L2_Ordinal</ability>
      <abilityName>序号格式</abilityName>
      <candidateList>
        <item>5.</item>
      </candidateList>
      <explain>当前序号格式不规范，建议修改为规范格式[5.]。</explain>
      <paraID>25953E14</paraID>
      <start>0</start>
      <end>2</end>
      <status>unmodified</status>
      <modifiedWord/>
      <trackRevisions>false</trackRevisions>
    </reviewItem>
    <reviewItem>
      <errorID>7e343404-e0b0-424e-9e34-b604ff4848da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69864EE5</paraID>
      <start>0</start>
      <end>2</end>
      <status>unmodified</status>
      <modifiedWord/>
      <trackRevisions>false</trackRevisions>
    </reviewItem>
    <reviewItem>
      <errorID>f2874d96-50aa-471a-8cc7-354a2e73c3b6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71774F54</paraID>
      <start>0</start>
      <end>2</end>
      <status>unmodified</status>
      <modifiedWord/>
      <trackRevisions>false</trackRevisions>
    </reviewItem>
    <reviewItem>
      <errorID>7b3279d0-d09d-4629-874a-32e56741c850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683093F8</paraID>
      <start>0</start>
      <end>2</end>
      <status>unmodified</status>
      <modifiedWord/>
      <trackRevisions>false</trackRevisions>
    </reviewItem>
    <reviewItem>
      <errorID>5b9dc166-1eaf-42ea-8d27-36cbcb038344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54EC76C9</paraID>
      <start>0</start>
      <end>2</end>
      <status>unmodified</status>
      <modifiedWord/>
      <trackRevisions>false</trackRevisions>
    </reviewItem>
    <reviewItem>
      <errorID>33a2d9ea-2cad-4394-abee-35296022c030</errorID>
      <errorWord>粘合</errorWord>
      <group>L1_Word</group>
      <groupName>字词问题</groupName>
      <ability>L2_Alias</ability>
      <abilityName>也作/曾用词</abilityName>
      <candidateList>
        <item>黏合</item>
      </candidateList>
      <explain>词汇[粘合]为不规范表述或旧称，其规范书面表述为[黏合]。</explain>
      <paraID>54EC76C9</paraID>
      <start>42</start>
      <end>44</end>
      <status>unmodified</status>
      <modifiedWord/>
      <trackRevisions>false</trackRevisions>
    </reviewItem>
    <reviewItem>
      <errorID>a4eaadda-dc1f-491a-9f38-65292afad107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54A012AA</paraID>
      <start>0</start>
      <end>2</end>
      <status>unmodified</status>
      <modifiedWord/>
      <trackRevisions>false</trackRevisions>
    </reviewItem>
    <reviewItem>
      <errorID>77ed17bf-d3e1-4285-b49b-90a990727e60</errorID>
      <errorWord>-</errorWord>
      <group>L1_Format</group>
      <groupName>格式问题</groupName>
      <ability>L2_HalfPunc_CN</ability>
      <abilityName>全半角问题</abilityName>
      <candidateList>
        <item>－</item>
      </candidateList>
      <explain>文本全半角错误。</explain>
      <paraID>60E2978A</paraID>
      <start>5</start>
      <end>6</end>
      <status>unmodified</status>
      <modifiedWord/>
      <trackRevisions>false</trackRevisions>
    </reviewItem>
    <reviewItem>
      <errorID>491329d7-91a9-4e60-bf23-b1ff94f98829</errorID>
      <errorWord>-</errorWord>
      <group>L1_Format</group>
      <groupName>格式问题</groupName>
      <ability>L2_HalfPunc_CN</ability>
      <abilityName>全半角问题</abilityName>
      <candidateList>
        <item>－</item>
      </candidateList>
      <explain>文本全半角错误。</explain>
      <paraID>60E2978A</paraID>
      <start>14</start>
      <end>15</end>
      <status>unmodified</status>
      <modifiedWord/>
      <trackRevisions>false</trackRevisions>
    </reviewItem>
    <reviewItem>
      <errorID>ca1833e9-d155-4087-9258-8b5ccd6470ba</errorID>
      <errorWord>-</errorWord>
      <group>L1_Format</group>
      <groupName>格式问题</groupName>
      <ability>L2_HalfPunc_CN</ability>
      <abilityName>全半角问题</abilityName>
      <candidateList>
        <item>－</item>
      </candidateList>
      <explain>文本全半角错误。</explain>
      <paraID>60E2978A</paraID>
      <start>27</start>
      <end>28</end>
      <status>unmodified</status>
      <modifiedWord/>
      <trackRevisions>false</trackRevisions>
    </reviewItem>
    <reviewItem>
      <errorID>31438708-37ba-4914-8a11-b5b3b27b22d8</errorID>
      <errorWord>-</errorWord>
      <group>L1_Format</group>
      <groupName>格式问题</groupName>
      <ability>L2_HalfPunc_CN</ability>
      <abilityName>全半角问题</abilityName>
      <candidateList>
        <item>－</item>
      </candidateList>
      <explain>文本全半角错误。</explain>
      <paraID>60E2978A</paraID>
      <start>38</start>
      <end>39</end>
      <status>unmodified</status>
      <modifiedWord/>
      <trackRevisions>false</trackRevisions>
    </reviewItem>
    <reviewItem>
      <errorID>bcef547e-ea77-47b6-9eda-a2f2ddbef010</errorID>
      <errorWord>-</errorWord>
      <group>L1_Format</group>
      <groupName>格式问题</groupName>
      <ability>L2_HalfPunc_CN</ability>
      <abilityName>全半角问题</abilityName>
      <candidateList>
        <item>－</item>
      </candidateList>
      <explain>文本全半角错误。</explain>
      <paraID>60E2978A</paraID>
      <start>51</start>
      <end>52</end>
      <status>unmodified</status>
      <modifiedWord/>
      <trackRevisions>false</trackRevisions>
    </reviewItem>
    <reviewItem>
      <errorID>c9b38f82-59a4-4fe0-9d6d-287cde339184</errorID>
      <errorWord>-</errorWord>
      <group>L1_Format</group>
      <groupName>格式问题</groupName>
      <ability>L2_HalfPunc_CN</ability>
      <abilityName>全半角问题</abilityName>
      <candidateList>
        <item>－</item>
      </candidateList>
      <explain>文本全半角错误。</explain>
      <paraID>60E2978A</paraID>
      <start>87</start>
      <end>88</end>
      <status>unmodified</status>
      <modifiedWord/>
      <trackRevisions>false</trackRevisions>
    </reviewItem>
    <reviewItem>
      <errorID>7b07c650-ca7d-46d4-9172-0f1ffa290f20</errorID>
      <errorWord>1、</errorWord>
      <group>L1_Format</group>
      <groupName>格式问题</groupName>
      <ability>L2_Ordinal</ability>
      <abilityName>序号格式</abilityName>
      <candidateList>
        <item>1.</item>
      </candidateList>
      <explain>当前序号格式不规范，建议修改为规范格式[1.]。</explain>
      <paraID>27551454</paraID>
      <start>0</start>
      <end>2</end>
      <status>unmodified</status>
      <modifiedWord/>
      <trackRevisions>false</trackRevisions>
    </reviewItem>
    <reviewItem>
      <errorID>e54a0067-4ec6-4941-a823-eb948aa37831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359F6D52</paraID>
      <start>0</start>
      <end>2</end>
      <status>unmodified</status>
      <modifiedWord/>
      <trackRevisions>false</trackRevisions>
    </reviewItem>
    <reviewItem>
      <errorID>e2fa143a-1915-425c-a943-ccbff28af761</errorID>
      <errorWord>3、</errorWord>
      <group>L1_Format</group>
      <groupName>格式问题</groupName>
      <ability>L2_Ordinal</ability>
      <abilityName>序号格式</abilityName>
      <candidateList>
        <item>3.</item>
      </candidateList>
      <explain>当前序号格式不规范，建议修改为规范格式[3.]。</explain>
      <paraID>277075F7</paraID>
      <start>0</start>
      <end>2</end>
      <status>unmodified</status>
      <modifiedWord/>
      <trackRevisions>false</trackRevisions>
    </reviewItem>
    <reviewItem>
      <errorID>7bd24dd2-6d3e-4c13-8e3f-c11b6d7d79b4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4F4FF0EB</paraID>
      <start>0</start>
      <end>2</end>
      <status>unmodified</status>
      <modifiedWord/>
      <trackRevisions>false</trackRevisions>
    </reviewItem>
    <reviewItem>
      <errorID>c20688e6-97b4-4569-92fb-37421a232c82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605BEC9C</paraID>
      <start>0</start>
      <end>2</end>
      <status>unmodified</status>
      <modifiedWord/>
      <trackRevisions>false</trackRevisions>
    </reviewItem>
    <reviewItem>
      <errorID>abc6e386-93c1-4f38-8d86-e8da5f710108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7E9F579F</paraID>
      <start>0</start>
      <end>2</end>
      <status>unmodified</status>
      <modifiedWord/>
      <trackRevisions>false</trackRevisions>
    </reviewItem>
    <reviewItem>
      <errorID>e4771ac6-d048-484d-b3b1-f9aeae40a23c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11909EA5</paraID>
      <start>0</start>
      <end>2</end>
      <status>unmodified</status>
      <modifiedWord/>
      <trackRevisions>false</trackRevisions>
    </reviewItem>
    <reviewItem>
      <errorID>43ff7ecf-dc96-492f-8080-9f9908f6fd58</errorID>
      <errorWord>2、</errorWord>
      <group>L1_Format</group>
      <groupName>格式问题</groupName>
      <ability>L2_Ordinal</ability>
      <abilityName>序号格式</abilityName>
      <candidateList>
        <item>2.</item>
      </candidateList>
      <explain>当前序号格式不规范，建议修改为规范格式[2.]。</explain>
      <paraID>6709E64C</paraID>
      <start>0</start>
      <end>2</end>
      <status>unmodified</status>
      <modifiedWord/>
      <trackRevisions>false</trackRevisions>
    </reviewItem>
    <reviewItem>
      <errorID>fbc44f2c-5dd8-4f6f-828c-9dfca3976a2a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1CB95E35</paraID>
      <start>0</start>
      <end>2</end>
      <status>unmodified</status>
      <modifiedWord/>
      <trackRevisions>false</trackRevisions>
    </reviewItem>
    <reviewItem>
      <errorID>eb79f755-0818-450d-ae60-30379246782c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278E1D6A</paraID>
      <start>0</start>
      <end>2</end>
      <status>unmodified</status>
      <modifiedWord/>
      <trackRevisions>false</trackRevisions>
    </reviewItem>
    <reviewItem>
      <errorID>a0bc45c5-c132-42fb-a647-df9bc626f4c7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20E27DC8</paraID>
      <start>0</start>
      <end>2</end>
      <status>unmodified</status>
      <modifiedWord/>
      <trackRevisions>false</trackRevisions>
    </reviewItem>
    <reviewItem>
      <errorID>c2340d6d-c892-4745-9dbb-d19ca305101d</errorID>
      <errorWord>)</errorWord>
      <group>L1_Format</group>
      <groupName>格式问题</groupName>
      <ability>L2_HalfPunc_CN</ability>
      <abilityName>全半角问题</abilityName>
      <candidateList>
        <item>）</item>
      </candidateList>
      <explain>文本全半角错误。</explain>
      <paraID>20E27DC8</paraID>
      <start>20</start>
      <end>21</end>
      <status>unmodified</status>
      <modifiedWord/>
      <trackRevisions>false</trackRevisions>
    </reviewItem>
    <reviewItem>
      <errorID>4edee37d-b4e7-4cd2-98d4-efc72d35d6cf</errorID>
      <errorWord>)</errorWord>
      <group>L1_Format</group>
      <groupName>格式问题</groupName>
      <ability>L2_HalfPunc_CN</ability>
      <abilityName>全半角问题</abilityName>
      <candidateList>
        <item>）</item>
      </candidateList>
      <explain>文本全半角错误。</explain>
      <paraID>20E27DC8</paraID>
      <start>58</start>
      <end>59</end>
      <status>unmodified</status>
      <modifiedWord/>
      <trackRevisions>false</trackRevisions>
    </reviewItem>
    <reviewItem>
      <errorID>ed85c826-f5dc-43fd-9085-c1f62ada516e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46E1B3C2</paraID>
      <start>0</start>
      <end>2</end>
      <status>unmodified</status>
      <modifiedWord/>
      <trackRevisions>false</trackRevisions>
    </reviewItem>
    <reviewItem>
      <errorID>d72334bd-61d0-4240-9ccb-384bb5e184d9</errorID>
      <errorWord>)</errorWord>
      <group>L1_Format</group>
      <groupName>格式问题</groupName>
      <ability>L2_HalfPunc_CN</ability>
      <abilityName>全半角问题</abilityName>
      <candidateList>
        <item>）</item>
      </candidateList>
      <explain>文本全半角错误。</explain>
      <paraID>46E1B3C2</paraID>
      <start>20</start>
      <end>21</end>
      <status>unmodified</status>
      <modifiedWord/>
      <trackRevisions>false</trackRevisions>
    </reviewItem>
    <reviewItem>
      <errorID>15ea6163-aea2-4ff2-ab4e-0d4498001af1</errorID>
      <errorWord>)</errorWord>
      <group>L1_Format</group>
      <groupName>格式问题</groupName>
      <ability>L2_HalfPunc_CN</ability>
      <abilityName>全半角问题</abilityName>
      <candidateList>
        <item>）</item>
      </candidateList>
      <explain>文本全半角错误。</explain>
      <paraID>46E1B3C2</paraID>
      <start>58</start>
      <end>59</end>
      <status>unmodified</status>
      <modifiedWord/>
      <trackRevisions>false</trackRevisions>
    </reviewItem>
    <reviewItem>
      <errorID>2a21eafd-3c4f-4b5a-a38d-e8cbc3d4c42c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2877E8A1</paraID>
      <start>0</start>
      <end>2</end>
      <status>unmodified</status>
      <modifiedWord/>
      <trackRevisions>false</trackRevisions>
    </reviewItem>
    <reviewItem>
      <errorID>8274be80-dc40-47d1-ae2d-a7d11b3e41ea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1D5C8A8B</paraID>
      <start>0</start>
      <end>2</end>
      <status>unmodified</status>
      <modifiedWord/>
      <trackRevisions>false</trackRevisions>
    </reviewItem>
    <reviewItem>
      <errorID>8abd98ee-23d6-446a-a1d8-2a606cb0e83c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29F0CA7A</paraID>
      <start>0</start>
      <end>2</end>
      <status>unmodified</status>
      <modifiedWord/>
      <trackRevisions>false</trackRevisions>
    </reviewItem>
    <reviewItem>
      <errorID>5f601e23-2449-4a00-964a-08051589b1bc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36C2F302</paraID>
      <start>0</start>
      <end>2</end>
      <status>unmodified</status>
      <modifiedWord/>
      <trackRevisions>false</trackRevisions>
    </reviewItem>
    <reviewItem>
      <errorID>85478ace-b0c1-4c39-8201-c15229717a5a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7645C323</paraID>
      <start>0</start>
      <end>2</end>
      <status>unmodified</status>
      <modifiedWord/>
      <trackRevisions>false</trackRevisions>
    </reviewItem>
    <reviewItem>
      <errorID>f3472610-5b5a-4c77-a87c-38456b904fe7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78CB1FB4</paraID>
      <start>0</start>
      <end>2</end>
      <status>unmodified</status>
      <modifiedWord/>
      <trackRevisions>false</trackRevisions>
    </reviewItem>
    <reviewItem>
      <errorID>ec0c4ea2-fcdd-4e93-8c9a-66114d44ea9a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572A61BE</paraID>
      <start>0</start>
      <end>2</end>
      <status>unmodified</status>
      <modifiedWord/>
      <trackRevisions>false</trackRevisions>
    </reviewItem>
    <reviewItem>
      <errorID>ed30fff7-707e-4072-bf0c-6fb567ee0f6e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2EE61EAD</paraID>
      <start>0</start>
      <end>2</end>
      <status>unmodified</status>
      <modifiedWord/>
      <trackRevisions>false</trackRevisions>
    </reviewItem>
    <reviewItem>
      <errorID>7b754360-6b06-45de-99ff-1db674e739c6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58624346</paraID>
      <start>0</start>
      <end>2</end>
      <status>unmodified</status>
      <modifiedWord/>
      <trackRevisions>false</trackRevisions>
    </reviewItem>
    <reviewItem>
      <errorID>7bc06523-95a8-4e1f-a459-8a903e8715ed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10FF67D2</paraID>
      <start>0</start>
      <end>2</end>
      <status>unmodified</status>
      <modifiedWord/>
      <trackRevisions>false</trackRevisions>
    </reviewItem>
    <reviewItem>
      <errorID>30cac536-159a-4c87-8f6d-d3d911484a4e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32F34BD2</paraID>
      <start>0</start>
      <end>2</end>
      <status>unmodified</status>
      <modifiedWord/>
      <trackRevisions>false</trackRevisions>
    </reviewItem>
    <reviewItem>
      <errorID>47b73f5c-7a7b-42cc-bfbd-a19500e02207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52A925EC</paraID>
      <start>0</start>
      <end>2</end>
      <status>unmodified</status>
      <modifiedWord/>
      <trackRevisions>false</trackRevisions>
    </reviewItem>
    <reviewItem>
      <errorID>0ea01610-c4da-4cb8-ae65-977cd81838c0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3D0B0CF3</paraID>
      <start>0</start>
      <end>2</end>
      <status>unmodified</status>
      <modifiedWord/>
      <trackRevisions>false</trackRevisions>
    </reviewItem>
    <reviewItem>
      <errorID>018f914c-2923-43ed-9930-e104210da881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3E8A7A33</paraID>
      <start>0</start>
      <end>2</end>
      <status>unmodified</status>
      <modifiedWord/>
      <trackRevisions>false</trackRevisions>
    </reviewItem>
    <reviewItem>
      <errorID>3b3a31e7-c9b8-4110-a5fa-66892270b59d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4E6AED2C</paraID>
      <start>0</start>
      <end>2</end>
      <status>unmodified</status>
      <modifiedWord/>
      <trackRevisions>false</trackRevisions>
    </reviewItem>
    <reviewItem>
      <errorID>9f8dc0e5-a9f4-4c43-9046-985c53727636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299B99A0</paraID>
      <start>0</start>
      <end>2</end>
      <status>unmodified</status>
      <modifiedWord/>
      <trackRevisions>false</trackRevisions>
    </reviewItem>
    <reviewItem>
      <errorID>b143128c-5d70-4ecf-88e6-ebc38102dfe4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625C20C5</paraID>
      <start>0</start>
      <end>2</end>
      <status>unmodified</status>
      <modifiedWord/>
      <trackRevisions>false</trackRevisions>
    </reviewItem>
    <reviewItem>
      <errorID>6207673f-f145-4ab2-91ca-1655da5aa04c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7B5DFF60</paraID>
      <start>0</start>
      <end>2</end>
      <status>unmodified</status>
      <modifiedWord/>
      <trackRevisions>false</trackRevisions>
    </reviewItem>
    <reviewItem>
      <errorID>37397f9b-11f4-4f80-9ae5-c01f32551d3a</errorID>
      <errorWord>粘结</errorWord>
      <group>L1_Word</group>
      <groupName>字词问题</groupName>
      <ability>L2_Typo</ability>
      <abilityName>字词错误</abilityName>
      <candidateList>
        <item>黏结</item>
      </candidateList>
      <explain>存在发音相同字词的误用。</explain>
      <paraID>7B5DFF60</paraID>
      <start>43</start>
      <end>45</end>
      <status>unmodified</status>
      <modifiedWord/>
      <trackRevisions>false</trackRevisions>
    </reviewItem>
    <reviewItem>
      <errorID>48eab3d9-18e8-4bac-8360-e0de841e65bd</errorID>
      <errorWord>粘结</errorWord>
      <group>L1_Word</group>
      <groupName>字词问题</groupName>
      <ability>L2_Typo</ability>
      <abilityName>字词错误</abilityName>
      <candidateList>
        <item>黏结</item>
      </candidateList>
      <explain>存在发音相同字词的误用。</explain>
      <paraID>7B5DFF60</paraID>
      <start>53</start>
      <end>55</end>
      <status>unmodified</status>
      <modifiedWord/>
      <trackRevisions>false</trackRevisions>
    </reviewItem>
    <reviewItem>
      <errorID>30433c5e-074b-49db-af2c-03d838108e0f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3EB16CFF</paraID>
      <start>0</start>
      <end>2</end>
      <status>unmodified</status>
      <modifiedWord/>
      <trackRevisions>false</trackRevisions>
    </reviewItem>
    <reviewItem>
      <errorID>8aa62f4f-b87b-45f1-945b-ceea0610a01e</errorID>
      <errorWord>粘结强度</errorWord>
      <group>L1_Knowledge</group>
      <groupName>知识性问题</groupName>
      <ability>L2_Term</ability>
      <abilityName>专业术语</abilityName>
      <candidateList>
        <item>粘接强度</item>
      </candidateList>
      <explain/>
      <paraID>3EB16CFF</paraID>
      <start>26</start>
      <end>30</end>
      <status>unmodified</status>
      <modifiedWord/>
      <trackRevisions>false</trackRevisions>
    </reviewItem>
    <reviewItem>
      <errorID>353a5ec9-f723-4857-9779-02c9cc5c9f5c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71BB3AE</paraID>
      <start>0</start>
      <end>2</end>
      <status>unmodified</status>
      <modifiedWord/>
      <trackRevisions>false</trackRevisions>
    </reviewItem>
    <reviewItem>
      <errorID>c755bcd0-d80c-4149-8f29-a02e121942ca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19C38C6E</paraID>
      <start>0</start>
      <end>2</end>
      <status>unmodified</status>
      <modifiedWord/>
      <trackRevisions>false</trackRevisions>
    </reviewItem>
    <reviewItem>
      <errorID>84627220-2db0-4c14-8634-63786085e8b8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52B7E71B</paraID>
      <start>0</start>
      <end>2</end>
      <status>unmodified</status>
      <modifiedWord/>
      <trackRevisions>false</trackRevisions>
    </reviewItem>
    <reviewItem>
      <errorID>dc345022-f173-45a0-a613-f59f1fc8e01d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4D4811EB</paraID>
      <start>0</start>
      <end>2</end>
      <status>unmodified</status>
      <modifiedWord/>
      <trackRevisions>false</trackRevisions>
    </reviewItem>
    <reviewItem>
      <errorID>5b2a2ce5-efae-4886-9fbd-f68c2a78bdeb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6782A2B3</paraID>
      <start>0</start>
      <end>2</end>
      <status>unmodified</status>
      <modifiedWord/>
      <trackRevisions>false</trackRevisions>
    </reviewItem>
    <reviewItem>
      <errorID>c2b82469-54d7-444b-ae1d-20cd73a251d6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CF87781</paraID>
      <start>0</start>
      <end>2</end>
      <status>unmodified</status>
      <modifiedWord/>
      <trackRevisions>false</trackRevisions>
    </reviewItem>
    <reviewItem>
      <errorID>73e0f8ff-225a-4432-9173-bfd2e6fa4d58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58132DA5</paraID>
      <start>0</start>
      <end>2</end>
      <status>unmodified</status>
      <modifiedWord/>
      <trackRevisions>false</trackRevisions>
    </reviewItem>
    <reviewItem>
      <errorID>a799e3ec-c002-4013-9e7a-bc5b4cb79aa2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27197788</paraID>
      <start>0</start>
      <end>2</end>
      <status>unmodified</status>
      <modifiedWord/>
      <trackRevisions>false</trackRevisions>
    </reviewItem>
    <reviewItem>
      <errorID>d5f59235-1da0-4eda-8b40-a5ee752a7746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3E5A4433</paraID>
      <start>0</start>
      <end>2</end>
      <status>unmodified</status>
      <modifiedWord/>
      <trackRevisions>false</trackRevisions>
    </reviewItem>
    <reviewItem>
      <errorID>dc053a92-c0bb-49a8-9493-f1672b86609f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5025A369</paraID>
      <start>0</start>
      <end>2</end>
      <status>unmodified</status>
      <modifiedWord/>
      <trackRevisions>false</trackRevisions>
    </reviewItem>
    <reviewItem>
      <errorID>c6dd3a9d-f686-4541-abfd-6315d6df50b8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119C882C</paraID>
      <start>0</start>
      <end>2</end>
      <status>unmodified</status>
      <modifiedWord/>
      <trackRevisions>false</trackRevisions>
    </reviewItem>
    <reviewItem>
      <errorID>d333f27b-59c2-4106-961f-b6af38f47a28</errorID>
      <errorWord>1、</errorWord>
      <group>L1_Format</group>
      <groupName>格式问题</groupName>
      <ability>L2_Ordinal</ability>
      <abilityName>序号格式</abilityName>
      <candidateList>
        <item>1.</item>
      </candidateList>
      <explain>当前序号格式不规范，建议修改为规范格式[1.]。</explain>
      <paraID>29F9E5C1</paraID>
      <start>0</start>
      <end>2</end>
      <status>unmodified</status>
      <modifiedWord/>
      <trackRevisions>false</trackRevisions>
    </reviewItem>
    <reviewItem>
      <errorID>148efdbb-b1a7-4ae9-b763-b8afcefcfa35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37192AE7</paraID>
      <start>0</start>
      <end>2</end>
      <status>unmodified</status>
      <modifiedWord/>
      <trackRevisions>false</trackRevisions>
    </reviewItem>
    <reviewItem>
      <errorID>092595fd-d314-48ef-8f71-e74881604637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646B8390</paraID>
      <start>0</start>
      <end>2</end>
      <status>unmodified</status>
      <modifiedWord/>
      <trackRevisions>false</trackRevisions>
    </reviewItem>
    <reviewItem>
      <errorID>3088898f-b8de-48ee-a39a-51a4aea8fd86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7A140A81</paraID>
      <start>0</start>
      <end>2</end>
      <status>unmodified</status>
      <modifiedWord/>
      <trackRevisions>false</trackRevisions>
    </reviewItem>
    <reviewItem>
      <errorID>18130a56-a262-4938-a0f3-fc14dc5cb98c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73C17D66</paraID>
      <start>0</start>
      <end>2</end>
      <status>unmodified</status>
      <modifiedWord/>
      <trackRevisions>false</trackRevisions>
    </reviewItem>
    <reviewItem>
      <errorID>34c7b494-cbd4-48ca-851a-8e96985f82b1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1537F403</paraID>
      <start>0</start>
      <end>2</end>
      <status>unmodified</status>
      <modifiedWord/>
      <trackRevisions>false</trackRevisions>
    </reviewItem>
    <reviewItem>
      <errorID>780fdbe9-6687-4637-8c45-670873d5e588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B2C526E</paraID>
      <start>0</start>
      <end>2</end>
      <status>unmodified</status>
      <modifiedWord/>
      <trackRevisions>false</trackRevisions>
    </reviewItem>
    <reviewItem>
      <errorID>b7917bfc-adfa-4bc6-bc20-ba2d72ef2a56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38BBB570</paraID>
      <start>0</start>
      <end>2</end>
      <status>unmodified</status>
      <modifiedWord/>
      <trackRevisions>false</trackRevisions>
    </reviewItem>
    <reviewItem>
      <errorID>f5a78a2b-e487-4736-831a-2f0d0789ebf7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331286FD</paraID>
      <start>0</start>
      <end>2</end>
      <status>unmodified</status>
      <modifiedWord/>
      <trackRevisions>false</trackRevisions>
    </reviewItem>
    <reviewItem>
      <errorID>ad9cc719-db9b-4cb9-a2fa-9b6d0d033e9b</errorID>
      <errorWord>)</errorWord>
      <group>L1_Format</group>
      <groupName>格式问题</groupName>
      <ability>L2_HalfPunc_CN</ability>
      <abilityName>全半角问题</abilityName>
      <candidateList>
        <item>）</item>
      </candidateList>
      <explain>文本全半角错误。</explain>
      <paraID>331286FD</paraID>
      <start>38</start>
      <end>39</end>
      <status>unmodified</status>
      <modifiedWord/>
      <trackRevisions>false</trackRevisions>
    </reviewItem>
    <reviewItem>
      <errorID>e453354c-c847-45e1-8690-c18c9da9d4dd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4CE08B1B</paraID>
      <start>0</start>
      <end>2</end>
      <status>unmodified</status>
      <modifiedWord/>
      <trackRevisions>false</trackRevisions>
    </reviewItem>
    <reviewItem>
      <errorID>1cfbebed-473a-4628-aac4-0ab3afbdd4ca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4912C954</paraID>
      <start>0</start>
      <end>2</end>
      <status>unmodified</status>
      <modifiedWord/>
      <trackRevisions>false</trackRevisions>
    </reviewItem>
    <reviewItem>
      <errorID>f30b014b-d543-4db3-8f5b-e163cf0ec8f9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77F73B42</paraID>
      <start>0</start>
      <end>2</end>
      <status>unmodified</status>
      <modifiedWord/>
      <trackRevisions>false</trackRevisions>
    </reviewItem>
    <reviewItem>
      <errorID>95fa126d-923c-41f5-bd10-551fe64e2706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5D832718</paraID>
      <start>0</start>
      <end>2</end>
      <status>unmodified</status>
      <modifiedWord/>
      <trackRevisions>false</trackRevisions>
    </reviewItem>
    <reviewItem>
      <errorID>c15ad1d6-9ac7-4bf1-87a2-14754186ca35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6DFFEA5A</paraID>
      <start>0</start>
      <end>2</end>
      <status>unmodified</status>
      <modifiedWord/>
      <trackRevisions>false</trackRevisions>
    </reviewItem>
    <reviewItem>
      <errorID>51df5358-ec86-4a67-b4f2-b3e4af660c08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624AB35</paraID>
      <start>0</start>
      <end>2</end>
      <status>unmodified</status>
      <modifiedWord/>
      <trackRevisions>false</trackRevisions>
    </reviewItem>
    <reviewItem>
      <errorID>fd9b328c-9f23-4def-bd03-84ba92b9fc24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626AFF79</paraID>
      <start>0</start>
      <end>2</end>
      <status>unmodified</status>
      <modifiedWord/>
      <trackRevisions>false</trackRevisions>
    </reviewItem>
    <reviewItem>
      <errorID>70b3ed71-b958-4654-af82-e2317b6080db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2A1613BD</paraID>
      <start>0</start>
      <end>2</end>
      <status>unmodified</status>
      <modifiedWord/>
      <trackRevisions>false</trackRevisions>
    </reviewItem>
    <reviewItem>
      <errorID>0068d9e5-8180-4708-84f0-6d86c24ad2c7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36D73A21</paraID>
      <start>0</start>
      <end>2</end>
      <status>unmodified</status>
      <modifiedWord/>
      <trackRevisions>false</trackRevisions>
    </reviewItem>
    <reviewItem>
      <errorID>ba1f065c-2944-458a-91b6-4b9f97ef80e0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652805EB</paraID>
      <start>0</start>
      <end>2</end>
      <status>unmodified</status>
      <modifiedWord/>
      <trackRevisions>false</trackRevisions>
    </reviewItem>
    <reviewItem>
      <errorID>35d14a35-d64c-40e1-a6c6-95610c978218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3E003F00</paraID>
      <start>0</start>
      <end>2</end>
      <status>unmodified</status>
      <modifiedWord/>
      <trackRevisions>false</trackRevisions>
    </reviewItem>
    <reviewItem>
      <errorID>0c35704a-a7ef-4ffd-a105-5a1ed72643dc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30D3307E</paraID>
      <start>0</start>
      <end>2</end>
      <status>unmodified</status>
      <modifiedWord/>
      <trackRevisions>false</trackRevisions>
    </reviewItem>
    <reviewItem>
      <errorID>161f7f6d-61a9-4d9e-b5ed-31164e21e72f</errorID>
      <errorWord>、</errorWord>
      <group>L1_Word</group>
      <groupName>字词问题</groupName>
      <ability>L2_Typo</ability>
      <abilityName>字词错误</abilityName>
      <candidateList>
        <item>、儿</item>
      </candidateList>
      <explain/>
      <paraID>5FB1CA5E</paraID>
      <start>48</start>
      <end>49</end>
      <status>unmodified</status>
      <modifiedWord/>
      <trackRevisions>false</trackRevisions>
    </reviewItem>
    <reviewItem>
      <errorID>b339c3aa-1dd9-4e98-8a97-4ff56fb1f579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512CF796</paraID>
      <start>0</start>
      <end>2</end>
      <status>unmodified</status>
      <modifiedWord/>
      <trackRevisions>false</trackRevisions>
    </reviewItem>
    <reviewItem>
      <errorID>9838172c-942d-42a8-a882-7768c1c13014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7CABAC7</paraID>
      <start>0</start>
      <end>2</end>
      <status>unmodified</status>
      <modifiedWord/>
      <trackRevisions>false</trackRevisions>
    </reviewItem>
    <reviewItem>
      <errorID>551c1fcd-5f86-4e02-a506-2ff8a2c173c6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305203D9</paraID>
      <start>0</start>
      <end>2</end>
      <status>unmodified</status>
      <modifiedWord/>
      <trackRevisions>false</trackRevisions>
    </reviewItem>
    <reviewItem>
      <errorID>ce268a08-1fb5-4add-9078-c5eaa047811d</errorID>
      <errorWord>,</errorWord>
      <group>L1_Format</group>
      <groupName>格式问题</groupName>
      <ability>L2_HalfPunc_CN</ability>
      <abilityName>全半角问题</abilityName>
      <candidateList>
        <item>，</item>
      </candidateList>
      <explain>文本全半角错误。</explain>
      <paraID> 6444EAC</paraID>
      <start>56</start>
      <end>57</end>
      <status>unmodified</status>
      <modifiedWord/>
      <trackRevisions>false</trackRevisions>
    </reviewItem>
    <reviewItem>
      <errorID>f86fb1b4-4eec-4ee9-af56-c75e954b3e3d</errorID>
      <errorWord>保持通讯畅通</errorWord>
      <group>L1_Word</group>
      <groupName>字词问题</groupName>
      <ability>L2_Typo</ability>
      <abilityName>字词错误</abilityName>
      <candidateList>
        <item>保持通信畅通</item>
      </candidateList>
      <explain/>
      <paraID>6624B09B</paraID>
      <start>11</start>
      <end>17</end>
      <status>unmodified</status>
      <modifiedWord/>
      <trackRevisions>false</trackRevisions>
    </reviewItem>
    <reviewItem>
      <errorID>faeb5fd9-eb86-4caf-8bec-63b1a6c8db2c</errorID>
      <errorWord>提高</errorWord>
      <group>L1_Grammar</group>
      <groupName>语法问题</groupName>
      <ability>L2_Grammar</ability>
      <abilityName>语法错误</abilityName>
      <candidateList>
        <item>增强</item>
      </candidateList>
      <explain>“提高～意识”搭配不当，建议修改为“增强～意识”。</explain>
      <paraID>1D6DEF13</paraID>
      <start>10</start>
      <end>12</end>
      <status>unmodified</status>
      <modifiedWord/>
      <trackRevisions>false</trackRevisions>
    </reviewItem>
    <reviewItem>
      <errorID>976b09cd-441e-4865-a6c3-49ab89fb734b</errorID>
      <errorWord>脱密</errorWord>
      <group>L1_Word</group>
      <groupName>字词问题</groupName>
      <ability>L2_Typo</ability>
      <abilityName>字词错误</abilityName>
      <candidateList>
        <item>保密</item>
      </candidateList>
      <explain/>
      <paraID>19F0166C</paraID>
      <start>29</start>
      <end>31</end>
      <status>unmodified</status>
      <modifiedWord/>
      <trackRevisions>false</trackRevisions>
    </reviewItem>
    <reviewItem>
      <errorID>c053c2d0-693a-456f-bd4e-e72ef40f3571</errorID>
      <errorWord>泄露</errorWord>
      <group>L1_Word</group>
      <groupName>字词问题</groupName>
      <ability>L2_Typo</ability>
      <abilityName>字词错误</abilityName>
      <candidateList>
        <item>泄漏</item>
      </candidateList>
      <explain>存在发音相同字词的误用。</explain>
      <paraID>1853E18B</paraID>
      <start>24</start>
      <end>26</end>
      <status>unmodified</status>
      <modifiedWord/>
      <trackRevisions>false</trackRevisions>
    </reviewItem>
    <reviewItem>
      <errorID>061acb5a-8333-4457-8d76-e3d455174031</errorID>
      <errorWord>保持通讯畅通</errorWord>
      <group>L1_Word</group>
      <groupName>字词问题</groupName>
      <ability>L2_Typo</ability>
      <abilityName>字词错误</abilityName>
      <candidateList>
        <item>保持通信畅通</item>
      </candidateList>
      <explain/>
      <paraID>6742BC1A</paraID>
      <start>15</start>
      <end>21</end>
      <status>unmodified</status>
      <modifiedWord/>
      <trackRevisions>false</trackRevisions>
    </reviewItem>
    <reviewItem>
      <errorID>698c9d56-011a-4020-9315-5df7075e414d</errorID>
      <errorWord>计</errorWord>
      <group>L1_Word</group>
      <groupName>字词问题</groupName>
      <ability>L2_Typo</ability>
      <abilityName>字词错误</abilityName>
      <candidateList>
        <item>记</item>
      </candidateList>
      <explain/>
      <paraID>1823BD59</paraID>
      <start>37</start>
      <end>38</end>
      <status>unmodified</status>
      <modifiedWord/>
      <trackRevisions>false</trackRevisions>
    </reviewItem>
    <reviewItem>
      <errorID>f92dc1a6-7942-49ef-838b-3181872a5f64</errorID>
      <errorWord>超</errorWord>
      <group>L1_Word</group>
      <groupName>字词问题</groupName>
      <ability>L2_Typo</ability>
      <abilityName>字词错误</abilityName>
      <candidateList>
        <item>超过</item>
      </candidateList>
      <explain/>
      <paraID>34EE33E0</paraID>
      <start>32</start>
      <end>33</end>
      <status>unmodified</status>
      <modifiedWord/>
      <trackRevisions>false</trackRevisions>
    </reviewItem>
    <reviewItem>
      <errorID>ce792ca6-dcd3-4d8f-b632-8a13eddeef36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16D47D77</paraID>
      <start>0</start>
      <end>2</end>
      <status>unmodified</status>
      <modifiedWord/>
      <trackRevisions>false</trackRevisions>
    </reviewItem>
    <reviewItem>
      <errorID>1cf46b14-95e0-48db-8c60-4c0676015fda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6DB9F715</paraID>
      <start>0</start>
      <end>2</end>
      <status>unmodified</status>
      <modifiedWord/>
      <trackRevisions>false</trackRevisions>
    </reviewItem>
    <reviewItem>
      <errorID>656b78b5-4fbb-436b-bb4a-eabc0b901b2a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592FFF54</paraID>
      <start>0</start>
      <end>2</end>
      <status>unmodified</status>
      <modifiedWord/>
      <trackRevisions>false</trackRevisions>
    </reviewItem>
    <reviewItem>
      <errorID>4f5d8555-3504-45ca-8fc0-1953fe2de5f2</errorID>
      <errorWord>10%-20%</errorWord>
      <group>L1_Knowledge</group>
      <groupName>知识性问题</groupName>
      <ability>L2_Knowledge</ability>
      <abilityName>其他知识</abilityName>
      <candidateList>
        <item>10%—20%</item>
      </candidateList>
      <explain>1. “10%-20%”中的单位“%”仅出现在后一个数字上，容易引起歧义；根据《现代汉语标点符号数字用法规范手册》，数字表示范围两边需要使用统一的格式。2. 根据标点国标 4.13 中的规则，数字、时间或地域连接符应使用（视觉上更长的）“—”或“～”。</explain>
      <paraID>592FFF54</paraID>
      <start>22</start>
      <end>29</end>
      <status>unmodified</status>
      <modifiedWord/>
      <trackRevisions>false</trackRevisions>
    </reviewItem>
    <reviewItem>
      <errorID>bbf82327-f182-48d9-9b1b-b99612ae14d7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7DD999DA</paraID>
      <start>0</start>
      <end>2</end>
      <status>unmodified</status>
      <modifiedWord/>
      <trackRevisions>false</trackRevisions>
    </reviewItem>
    <reviewItem>
      <errorID>e0fc2b14-4ec0-4b0b-badc-b8638b37b591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7B0D3D8C</paraID>
      <start>0</start>
      <end>2</end>
      <status>unmodified</status>
      <modifiedWord/>
      <trackRevisions>false</trackRevisions>
    </reviewItem>
    <reviewItem>
      <errorID>d707153c-3753-4481-8ed2-626af4f3ac90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5B340051</paraID>
      <start>0</start>
      <end>2</end>
      <status>unmodified</status>
      <modifiedWord/>
      <trackRevisions>false</trackRevisions>
    </reviewItem>
    <reviewItem>
      <errorID>9095f4e0-9302-4389-8224-0aeff2f60370</errorID>
      <errorWord>。。</errorWord>
      <group>L1_Punc</group>
      <groupName>标点问题</groupName>
      <ability>L2_Punc_CN</ability>
      <abilityName>标点符号问题</abilityName>
      <candidateList>
        <item>。</item>
      </candidateList>
      <explain/>
      <paraID>7029A14D</paraID>
      <start>167</start>
      <end>169</end>
      <status>unmodified</status>
      <modifiedWord/>
      <trackRevisions>false</trackRevisions>
    </reviewItem>
    <reviewItem>
      <errorID>38c9a50b-8046-466d-9427-e1f14bfdb9ae</errorID>
      <errorWord>签订之日起至</errorWord>
      <group>L1_Word</group>
      <groupName>字词问题</groupName>
      <ability>L2_Typo</ability>
      <abilityName>字词错误</abilityName>
      <candidateList>
        <item>签订之日起</item>
      </candidateList>
      <explain/>
      <paraID>753D4617</paraID>
      <start>10</start>
      <end>16</end>
      <status>unmodified</status>
      <modifiedWord/>
      <trackRevisions>false</trackRevisions>
    </reviewItem>
    <reviewItem>
      <errorID>fe9a0b0a-eed0-49b4-b576-18b4ef6d5e63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7EDDD44F</paraID>
      <start>0</start>
      <end>2</end>
      <status>unmodified</status>
      <modifiedWord/>
      <trackRevisions>false</trackRevisions>
    </reviewItem>
    <reviewItem>
      <errorID>068cd075-b17f-4ce8-9635-3333100fcc4f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2B396B83</paraID>
      <start>0</start>
      <end>2</end>
      <status>unmodified</status>
      <modifiedWord/>
      <trackRevisions>false</trackRevisions>
    </reviewItem>
    <reviewItem>
      <errorID>0d9d11b4-6b34-46f9-8030-9a355b122d88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44489EEF</paraID>
      <start>0</start>
      <end>2</end>
      <status>unmodified</status>
      <modifiedWord/>
      <trackRevisions>false</trackRevisions>
    </reviewItem>
    <reviewItem>
      <errorID>34ff3be3-1f7d-441d-aec3-86b2388ed2a3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161EAB53</paraID>
      <start>0</start>
      <end>2</end>
      <status>unmodified</status>
      <modifiedWord/>
      <trackRevisions>false</trackRevisions>
    </reviewItem>
    <reviewItem>
      <errorID>598c88c5-2168-42b8-9bdc-4c96c7084828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22445DF</paraID>
      <start>0</start>
      <end>2</end>
      <status>unmodified</status>
      <modifiedWord/>
      <trackRevisions>false</trackRevisions>
    </reviewItem>
    <reviewItem>
      <errorID>40441381-88f6-4cd1-906c-8a5dc3e0d59a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462E7A79</paraID>
      <start>0</start>
      <end>2</end>
      <status>unmodified</status>
      <modifiedWord/>
      <trackRevisions>false</trackRevisions>
    </reviewItem>
    <reviewItem>
      <errorID>e9fe9a9e-5d97-426c-aff6-2a1bf19afb44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53B94FD5</paraID>
      <start>0</start>
      <end>2</end>
      <status>unmodified</status>
      <modifiedWord/>
      <trackRevisions>false</trackRevisions>
    </reviewItem>
    <reviewItem>
      <errorID>671f7271-422f-4ec9-b9dc-0cdb73ac747d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3792901A</paraID>
      <start>0</start>
      <end>2</end>
      <status>unmodified</status>
      <modifiedWord/>
      <trackRevisions>false</trackRevisions>
    </reviewItem>
    <reviewItem>
      <errorID>d2cec402-4130-4357-9fea-6971168e48d8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3E8A17E9</paraID>
      <start>0</start>
      <end>2</end>
      <status>unmodified</status>
      <modifiedWord/>
      <trackRevisions>false</trackRevisions>
    </reviewItem>
    <reviewItem>
      <errorID>f6ea874f-6d1d-44d7-bf13-bceb9b5eac22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241204E7</paraID>
      <start>0</start>
      <end>2</end>
      <status>unmodified</status>
      <modifiedWord/>
      <trackRevisions>false</trackRevisions>
    </reviewItem>
    <reviewItem>
      <errorID>582e9a4b-625c-4f85-ac7b-b8866dae1f0b</errorID>
      <errorWord>超</errorWord>
      <group>L1_Word</group>
      <groupName>字词问题</groupName>
      <ability>L2_Typo</ability>
      <abilityName>字词错误</abilityName>
      <candidateList>
        <item>超过</item>
      </candidateList>
      <explain/>
      <paraID>241204E7</paraID>
      <start>35</start>
      <end>36</end>
      <status>unmodified</status>
      <modifiedWord/>
      <trackRevisions>false</trackRevisions>
    </reviewItem>
    <reviewItem>
      <errorID>f8b11eaf-e18c-47dc-b1b1-1829d2b87d94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196B04D</paraID>
      <start>0</start>
      <end>2</end>
      <status>unmodified</status>
      <modifiedWord/>
      <trackRevisions>false</trackRevisions>
    </reviewItem>
    <reviewItem>
      <errorID>845ee02e-b1f5-474e-84ce-0524fd2ee75c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1D44887A</paraID>
      <start>0</start>
      <end>2</end>
      <status>unmodified</status>
      <modifiedWord/>
      <trackRevisions>false</trackRevisions>
    </reviewItem>
    <reviewItem>
      <errorID>daeaf637-b9d7-4574-9144-ecb05bf64a82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1483917A</paraID>
      <start>0</start>
      <end>2</end>
      <status>unmodified</status>
      <modifiedWord/>
      <trackRevisions>false</trackRevisions>
    </reviewItem>
    <reviewItem>
      <errorID>2d6b3629-7526-44e6-8eed-2573e913c71c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58C76CED</paraID>
      <start>0</start>
      <end>2</end>
      <status>unmodified</status>
      <modifiedWord/>
      <trackRevisions>false</trackRevisions>
    </reviewItem>
    <reviewItem>
      <errorID>1533d84c-4109-4ade-afe0-56d5c634c999</errorID>
      <errorWord>责</errorWord>
      <group>L1_Word</group>
      <groupName>字词问题</groupName>
      <ability>L2_Typo</ability>
      <abilityName>字词错误</abilityName>
      <candidateList>
        <item>责任</item>
      </candidateList>
      <explain/>
      <paraID>58C76CED</paraID>
      <start>30</start>
      <end>31</end>
      <status>unmodified</status>
      <modifiedWord/>
      <trackRevisions>false</trackRevisions>
    </reviewItem>
    <reviewItem>
      <errorID>fbddc774-a651-4056-9fbf-52fd7f34be59</errorID>
      <errorWord>人民法院诉讼解决</errorWord>
      <group>L1_Knowledge</group>
      <groupName>知识性问题</groupName>
      <ability>L2_Knowledge</ability>
      <abilityName>其他知识</abilityName>
      <candidateList>
        <item>人民法院提起诉讼</item>
      </candidateList>
      <explain/>
      <paraID>3E92F99A</paraID>
      <start>35</start>
      <end>43</end>
      <status>unmodified</status>
      <modifiedWord/>
      <trackRevisions>false</trackRevisions>
    </reviewItem>
    <reviewItem>
      <errorID>01100ba6-ada6-4efe-8357-4e3f9a55d2cb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505BD206</paraID>
      <start>0</start>
      <end>2</end>
      <status>unmodified</status>
      <modifiedWord/>
      <trackRevisions>false</trackRevisions>
    </reviewItem>
    <reviewItem>
      <errorID>336293fe-f435-49f0-b89c-1280edaea2b7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7060DEAE</paraID>
      <start>0</start>
      <end>2</end>
      <status>unmodified</status>
      <modifiedWord/>
      <trackRevisions>false</trackRevisions>
    </reviewItem>
    <reviewItem>
      <errorID>dfc1ded9-d479-49f3-aa17-dccf7374398f</errorID>
      <errorWord>一式贰份，甲乙双方</errorWord>
      <group>L1_Word</group>
      <groupName>字词问题</groupName>
      <ability>L2_Typo</ability>
      <abilityName>字词错误</abilityName>
      <candidateList>
        <item>一式两份，甲乙双方</item>
      </candidateList>
      <explain/>
      <paraID>7060DEAE</paraID>
      <start>5</start>
      <end>14</end>
      <status>unmodified</status>
      <modifiedWord/>
      <trackRevisions>false</trackRevisions>
    </reviewItem>
    <reviewItem>
      <errorID>fd7af3d5-7ff5-409c-a5cf-3cf5e4d57d8a</errorID>
      <errorWord>法律、法规</errorWord>
      <group>L1_Word</group>
      <groupName>字词问题</groupName>
      <ability>L2_Typo</ability>
      <abilityName>字词错误</abilityName>
      <candidateList>
        <item>法律法规</item>
      </candidateList>
      <explain/>
      <paraID>37A28BB9</paraID>
      <start>43</start>
      <end>48</end>
      <status>unmodified</status>
      <modifiedWord/>
      <trackRevisions>false</trackRevisions>
    </reviewItem>
    <reviewItem>
      <errorID>83000bf3-cfae-4bc9-b46f-9ecd59b05ffa</errorID>
      <errorWord>)</errorWord>
      <group>L1_Format</group>
      <groupName>格式问题</groupName>
      <ability>L2_HalfPunc_CN</ability>
      <abilityName>全半角问题</abilityName>
      <candidateList>
        <item>）</item>
      </candidateList>
      <explain>文本全半角错误。</explain>
      <paraID>664F5396</paraID>
      <start>45</start>
      <end>46</end>
      <status>unmodified</status>
      <modifiedWord/>
      <trackRevisions>false</trackRevisions>
    </reviewItem>
    <reviewItem>
      <errorID>e95370b7-62cb-40cf-b4bd-e6e803f16b51</errorID>
      <errorWord>[2011]300号</errorWord>
      <group>L1_Knowledge</group>
      <groupName>知识性问题</groupName>
      <ability>L2_Knowledge</ability>
      <abilityName>其他知识</abilityName>
      <candidateList>
        <item>〔2011〕300号</item>
      </candidateList>
      <explain>发文字号格式错误。</explain>
      <paraID>3220F306</paraID>
      <start>58</start>
      <end>68</end>
      <status>unmodified</status>
      <modifiedWord/>
      <trackRevisions>false</trackRevisions>
    </reviewItem>
    <reviewItem>
      <errorID>616e5364-c624-487a-b8e2-5655e563b8cb</errorID>
      <errorWord>)</errorWord>
      <group>L1_Format</group>
      <groupName>格式问题</groupName>
      <ability>L2_HalfPunc_CN</ability>
      <abilityName>全半角问题</abilityName>
      <candidateList>
        <item>）</item>
      </candidateList>
      <explain>文本全半角错误。</explain>
      <paraID>3220F306</paraID>
      <start>68</start>
      <end>69</end>
      <status>unmodified</status>
      <modifiedWord/>
      <trackRevisions>false</trackRevisions>
    </reviewItem>
    <reviewItem>
      <errorID>7f095deb-1576-463a-b66a-0b6b045e2069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5C85E06B</paraID>
      <start>0</start>
      <end>2</end>
      <status>unmodified</status>
      <modifiedWord/>
      <trackRevisions>false</trackRevisions>
    </reviewItem>
    <reviewItem>
      <errorID>b5e1da1f-1b86-4231-bd56-e21a80b1bf57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4E44646F</paraID>
      <start>0</start>
      <end>2</end>
      <status>unmodified</status>
      <modifiedWord/>
      <trackRevisions>false</trackRevisions>
    </reviewItem>
    <reviewItem>
      <errorID>ef1502f1-6c9e-48ae-a622-da5c1dbac142</errorID>
      <errorWord>"</errorWord>
      <group>L1_Format</group>
      <groupName>格式问题</groupName>
      <ability>L2_HalfPunc_CN</ability>
      <abilityName>全半角问题</abilityName>
      <candidateList>
        <item>“</item>
      </candidateList>
      <explain>文本全半角错误。</explain>
      <paraID>206FF451</paraID>
      <start>22</start>
      <end>23</end>
      <status>unmodified</status>
      <modifiedWord/>
      <trackRevisions>false</trackRevisions>
    </reviewItem>
    <reviewItem>
      <errorID>d37a40fd-9ad4-4e82-b4be-f09df51bf725</errorID>
      <errorWord>"</errorWord>
      <group>L1_Format</group>
      <groupName>格式问题</groupName>
      <ability>L2_HalfPunc_CN</ability>
      <abilityName>全半角问题</abilityName>
      <candidateList>
        <item>”</item>
      </candidateList>
      <explain>文本全半角错误。</explain>
      <paraID>206FF451</paraID>
      <start>29</start>
      <end>30</end>
      <status>unmodified</status>
      <modifiedWord/>
      <trackRevisions>false</trackRevisions>
    </reviewItem>
    <reviewItem>
      <errorID>39968e5c-ac56-45aa-aa8e-55693d8f4396</errorID>
      <errorWord>，</errorWord>
      <group>L1_Word</group>
      <groupName>字词问题</groupName>
      <ability>L2_Typo</ability>
      <abilityName>字词错误</abilityName>
      <candidateList>
        <item>，由</item>
      </candidateList>
      <explain/>
      <paraID>5F96BB10</paraID>
      <start>42</start>
      <end>43</end>
      <status>unmodified</status>
      <modifiedWord/>
      <trackRevisions>false</trackRevisions>
    </reviewItem>
    <reviewItem>
      <errorID>2caee4ce-a83f-4b83-b55f-2330e4b800f5</errorID>
      <errorWord>人民法院诉讼解决</errorWord>
      <group>L1_Knowledge</group>
      <groupName>知识性问题</groupName>
      <ability>L2_Knowledge</ability>
      <abilityName>其他知识</abilityName>
      <candidateList>
        <item>人民法院提起诉讼</item>
      </candidateList>
      <explain/>
      <paraID> F3E1AAF</paraID>
      <start>42</start>
      <end>50</end>
      <status>unmodified</status>
      <modifiedWord/>
      <trackRevisions>false</trackRevisions>
    </reviewItem>
    <reviewItem>
      <errorID>7fb80475-0618-4688-8011-2cf14041bac8</errorID>
      <errorWord>)</errorWord>
      <group>L1_Format</group>
      <groupName>格式问题</groupName>
      <ability>L2_HalfPunc_CN</ability>
      <abilityName>全半角问题</abilityName>
      <candidateList>
        <item>）</item>
      </candidateList>
      <explain>文本全半角错误。</explain>
      <paraID>51D8F3CB</paraID>
      <start>5</start>
      <end>6</end>
      <status>unmodified</status>
      <modifiedWord/>
      <trackRevisions>false</trackRevisions>
    </reviewItem>
  </reviewItems>
  <config/>
</contractReview>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384AD797-39F1-4789-809E-067C5D85A52E}"/>
</file>

<file path=customXml/itemProps2.xml><?xml version="1.0" encoding="utf-8"?>
<ds:datastoreItem xmlns:ds="http://schemas.openxmlformats.org/officeDocument/2006/customXml" ds:itemID="{1820A508-0D3A-4DBE-A383-923EB9089E1E}"/>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 (Beijing) Limited</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董勇</cp:lastModifiedBy>
  <cp:revision>25</cp:revision>
  <dcterms:created xsi:type="dcterms:W3CDTF">2025-09-22T06:54:00Z</dcterms:created>
  <dcterms:modified xsi:type="dcterms:W3CDTF">2026-09-15T03:38:38Z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72774E7C2E8E44158410E0701405BA77_13</vt:lpwstr>
  </property>
  <property fmtid="{D5CDD505-2E9C-101B-9397-08002B2CF9AE}" pid="4" name="KSOTemplateDocerSaveRecord">
    <vt:lpwstr>eyJoZGlkIjoiYzk4YWE5OTQ2MzFiMzJjMWE0NWE0YzY3ZDFkOTUzOTkiLCJ1c2VySWQiOiIzMjE4MTA0NjkifQ==</vt:lpwstr>
  </property>
</Properties>
</file>