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spacing w:line="360" w:lineRule="auto"/>
        <w:tabs>
          <w:tab w:val="left" w:pos="630" w:leader="none"/>
        </w:tabs>
        <w:rPr>
          <w:rFonts w:hint="eastAsia" w:ascii="Arial" w:hAnsi="Arial"/>
          <w:b/>
          <w:bCs/>
          <w:color w:val="000000"/>
          <w:sz w:val="44"/>
          <w:szCs w:val="44"/>
          <w:highlight w:val="none"/>
        </w:rPr>
      </w:pPr>
      <w:r>
        <w:rPr>
          <w:rFonts w:hint="eastAsia" w:ascii="Arial" w:hAnsi="Arial"/>
          <w:b/>
          <w:bCs/>
          <w:color w:val="000000"/>
          <w:sz w:val="44"/>
          <w:szCs w:val="44"/>
          <w:highlight w:val="none"/>
        </w:rPr>
      </w:r>
      <w:r/>
    </w:p>
    <w:p>
      <w:pPr>
        <w:pStyle w:val="986"/>
        <w:jc w:val="center"/>
        <w:spacing w:line="360" w:lineRule="auto"/>
        <w:tabs>
          <w:tab w:val="left" w:pos="630" w:leader="none"/>
        </w:tabs>
        <w:rPr>
          <w:rFonts w:hint="eastAsia" w:ascii="Arial" w:hAnsi="Arial"/>
          <w:b/>
          <w:bCs/>
          <w:color w:val="000000"/>
          <w:sz w:val="48"/>
          <w:szCs w:val="48"/>
          <w:highlight w:val="none"/>
        </w:rPr>
      </w:pPr>
      <w:r>
        <w:rPr>
          <w:rFonts w:hint="eastAsia" w:ascii="Arial" w:hAnsi="Arial"/>
          <w:b/>
          <w:bCs/>
          <w:color w:val="000000"/>
          <w:sz w:val="44"/>
          <w:szCs w:val="44"/>
          <w:highlight w:val="none"/>
        </w:rPr>
        <w:t xml:space="preserve">2026年江北新区特种设备“专业化提升”诊断评估项目</w:t>
      </w:r>
      <w:r>
        <w:rPr>
          <w:rFonts w:hint="eastAsia" w:ascii="Arial" w:hAnsi="Arial"/>
          <w:b/>
          <w:bCs/>
          <w:color w:val="000000"/>
          <w:sz w:val="48"/>
          <w:szCs w:val="48"/>
          <w:highlight w:val="none"/>
        </w:rPr>
      </w:r>
      <w:r/>
    </w:p>
    <w:p>
      <w:pPr>
        <w:pStyle w:val="986"/>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pStyle w:val="986"/>
        <w:spacing w:line="360" w:lineRule="auto"/>
        <w:rPr>
          <w:rFonts w:ascii="Arial" w:hAnsi="Arial"/>
          <w:color w:val="000000"/>
          <w:sz w:val="44"/>
          <w:szCs w:val="44"/>
          <w:highlight w:val="none"/>
        </w:rPr>
      </w:pPr>
      <w:r>
        <w:rPr>
          <w:rFonts w:ascii="Arial" w:hAnsi="Arial"/>
          <w:color w:val="000000"/>
          <w:sz w:val="44"/>
          <w:szCs w:val="44"/>
          <w:highlight w:val="none"/>
        </w:rPr>
      </w:r>
      <w:r/>
    </w:p>
    <w:p>
      <w:pPr>
        <w:pStyle w:val="986"/>
        <w:spacing w:line="360" w:lineRule="auto"/>
        <w:rPr>
          <w:rFonts w:ascii="Arial" w:hAnsi="Arial"/>
          <w:color w:val="000000"/>
          <w:sz w:val="44"/>
          <w:szCs w:val="44"/>
          <w:highlight w:val="none"/>
        </w:rPr>
      </w:pPr>
      <w:r>
        <w:rPr>
          <w:rFonts w:ascii="Arial" w:hAnsi="Arial"/>
          <w:color w:val="000000"/>
          <w:sz w:val="44"/>
          <w:szCs w:val="44"/>
          <w:highlight w:val="none"/>
        </w:rPr>
      </w:r>
      <w:r/>
    </w:p>
    <w:p>
      <w:pPr>
        <w:pStyle w:val="1098"/>
        <w:ind w:firstLine="0"/>
        <w:rPr>
          <w:rFonts w:hint="eastAsia"/>
          <w:sz w:val="44"/>
          <w:szCs w:val="44"/>
          <w:highlight w:val="none"/>
        </w:rPr>
      </w:pPr>
      <w:r>
        <w:rPr>
          <w:rFonts w:hint="eastAsia"/>
          <w:sz w:val="44"/>
          <w:szCs w:val="44"/>
          <w:highlight w:val="none"/>
        </w:rPr>
      </w:r>
      <w:r/>
    </w:p>
    <w:p>
      <w:pPr>
        <w:pStyle w:val="986"/>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rPr>
          <w:rFonts w:ascii="Arial" w:hAnsi="宋体"/>
          <w:b/>
          <w:bCs/>
          <w:color w:val="000000"/>
          <w:sz w:val="44"/>
          <w:szCs w:val="44"/>
          <w:highlight w:val="none"/>
        </w:rPr>
      </w:r>
      <w:r/>
    </w:p>
    <w:p>
      <w:pPr>
        <w:pStyle w:val="986"/>
        <w:jc w:val="center"/>
        <w:spacing w:line="360" w:lineRule="auto"/>
        <w:rPr>
          <w:rFonts w:hint="eastAsia" w:ascii="Arial" w:hAnsi="宋体" w:eastAsia="宋体"/>
          <w:b/>
          <w:bCs/>
          <w:color w:val="000000"/>
          <w:sz w:val="36"/>
          <w:szCs w:val="36"/>
          <w:highlight w:val="none"/>
          <w:lang w:eastAsia="zh-CN"/>
        </w:rPr>
      </w:pPr>
      <w:r>
        <w:rPr>
          <w:rFonts w:ascii="Arial" w:hAnsi="宋体"/>
          <w:b/>
          <w:bCs/>
          <w:color w:val="000000"/>
          <w:sz w:val="36"/>
          <w:szCs w:val="36"/>
          <w:highlight w:val="none"/>
        </w:rPr>
        <w:t xml:space="preserve">项目编号：</w:t>
      </w:r>
      <w:r>
        <w:rPr>
          <w:rFonts w:hint="eastAsia" w:ascii="Arial" w:hAnsi="宋体"/>
          <w:b/>
          <w:bCs/>
          <w:color w:val="000000"/>
          <w:sz w:val="36"/>
          <w:szCs w:val="36"/>
          <w:highlight w:val="none"/>
          <w:lang w:eastAsia="zh-CN"/>
        </w:rPr>
        <w:t xml:space="preserve">JSZC-320192-JCEC-C2026-0307</w:t>
      </w:r>
      <w:r>
        <w:rPr>
          <w:rFonts w:hint="eastAsia" w:ascii="Arial" w:hAnsi="宋体" w:eastAsia="宋体"/>
          <w:b/>
          <w:bCs/>
          <w:color w:val="000000"/>
          <w:sz w:val="36"/>
          <w:szCs w:val="36"/>
          <w:highlight w:val="none"/>
          <w:lang w:eastAsia="zh-CN"/>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986"/>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r>
      <w:r/>
    </w:p>
    <w:p>
      <w:pPr>
        <w:pStyle w:val="986"/>
        <w:ind w:left="850"/>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采购人：南京江北新区管理委员会市场监督管理局</w:t>
      </w:r>
      <w:r>
        <w:rPr>
          <w:rFonts w:hint="eastAsia" w:ascii="Arial" w:hAnsi="宋体"/>
          <w:b/>
          <w:color w:val="000000"/>
          <w:sz w:val="32"/>
          <w:szCs w:val="32"/>
          <w:highlight w:val="none"/>
        </w:rPr>
      </w:r>
      <w:r/>
    </w:p>
    <w:p>
      <w:pPr>
        <w:pStyle w:val="986"/>
        <w:ind w:left="850"/>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采购代理机构：</w:t>
      </w:r>
      <w:r>
        <w:rPr>
          <w:rFonts w:ascii="Arial" w:hAnsi="宋体"/>
          <w:b/>
          <w:color w:val="000000"/>
          <w:sz w:val="32"/>
          <w:szCs w:val="32"/>
          <w:highlight w:val="none"/>
        </w:rPr>
        <w:t xml:space="preserve">江苏省设备成套股份有限公司</w:t>
      </w:r>
      <w:r>
        <w:rPr>
          <w:rFonts w:hint="eastAsia" w:ascii="Arial" w:hAnsi="宋体"/>
          <w:b/>
          <w:color w:val="000000"/>
          <w:sz w:val="32"/>
          <w:szCs w:val="32"/>
          <w:highlight w:val="none"/>
        </w:rPr>
      </w:r>
      <w:r/>
    </w:p>
    <w:p>
      <w:pPr>
        <w:pStyle w:val="986"/>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2026</w:t>
      </w:r>
      <w:r>
        <w:rPr>
          <w:rFonts w:ascii="Arial" w:hAnsi="宋体"/>
          <w:b/>
          <w:color w:val="000000"/>
          <w:sz w:val="32"/>
          <w:szCs w:val="32"/>
          <w:highlight w:val="none"/>
        </w:rPr>
        <w:t xml:space="preserve">年</w:t>
      </w:r>
      <w:r>
        <w:rPr>
          <w:rFonts w:hint="eastAsia" w:ascii="Arial" w:hAnsi="宋体"/>
          <w:b/>
          <w:color w:val="000000"/>
          <w:sz w:val="32"/>
          <w:szCs w:val="32"/>
          <w:highlight w:val="none"/>
          <w:lang w:val="en-US" w:eastAsia="zh-CN"/>
        </w:rPr>
        <w:t xml:space="preserve">8</w:t>
      </w:r>
      <w:r>
        <w:rPr>
          <w:rFonts w:ascii="Arial" w:hAnsi="宋体"/>
          <w:b/>
          <w:color w:val="000000"/>
          <w:sz w:val="32"/>
          <w:szCs w:val="32"/>
          <w:highlight w:val="none"/>
        </w:rPr>
        <w:t xml:space="preserve">月</w:t>
      </w:r>
      <w:r>
        <w:rPr>
          <w:rFonts w:hint="eastAsia" w:ascii="Arial" w:hAnsi="宋体"/>
          <w:b/>
          <w:color w:val="000000"/>
          <w:sz w:val="32"/>
          <w:szCs w:val="32"/>
          <w:highlight w:val="none"/>
        </w:rPr>
      </w:r>
      <w:r/>
    </w:p>
    <w:p>
      <w:pPr>
        <w:pStyle w:val="986"/>
        <w:jc w:val="center"/>
        <w:spacing w:line="360" w:lineRule="auto"/>
        <w:rPr>
          <w:rFonts w:ascii="Arial" w:hAnsi="宋体"/>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sectPr>
      </w:pPr>
      <w:r/>
      <w:bookmarkStart w:id="0" w:name="_Toc29585"/>
      <w:r>
        <w:rPr>
          <w:rFonts w:ascii="Arial" w:hAnsi="宋体"/>
          <w:b/>
          <w:color w:val="000000"/>
          <w:sz w:val="32"/>
          <w:szCs w:val="32"/>
          <w:highlight w:val="none"/>
          <w:lang w:val="zh-CN"/>
        </w:rPr>
      </w:r>
      <w:r/>
    </w:p>
    <w:p>
      <w:pPr>
        <w:pStyle w:val="1155"/>
        <w:numPr>
          <w:ilvl w:val="0"/>
          <w:numId w:val="0"/>
        </w:numPr>
        <w:ind w:right="-733"/>
        <w:jc w:val="center"/>
        <w:spacing w:after="480" w:line="360" w:lineRule="auto"/>
        <w:rPr>
          <w:rFonts w:ascii="Arial" w:hAnsi="宋体"/>
          <w:color w:val="000000"/>
          <w:sz w:val="36"/>
          <w:highlight w:val="none"/>
          <w:lang w:val="zh-CN"/>
        </w:rPr>
      </w:pPr>
      <w:r/>
      <w:bookmarkEnd w:id="0"/>
      <w:r>
        <w:rPr>
          <w:rFonts w:ascii="Arial" w:hAnsi="宋体"/>
          <w:color w:val="000000"/>
          <w:sz w:val="36"/>
          <w:highlight w:val="none"/>
          <w:lang w:val="zh-CN"/>
        </w:rPr>
        <w:t xml:space="preserve">目录</w:t>
      </w:r>
      <w:r>
        <w:rPr>
          <w:rFonts w:ascii="Arial" w:hAnsi="宋体"/>
          <w:color w:val="000000"/>
          <w:sz w:val="36"/>
          <w:highlight w:val="none"/>
          <w:lang w:val="zh-CN"/>
        </w:rPr>
      </w:r>
      <w:r/>
    </w:p>
    <w:p>
      <w:pPr>
        <w:pStyle w:val="1084"/>
        <w:spacing w:before="0" w:after="0" w:line="480" w:lineRule="auto"/>
        <w:tabs>
          <w:tab w:val="right" w:pos="8306" w:leader="dot"/>
        </w:tabs>
        <w:rPr>
          <w:rFonts w:ascii="Arial" w:hAnsi="Arial"/>
          <w:b w:val="0"/>
          <w:sz w:val="32"/>
          <w:szCs w:val="32"/>
          <w:highlight w:val="none"/>
        </w:rPr>
      </w:pPr>
      <w:r>
        <w:rPr>
          <w:rFonts w:ascii="Arial" w:hAnsi="Arial"/>
          <w:b w:val="0"/>
          <w:sz w:val="32"/>
          <w:szCs w:val="32"/>
          <w:highlight w:val="none"/>
        </w:rPr>
      </w:r>
      <w:r/>
    </w:p>
    <w:p>
      <w:pPr>
        <w:pStyle w:val="1005"/>
        <w:tabs>
          <w:tab w:val="right" w:pos="8306" w:leader="dot"/>
        </w:tabs>
        <w:rPr>
          <w:highlight w:val="none"/>
        </w:rPr>
      </w:pPr>
      <w:r>
        <w:rPr>
          <w:rFonts w:ascii="Arial" w:hAnsi="Arial"/>
          <w:sz w:val="32"/>
          <w:szCs w:val="32"/>
          <w:highlight w:val="none"/>
        </w:rPr>
        <w:fldChar w:fldCharType="begin"/>
      </w:r>
      <w:r>
        <w:rPr>
          <w:rFonts w:ascii="Arial" w:hAnsi="Arial"/>
          <w:sz w:val="32"/>
          <w:szCs w:val="32"/>
          <w:highlight w:val="none"/>
        </w:rPr>
        <w:instrText xml:space="preserve"> TOC \o "1-3" \h \z \u </w:instrText>
      </w:r>
      <w:r>
        <w:rPr>
          <w:rFonts w:ascii="Arial" w:hAnsi="Arial"/>
          <w:sz w:val="32"/>
          <w:szCs w:val="32"/>
          <w:highlight w:val="none"/>
        </w:rPr>
        <w:fldChar w:fldCharType="separate"/>
      </w:r>
      <w:r>
        <w:rPr>
          <w:rFonts w:ascii="Arial" w:hAnsi="Arial"/>
          <w:szCs w:val="32"/>
          <w:highlight w:val="none"/>
        </w:rPr>
        <w:fldChar w:fldCharType="begin"/>
      </w:r>
      <w:r>
        <w:rPr>
          <w:rFonts w:ascii="Arial" w:hAnsi="Arial"/>
          <w:szCs w:val="32"/>
          <w:highlight w:val="none"/>
        </w:rPr>
        <w:instrText xml:space="preserve"> HYPERLINK \l _Toc29655 </w:instrText>
      </w:r>
      <w:r>
        <w:rPr>
          <w:rFonts w:ascii="Arial" w:hAnsi="Arial"/>
          <w:szCs w:val="32"/>
          <w:highlight w:val="none"/>
        </w:rPr>
        <w:fldChar w:fldCharType="separate"/>
      </w:r>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r>
        <w:rPr>
          <w:highlight w:val="none"/>
        </w:rPr>
        <w:tab/>
      </w:r>
      <w:r>
        <w:rPr>
          <w:highlight w:val="none"/>
        </w:rPr>
        <w:fldChar w:fldCharType="begin"/>
      </w:r>
      <w:r>
        <w:rPr>
          <w:highlight w:val="none"/>
        </w:rPr>
        <w:instrText xml:space="preserve"> PAGEREF _Toc29655 \h </w:instrText>
      </w:r>
      <w:r>
        <w:rPr>
          <w:highlight w:val="none"/>
        </w:rPr>
        <w:fldChar w:fldCharType="separate"/>
      </w:r>
      <w:r>
        <w:rPr>
          <w:highlight w:val="none"/>
        </w:rPr>
        <w:t xml:space="preserve">2</w:t>
      </w:r>
      <w:r>
        <w:rPr>
          <w:highlight w:val="none"/>
        </w:rPr>
        <w:fldChar w:fldCharType="end"/>
      </w:r>
      <w:r>
        <w:rPr>
          <w:rFonts w:ascii="Arial" w:hAnsi="Arial"/>
          <w:szCs w:val="32"/>
          <w:highlight w:val="none"/>
        </w:rPr>
        <w:fldChar w:fldCharType="end"/>
      </w:r>
      <w:r>
        <w:rPr>
          <w:highlight w:val="none"/>
        </w:rPr>
      </w:r>
      <w:r/>
    </w:p>
    <w:p>
      <w:pPr>
        <w:pStyle w:val="1005"/>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_Toc22082 </w:instrText>
      </w:r>
      <w:r>
        <w:rPr>
          <w:rFonts w:ascii="Arial" w:hAnsi="Arial"/>
          <w:szCs w:val="32"/>
          <w:highlight w:val="none"/>
          <w:lang w:val="zh-CN"/>
        </w:rPr>
        <w:fldChar w:fldCharType="separate"/>
      </w:r>
      <w:r>
        <w:rPr>
          <w:rFonts w:ascii="Arial" w:hAnsi="Arial"/>
          <w:highlight w:val="none"/>
          <w:lang w:val="zh-CN"/>
        </w:rPr>
        <w:t xml:space="preserve">第二章 竞争性磋商须知</w:t>
      </w:r>
      <w:r>
        <w:rPr>
          <w:highlight w:val="none"/>
        </w:rPr>
        <w:tab/>
      </w:r>
      <w:r>
        <w:rPr>
          <w:highlight w:val="none"/>
        </w:rPr>
        <w:fldChar w:fldCharType="begin"/>
      </w:r>
      <w:r>
        <w:rPr>
          <w:highlight w:val="none"/>
        </w:rPr>
        <w:instrText xml:space="preserve"> PAGEREF _Toc22082 \h </w:instrText>
      </w:r>
      <w:r>
        <w:rPr>
          <w:highlight w:val="none"/>
        </w:rPr>
        <w:fldChar w:fldCharType="separate"/>
      </w:r>
      <w:r>
        <w:rPr>
          <w:highlight w:val="none"/>
        </w:rPr>
        <w:t xml:space="preserve">7</w:t>
      </w:r>
      <w:r>
        <w:rPr>
          <w:highlight w:val="none"/>
        </w:rPr>
        <w:fldChar w:fldCharType="end"/>
      </w:r>
      <w:r>
        <w:rPr>
          <w:rFonts w:ascii="Arial" w:hAnsi="Arial"/>
          <w:szCs w:val="32"/>
          <w:highlight w:val="none"/>
          <w:lang w:val="zh-CN"/>
        </w:rPr>
        <w:fldChar w:fldCharType="end"/>
      </w:r>
      <w:r>
        <w:rPr>
          <w:highlight w:val="none"/>
        </w:rPr>
      </w:r>
      <w:r/>
    </w:p>
    <w:p>
      <w:pPr>
        <w:pStyle w:val="1005"/>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_Toc32106 </w:instrText>
      </w:r>
      <w:r>
        <w:rPr>
          <w:rFonts w:ascii="Arial" w:hAnsi="Arial"/>
          <w:szCs w:val="32"/>
          <w:highlight w:val="none"/>
          <w:lang w:val="zh-CN"/>
        </w:rPr>
        <w:fldChar w:fldCharType="separate"/>
      </w:r>
      <w:r>
        <w:rPr>
          <w:rFonts w:ascii="Arial" w:hAnsi="Arial"/>
          <w:highlight w:val="none"/>
          <w:lang w:val="zh-CN"/>
        </w:rPr>
        <w:t xml:space="preserve">第三章 </w:t>
      </w:r>
      <w:r>
        <w:rPr>
          <w:rFonts w:hint="eastAsia" w:ascii="Arial" w:hAnsi="Arial"/>
          <w:highlight w:val="none"/>
        </w:rPr>
        <w:t xml:space="preserve">评审</w:t>
      </w:r>
      <w:r>
        <w:rPr>
          <w:rFonts w:ascii="Arial" w:hAnsi="Arial"/>
          <w:highlight w:val="none"/>
          <w:lang w:val="zh-CN"/>
        </w:rPr>
        <w:t xml:space="preserve">标准</w:t>
      </w:r>
      <w:r>
        <w:rPr>
          <w:highlight w:val="none"/>
        </w:rPr>
        <w:tab/>
      </w:r>
      <w:r>
        <w:rPr>
          <w:highlight w:val="none"/>
        </w:rPr>
        <w:fldChar w:fldCharType="begin"/>
      </w:r>
      <w:r>
        <w:rPr>
          <w:highlight w:val="none"/>
        </w:rPr>
        <w:instrText xml:space="preserve"> PAGEREF _Toc32106 \h </w:instrText>
      </w:r>
      <w:r>
        <w:rPr>
          <w:highlight w:val="none"/>
        </w:rPr>
        <w:fldChar w:fldCharType="separate"/>
      </w:r>
      <w:r>
        <w:rPr>
          <w:highlight w:val="none"/>
        </w:rPr>
        <w:t xml:space="preserve">17</w:t>
      </w:r>
      <w:r>
        <w:rPr>
          <w:highlight w:val="none"/>
        </w:rPr>
        <w:fldChar w:fldCharType="end"/>
      </w:r>
      <w:r>
        <w:rPr>
          <w:rFonts w:ascii="Arial" w:hAnsi="Arial"/>
          <w:szCs w:val="32"/>
          <w:highlight w:val="none"/>
          <w:lang w:val="zh-CN"/>
        </w:rPr>
        <w:fldChar w:fldCharType="end"/>
      </w:r>
      <w:r>
        <w:rPr>
          <w:highlight w:val="none"/>
        </w:rPr>
      </w:r>
      <w:r/>
    </w:p>
    <w:p>
      <w:pPr>
        <w:pStyle w:val="1005"/>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_Toc16041 </w:instrText>
      </w:r>
      <w:r>
        <w:rPr>
          <w:rFonts w:ascii="Arial" w:hAnsi="Arial"/>
          <w:szCs w:val="32"/>
          <w:highlight w:val="none"/>
          <w:lang w:val="zh-CN"/>
        </w:rPr>
        <w:fldChar w:fldCharType="separate"/>
      </w:r>
      <w:r>
        <w:rPr>
          <w:rFonts w:hint="eastAsia"/>
          <w:szCs w:val="32"/>
          <w:highlight w:val="none"/>
          <w:lang w:val="zh-CN"/>
        </w:rPr>
        <w:t xml:space="preserve">第四章 </w:t>
      </w:r>
      <w:r>
        <w:rPr>
          <w:szCs w:val="32"/>
          <w:highlight w:val="none"/>
          <w:lang w:val="zh-CN"/>
        </w:rPr>
        <w:t xml:space="preserve">采购需求</w:t>
      </w:r>
      <w:r>
        <w:rPr>
          <w:highlight w:val="none"/>
        </w:rPr>
        <w:tab/>
      </w:r>
      <w:r>
        <w:rPr>
          <w:highlight w:val="none"/>
        </w:rPr>
        <w:fldChar w:fldCharType="begin"/>
      </w:r>
      <w:r>
        <w:rPr>
          <w:highlight w:val="none"/>
        </w:rPr>
        <w:instrText xml:space="preserve"> PAGEREF _Toc16041 \h </w:instrText>
      </w:r>
      <w:r>
        <w:rPr>
          <w:highlight w:val="none"/>
        </w:rPr>
        <w:fldChar w:fldCharType="separate"/>
      </w:r>
      <w:r>
        <w:rPr>
          <w:highlight w:val="none"/>
        </w:rPr>
        <w:t xml:space="preserve">21</w:t>
      </w:r>
      <w:r>
        <w:rPr>
          <w:highlight w:val="none"/>
        </w:rPr>
        <w:fldChar w:fldCharType="end"/>
      </w:r>
      <w:r>
        <w:rPr>
          <w:rFonts w:ascii="Arial" w:hAnsi="Arial"/>
          <w:szCs w:val="32"/>
          <w:highlight w:val="none"/>
          <w:lang w:val="zh-CN"/>
        </w:rPr>
        <w:fldChar w:fldCharType="end"/>
      </w:r>
      <w:r>
        <w:rPr>
          <w:highlight w:val="none"/>
        </w:rPr>
      </w:r>
      <w:r/>
    </w:p>
    <w:p>
      <w:pPr>
        <w:pStyle w:val="1005"/>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_Toc7990 </w:instrText>
      </w:r>
      <w:r>
        <w:rPr>
          <w:rFonts w:ascii="Arial" w:hAnsi="Arial"/>
          <w:szCs w:val="32"/>
          <w:highlight w:val="none"/>
          <w:lang w:val="zh-CN"/>
        </w:rPr>
        <w:fldChar w:fldCharType="separate"/>
      </w:r>
      <w:r>
        <w:rPr>
          <w:rFonts w:ascii="Arial" w:hAnsi="Arial"/>
          <w:highlight w:val="none"/>
          <w:lang w:val="zh-CN"/>
        </w:rPr>
        <w:t xml:space="preserve">第五章 合同主要条款</w:t>
      </w:r>
      <w:r>
        <w:rPr>
          <w:highlight w:val="none"/>
        </w:rPr>
        <w:tab/>
      </w:r>
      <w:r>
        <w:rPr>
          <w:highlight w:val="none"/>
        </w:rPr>
        <w:fldChar w:fldCharType="begin"/>
      </w:r>
      <w:r>
        <w:rPr>
          <w:highlight w:val="none"/>
        </w:rPr>
        <w:instrText xml:space="preserve"> PAGEREF _Toc7990 \h </w:instrText>
      </w:r>
      <w:r>
        <w:rPr>
          <w:highlight w:val="none"/>
        </w:rPr>
        <w:fldChar w:fldCharType="separate"/>
      </w:r>
      <w:r>
        <w:rPr>
          <w:highlight w:val="none"/>
        </w:rPr>
        <w:t xml:space="preserve">26</w:t>
      </w:r>
      <w:r>
        <w:rPr>
          <w:highlight w:val="none"/>
        </w:rPr>
        <w:fldChar w:fldCharType="end"/>
      </w:r>
      <w:r>
        <w:rPr>
          <w:rFonts w:ascii="Arial" w:hAnsi="Arial"/>
          <w:szCs w:val="32"/>
          <w:highlight w:val="none"/>
          <w:lang w:val="zh-CN"/>
        </w:rPr>
        <w:fldChar w:fldCharType="end"/>
      </w:r>
      <w:r>
        <w:rPr>
          <w:highlight w:val="none"/>
        </w:rPr>
      </w:r>
      <w:r/>
    </w:p>
    <w:p>
      <w:pPr>
        <w:pStyle w:val="1005"/>
        <w:tabs>
          <w:tab w:val="right" w:pos="8306" w:leader="dot"/>
        </w:tabs>
        <w:rPr>
          <w:highlight w:val="none"/>
        </w:rPr>
      </w:pPr>
      <w:r>
        <w:rPr>
          <w:rFonts w:ascii="Arial" w:hAnsi="Arial"/>
          <w:szCs w:val="32"/>
          <w:highlight w:val="none"/>
          <w:lang w:val="zh-CN"/>
        </w:rPr>
        <w:fldChar w:fldCharType="begin"/>
      </w:r>
      <w:r>
        <w:rPr>
          <w:rFonts w:ascii="Arial" w:hAnsi="Arial"/>
          <w:szCs w:val="32"/>
          <w:highlight w:val="none"/>
          <w:lang w:val="zh-CN"/>
        </w:rPr>
        <w:instrText xml:space="preserve"> HYPERLINK \l _Toc30560 </w:instrText>
      </w:r>
      <w:r>
        <w:rPr>
          <w:rFonts w:ascii="Arial" w:hAnsi="Arial"/>
          <w:szCs w:val="32"/>
          <w:highlight w:val="none"/>
          <w:lang w:val="zh-CN"/>
        </w:rPr>
        <w:fldChar w:fldCharType="separate"/>
      </w:r>
      <w:r>
        <w:rPr>
          <w:rFonts w:ascii="Arial" w:hAnsi="Arial"/>
          <w:highlight w:val="none"/>
          <w:lang w:val="zh-CN"/>
        </w:rPr>
        <w:t xml:space="preserve">第六章 </w:t>
      </w:r>
      <w:r>
        <w:rPr>
          <w:rFonts w:hint="eastAsia" w:ascii="Arial" w:hAnsi="宋体"/>
          <w:szCs w:val="21"/>
          <w:highlight w:val="none"/>
        </w:rPr>
        <w:t xml:space="preserve">磋商响应文件格式及附件</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35</w:t>
      </w:r>
      <w:r>
        <w:rPr>
          <w:highlight w:val="none"/>
        </w:rPr>
        <w:fldChar w:fldCharType="end"/>
      </w:r>
      <w:r>
        <w:rPr>
          <w:rFonts w:ascii="Arial" w:hAnsi="Arial"/>
          <w:szCs w:val="32"/>
          <w:highlight w:val="none"/>
          <w:lang w:val="zh-CN"/>
        </w:rPr>
        <w:fldChar w:fldCharType="end"/>
      </w:r>
      <w:r>
        <w:rPr>
          <w:highlight w:val="none"/>
        </w:rPr>
      </w:r>
      <w:r/>
    </w:p>
    <w:p>
      <w:pPr>
        <w:pStyle w:val="986"/>
        <w:jc w:val="center"/>
        <w:spacing w:line="480" w:lineRule="auto"/>
        <w:rPr>
          <w:rFonts w:ascii="Arial" w:hAnsi="Arial"/>
          <w:sz w:val="24"/>
          <w:szCs w:val="24"/>
          <w:highlight w:val="none"/>
          <w:lang w:val="zh-CN"/>
        </w:rPr>
      </w:pPr>
      <w:r>
        <w:rPr>
          <w:rFonts w:ascii="Arial" w:hAnsi="Arial"/>
          <w:szCs w:val="32"/>
          <w:highlight w:val="none"/>
          <w:lang w:val="zh-CN"/>
        </w:rPr>
        <w:fldChar w:fldCharType="end"/>
      </w:r>
      <w:r>
        <w:rPr>
          <w:rFonts w:ascii="Arial" w:hAnsi="Arial"/>
          <w:sz w:val="24"/>
          <w:szCs w:val="24"/>
          <w:highlight w:val="none"/>
          <w:lang w:val="zh-CN"/>
        </w:rPr>
      </w:r>
      <w:r/>
    </w:p>
    <w:p>
      <w:pPr>
        <w:pStyle w:val="986"/>
        <w:jc w:val="center"/>
        <w:spacing w:line="360" w:lineRule="auto"/>
        <w:rPr>
          <w:rFonts w:ascii="Arial" w:hAnsi="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b/>
          <w:bCs/>
          <w:color w:val="000000"/>
          <w:sz w:val="24"/>
          <w:szCs w:val="24"/>
          <w:highlight w:val="none"/>
          <w:lang w:val="zh-CN"/>
        </w:rPr>
      </w:r>
      <w:r/>
    </w:p>
    <w:p>
      <w:pPr>
        <w:pStyle w:val="1058"/>
        <w:pageBreakBefore/>
        <w:rPr>
          <w:rFonts w:ascii="Arial"/>
          <w:highlight w:val="none"/>
          <w:lang w:val="zh-CN"/>
        </w:rPr>
      </w:pPr>
      <w:r/>
      <w:bookmarkStart w:id="1" w:name="_Toc29655"/>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bookmarkEnd w:id="1"/>
      <w:r>
        <w:rPr>
          <w:rFonts w:ascii="Arial"/>
          <w:highlight w:val="none"/>
          <w:lang w:val="zh-CN"/>
        </w:rPr>
      </w:r>
      <w:r/>
    </w:p>
    <w:p>
      <w:pPr>
        <w:pStyle w:val="986"/>
        <w:jc w:val="center"/>
        <w:spacing w:line="360" w:lineRule="auto"/>
        <w:rPr>
          <w:rFonts w:ascii="Arial" w:hAnsi="Arial"/>
          <w:color w:val="000000"/>
          <w:sz w:val="24"/>
          <w:szCs w:val="24"/>
          <w:highlight w:val="none"/>
          <w:lang w:val="zh-CN"/>
        </w:rPr>
      </w:pPr>
      <w:r>
        <w:rPr>
          <w:rFonts w:ascii="Arial" w:hAnsi="Arial"/>
          <w:color w:val="000000"/>
          <w:sz w:val="24"/>
          <w:szCs w:val="24"/>
          <w:highlight w:val="none"/>
          <w:lang w:val="zh-CN"/>
        </w:rPr>
      </w:r>
      <w:r/>
    </w:p>
    <w:p>
      <w:pPr>
        <w:pStyle w:val="986"/>
        <w:ind w:firstLine="454"/>
        <w:jc w:val="left"/>
        <w:spacing w:line="360" w:lineRule="auto"/>
        <w:tabs>
          <w:tab w:val="left" w:pos="390" w:leader="none"/>
          <w:tab w:val="center" w:pos="4404" w:leader="none"/>
        </w:tabs>
        <w:rPr>
          <w:rFonts w:hint="eastAsia" w:ascii="宋体" w:hAnsi="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270"/>
      <w:r/>
      <w:bookmarkStart w:id="3" w:name="_Toc19084"/>
      <w:r>
        <w:rPr>
          <w:rFonts w:hint="eastAsia" w:ascii="宋体" w:hAnsi="宋体"/>
          <w:b/>
          <w:bCs/>
          <w:spacing w:val="8"/>
          <w:szCs w:val="21"/>
          <w:highlight w:val="none"/>
        </w:rPr>
        <w:t xml:space="preserve">项目概况</w:t>
      </w:r>
      <w:r>
        <w:rPr>
          <w:rFonts w:hint="eastAsia" w:ascii="宋体" w:hAnsi="宋体"/>
          <w:b/>
          <w:bCs/>
          <w:spacing w:val="8"/>
          <w:szCs w:val="21"/>
          <w:highlight w:val="none"/>
        </w:rPr>
      </w:r>
      <w:r/>
    </w:p>
    <w:p>
      <w:pPr>
        <w:pStyle w:val="986"/>
        <w:ind w:firstLine="422"/>
        <w:spacing w:line="360" w:lineRule="auto"/>
        <w:tabs>
          <w:tab w:val="left" w:pos="390" w:leader="none"/>
          <w:tab w:val="center" w:pos="4404" w:leader="none"/>
        </w:tabs>
        <w:rPr>
          <w:rFonts w:hint="eastAsia" w:ascii="宋体" w:hAnsi="宋体"/>
          <w:b/>
          <w:bCs/>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b/>
          <w:bCs/>
          <w:szCs w:val="21"/>
          <w:highlight w:val="none"/>
          <w:u w:val="single"/>
        </w:rPr>
        <w:t xml:space="preserve">2026年江北新区特种设备“专业化提升”诊断评估项目</w:t>
      </w:r>
      <w:r>
        <w:rPr>
          <w:rFonts w:hint="eastAsia" w:ascii="宋体" w:hAnsi="宋体"/>
          <w:szCs w:val="21"/>
          <w:highlight w:val="none"/>
        </w:rPr>
        <w:t xml:space="preserve">的潜在供应商应在</w:t>
      </w:r>
      <w:r>
        <w:rPr>
          <w:rFonts w:hint="eastAsia" w:ascii="宋体" w:hAnsi="宋体"/>
          <w:b/>
          <w:bCs/>
          <w:szCs w:val="21"/>
          <w:highlight w:val="none"/>
          <w:u w:val="single"/>
        </w:rPr>
        <w:t xml:space="preserve">江苏政府采购网</w:t>
      </w:r>
      <w:r>
        <w:rPr>
          <w:rFonts w:hint="eastAsia" w:ascii="宋体" w:hAnsi="宋体"/>
          <w:szCs w:val="21"/>
          <w:highlight w:val="none"/>
        </w:rPr>
        <w:t xml:space="preserve">获取采购文件，并于</w:t>
      </w:r>
      <w:r>
        <w:rPr>
          <w:rFonts w:hint="eastAsia" w:ascii="宋体" w:hAnsi="宋体"/>
          <w:b/>
          <w:bCs/>
          <w:szCs w:val="21"/>
          <w:highlight w:val="none"/>
          <w:u w:val="single"/>
        </w:rPr>
        <w:t xml:space="preserve">2026年</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1</w:t>
      </w:r>
      <w:r>
        <w:rPr>
          <w:rFonts w:hint="eastAsia" w:ascii="宋体" w:hAnsi="宋体"/>
          <w:b/>
          <w:bCs/>
          <w:szCs w:val="21"/>
          <w:highlight w:val="none"/>
          <w:u w:val="single"/>
        </w:rPr>
        <w:t xml:space="preserve">日14点00分（北京时间）</w:t>
      </w:r>
      <w:r>
        <w:rPr>
          <w:rFonts w:hint="eastAsia" w:ascii="宋体" w:hAnsi="宋体"/>
          <w:szCs w:val="21"/>
          <w:highlight w:val="none"/>
        </w:rPr>
        <w:t xml:space="preserve">前提交响应文件。</w:t>
      </w:r>
      <w:r>
        <w:rPr>
          <w:rFonts w:hint="eastAsia" w:ascii="宋体" w:hAnsi="宋体"/>
          <w:b/>
          <w:bCs/>
          <w:szCs w:val="21"/>
          <w:highlight w:val="none"/>
          <w:u w:val="single"/>
        </w:rPr>
      </w:r>
      <w:r/>
    </w:p>
    <w:p>
      <w:pPr>
        <w:pStyle w:val="986"/>
        <w:ind w:firstLine="420"/>
        <w:jc w:val="left"/>
        <w:spacing w:line="360" w:lineRule="auto"/>
        <w:tabs>
          <w:tab w:val="left" w:pos="390" w:leader="none"/>
          <w:tab w:val="center" w:pos="4404" w:leader="none"/>
        </w:tabs>
        <w:rPr>
          <w:rFonts w:ascii="宋体" w:hAnsi="宋体"/>
          <w:color w:val="000000"/>
          <w:szCs w:val="21"/>
          <w:highlight w:val="none"/>
        </w:rPr>
      </w:pPr>
      <w:r>
        <w:rPr>
          <w:rFonts w:ascii="宋体" w:hAnsi="宋体"/>
          <w:color w:val="000000"/>
          <w:szCs w:val="21"/>
          <w:highlight w:val="none"/>
        </w:rPr>
      </w:r>
      <w:r/>
    </w:p>
    <w:p>
      <w:pPr>
        <w:pStyle w:val="986"/>
        <w:spacing w:line="360" w:lineRule="auto"/>
        <w:shd w:val="clear" w:color="auto" w:fill="ffffff"/>
        <w:widowControl/>
        <w:rPr>
          <w:rFonts w:ascii="Arial" w:hAnsi="Arial"/>
          <w:b/>
          <w:spacing w:val="8"/>
          <w:sz w:val="24"/>
          <w:highlight w:val="none"/>
        </w:rPr>
        <w:outlineLvl w:val="1"/>
      </w:pPr>
      <w:r/>
      <w:bookmarkEnd w:id="2"/>
      <w:r/>
      <w:bookmarkEnd w:id="3"/>
      <w:r/>
      <w:bookmarkStart w:id="4" w:name="_Toc14352"/>
      <w:r/>
      <w:bookmarkStart w:id="5" w:name="_Toc1610"/>
      <w:r>
        <w:rPr>
          <w:rFonts w:ascii="Arial" w:hAnsi="Arial"/>
          <w:b/>
          <w:spacing w:val="8"/>
          <w:sz w:val="24"/>
          <w:highlight w:val="none"/>
        </w:rPr>
        <w:t xml:space="preserve">一、项目基本情况</w:t>
      </w:r>
      <w:bookmarkEnd w:id="4"/>
      <w:r/>
      <w:bookmarkEnd w:id="5"/>
      <w:r>
        <w:rPr>
          <w:rFonts w:ascii="Arial" w:hAnsi="Arial"/>
          <w:b/>
          <w:spacing w:val="8"/>
          <w:sz w:val="24"/>
          <w:highlight w:val="none"/>
        </w:rPr>
      </w:r>
      <w:r/>
    </w:p>
    <w:p>
      <w:pPr>
        <w:pStyle w:val="986"/>
        <w:ind w:firstLine="370"/>
        <w:spacing w:line="360" w:lineRule="auto"/>
        <w:shd w:val="clear" w:color="auto" w:fill="ffffff"/>
        <w:widowControl/>
        <w:rPr>
          <w:rFonts w:hint="eastAsia" w:ascii="Arial" w:hAnsi="Arial" w:eastAsia="宋体"/>
          <w:spacing w:val="8"/>
          <w:szCs w:val="21"/>
          <w:highlight w:val="none"/>
          <w:lang w:eastAsia="zh-CN"/>
        </w:rPr>
      </w:pPr>
      <w:r>
        <w:rPr>
          <w:rFonts w:hint="eastAsia" w:ascii="Arial" w:hAnsi="Arial"/>
          <w:spacing w:val="8"/>
          <w:szCs w:val="21"/>
          <w:highlight w:val="none"/>
        </w:rPr>
        <w:t xml:space="preserve">1.1项目编号：</w:t>
      </w:r>
      <w:r>
        <w:rPr>
          <w:rFonts w:hint="eastAsia" w:ascii="Arial" w:hAnsi="Arial"/>
          <w:spacing w:val="8"/>
          <w:szCs w:val="21"/>
          <w:highlight w:val="none"/>
          <w:lang w:eastAsia="zh-CN"/>
        </w:rPr>
        <w:t xml:space="preserve">JSZC-320192-JCEC-C2026-0307</w:t>
      </w:r>
      <w:r>
        <w:rPr>
          <w:rFonts w:hint="eastAsia" w:ascii="Arial" w:hAnsi="Arial" w:eastAsia="宋体"/>
          <w:spacing w:val="8"/>
          <w:szCs w:val="21"/>
          <w:highlight w:val="none"/>
          <w:lang w:eastAsia="zh-CN"/>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1.2项目名称：2026年江北新区特种设备“专业化提升”诊断评估项目</w:t>
      </w:r>
      <w:r>
        <w:rPr>
          <w:rFonts w:hint="eastAsia" w:ascii="Arial" w:hAnsi="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1.3采购方式：竞争性磋商</w:t>
      </w:r>
      <w:r>
        <w:rPr>
          <w:rFonts w:hint="eastAsia" w:ascii="Arial" w:hAnsi="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1.4预算金额：25.</w:t>
      </w:r>
      <w:r>
        <w:rPr>
          <w:rFonts w:ascii="Arial" w:hAnsi="Arial"/>
          <w:spacing w:val="8"/>
          <w:szCs w:val="21"/>
          <w:highlight w:val="none"/>
        </w:rPr>
        <w:t xml:space="preserve">6</w:t>
      </w:r>
      <w:r>
        <w:rPr>
          <w:rFonts w:hint="eastAsia" w:ascii="Arial" w:hAnsi="Arial"/>
          <w:spacing w:val="8"/>
          <w:szCs w:val="21"/>
          <w:highlight w:val="none"/>
        </w:rPr>
        <w:t xml:space="preserve">万元</w:t>
      </w:r>
      <w:r>
        <w:rPr>
          <w:rFonts w:hint="eastAsia" w:ascii="Arial" w:hAnsi="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1.5最高限价：</w:t>
      </w:r>
      <w:r>
        <w:rPr>
          <w:rFonts w:hint="eastAsia" w:ascii="Arial" w:hAnsi="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总价限价：</w:t>
      </w:r>
      <w:r>
        <w:rPr>
          <w:rFonts w:hint="eastAsia" w:ascii="Arial" w:hAnsi="Arial"/>
          <w:spacing w:val="8"/>
          <w:szCs w:val="21"/>
          <w:highlight w:val="none"/>
          <w:lang w:val="en-US" w:eastAsia="zh-CN"/>
        </w:rPr>
        <w:t xml:space="preserve">原项目招标分为4个标包，本次招标对应原项目</w:t>
      </w:r>
      <w:r>
        <w:rPr>
          <w:rFonts w:hint="eastAsia" w:ascii="Arial" w:hAnsi="Arial"/>
          <w:spacing w:val="8"/>
          <w:szCs w:val="21"/>
          <w:highlight w:val="none"/>
        </w:rPr>
        <w:t xml:space="preserve">采购包4：25.</w:t>
      </w:r>
      <w:r>
        <w:rPr>
          <w:rFonts w:ascii="Arial" w:hAnsi="Arial"/>
          <w:spacing w:val="8"/>
          <w:szCs w:val="21"/>
          <w:highlight w:val="none"/>
        </w:rPr>
        <w:t xml:space="preserve">6</w:t>
      </w:r>
      <w:r>
        <w:rPr>
          <w:rFonts w:hint="eastAsia" w:ascii="Arial" w:hAnsi="Arial"/>
          <w:spacing w:val="8"/>
          <w:szCs w:val="21"/>
          <w:highlight w:val="none"/>
        </w:rPr>
        <w:t xml:space="preserve">万元。</w:t>
      </w:r>
      <w:r>
        <w:rPr>
          <w:rFonts w:hint="eastAsia" w:ascii="Arial" w:hAnsi="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单价限价：</w:t>
      </w:r>
      <w:r>
        <w:rPr>
          <w:rFonts w:hint="eastAsia" w:ascii="Arial" w:hAnsi="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ascii="Arial" w:hAnsi="Arial"/>
          <w:spacing w:val="8"/>
          <w:szCs w:val="21"/>
          <w:highlight w:val="none"/>
        </w:rPr>
        <w:t xml:space="preserve">化工企业、电站锅炉单位</w:t>
      </w:r>
      <w:r>
        <w:rPr>
          <w:rFonts w:hint="eastAsia" w:ascii="Arial" w:hAnsi="Arial"/>
          <w:spacing w:val="8"/>
          <w:szCs w:val="21"/>
          <w:highlight w:val="none"/>
        </w:rPr>
        <w:t xml:space="preserve">最高限价：</w:t>
      </w:r>
      <w:r>
        <w:rPr>
          <w:rFonts w:ascii="Arial" w:hAnsi="Arial"/>
          <w:spacing w:val="8"/>
          <w:szCs w:val="21"/>
          <w:highlight w:val="none"/>
        </w:rPr>
        <w:t xml:space="preserve">8</w:t>
      </w:r>
      <w:r>
        <w:rPr>
          <w:rFonts w:hint="eastAsia" w:ascii="Arial" w:hAnsi="Arial"/>
          <w:spacing w:val="8"/>
          <w:szCs w:val="21"/>
          <w:highlight w:val="none"/>
        </w:rPr>
        <w:t xml:space="preserve">0</w:t>
      </w:r>
      <w:r>
        <w:rPr>
          <w:rFonts w:ascii="Arial" w:hAnsi="Arial"/>
          <w:spacing w:val="8"/>
          <w:szCs w:val="21"/>
          <w:highlight w:val="none"/>
        </w:rPr>
        <w:t xml:space="preserve">00元/家</w:t>
      </w:r>
      <w:r>
        <w:rPr>
          <w:rFonts w:hint="eastAsia" w:ascii="Arial" w:hAnsi="Arial"/>
          <w:spacing w:val="8"/>
          <w:szCs w:val="21"/>
          <w:highlight w:val="none"/>
        </w:rPr>
        <w:t xml:space="preserve">；</w:t>
      </w:r>
      <w:r>
        <w:rPr>
          <w:rFonts w:hint="eastAsia" w:ascii="Arial" w:hAnsi="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ascii="Arial" w:hAnsi="Arial"/>
          <w:spacing w:val="8"/>
          <w:szCs w:val="21"/>
          <w:highlight w:val="none"/>
        </w:rPr>
        <w:t xml:space="preserve">其他</w:t>
      </w:r>
      <w:r>
        <w:rPr>
          <w:rFonts w:hint="eastAsia" w:ascii="Arial" w:hAnsi="Arial"/>
          <w:spacing w:val="8"/>
          <w:szCs w:val="21"/>
          <w:highlight w:val="none"/>
        </w:rPr>
        <w:t xml:space="preserve">类型</w:t>
      </w:r>
      <w:r>
        <w:rPr>
          <w:rFonts w:ascii="Arial" w:hAnsi="Arial"/>
          <w:spacing w:val="8"/>
          <w:szCs w:val="21"/>
          <w:highlight w:val="none"/>
        </w:rPr>
        <w:t xml:space="preserve">企业</w:t>
      </w:r>
      <w:r>
        <w:rPr>
          <w:rFonts w:hint="eastAsia" w:ascii="Arial" w:hAnsi="Arial"/>
          <w:spacing w:val="8"/>
          <w:szCs w:val="21"/>
          <w:highlight w:val="none"/>
        </w:rPr>
        <w:t xml:space="preserve">最高限价：6000元/家。</w:t>
      </w:r>
      <w:r>
        <w:rPr>
          <w:rFonts w:hint="eastAsia" w:ascii="Arial" w:hAnsi="Arial"/>
          <w:spacing w:val="8"/>
          <w:szCs w:val="21"/>
          <w:highlight w:val="none"/>
        </w:rPr>
      </w:r>
      <w:r/>
    </w:p>
    <w:p>
      <w:pPr>
        <w:pStyle w:val="986"/>
        <w:ind w:firstLine="370"/>
        <w:spacing w:line="360" w:lineRule="auto"/>
        <w:shd w:val="clear" w:color="auto" w:fill="ffffff"/>
        <w:widowControl/>
        <w:rPr>
          <w:rFonts w:ascii="Arial" w:hAnsi="Arial"/>
          <w:spacing w:val="8"/>
          <w:szCs w:val="21"/>
          <w:highlight w:val="none"/>
        </w:rPr>
      </w:pPr>
      <w:r>
        <w:rPr>
          <w:rFonts w:hint="eastAsia" w:ascii="Arial" w:hAnsi="Arial"/>
          <w:spacing w:val="8"/>
          <w:szCs w:val="21"/>
          <w:highlight w:val="none"/>
        </w:rPr>
        <w:t xml:space="preserve">单价和总价均不得超过最高限价，否则按无效投标处理。</w:t>
      </w:r>
      <w:r>
        <w:rPr>
          <w:rFonts w:ascii="Arial" w:hAnsi="Arial"/>
          <w:spacing w:val="8"/>
          <w:szCs w:val="21"/>
          <w:highlight w:val="none"/>
        </w:rPr>
      </w:r>
      <w:r/>
    </w:p>
    <w:p>
      <w:pPr>
        <w:pStyle w:val="986"/>
        <w:ind w:firstLine="452"/>
        <w:jc w:val="left"/>
        <w:spacing w:line="360" w:lineRule="auto"/>
        <w:rPr>
          <w:rFonts w:hint="eastAsia" w:ascii="Arial" w:hAnsi="Arial" w:cs="Arial"/>
          <w:spacing w:val="8"/>
          <w:szCs w:val="21"/>
          <w:highlight w:val="none"/>
        </w:rPr>
      </w:pPr>
      <w:r>
        <w:rPr>
          <w:rFonts w:hint="eastAsia" w:ascii="Arial" w:hAnsi="Arial"/>
          <w:spacing w:val="8"/>
          <w:szCs w:val="21"/>
          <w:highlight w:val="none"/>
        </w:rPr>
        <w:t xml:space="preserve">1.6采购需求：为提升新区特种设备安全监管工作质效，深入挖掘特种设备安全管理各类风险因素，科学防范和有效遏制特种设备安全生产事故发生，结合新区特种设备安全管理实际，新区市场监管局拟聘请行业技术机构专家开展特种设备“专业化提升”诊断评估工作</w:t>
      </w:r>
      <w:r>
        <w:rPr>
          <w:rFonts w:hint="eastAsia" w:ascii="宋体" w:hAnsi="宋体" w:cs="宋体"/>
          <w:spacing w:val="8"/>
          <w:szCs w:val="21"/>
          <w:highlight w:val="none"/>
          <w:lang w:val="zh-CN"/>
        </w:rPr>
        <w:t xml:space="preserve">。</w:t>
      </w:r>
      <w:r>
        <w:rPr>
          <w:rFonts w:hint="eastAsia" w:ascii="宋体" w:hAnsi="宋体" w:cs="宋体"/>
          <w:spacing w:val="8"/>
          <w:szCs w:val="21"/>
          <w:highlight w:val="none"/>
        </w:rPr>
        <w:t xml:space="preserve">具体需求详见竞争性磋商文件。</w:t>
      </w:r>
      <w:r>
        <w:rPr>
          <w:rFonts w:hint="eastAsia" w:ascii="Arial" w:hAnsi="Arial" w:cs="Arial"/>
          <w:spacing w:val="8"/>
          <w:szCs w:val="21"/>
          <w:highlight w:val="none"/>
        </w:rPr>
      </w:r>
      <w:r/>
    </w:p>
    <w:p>
      <w:pPr>
        <w:pStyle w:val="986"/>
        <w:ind w:firstLine="370"/>
        <w:spacing w:line="360" w:lineRule="auto"/>
        <w:shd w:val="clear" w:color="auto" w:fill="ffffff"/>
        <w:widowControl/>
        <w:rPr>
          <w:rFonts w:ascii="Arial" w:hAnsi="Arial"/>
          <w:spacing w:val="8"/>
          <w:szCs w:val="21"/>
          <w:highlight w:val="none"/>
        </w:rPr>
      </w:pPr>
      <w:r>
        <w:rPr>
          <w:rFonts w:hint="eastAsia" w:ascii="微软雅黑" w:hAnsi="微软雅黑" w:cs="微软雅黑"/>
          <w:szCs w:val="21"/>
          <w:highlight w:val="none"/>
        </w:rPr>
        <w:t xml:space="preserve">成交供应商任务分配：</w:t>
      </w:r>
      <w:r>
        <w:rPr>
          <w:rFonts w:hint="eastAsia" w:ascii="Arial" w:hAnsi="Arial"/>
          <w:spacing w:val="8"/>
          <w:szCs w:val="21"/>
          <w:highlight w:val="none"/>
          <w:lang w:val="en-US" w:eastAsia="zh-CN"/>
        </w:rPr>
        <w:t xml:space="preserve">本项目（原</w:t>
      </w:r>
      <w:r>
        <w:rPr>
          <w:rFonts w:hint="eastAsia" w:ascii="Arial" w:hAnsi="Arial"/>
          <w:spacing w:val="8"/>
          <w:szCs w:val="21"/>
          <w:highlight w:val="none"/>
        </w:rPr>
        <w:t xml:space="preserve">采购包</w:t>
      </w:r>
      <w:r>
        <w:rPr>
          <w:rFonts w:hint="eastAsia" w:ascii="Arial" w:hAnsi="Arial"/>
          <w:spacing w:val="8"/>
          <w:szCs w:val="21"/>
          <w:highlight w:val="none"/>
          <w:lang w:val="en-US" w:eastAsia="zh-CN"/>
        </w:rPr>
        <w:t xml:space="preserve">4）</w:t>
      </w:r>
      <w:r>
        <w:rPr>
          <w:rFonts w:hint="eastAsia" w:ascii="微软雅黑" w:hAnsi="微软雅黑" w:cs="微软雅黑"/>
          <w:szCs w:val="21"/>
          <w:highlight w:val="none"/>
        </w:rPr>
        <w:t xml:space="preserve">  参与</w:t>
      </w:r>
      <w:r>
        <w:rPr>
          <w:rFonts w:hint="eastAsia" w:ascii="微软雅黑" w:hAnsi="微软雅黑" w:cs="微软雅黑"/>
          <w:szCs w:val="21"/>
          <w:highlight w:val="none"/>
          <w:u w:val="single"/>
        </w:rPr>
        <w:t xml:space="preserve">34</w:t>
      </w:r>
      <w:r>
        <w:rPr>
          <w:rFonts w:hint="eastAsia" w:ascii="微软雅黑" w:hAnsi="微软雅黑" w:cs="微软雅黑"/>
          <w:szCs w:val="21"/>
          <w:highlight w:val="none"/>
        </w:rPr>
        <w:t xml:space="preserve">家（</w:t>
      </w:r>
      <w:r>
        <w:rPr>
          <w:rFonts w:hint="eastAsia" w:ascii="微软雅黑" w:hAnsi="微软雅黑" w:cs="微软雅黑"/>
          <w:szCs w:val="21"/>
          <w:highlight w:val="none"/>
          <w:u w:val="single"/>
        </w:rPr>
        <w:t xml:space="preserve">2</w:t>
      </w:r>
      <w:r>
        <w:rPr>
          <w:rFonts w:ascii="微软雅黑" w:hAnsi="微软雅黑" w:cs="微软雅黑"/>
          <w:szCs w:val="21"/>
          <w:highlight w:val="none"/>
          <w:u w:val="single"/>
        </w:rPr>
        <w:t xml:space="preserve">6</w:t>
      </w:r>
      <w:r>
        <w:rPr>
          <w:rFonts w:hint="eastAsia" w:ascii="微软雅黑" w:hAnsi="微软雅黑" w:cs="微软雅黑"/>
          <w:szCs w:val="21"/>
          <w:highlight w:val="none"/>
        </w:rPr>
        <w:t xml:space="preserve">家化工企业、电站锅炉单位+</w:t>
      </w:r>
      <w:r>
        <w:rPr>
          <w:rFonts w:ascii="微软雅黑" w:hAnsi="微软雅黑" w:cs="微软雅黑"/>
          <w:szCs w:val="21"/>
          <w:highlight w:val="none"/>
          <w:u w:val="single"/>
        </w:rPr>
        <w:t xml:space="preserve">8</w:t>
      </w:r>
      <w:r>
        <w:rPr>
          <w:rFonts w:hint="eastAsia" w:ascii="微软雅黑" w:hAnsi="微软雅黑" w:cs="微软雅黑"/>
          <w:szCs w:val="21"/>
          <w:highlight w:val="none"/>
        </w:rPr>
        <w:t xml:space="preserve">家其他企业）特种设备使用单位技术辅助。</w:t>
      </w:r>
      <w:r>
        <w:rPr>
          <w:rFonts w:ascii="Arial" w:hAnsi="Arial"/>
          <w:spacing w:val="8"/>
          <w:szCs w:val="21"/>
          <w:highlight w:val="none"/>
        </w:rPr>
      </w:r>
      <w:r/>
    </w:p>
    <w:p>
      <w:pPr>
        <w:pStyle w:val="986"/>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.7</w:t>
      </w:r>
      <w:r>
        <w:rPr>
          <w:rFonts w:ascii="Arial" w:hAnsi="Arial"/>
          <w:spacing w:val="8"/>
          <w:szCs w:val="21"/>
          <w:highlight w:val="none"/>
        </w:rPr>
        <w:t xml:space="preserve">合同履行期限：</w:t>
      </w:r>
      <w:r>
        <w:rPr>
          <w:rFonts w:hint="eastAsia" w:ascii="宋体" w:hAnsi="宋体"/>
          <w:spacing w:val="8"/>
          <w:szCs w:val="21"/>
          <w:highlight w:val="none"/>
        </w:rPr>
        <w:t xml:space="preserve">至合同内容全部履行完毕</w:t>
      </w:r>
      <w:r>
        <w:rPr>
          <w:rFonts w:hint="eastAsia"/>
          <w:highlight w:val="none"/>
        </w:rPr>
        <w:t xml:space="preserve">。</w:t>
      </w:r>
      <w:r>
        <w:rPr>
          <w:rFonts w:ascii="Arial" w:hAnsi="Arial"/>
          <w:spacing w:val="8"/>
          <w:szCs w:val="21"/>
          <w:highlight w:val="none"/>
        </w:rPr>
      </w:r>
      <w:r/>
    </w:p>
    <w:p>
      <w:pPr>
        <w:pStyle w:val="986"/>
        <w:ind w:firstLine="370"/>
        <w:spacing w:line="360" w:lineRule="auto"/>
        <w:shd w:val="clear" w:color="auto" w:fill="ffffff"/>
        <w:widowControl/>
        <w:rPr>
          <w:rFonts w:hint="eastAsia" w:cs="Arial"/>
          <w:spacing w:val="8"/>
          <w:szCs w:val="21"/>
          <w:highlight w:val="none"/>
        </w:rPr>
      </w:pPr>
      <w:r>
        <w:rPr>
          <w:rFonts w:hint="eastAsia" w:ascii="Arial" w:hAnsi="Arial"/>
          <w:spacing w:val="8"/>
          <w:szCs w:val="21"/>
          <w:highlight w:val="none"/>
        </w:rPr>
        <w:t xml:space="preserve">1.8行业划分：</w:t>
      </w:r>
      <w:r>
        <w:rPr>
          <w:rFonts w:hint="eastAsia" w:ascii="Arial" w:hAnsi="Arial" w:cs="Arial"/>
          <w:spacing w:val="8"/>
          <w:szCs w:val="21"/>
          <w:highlight w:val="none"/>
        </w:rPr>
        <w:t xml:space="preserve">其他未列明行业</w:t>
      </w:r>
      <w:r>
        <w:rPr>
          <w:rFonts w:ascii="SimSun" w:hAnsi="SimSun" w:eastAsia="SimSun" w:cs="SimSun"/>
          <w:color w:val="000000"/>
          <w:spacing w:val="8"/>
          <w:sz w:val="21"/>
        </w:rPr>
        <w:t xml:space="preserve">（科学研究和技术服务业）</w:t>
      </w:r>
      <w:r>
        <w:rPr>
          <w:rFonts w:hint="eastAsia" w:ascii="Arial" w:hAnsi="Arial" w:cs="Arial"/>
          <w:spacing w:val="8"/>
          <w:szCs w:val="21"/>
          <w:highlight w:val="none"/>
        </w:rPr>
      </w:r>
      <w:r>
        <w:rPr>
          <w:rFonts w:hint="eastAsia" w:ascii="宋体" w:hAnsi="宋体" w:cs="Arial"/>
          <w:spacing w:val="8"/>
          <w:szCs w:val="21"/>
          <w:highlight w:val="none"/>
        </w:rPr>
        <w:t xml:space="preserve">。</w:t>
      </w:r>
      <w:r>
        <w:rPr>
          <w:rFonts w:hint="eastAsia" w:cs="Arial"/>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1.9</w:t>
      </w:r>
      <w:r>
        <w:rPr>
          <w:rFonts w:hint="eastAsia" w:cs="Arial"/>
          <w:spacing w:val="8"/>
          <w:szCs w:val="21"/>
          <w:highlight w:val="none"/>
        </w:rPr>
        <w:t xml:space="preserve">本项目不接受联合体投标。</w:t>
      </w:r>
      <w:r>
        <w:rPr>
          <w:rFonts w:hint="eastAsia" w:ascii="Arial" w:hAnsi="Arial"/>
          <w:spacing w:val="8"/>
          <w:szCs w:val="21"/>
          <w:highlight w:val="none"/>
        </w:rPr>
      </w:r>
      <w:r/>
    </w:p>
    <w:p>
      <w:pPr>
        <w:pStyle w:val="986"/>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pStyle w:val="986"/>
        <w:spacing w:line="360" w:lineRule="auto"/>
        <w:shd w:val="clear" w:color="auto" w:fill="ffffff"/>
        <w:widowControl/>
        <w:rPr>
          <w:rFonts w:ascii="Arial" w:hAnsi="Arial"/>
          <w:b/>
          <w:spacing w:val="8"/>
          <w:sz w:val="24"/>
          <w:highlight w:val="none"/>
        </w:rPr>
        <w:outlineLvl w:val="1"/>
      </w:pPr>
      <w:r/>
      <w:bookmarkStart w:id="6" w:name="_Toc26468"/>
      <w:r/>
      <w:bookmarkEnd w:id="6"/>
      <w:r/>
      <w:bookmarkStart w:id="7" w:name="_Toc1756"/>
      <w:r/>
      <w:bookmarkEnd w:id="7"/>
      <w:r/>
      <w:bookmarkStart w:id="8" w:name="_Toc19835"/>
      <w:r/>
      <w:bookmarkStart w:id="9" w:name="_Toc11922"/>
      <w:r>
        <w:rPr>
          <w:rFonts w:ascii="Arial" w:hAnsi="Arial"/>
          <w:b/>
          <w:spacing w:val="8"/>
          <w:sz w:val="24"/>
          <w:highlight w:val="none"/>
        </w:rPr>
        <w:t xml:space="preserve">二、申请人的资格要求：</w:t>
      </w:r>
      <w:bookmarkEnd w:id="8"/>
      <w:r/>
      <w:bookmarkEnd w:id="9"/>
      <w:r>
        <w:rPr>
          <w:rFonts w:ascii="Arial" w:hAnsi="Arial"/>
          <w:b/>
          <w:spacing w:val="8"/>
          <w:sz w:val="24"/>
          <w:highlight w:val="none"/>
        </w:rPr>
      </w:r>
      <w:r/>
    </w:p>
    <w:p>
      <w:pPr>
        <w:pStyle w:val="986"/>
        <w:ind w:firstLine="454"/>
        <w:spacing w:line="360" w:lineRule="auto"/>
        <w:rPr>
          <w:rFonts w:ascii="Arial" w:hAnsi="Arial"/>
          <w:b/>
          <w:spacing w:val="8"/>
          <w:szCs w:val="21"/>
          <w:highlight w:val="none"/>
        </w:rPr>
      </w:pPr>
      <w:r>
        <w:rPr>
          <w:rFonts w:ascii="Arial" w:hAnsi="Arial"/>
          <w:b/>
          <w:spacing w:val="8"/>
          <w:szCs w:val="21"/>
          <w:highlight w:val="none"/>
        </w:rPr>
        <w:t xml:space="preserve">2.1</w:t>
      </w:r>
      <w:r>
        <w:rPr>
          <w:rFonts w:hint="eastAsia" w:ascii="Arial" w:hAnsi="Arial"/>
          <w:b/>
          <w:spacing w:val="8"/>
          <w:szCs w:val="21"/>
          <w:highlight w:val="none"/>
        </w:rPr>
        <w:t xml:space="preserve">满足</w:t>
      </w:r>
      <w:r>
        <w:rPr>
          <w:rFonts w:ascii="Arial" w:hAnsi="Arial"/>
          <w:b/>
          <w:spacing w:val="8"/>
          <w:szCs w:val="21"/>
          <w:highlight w:val="none"/>
        </w:rPr>
        <w:t xml:space="preserve">《中华人民共和国政府采购法》第二十二条规定；</w:t>
      </w:r>
      <w:r>
        <w:rPr>
          <w:rFonts w:ascii="Arial" w:hAnsi="Arial"/>
          <w:b/>
          <w:spacing w:val="8"/>
          <w:szCs w:val="21"/>
          <w:highlight w:val="none"/>
        </w:rPr>
      </w:r>
      <w:r/>
    </w:p>
    <w:p>
      <w:pPr>
        <w:pStyle w:val="986"/>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 </w:t>
      </w:r>
      <w:r>
        <w:rPr>
          <w:rFonts w:ascii="宋体" w:hAnsi="宋体" w:cs="宋体"/>
          <w:bCs/>
          <w:szCs w:val="21"/>
          <w:highlight w:val="none"/>
        </w:rPr>
      </w:r>
      <w:r/>
    </w:p>
    <w:p>
      <w:pPr>
        <w:pStyle w:val="986"/>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（2）具有良好的商业信誉和健全的财务会计制度（提供2024年或2025年度的财务报表，或投标截止时间前六个月内银行出具的资信证明）；</w:t>
      </w:r>
      <w:r>
        <w:rPr>
          <w:rFonts w:ascii="宋体" w:hAnsi="宋体" w:cs="宋体"/>
          <w:bCs/>
          <w:szCs w:val="21"/>
          <w:highlight w:val="none"/>
        </w:rPr>
      </w:r>
      <w:r/>
    </w:p>
    <w:p>
      <w:pPr>
        <w:pStyle w:val="986"/>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szCs w:val="21"/>
          <w:highlight w:val="none"/>
        </w:rPr>
      </w:r>
      <w:r/>
    </w:p>
    <w:p>
      <w:pPr>
        <w:pStyle w:val="986"/>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rPr>
          <w:rFonts w:ascii="宋体" w:hAnsi="宋体" w:cs="宋体"/>
          <w:bCs/>
          <w:szCs w:val="21"/>
          <w:highlight w:val="none"/>
        </w:rPr>
      </w:r>
      <w:r/>
    </w:p>
    <w:p>
      <w:pPr>
        <w:pStyle w:val="986"/>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rPr>
          <w:rFonts w:ascii="宋体" w:hAnsi="宋体" w:cs="宋体"/>
          <w:bCs/>
          <w:szCs w:val="21"/>
          <w:highlight w:val="none"/>
        </w:rPr>
      </w:r>
      <w:r/>
    </w:p>
    <w:p>
      <w:pPr>
        <w:pStyle w:val="986"/>
        <w:ind w:firstLine="420"/>
        <w:spacing w:line="360" w:lineRule="auto"/>
        <w:rPr>
          <w:rFonts w:hint="eastAsia" w:ascii="宋体" w:hAnsi="宋体" w:eastAsia="宋体" w:cs="宋体"/>
          <w:bCs/>
          <w:szCs w:val="21"/>
          <w:highlight w:val="none"/>
        </w:rPr>
      </w:pPr>
      <w:r>
        <w:rPr>
          <w:rFonts w:hint="eastAsia" w:ascii="宋体" w:hAnsi="宋体" w:cs="宋体"/>
          <w:bCs/>
          <w:szCs w:val="21"/>
          <w:highlight w:val="none"/>
        </w:rPr>
        <w:t xml:space="preserve">（6）法律、行政法规规定的其他条件：无。</w:t>
      </w:r>
      <w:r>
        <w:rPr>
          <w:rFonts w:hint="eastAsia" w:ascii="宋体" w:hAnsi="宋体" w:eastAsia="宋体" w:cs="宋体"/>
          <w:bCs/>
          <w:szCs w:val="21"/>
          <w:highlight w:val="none"/>
        </w:rPr>
      </w:r>
      <w:r/>
    </w:p>
    <w:p>
      <w:pPr>
        <w:pStyle w:val="986"/>
        <w:ind w:firstLine="370"/>
        <w:spacing w:line="360" w:lineRule="auto"/>
        <w:shd w:val="clear" w:color="auto" w:fill="ffffff"/>
        <w:widowControl/>
        <w:rPr>
          <w:rFonts w:hint="eastAsia" w:ascii="Arial" w:hAnsi="Arial"/>
          <w:bCs/>
          <w:spacing w:val="8"/>
          <w:szCs w:val="21"/>
          <w:highlight w:val="none"/>
        </w:rPr>
      </w:pPr>
      <w:r>
        <w:rPr>
          <w:rFonts w:ascii="Arial" w:hAnsi="Arial"/>
          <w:spacing w:val="8"/>
          <w:szCs w:val="21"/>
          <w:highlight w:val="none"/>
        </w:rPr>
        <w:t xml:space="preserve">2.2 落实政府采购政策需满足的资格要求：</w:t>
      </w:r>
      <w:r>
        <w:rPr>
          <w:rFonts w:hint="eastAsia" w:ascii="Arial" w:hAnsi="Arial"/>
          <w:b/>
          <w:spacing w:val="8"/>
          <w:szCs w:val="21"/>
          <w:highlight w:val="none"/>
        </w:rPr>
        <w:t xml:space="preserve">本项目非专门面向中小企业（或监狱企业或残疾人福利性单位）采购。</w:t>
      </w:r>
      <w:r>
        <w:rPr>
          <w:rFonts w:hint="eastAsia" w:ascii="Arial" w:hAnsi="Arial"/>
          <w:bCs/>
          <w:spacing w:val="8"/>
          <w:szCs w:val="21"/>
          <w:highlight w:val="none"/>
        </w:rPr>
      </w:r>
      <w:r/>
    </w:p>
    <w:p>
      <w:pPr>
        <w:pStyle w:val="986"/>
        <w:ind w:firstLine="370"/>
        <w:spacing w:line="360" w:lineRule="auto"/>
        <w:shd w:val="clear" w:color="auto" w:fill="ffffff"/>
        <w:widowControl/>
        <w:rPr>
          <w:rFonts w:hint="eastAsia" w:ascii="Arial" w:hAnsi="Arial"/>
          <w:spacing w:val="8"/>
          <w:szCs w:val="21"/>
          <w:highlight w:val="none"/>
        </w:rPr>
      </w:pPr>
      <w:r>
        <w:rPr>
          <w:rFonts w:hint="eastAsia" w:ascii="Arial" w:hAnsi="Arial"/>
          <w:bCs/>
          <w:spacing w:val="8"/>
          <w:szCs w:val="21"/>
          <w:highlight w:val="none"/>
        </w:rPr>
        <w:t xml:space="preserve">2.3 采购人根据采购项目的特殊要求规定的特定条件，并提供符合特殊要求的证明材料或者情况说明：</w:t>
      </w:r>
      <w:bookmarkStart w:id="10" w:name="OLE_LINK5"/>
      <w:r>
        <w:rPr>
          <w:rFonts w:hint="eastAsia" w:ascii="Arial" w:hAnsi="Arial"/>
          <w:b/>
          <w:spacing w:val="8"/>
          <w:szCs w:val="21"/>
          <w:highlight w:val="none"/>
        </w:rPr>
        <w:t xml:space="preserve">具有特种设备检验检测机构核准证（检验机构），检验项目须包含：锅炉、压力容器、压力管道安装监督检验和定期检验。</w:t>
      </w:r>
      <w:r>
        <w:rPr>
          <w:rFonts w:hint="eastAsia" w:ascii="微软雅黑" w:hAnsi="微软雅黑" w:cs="微软雅黑"/>
          <w:b/>
          <w:szCs w:val="21"/>
          <w:highlight w:val="none"/>
        </w:rPr>
        <w:t xml:space="preserve">（提供证书复印件,原件备查）</w:t>
      </w:r>
      <w:r>
        <w:rPr>
          <w:rFonts w:hint="eastAsia" w:ascii="Arial" w:hAnsi="Arial"/>
          <w:b/>
          <w:spacing w:val="8"/>
          <w:szCs w:val="21"/>
          <w:highlight w:val="none"/>
        </w:rPr>
        <w:t xml:space="preserve">。</w:t>
      </w:r>
      <w:r>
        <w:rPr>
          <w:rFonts w:hint="eastAsia" w:ascii="Arial" w:hAnsi="Arial"/>
          <w:spacing w:val="8"/>
          <w:szCs w:val="21"/>
          <w:highlight w:val="none"/>
        </w:rPr>
      </w:r>
      <w:r/>
    </w:p>
    <w:p>
      <w:pPr>
        <w:pStyle w:val="986"/>
        <w:ind w:firstLine="426"/>
        <w:spacing w:line="360" w:lineRule="auto"/>
        <w:rPr>
          <w:rFonts w:hint="eastAsia" w:ascii="Arial" w:hAnsi="Arial"/>
          <w:spacing w:val="8"/>
          <w:szCs w:val="21"/>
          <w:highlight w:val="none"/>
        </w:rPr>
      </w:pPr>
      <w:r/>
      <w:bookmarkEnd w:id="10"/>
      <w:r>
        <w:rPr>
          <w:rFonts w:hint="eastAsia" w:ascii="宋体" w:hAnsi="宋体" w:eastAsia="宋体" w:cs="宋体"/>
          <w:b/>
          <w:bCs w:val="0"/>
          <w:szCs w:val="21"/>
          <w:highlight w:val="none"/>
          <w:lang w:val="en-US" w:eastAsia="zh-CN"/>
        </w:rPr>
        <w:t xml:space="preserve">2.4</w:t>
      </w:r>
      <w:r>
        <w:rPr>
          <w:rFonts w:ascii="Arial" w:hAnsi="Arial" w:eastAsia="Arial" w:cs="Arial"/>
          <w:color w:val="000000"/>
          <w:sz w:val="21"/>
          <w:highlight w:val="none"/>
        </w:rPr>
        <w:t xml:space="preserve">提供《南京市政府采购供应商信用承诺书》可替代《中华人民共和国政府采购法》第二十二条规定，法定代表人签字并加盖单位公章。</w:t>
      </w:r>
      <w:r>
        <w:rPr>
          <w:rFonts w:hint="eastAsia" w:ascii="Arial" w:hAnsi="Arial"/>
          <w:spacing w:val="8"/>
          <w:szCs w:val="21"/>
          <w:highlight w:val="none"/>
        </w:rPr>
      </w:r>
      <w:r/>
    </w:p>
    <w:p>
      <w:pPr>
        <w:pStyle w:val="986"/>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w:t>
      </w:r>
      <w:r>
        <w:rPr>
          <w:rFonts w:hint="eastAsia" w:ascii="Arial" w:hAnsi="Arial"/>
          <w:spacing w:val="8"/>
          <w:szCs w:val="21"/>
          <w:highlight w:val="none"/>
          <w:lang w:val="en-US" w:eastAsia="zh-CN"/>
        </w:rPr>
        <w:t xml:space="preserve">5</w:t>
      </w:r>
      <w:r>
        <w:rPr>
          <w:rFonts w:hint="eastAsia" w:ascii="Arial" w:hAnsi="Arial"/>
          <w:spacing w:val="8"/>
          <w:szCs w:val="21"/>
          <w:highlight w:val="none"/>
        </w:rPr>
        <w:t xml:space="preserve">拒绝下述供应商参加本次采购活动：</w:t>
      </w:r>
      <w:r>
        <w:rPr>
          <w:rFonts w:hint="eastAsia" w:ascii="Arial" w:hAnsi="Arial"/>
          <w:spacing w:val="8"/>
          <w:szCs w:val="21"/>
          <w:highlight w:val="none"/>
        </w:rPr>
      </w:r>
      <w:r/>
    </w:p>
    <w:p>
      <w:pPr>
        <w:pStyle w:val="986"/>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rPr>
          <w:rFonts w:hint="eastAsia" w:ascii="Arial" w:hAnsi="Arial"/>
          <w:spacing w:val="8"/>
          <w:szCs w:val="21"/>
          <w:highlight w:val="none"/>
        </w:rPr>
      </w:r>
      <w:r/>
    </w:p>
    <w:p>
      <w:pPr>
        <w:pStyle w:val="986"/>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rPr>
          <w:rFonts w:hint="eastAsia" w:ascii="Arial" w:hAnsi="Arial"/>
          <w:spacing w:val="8"/>
          <w:szCs w:val="21"/>
          <w:highlight w:val="none"/>
        </w:rPr>
      </w:r>
      <w:r/>
    </w:p>
    <w:p>
      <w:pPr>
        <w:pStyle w:val="986"/>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bCs/>
          <w:szCs w:val="21"/>
          <w:highlight w:val="none"/>
        </w:rPr>
        <w:t xml:space="preserve">。</w:t>
      </w:r>
      <w:r>
        <w:rPr>
          <w:rFonts w:ascii="Arial" w:hAnsi="Arial"/>
          <w:bCs/>
          <w:szCs w:val="21"/>
          <w:highlight w:val="none"/>
        </w:rPr>
      </w:r>
      <w:r/>
    </w:p>
    <w:p>
      <w:pPr>
        <w:pStyle w:val="986"/>
        <w:ind w:firstLine="422"/>
        <w:spacing w:line="360" w:lineRule="auto"/>
        <w:shd w:val="clear" w:color="auto" w:fill="ffffff"/>
        <w:widowControl/>
        <w:rPr>
          <w:rFonts w:ascii="Arial" w:hAnsi="Arial"/>
          <w:b/>
          <w:szCs w:val="21"/>
          <w:highlight w:val="none"/>
        </w:rPr>
      </w:pPr>
      <w:r>
        <w:rPr>
          <w:rFonts w:ascii="Arial" w:hAnsi="Arial"/>
          <w:b/>
          <w:szCs w:val="21"/>
          <w:highlight w:val="none"/>
        </w:rPr>
      </w:r>
      <w:r/>
    </w:p>
    <w:p>
      <w:pPr>
        <w:pStyle w:val="986"/>
        <w:spacing w:line="360" w:lineRule="auto"/>
        <w:shd w:val="clear" w:color="auto" w:fill="ffffff"/>
        <w:widowControl/>
        <w:rPr>
          <w:rFonts w:ascii="Arial" w:hAnsi="Arial"/>
          <w:b/>
          <w:spacing w:val="8"/>
          <w:sz w:val="24"/>
          <w:highlight w:val="none"/>
        </w:rPr>
        <w:outlineLvl w:val="1"/>
      </w:pPr>
      <w:r/>
      <w:bookmarkStart w:id="11" w:name="_Toc5823"/>
      <w:r/>
      <w:bookmarkEnd w:id="11"/>
      <w:r/>
      <w:bookmarkStart w:id="12" w:name="_Toc24617"/>
      <w:r/>
      <w:bookmarkEnd w:id="12"/>
      <w:r/>
      <w:bookmarkStart w:id="13" w:name="_Toc11807"/>
      <w:r/>
      <w:bookmarkStart w:id="14" w:name="_Toc19323"/>
      <w:r>
        <w:rPr>
          <w:rFonts w:ascii="Arial" w:hAnsi="Arial"/>
          <w:b/>
          <w:spacing w:val="8"/>
          <w:sz w:val="24"/>
          <w:highlight w:val="none"/>
        </w:rPr>
        <w:t xml:space="preserve">三、获取采购文件</w:t>
      </w:r>
      <w:bookmarkEnd w:id="13"/>
      <w:r/>
      <w:bookmarkEnd w:id="14"/>
      <w:r>
        <w:rPr>
          <w:rFonts w:ascii="Arial" w:hAnsi="Arial"/>
          <w:b/>
          <w:spacing w:val="8"/>
          <w:sz w:val="24"/>
          <w:highlight w:val="none"/>
        </w:rPr>
      </w:r>
      <w:r/>
    </w:p>
    <w:p>
      <w:pPr>
        <w:pStyle w:val="986"/>
        <w:ind w:firstLine="424"/>
        <w:spacing w:line="360" w:lineRule="auto"/>
        <w:rPr>
          <w:rFonts w:hint="eastAsia" w:ascii="Arial" w:hAnsi="Arial"/>
          <w:bCs/>
          <w:szCs w:val="21"/>
          <w:highlight w:val="none"/>
        </w:rPr>
      </w:pPr>
      <w:r>
        <w:rPr>
          <w:rFonts w:hint="eastAsia" w:ascii="Arial" w:hAnsi="Arial"/>
          <w:bCs/>
          <w:szCs w:val="21"/>
          <w:highlight w:val="none"/>
        </w:rPr>
        <w:t xml:space="preserve">3.1时间：自磋商文件公告发布之日起5个工作日。 </w:t>
      </w:r>
      <w:r>
        <w:rPr>
          <w:rFonts w:hint="eastAsia" w:ascii="Arial" w:hAnsi="Arial"/>
          <w:bCs/>
          <w:szCs w:val="21"/>
          <w:highlight w:val="none"/>
        </w:rPr>
      </w:r>
      <w:r/>
    </w:p>
    <w:p>
      <w:pPr>
        <w:pStyle w:val="986"/>
        <w:ind w:firstLine="424"/>
        <w:spacing w:line="360" w:lineRule="auto"/>
        <w:rPr>
          <w:rFonts w:hint="eastAsia" w:ascii="Arial" w:hAnsi="Arial"/>
          <w:bCs/>
          <w:szCs w:val="21"/>
          <w:highlight w:val="none"/>
        </w:rPr>
      </w:pPr>
      <w:r>
        <w:rPr>
          <w:rFonts w:hint="eastAsia" w:ascii="Arial" w:hAnsi="Arial"/>
          <w:bCs/>
          <w:szCs w:val="21"/>
          <w:highlight w:val="none"/>
        </w:rPr>
        <w:t xml:space="preserve">3.2地点：江苏政府采购网苏采云系统注册登记成功后系统内免费下载。</w:t>
      </w:r>
      <w:r>
        <w:rPr>
          <w:rFonts w:hint="eastAsia" w:ascii="Arial" w:hAnsi="Arial"/>
          <w:bCs/>
          <w:szCs w:val="21"/>
          <w:highlight w:val="none"/>
        </w:rPr>
      </w:r>
      <w:r/>
    </w:p>
    <w:p>
      <w:pPr>
        <w:pStyle w:val="986"/>
        <w:ind w:firstLine="424"/>
        <w:spacing w:line="360" w:lineRule="auto"/>
        <w:rPr>
          <w:rFonts w:hint="eastAsia" w:ascii="Arial" w:hAnsi="Arial"/>
          <w:bCs/>
          <w:szCs w:val="21"/>
          <w:highlight w:val="none"/>
        </w:rPr>
      </w:pPr>
      <w:r>
        <w:rPr>
          <w:rFonts w:hint="eastAsia" w:ascii="Arial" w:hAnsi="Arial"/>
          <w:bCs/>
          <w:szCs w:val="21"/>
          <w:highlight w:val="none"/>
        </w:rPr>
        <w:t xml:space="preserve">3.3获取方式：采用网上注册登记方式。</w:t>
      </w:r>
      <w:r>
        <w:rPr>
          <w:rFonts w:hint="eastAsia" w:ascii="Arial" w:hAnsi="Arial"/>
          <w:bCs/>
          <w:szCs w:val="21"/>
          <w:highlight w:val="none"/>
        </w:rPr>
      </w:r>
      <w:r/>
    </w:p>
    <w:p>
      <w:pPr>
        <w:pStyle w:val="986"/>
        <w:ind w:firstLine="424"/>
        <w:spacing w:line="360" w:lineRule="auto"/>
        <w:rPr>
          <w:rFonts w:hint="eastAsia" w:ascii="Arial" w:hAnsi="Arial"/>
          <w:bCs/>
          <w:szCs w:val="21"/>
          <w:highlight w:val="none"/>
        </w:rPr>
      </w:pPr>
      <w:r>
        <w:rPr>
          <w:rFonts w:ascii="Arial" w:hAnsi="Arial"/>
          <w:bCs/>
          <w:szCs w:val="21"/>
          <w:highlight w:val="none"/>
        </w:rPr>
        <w:t xml:space="preserve">3.4售价：0.00元</w:t>
      </w:r>
      <w:r>
        <w:rPr>
          <w:rFonts w:hint="eastAsia" w:ascii="Arial" w:hAnsi="Arial"/>
          <w:bCs/>
          <w:szCs w:val="21"/>
          <w:highlight w:val="none"/>
        </w:rPr>
        <w:t xml:space="preserve">。</w:t>
      </w:r>
      <w:r>
        <w:rPr>
          <w:rFonts w:hint="eastAsia" w:ascii="Arial" w:hAnsi="Arial"/>
          <w:bCs/>
          <w:szCs w:val="21"/>
          <w:highlight w:val="none"/>
        </w:rPr>
      </w:r>
      <w:r/>
    </w:p>
    <w:p>
      <w:pPr>
        <w:pStyle w:val="1098"/>
        <w:rPr>
          <w:highlight w:val="none"/>
        </w:rPr>
      </w:pPr>
      <w:r>
        <w:rPr>
          <w:highlight w:val="none"/>
        </w:rPr>
      </w:r>
      <w:r/>
    </w:p>
    <w:p>
      <w:pPr>
        <w:pStyle w:val="986"/>
        <w:spacing w:line="360" w:lineRule="auto"/>
        <w:shd w:val="clear" w:color="auto" w:fill="ffffff"/>
        <w:widowControl/>
        <w:rPr>
          <w:rFonts w:ascii="Arial" w:hAnsi="Arial"/>
          <w:b/>
          <w:spacing w:val="8"/>
          <w:sz w:val="24"/>
          <w:highlight w:val="none"/>
        </w:rPr>
        <w:outlineLvl w:val="1"/>
      </w:pPr>
      <w:r/>
      <w:bookmarkStart w:id="15" w:name="_Toc1456"/>
      <w:r/>
      <w:bookmarkEnd w:id="15"/>
      <w:r/>
      <w:bookmarkStart w:id="16" w:name="_Toc21817"/>
      <w:r/>
      <w:bookmarkEnd w:id="16"/>
      <w:r/>
      <w:bookmarkStart w:id="17" w:name="_Toc13359"/>
      <w:r/>
      <w:bookmarkStart w:id="18" w:name="_Toc10549"/>
      <w:r>
        <w:rPr>
          <w:rFonts w:ascii="Arial" w:hAnsi="Arial"/>
          <w:b/>
          <w:spacing w:val="8"/>
          <w:sz w:val="24"/>
          <w:highlight w:val="none"/>
        </w:rPr>
        <w:t xml:space="preserve">四、响应文件提交</w:t>
      </w:r>
      <w:bookmarkEnd w:id="17"/>
      <w:r/>
      <w:bookmarkEnd w:id="18"/>
      <w:r>
        <w:rPr>
          <w:rFonts w:ascii="Arial" w:hAnsi="Arial"/>
          <w:b/>
          <w:spacing w:val="8"/>
          <w:sz w:val="24"/>
          <w:highlight w:val="none"/>
        </w:rPr>
      </w:r>
      <w:r/>
    </w:p>
    <w:p>
      <w:pPr>
        <w:pStyle w:val="986"/>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宋体" w:hAnsi="宋体"/>
          <w:b/>
          <w:bCs/>
          <w:szCs w:val="21"/>
          <w:highlight w:val="none"/>
          <w:u w:val="single"/>
        </w:rPr>
        <w:t xml:space="preserve">2026年</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1</w:t>
      </w:r>
      <w:r>
        <w:rPr>
          <w:rFonts w:hint="eastAsia" w:ascii="宋体" w:hAnsi="宋体"/>
          <w:b/>
          <w:bCs/>
          <w:szCs w:val="21"/>
          <w:highlight w:val="none"/>
          <w:u w:val="single"/>
        </w:rPr>
        <w:t xml:space="preserve">日14点00分</w:t>
      </w:r>
      <w:r>
        <w:rPr>
          <w:rFonts w:hint="eastAsia" w:ascii="Arial" w:hAnsi="Arial"/>
          <w:b/>
          <w:bCs/>
          <w:szCs w:val="21"/>
          <w:highlight w:val="none"/>
        </w:rPr>
        <w:t xml:space="preserve">（北京时间）</w:t>
      </w:r>
      <w:r>
        <w:rPr>
          <w:rFonts w:ascii="Arial" w:hAnsi="Arial"/>
          <w:szCs w:val="21"/>
          <w:highlight w:val="none"/>
        </w:rPr>
      </w:r>
      <w:r/>
    </w:p>
    <w:p>
      <w:pPr>
        <w:pStyle w:val="986"/>
        <w:ind w:firstLine="420"/>
        <w:spacing w:line="360" w:lineRule="auto"/>
        <w:rPr>
          <w:rFonts w:ascii="Arial" w:hAnsi="Arial"/>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江苏省政府采购管理交易系统（苏采云）（以下简称“苏采云”）（网址： http://jszfcg.jsczt.cn/）。</w:t>
      </w:r>
      <w:r>
        <w:rPr>
          <w:rFonts w:ascii="Arial" w:hAnsi="Arial"/>
          <w:szCs w:val="21"/>
          <w:highlight w:val="none"/>
        </w:rPr>
      </w:r>
      <w:r/>
    </w:p>
    <w:p>
      <w:pPr>
        <w:pStyle w:val="986"/>
        <w:ind w:firstLine="452"/>
        <w:spacing w:line="360" w:lineRule="auto"/>
        <w:rPr>
          <w:rFonts w:ascii="Arial" w:hAnsi="Arial"/>
          <w:color w:val="00b0f0"/>
          <w:spacing w:val="8"/>
          <w:szCs w:val="21"/>
          <w:highlight w:val="none"/>
        </w:rPr>
      </w:pPr>
      <w:r>
        <w:rPr>
          <w:rFonts w:ascii="Arial" w:hAnsi="Arial"/>
          <w:color w:val="00b0f0"/>
          <w:spacing w:val="8"/>
          <w:szCs w:val="21"/>
          <w:highlight w:val="none"/>
        </w:rPr>
      </w:r>
      <w:r/>
    </w:p>
    <w:p>
      <w:pPr>
        <w:pStyle w:val="986"/>
        <w:spacing w:line="360" w:lineRule="auto"/>
        <w:shd w:val="clear" w:color="auto" w:fill="ffffff"/>
        <w:widowControl/>
        <w:rPr>
          <w:rFonts w:ascii="Arial" w:hAnsi="Arial"/>
          <w:b/>
          <w:spacing w:val="8"/>
          <w:sz w:val="24"/>
          <w:highlight w:val="none"/>
        </w:rPr>
        <w:outlineLvl w:val="1"/>
      </w:pPr>
      <w:r/>
      <w:bookmarkStart w:id="19" w:name="_Toc22940"/>
      <w:r/>
      <w:bookmarkEnd w:id="19"/>
      <w:r/>
      <w:bookmarkStart w:id="20" w:name="_Toc21891"/>
      <w:r/>
      <w:bookmarkEnd w:id="20"/>
      <w:r/>
      <w:bookmarkStart w:id="21" w:name="_Toc20870"/>
      <w:r/>
      <w:bookmarkStart w:id="22" w:name="_Toc18952"/>
      <w:r>
        <w:rPr>
          <w:rFonts w:ascii="Arial" w:hAnsi="Arial"/>
          <w:b/>
          <w:spacing w:val="8"/>
          <w:sz w:val="24"/>
          <w:highlight w:val="none"/>
        </w:rPr>
        <w:t xml:space="preserve">五、开启</w:t>
      </w:r>
      <w:bookmarkEnd w:id="21"/>
      <w:r/>
      <w:bookmarkEnd w:id="22"/>
      <w:r>
        <w:rPr>
          <w:rFonts w:ascii="Arial" w:hAnsi="Arial"/>
          <w:b/>
          <w:spacing w:val="8"/>
          <w:sz w:val="24"/>
          <w:highlight w:val="none"/>
        </w:rPr>
      </w:r>
      <w:r/>
    </w:p>
    <w:p>
      <w:pPr>
        <w:pStyle w:val="986"/>
        <w:ind w:firstLine="420"/>
        <w:spacing w:line="360" w:lineRule="auto"/>
        <w:rPr>
          <w:rFonts w:ascii="Arial" w:hAnsi="Arial"/>
          <w:szCs w:val="21"/>
          <w:highlight w:val="none"/>
        </w:rPr>
      </w:pPr>
      <w:r>
        <w:rPr>
          <w:rFonts w:ascii="Arial" w:hAnsi="Arial"/>
          <w:szCs w:val="21"/>
          <w:highlight w:val="none"/>
        </w:rPr>
        <w:t xml:space="preserve">5.1 时间：</w:t>
      </w:r>
      <w:r>
        <w:rPr>
          <w:rFonts w:hint="eastAsia" w:ascii="宋体" w:hAnsi="宋体"/>
          <w:b/>
          <w:bCs/>
          <w:szCs w:val="21"/>
          <w:highlight w:val="none"/>
          <w:u w:val="single"/>
        </w:rPr>
        <w:t xml:space="preserve">2026年</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1</w:t>
      </w:r>
      <w:r>
        <w:rPr>
          <w:rFonts w:hint="eastAsia" w:ascii="宋体" w:hAnsi="宋体"/>
          <w:b/>
          <w:bCs/>
          <w:szCs w:val="21"/>
          <w:highlight w:val="none"/>
          <w:u w:val="single"/>
        </w:rPr>
        <w:t xml:space="preserve">日14点00分</w:t>
      </w:r>
      <w:r>
        <w:rPr>
          <w:rFonts w:hint="eastAsia" w:ascii="Arial" w:hAnsi="Arial"/>
          <w:b/>
          <w:bCs/>
          <w:szCs w:val="21"/>
          <w:highlight w:val="none"/>
        </w:rPr>
        <w:t xml:space="preserve">（北京时间）</w:t>
      </w:r>
      <w:r>
        <w:rPr>
          <w:rFonts w:ascii="Arial" w:hAnsi="Arial"/>
          <w:szCs w:val="21"/>
          <w:highlight w:val="none"/>
        </w:rPr>
      </w:r>
      <w:r/>
    </w:p>
    <w:p>
      <w:pPr>
        <w:pStyle w:val="986"/>
        <w:ind w:firstLine="420"/>
        <w:spacing w:line="360" w:lineRule="auto"/>
        <w:rPr>
          <w:rFonts w:hint="eastAsia" w:ascii="Arial" w:hAnsi="Arial"/>
          <w:szCs w:val="21"/>
          <w:highlight w:val="none"/>
        </w:rPr>
      </w:pPr>
      <w:r>
        <w:rPr>
          <w:rFonts w:ascii="Arial" w:hAnsi="Arial"/>
          <w:szCs w:val="21"/>
          <w:highlight w:val="none"/>
        </w:rPr>
        <w:t xml:space="preserve">5.2 地点：</w:t>
      </w:r>
      <w:r>
        <w:rPr>
          <w:rFonts w:hint="eastAsia" w:ascii="Arial" w:hAnsi="Arial"/>
          <w:spacing w:val="8"/>
          <w:szCs w:val="21"/>
          <w:highlight w:val="none"/>
        </w:rPr>
        <w:t xml:space="preserve">江苏省政府采购管理交易系统（苏采云）（以下简称“苏采云”）（网址： http://jszfcg.jsczt.cn/）。</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r>
      <w:r/>
    </w:p>
    <w:p>
      <w:pPr>
        <w:pStyle w:val="986"/>
        <w:spacing w:line="360" w:lineRule="auto"/>
        <w:shd w:val="clear" w:color="auto" w:fill="ffffff"/>
        <w:widowControl/>
        <w:rPr>
          <w:rFonts w:ascii="Arial" w:hAnsi="Arial"/>
          <w:b/>
          <w:spacing w:val="8"/>
          <w:sz w:val="24"/>
          <w:highlight w:val="none"/>
        </w:rPr>
        <w:outlineLvl w:val="1"/>
      </w:pPr>
      <w:r/>
      <w:bookmarkStart w:id="23" w:name="_Toc23729"/>
      <w:r/>
      <w:bookmarkEnd w:id="23"/>
      <w:r/>
      <w:bookmarkStart w:id="24" w:name="_Toc26308"/>
      <w:r/>
      <w:bookmarkEnd w:id="24"/>
      <w:r/>
      <w:bookmarkStart w:id="25" w:name="_Toc11731"/>
      <w:r/>
      <w:bookmarkStart w:id="26" w:name="_Toc31233"/>
      <w:r>
        <w:rPr>
          <w:rFonts w:ascii="Arial" w:hAnsi="Arial"/>
          <w:b/>
          <w:spacing w:val="8"/>
          <w:sz w:val="24"/>
          <w:highlight w:val="none"/>
        </w:rPr>
        <w:t xml:space="preserve">六、公告期限</w:t>
      </w:r>
      <w:bookmarkEnd w:id="25"/>
      <w:r/>
      <w:bookmarkEnd w:id="26"/>
      <w:r>
        <w:rPr>
          <w:rFonts w:ascii="Arial" w:hAnsi="Arial"/>
          <w:b/>
          <w:spacing w:val="8"/>
          <w:sz w:val="24"/>
          <w:highlight w:val="none"/>
        </w:rPr>
      </w:r>
      <w:r/>
    </w:p>
    <w:p>
      <w:pPr>
        <w:pStyle w:val="986"/>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自本公告发布之日起3个工作日。</w:t>
      </w:r>
      <w:r>
        <w:rPr>
          <w:rFonts w:ascii="Arial" w:hAnsi="Arial"/>
          <w:spacing w:val="8"/>
          <w:szCs w:val="21"/>
          <w:highlight w:val="none"/>
        </w:rPr>
      </w:r>
      <w:r/>
    </w:p>
    <w:p>
      <w:pPr>
        <w:pStyle w:val="986"/>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pStyle w:val="986"/>
        <w:spacing w:line="360" w:lineRule="auto"/>
        <w:shd w:val="clear" w:color="auto" w:fill="ffffff"/>
        <w:widowControl/>
        <w:tabs>
          <w:tab w:val="left" w:pos="426" w:leader="none"/>
        </w:tabs>
        <w:rPr>
          <w:rFonts w:ascii="Arial" w:hAnsi="Arial"/>
          <w:b/>
          <w:spacing w:val="8"/>
          <w:sz w:val="24"/>
          <w:highlight w:val="none"/>
        </w:rPr>
        <w:outlineLvl w:val="1"/>
      </w:pPr>
      <w:r/>
      <w:bookmarkStart w:id="27" w:name="_Toc11013"/>
      <w:r/>
      <w:bookmarkEnd w:id="27"/>
      <w:r/>
      <w:bookmarkStart w:id="28" w:name="_Toc29605"/>
      <w:r/>
      <w:bookmarkEnd w:id="28"/>
      <w:r/>
      <w:bookmarkStart w:id="29" w:name="_Toc31264"/>
      <w:r/>
      <w:bookmarkStart w:id="30" w:name="_Toc10872"/>
      <w:r>
        <w:rPr>
          <w:rFonts w:ascii="Arial" w:hAnsi="Arial"/>
          <w:b/>
          <w:spacing w:val="8"/>
          <w:sz w:val="24"/>
          <w:highlight w:val="none"/>
        </w:rPr>
        <w:t xml:space="preserve">七、其他补充事宜</w:t>
      </w:r>
      <w:bookmarkEnd w:id="29"/>
      <w:r/>
      <w:bookmarkEnd w:id="30"/>
      <w:r>
        <w:rPr>
          <w:rFonts w:ascii="Arial" w:hAnsi="Arial"/>
          <w:b/>
          <w:spacing w:val="8"/>
          <w:sz w:val="24"/>
          <w:highlight w:val="none"/>
        </w:rPr>
      </w:r>
      <w:r/>
    </w:p>
    <w:p>
      <w:pPr>
        <w:pStyle w:val="986"/>
        <w:ind w:firstLine="420"/>
        <w:spacing w:line="360" w:lineRule="auto"/>
        <w:rPr>
          <w:rFonts w:ascii="Arial" w:hAnsi="Arial"/>
          <w:highlight w:val="none"/>
        </w:rPr>
      </w:pPr>
      <w:r>
        <w:rPr>
          <w:rFonts w:ascii="Arial" w:hAnsi="Arial"/>
          <w:highlight w:val="none"/>
        </w:rPr>
        <w:t xml:space="preserve">7.1</w:t>
      </w:r>
      <w:r>
        <w:rPr>
          <w:rFonts w:ascii="Arial"/>
          <w:highlight w:val="none"/>
        </w:rPr>
        <w:t xml:space="preserve">本项目在</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ascii="Arial"/>
          <w:highlight w:val="none"/>
        </w:rPr>
        <w:t xml:space="preserve">网站发布公告。</w:t>
      </w:r>
      <w:r>
        <w:rPr>
          <w:rFonts w:ascii="Arial" w:hAnsi="Arial"/>
          <w:highlight w:val="none"/>
        </w:rPr>
      </w:r>
      <w:r/>
    </w:p>
    <w:p>
      <w:pPr>
        <w:pStyle w:val="986"/>
        <w:ind w:firstLine="420"/>
        <w:spacing w:line="360" w:lineRule="auto"/>
        <w:rPr>
          <w:rFonts w:hint="eastAsia" w:ascii="Arial" w:hAnsi="Arial"/>
          <w:highlight w:val="none"/>
        </w:rPr>
      </w:pPr>
      <w:r>
        <w:rPr>
          <w:rFonts w:hint="eastAsia" w:ascii="Arial" w:hAnsi="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Arial" w:hAnsi="Arial"/>
          <w:highlight w:val="none"/>
        </w:rPr>
      </w:r>
      <w:r/>
    </w:p>
    <w:p>
      <w:pPr>
        <w:pStyle w:val="986"/>
        <w:ind w:firstLine="420"/>
        <w:spacing w:line="360" w:lineRule="auto"/>
        <w:rPr>
          <w:rFonts w:hint="eastAsia" w:ascii="Arial" w:hAnsi="Arial"/>
          <w:highlight w:val="none"/>
        </w:rPr>
      </w:pPr>
      <w:r>
        <w:rPr>
          <w:rFonts w:hint="eastAsia" w:ascii="Arial" w:hAnsi="Arial"/>
          <w:highlight w:val="none"/>
        </w:rPr>
        <w:t xml:space="preserve">操作手册下载地址：http://www.ccgp-jiangsu.gov.cn/jiangsu/zlxz/ee/ee3a4bc5a3454aa2b0d9312230633ce9.html</w:t>
      </w:r>
      <w:r>
        <w:rPr>
          <w:rFonts w:hint="eastAsia" w:ascii="Arial" w:hAnsi="Arial"/>
          <w:highlight w:val="none"/>
        </w:rPr>
      </w:r>
      <w:r/>
    </w:p>
    <w:p>
      <w:pPr>
        <w:pStyle w:val="986"/>
        <w:ind w:firstLine="420"/>
        <w:spacing w:line="360" w:lineRule="auto"/>
        <w:rPr>
          <w:rFonts w:hint="eastAsia" w:ascii="Arial" w:hAnsi="Arial"/>
          <w:highlight w:val="none"/>
        </w:rPr>
      </w:pPr>
      <w:r>
        <w:rPr>
          <w:rFonts w:hint="eastAsia" w:ascii="Arial" w:hAnsi="Arial"/>
          <w:highlight w:val="none"/>
        </w:rPr>
        <w:t xml:space="preserve">首次登录“苏采云”系统的新用户，登录网址后，点击“用户注册”--“新CA办理指南”--获取CA后绑定、登录系统--采购项目参与--下载采购文件（文件后缀名为“.kedt”）。 </w:t>
      </w:r>
      <w:r>
        <w:rPr>
          <w:rFonts w:hint="eastAsia" w:ascii="Arial" w:hAnsi="Arial"/>
          <w:highlight w:val="none"/>
        </w:rPr>
      </w:r>
      <w:r/>
    </w:p>
    <w:p>
      <w:pPr>
        <w:pStyle w:val="986"/>
        <w:ind w:firstLine="420"/>
        <w:spacing w:line="360" w:lineRule="auto"/>
        <w:rPr>
          <w:rFonts w:hint="eastAsia" w:ascii="Arial" w:hAnsi="Arial"/>
          <w:highlight w:val="none"/>
        </w:rPr>
      </w:pPr>
      <w:r>
        <w:rPr>
          <w:rFonts w:hint="eastAsia" w:ascii="Arial" w:hAnsi="Arial"/>
          <w:highlight w:val="none"/>
        </w:rPr>
        <w:t xml:space="preserve">“苏采云”南京地区客服热线025-83633744、025-83633743。</w:t>
      </w:r>
      <w:r>
        <w:rPr>
          <w:rFonts w:hint="eastAsia" w:ascii="Arial" w:hAnsi="Arial"/>
          <w:highlight w:val="none"/>
        </w:rPr>
      </w:r>
      <w:r/>
    </w:p>
    <w:p>
      <w:pPr>
        <w:pStyle w:val="986"/>
        <w:ind w:firstLine="420"/>
        <w:spacing w:line="360" w:lineRule="auto"/>
        <w:rPr>
          <w:rFonts w:ascii="Arial" w:hAnsi="Arial"/>
          <w:highlight w:val="none"/>
        </w:rPr>
      </w:pPr>
      <w:r>
        <w:rPr>
          <w:rFonts w:ascii="Arial" w:hAnsi="Arial"/>
          <w:highlight w:val="none"/>
        </w:rPr>
        <w:t xml:space="preserve">7</w:t>
      </w:r>
      <w:r>
        <w:rPr>
          <w:rFonts w:hint="eastAsia" w:ascii="Arial" w:hAnsi="Arial"/>
          <w:highlight w:val="none"/>
        </w:rPr>
        <w:t xml:space="preserve">.3</w:t>
      </w:r>
      <w:r>
        <w:rPr>
          <w:rFonts w:ascii="Arial" w:hAnsi="Arial"/>
          <w:highlight w:val="none"/>
        </w:rPr>
        <w:t xml:space="preserve"> 勘察现场或答疑：无</w:t>
      </w:r>
      <w:r>
        <w:rPr>
          <w:rFonts w:ascii="Arial" w:hAnsi="Arial"/>
          <w:highlight w:val="none"/>
        </w:rPr>
      </w:r>
      <w:r/>
    </w:p>
    <w:p>
      <w:pPr>
        <w:pStyle w:val="986"/>
        <w:ind w:firstLine="420"/>
        <w:spacing w:line="360" w:lineRule="auto"/>
        <w:rPr>
          <w:rFonts w:ascii="Arial" w:hAnsi="Arial"/>
          <w:b/>
          <w:bCs/>
          <w:highlight w:val="none"/>
        </w:rPr>
      </w:pPr>
      <w:r>
        <w:rPr>
          <w:rFonts w:ascii="Arial" w:hAnsi="Arial"/>
          <w:highlight w:val="none"/>
        </w:rPr>
        <w:t xml:space="preserve">7.</w:t>
      </w:r>
      <w:r>
        <w:rPr>
          <w:rFonts w:hint="eastAsia" w:ascii="Arial" w:hAnsi="Arial"/>
          <w:highlight w:val="none"/>
        </w:rPr>
        <w:t xml:space="preserve">4 </w:t>
      </w:r>
      <w:r>
        <w:rPr>
          <w:rFonts w:hint="eastAsia" w:ascii="Arial" w:hAnsi="Arial"/>
          <w:b/>
          <w:bCs/>
          <w:highlight w:val="none"/>
        </w:rPr>
        <w:t xml:space="preserve">政府采购信用承诺</w:t>
      </w:r>
      <w:r>
        <w:rPr>
          <w:rFonts w:ascii="Arial" w:hAnsi="Arial"/>
          <w:b/>
          <w:bCs/>
          <w:highlight w:val="none"/>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在政府采购资格审查环节，供应商只需提供书面《南京市政府采购供应商信用承诺书》，即可替代以下证明材料： </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Cs w:val="21"/>
          <w:highlight w:val="none"/>
          <w:lang w:val="zh-CN"/>
        </w:rPr>
      </w:r>
      <w:r/>
    </w:p>
    <w:p>
      <w:pPr>
        <w:pStyle w:val="986"/>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rPr>
          <w:rFonts w:hint="eastAsia" w:ascii="宋体" w:hAnsi="宋体" w:cs="宋体"/>
          <w:b/>
          <w:bCs/>
          <w:szCs w:val="21"/>
          <w:highlight w:val="none"/>
          <w:lang w:val="zh-CN"/>
        </w:rPr>
      </w:r>
      <w:r/>
    </w:p>
    <w:p>
      <w:pPr>
        <w:pStyle w:val="986"/>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rPr>
          <w:rFonts w:hint="eastAsia" w:ascii="宋体" w:hAnsi="宋体" w:cs="宋体"/>
          <w:b/>
          <w:bCs/>
          <w:szCs w:val="21"/>
          <w:highlight w:val="none"/>
          <w:lang w:val="zh-CN"/>
        </w:rPr>
      </w:r>
      <w:r/>
    </w:p>
    <w:p>
      <w:pPr>
        <w:pStyle w:val="986"/>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rPr>
          <w:rFonts w:hint="eastAsia" w:ascii="宋体" w:hAnsi="宋体" w:cs="宋体"/>
          <w:b/>
          <w:bCs/>
          <w:szCs w:val="21"/>
          <w:highlight w:val="none"/>
          <w:lang w:val="zh-CN"/>
        </w:rPr>
      </w:r>
      <w:r/>
    </w:p>
    <w:p>
      <w:pPr>
        <w:pStyle w:val="986"/>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rPr>
          <w:rFonts w:hint="eastAsia" w:ascii="宋体" w:hAnsi="宋体" w:cs="宋体"/>
          <w:b/>
          <w:bCs/>
          <w:szCs w:val="21"/>
          <w:highlight w:val="none"/>
          <w:lang w:val="zh-CN"/>
        </w:rPr>
      </w:r>
      <w:r/>
    </w:p>
    <w:p>
      <w:pPr>
        <w:pStyle w:val="986"/>
        <w:ind w:firstLine="365"/>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lang w:val="zh-CN"/>
        </w:rPr>
      </w:pPr>
      <w:r>
        <w:rPr>
          <w:rFonts w:ascii="Arial" w:hAnsi="Arial"/>
          <w:highlight w:val="none"/>
        </w:rPr>
        <w:t xml:space="preserve">7.</w:t>
      </w:r>
      <w:r>
        <w:rPr>
          <w:rFonts w:hint="eastAsia" w:ascii="Arial" w:hAnsi="Arial"/>
          <w:highlight w:val="none"/>
        </w:rPr>
        <w:t xml:space="preserve">5</w:t>
      </w:r>
      <w:r>
        <w:rPr>
          <w:rFonts w:hint="eastAsia" w:ascii="宋体" w:hAnsi="宋体" w:cs="宋体"/>
          <w:szCs w:val="21"/>
          <w:highlight w:val="none"/>
          <w:lang w:val="zh-CN"/>
        </w:rPr>
        <w:t xml:space="preserve"> 有关本次采购的事项若存在变动或修改，请及时关注“江苏政府采购网”（www.ccgp-jiangsu.gov.cn）更正公告。</w:t>
      </w:r>
      <w:r>
        <w:rPr>
          <w:rFonts w:hint="eastAsia" w:ascii="宋体" w:hAnsi="宋体" w:cs="宋体"/>
          <w:szCs w:val="21"/>
          <w:highlight w:val="none"/>
          <w:lang w:val="zh-CN"/>
        </w:rPr>
      </w:r>
      <w:r/>
    </w:p>
    <w:p>
      <w:pPr>
        <w:pStyle w:val="986"/>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86"/>
        <w:spacing w:line="360" w:lineRule="auto"/>
        <w:shd w:val="clear" w:color="auto" w:fill="ffffff"/>
        <w:widowControl/>
        <w:tabs>
          <w:tab w:val="left" w:pos="426" w:leader="none"/>
        </w:tabs>
        <w:rPr>
          <w:rFonts w:ascii="Arial" w:hAnsi="Arial"/>
          <w:b/>
          <w:spacing w:val="8"/>
          <w:sz w:val="24"/>
          <w:highlight w:val="none"/>
        </w:rPr>
        <w:outlineLvl w:val="1"/>
      </w:pPr>
      <w:r/>
      <w:bookmarkStart w:id="31" w:name="_Toc18338"/>
      <w:r/>
      <w:bookmarkEnd w:id="31"/>
      <w:r/>
      <w:bookmarkStart w:id="32" w:name="_Toc7011"/>
      <w:r/>
      <w:bookmarkEnd w:id="32"/>
      <w:r/>
      <w:bookmarkStart w:id="33" w:name="_Toc12496"/>
      <w:r/>
      <w:bookmarkStart w:id="34" w:name="_Toc14111"/>
      <w:r>
        <w:rPr>
          <w:rFonts w:ascii="Arial" w:hAnsi="Arial"/>
          <w:b/>
          <w:spacing w:val="8"/>
          <w:sz w:val="24"/>
          <w:highlight w:val="none"/>
        </w:rPr>
        <w:t xml:space="preserve">八、对本次采购提出询问，请按以下方式联系。</w:t>
      </w:r>
      <w:bookmarkEnd w:id="33"/>
      <w:r/>
      <w:bookmarkEnd w:id="34"/>
      <w:r>
        <w:rPr>
          <w:rFonts w:ascii="Arial" w:hAnsi="Arial"/>
          <w:b/>
          <w:spacing w:val="8"/>
          <w:sz w:val="24"/>
          <w:highlight w:val="none"/>
        </w:rPr>
      </w:r>
      <w:r/>
    </w:p>
    <w:p>
      <w:pPr>
        <w:pStyle w:val="986"/>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　  8.1采购人信息</w:t>
      </w:r>
      <w:r>
        <w:rPr>
          <w:rFonts w:ascii="Arial" w:hAnsi="Arial"/>
          <w:spacing w:val="8"/>
          <w:szCs w:val="21"/>
          <w:highlight w:val="none"/>
        </w:rPr>
      </w:r>
      <w:r/>
    </w:p>
    <w:p>
      <w:pPr>
        <w:pStyle w:val="986"/>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名称：南京江北新区管理委员会市场监督管理局</w:t>
      </w:r>
      <w:r>
        <w:rPr>
          <w:rFonts w:hint="eastAsia" w:ascii="Arial" w:hAnsi="Arial" w:cs="Arial"/>
          <w:spacing w:val="8"/>
          <w:szCs w:val="21"/>
          <w:highlight w:val="none"/>
        </w:rPr>
      </w:r>
      <w:r/>
    </w:p>
    <w:p>
      <w:pPr>
        <w:pStyle w:val="986"/>
        <w:ind w:firstLine="452"/>
        <w:jc w:val="left"/>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联系人：孙晖 曹晓慧</w:t>
      </w:r>
      <w:r>
        <w:rPr>
          <w:rFonts w:ascii="Arial" w:hAnsi="Arial" w:cs="Arial"/>
          <w:spacing w:val="8"/>
          <w:szCs w:val="21"/>
          <w:highlight w:val="none"/>
        </w:rPr>
      </w:r>
      <w:r/>
    </w:p>
    <w:p>
      <w:pPr>
        <w:pStyle w:val="986"/>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联系电话：0</w:t>
      </w:r>
      <w:r>
        <w:rPr>
          <w:rFonts w:ascii="Arial" w:hAnsi="Arial" w:cs="Arial"/>
          <w:spacing w:val="8"/>
          <w:szCs w:val="21"/>
          <w:highlight w:val="none"/>
        </w:rPr>
        <w:t xml:space="preserve">25-58852601</w:t>
      </w:r>
      <w:r>
        <w:rPr>
          <w:rFonts w:hint="eastAsia" w:ascii="Arial" w:hAnsi="Arial" w:cs="Arial"/>
          <w:spacing w:val="8"/>
          <w:szCs w:val="21"/>
          <w:highlight w:val="none"/>
        </w:rPr>
        <w:t xml:space="preserve">  </w:t>
      </w:r>
      <w:r>
        <w:rPr>
          <w:rFonts w:ascii="Arial" w:hAnsi="Arial" w:cs="Arial"/>
          <w:spacing w:val="8"/>
          <w:szCs w:val="21"/>
          <w:highlight w:val="none"/>
        </w:rPr>
        <w:t xml:space="preserve">025-58180926</w:t>
      </w:r>
      <w:r>
        <w:rPr>
          <w:rFonts w:hint="eastAsia" w:ascii="Arial" w:hAnsi="Arial" w:cs="Arial"/>
          <w:spacing w:val="8"/>
          <w:szCs w:val="21"/>
          <w:highlight w:val="none"/>
        </w:rPr>
      </w:r>
      <w:r/>
    </w:p>
    <w:p>
      <w:pPr>
        <w:pStyle w:val="986"/>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地址：南京市江北新区泰山街道浦珠北路1</w:t>
      </w:r>
      <w:r>
        <w:rPr>
          <w:rFonts w:ascii="Arial" w:hAnsi="Arial" w:cs="Arial"/>
          <w:spacing w:val="8"/>
          <w:szCs w:val="21"/>
          <w:highlight w:val="none"/>
        </w:rPr>
        <w:t xml:space="preserve">51</w:t>
      </w:r>
      <w:r>
        <w:rPr>
          <w:rFonts w:hint="eastAsia" w:ascii="Arial" w:hAnsi="Arial" w:cs="Arial"/>
          <w:spacing w:val="8"/>
          <w:szCs w:val="21"/>
          <w:highlight w:val="none"/>
        </w:rPr>
        <w:t xml:space="preserve">号</w:t>
      </w:r>
      <w:r>
        <w:rPr>
          <w:rFonts w:hint="eastAsia" w:ascii="Arial" w:hAnsi="Arial" w:cs="Arial"/>
          <w:spacing w:val="8"/>
          <w:szCs w:val="21"/>
          <w:highlight w:val="none"/>
        </w:rPr>
      </w:r>
      <w:r/>
    </w:p>
    <w:p>
      <w:pPr>
        <w:pStyle w:val="986"/>
        <w:ind w:firstLine="452"/>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8.2采购代理机构信息</w:t>
      </w:r>
      <w:r>
        <w:rPr>
          <w:rFonts w:ascii="Arial" w:hAnsi="Arial"/>
          <w:spacing w:val="8"/>
          <w:szCs w:val="21"/>
          <w:highlight w:val="none"/>
        </w:rPr>
      </w:r>
      <w:r/>
    </w:p>
    <w:p>
      <w:pPr>
        <w:pStyle w:val="986"/>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名称：江苏省设备成套股份有限公司</w:t>
      </w:r>
      <w:r>
        <w:rPr>
          <w:rFonts w:hint="eastAsia" w:ascii="Arial" w:hAnsi="Arial"/>
          <w:spacing w:val="8"/>
          <w:szCs w:val="21"/>
          <w:highlight w:val="none"/>
        </w:rPr>
      </w:r>
      <w:r/>
    </w:p>
    <w:p>
      <w:pPr>
        <w:pStyle w:val="986"/>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联系人：左卢成 唐大维</w:t>
      </w:r>
      <w:r>
        <w:rPr>
          <w:rFonts w:hint="eastAsia" w:ascii="Arial" w:hAnsi="Arial"/>
          <w:spacing w:val="8"/>
          <w:szCs w:val="21"/>
          <w:highlight w:val="none"/>
        </w:rPr>
      </w:r>
      <w:r/>
    </w:p>
    <w:p>
      <w:pPr>
        <w:pStyle w:val="986"/>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电话：025-83314167</w:t>
      </w:r>
      <w:r>
        <w:rPr>
          <w:rFonts w:hint="eastAsia" w:ascii="Arial" w:hAnsi="Arial"/>
          <w:spacing w:val="8"/>
          <w:szCs w:val="21"/>
          <w:highlight w:val="none"/>
        </w:rPr>
      </w:r>
      <w:r/>
    </w:p>
    <w:p>
      <w:pPr>
        <w:pStyle w:val="986"/>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邮箱：zuolc@jcec.cn</w:t>
      </w:r>
      <w:r>
        <w:rPr>
          <w:rFonts w:hint="eastAsia" w:ascii="Arial" w:hAnsi="Arial"/>
          <w:spacing w:val="8"/>
          <w:szCs w:val="21"/>
          <w:highlight w:val="none"/>
        </w:rPr>
      </w:r>
      <w:r/>
    </w:p>
    <w:p>
      <w:pPr>
        <w:pStyle w:val="986"/>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地址：江苏省南京市鼓楼区清江南路18号鼓楼创新广场D栋10楼1001室</w:t>
      </w:r>
      <w:r>
        <w:rPr>
          <w:rFonts w:ascii="Arial" w:hAnsi="Arial"/>
          <w:spacing w:val="8"/>
          <w:szCs w:val="21"/>
          <w:highlight w:val="none"/>
        </w:rPr>
        <w:t xml:space="preserve"> </w:t>
      </w:r>
      <w:r>
        <w:rPr>
          <w:rFonts w:hint="eastAsia" w:ascii="Arial" w:hAnsi="Arial"/>
          <w:spacing w:val="8"/>
          <w:szCs w:val="21"/>
          <w:highlight w:val="none"/>
        </w:rPr>
      </w:r>
      <w:r/>
    </w:p>
    <w:p>
      <w:pPr>
        <w:pStyle w:val="986"/>
        <w:ind w:firstLine="452"/>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8.3项目联系方式</w:t>
      </w:r>
      <w:r>
        <w:rPr>
          <w:rFonts w:ascii="Arial" w:hAnsi="Arial"/>
          <w:spacing w:val="8"/>
          <w:szCs w:val="21"/>
          <w:highlight w:val="none"/>
        </w:rPr>
      </w:r>
      <w:r/>
    </w:p>
    <w:p>
      <w:pPr>
        <w:pStyle w:val="986"/>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联系人：左卢成 唐大维</w:t>
      </w:r>
      <w:r>
        <w:rPr>
          <w:rFonts w:hint="eastAsia" w:ascii="Arial" w:hAnsi="Arial"/>
          <w:spacing w:val="8"/>
          <w:szCs w:val="21"/>
          <w:highlight w:val="none"/>
        </w:rPr>
      </w:r>
      <w:r/>
    </w:p>
    <w:p>
      <w:pPr>
        <w:pStyle w:val="986"/>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电话：025-83314167</w:t>
      </w:r>
      <w:r>
        <w:rPr>
          <w:rFonts w:hint="eastAsia" w:ascii="Arial" w:hAnsi="Arial"/>
          <w:spacing w:val="8"/>
          <w:szCs w:val="21"/>
          <w:highlight w:val="none"/>
        </w:rPr>
      </w:r>
      <w:r/>
    </w:p>
    <w:p>
      <w:pPr>
        <w:pStyle w:val="1058"/>
        <w:rPr>
          <w:rFonts w:ascii="Arial" w:hAnsi="Arial"/>
          <w:color w:val="000000"/>
          <w:highlight w:val="none"/>
          <w:lang w:val="zh-CN"/>
        </w:rPr>
      </w:pPr>
      <w:r>
        <w:rPr>
          <w:rFonts w:ascii="Arial" w:hAnsi="Arial"/>
          <w:color w:val="000000"/>
          <w:highlight w:val="none"/>
          <w:lang w:val="zh-CN"/>
        </w:rPr>
        <w:br w:type="page" w:clear="all"/>
      </w:r>
      <w:bookmarkStart w:id="35" w:name="_Toc22082"/>
      <w:r>
        <w:rPr>
          <w:rFonts w:ascii="Arial" w:hAnsi="Arial"/>
          <w:highlight w:val="none"/>
          <w:lang w:val="zh-CN"/>
        </w:rPr>
        <w:t xml:space="preserve">第二章  竞争性磋商须知</w:t>
      </w:r>
      <w:bookmarkEnd w:id="35"/>
      <w:r>
        <w:rPr>
          <w:rFonts w:ascii="Arial" w:hAnsi="Arial"/>
          <w:color w:val="000000"/>
          <w:highlight w:val="none"/>
          <w:lang w:val="zh-CN"/>
        </w:rPr>
      </w:r>
      <w:r/>
    </w:p>
    <w:p>
      <w:pPr>
        <w:pStyle w:val="986"/>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rPr>
          <w:rFonts w:ascii="Arial" w:hAnsi="Arial"/>
          <w:b/>
          <w:bCs/>
          <w:szCs w:val="21"/>
          <w:highlight w:val="none"/>
          <w:lang w:val="zh-CN"/>
        </w:rPr>
      </w:r>
      <w:r/>
    </w:p>
    <w:p>
      <w:pPr>
        <w:pStyle w:val="986"/>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rPr>
          <w:rFonts w:ascii="Arial" w:hAnsi="Arial"/>
          <w:b/>
          <w:szCs w:val="21"/>
          <w:highlight w:val="none"/>
          <w:lang w:val="zh-CN"/>
        </w:rPr>
      </w:r>
      <w:r/>
    </w:p>
    <w:p>
      <w:pPr>
        <w:pStyle w:val="986"/>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rPr>
          <w:rFonts w:ascii="Arial" w:hAnsi="Arial"/>
          <w:szCs w:val="21"/>
          <w:highlight w:val="none"/>
          <w:lang w:val="zh-CN"/>
        </w:rPr>
      </w:r>
      <w:r/>
    </w:p>
    <w:p>
      <w:pPr>
        <w:pStyle w:val="986"/>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rPr>
          <w:rFonts w:ascii="Arial" w:hAnsi="Arial"/>
          <w:b/>
          <w:szCs w:val="21"/>
          <w:highlight w:val="none"/>
          <w:lang w:val="zh-CN"/>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rPr>
          <w:rFonts w:ascii="Arial" w:hAnsi="Arial"/>
          <w:szCs w:val="21"/>
          <w:highlight w:val="none"/>
        </w:rPr>
      </w:r>
      <w:r/>
    </w:p>
    <w:p>
      <w:pPr>
        <w:pStyle w:val="986"/>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rPr>
          <w:rFonts w:hint="eastAsia"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rPr>
          <w:rFonts w:ascii="Arial" w:hAnsi="Arial"/>
          <w:szCs w:val="21"/>
          <w:highlight w:val="none"/>
        </w:rPr>
      </w:r>
      <w:r/>
    </w:p>
    <w:p>
      <w:pPr>
        <w:pStyle w:val="986"/>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rPr>
          <w:rFonts w:ascii="Arial" w:hAnsi="Arial"/>
          <w:b/>
          <w:szCs w:val="21"/>
          <w:highlight w:val="none"/>
          <w:lang w:val="zh-CN"/>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rPr>
          <w:rFonts w:ascii="Arial" w:hAnsi="Arial"/>
          <w:szCs w:val="21"/>
          <w:highlight w:val="none"/>
        </w:rPr>
      </w:r>
      <w:r/>
    </w:p>
    <w:p>
      <w:pPr>
        <w:pStyle w:val="986"/>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3.7 本国产品支持政策</w:t>
      </w:r>
      <w:r>
        <w:rPr>
          <w:rFonts w:hint="eastAsia" w:ascii="Arial" w:hAnsi="Arial"/>
          <w:szCs w:val="21"/>
          <w:highlight w:val="none"/>
        </w:rPr>
      </w:r>
      <w:r/>
    </w:p>
    <w:p>
      <w:pPr>
        <w:pStyle w:val="986"/>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1）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w:t>
      </w:r>
      <w:r>
        <w:rPr>
          <w:rFonts w:hint="eastAsia" w:ascii="Arial" w:hAnsi="Arial"/>
          <w:szCs w:val="21"/>
          <w:highlight w:val="none"/>
        </w:rPr>
        <w:t xml:space="preserve">8</w:t>
      </w:r>
      <w:r>
        <w:rPr>
          <w:rFonts w:ascii="Arial" w:hAnsi="Arial"/>
          <w:szCs w:val="21"/>
          <w:highlight w:val="none"/>
        </w:rPr>
        <w:t xml:space="preserve">未按要求提供相关材料的，不享受相关政策。</w:t>
      </w:r>
      <w:r>
        <w:rPr>
          <w:rFonts w:ascii="Arial" w:hAnsi="Arial"/>
          <w:szCs w:val="21"/>
          <w:highlight w:val="none"/>
        </w:rPr>
      </w:r>
      <w:r/>
    </w:p>
    <w:p>
      <w:pPr>
        <w:pStyle w:val="986"/>
        <w:numPr>
          <w:ilvl w:val="0"/>
          <w:numId w:val="6"/>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rPr>
          <w:rFonts w:hint="eastAsia" w:ascii="Arial" w:hAnsi="Arial"/>
          <w:b/>
          <w:szCs w:val="21"/>
          <w:highlight w:val="none"/>
        </w:rPr>
      </w:r>
      <w:r/>
    </w:p>
    <w:p>
      <w:pPr>
        <w:pStyle w:val="986"/>
        <w:numPr>
          <w:ilvl w:val="0"/>
          <w:numId w:val="7"/>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rPr>
          <w:rFonts w:ascii="Arial" w:hAnsi="Arial"/>
          <w:b/>
          <w:bCs/>
          <w:szCs w:val="21"/>
          <w:highlight w:val="none"/>
          <w:lang w:val="zh-CN"/>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rPr>
          <w:rFonts w:ascii="Arial" w:hAnsi="Arial"/>
          <w:szCs w:val="21"/>
          <w:highlight w:val="none"/>
        </w:rPr>
      </w:r>
      <w:r/>
    </w:p>
    <w:p>
      <w:pPr>
        <w:pStyle w:val="986"/>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rPr>
          <w:rFonts w:hint="eastAsia" w:ascii="Arial" w:hAnsi="宋体"/>
          <w:szCs w:val="21"/>
          <w:highlight w:val="none"/>
        </w:rPr>
      </w:r>
      <w:r/>
    </w:p>
    <w:p>
      <w:pPr>
        <w:pStyle w:val="986"/>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rPr>
          <w:rFonts w:hint="eastAsia" w:ascii="Arial" w:hAnsi="宋体"/>
          <w:szCs w:val="21"/>
          <w:highlight w:val="none"/>
        </w:rPr>
      </w:r>
      <w:r/>
    </w:p>
    <w:p>
      <w:pPr>
        <w:pStyle w:val="986"/>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rPr>
          <w:rFonts w:hint="eastAsia" w:ascii="Arial" w:hAnsi="宋体"/>
          <w:szCs w:val="21"/>
          <w:highlight w:val="none"/>
        </w:rPr>
      </w:r>
      <w:r/>
    </w:p>
    <w:p>
      <w:pPr>
        <w:pStyle w:val="986"/>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rPr>
          <w:rFonts w:hint="eastAsia" w:ascii="Arial" w:hAnsi="宋体"/>
          <w:szCs w:val="21"/>
          <w:highlight w:val="none"/>
        </w:rPr>
      </w:r>
      <w:r/>
    </w:p>
    <w:p>
      <w:pPr>
        <w:pStyle w:val="986"/>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rPr>
          <w:rFonts w:hint="eastAsia" w:ascii="Arial" w:hAnsi="宋体"/>
          <w:szCs w:val="21"/>
          <w:highlight w:val="none"/>
        </w:rPr>
      </w:r>
      <w:r/>
    </w:p>
    <w:p>
      <w:pPr>
        <w:pStyle w:val="986"/>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rPr>
          <w:rFonts w:hint="eastAsia" w:ascii="Arial" w:hAnsi="宋体"/>
          <w:szCs w:val="21"/>
          <w:highlight w:val="none"/>
        </w:rPr>
      </w:r>
      <w:r/>
    </w:p>
    <w:p>
      <w:pPr>
        <w:pStyle w:val="986"/>
        <w:numPr>
          <w:ilvl w:val="0"/>
          <w:numId w:val="7"/>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rPr>
          <w:rFonts w:hint="eastAsia" w:ascii="Arial" w:hAnsi="Arial"/>
          <w:b/>
          <w:bCs/>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rPr>
          <w:rFonts w:ascii="Arial" w:hAnsi="Arial"/>
          <w:szCs w:val="21"/>
          <w:highlight w:val="none"/>
        </w:rPr>
      </w:r>
      <w:r/>
    </w:p>
    <w:p>
      <w:pPr>
        <w:pStyle w:val="986"/>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rPr>
          <w:rFonts w:ascii="Arial" w:hAnsi="宋体"/>
          <w:szCs w:val="21"/>
          <w:highlight w:val="none"/>
        </w:rPr>
      </w:r>
      <w:r/>
    </w:p>
    <w:p>
      <w:pPr>
        <w:pStyle w:val="986"/>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rPr>
          <w:rFonts w:hint="eastAsia" w:ascii="Arial" w:hAnsi="Arial"/>
          <w:b/>
          <w:szCs w:val="21"/>
          <w:highlight w:val="none"/>
        </w:rPr>
      </w:r>
      <w:r/>
    </w:p>
    <w:p>
      <w:pPr>
        <w:pStyle w:val="986"/>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rPr>
          <w:rFonts w:hint="eastAsia" w:ascii="Arial" w:hAnsi="Arial"/>
          <w:b/>
          <w:bCs/>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rPr>
          <w:rFonts w:hint="eastAsia" w:ascii="Arial" w:hAnsi="Arial"/>
          <w:szCs w:val="21"/>
          <w:highlight w:val="none"/>
        </w:rPr>
      </w:r>
      <w:r/>
    </w:p>
    <w:p>
      <w:pPr>
        <w:pStyle w:val="986"/>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rPr>
          <w:rFonts w:hint="eastAsia" w:ascii="Arial" w:hAnsi="Arial"/>
          <w:b/>
          <w:bCs/>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rPr>
          <w:rFonts w:hint="eastAsia" w:ascii="Arial" w:hAnsi="Arial"/>
          <w:szCs w:val="21"/>
          <w:highlight w:val="none"/>
        </w:rPr>
      </w:r>
      <w:r/>
    </w:p>
    <w:p>
      <w:pPr>
        <w:pStyle w:val="986"/>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rPr>
          <w:rFonts w:hint="eastAsia" w:ascii="Arial" w:hAnsi="Arial"/>
          <w:szCs w:val="21"/>
          <w:highlight w:val="none"/>
        </w:rPr>
      </w:r>
      <w:r/>
    </w:p>
    <w:p>
      <w:pPr>
        <w:pStyle w:val="986"/>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hint="eastAsia" w:ascii="Arial" w:hAnsi="Arial"/>
          <w:b/>
          <w:szCs w:val="21"/>
          <w:highlight w:val="none"/>
          <w:lang w:val="en-US" w:eastAsia="zh-CN"/>
        </w:rPr>
        <w:t xml:space="preserve">5</w:t>
      </w:r>
      <w:r>
        <w:rPr>
          <w:rFonts w:ascii="Arial" w:hAnsi="Arial"/>
          <w:b/>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bCs/>
          <w:szCs w:val="21"/>
          <w:highlight w:val="none"/>
        </w:rPr>
      </w:r>
      <w:r/>
    </w:p>
    <w:p>
      <w:pPr>
        <w:pStyle w:val="986"/>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986"/>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986"/>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（3）申请人资格资信证明文件：</w:t>
      </w:r>
      <w:r>
        <w:rPr>
          <w:rFonts w:hint="eastAsia" w:ascii="Arial" w:hAnsi="Arial"/>
          <w:szCs w:val="21"/>
          <w:highlight w:val="none"/>
          <w:lang w:val="zh-CN"/>
        </w:rPr>
      </w:r>
      <w:r/>
    </w:p>
    <w:p>
      <w:pPr>
        <w:pStyle w:val="986"/>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rPr>
          <w:rFonts w:hint="eastAsia" w:ascii="Arial" w:hAnsi="Arial"/>
          <w:szCs w:val="21"/>
          <w:highlight w:val="none"/>
          <w:lang w:val="zh-CN"/>
        </w:rPr>
      </w:r>
      <w:r/>
    </w:p>
    <w:p>
      <w:pPr>
        <w:pStyle w:val="986"/>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rPr>
          <w:rFonts w:hint="eastAsia" w:ascii="Arial" w:hAnsi="Arial"/>
          <w:szCs w:val="21"/>
          <w:highlight w:val="none"/>
        </w:rPr>
      </w:r>
      <w:r/>
    </w:p>
    <w:p>
      <w:pPr>
        <w:pStyle w:val="986"/>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3）第一章竞争性磋商公告中 2.3 采购人根据采购项目的特殊要求规定的特定条件证明文件；</w:t>
      </w:r>
      <w:r>
        <w:rPr>
          <w:rFonts w:hint="eastAsia" w:ascii="Arial" w:hAnsi="Arial"/>
          <w:szCs w:val="21"/>
          <w:highlight w:val="none"/>
        </w:rPr>
      </w:r>
      <w:r/>
    </w:p>
    <w:p>
      <w:pPr>
        <w:pStyle w:val="986"/>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rPr>
          <w:rFonts w:ascii="Arial" w:hAnsi="Arial"/>
          <w:szCs w:val="21"/>
          <w:highlight w:val="none"/>
        </w:rPr>
      </w:r>
      <w:r/>
    </w:p>
    <w:p>
      <w:pPr>
        <w:pStyle w:val="986"/>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lang w:eastAsia="zh-CN"/>
        </w:rPr>
        <w:t xml:space="preserve">南京市政府采购供应商信用承诺书</w:t>
      </w:r>
      <w:r>
        <w:rPr>
          <w:rFonts w:ascii="Arial" w:hAnsi="Arial"/>
          <w:szCs w:val="21"/>
          <w:highlight w:val="none"/>
        </w:rPr>
        <w:t xml:space="preserve">》</w:t>
      </w:r>
      <w:r>
        <w:rPr>
          <w:rFonts w:hint="eastAsia" w:ascii="Arial" w:hAnsi="Arial"/>
          <w:szCs w:val="21"/>
          <w:highlight w:val="none"/>
          <w:lang w:val="zh-CN"/>
        </w:rPr>
        <w:t xml:space="preserve">；</w:t>
      </w:r>
      <w:r>
        <w:rPr>
          <w:rFonts w:ascii="Arial" w:hAnsi="Arial"/>
          <w:szCs w:val="21"/>
          <w:highlight w:val="none"/>
        </w:rPr>
      </w:r>
      <w:r/>
    </w:p>
    <w:p>
      <w:pPr>
        <w:pStyle w:val="986"/>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rPr>
          <w:rFonts w:ascii="Arial" w:hAnsi="Arial"/>
          <w:szCs w:val="21"/>
          <w:highlight w:val="none"/>
        </w:rPr>
      </w:r>
      <w:r/>
    </w:p>
    <w:p>
      <w:pPr>
        <w:pStyle w:val="986"/>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rPr>
          <w:rFonts w:ascii="Arial" w:hAnsi="Arial"/>
          <w:szCs w:val="21"/>
          <w:highlight w:val="none"/>
          <w:lang w:val="zh-CN"/>
        </w:rPr>
      </w:r>
      <w:r/>
    </w:p>
    <w:p>
      <w:pPr>
        <w:pStyle w:val="986"/>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rPr>
          <w:rFonts w:hint="eastAsia" w:ascii="Arial" w:hAnsi="Arial"/>
          <w:bCs/>
          <w:szCs w:val="21"/>
          <w:highlight w:val="none"/>
        </w:rPr>
      </w:r>
      <w:r/>
    </w:p>
    <w:p>
      <w:pPr>
        <w:pStyle w:val="986"/>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w:t>
      </w:r>
      <w:r>
        <w:rPr>
          <w:rFonts w:ascii="Arial" w:hAnsi="Arial"/>
          <w:szCs w:val="21"/>
          <w:highlight w:val="none"/>
          <w:lang w:val="zh-CN"/>
        </w:rPr>
        <w:t xml:space="preserve">项目技术方案或服务说明； </w:t>
      </w:r>
      <w:r>
        <w:rPr>
          <w:rFonts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rPr>
          <w:rFonts w:ascii="Arial" w:hAnsi="Arial"/>
          <w:szCs w:val="21"/>
          <w:highlight w:val="none"/>
          <w:lang w:val="zh-CN"/>
        </w:rPr>
      </w:r>
      <w:r/>
    </w:p>
    <w:p>
      <w:pPr>
        <w:pStyle w:val="986"/>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rPr>
          <w:rFonts w:ascii="Arial" w:hAnsi="Arial"/>
          <w:szCs w:val="21"/>
          <w:highlight w:val="none"/>
        </w:rPr>
      </w:r>
      <w:r/>
    </w:p>
    <w:p>
      <w:pPr>
        <w:pStyle w:val="986"/>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rPr>
          <w:rFonts w:hint="eastAsia" w:ascii="Arial" w:hAnsi="Arial"/>
          <w:color w:val="000000"/>
          <w:szCs w:val="21"/>
          <w:highlight w:val="none"/>
        </w:rPr>
      </w:r>
      <w:r/>
    </w:p>
    <w:p>
      <w:pPr>
        <w:pStyle w:val="986"/>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rPr>
          <w:rFonts w:ascii="Arial" w:hAnsi="Arial"/>
          <w:color w:val="000000"/>
          <w:szCs w:val="21"/>
          <w:highlight w:val="none"/>
          <w:lang w:val="zh-CN"/>
        </w:rPr>
      </w:r>
      <w:r/>
    </w:p>
    <w:p>
      <w:pPr>
        <w:pStyle w:val="98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rPr>
          <w:rFonts w:ascii="Arial" w:hAnsi="Arial"/>
          <w:color w:val="000000"/>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rPr>
          <w:rFonts w:ascii="Arial" w:hAnsi="Arial"/>
          <w:szCs w:val="21"/>
          <w:highlight w:val="none"/>
          <w:lang w:val="zh-CN"/>
        </w:rPr>
      </w:r>
      <w:r/>
    </w:p>
    <w:p>
      <w:pPr>
        <w:pStyle w:val="986"/>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rPr>
          <w:rFonts w:ascii="Arial" w:hAnsi="Arial"/>
          <w:b/>
          <w:szCs w:val="21"/>
          <w:highlight w:val="none"/>
        </w:rPr>
      </w:r>
      <w:r/>
    </w:p>
    <w:p>
      <w:pPr>
        <w:pStyle w:val="98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rPr>
          <w:rFonts w:ascii="Arial" w:hAnsi="Arial"/>
          <w:color w:val="000000"/>
          <w:szCs w:val="21"/>
          <w:highlight w:val="none"/>
          <w:lang w:val="zh-CN"/>
        </w:rPr>
      </w:r>
      <w:r/>
    </w:p>
    <w:p>
      <w:pPr>
        <w:pStyle w:val="986"/>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7.7 评标委员会启动异常低价投标审查的情形和具体要求</w:t>
      </w:r>
      <w:r>
        <w:rPr>
          <w:rFonts w:hint="eastAsia" w:ascii="宋体" w:hAnsi="宋体" w:cs="宋体"/>
          <w:b/>
          <w:bCs/>
          <w:szCs w:val="21"/>
          <w:highlight w:val="none"/>
        </w:rPr>
      </w:r>
      <w:r/>
    </w:p>
    <w:p>
      <w:pPr>
        <w:pStyle w:val="986"/>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7.7.1评标过程中出现下列情形之一的，评标委员会应当启动异常低价投标审查程序： </w:t>
      </w:r>
      <w:r>
        <w:rPr>
          <w:rFonts w:hint="eastAsia" w:ascii="宋体" w:hAnsi="宋体" w:cs="宋体"/>
          <w:szCs w:val="21"/>
          <w:highlight w:val="none"/>
        </w:rPr>
      </w:r>
      <w:r/>
    </w:p>
    <w:p>
      <w:pPr>
        <w:pStyle w:val="986"/>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（1）投标报价低于全部通过符合性审查投标人投标报价平均值50%的，即投标报价&lt;全部通过符合性审查投标人投标报价平均值×50%；</w:t>
      </w:r>
      <w:r>
        <w:rPr>
          <w:rFonts w:hint="eastAsia" w:ascii="宋体" w:hAnsi="宋体" w:cs="宋体"/>
          <w:szCs w:val="21"/>
          <w:highlight w:val="none"/>
        </w:rPr>
      </w:r>
      <w:r/>
    </w:p>
    <w:p>
      <w:pPr>
        <w:pStyle w:val="986"/>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（2）投标报价低于通过符合性审查的次低报价投标人投标报价50%的，即投标报价&lt;通过符合性审查的次低报价投标人投标报价×50%；</w:t>
      </w:r>
      <w:r>
        <w:rPr>
          <w:rFonts w:hint="eastAsia" w:ascii="宋体" w:hAnsi="宋体" w:cs="宋体"/>
          <w:szCs w:val="21"/>
          <w:highlight w:val="none"/>
        </w:rPr>
      </w:r>
      <w:r/>
    </w:p>
    <w:p>
      <w:pPr>
        <w:pStyle w:val="986"/>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（3）投标报价低于本项目各标段预算最高限价45%的，即投标报价</w:t>
      </w:r>
      <w:r>
        <w:rPr>
          <w:szCs w:val="21"/>
          <w:highlight w:val="none"/>
        </w:rPr>
        <w:t xml:space="preserve">&lt;</w:t>
      </w:r>
      <w:r>
        <w:rPr>
          <w:rFonts w:hint="eastAsia" w:ascii="宋体" w:hAnsi="宋体" w:cs="宋体"/>
          <w:szCs w:val="21"/>
          <w:highlight w:val="none"/>
        </w:rPr>
        <w:t xml:space="preserve">本项目最高限价×45%；</w:t>
      </w:r>
      <w:r>
        <w:rPr>
          <w:rFonts w:hint="eastAsia" w:ascii="宋体" w:hAnsi="宋体" w:cs="宋体"/>
          <w:szCs w:val="21"/>
          <w:highlight w:val="none"/>
        </w:rPr>
      </w:r>
      <w:r/>
    </w:p>
    <w:p>
      <w:pPr>
        <w:pStyle w:val="986"/>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（4）评标委员会基于专业判断，认为投标人报价过低，有可能影响产品质量或者不能诚信履约的其他情形。</w:t>
      </w:r>
      <w:r>
        <w:rPr>
          <w:rFonts w:hint="eastAsia" w:ascii="宋体" w:hAnsi="宋体" w:cs="宋体"/>
          <w:szCs w:val="21"/>
          <w:highlight w:val="none"/>
        </w:rPr>
      </w:r>
      <w:r/>
    </w:p>
    <w:p>
      <w:pPr>
        <w:pStyle w:val="986"/>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7.7.2 评标委员会启动异常低价投标审查后，属于7.7.1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7.7.1条第（3）项情形的，供应商已随投标文件一并提交相关书面说明及必要的证明材料的，在评标现场可不再重复提交。</w:t>
      </w:r>
      <w:r>
        <w:rPr>
          <w:rFonts w:hint="eastAsia" w:ascii="宋体" w:hAnsi="宋体" w:cs="宋体"/>
          <w:szCs w:val="21"/>
          <w:highlight w:val="none"/>
        </w:rPr>
      </w:r>
      <w:r/>
    </w:p>
    <w:p>
      <w:pPr>
        <w:pStyle w:val="986"/>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7.7.3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szCs w:val="21"/>
          <w:highlight w:val="none"/>
        </w:rPr>
      </w:r>
      <w:r/>
    </w:p>
    <w:p>
      <w:pPr>
        <w:pStyle w:val="98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7.7.4异常低价投标审查的启动原因、审查意见和审查结果应当在评标报告中记录，并随投标人提供的相关书面说明及证明材料，以及评标委员会有关互联网浏览、查询历史一并归档。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szCs w:val="21"/>
          <w:highlight w:val="none"/>
        </w:rPr>
      </w:r>
      <w:r/>
    </w:p>
    <w:p>
      <w:pPr>
        <w:pStyle w:val="986"/>
        <w:ind w:firstLine="420"/>
        <w:spacing w:line="360" w:lineRule="auto"/>
        <w:rPr>
          <w:rFonts w:hint="eastAsia" w:ascii="Arial" w:hAnsi="Arial"/>
          <w:color w:val="000000"/>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zh-CN"/>
        </w:rPr>
        <w:t xml:space="preserve">.</w:t>
      </w:r>
      <w:r>
        <w:rPr>
          <w:rFonts w:hint="eastAsia" w:ascii="宋体" w:hAnsi="宋体" w:cs="宋体"/>
          <w:szCs w:val="21"/>
          <w:highlight w:val="none"/>
        </w:rPr>
        <w:t xml:space="preserve">8</w:t>
      </w:r>
      <w:r>
        <w:rPr>
          <w:rFonts w:hint="eastAsia" w:ascii="宋体" w:hAnsi="宋体" w:cs="宋体"/>
          <w:szCs w:val="21"/>
          <w:highlight w:val="none"/>
          <w:lang w:val="zh-CN"/>
        </w:rPr>
        <w:t xml:space="preserve">磋商响应文件的其他部分。其他部分由供应商根据编制磋商响应文件需要提供的其他相关文件组成。</w:t>
      </w:r>
      <w:r>
        <w:rPr>
          <w:rFonts w:hint="eastAsia" w:ascii="Arial" w:hAnsi="Arial"/>
          <w:color w:val="000000"/>
          <w:szCs w:val="21"/>
          <w:highlight w:val="none"/>
        </w:rPr>
      </w:r>
      <w:r/>
    </w:p>
    <w:p>
      <w:pPr>
        <w:pStyle w:val="986"/>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7.9</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rPr>
          <w:rFonts w:hint="eastAsia" w:ascii="Arial" w:hAnsi="Arial"/>
          <w:color w:val="000000"/>
          <w:szCs w:val="21"/>
          <w:highlight w:val="none"/>
        </w:rPr>
      </w:r>
      <w:r/>
    </w:p>
    <w:p>
      <w:pPr>
        <w:pStyle w:val="986"/>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rPr>
          <w:rFonts w:hint="eastAsia" w:ascii="Arial" w:hAnsi="Arial"/>
          <w:b/>
          <w:bCs/>
          <w:szCs w:val="21"/>
          <w:highlight w:val="none"/>
        </w:rPr>
      </w:r>
      <w:r/>
    </w:p>
    <w:p>
      <w:pPr>
        <w:pStyle w:val="986"/>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rPr>
          <w:rFonts w:hint="eastAsia" w:ascii="宋体" w:hAnsi="宋体"/>
          <w:szCs w:val="21"/>
          <w:highlight w:val="none"/>
          <w:lang w:val="zh-CN"/>
        </w:rPr>
      </w:r>
      <w:r/>
    </w:p>
    <w:p>
      <w:pPr>
        <w:pStyle w:val="986"/>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rPr>
          <w:rFonts w:ascii="Arial" w:hAnsi="Arial"/>
          <w:b/>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rPr>
        <w:t xml:space="preserve">（本项目不接受）</w:t>
      </w:r>
      <w:r>
        <w:rPr>
          <w:rFonts w:hint="eastAsia" w:ascii="Arial" w:hAnsi="Arial"/>
          <w:szCs w:val="21"/>
          <w:highlight w:val="none"/>
        </w:rPr>
      </w:r>
      <w:r/>
    </w:p>
    <w:p>
      <w:pPr>
        <w:pStyle w:val="986"/>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rPr>
          <w:rFonts w:hint="eastAsia" w:ascii="Arial" w:hAnsi="Arial"/>
          <w:bCs/>
          <w:szCs w:val="21"/>
          <w:highlight w:val="none"/>
        </w:rPr>
      </w:r>
      <w:r/>
    </w:p>
    <w:p>
      <w:pPr>
        <w:pStyle w:val="986"/>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rPr>
          <w:rFonts w:hint="eastAsia" w:ascii="Arial" w:hAnsi="Arial"/>
          <w:bCs/>
          <w:szCs w:val="21"/>
          <w:highlight w:val="none"/>
        </w:rPr>
      </w:r>
      <w:r/>
    </w:p>
    <w:p>
      <w:pPr>
        <w:pStyle w:val="986"/>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rPr>
          <w:rFonts w:hint="eastAsia" w:ascii="Arial" w:hAnsi="Arial"/>
          <w:bCs/>
          <w:szCs w:val="21"/>
          <w:highlight w:val="none"/>
        </w:rPr>
      </w:r>
      <w:r/>
    </w:p>
    <w:p>
      <w:pPr>
        <w:pStyle w:val="986"/>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rPr>
          <w:rFonts w:hint="eastAsia" w:ascii="Arial" w:hAnsi="Arial"/>
          <w:bCs/>
          <w:szCs w:val="21"/>
          <w:highlight w:val="none"/>
        </w:rPr>
      </w:r>
      <w:r/>
    </w:p>
    <w:p>
      <w:pPr>
        <w:pStyle w:val="986"/>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rPr>
          <w:rFonts w:hint="eastAsia" w:ascii="Arial" w:hAnsi="Arial"/>
          <w:b/>
          <w:bCs/>
          <w:szCs w:val="21"/>
          <w:highlight w:val="none"/>
        </w:rPr>
      </w:r>
      <w:r/>
    </w:p>
    <w:p>
      <w:pPr>
        <w:pStyle w:val="986"/>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rPr>
          <w:rFonts w:hint="eastAsia" w:ascii="Arial" w:hAnsi="Arial"/>
          <w:b/>
          <w:bCs/>
          <w:szCs w:val="21"/>
          <w:highlight w:val="none"/>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szCs w:val="21"/>
          <w:highlight w:val="none"/>
          <w:lang w:val="zh-CN"/>
        </w:rPr>
      </w:r>
      <w:r/>
    </w:p>
    <w:p>
      <w:pPr>
        <w:pStyle w:val="986"/>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rPr>
          <w:rFonts w:hint="eastAsia" w:ascii="Arial" w:hAnsi="Arial"/>
          <w:b/>
          <w:bCs/>
          <w:szCs w:val="21"/>
          <w:highlight w:val="none"/>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szCs w:val="21"/>
          <w:highlight w:val="none"/>
          <w:lang w:val="zh-CN"/>
        </w:rPr>
      </w:r>
      <w:r/>
    </w:p>
    <w:p>
      <w:pPr>
        <w:pStyle w:val="986"/>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rPr>
          <w:rFonts w:ascii="Arial" w:hAnsi="Arial"/>
          <w:b/>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rPr>
          <w:rFonts w:ascii="Arial" w:hAnsi="Arial"/>
          <w:szCs w:val="21"/>
          <w:highlight w:val="none"/>
          <w:lang w:val="zh-CN"/>
        </w:rPr>
      </w:r>
      <w:r/>
    </w:p>
    <w:p>
      <w:pPr>
        <w:pStyle w:val="986"/>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rPr>
          <w:rFonts w:ascii="Arial" w:hAnsi="Arial"/>
          <w:szCs w:val="21"/>
          <w:highlight w:val="none"/>
          <w:lang w:val="zh-CN"/>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rPr>
      </w:r>
      <w:r/>
    </w:p>
    <w:p>
      <w:pPr>
        <w:pStyle w:val="986"/>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rPr>
          <w:rFonts w:ascii="Arial" w:hAnsi="Arial"/>
          <w:b/>
          <w:szCs w:val="21"/>
          <w:highlight w:val="none"/>
          <w:lang w:val="zh-CN"/>
        </w:rPr>
      </w:r>
      <w:r/>
    </w:p>
    <w:p>
      <w:pPr>
        <w:pStyle w:val="986"/>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）不满足“第一章竞争性磋商公告</w:t>
      </w:r>
      <w:r>
        <w:rPr>
          <w:rFonts w:hint="eastAsia" w:ascii="Arial" w:hAnsi="Arial"/>
          <w:szCs w:val="21"/>
          <w:highlight w:val="none"/>
        </w:rPr>
        <w:t xml:space="preserve"> 二</w:t>
      </w:r>
      <w:r>
        <w:rPr>
          <w:rFonts w:ascii="Arial" w:hAnsi="Arial"/>
          <w:szCs w:val="21"/>
          <w:highlight w:val="none"/>
        </w:rPr>
        <w:t xml:space="preserve">、</w:t>
      </w:r>
      <w:r>
        <w:rPr>
          <w:rFonts w:hint="eastAsia" w:ascii="Arial" w:hAnsi="Arial"/>
          <w:szCs w:val="21"/>
          <w:highlight w:val="none"/>
        </w:rPr>
        <w:t xml:space="preserve">申请</w:t>
      </w:r>
      <w:r>
        <w:rPr>
          <w:rFonts w:ascii="Arial" w:hAnsi="Arial"/>
          <w:szCs w:val="21"/>
          <w:highlight w:val="none"/>
        </w:rPr>
        <w:t xml:space="preserve">人资格要求”的规定的； </w:t>
      </w:r>
      <w:r>
        <w:rPr>
          <w:rFonts w:ascii="Arial" w:hAnsi="Arial"/>
          <w:szCs w:val="21"/>
          <w:highlight w:val="none"/>
        </w:rPr>
      </w:r>
      <w:r/>
    </w:p>
    <w:p>
      <w:pPr>
        <w:pStyle w:val="986"/>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rPr>
          <w:rFonts w:ascii="Arial" w:hAnsi="Arial"/>
          <w:szCs w:val="21"/>
          <w:highlight w:val="none"/>
        </w:rPr>
      </w:r>
      <w:r/>
    </w:p>
    <w:p>
      <w:pPr>
        <w:pStyle w:val="986"/>
        <w:ind w:firstLine="420"/>
        <w:spacing w:line="360" w:lineRule="auto"/>
        <w:rPr>
          <w:rFonts w:hint="eastAsia"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rPr>
          <w:rFonts w:hint="eastAsia" w:ascii="Arial" w:hAnsi="Arial"/>
          <w:szCs w:val="21"/>
          <w:highlight w:val="none"/>
          <w:lang w:val="zh-CN"/>
        </w:rPr>
      </w:r>
      <w:r/>
    </w:p>
    <w:p>
      <w:pPr>
        <w:pStyle w:val="986"/>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rPr>
          <w:rFonts w:hint="eastAsia" w:ascii="Arial" w:hAnsi="Arial"/>
          <w:szCs w:val="21"/>
          <w:highlight w:val="none"/>
          <w:lang w:val="zh-CN"/>
        </w:rPr>
      </w:r>
      <w:r/>
    </w:p>
    <w:p>
      <w:pPr>
        <w:pStyle w:val="986"/>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rPr>
          <w:rFonts w:ascii="Arial" w:hAnsi="Arial"/>
          <w:szCs w:val="21"/>
          <w:highlight w:val="none"/>
        </w:rPr>
      </w:r>
      <w:r/>
    </w:p>
    <w:p>
      <w:pPr>
        <w:pStyle w:val="986"/>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rPr>
          <w:rFonts w:ascii="Arial" w:hAnsi="Arial"/>
          <w:b/>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rPr>
          <w:rFonts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rPr>
          <w:rFonts w:ascii="Arial" w:hAnsi="Arial"/>
          <w:szCs w:val="21"/>
          <w:highlight w:val="none"/>
          <w:lang w:val="zh-CN"/>
        </w:rPr>
      </w:r>
      <w:r/>
    </w:p>
    <w:p>
      <w:pPr>
        <w:pStyle w:val="986"/>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《政府采购竞争性磋商采购方式管理暂行办法》第三条第四项及《财政部关于竞争性磋商采购方式管理暂行办法有关问题的补充通知》（财库〔2015〕124号）规定情形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rPr>
          <w:rFonts w:hint="eastAsia" w:ascii="宋体" w:hAnsi="宋体"/>
          <w:szCs w:val="21"/>
          <w:highlight w:val="none"/>
          <w:lang w:val="zh-CN"/>
        </w:rPr>
      </w:r>
      <w:r/>
    </w:p>
    <w:p>
      <w:pPr>
        <w:pStyle w:val="986"/>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rPr>
          <w:rFonts w:ascii="Arial" w:hAnsi="Arial"/>
          <w:szCs w:val="21"/>
          <w:highlight w:val="none"/>
          <w:lang w:val="zh-CN"/>
        </w:rPr>
      </w:r>
      <w:r/>
    </w:p>
    <w:p>
      <w:pPr>
        <w:pStyle w:val="986"/>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rPr>
          <w:rFonts w:ascii="Arial" w:hAnsi="Arial"/>
          <w:b/>
          <w:szCs w:val="21"/>
          <w:highlight w:val="none"/>
          <w:lang w:val="zh-CN"/>
        </w:rPr>
      </w:r>
      <w:r/>
    </w:p>
    <w:p>
      <w:pPr>
        <w:pStyle w:val="986"/>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bCs/>
          <w:color w:val="000000"/>
          <w:szCs w:val="21"/>
          <w:highlight w:val="none"/>
          <w:lang w:val="zh-CN"/>
        </w:rPr>
      </w:r>
      <w:r/>
    </w:p>
    <w:p>
      <w:pPr>
        <w:pStyle w:val="986"/>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rPr>
          <w:rFonts w:ascii="Arial" w:hAnsi="Arial"/>
          <w:b/>
          <w:bCs/>
          <w:color w:val="000000"/>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rPr>
          <w:rFonts w:ascii="Arial" w:hAnsi="Arial"/>
          <w:szCs w:val="21"/>
          <w:highlight w:val="none"/>
        </w:rPr>
      </w:r>
      <w:r/>
    </w:p>
    <w:p>
      <w:pPr>
        <w:pStyle w:val="986"/>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rPr>
          <w:rFonts w:ascii="Arial" w:hAnsi="Arial"/>
          <w:b/>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rPr>
          <w:rFonts w:ascii="Arial" w:hAnsi="Arial"/>
          <w:szCs w:val="21"/>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rPr>
          <w:rFonts w:ascii="Arial" w:hAnsi="Arial"/>
          <w:szCs w:val="21"/>
          <w:highlight w:val="none"/>
        </w:rPr>
      </w:r>
      <w:r/>
    </w:p>
    <w:p>
      <w:pPr>
        <w:pStyle w:val="986"/>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szCs w:val="21"/>
          <w:highlight w:val="none"/>
          <w:lang w:val="zh-CN"/>
        </w:rPr>
      </w:r>
      <w:r/>
    </w:p>
    <w:p>
      <w:pPr>
        <w:pStyle w:val="986"/>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szCs w:val="21"/>
          <w:highlight w:val="none"/>
          <w:lang w:val="zh-CN"/>
        </w:rPr>
      </w:r>
      <w:r/>
    </w:p>
    <w:p>
      <w:pPr>
        <w:pStyle w:val="986"/>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rPr>
          <w:rFonts w:ascii="Arial" w:hAnsi="Arial"/>
          <w:szCs w:val="21"/>
          <w:highlight w:val="none"/>
          <w:lang w:val="zh-CN"/>
        </w:rPr>
      </w:r>
      <w:r/>
    </w:p>
    <w:p>
      <w:pPr>
        <w:pStyle w:val="986"/>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szCs w:val="21"/>
          <w:highlight w:val="none"/>
          <w:lang w:val="zh-CN"/>
        </w:rPr>
      </w:r>
      <w:r/>
    </w:p>
    <w:p>
      <w:pPr>
        <w:pStyle w:val="986"/>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rPr>
          <w:rFonts w:ascii="Arial" w:hAnsi="Arial"/>
          <w:szCs w:val="21"/>
          <w:highlight w:val="none"/>
        </w:rPr>
      </w:r>
      <w:r/>
    </w:p>
    <w:p>
      <w:pPr>
        <w:pStyle w:val="986"/>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rPr>
          <w:rFonts w:ascii="Arial" w:hAnsi="Arial"/>
          <w:b/>
          <w:szCs w:val="21"/>
          <w:highlight w:val="none"/>
          <w:lang w:val="zh-CN"/>
        </w:rPr>
      </w:r>
      <w:r/>
    </w:p>
    <w:p>
      <w:pPr>
        <w:pStyle w:val="986"/>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rPr>
          <w:rFonts w:ascii="Arial" w:hAnsi="Arial"/>
          <w:szCs w:val="21"/>
          <w:highlight w:val="none"/>
        </w:rPr>
      </w:r>
      <w:r/>
    </w:p>
    <w:p>
      <w:pPr>
        <w:pStyle w:val="986"/>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rPr>
          <w:rFonts w:ascii="Arial" w:hAnsi="Arial"/>
          <w:szCs w:val="21"/>
          <w:highlight w:val="none"/>
        </w:rPr>
      </w:r>
      <w:r/>
    </w:p>
    <w:p>
      <w:pPr>
        <w:pStyle w:val="986"/>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rPr>
          <w:rFonts w:ascii="Arial" w:hAnsi="Arial"/>
          <w:szCs w:val="21"/>
          <w:highlight w:val="none"/>
        </w:rPr>
      </w:r>
      <w:r/>
    </w:p>
    <w:p>
      <w:pPr>
        <w:pStyle w:val="986"/>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ascii="Arial" w:hAnsi="Arial"/>
          <w:szCs w:val="21"/>
          <w:highlight w:val="none"/>
        </w:rPr>
      </w:r>
      <w:r/>
    </w:p>
    <w:p>
      <w:pPr>
        <w:pStyle w:val="986"/>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rPr>
          <w:rFonts w:hint="eastAsia" w:ascii="Arial" w:hAnsi="Arial"/>
          <w:b/>
          <w:szCs w:val="21"/>
          <w:highlight w:val="none"/>
        </w:rPr>
      </w:r>
      <w:r/>
    </w:p>
    <w:p>
      <w:pPr>
        <w:pStyle w:val="986"/>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rPr>
          <w:rFonts w:ascii="Arial" w:hAnsi="Arial"/>
          <w:b/>
          <w:szCs w:val="21"/>
          <w:highlight w:val="none"/>
          <w:lang w:val="zh-CN"/>
        </w:rPr>
      </w:r>
      <w:r/>
    </w:p>
    <w:p>
      <w:pPr>
        <w:pStyle w:val="986"/>
        <w:ind w:firstLine="424"/>
        <w:spacing w:line="360" w:lineRule="auto"/>
        <w:rPr>
          <w:rFonts w:ascii="Arial" w:hAnsi="Arial"/>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highlight w:val="none"/>
          <w:lang w:val="zh-CN"/>
        </w:rPr>
        <w:t xml:space="preserve">向</w:t>
      </w:r>
      <w:r>
        <w:rPr>
          <w:rFonts w:hint="eastAsia" w:ascii="宋体" w:hAnsi="宋体" w:cs="宋体"/>
          <w:b/>
          <w:bCs/>
          <w:szCs w:val="21"/>
          <w:highlight w:val="none"/>
        </w:rPr>
        <w:t xml:space="preserve">采购人或</w:t>
      </w:r>
      <w:r>
        <w:rPr>
          <w:rFonts w:hint="eastAsia" w:ascii="宋体" w:hAnsi="宋体" w:cs="宋体"/>
          <w:b/>
          <w:bCs/>
          <w:szCs w:val="21"/>
          <w:highlight w:val="none"/>
          <w:lang w:val="zh-CN"/>
        </w:rPr>
        <w:t xml:space="preserve">采购代理机构提出</w:t>
      </w:r>
      <w:r>
        <w:rPr>
          <w:rFonts w:hint="eastAsia" w:ascii="宋体" w:hAnsi="宋体" w:cs="宋体"/>
          <w:szCs w:val="21"/>
          <w:highlight w:val="none"/>
          <w:lang w:val="zh-CN"/>
        </w:rPr>
        <w:t xml:space="preserve">质疑</w:t>
      </w:r>
      <w:r>
        <w:rPr>
          <w:rFonts w:hint="eastAsia" w:ascii="宋体" w:hAnsi="宋体" w:cs="宋体"/>
          <w:b/>
          <w:bCs/>
          <w:szCs w:val="21"/>
          <w:highlight w:val="none"/>
          <w:lang w:val="zh-CN"/>
        </w:rPr>
        <w:t xml:space="preserve">。</w:t>
      </w:r>
      <w:r>
        <w:rPr>
          <w:rFonts w:ascii="Arial" w:hAnsi="Arial"/>
          <w:szCs w:val="21"/>
          <w:highlight w:val="none"/>
          <w:lang w:val="zh-CN"/>
        </w:rPr>
      </w:r>
      <w:r/>
    </w:p>
    <w:p>
      <w:pPr>
        <w:pStyle w:val="986"/>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szCs w:val="21"/>
          <w:highlight w:val="none"/>
          <w:lang w:val="zh-CN"/>
        </w:rPr>
      </w:r>
      <w:r/>
    </w:p>
    <w:p>
      <w:pPr>
        <w:pStyle w:val="986"/>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szCs w:val="21"/>
          <w:highlight w:val="none"/>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rPr>
          <w:rFonts w:ascii="Arial" w:hAnsi="Arial"/>
          <w:szCs w:val="21"/>
          <w:highlight w:val="none"/>
          <w:lang w:val="zh-CN"/>
        </w:rPr>
      </w:r>
      <w:r/>
    </w:p>
    <w:p>
      <w:pPr>
        <w:pStyle w:val="986"/>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rPr>
          <w:rFonts w:ascii="Arial" w:hAnsi="Arial"/>
          <w:szCs w:val="21"/>
          <w:highlight w:val="none"/>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szCs w:val="21"/>
          <w:highlight w:val="none"/>
          <w:lang w:val="zh-CN"/>
        </w:rPr>
      </w:r>
      <w:r/>
    </w:p>
    <w:p>
      <w:pPr>
        <w:pStyle w:val="986"/>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rPr>
          <w:rFonts w:ascii="Arial" w:hAnsi="Arial"/>
          <w:b/>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rPr>
          <w:rFonts w:ascii="Arial" w:hAnsi="Arial"/>
          <w:szCs w:val="21"/>
          <w:highlight w:val="none"/>
          <w:lang w:val="zh-CN"/>
        </w:rPr>
      </w:r>
      <w:r/>
    </w:p>
    <w:p>
      <w:pPr>
        <w:pStyle w:val="986"/>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szCs w:val="21"/>
          <w:highlight w:val="none"/>
          <w:lang w:val="zh-CN"/>
        </w:rPr>
      </w:r>
      <w:r/>
    </w:p>
    <w:p>
      <w:pPr>
        <w:pStyle w:val="986"/>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hint="eastAsia" w:ascii="宋体" w:hAnsi="宋体"/>
          <w:b/>
          <w:szCs w:val="21"/>
          <w:highlight w:val="none"/>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rPr>
          <w:rFonts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rPr>
          <w:rFonts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szCs w:val="21"/>
          <w:highlight w:val="none"/>
          <w:lang w:val="zh-CN"/>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rPr>
          <w:rFonts w:ascii="Arial" w:hAnsi="Arial"/>
          <w:szCs w:val="21"/>
          <w:highlight w:val="none"/>
          <w:lang w:val="zh-CN"/>
        </w:rPr>
      </w:r>
      <w:r/>
    </w:p>
    <w:p>
      <w:pPr>
        <w:pStyle w:val="986"/>
        <w:ind w:firstLine="422"/>
        <w:spacing w:line="360" w:lineRule="auto"/>
        <w:rPr>
          <w:rFonts w:hint="eastAsia"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rPr>
          <w:rFonts w:hint="eastAsia" w:ascii="Arial" w:hAnsi="Arial"/>
          <w:b/>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rPr>
          <w:rFonts w:hint="eastAsia" w:ascii="Arial" w:hAnsi="Arial"/>
          <w:szCs w:val="21"/>
          <w:highlight w:val="none"/>
        </w:rPr>
      </w:r>
      <w:r/>
    </w:p>
    <w:p>
      <w:pPr>
        <w:pStyle w:val="986"/>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.2</w:t>
      </w:r>
      <w:r>
        <w:rPr>
          <w:rFonts w:ascii="Arial" w:hAnsi="Arial" w:cs="Arial"/>
          <w:szCs w:val="21"/>
          <w:highlight w:val="none"/>
          <w:lang w:val="zh-CN"/>
        </w:rPr>
        <w:t xml:space="preserve"> </w:t>
      </w:r>
      <w:r>
        <w:rPr>
          <w:rFonts w:hint="eastAsia" w:ascii="宋体" w:hAnsi="宋体" w:cs="宋体"/>
          <w:szCs w:val="21"/>
          <w:highlight w:val="none"/>
          <w:lang w:val="zh-CN"/>
        </w:rPr>
        <w:t xml:space="preserve">本次采购，</w:t>
      </w:r>
      <w:r>
        <w:rPr>
          <w:rFonts w:hint="eastAsia" w:ascii="宋体" w:hAnsi="宋体" w:cs="宋体"/>
          <w:szCs w:val="21"/>
          <w:highlight w:val="none"/>
        </w:rPr>
        <w:t xml:space="preserve">各标段</w:t>
      </w:r>
      <w:r>
        <w:rPr>
          <w:rFonts w:hint="eastAsia" w:ascii="宋体" w:hAnsi="宋体" w:cs="宋体"/>
          <w:szCs w:val="21"/>
          <w:highlight w:val="none"/>
          <w:lang w:val="zh-CN"/>
        </w:rPr>
        <w:t xml:space="preserve">成交供应商在领取</w:t>
      </w:r>
      <w:r>
        <w:rPr>
          <w:rFonts w:hint="eastAsia" w:ascii="宋体" w:hAnsi="宋体" w:cs="宋体"/>
          <w:szCs w:val="21"/>
          <w:highlight w:val="none"/>
        </w:rPr>
        <w:t xml:space="preserve">成交</w:t>
      </w:r>
      <w:r>
        <w:rPr>
          <w:rFonts w:hint="eastAsia" w:ascii="宋体" w:hAnsi="宋体" w:cs="宋体"/>
          <w:szCs w:val="21"/>
          <w:highlight w:val="none"/>
          <w:lang w:val="zh-CN"/>
        </w:rPr>
        <w:t xml:space="preserve">通知书前向采购代理机构支付</w:t>
      </w:r>
      <w:r>
        <w:rPr>
          <w:rFonts w:hint="eastAsia" w:ascii="宋体" w:hAnsi="宋体" w:cs="宋体"/>
          <w:szCs w:val="21"/>
          <w:highlight w:val="none"/>
        </w:rPr>
        <w:t xml:space="preserve">磋商</w:t>
      </w:r>
      <w:r>
        <w:rPr>
          <w:rFonts w:hint="eastAsia" w:ascii="宋体" w:hAnsi="宋体" w:cs="宋体"/>
          <w:szCs w:val="21"/>
          <w:highlight w:val="none"/>
          <w:lang w:val="zh-CN"/>
        </w:rPr>
        <w:t xml:space="preserve">服务费</w:t>
      </w:r>
      <w:r>
        <w:rPr>
          <w:rFonts w:hint="eastAsia" w:ascii="宋体" w:hAnsi="宋体" w:cs="宋体"/>
          <w:szCs w:val="21"/>
          <w:highlight w:val="none"/>
        </w:rPr>
        <w:t xml:space="preserve">陆</w:t>
      </w:r>
      <w:r>
        <w:rPr>
          <w:rFonts w:hint="eastAsia" w:ascii="宋体" w:hAnsi="宋体" w:cs="宋体"/>
          <w:szCs w:val="21"/>
          <w:highlight w:val="none"/>
          <w:lang w:val="zh-CN"/>
        </w:rPr>
        <w:t xml:space="preserve">仟元</w:t>
      </w:r>
      <w:r>
        <w:rPr>
          <w:rFonts w:hint="eastAsia" w:ascii="宋体" w:hAnsi="宋体" w:cs="宋体"/>
          <w:szCs w:val="21"/>
          <w:highlight w:val="none"/>
        </w:rPr>
        <w:t xml:space="preserve">整/包；未按规定缴纳的，视为自动放弃成交资格，不予发放成交通知书。</w:t>
      </w:r>
      <w:r>
        <w:rPr>
          <w:rFonts w:hint="eastAsia" w:ascii="Arial" w:hAnsi="宋体"/>
          <w:bCs/>
          <w:szCs w:val="21"/>
          <w:highlight w:val="none"/>
        </w:rPr>
        <w:t xml:space="preserve">根据采购文件及采购代理合同的约定，本项目采购代理费由成交供应商支付，相关费用已纳入项目采购预算，供应商应在报价中一并考虑</w:t>
      </w:r>
      <w:r>
        <w:rPr>
          <w:rFonts w:ascii="Arial" w:hAnsi="宋体"/>
          <w:bCs/>
          <w:szCs w:val="21"/>
          <w:highlight w:val="none"/>
        </w:rPr>
        <w:t xml:space="preserve">。</w:t>
      </w:r>
      <w:r>
        <w:rPr>
          <w:rFonts w:hint="eastAsia" w:ascii="Arial" w:hAnsi="Arial"/>
          <w:szCs w:val="21"/>
          <w:highlight w:val="none"/>
        </w:rPr>
      </w:r>
      <w:r/>
    </w:p>
    <w:p>
      <w:pPr>
        <w:pStyle w:val="1134"/>
        <w:ind w:firstLine="422"/>
        <w:rPr>
          <w:rFonts w:ascii="Arial" w:hAnsi="宋体"/>
          <w:b/>
          <w:szCs w:val="21"/>
          <w:highlight w:val="none"/>
          <w:lang w:val="zh-CN"/>
        </w:rPr>
      </w:pPr>
      <w:r>
        <w:rPr>
          <w:rFonts w:ascii="Arial" w:hAnsi="宋体"/>
          <w:b/>
          <w:szCs w:val="21"/>
          <w:highlight w:val="none"/>
          <w:lang w:val="zh-CN"/>
        </w:rPr>
      </w:r>
      <w:r/>
    </w:p>
    <w:p>
      <w:pPr>
        <w:pStyle w:val="1058"/>
        <w:rPr>
          <w:rFonts w:ascii="Arial" w:hAnsi="Arial"/>
          <w:color w:val="000000"/>
          <w:sz w:val="24"/>
          <w:szCs w:val="24"/>
          <w:highlight w:val="none"/>
          <w:lang w:val="zh-CN"/>
        </w:rPr>
      </w:pPr>
      <w:r>
        <w:rPr>
          <w:rFonts w:ascii="Arial" w:hAnsi="Arial"/>
          <w:color w:val="000000"/>
          <w:sz w:val="24"/>
          <w:szCs w:val="24"/>
          <w:highlight w:val="none"/>
          <w:lang w:val="zh-CN"/>
        </w:rPr>
        <w:br w:type="page" w:clear="all"/>
      </w:r>
      <w:bookmarkStart w:id="36" w:name="_Toc32106"/>
      <w:r>
        <w:rPr>
          <w:rFonts w:ascii="Arial" w:hAnsi="Arial"/>
          <w:highlight w:val="none"/>
          <w:lang w:val="zh-CN"/>
        </w:rPr>
        <w:t xml:space="preserve">第三章 </w:t>
      </w:r>
      <w:r>
        <w:rPr>
          <w:rFonts w:hint="eastAsia" w:ascii="Arial" w:hAnsi="Arial"/>
          <w:highlight w:val="none"/>
        </w:rPr>
        <w:t xml:space="preserve">评审</w:t>
      </w:r>
      <w:r>
        <w:rPr>
          <w:rFonts w:ascii="Arial" w:hAnsi="Arial"/>
          <w:highlight w:val="none"/>
          <w:lang w:val="zh-CN"/>
        </w:rPr>
        <w:t xml:space="preserve">标准</w:t>
      </w:r>
      <w:bookmarkEnd w:id="36"/>
      <w:r>
        <w:rPr>
          <w:rFonts w:ascii="Arial" w:hAnsi="Arial"/>
          <w:color w:val="000000"/>
          <w:sz w:val="24"/>
          <w:szCs w:val="24"/>
          <w:highlight w:val="none"/>
          <w:lang w:val="zh-CN"/>
        </w:rPr>
      </w:r>
      <w:r/>
    </w:p>
    <w:p>
      <w:pPr>
        <w:pStyle w:val="986"/>
        <w:spacing w:line="360" w:lineRule="auto"/>
        <w:shd w:val="clear" w:color="auto" w:fill="ffffff"/>
        <w:widowControl/>
        <w:rPr>
          <w:rFonts w:ascii="Arial" w:hAnsi="Arial"/>
          <w:b/>
          <w:bCs/>
          <w:szCs w:val="21"/>
          <w:highlight w:val="none"/>
        </w:rPr>
      </w:pPr>
      <w:r>
        <w:rPr>
          <w:rFonts w:ascii="Arial" w:hAnsi="Arial"/>
          <w:b/>
          <w:bCs/>
          <w:szCs w:val="21"/>
          <w:highlight w:val="none"/>
        </w:rPr>
      </w:r>
      <w:r/>
    </w:p>
    <w:p>
      <w:pPr>
        <w:pStyle w:val="986"/>
        <w:ind w:firstLine="420"/>
        <w:spacing w:line="360" w:lineRule="auto"/>
        <w:rPr>
          <w:rFonts w:ascii="Arial" w:hAnsi="Arial"/>
          <w:highlight w:val="none"/>
        </w:rPr>
      </w:pPr>
      <w:r/>
      <w:bookmarkStart w:id="37" w:name="OLE_LINK18"/>
      <w:r/>
      <w:bookmarkStart w:id="38" w:name="OLE_LINK17"/>
      <w:r>
        <w:rPr>
          <w:rFonts w:ascii="Arial" w:hAnsi="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highlight w:val="none"/>
        </w:rPr>
      </w:r>
      <w:r/>
    </w:p>
    <w:tbl>
      <w:tblPr>
        <w:tblW w:w="9418"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189"/>
        <w:gridCol w:w="6918"/>
        <w:gridCol w:w="617"/>
      </w:tblGrid>
      <w:tr>
        <w:trPr>
          <w:trHeight w:val="543"/>
          <w:tblHeader/>
        </w:trPr>
        <w:tc>
          <w:tcPr>
            <w:tcW w:w="694" w:type="dxa"/>
            <w:vAlign w:val="center"/>
            <w:textDirection w:val="lrTb"/>
            <w:noWrap w:val="false"/>
          </w:tcPr>
          <w:p>
            <w:pPr>
              <w:pStyle w:val="986"/>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序号</w:t>
            </w:r>
            <w:r>
              <w:rPr>
                <w:rFonts w:hint="eastAsia" w:ascii="宋体" w:hAnsi="宋体" w:cs="宋体"/>
                <w:szCs w:val="21"/>
                <w:highlight w:val="none"/>
                <w:lang w:val="zh-CN"/>
              </w:rPr>
            </w:r>
            <w:r/>
          </w:p>
        </w:tc>
        <w:tc>
          <w:tcPr>
            <w:tcW w:w="1189" w:type="dxa"/>
            <w:vAlign w:val="center"/>
            <w:textDirection w:val="lrTb"/>
            <w:noWrap w:val="false"/>
          </w:tcPr>
          <w:p>
            <w:pPr>
              <w:pStyle w:val="986"/>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评审项目</w:t>
            </w:r>
            <w:r>
              <w:rPr>
                <w:rFonts w:hint="eastAsia" w:ascii="宋体" w:hAnsi="宋体" w:cs="宋体"/>
                <w:szCs w:val="21"/>
                <w:highlight w:val="none"/>
                <w:lang w:val="zh-CN"/>
              </w:rPr>
            </w:r>
            <w:r/>
          </w:p>
        </w:tc>
        <w:tc>
          <w:tcPr>
            <w:tcW w:w="6918" w:type="dxa"/>
            <w:vAlign w:val="center"/>
            <w:textDirection w:val="lrTb"/>
            <w:noWrap w:val="false"/>
          </w:tcPr>
          <w:p>
            <w:pPr>
              <w:pStyle w:val="986"/>
              <w:jc w:val="center"/>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评审标准</w:t>
            </w:r>
            <w:r>
              <w:rPr>
                <w:rFonts w:hint="eastAsia" w:ascii="宋体" w:hAnsi="宋体" w:cs="宋体"/>
                <w:szCs w:val="21"/>
                <w:highlight w:val="none"/>
                <w:lang w:val="zh-CN"/>
              </w:rPr>
            </w:r>
            <w:r/>
          </w:p>
        </w:tc>
        <w:tc>
          <w:tcPr>
            <w:tcW w:w="617" w:type="dxa"/>
            <w:vAlign w:val="center"/>
            <w:textDirection w:val="lrTb"/>
            <w:noWrap w:val="false"/>
          </w:tcPr>
          <w:p>
            <w:pPr>
              <w:pStyle w:val="986"/>
              <w:spacing w:line="360" w:lineRule="exact"/>
              <w:tabs>
                <w:tab w:val="left" w:pos="709" w:leader="none"/>
              </w:tabs>
              <w:rPr>
                <w:rFonts w:hint="eastAsia" w:ascii="宋体" w:hAnsi="宋体" w:cs="宋体"/>
                <w:szCs w:val="21"/>
                <w:highlight w:val="none"/>
                <w:lang w:val="zh-CN"/>
              </w:rPr>
            </w:pPr>
            <w:r>
              <w:rPr>
                <w:rFonts w:hint="eastAsia" w:ascii="宋体" w:hAnsi="宋体" w:cs="宋体"/>
                <w:szCs w:val="21"/>
                <w:highlight w:val="none"/>
                <w:lang w:val="zh-CN"/>
              </w:rPr>
              <w:t xml:space="preserve">分值</w:t>
            </w:r>
            <w:r>
              <w:rPr>
                <w:rFonts w:hint="eastAsia" w:ascii="宋体" w:hAnsi="宋体" w:cs="宋体"/>
                <w:szCs w:val="21"/>
                <w:highlight w:val="none"/>
                <w:lang w:val="zh-CN"/>
              </w:rPr>
            </w:r>
            <w:r/>
          </w:p>
        </w:tc>
      </w:tr>
      <w:tr>
        <w:trPr>
          <w:trHeight w:val="1448"/>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bookmarkStart w:id="39" w:name="OLE_LINK1"/>
            <w:r/>
            <w:bookmarkStart w:id="40" w:name="OLE_LINK3"/>
            <w:r/>
            <w:bookmarkStart w:id="41" w:name="OLE_LINK4"/>
            <w:r/>
            <w:bookmarkStart w:id="42" w:name="_Hlk401005359"/>
            <w:r/>
            <w:bookmarkStart w:id="43" w:name="OLE_LINK2"/>
            <w:r>
              <w:rPr>
                <w:rFonts w:hint="eastAsia" w:ascii="宋体" w:hAnsi="宋体" w:cs="宋体"/>
                <w:szCs w:val="21"/>
                <w:highlight w:val="none"/>
              </w:rPr>
              <w:t xml:space="preserve">1</w:t>
            </w:r>
            <w:r>
              <w:rPr>
                <w:rFonts w:hint="eastAsia" w:ascii="宋体" w:hAnsi="宋体" w:cs="宋体"/>
                <w:szCs w:val="21"/>
                <w:highlight w:val="none"/>
              </w:rPr>
            </w:r>
            <w:r/>
          </w:p>
        </w:tc>
        <w:tc>
          <w:tcPr>
            <w:tcW w:w="1189"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价格</w:t>
            </w: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采用低价优先法计算，即满足采购文件要求且响应价格最低的报价为评审基准价，其价格分为满分。其他响应供应商的价格分统一按照下列公式计算：响应报价得分=(评审基准价/响应报价)×10（小数点保留两位）</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r>
      <w:tr>
        <w:trPr>
          <w:trHeight w:val="3240"/>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rPr>
            </w:r>
            <w:r/>
          </w:p>
        </w:tc>
        <w:tc>
          <w:tcPr>
            <w:tcW w:w="1189" w:type="dxa"/>
            <w:vAlign w:val="center"/>
            <w:vMerge w:val="restart"/>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团队人员配置</w:t>
            </w: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评委根据供应商拟投入的团队配置情况进行综合评分。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配置人员数量合理可行，岗位考虑全面，分工精细明确，项目负责人综合实力强的得8分；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配置人员数量较合理可行，岗位考虑较全面，分工较精细明确，项目负责人综合实力较强的得6分；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配置人员数量基本合理可行，岗位考虑基本全面，分工基本明确，项目负责人具有一定综合实力的得4分；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上述内容有所欠缺的得2分；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r>
      <w:tr>
        <w:trPr>
          <w:trHeight w:val="1064"/>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rPr>
            </w:r>
            <w:r/>
          </w:p>
        </w:tc>
        <w:tc>
          <w:tcPr>
            <w:tcW w:w="1189" w:type="dxa"/>
            <w:vAlign w:val="center"/>
            <w:vMerge w:val="continue"/>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供应商人员配备中具有锅炉、压力容器、压力管道检验师资质的，每提供一人得2分，本项最高得8分（同一人员多项检验师资质计1次，不重复得分；响应文件中提供有效期内的证书复印件并加盖公章）</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r>
      <w:tr>
        <w:trPr>
          <w:trHeight w:val="3094"/>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2.3</w:t>
            </w:r>
            <w:r>
              <w:rPr>
                <w:rFonts w:hint="eastAsia" w:ascii="宋体" w:hAnsi="宋体" w:cs="宋体"/>
                <w:szCs w:val="21"/>
                <w:highlight w:val="none"/>
              </w:rPr>
            </w:r>
            <w:r/>
          </w:p>
        </w:tc>
        <w:tc>
          <w:tcPr>
            <w:tcW w:w="1189" w:type="dxa"/>
            <w:vAlign w:val="center"/>
            <w:vMerge w:val="continue"/>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项目负责人工作经验：</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供应商拟投入本项目的项目负责人具有10年以上从事特种设备检测检验工作经验的得6分；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8年＜从事特种设备检测检验工作经验≤10年的得4分；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5年＜从事特种设备检测检验工作经验≤8年的得2分；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1年≤从事特种设备检测检验工作经验≤</w:t>
            </w:r>
            <w:r>
              <w:rPr>
                <w:rFonts w:ascii="宋体" w:hAnsi="宋体" w:cs="宋体"/>
                <w:szCs w:val="21"/>
                <w:highlight w:val="none"/>
              </w:rPr>
              <w:t xml:space="preserve">5</w:t>
            </w:r>
            <w:r>
              <w:rPr>
                <w:rFonts w:hint="eastAsia" w:ascii="宋体" w:hAnsi="宋体" w:cs="宋体"/>
                <w:szCs w:val="21"/>
                <w:highlight w:val="none"/>
              </w:rPr>
              <w:t xml:space="preserve">年的得1分；</w:t>
            </w:r>
            <w:r>
              <w:rPr>
                <w:rFonts w:hint="eastAsia" w:ascii="宋体" w:hAnsi="宋体" w:cs="宋体"/>
                <w:szCs w:val="21"/>
                <w:highlight w:val="none"/>
              </w:rPr>
            </w:r>
            <w:r/>
          </w:p>
          <w:p>
            <w:pPr>
              <w:pStyle w:val="986"/>
              <w:jc w:val="left"/>
              <w:spacing w:line="360" w:lineRule="exact"/>
              <w:rPr>
                <w:rFonts w:hint="eastAsia" w:ascii="宋体" w:hAnsi="宋体" w:cs="宋体"/>
                <w:szCs w:val="21"/>
                <w:highlight w:val="none"/>
              </w:rPr>
            </w:pPr>
            <w:r>
              <w:rPr>
                <w:rFonts w:hint="eastAsia" w:ascii="宋体" w:hAnsi="宋体" w:cs="宋体"/>
                <w:szCs w:val="21"/>
                <w:highlight w:val="none"/>
              </w:rPr>
              <w:t xml:space="preserve">其他情况不得分（响应文件中提供相关证明文件，</w:t>
            </w:r>
            <w:r>
              <w:rPr>
                <w:rFonts w:hint="eastAsia" w:ascii="宋体" w:hAnsi="宋体" w:cs="宋体"/>
                <w:bCs/>
                <w:szCs w:val="21"/>
                <w:highlight w:val="none"/>
              </w:rPr>
              <w:t xml:space="preserve">时间以毕业证书颁发时间开始计算，并提供供应商为其缴纳的2025年12月以来任意一月社保证明材料</w:t>
            </w:r>
            <w:r>
              <w:rPr>
                <w:rFonts w:hint="eastAsia" w:ascii="宋体" w:hAnsi="宋体" w:cs="宋体"/>
                <w:szCs w:val="21"/>
                <w:highlight w:val="none"/>
              </w:rPr>
              <w:t xml:space="preserve">）。</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r>
      <w:tr>
        <w:trPr>
          <w:trHeight w:val="4031"/>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3.1</w:t>
            </w:r>
            <w:r>
              <w:rPr>
                <w:rFonts w:hint="eastAsia" w:ascii="宋体" w:hAnsi="宋体" w:cs="宋体"/>
                <w:szCs w:val="21"/>
                <w:highlight w:val="none"/>
              </w:rPr>
            </w:r>
            <w:r/>
          </w:p>
        </w:tc>
        <w:tc>
          <w:tcPr>
            <w:tcW w:w="1189" w:type="dxa"/>
            <w:vAlign w:val="center"/>
            <w:vMerge w:val="restart"/>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实施方案</w:t>
            </w: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评委根据供应商针对本项目整体目标、总体</w:t>
            </w:r>
            <w:bookmarkStart w:id="44" w:name="OLE_LINK8"/>
            <w:r/>
            <w:bookmarkStart w:id="45" w:name="OLE_LINK9"/>
            <w:r>
              <w:rPr>
                <w:rFonts w:hint="eastAsia" w:ascii="宋体" w:hAnsi="宋体" w:cs="宋体"/>
                <w:szCs w:val="21"/>
                <w:highlight w:val="none"/>
              </w:rPr>
              <w:t xml:space="preserve">诊断评估</w:t>
            </w:r>
            <w:bookmarkEnd w:id="44"/>
            <w:r/>
            <w:bookmarkEnd w:id="45"/>
            <w:r>
              <w:rPr>
                <w:rFonts w:hint="eastAsia" w:ascii="宋体" w:hAnsi="宋体" w:cs="宋体"/>
                <w:szCs w:val="21"/>
                <w:highlight w:val="none"/>
              </w:rPr>
              <w:t xml:space="preserve">方法与途径等方面进行综合评分。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整体目标定位清晰、总体诊断评估方法与途径合理，能满足服务要求的得10分；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整体目标定位比较清晰、总体诊断评估方法与途径比较合理，能比较满足服务要求的得8分；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整体目标定位基本合理、总体诊断评估方法与途径基本合理，能基本满足服务要求的得6分；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整体目标定位合理性一般、总体诊断评估方法与途径简单，仅能满足最基础要求的得3分；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r>
      <w:tr>
        <w:trPr>
          <w:trHeight w:val="3436"/>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3.2</w:t>
            </w:r>
            <w:r>
              <w:rPr>
                <w:rFonts w:hint="eastAsia" w:ascii="宋体" w:hAnsi="宋体" w:cs="宋体"/>
                <w:szCs w:val="21"/>
                <w:highlight w:val="none"/>
              </w:rPr>
            </w:r>
            <w:r/>
          </w:p>
        </w:tc>
        <w:tc>
          <w:tcPr>
            <w:tcW w:w="1189" w:type="dxa"/>
            <w:vAlign w:val="center"/>
            <w:vMerge w:val="continue"/>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评委根据供应商提供的时间计划安排方案进行综合评分。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方案内容详细全面，项目总体推进时间安排合理，实施步骤、落实计划明确清晰的得10分；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方案内容较为详细全面，项目总体推进时间安排较合理，实施步骤、落实计划较为明确、清晰的得8分；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方案内容基本全面，项目总体推进时间安排基本合理，实施步骤、落实计划基本明确、清晰的得6分；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方案内容简单片面，项目总体推进时间安排有所欠缺，实施步骤、落实计划模糊不清的得3分；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r>
      <w:tr>
        <w:trPr>
          <w:trHeight w:val="3436"/>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3.3</w:t>
            </w:r>
            <w:r>
              <w:rPr>
                <w:rFonts w:hint="eastAsia" w:ascii="宋体" w:hAnsi="宋体" w:cs="宋体"/>
                <w:szCs w:val="21"/>
                <w:highlight w:val="none"/>
              </w:rPr>
            </w:r>
            <w:r/>
          </w:p>
        </w:tc>
        <w:tc>
          <w:tcPr>
            <w:tcW w:w="1189" w:type="dxa"/>
            <w:vAlign w:val="center"/>
            <w:vMerge w:val="continue"/>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评委根据供应商提供的质量保证措施进行综合评分。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工作质量目标明确、质量保证措施全面完善、效果控制手段合理可行的得10分；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工作质量目标基本明确、有对应的质量保证措施、效果控制手段基本合理可行的得8分；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工作质量目标较明确、有一定对应的质量保证措施、效果控制手段较合理可行的得6分；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质量目标欠缺或缺失、质量保证措施和效果控制手段有所欠缺的得3分；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r>
      <w:tr>
        <w:trPr>
          <w:trHeight w:val="3436"/>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3.4</w:t>
            </w:r>
            <w:r>
              <w:rPr>
                <w:rFonts w:hint="eastAsia" w:ascii="宋体" w:hAnsi="宋体" w:cs="宋体"/>
                <w:szCs w:val="21"/>
                <w:highlight w:val="none"/>
              </w:rPr>
            </w:r>
            <w:r/>
          </w:p>
        </w:tc>
        <w:tc>
          <w:tcPr>
            <w:tcW w:w="1189" w:type="dxa"/>
            <w:vAlign w:val="center"/>
            <w:vMerge w:val="continue"/>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评委根据响应文件提供的关键技术问题的认知及其服务内容进行综合评分。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服务重点突出，能充分体现项目特殊性、工作方法与内容匹配的得10分；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服务重点比较突出，能比较充分体现项目特殊性、工作方法与内容较匹配的得8分；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服务重点基本突出，能基本体现项目特殊性，工作方法方法与内容匹配程度一般的得6分；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方案无重点，无法体现项目特殊性的得3分；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未提供不得分。</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r>
      <w:tr>
        <w:trPr>
          <w:trHeight w:val="3094"/>
          <w:tblHeader/>
        </w:trPr>
        <w:tc>
          <w:tcPr>
            <w:tcW w:w="694" w:type="dxa"/>
            <w:vAlign w:val="center"/>
            <w:textDirection w:val="lrTb"/>
            <w:noWrap w:val="false"/>
          </w:tcPr>
          <w:p>
            <w:pPr>
              <w:pStyle w:val="986"/>
              <w:jc w:val="center"/>
              <w:spacing w:line="360" w:lineRule="exact"/>
              <w:rPr>
                <w:rFonts w:ascii="宋体" w:hAnsi="宋体" w:cs="宋体"/>
                <w:szCs w:val="21"/>
                <w:highlight w:val="none"/>
              </w:rPr>
            </w:pPr>
            <w:r>
              <w:rPr>
                <w:rFonts w:hint="eastAsia" w:ascii="宋体" w:hAnsi="宋体" w:cs="宋体"/>
                <w:szCs w:val="21"/>
                <w:highlight w:val="none"/>
              </w:rPr>
              <w:t xml:space="preserve">3.5</w:t>
            </w:r>
            <w:r>
              <w:rPr>
                <w:rFonts w:ascii="宋体" w:hAnsi="宋体" w:cs="宋体"/>
                <w:szCs w:val="21"/>
                <w:highlight w:val="none"/>
              </w:rPr>
            </w:r>
            <w:r/>
          </w:p>
        </w:tc>
        <w:tc>
          <w:tcPr>
            <w:tcW w:w="1189" w:type="dxa"/>
            <w:vAlign w:val="center"/>
            <w:vMerge w:val="continue"/>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项目负责人对项目的理解、设想、重难点应对措施：</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（1）对本项目中采购人具体需求的理解；</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（2）对本项目管理的总体设想与安排；</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（3）本项目管理的难点和重点，对应的管理措施。</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思路清晰、观点鲜明、非常契合项目的得8分；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思路较为清晰、观点较为鲜明、较为契合项目的得6分；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思路一般、观点一般、契合性一般的得4分；</w:t>
            </w:r>
            <w:r>
              <w:rPr>
                <w:rFonts w:hint="eastAsia" w:ascii="宋体" w:hAnsi="宋体" w:cs="宋体"/>
                <w:szCs w:val="21"/>
                <w:highlight w:val="none"/>
              </w:rPr>
            </w:r>
            <w:r/>
          </w:p>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思路、观点不合符本项目的得2分；</w:t>
            </w:r>
            <w:r>
              <w:rPr>
                <w:rFonts w:hint="eastAsia" w:ascii="宋体" w:hAnsi="宋体" w:cs="宋体"/>
                <w:szCs w:val="21"/>
                <w:highlight w:val="none"/>
              </w:rPr>
            </w:r>
            <w:r/>
          </w:p>
          <w:p>
            <w:pPr>
              <w:pStyle w:val="986"/>
              <w:jc w:val="left"/>
              <w:spacing w:line="360" w:lineRule="exact"/>
              <w:widowControl/>
              <w:rPr>
                <w:highlight w:val="none"/>
              </w:rPr>
            </w:pPr>
            <w:r>
              <w:rPr>
                <w:rFonts w:hint="eastAsia" w:ascii="宋体" w:hAnsi="宋体" w:cs="宋体"/>
                <w:szCs w:val="21"/>
                <w:highlight w:val="none"/>
              </w:rPr>
              <w:t xml:space="preserve">其他情况不得分。</w:t>
            </w:r>
            <w:r>
              <w:rPr>
                <w:highlight w:val="none"/>
              </w:rPr>
            </w:r>
            <w:r/>
          </w:p>
        </w:tc>
        <w:tc>
          <w:tcPr>
            <w:tcW w:w="617" w:type="dxa"/>
            <w:vAlign w:val="center"/>
            <w:textDirection w:val="lrTb"/>
            <w:noWrap w:val="false"/>
          </w:tcPr>
          <w:p>
            <w:pPr>
              <w:pStyle w:val="986"/>
              <w:jc w:val="center"/>
              <w:spacing w:line="360" w:lineRule="exact"/>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r>
      <w:tr>
        <w:trPr>
          <w:trHeight w:val="2066"/>
          <w:tblHeader/>
        </w:trPr>
        <w:tc>
          <w:tcPr>
            <w:tcW w:w="694"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189" w:type="dxa"/>
            <w:vAlign w:val="center"/>
            <w:textDirection w:val="lrTb"/>
            <w:noWrap w:val="false"/>
          </w:tcPr>
          <w:p>
            <w:pPr>
              <w:pStyle w:val="986"/>
              <w:jc w:val="center"/>
              <w:spacing w:line="360" w:lineRule="exact"/>
              <w:rPr>
                <w:rFonts w:hint="eastAsia" w:ascii="宋体" w:hAnsi="宋体" w:cs="宋体"/>
                <w:szCs w:val="21"/>
                <w:highlight w:val="none"/>
              </w:rPr>
            </w:pPr>
            <w:r>
              <w:rPr>
                <w:rFonts w:hint="eastAsia" w:ascii="宋体" w:hAnsi="宋体" w:cs="宋体"/>
                <w:szCs w:val="21"/>
                <w:highlight w:val="none"/>
              </w:rPr>
              <w:t xml:space="preserve">业绩</w:t>
            </w:r>
            <w:r>
              <w:rPr>
                <w:rFonts w:hint="eastAsia" w:ascii="宋体" w:hAnsi="宋体" w:cs="宋体"/>
                <w:szCs w:val="21"/>
                <w:highlight w:val="none"/>
              </w:rPr>
            </w:r>
            <w:r/>
          </w:p>
        </w:tc>
        <w:tc>
          <w:tcPr>
            <w:tcW w:w="6918" w:type="dxa"/>
            <w:vAlign w:val="center"/>
            <w:textDirection w:val="lrTb"/>
            <w:noWrap w:val="false"/>
          </w:tcPr>
          <w:p>
            <w:pPr>
              <w:pStyle w:val="986"/>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2023年1月1日以来</w:t>
            </w:r>
            <w:r>
              <w:rPr>
                <w:rFonts w:hint="eastAsia" w:ascii="宋体" w:hAnsi="宋体" w:cs="宋体"/>
                <w:b/>
                <w:bCs/>
                <w:szCs w:val="21"/>
                <w:highlight w:val="none"/>
              </w:rPr>
              <w:t xml:space="preserve">（以合同签订时间为准，无签订时间不得分）</w:t>
            </w:r>
            <w:r>
              <w:rPr>
                <w:rFonts w:hint="eastAsia" w:ascii="宋体" w:hAnsi="宋体" w:cs="宋体"/>
                <w:szCs w:val="21"/>
                <w:highlight w:val="none"/>
              </w:rPr>
              <w:t xml:space="preserve">，供应商具有特种设备现场检查项目经验的，每提供一项业绩得4分，本项最高得20分</w:t>
            </w:r>
            <w:r>
              <w:rPr>
                <w:rFonts w:hint="eastAsia" w:ascii="宋体" w:hAnsi="宋体" w:cs="宋体"/>
                <w:b/>
                <w:bCs/>
                <w:szCs w:val="21"/>
                <w:highlight w:val="none"/>
              </w:rPr>
              <w:t xml:space="preserve">（响应文件中提供合同复印件等证明材料并加盖公章，合同应能反映相关信息，未提供或提供不全不得分，原件备查，同一用户不同业绩只按一项计取，不可重复计分）。</w:t>
            </w:r>
            <w:r>
              <w:rPr>
                <w:rFonts w:hint="eastAsia" w:ascii="宋体" w:hAnsi="宋体" w:cs="宋体"/>
                <w:szCs w:val="21"/>
                <w:highlight w:val="none"/>
              </w:rPr>
            </w:r>
            <w:r/>
          </w:p>
        </w:tc>
        <w:tc>
          <w:tcPr>
            <w:tcW w:w="617" w:type="dxa"/>
            <w:vAlign w:val="center"/>
            <w:textDirection w:val="lrTb"/>
            <w:noWrap w:val="false"/>
          </w:tcPr>
          <w:p>
            <w:pPr>
              <w:pStyle w:val="986"/>
              <w:jc w:val="center"/>
              <w:spacing w:line="360" w:lineRule="exact"/>
              <w:rPr>
                <w:rFonts w:ascii="宋体" w:hAnsi="宋体" w:cs="宋体"/>
                <w:szCs w:val="21"/>
                <w:highlight w:val="none"/>
              </w:rPr>
            </w:pPr>
            <w:r>
              <w:rPr>
                <w:rFonts w:hint="eastAsia" w:ascii="宋体" w:hAnsi="宋体" w:cs="宋体"/>
                <w:szCs w:val="21"/>
                <w:highlight w:val="none"/>
              </w:rPr>
              <w:t xml:space="preserve">20</w:t>
            </w:r>
            <w:r>
              <w:rPr>
                <w:rFonts w:ascii="宋体" w:hAnsi="宋体" w:cs="宋体"/>
                <w:szCs w:val="21"/>
                <w:highlight w:val="none"/>
              </w:rPr>
            </w:r>
            <w:r/>
          </w:p>
        </w:tc>
      </w:tr>
      <w:tr>
        <w:trPr>
          <w:trHeight w:val="547"/>
          <w:tblHeader/>
        </w:trPr>
        <w:tc>
          <w:tcPr>
            <w:gridSpan w:val="3"/>
            <w:tcW w:w="8801" w:type="dxa"/>
            <w:vAlign w:val="center"/>
            <w:textDirection w:val="lrTb"/>
            <w:noWrap w:val="false"/>
          </w:tcPr>
          <w:p>
            <w:pPr>
              <w:pStyle w:val="986"/>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合计</w:t>
            </w:r>
            <w:r>
              <w:rPr>
                <w:rFonts w:hint="eastAsia" w:ascii="宋体" w:hAnsi="宋体" w:cs="宋体"/>
                <w:szCs w:val="21"/>
                <w:highlight w:val="none"/>
              </w:rPr>
            </w:r>
            <w:r/>
          </w:p>
        </w:tc>
        <w:tc>
          <w:tcPr>
            <w:tcW w:w="617" w:type="dxa"/>
            <w:vAlign w:val="center"/>
            <w:textDirection w:val="lrTb"/>
            <w:noWrap w:val="false"/>
          </w:tcPr>
          <w:p>
            <w:pPr>
              <w:pStyle w:val="986"/>
              <w:jc w:val="center"/>
              <w:rPr>
                <w:rFonts w:hint="eastAsia" w:ascii="宋体" w:hAnsi="宋体" w:cs="宋体"/>
                <w:szCs w:val="21"/>
                <w:highlight w:val="none"/>
              </w:rPr>
            </w:pPr>
            <w:r>
              <w:rPr>
                <w:rFonts w:hint="eastAsia" w:ascii="宋体" w:hAnsi="宋体" w:cs="宋体"/>
                <w:szCs w:val="21"/>
                <w:highlight w:val="none"/>
              </w:rPr>
              <w:t xml:space="preserve">100</w:t>
            </w:r>
            <w:bookmarkEnd w:id="39"/>
            <w:r/>
            <w:bookmarkEnd w:id="40"/>
            <w:r/>
            <w:bookmarkEnd w:id="41"/>
            <w:r/>
            <w:bookmarkEnd w:id="42"/>
            <w:r/>
            <w:bookmarkEnd w:id="43"/>
            <w:r>
              <w:rPr>
                <w:rFonts w:hint="eastAsia" w:ascii="宋体" w:hAnsi="宋体" w:cs="宋体"/>
                <w:szCs w:val="21"/>
                <w:highlight w:val="none"/>
              </w:rPr>
            </w:r>
            <w:r/>
          </w:p>
        </w:tc>
      </w:tr>
    </w:tbl>
    <w:p>
      <w:pPr>
        <w:pStyle w:val="986"/>
        <w:spacing w:line="360" w:lineRule="auto"/>
        <w:rPr>
          <w:rFonts w:ascii="Arial" w:hAnsi="Arial"/>
          <w:bCs/>
          <w:sz w:val="22"/>
          <w:szCs w:val="28"/>
          <w:highlight w:val="none"/>
        </w:rPr>
      </w:pPr>
      <w:r>
        <w:rPr>
          <w:rFonts w:ascii="Arial" w:hAnsi="Arial"/>
          <w:bCs/>
          <w:sz w:val="22"/>
          <w:szCs w:val="28"/>
          <w:highlight w:val="none"/>
        </w:rPr>
      </w:r>
      <w:r/>
    </w:p>
    <w:p>
      <w:pPr>
        <w:pStyle w:val="986"/>
        <w:spacing w:line="360" w:lineRule="auto"/>
        <w:rPr>
          <w:rFonts w:ascii="Arial" w:hAnsi="Arial"/>
          <w:bCs/>
          <w:sz w:val="22"/>
          <w:szCs w:val="28"/>
          <w:highlight w:val="none"/>
        </w:rPr>
      </w:pPr>
      <w:r/>
      <w:bookmarkEnd w:id="37"/>
      <w:r/>
      <w:bookmarkEnd w:id="38"/>
      <w:r>
        <w:rPr>
          <w:rFonts w:ascii="Arial" w:hAnsi="Arial"/>
          <w:bCs/>
          <w:sz w:val="22"/>
          <w:szCs w:val="28"/>
          <w:highlight w:val="none"/>
        </w:rPr>
        <w:t xml:space="preserve">说明：</w:t>
      </w:r>
      <w:r>
        <w:rPr>
          <w:rFonts w:ascii="Arial" w:hAnsi="Arial"/>
          <w:bCs/>
          <w:sz w:val="22"/>
          <w:szCs w:val="28"/>
          <w:highlight w:val="none"/>
        </w:rPr>
      </w:r>
      <w:r/>
    </w:p>
    <w:p>
      <w:pPr>
        <w:pStyle w:val="986"/>
        <w:spacing w:line="360" w:lineRule="auto"/>
        <w:rPr>
          <w:rFonts w:hint="eastAsia" w:ascii="Arial" w:hAnsi="Arial"/>
          <w:bCs/>
          <w:sz w:val="22"/>
          <w:szCs w:val="28"/>
          <w:highlight w:val="none"/>
        </w:rPr>
      </w:pPr>
      <w:r>
        <w:rPr>
          <w:rFonts w:hint="eastAsia" w:ascii="Arial" w:hAnsi="Arial"/>
          <w:bCs/>
          <w:sz w:val="22"/>
          <w:szCs w:val="28"/>
          <w:highlight w:val="none"/>
        </w:rPr>
        <w:t xml:space="preserve">1.</w:t>
      </w:r>
      <w:r>
        <w:rPr>
          <w:rFonts w:ascii="Arial" w:hAnsi="Arial"/>
          <w:bCs/>
          <w:sz w:val="22"/>
          <w:szCs w:val="28"/>
          <w:highlight w:val="none"/>
        </w:rPr>
        <w:t xml:space="preserve">所有认证、证明和业绩均以有效清晰的证明文件的复印件为依据，原件备查。</w:t>
      </w:r>
      <w:r>
        <w:rPr>
          <w:rFonts w:hint="eastAsia" w:ascii="Arial" w:hAnsi="Arial"/>
          <w:bCs/>
          <w:sz w:val="22"/>
          <w:szCs w:val="28"/>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2.小微企业价格扣除</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3.监狱和戒毒企业的价格扣除</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3.1 本项目对监狱和戒毒企业，给予10%的价格扣除，用扣除后的价格参与评审。</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3.2 监狱企业需提供由省级以上监狱管理局、戒毒管理局（含新疆生产建设兵团）出具的属于监狱企业的证明文件。</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3.3 监狱企业标准请参照《关于政府采购支持监狱企业发展有关问题的通知》（财库〔2014〕68号）。</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4.残疾人福利性单位的价格扣除</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4.1 本项目对残疾人福利性单位，给予10%的价格扣除，用扣除后的价格参与评审。</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4.2 残疾人福利性单位需提供《残疾人福利性单位声明函》。</w:t>
      </w:r>
      <w:r>
        <w:rPr>
          <w:rFonts w:hint="eastAsia" w:ascii="Arial" w:hAnsi="Arial"/>
          <w:bCs/>
          <w:highlight w:val="none"/>
        </w:rPr>
      </w:r>
      <w:r/>
    </w:p>
    <w:p>
      <w:pPr>
        <w:pStyle w:val="986"/>
        <w:spacing w:line="360" w:lineRule="auto"/>
        <w:rPr>
          <w:rFonts w:hint="eastAsia" w:ascii="Arial" w:hAnsi="Arial"/>
          <w:bCs/>
          <w:highlight w:val="none"/>
        </w:rPr>
      </w:pPr>
      <w:r>
        <w:rPr>
          <w:rFonts w:hint="eastAsia" w:ascii="Arial" w:hAnsi="Arial"/>
          <w:bCs/>
          <w:highlight w:val="none"/>
        </w:rPr>
        <w:t xml:space="preserve">4.3 残疾人福利性单位标准请参照《关于促进残疾人就业政府采购政策的通知》（财库〔2017〕141号）。</w:t>
      </w:r>
      <w:r>
        <w:rPr>
          <w:rFonts w:hint="eastAsia" w:ascii="Arial" w:hAnsi="Arial"/>
          <w:bCs/>
          <w:highlight w:val="none"/>
        </w:rPr>
      </w:r>
      <w:r/>
    </w:p>
    <w:p>
      <w:pPr>
        <w:pStyle w:val="986"/>
        <w:jc w:val="left"/>
        <w:spacing w:line="360" w:lineRule="auto"/>
        <w:rPr>
          <w:rFonts w:hint="eastAsia" w:ascii="Arial" w:hAnsi="Arial"/>
          <w:bCs/>
          <w:highlight w:val="none"/>
        </w:rPr>
      </w:pPr>
      <w:r>
        <w:rPr>
          <w:rFonts w:hint="eastAsia" w:ascii="Arial" w:hAnsi="Arial"/>
          <w:bCs/>
          <w:highlight w:val="none"/>
        </w:rPr>
        <w:t xml:space="preserve">5. 监狱企业、残疾人福利性单位属于小型、微型企业的，不重复享受政策。</w:t>
      </w:r>
      <w:r>
        <w:rPr>
          <w:rFonts w:hint="eastAsia" w:ascii="Arial" w:hAnsi="Arial"/>
          <w:bCs/>
          <w:highlight w:val="none"/>
        </w:rPr>
      </w:r>
      <w:r/>
    </w:p>
    <w:p>
      <w:pPr>
        <w:pStyle w:val="986"/>
        <w:spacing w:line="360" w:lineRule="auto"/>
        <w:rPr>
          <w:rFonts w:hint="eastAsia" w:ascii="宋体" w:hAnsi="宋体" w:cs="宋体"/>
          <w:bCs/>
          <w:szCs w:val="21"/>
          <w:highlight w:val="none"/>
        </w:rPr>
      </w:pPr>
      <w:r>
        <w:rPr>
          <w:rFonts w:hint="eastAsia" w:ascii="宋体" w:hAnsi="宋体" w:cs="宋体"/>
          <w:bCs/>
          <w:szCs w:val="21"/>
          <w:highlight w:val="none"/>
        </w:rPr>
        <w:t xml:space="preserve">6.本国产品的价格扣除</w:t>
      </w:r>
      <w:r>
        <w:rPr>
          <w:rFonts w:hint="eastAsia" w:ascii="宋体" w:hAnsi="宋体" w:cs="宋体"/>
          <w:bCs/>
          <w:szCs w:val="21"/>
          <w:highlight w:val="none"/>
        </w:rPr>
      </w:r>
      <w:r/>
    </w:p>
    <w:p>
      <w:pPr>
        <w:pStyle w:val="986"/>
        <w:spacing w:line="360" w:lineRule="auto"/>
        <w:rPr>
          <w:rFonts w:hint="eastAsia" w:ascii="宋体" w:hAnsi="宋体" w:cs="宋体"/>
          <w:bCs/>
          <w:szCs w:val="21"/>
          <w:highlight w:val="none"/>
        </w:rPr>
      </w:pPr>
      <w:r>
        <w:rPr>
          <w:rFonts w:hint="eastAsia" w:ascii="宋体" w:hAnsi="宋体" w:cs="宋体"/>
          <w:bCs/>
          <w:szCs w:val="21"/>
          <w:highlight w:val="none"/>
        </w:rPr>
        <w:t xml:space="preserve">6.1本国产品标准、本国产品标准的适用范围、对本国产品的支持政策等详见《国务院办公厅关于在政府采购中实施本国产品标准及相关政策的通知》（国办发〔2025〕34号）。</w:t>
      </w:r>
      <w:r>
        <w:rPr>
          <w:rFonts w:hint="eastAsia" w:ascii="宋体" w:hAnsi="宋体" w:cs="宋体"/>
          <w:bCs/>
          <w:szCs w:val="21"/>
          <w:highlight w:val="none"/>
        </w:rPr>
      </w:r>
      <w:r/>
    </w:p>
    <w:p>
      <w:pPr>
        <w:pStyle w:val="986"/>
        <w:spacing w:line="360" w:lineRule="auto"/>
        <w:rPr>
          <w:rFonts w:hint="eastAsia" w:ascii="宋体" w:hAnsi="宋体" w:cs="宋体"/>
          <w:bCs/>
          <w:szCs w:val="21"/>
          <w:highlight w:val="none"/>
        </w:rPr>
      </w:pPr>
      <w:r>
        <w:rPr>
          <w:rFonts w:hint="eastAsia" w:ascii="宋体" w:hAnsi="宋体" w:cs="宋体"/>
          <w:bCs/>
          <w:szCs w:val="21"/>
          <w:highlight w:val="none"/>
        </w:rPr>
        <w:t xml:space="preserve">6.2政府采购活动中既有本国产品又有非本国产品参与竞争的，依法对本国产品给予价格评审优惠，对本国产品的报价给予20%的价格扣除，用扣除后的价格参与评审。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highlight w:val="none"/>
        </w:rPr>
      </w:r>
      <w:r/>
    </w:p>
    <w:p>
      <w:pPr>
        <w:pStyle w:val="986"/>
        <w:jc w:val="left"/>
        <w:spacing w:line="360" w:lineRule="auto"/>
        <w:rPr>
          <w:rFonts w:hint="eastAsia" w:ascii="Arial" w:hAnsi="Arial"/>
          <w:bCs/>
          <w:highlight w:val="none"/>
        </w:rPr>
      </w:pPr>
      <w:r>
        <w:rPr>
          <w:rFonts w:hint="eastAsia" w:ascii="宋体" w:hAnsi="宋体" w:cs="宋体"/>
          <w:bCs/>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Arial" w:hAnsi="Arial"/>
          <w:bCs/>
          <w:highlight w:val="none"/>
        </w:rPr>
      </w:r>
      <w:r/>
    </w:p>
    <w:p>
      <w:pPr>
        <w:pStyle w:val="986"/>
        <w:jc w:val="center"/>
        <w:spacing w:line="360" w:lineRule="auto"/>
        <w:rPr>
          <w:rFonts w:hint="eastAsia" w:ascii="Arial" w:hAnsi="Arial"/>
          <w:highlight w:val="none"/>
        </w:rPr>
      </w:pPr>
      <w:r>
        <w:rPr>
          <w:rFonts w:hint="eastAsia"/>
          <w:highlight w:val="none"/>
        </w:rPr>
        <w:br w:type="page" w:clear="all"/>
      </w:r>
      <w:bookmarkStart w:id="46" w:name="_Toc16041"/>
      <w:r>
        <w:rPr>
          <w:rStyle w:val="992"/>
          <w:rFonts w:hint="eastAsia"/>
          <w:sz w:val="32"/>
          <w:szCs w:val="32"/>
          <w:highlight w:val="none"/>
          <w:lang w:val="zh-CN"/>
        </w:rPr>
        <w:t xml:space="preserve">第四章 </w:t>
      </w:r>
      <w:r>
        <w:rPr>
          <w:rStyle w:val="992"/>
          <w:sz w:val="32"/>
          <w:szCs w:val="32"/>
          <w:highlight w:val="none"/>
          <w:lang w:val="zh-CN"/>
        </w:rPr>
        <w:t xml:space="preserve">采购需求</w:t>
      </w:r>
      <w:bookmarkEnd w:id="46"/>
      <w:r>
        <w:rPr>
          <w:rFonts w:hint="eastAsia" w:ascii="Arial" w:hAnsi="Arial"/>
          <w:highlight w:val="none"/>
        </w:rPr>
      </w:r>
      <w:r/>
    </w:p>
    <w:p>
      <w:pPr>
        <w:pStyle w:val="986"/>
        <w:ind w:firstLine="420"/>
        <w:spacing w:line="500" w:lineRule="exact"/>
        <w:rPr>
          <w:rFonts w:ascii="宋体" w:hAnsi="宋体"/>
          <w:bCs/>
          <w:szCs w:val="21"/>
          <w:highlight w:val="none"/>
        </w:rPr>
      </w:pPr>
      <w:r>
        <w:rPr>
          <w:rFonts w:hint="eastAsia" w:ascii="宋体" w:hAnsi="宋体"/>
          <w:bCs/>
          <w:szCs w:val="21"/>
          <w:highlight w:val="none"/>
        </w:rPr>
        <w:t xml:space="preserve">为提升新区特种设备安全监管工作质效，深入挖掘特种设备安全管理各类风险因素，科学防范和有效遏制特种设备安全生产事故发生，结合新区特种设备安全管理实际，新区市场监管局拟聘请行业技术机构专家开展特种设备“专业化提升”诊断评估工作。</w:t>
      </w:r>
      <w:r>
        <w:rPr>
          <w:rFonts w:ascii="宋体" w:hAnsi="宋体"/>
          <w:bCs/>
          <w:szCs w:val="21"/>
          <w:highlight w:val="none"/>
        </w:rPr>
      </w:r>
      <w:r/>
    </w:p>
    <w:p>
      <w:pPr>
        <w:pStyle w:val="997"/>
        <w:ind w:left="0" w:firstLine="422"/>
        <w:spacing w:line="360" w:lineRule="auto"/>
        <w:rPr>
          <w:rFonts w:hint="eastAsia"/>
          <w:b/>
          <w:bCs/>
          <w:highlight w:val="none"/>
        </w:rPr>
      </w:pPr>
      <w:r>
        <w:rPr>
          <w:rFonts w:hint="eastAsia"/>
          <w:b/>
          <w:bCs/>
          <w:highlight w:val="none"/>
        </w:rPr>
        <w:t xml:space="preserve">一、工作时间</w:t>
      </w:r>
      <w:r>
        <w:rPr>
          <w:rFonts w:hint="eastAsia"/>
          <w:b/>
          <w:bCs/>
          <w:highlight w:val="none"/>
        </w:rPr>
      </w:r>
      <w:r/>
    </w:p>
    <w:p>
      <w:pPr>
        <w:pStyle w:val="997"/>
        <w:ind w:left="0" w:firstLine="420"/>
        <w:spacing w:line="360" w:lineRule="auto"/>
        <w:rPr>
          <w:rFonts w:hint="eastAsia"/>
          <w:highlight w:val="none"/>
        </w:rPr>
      </w:pPr>
      <w:r>
        <w:rPr>
          <w:rFonts w:hint="eastAsia"/>
          <w:highlight w:val="none"/>
        </w:rPr>
        <w:t xml:space="preserve">合同签订之日起至1</w:t>
      </w:r>
      <w:r>
        <w:rPr>
          <w:highlight w:val="none"/>
        </w:rPr>
        <w:t xml:space="preserve">1</w:t>
      </w:r>
      <w:r>
        <w:rPr>
          <w:rFonts w:hint="eastAsia"/>
          <w:highlight w:val="none"/>
        </w:rPr>
        <w:t xml:space="preserve">月</w:t>
      </w:r>
      <w:r>
        <w:rPr>
          <w:highlight w:val="none"/>
        </w:rPr>
        <w:t xml:space="preserve">2</w:t>
      </w:r>
      <w:r>
        <w:rPr>
          <w:rFonts w:hint="eastAsia"/>
          <w:highlight w:val="none"/>
        </w:rPr>
        <w:t xml:space="preserve">0日（暂定）</w:t>
      </w:r>
      <w:r>
        <w:rPr>
          <w:rFonts w:hint="eastAsia"/>
          <w:highlight w:val="none"/>
        </w:rPr>
      </w:r>
      <w:r/>
    </w:p>
    <w:p>
      <w:pPr>
        <w:pStyle w:val="997"/>
        <w:ind w:left="0" w:firstLine="422"/>
        <w:spacing w:line="360" w:lineRule="auto"/>
        <w:rPr>
          <w:rFonts w:hint="eastAsia"/>
          <w:highlight w:val="none"/>
        </w:rPr>
      </w:pPr>
      <w:r>
        <w:rPr>
          <w:rFonts w:hint="eastAsia"/>
          <w:b/>
          <w:bCs/>
          <w:highlight w:val="none"/>
        </w:rPr>
        <w:t xml:space="preserve">二、工作对象（以下为本项目项目总数量，采购包1</w:t>
      </w:r>
      <w:r>
        <w:rPr>
          <w:rFonts w:hint="eastAsia"/>
          <w:b/>
          <w:bCs/>
          <w:highlight w:val="none"/>
          <w:lang w:eastAsia="zh-CN"/>
        </w:rPr>
        <w:t xml:space="preserve">、</w:t>
      </w:r>
      <w:r>
        <w:rPr>
          <w:rFonts w:hint="eastAsia"/>
          <w:b/>
          <w:bCs/>
          <w:highlight w:val="none"/>
          <w:lang w:val="en-US" w:eastAsia="zh-CN"/>
        </w:rPr>
        <w:t xml:space="preserve">2、3</w:t>
      </w:r>
      <w:r>
        <w:rPr>
          <w:rFonts w:hint="eastAsia"/>
          <w:b/>
          <w:bCs/>
          <w:highlight w:val="none"/>
        </w:rPr>
        <w:t xml:space="preserve">已经招标完成）</w:t>
      </w:r>
      <w:r>
        <w:rPr>
          <w:rFonts w:hint="eastAsia"/>
          <w:highlight w:val="none"/>
        </w:rPr>
      </w:r>
      <w:r/>
    </w:p>
    <w:p>
      <w:pPr>
        <w:pStyle w:val="997"/>
        <w:ind w:left="0" w:firstLine="420"/>
        <w:spacing w:line="360" w:lineRule="auto"/>
        <w:rPr>
          <w:rFonts w:hint="eastAsia"/>
          <w:highlight w:val="none"/>
        </w:rPr>
      </w:pPr>
      <w:r>
        <w:rPr>
          <w:rFonts w:hint="eastAsia"/>
          <w:highlight w:val="none"/>
        </w:rPr>
        <w:t xml:space="preserve">江北新区138家重点特种设备使用单位在用特种设备。其中化工企业103家，工贸企业26家，医院3家，电站锅炉使用单位3家，管道企业3家。</w:t>
      </w:r>
      <w:r>
        <w:rPr>
          <w:rFonts w:hint="eastAsia"/>
          <w:highlight w:val="none"/>
        </w:rPr>
      </w:r>
      <w:r/>
    </w:p>
    <w:p>
      <w:pPr>
        <w:pStyle w:val="986"/>
        <w:ind w:firstLine="422"/>
        <w:rPr>
          <w:highlight w:val="none"/>
        </w:rPr>
      </w:pPr>
      <w:r>
        <w:rPr>
          <w:rFonts w:hint="eastAsia"/>
          <w:b/>
          <w:bCs/>
          <w:highlight w:val="none"/>
        </w:rPr>
        <w:t xml:space="preserve">三、服务要求</w:t>
      </w:r>
      <w:r>
        <w:rPr>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人员配备。投标单位应在投标时提供诊断评估方案、检查项目表和各类特种设备安全总监、安全员履职情况调查问卷，明确项目负责人和团队成员，在诊断评估化工、电站锅炉和管道企业时，应配备至少4名承压类特种设备领域专家和1名机电类特种设备领域专家；在诊断评估医院、工贸企业时，应配备至少3名承压类特种设备领域专家和2名机电类特种设备领域专家。</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（二）总结报告。每家企业完成“专业化提升”诊断评估后应记录问题隐患，每完成1</w:t>
      </w:r>
      <w:r>
        <w:rPr>
          <w:rFonts w:ascii="宋体" w:hAnsi="宋体"/>
          <w:color w:val="000000"/>
          <w:szCs w:val="21"/>
          <w:highlight w:val="none"/>
        </w:rPr>
        <w:t xml:space="preserve">0</w:t>
      </w:r>
      <w:r>
        <w:rPr>
          <w:rFonts w:hint="eastAsia" w:ascii="宋体" w:hAnsi="宋体"/>
          <w:color w:val="000000"/>
          <w:szCs w:val="21"/>
          <w:highlight w:val="none"/>
        </w:rPr>
        <w:t xml:space="preserve">家企业后分类汇总发现的问题，并于全部诊断评估工作完成后30个工作日内出具分析报告，报告至少应包含以下内容：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（1）简述整体诊断评估工作情况；</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（2）评价企业的特种设备使用管理情况，企业画像有特色、有重点，企业评分有排序；</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（3）评价每家企业的特种设备风险分析及隐患排查治理情况，不局限于问题叙述和罗列；</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（4）评价企业各类特种设备安全总监和安全员履职情况以及“日管控、周排查、月调度”工作机制运行情况；</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（5）分析企业工艺变更控制、腐蚀管理或日常维护保养等情况，提出工作建议；</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（6）发现的问题及分析；</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（7）发现问题的整改情况，以及有关工作的建议。</w:t>
      </w:r>
      <w:r>
        <w:rPr>
          <w:rFonts w:hint="eastAsia" w:ascii="宋体" w:hAnsi="宋体"/>
          <w:color w:val="000000"/>
          <w:szCs w:val="21"/>
          <w:highlight w:val="none"/>
        </w:rPr>
      </w:r>
      <w:r/>
    </w:p>
    <w:p>
      <w:pPr>
        <w:pStyle w:val="98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四、工作内容</w:t>
      </w:r>
      <w:r>
        <w:rPr>
          <w:rFonts w:hint="eastAsia" w:ascii="宋体" w:hAnsi="宋体"/>
          <w:b/>
          <w:bCs/>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（一）化工、电站锅炉、管道企业工作内容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1.非现场工作内容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企业特种设备使用安全主体责任落实情况。企业特种设备安全管理机构、安全管理制度、应急预案建立及运行情况；特种设备安全总监、专职安全管理人员及各类特种设备安全员配备、持证及履职情况；企业平台内各类特种设备使用登记、定期检验情况。</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企业特种设备安全风险源管控情况。企业2026年是否按要求逐台开展特种设备安全管理情况自查工作，排查发现的问题隐患是否均整改闭环。企业各类在用特种设备是否制定安全风险管控清单且符合设备实际运行状况；是否建立健全“日管控、周排查、月调度”工作机制并有效运行。</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拟定《高风险设备核查清单》。通过平台数据分析和企业问卷调查，聚焦企业重大危险源配套特种设备、涉危化品腐蚀类特种设备、超设计使用年限监控使用设备、近四年进行重大修理和改造设备、检验周期内发生工艺变更的设备、电站锅炉及附属承压设备、公共管廊厂际压力管道等7类高风险设备，提前拟定《高风险设备核查清单》。</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2.现场工作内容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高风险设备全链条管理情况。抽查高风险特种设备的制造、安装、修理改造、检验检测、日常定期检查等情况。核查安装、修理、改造的施工管理、相关单位资质和人员资质情况；历次定期检验情况和监控措施落实情况；安全附件选配及定期校验情况；日常运行中是否存在超压、超温、超设计参数运行情况。</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二是重大事故隐患排查情况。根据《特种设备安全监督检查办法》中严重事故隐患和重大违法行为中所列的情形，参考《特种设备重大事故隐患判定准则》（GB 45067-2024）的判定准则，排查企业在用特种设备安全管理中存在的重大事故隐患。</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特种设备修理、改造环节监督管理情况。抽查企业对特种设备修理、改造单位等第三方单位的监督管理情况。核查是否均办理开工告知、单位资质和人员资质情况；施工过程是否制定施工方案，落实全过程监督情况等。</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涉危化品特种设备防腐蚀管理与工艺变更情况。核查企业是否开展涉及腐蚀性介质压力容器、压力管道风险识别和隐患排查工作，是否分析腐蚀原因，开展工艺防腐相关的化验分析，采取相应措施降低腐蚀速率；是否运用在线腐蚀检测或定期壁厚测定等风险防控措施；是否对管道三通、弯头、变径等易冲刷部位开展针对性巡检。承压类特种设备检验周期内涉及的化工工艺是否发生变更，工艺变更是否履行设备适配评估，变更后运行参数是否超出设计限值（重点核查压力、温度、介质成分变化等）。            </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是特种设备信息化管理及安全管理平台运用情况。企业特种设备安全管理人员是否熟练运用云平台系统，是否定期对系统内特种设备数据进行维护，企业实际在用特种设备数据与系统内显示特种设备数量、状态以及相关技术参数是否吻合，压力管道编码数据是否上传至云平台，系统数据有误的是否及时提交材料和完成数据更新修正；企业云平台双重预防模块中安全隐患自查，责任落实模块中安全责任告知、事故应急预案、“两个规定”人员配置等材料是否均上传并符合企业实际；企业云平台是否显示超期未检设备，是否符合实际。</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（二）其他企业工作内容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特种设备安全管理体系建设及运行情况。在用特种设备是否均纳入管理并与现场实际符合；特种设备各项安全管理制度及操作规程制定的是否科学合理、是否符合企业实际并有效执行；是否按要求逐台开展特种设备安全隐患排查工作，排查发现的问题隐患是否均整改闭环。</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二是在用特种设备本质安全度。在用特种设备是否均办理使用登记并定期检验，</w:t>
      </w:r>
      <w:r>
        <w:rPr>
          <w:rFonts w:hint="eastAsia" w:ascii="宋体" w:hAnsi="宋体"/>
          <w:color w:val="000000"/>
          <w:szCs w:val="21"/>
          <w:highlight w:val="none"/>
        </w:rPr>
        <w:t xml:space="preserve">是否开展经常性维护保养和年度检查；在用达到设计使用年限特种设备是否按法律法规要求办理使用登记变更手续；在用特种设备安全附件是否均在校验有效期内，选型、设置是否符合安全技术规范要求，爆破片是否定期更换并建立更换记录；定期检验发现的重大安全隐患和缺陷是否已彻底消除或采取有效措施，安全状况评定为三级及以下的压力容器和压力管道是否消除隐患并制定落实监控使用措施；企业是否有延期的在用压力容器、压力管道，风险防控措施是否落实到位；特种设备定期检验、定期检查中发现的问题隐患是否均整改落实到位，监控使用措施是否均落实到位。</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三是企业特种设备使用安全主体责任落实情况。企业是否贯彻落实国家市场监管总局第74号令、《特种设备使用管理规则》（TSG 08-2026）要求，主要负责人、各类特种设备安全总监、安全员的岗位职责是否明确并履职到位；是否按照法律法规和安全技术规范要求配备各类特种设备安全总监、各类特种设备安全员以及持证情况；安全员数量与设备数量的人机配比是否科学合理；人员工作年限及流动性；各类在用特种设备是否制定安全风险管控清单且符合设备实际运行状况；是否建立健全“日管控、周排查、月调度”工作机制并有效运行。</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是特种设备信息化管理及安全管理平台运用情况。企业特种设备安全管理人员是否熟练运用云平台系统，是否定期对系统内特种设备数据进行维护，企业实际在用特种设备数据与系统内显示特种设备数量、状态以及相关技术参数是否吻合，压力管道编码数据是否上传至云平台，系统数据有误的是否及时提交材料和完成数据更新修正；企业云平台双重预防模块中安全隐患自查，责任落实模块中安全责任告知、事故应急预案、“两个规定”人员配置等材料是否均上传并符合企业实际；企业云平台是否显示超期未检设备，是否符合实际。</w:t>
      </w:r>
      <w:r>
        <w:rPr>
          <w:rFonts w:hint="eastAsia" w:ascii="宋体" w:hAnsi="宋体"/>
          <w:color w:val="000000"/>
          <w:szCs w:val="21"/>
          <w:highlight w:val="none"/>
        </w:rPr>
      </w:r>
      <w:r/>
    </w:p>
    <w:p>
      <w:pPr>
        <w:pStyle w:val="997"/>
        <w:rPr>
          <w:rFonts w:hint="eastAsia"/>
          <w:highlight w:val="none"/>
        </w:rPr>
      </w:pPr>
      <w:r>
        <w:rPr>
          <w:rFonts w:hint="eastAsia"/>
          <w:b/>
          <w:bCs/>
          <w:highlight w:val="none"/>
        </w:rPr>
        <w:t xml:space="preserve">五、工作方法</w:t>
      </w:r>
      <w:r>
        <w:rPr>
          <w:rFonts w:hint="eastAsia"/>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（一）分析研判。专家组应在现场检查开始前，登录“江苏省特种设备智慧服务平台”，核查</w:t>
      </w:r>
      <w:r>
        <w:rPr>
          <w:rFonts w:hint="eastAsia" w:ascii="宋体" w:hAnsi="宋体"/>
          <w:color w:val="000000"/>
          <w:szCs w:val="21"/>
          <w:highlight w:val="none"/>
        </w:rPr>
        <w:t xml:space="preserve">企业特种设备安全管理制度建立情况、特种设备使用安全主体责任落实情况；根据企业在用特种设备数据和使用管理情况、历年检查发现问题，进行综合分析研判，明确企业特种设备的主要风险点和安全管理薄弱环节，制定现场排查项目和重点设备，提升工作效能。检查前准备工作充分、扎实，专家组还应把企业需要准备材料清单、调查问卷等提前拟定，并交由市场监管局转发至被检查单位。调查问卷至少包括危险工艺、重大风险点、工艺变更、承压类设备损伤模式、近三年安装改造修理、近一年安全管理人员变更、超设计使用年限继续使用设备、监控使用措施等情况调查。</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（二）现场核查。专家组抵达被检查使用单位现场后</w:t>
      </w:r>
      <w:r>
        <w:rPr>
          <w:rFonts w:hint="eastAsia" w:ascii="宋体" w:hAnsi="宋体"/>
          <w:color w:val="000000"/>
          <w:szCs w:val="21"/>
          <w:highlight w:val="none"/>
        </w:rPr>
        <w:t xml:space="preserve">，应核查使用单位在用特种设备及其附属安全附件的数量，核查企业设备台账、省平台内上传的管理制度、人员持证与实际情况是否符合，收集在用设备设计参数，对检查的全面性负责；核查移动充装单位体系建设和现场情况；查看企业是否配备《特种设备安全法》《特种设备使用管理规则》等相关法律法规和安全技术规范。对企业特种设备安全总监、安全员开展特种设备应知应会抽查考试。化工、电站锅炉、管道企业检查时间至少为1天，可根据设备体量合理延长检查时间；化工企业中包含移动式压力容器或电站锅炉的企业检查时间至少为2天，应对该环节开展专项检查。</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（三）设备抽查。现场工作过程中应扩大在用特种设备现场检查的覆盖面，每家企业至少抽查10台本体风险较高的重点设备和压力管道，并且每类设备至少抽查一台；重</w:t>
      </w:r>
      <w:r>
        <w:rPr>
          <w:rFonts w:hint="eastAsia" w:ascii="宋体" w:hAnsi="宋体"/>
          <w:color w:val="000000"/>
          <w:szCs w:val="21"/>
          <w:highlight w:val="none"/>
        </w:rPr>
        <w:t xml:space="preserve">点抽查涉及、充装环节、重大工艺风险点、涉腐蚀、要求监控使用、超设计使用年限继续使用的和近三年安装、改造、修理、工艺变更的设备；并根据专家组自身工作案例，抽查被检查单位可能涉腐蚀的设备；细化第三类压力容器尤其是储罐、重大危险源、危险工艺等重点检查项目；如企业在用特种设备涉及电站锅炉，则应组织专家对其在用电站锅炉及其附属压力容器、压力管道开展专项检查；查看中控室DCS运行数据，近期是否存在特种设备超压超温使用等情况并作出记录；抽查设备检验报告的合规情况；如设备的年度检查为外单位开展，则核验检查人员进出现场记录。</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（四）隐患整改。诊断评估工作中发现的问题描述必须详实，对现场存在问题，要指明具体内容、所在位置、数量，注明违反法律法规的名称和条款。对提出的管理所缺事项，要逐一明确具体名称，不得笼统化和</w:t>
      </w:r>
      <w:r>
        <w:rPr>
          <w:rFonts w:hint="eastAsia" w:ascii="宋体" w:hAnsi="宋体"/>
          <w:color w:val="000000"/>
          <w:szCs w:val="21"/>
          <w:highlight w:val="none"/>
        </w:rPr>
        <w:t xml:space="preserve">概念化，以备忘录形式向企业反馈，双方对工作备忘录确认并签字；检查过程中如果问题不确定，如实描述不夸大，与企业做好沟通；遇到现场查看设备设施需要借助仪器、探伤、检测、鉴定、监督检验等特殊方法时，可对企业提出要求，限期提供结果报告；对发现在用设备设施逾期报废、未按规定检验检测、存在重大隐患时，须及时处理。发现的问题隐患，由新区市场监管局陪同人员负责联系企业收集相关整改见证资料，会同专家复核整改情况，必要时在局工作人员陪同下现场复查。隐患整改结束后，每家第三方机构应根据诊断评估情况提炼建立使用案例库和隐患案例库。</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（五）工作要求。技术机构专家必须在新区市场监管局相关工作人员陪同和监督下开展工作，工作过程中应加强廉洁自律，禁止提前向被检查单位泄露工作计划，禁止推销相关业务。</w:t>
      </w:r>
      <w:r>
        <w:rPr>
          <w:rFonts w:hint="eastAsia" w:ascii="宋体" w:hAnsi="宋体"/>
          <w:color w:val="000000"/>
          <w:szCs w:val="21"/>
          <w:highlight w:val="none"/>
        </w:rPr>
      </w:r>
      <w:r/>
    </w:p>
    <w:p>
      <w:pPr>
        <w:pStyle w:val="997"/>
        <w:spacing w:line="360" w:lineRule="auto"/>
        <w:rPr>
          <w:rFonts w:hint="eastAsia"/>
          <w:b/>
          <w:bCs/>
          <w:highlight w:val="none"/>
        </w:rPr>
      </w:pPr>
      <w:r>
        <w:rPr>
          <w:rFonts w:hint="eastAsia"/>
          <w:b/>
          <w:bCs/>
          <w:highlight w:val="none"/>
        </w:rPr>
        <w:t xml:space="preserve">六、商务要求</w:t>
      </w:r>
      <w:r>
        <w:rPr>
          <w:rFonts w:hint="eastAsia"/>
          <w:b/>
          <w:bCs/>
          <w:highlight w:val="none"/>
        </w:rPr>
      </w:r>
      <w:r/>
    </w:p>
    <w:p>
      <w:pPr>
        <w:pStyle w:val="997"/>
        <w:ind w:left="0" w:firstLine="420"/>
        <w:spacing w:line="360" w:lineRule="auto"/>
        <w:rPr>
          <w:rFonts w:ascii="宋体" w:hAnsi="宋体"/>
          <w:color w:val="000000"/>
          <w:szCs w:val="21"/>
          <w:highlight w:val="none"/>
        </w:rPr>
      </w:pPr>
      <w:r/>
      <w:bookmarkStart w:id="47" w:name="OLE_LINK12"/>
      <w:r>
        <w:rPr>
          <w:rFonts w:hint="eastAsia" w:ascii="宋体" w:hAnsi="宋体"/>
          <w:color w:val="000000"/>
          <w:szCs w:val="21"/>
          <w:highlight w:val="none"/>
        </w:rPr>
        <w:t xml:space="preserve">付款方式：</w:t>
      </w:r>
      <w:bookmarkStart w:id="48" w:name="OLE_LINK10"/>
      <w:r/>
      <w:bookmarkStart w:id="49" w:name="OLE_LINK11"/>
      <w:r>
        <w:rPr>
          <w:rFonts w:hint="eastAsia" w:ascii="宋体" w:hAnsi="宋体"/>
          <w:color w:val="000000"/>
          <w:szCs w:val="21"/>
          <w:highlight w:val="none"/>
        </w:rPr>
        <w:t xml:space="preserve">各成交供应商</w:t>
      </w:r>
      <w:bookmarkEnd w:id="48"/>
      <w:r/>
      <w:bookmarkEnd w:id="49"/>
      <w:r>
        <w:rPr>
          <w:rFonts w:hint="eastAsia" w:ascii="宋体" w:hAnsi="宋体"/>
          <w:color w:val="000000"/>
          <w:szCs w:val="21"/>
          <w:highlight w:val="none"/>
        </w:rPr>
        <w:t xml:space="preserve">每累计完成</w:t>
      </w:r>
      <w:r>
        <w:rPr>
          <w:rFonts w:ascii="宋体" w:hAnsi="宋体"/>
          <w:color w:val="000000"/>
          <w:szCs w:val="21"/>
          <w:highlight w:val="none"/>
        </w:rPr>
        <w:t xml:space="preserve">10</w:t>
      </w:r>
      <w:r>
        <w:rPr>
          <w:rFonts w:hint="eastAsia" w:ascii="宋体" w:hAnsi="宋体"/>
          <w:color w:val="000000"/>
          <w:szCs w:val="21"/>
          <w:highlight w:val="none"/>
        </w:rPr>
        <w:t xml:space="preserve">家检查任务后，采购人按进度支付该批次应付款项的7</w:t>
      </w:r>
      <w:r>
        <w:rPr>
          <w:rFonts w:ascii="宋体" w:hAnsi="宋体"/>
          <w:color w:val="000000"/>
          <w:szCs w:val="21"/>
          <w:highlight w:val="none"/>
        </w:rPr>
        <w:t xml:space="preserve">0%</w:t>
      </w:r>
      <w:r>
        <w:rPr>
          <w:rFonts w:hint="eastAsia" w:ascii="宋体" w:hAnsi="宋体"/>
          <w:color w:val="000000"/>
          <w:szCs w:val="21"/>
          <w:highlight w:val="none"/>
        </w:rPr>
        <w:t xml:space="preserve">。各成交供应商完成全部分配检查任务，提交完整检查台账及整体诊断评估分析报告，经采购人审核合格后，一次性支付全部剩余结算款项（具体以实际诊断评估单位数量结算）。</w:t>
      </w:r>
      <w:bookmarkEnd w:id="47"/>
      <w:r>
        <w:rPr>
          <w:rFonts w:ascii="宋体" w:hAnsi="宋体"/>
          <w:color w:val="000000"/>
          <w:szCs w:val="21"/>
          <w:highlight w:val="none"/>
        </w:rPr>
      </w:r>
      <w:r/>
    </w:p>
    <w:p>
      <w:pPr>
        <w:pStyle w:val="997"/>
        <w:ind w:left="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86"/>
        <w:spacing w:line="360" w:lineRule="auto"/>
        <w:rPr>
          <w:rFonts w:hint="eastAsia"/>
          <w:highlight w:val="none"/>
        </w:rPr>
      </w:pPr>
      <w:r>
        <w:rPr>
          <w:rFonts w:hint="eastAsia"/>
          <w:highlight w:val="none"/>
        </w:rPr>
      </w:r>
      <w:r/>
    </w:p>
    <w:p>
      <w:pPr>
        <w:pStyle w:val="1058"/>
        <w:rPr>
          <w:rFonts w:ascii="Arial" w:hAnsi="Arial"/>
          <w:highlight w:val="none"/>
          <w:lang w:val="zh-CN"/>
        </w:rPr>
      </w:pPr>
      <w:r/>
      <w:bookmarkStart w:id="50" w:name="_Toc7990"/>
      <w:r/>
      <w:bookmarkStart w:id="51" w:name="_Toc513029243"/>
      <w:r/>
      <w:bookmarkStart w:id="52" w:name="_Toc16938559"/>
      <w:r/>
      <w:bookmarkStart w:id="53" w:name="_Toc20823315"/>
      <w:r>
        <w:rPr>
          <w:rFonts w:ascii="Arial" w:hAnsi="Arial"/>
          <w:highlight w:val="none"/>
          <w:lang w:val="zh-CN"/>
        </w:rPr>
        <w:br w:type="page" w:clear="all"/>
      </w:r>
      <w:r>
        <w:rPr>
          <w:rFonts w:ascii="Arial" w:hAnsi="Arial"/>
          <w:highlight w:val="none"/>
          <w:lang w:val="zh-CN"/>
        </w:rPr>
        <w:t xml:space="preserve">第五章 合同主要条款</w:t>
      </w:r>
      <w:bookmarkEnd w:id="50"/>
      <w:r>
        <w:rPr>
          <w:rFonts w:ascii="Arial" w:hAnsi="Arial"/>
          <w:highlight w:val="none"/>
          <w:lang w:val="zh-CN"/>
        </w:rPr>
      </w:r>
      <w:r/>
    </w:p>
    <w:p>
      <w:pPr>
        <w:pStyle w:val="986"/>
        <w:ind w:left="2008" w:hanging="1050"/>
        <w:spacing w:line="360" w:lineRule="auto"/>
        <w:rPr>
          <w:rFonts w:ascii="宋体" w:hAnsi="宋体" w:cs="宋体"/>
          <w:b/>
          <w:bCs/>
          <w:sz w:val="32"/>
          <w:szCs w:val="32"/>
          <w:highlight w:val="none"/>
        </w:rPr>
      </w:pPr>
      <w:r>
        <w:rPr>
          <w:rFonts w:ascii="Arial" w:hAnsi="Arial"/>
          <w:bCs/>
          <w:highlight w:val="none"/>
        </w:rPr>
        <w:br w:type="textWrapping" w:clear="all"/>
      </w:r>
      <w:r>
        <w:rPr>
          <w:rFonts w:hint="eastAsia" w:ascii="宋体" w:hAnsi="宋体" w:cs="宋体"/>
          <w:b/>
          <w:bCs/>
          <w:sz w:val="32"/>
          <w:szCs w:val="32"/>
          <w:highlight w:val="none"/>
        </w:rPr>
        <w:t xml:space="preserve">项目名称：</w:t>
      </w:r>
      <w:r>
        <w:rPr>
          <w:rFonts w:ascii="宋体" w:hAnsi="宋体" w:cs="宋体"/>
          <w:b/>
          <w:bCs/>
          <w:sz w:val="32"/>
          <w:szCs w:val="32"/>
          <w:highlight w:val="none"/>
        </w:rPr>
      </w:r>
      <w:r/>
    </w:p>
    <w:p>
      <w:pPr>
        <w:pStyle w:val="986"/>
        <w:rPr>
          <w:highlight w:val="none"/>
        </w:rPr>
      </w:pPr>
      <w:r>
        <w:rPr>
          <w:highlight w:val="none"/>
        </w:rPr>
      </w:r>
      <w:r/>
    </w:p>
    <w:p>
      <w:pPr>
        <w:pStyle w:val="986"/>
        <w:ind w:firstLine="964"/>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甲方：</w:t>
      </w:r>
      <w:r>
        <w:rPr>
          <w:rFonts w:ascii="宋体" w:hAnsi="宋体" w:cs="宋体"/>
          <w:b/>
          <w:bCs/>
          <w:sz w:val="32"/>
          <w:szCs w:val="32"/>
          <w:highlight w:val="none"/>
        </w:rPr>
      </w:r>
      <w:r/>
    </w:p>
    <w:p>
      <w:pPr>
        <w:pStyle w:val="986"/>
        <w:rPr>
          <w:highlight w:val="none"/>
        </w:rPr>
      </w:pPr>
      <w:r>
        <w:rPr>
          <w:highlight w:val="none"/>
        </w:rPr>
      </w:r>
      <w:r/>
    </w:p>
    <w:p>
      <w:pPr>
        <w:pStyle w:val="986"/>
        <w:ind w:firstLine="964"/>
        <w:spacing w:line="360" w:lineRule="auto"/>
        <w:rPr>
          <w:rFonts w:ascii="宋体" w:hAnsi="宋体" w:cs="宋体"/>
          <w:sz w:val="24"/>
          <w:szCs w:val="24"/>
          <w:highlight w:val="none"/>
        </w:rPr>
      </w:pPr>
      <w:r>
        <w:rPr>
          <w:rFonts w:hint="eastAsia" w:ascii="宋体" w:hAnsi="宋体" w:cs="宋体"/>
          <w:b/>
          <w:bCs/>
          <w:sz w:val="32"/>
          <w:szCs w:val="32"/>
          <w:highlight w:val="none"/>
        </w:rPr>
        <w:t xml:space="preserve">乙方：</w:t>
      </w:r>
      <w:r>
        <w:rPr>
          <w:rFonts w:ascii="宋体" w:hAnsi="宋体" w:cs="宋体"/>
          <w:sz w:val="24"/>
          <w:szCs w:val="24"/>
          <w:highlight w:val="none"/>
        </w:rPr>
      </w:r>
      <w:r/>
    </w:p>
    <w:p>
      <w:pPr>
        <w:pStyle w:val="986"/>
        <w:rPr>
          <w:highlight w:val="none"/>
        </w:rPr>
      </w:pPr>
      <w:r>
        <w:rPr>
          <w:highlight w:val="none"/>
        </w:rPr>
      </w:r>
      <w:r/>
    </w:p>
    <w:p>
      <w:pPr>
        <w:pStyle w:val="987"/>
        <w:rPr>
          <w:highlight w:val="none"/>
        </w:rPr>
      </w:pPr>
      <w:r>
        <w:rPr>
          <w:highlight w:val="none"/>
        </w:rPr>
      </w:r>
      <w:r/>
    </w:p>
    <w:p>
      <w:pPr>
        <w:pStyle w:val="986"/>
        <w:rPr>
          <w:highlight w:val="none"/>
        </w:rPr>
      </w:pPr>
      <w:r>
        <w:rPr>
          <w:highlight w:val="none"/>
        </w:rPr>
      </w:r>
      <w:r/>
    </w:p>
    <w:p>
      <w:pPr>
        <w:pStyle w:val="1164"/>
        <w:spacing w:before="156"/>
        <w:rPr>
          <w:rFonts w:ascii="宋体" w:hAnsi="宋体" w:cs="宋体"/>
          <w:highlight w:val="none"/>
        </w:rPr>
      </w:pPr>
      <w:r>
        <w:rPr>
          <w:rFonts w:ascii="宋体" w:hAnsi="宋体" w:cs="宋体"/>
          <w:highlight w:val="none"/>
        </w:rPr>
      </w:r>
      <w:r/>
    </w:p>
    <w:p>
      <w:pPr>
        <w:pStyle w:val="986"/>
        <w:jc w:val="center"/>
        <w:rPr>
          <w:rFonts w:ascii="宋体" w:hAnsi="宋体" w:cs="宋体"/>
          <w:b/>
          <w:bCs/>
          <w:sz w:val="28"/>
          <w:szCs w:val="28"/>
          <w:highlight w:val="none"/>
        </w:rPr>
      </w:pPr>
      <w:r>
        <w:rPr>
          <w:rFonts w:ascii="宋体" w:hAnsi="宋体" w:cs="宋体"/>
          <w:b/>
          <w:bCs/>
          <w:sz w:val="28"/>
          <w:szCs w:val="28"/>
          <w:highlight w:val="none"/>
        </w:rPr>
      </w:r>
      <w:r/>
    </w:p>
    <w:p>
      <w:pPr>
        <w:pStyle w:val="986"/>
        <w:jc w:val="center"/>
        <w:rPr>
          <w:rFonts w:ascii="宋体" w:hAnsi="宋体" w:cs="宋体"/>
          <w:b/>
          <w:bCs/>
          <w:sz w:val="28"/>
          <w:szCs w:val="28"/>
          <w:highlight w:val="none"/>
        </w:rPr>
      </w:pPr>
      <w:r>
        <w:rPr>
          <w:rFonts w:hint="eastAsia" w:ascii="宋体" w:hAnsi="宋体" w:cs="宋体"/>
          <w:b/>
          <w:bCs/>
          <w:sz w:val="28"/>
          <w:szCs w:val="28"/>
          <w:highlight w:val="none"/>
        </w:rPr>
        <w:t xml:space="preserve">签订时间：二〇二六年 月  日</w:t>
      </w:r>
      <w:r>
        <w:rPr>
          <w:rFonts w:ascii="宋体" w:hAnsi="宋体" w:cs="宋体"/>
          <w:b/>
          <w:bCs/>
          <w:sz w:val="28"/>
          <w:szCs w:val="28"/>
          <w:highlight w:val="none"/>
        </w:rPr>
      </w:r>
      <w:r/>
    </w:p>
    <w:p>
      <w:pPr>
        <w:pStyle w:val="986"/>
        <w:rPr>
          <w:rFonts w:ascii="宋体" w:hAnsi="宋体" w:cs="宋体"/>
          <w:highlight w:val="none"/>
        </w:rPr>
      </w:pPr>
      <w:r>
        <w:rPr>
          <w:rFonts w:ascii="宋体" w:hAnsi="宋体" w:cs="宋体"/>
          <w:highlight w:val="none"/>
        </w:rPr>
      </w:r>
      <w:r/>
    </w:p>
    <w:p>
      <w:pPr>
        <w:pStyle w:val="986"/>
        <w:ind w:firstLine="600"/>
        <w:jc w:val="left"/>
        <w:spacing w:line="480" w:lineRule="exact"/>
        <w:rPr>
          <w:rFonts w:ascii="宋体" w:hAnsi="宋体" w:cs="宋体"/>
          <w:sz w:val="24"/>
          <w:szCs w:val="24"/>
          <w:highlight w:val="none"/>
        </w:rPr>
      </w:pPr>
      <w:r>
        <w:rPr>
          <w:rFonts w:ascii="宋体" w:hAnsi="宋体" w:cs="宋体"/>
          <w:sz w:val="24"/>
          <w:szCs w:val="24"/>
          <w:highlight w:val="none"/>
        </w:rPr>
      </w:r>
      <w:r/>
    </w:p>
    <w:p>
      <w:pPr>
        <w:pStyle w:val="986"/>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986"/>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根据《中华人民共和国政府采购法》《中华人民共和国民法典》等有关法律法规规定，</w:t>
      </w:r>
      <w:r>
        <w:rPr>
          <w:rFonts w:hint="eastAsia" w:ascii="宋体" w:hAnsi="宋体" w:cs="宋体"/>
          <w:szCs w:val="21"/>
          <w:highlight w:val="none"/>
          <w:u w:val="single"/>
        </w:rPr>
        <w:t xml:space="preserve">南京江北新区管理委员会市场监督管理局</w:t>
      </w:r>
      <w:r>
        <w:rPr>
          <w:rFonts w:hint="eastAsia" w:ascii="宋体" w:hAnsi="宋体" w:cs="宋体"/>
          <w:szCs w:val="21"/>
          <w:highlight w:val="none"/>
        </w:rPr>
        <w:t xml:space="preserve"> (以下简称：“甲方”)通过 </w:t>
      </w:r>
      <w:r>
        <w:rPr>
          <w:rFonts w:hint="eastAsia" w:ascii="宋体" w:hAnsi="宋体" w:cs="宋体"/>
          <w:szCs w:val="21"/>
          <w:highlight w:val="none"/>
          <w:u w:val="single"/>
        </w:rPr>
        <w:t xml:space="preserve">竞争性磋商采购 </w:t>
      </w:r>
      <w:r>
        <w:rPr>
          <w:rFonts w:hint="eastAsia" w:ascii="宋体" w:hAnsi="宋体" w:cs="宋体"/>
          <w:szCs w:val="21"/>
          <w:highlight w:val="none"/>
        </w:rPr>
        <w:t xml:space="preserve">确定</w:t>
      </w:r>
      <w:r>
        <w:rPr>
          <w:rFonts w:hint="eastAsia" w:ascii="宋体" w:hAnsi="宋体" w:cs="宋体"/>
          <w:szCs w:val="21"/>
          <w:highlight w:val="none"/>
          <w:u w:val="single"/>
        </w:rPr>
        <w:t xml:space="preserve">          </w:t>
      </w:r>
      <w:r>
        <w:rPr>
          <w:rFonts w:hint="eastAsia" w:ascii="宋体" w:hAnsi="宋体" w:cs="宋体"/>
          <w:szCs w:val="21"/>
          <w:highlight w:val="none"/>
        </w:rPr>
        <w:t xml:space="preserve">(以下简称：“乙方”)为</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项目的响应供应商。甲乙双方同意签署《</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项目合同》(以下简称：“合同”)。</w:t>
      </w:r>
      <w:r>
        <w:rPr>
          <w:rFonts w:ascii="宋体" w:hAnsi="宋体" w:cs="宋体"/>
          <w:szCs w:val="21"/>
          <w:highlight w:val="none"/>
        </w:rPr>
      </w:r>
      <w:r/>
    </w:p>
    <w:p>
      <w:pPr>
        <w:pStyle w:val="1102"/>
        <w:numPr>
          <w:ilvl w:val="0"/>
          <w:numId w:val="9"/>
        </w:numPr>
        <w:spacing w:line="520" w:lineRule="exact"/>
        <w:rPr>
          <w:rFonts w:ascii="黑体" w:hAnsi="黑体" w:cs="宋体"/>
          <w:bCs/>
          <w:sz w:val="21"/>
          <w:szCs w:val="21"/>
          <w:highlight w:val="none"/>
        </w:rPr>
      </w:pPr>
      <w:r>
        <w:rPr>
          <w:rFonts w:hint="eastAsia" w:ascii="黑体" w:hAnsi="黑体" w:cs="宋体"/>
          <w:bCs/>
          <w:sz w:val="21"/>
          <w:szCs w:val="21"/>
          <w:highlight w:val="none"/>
        </w:rPr>
        <w:t xml:space="preserve">合同内容</w:t>
      </w:r>
      <w:r>
        <w:rPr>
          <w:rFonts w:ascii="黑体" w:hAnsi="黑体" w:cs="宋体"/>
          <w:bCs/>
          <w:sz w:val="21"/>
          <w:szCs w:val="21"/>
          <w:highlight w:val="none"/>
        </w:rPr>
      </w:r>
      <w:r/>
    </w:p>
    <w:p>
      <w:pPr>
        <w:pStyle w:val="986"/>
        <w:jc w:val="left"/>
        <w:spacing w:line="520" w:lineRule="exact"/>
        <w:rPr>
          <w:rFonts w:ascii="宋体" w:hAnsi="宋体" w:cs="宋体"/>
          <w:szCs w:val="21"/>
          <w:highlight w:val="none"/>
          <w:u w:val="single"/>
        </w:rPr>
      </w:pPr>
      <w:r>
        <w:rPr>
          <w:rFonts w:hint="eastAsia" w:ascii="宋体" w:hAnsi="宋体" w:cs="宋体"/>
          <w:szCs w:val="21"/>
          <w:highlight w:val="none"/>
        </w:rPr>
        <w:t xml:space="preserve">范围：经甲、乙双方商定，服务范围确定为：</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1102"/>
        <w:numPr>
          <w:ilvl w:val="1"/>
          <w:numId w:val="9"/>
        </w:numPr>
        <w:spacing w:line="520" w:lineRule="exact"/>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工作时间：自合同签订之日起开始，</w:t>
      </w:r>
      <w:r>
        <w:rPr>
          <w:rFonts w:hint="eastAsia" w:ascii="宋体" w:hAnsi="宋体" w:eastAsia="宋体" w:cs="宋体"/>
          <w:sz w:val="21"/>
          <w:szCs w:val="21"/>
          <w:highlight w:val="none"/>
          <w:u w:val="single"/>
          <w:lang w:eastAsia="zh-CN"/>
        </w:rPr>
        <w:t xml:space="preserve">   </w:t>
      </w:r>
      <w:r>
        <w:rPr>
          <w:rFonts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日前完成。</w:t>
      </w:r>
      <w:r>
        <w:rPr>
          <w:rFonts w:ascii="宋体" w:hAnsi="宋体" w:eastAsia="宋体" w:cs="宋体"/>
          <w:sz w:val="21"/>
          <w:szCs w:val="21"/>
          <w:highlight w:val="none"/>
          <w:lang w:eastAsia="zh-CN"/>
        </w:rPr>
      </w:r>
      <w:r/>
    </w:p>
    <w:p>
      <w:pPr>
        <w:pStyle w:val="1102"/>
        <w:numPr>
          <w:ilvl w:val="1"/>
          <w:numId w:val="9"/>
        </w:numPr>
        <w:spacing w:line="52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主要内容</w:t>
      </w:r>
      <w:r>
        <w:rPr>
          <w:rFonts w:ascii="宋体" w:hAnsi="宋体" w:eastAsia="宋体" w:cs="宋体"/>
          <w:bCs/>
          <w:sz w:val="21"/>
          <w:szCs w:val="21"/>
          <w:highlight w:val="none"/>
        </w:rPr>
      </w:r>
      <w:r/>
    </w:p>
    <w:p>
      <w:pPr>
        <w:pStyle w:val="986"/>
        <w:ind w:firstLine="422"/>
        <w:rPr>
          <w:rFonts w:hint="eastAsia" w:ascii="宋体" w:hAnsi="宋体" w:cs="宋体"/>
          <w:szCs w:val="21"/>
          <w:highlight w:val="none"/>
        </w:rPr>
      </w:pPr>
      <w:r>
        <w:rPr>
          <w:rFonts w:hint="eastAsia" w:ascii="宋体" w:hAnsi="宋体" w:cs="宋体"/>
          <w:b/>
          <w:bCs/>
          <w:szCs w:val="21"/>
          <w:highlight w:val="none"/>
        </w:rPr>
        <w:t xml:space="preserve">服务要求</w:t>
      </w:r>
      <w:r>
        <w:rPr>
          <w:rFonts w:hint="eastAsia" w:ascii="宋体" w:hAnsi="宋体" w:cs="宋体"/>
          <w:szCs w:val="21"/>
          <w:highlight w:val="none"/>
        </w:rPr>
      </w:r>
      <w:r/>
    </w:p>
    <w:p>
      <w:pPr>
        <w:pStyle w:val="9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w:t>
      </w:r>
      <w:r>
        <w:rPr>
          <w:rFonts w:hint="eastAsia" w:ascii="宋体" w:hAnsi="宋体"/>
          <w:color w:val="000000"/>
          <w:szCs w:val="21"/>
          <w:highlight w:val="none"/>
        </w:rPr>
        <w:t xml:space="preserve">人员配备。乙方提供诊断评估方案、检查项目表和各类特种设备安全总监、安全员履职情况调查问卷，明确项目负责人和团队成员，在诊断评估化工、电站锅炉和管道企业时，配备至少4名承压类特种设备领域专家和1名机电类特种设备领域专家；在诊断评估医院、工贸企业时，配备至少3名承压类特种设备领域专家和2名机电类特种设备领域专家。</w:t>
      </w:r>
      <w:r>
        <w:rPr>
          <w:rFonts w:hint="eastAsia" w:ascii="宋体" w:hAnsi="宋体" w:cs="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（二）</w:t>
      </w:r>
      <w:r>
        <w:rPr>
          <w:rFonts w:hint="eastAsia" w:ascii="宋体" w:hAnsi="宋体"/>
          <w:color w:val="000000"/>
          <w:szCs w:val="21"/>
          <w:highlight w:val="none"/>
        </w:rPr>
        <w:t xml:space="preserve">总结报告。每家企业完成“专业化提升”诊断评估后应记录问题隐患，每完成1</w:t>
      </w:r>
      <w:r>
        <w:rPr>
          <w:rFonts w:ascii="宋体" w:hAnsi="宋体"/>
          <w:color w:val="000000"/>
          <w:szCs w:val="21"/>
          <w:highlight w:val="none"/>
        </w:rPr>
        <w:t xml:space="preserve">0</w:t>
      </w:r>
      <w:r>
        <w:rPr>
          <w:rFonts w:hint="eastAsia" w:ascii="宋体" w:hAnsi="宋体"/>
          <w:color w:val="000000"/>
          <w:szCs w:val="21"/>
          <w:highlight w:val="none"/>
        </w:rPr>
        <w:t xml:space="preserve">家企业后分类汇总发现的问题，并于全部诊断评估工作完成后30个工作日内出具分析报告，报告至少应包含以下内容：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（1）简述整体诊断评估工作情况；</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（2）评价企业的特种设备使用管理情况，企业画像有特色、有重点，企业评分有排序；</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（3）评价每家企业的特种设备风险分析及隐患排查治理情况，不局限于问题叙述和罗列；</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（4）评价企业各类特种设备安全总监和安全员履职情况以及“日管控、周排查、月调度”工作机制运行情况；</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（5）分析企业工艺变更控制、腐蚀管理或日常维护保养等情况，提出工作建议；</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（6）发现的问题及分析；</w:t>
      </w:r>
      <w:r>
        <w:rPr>
          <w:rFonts w:hint="eastAsia" w:ascii="宋体" w:hAnsi="宋体"/>
          <w:color w:val="000000"/>
          <w:szCs w:val="21"/>
          <w:highlight w:val="none"/>
        </w:rPr>
      </w:r>
      <w:r/>
    </w:p>
    <w:p>
      <w:pPr>
        <w:pStyle w:val="986"/>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（7）发现问题的整改情况，以及有关工作的建议。</w:t>
      </w:r>
      <w:r>
        <w:rPr>
          <w:rFonts w:hint="eastAsia" w:ascii="宋体" w:hAnsi="宋体" w:cs="宋体"/>
          <w:color w:val="000000"/>
          <w:szCs w:val="21"/>
          <w:highlight w:val="none"/>
        </w:rPr>
      </w:r>
      <w:r/>
    </w:p>
    <w:p>
      <w:pPr>
        <w:pStyle w:val="98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工作内容</w:t>
      </w:r>
      <w:r>
        <w:rPr>
          <w:rFonts w:hint="eastAsia" w:ascii="宋体" w:hAnsi="宋体" w:cs="宋体"/>
          <w:b/>
          <w:bCs/>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（一）化工、电站锅炉、管道企业工作内容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1.非现场工作内容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企业特种设备使用安全主体责任落实情况。企业特种设备安全管理机构、安全管理制度、应急预案建立及运行情况；特种设备安全总监、专职安全管理人员及各类特种设备安全员配备、持证及履职情况；企业平台内各类特种设备使用登记、定期检验情况。</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企业特种设备安全风险源管控情况。企业2026年是否按要求逐台开展特种设备安全管理情况自查工作，排查发现的问题隐患是否均整改闭环。企业各类在用特种设备是否制定安全风险管控清单且符合设备实际运行状况；是否建立健全“日管控、周排查、月调度”工作机制并有效运行。</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拟定《高风险设备核查清单》。通过平台数据分析和企业问卷调查，聚焦企业重大危险源配套特种设备、涉危化品腐蚀类特种设备、超设计使用年限监控使用设备、近四年进行重大修理和改造设备、检验周期内发生工艺变更的设备、电站锅炉及附属承压设备、公共管廊厂际压力管道等7类高风险设备，提前拟定《高风险设备核查清单》。</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2.现场工作内容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高风险设备全链条管理情况。抽查高风险特种设备的制造、安装、修理改造、检验检测、日常定期检查等情况。核查安装、修理、改造的施工管理、相关单位资质和人员资质情况；历次定期检验情况和监控措施落实情况；安全附件选配及定期校验情况；日常运行中是否存在超压、超温、超设计参数运行情况。      </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二是重大事故隐患排查情况。根据《特种设备安全监督检查办法》中严重事故隐患和重大违法行为中所列的情形，参考《特种设备重大事故隐患判定准则》（GB 45067-2024）的判定准则，排查企业在用特种设备安全管理中存在的重大事故隐患。</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是特种设备修理、改造环节监督管理情况。抽查企业对特种设备修理、改造单位等第三方单位的监督管理情况。核查是否均办理开工告知、单位资质和人员资质情况；施工过程是否制定施工方案，落实全过程监督情况等。</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涉危化品特种设备防腐蚀管理与工艺变更情况。核查企业是否开展涉及腐蚀性介质压力容器、压力管道风险识别和隐患排查工作，是否分析腐蚀原因，开展工艺防腐相关的化验分析，采取相应措施降低腐蚀速率；是否运用在线腐蚀检测或定期壁厚测定等风险防控措施；是否对管道三通、弯头、变径等易冲刷部位开展针对性巡检。承压类特种设备检验周期内涉及的化工工艺是否发生变更，工艺变更是否履行设备适配评估，变更后运行参数是否超出设计限值（重点核查压力、温度、介质成分变化等）。            </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986"/>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六是特种设备信息化管理及安全管理平台运用情况。企业特种设备安全管理人员是否熟练运用云平台系统，是否定期对系统内特种设备数据进行维护，企业实际在用特种设备数据与系统内显示特种设备数量、状态以及相关技术参数是否吻合，压力管道编码数据是否上传至云平台，系统数据有误的是否及时提交材料和完成数据更新修正；企业云平台双重预防模块中安全隐患自查，责任落实模块中安全责任告知、事故应急预案、“两个规定”人员配置等材料是否均上传并符合企业实际；企业云平台是否显示超期未检设备，是否符合实际。</w:t>
      </w:r>
      <w:r>
        <w:rPr>
          <w:rFonts w:hint="eastAsia" w:ascii="宋体" w:hAnsi="宋体" w:cs="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（二）其他企业工作内容</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是特种设备安全管理体系建设及运行情况。在用特种设备是否均纳入管理并与现场实际符合；特种设备各项安全管理制度及操作规程制定的是否科学合理、是否符合企业实际并有效执行；是否按要求逐台开展特种设备安全隐患排查工作，排查发现的问题隐患是否均整改闭环。</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二是在用特种设备本质安全度。在用特种设备是否均办理使用登记并定期检验，</w:t>
      </w:r>
      <w:r>
        <w:rPr>
          <w:rFonts w:hint="eastAsia" w:ascii="宋体" w:hAnsi="宋体"/>
          <w:color w:val="000000"/>
          <w:szCs w:val="21"/>
          <w:highlight w:val="none"/>
        </w:rPr>
        <w:t xml:space="preserve">是否开展经常性维护保养和年度检查；在用达到设计使用年限特种设备是否按法律法规要求办理使用登记变更手续；在用特种设备安全附件是否均在校验有效期内，选型、设置是否符合安全技术规范要求，爆破片是否定期更换并建立更换记录；定期检验发现的重大安全隐患和缺陷是否已彻底消除或采取有效措施，安全状况评定为三级及以下的压力容器和压力管道是否消除隐患并制定落实监控使用措施；企业是否有延期的在用压力容器、压力管道，风险防控措施是否落实到位；特种设备定期检验、定期检查中发现的问题隐患是否均整改落实到位，监控使用措施是否均落实到位。</w:t>
      </w:r>
      <w:r>
        <w:rPr>
          <w:rFonts w:hint="eastAsia" w:ascii="宋体" w:hAnsi="宋体"/>
          <w:color w:val="000000"/>
          <w:szCs w:val="21"/>
          <w:highlight w:val="none"/>
        </w:rPr>
      </w:r>
      <w:r/>
    </w:p>
    <w:p>
      <w:pPr>
        <w:pStyle w:val="98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三是企业特种设备使用安全主体责任落实情况。企业是否贯彻落实国家市场监管总局第74号令、《特种设备使用管理规则》（TSG 08-2026）要求，主要负责人、各类特种设备安全总监、安全员的岗位职责是否明确并履职到位；是否按照法律法规和安全技术规范要求配备各类特种设备安全总监、各类特种设备安全员以及持证情况；安全员数量与设备数量的人机配比是否科学合理；人员工作年限及流动性；各类在用特种设备是否制定安全风险管控清单且符合设备实际运行状况；是否建立健全“日管控、周排查、月调度”工作机制并有效运行。</w:t>
      </w:r>
      <w:r>
        <w:rPr>
          <w:rFonts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四是企业压力管道安全管理情况。在用压力管道编码工作情况和唯一性代码使用情况；最新备案的《压力</w:t>
      </w:r>
      <w:r>
        <w:rPr>
          <w:rFonts w:hint="eastAsia" w:ascii="宋体" w:hAnsi="宋体"/>
          <w:color w:val="000000"/>
          <w:szCs w:val="21"/>
          <w:highlight w:val="none"/>
        </w:rPr>
        <w:t xml:space="preserve">管道基本情况汇总表》与现场在用压力管道实际状况是否相符合；在用压力管道注册登记、检验检测、管理制度等是否合法合规；管道巡检、日常维护、年度检查、应急处置等管理措施是否有效；管道本体和附属设施是否安全可靠；是否存在未按法律法规和安全技术规范要求安装、改造、修理压力管道情况；在用压力管道完整性管理工作开展情况；企业公共管廊上厂际管道安全管理情况是否合法合规，产权归属是否清晰，日常安全管理、定期巡检、维护保养是否落实到位；《工业管道安全技术规程》（TSG 31-2025）执行情况。抽查压力管道元件是否为合格产品。</w:t>
      </w:r>
      <w:r>
        <w:rPr>
          <w:rFonts w:hint="eastAsia" w:ascii="宋体" w:hAnsi="宋体"/>
          <w:color w:val="000000"/>
          <w:szCs w:val="21"/>
          <w:highlight w:val="none"/>
        </w:rPr>
      </w:r>
      <w:r/>
    </w:p>
    <w:p>
      <w:pPr>
        <w:pStyle w:val="986"/>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五是特种设备信息化管理及安全管理平台运用情况。企业特种设备安全管理人员是否熟练运用云平台系统，是否定期对系统内特种设备数据进行维护，企业实际在用特种设备数据与系统内显示特种设备数量、状态以及相关技术参数是否吻合，压力管道编码数据是否上传至云平台，系统数据有误的是否及时提交材料和完成数据更新修正；企业云平台双重预防模块中安全隐患自查，责任落实模块中安全责任告知、事故应急预案、“两个规定”人员配置等材料是否均上传并符合企业实际；企业云平台是否显示超期未检设备，是否符合实际。</w:t>
      </w:r>
      <w:r>
        <w:rPr>
          <w:rFonts w:hint="eastAsia" w:ascii="宋体" w:hAnsi="宋体" w:cs="宋体"/>
          <w:color w:val="000000"/>
          <w:szCs w:val="21"/>
          <w:highlight w:val="none"/>
        </w:rPr>
      </w:r>
      <w:r/>
    </w:p>
    <w:p>
      <w:pPr>
        <w:pStyle w:val="997"/>
        <w:ind w:left="0" w:firstLine="422"/>
        <w:rPr>
          <w:rFonts w:hint="eastAsia" w:ascii="宋体" w:hAnsi="宋体" w:cs="宋体"/>
          <w:szCs w:val="21"/>
          <w:highlight w:val="none"/>
        </w:rPr>
      </w:pPr>
      <w:r>
        <w:rPr>
          <w:rFonts w:hint="eastAsia" w:ascii="宋体" w:hAnsi="宋体" w:cs="宋体"/>
          <w:b/>
          <w:bCs/>
          <w:szCs w:val="21"/>
          <w:highlight w:val="none"/>
        </w:rPr>
        <w:t xml:space="preserve">工作方法</w:t>
      </w:r>
      <w:r>
        <w:rPr>
          <w:rFonts w:hint="eastAsia" w:ascii="宋体" w:hAnsi="宋体" w:cs="宋体"/>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（一）分析研判。专家组应在现场检查开始前，登录“江苏省特种设备智慧服务平台”，核查</w:t>
      </w:r>
      <w:r>
        <w:rPr>
          <w:rFonts w:hint="eastAsia" w:ascii="宋体" w:hAnsi="宋体"/>
          <w:color w:val="000000"/>
          <w:szCs w:val="21"/>
          <w:highlight w:val="none"/>
        </w:rPr>
        <w:t xml:space="preserve">企业特种设备安全管理制度建立情况、特种设备使用安全主体责任落实情况；根据企业在用特种设备数据和使用管理情况、历年检查发现问题，进行综合分析研判，明确企业特种设备的主要风险点和安全管理薄弱环节，制定现场排查项目和重点设备，提升工作效能。检查前准备工作充分、扎实，专家组还应把企业需要准备材料清单、调查问卷等提前拟定，并交由市场监管局转发至被检查单位。调查问卷至少包括危险工艺、重大风险点、工艺变更、承压类设备损伤模式、近三年安装改造修理、近一年安全管理人员变更、超设计使用年限继续使用设备、监控使用措施等情况调查。</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（二）现场核查。专家组抵达被检查使用单位现场后</w:t>
      </w:r>
      <w:r>
        <w:rPr>
          <w:rFonts w:hint="eastAsia" w:ascii="宋体" w:hAnsi="宋体"/>
          <w:color w:val="000000"/>
          <w:szCs w:val="21"/>
          <w:highlight w:val="none"/>
        </w:rPr>
        <w:t xml:space="preserve">，应核查使用单位在用特种设备及其附属安全附件的数量，核查企业设备台账、省平台内上传的管理制度、人员持证与实际情况是否符合，收集在用设备设计参数，对检查的全面性负责；核查移动充装单位体系建设和现场情况；查看企业是否配备《特种设备安全法》《特种设备使用管理规则》等相关法律法规和安全技术规范。对企业特种设备安全总监、安全员开展特种设备应知应会抽查考试。化工、电站锅炉、管道企业检查时间至少为1天，可根据设备体量合理延长检查时间；化工企业中包含移动式压力容器或电站锅炉的企业检查时间至少为2天，应对该环节开展专项检查。</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（三）设备抽查。现场工作过程中应扩大在用特种设备现场检查的覆盖面，每家企业至少抽查10台本体风险较高的重点设备和压力管道，并且每类设备至少抽查一台；重</w:t>
      </w:r>
      <w:r>
        <w:rPr>
          <w:rFonts w:hint="eastAsia" w:ascii="宋体" w:hAnsi="宋体"/>
          <w:color w:val="000000"/>
          <w:szCs w:val="21"/>
          <w:highlight w:val="none"/>
        </w:rPr>
        <w:t xml:space="preserve">点抽查涉及、充装环节、重大工艺风险点、涉腐蚀、要求监控使用、超设计使用年限继续使用的和近三年安装、改造、修理、工艺变更的设备；并根据专家组自身工作案例，抽查被检查单位可能涉腐蚀的设备；细化第三类压力容器尤其是储罐、重大危险源、危险工艺等重点检查项目；如企业在用特种设备涉及电站锅炉，则应组织专家对其在用电站锅炉及其附属压力容器、压力管道开展专项检查；查看中控室DCS运行数据，近期是否存在特种设备超压超温使用等情况并作出记录；抽查设备检验报告的合规情况；如设备的年度检查为外单位开展，则核验检查人员进出现场记录。</w:t>
      </w:r>
      <w:r>
        <w:rPr>
          <w:rFonts w:hint="eastAsia" w:ascii="宋体" w:hAnsi="宋体"/>
          <w:color w:val="000000"/>
          <w:szCs w:val="21"/>
          <w:highlight w:val="none"/>
        </w:rPr>
      </w:r>
      <w:r/>
    </w:p>
    <w:p>
      <w:pPr>
        <w:pStyle w:val="9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（四）隐患整改。诊断评估工作中发现的问题描述必须详实，对现场存在问题，要指明具体内容、所在位置、数量，注明违反法律法规的名称和条款。对提出的管理所缺事项，要逐一明确具体名称，不得笼统化和</w:t>
      </w:r>
      <w:r>
        <w:rPr>
          <w:rFonts w:hint="eastAsia" w:ascii="宋体" w:hAnsi="宋体"/>
          <w:color w:val="000000"/>
          <w:szCs w:val="21"/>
          <w:highlight w:val="none"/>
        </w:rPr>
        <w:t xml:space="preserve">概念化，以备忘录形式向企业反馈，双方对工作备忘录确认并签字；检查过程中如果问题不确定，如实描述不夸大，与企业做好沟通；遇到现场查看设备设施需要借助仪器、探伤、检测、鉴定、监督检验等特殊方法时，可对企业提出要求，限期提供结果报告；对发现在用设备设施逾期报废、未按规定检验检测、存在重大隐患时，须及时处理。发现的问题隐患，由新区市场监管局陪同人员负责联系企业收集相关整改见证资料，会同专家复核整改情况，必要时在局工作人员陪同下现场复查。隐患整改结束后，每家第三方机构应根据诊断评估情况提炼建立使用案例库和隐患案例库。</w:t>
      </w:r>
      <w:r>
        <w:rPr>
          <w:rFonts w:hint="eastAsia" w:ascii="宋体" w:hAnsi="宋体"/>
          <w:color w:val="000000"/>
          <w:szCs w:val="21"/>
          <w:highlight w:val="none"/>
        </w:rPr>
      </w:r>
      <w:r/>
    </w:p>
    <w:p>
      <w:pPr>
        <w:pStyle w:val="986"/>
        <w:ind w:firstLine="420"/>
        <w:spacing w:line="500" w:lineRule="exact"/>
        <w:rPr>
          <w:rFonts w:hint="eastAsia" w:ascii="宋体" w:hAnsi="宋体" w:cs="宋体"/>
          <w:szCs w:val="21"/>
          <w:highlight w:val="none"/>
          <w:u w:val="single"/>
        </w:rPr>
      </w:pPr>
      <w:r>
        <w:rPr>
          <w:rFonts w:hint="eastAsia" w:ascii="宋体" w:hAnsi="宋体"/>
          <w:color w:val="000000"/>
          <w:szCs w:val="21"/>
          <w:highlight w:val="none"/>
        </w:rPr>
        <w:t xml:space="preserve">（五）工作要求。技术机构专家必须在新区市场监管局相关工作人员陪同和监督下开展工作，工作过程中应加强廉洁自律，禁止提前向被检查单位泄露工作计划，禁止推销相关业务。</w:t>
      </w:r>
      <w:r>
        <w:rPr>
          <w:rFonts w:hint="eastAsia" w:ascii="宋体" w:hAnsi="宋体" w:cs="宋体"/>
          <w:szCs w:val="21"/>
          <w:highlight w:val="none"/>
          <w:u w:val="single"/>
        </w:rPr>
      </w:r>
      <w:r/>
    </w:p>
    <w:p>
      <w:pPr>
        <w:pStyle w:val="986"/>
        <w:spacing w:line="520" w:lineRule="exact"/>
        <w:rPr>
          <w:rFonts w:ascii="方正黑体_GBK" w:hAnsi="黑体" w:eastAsia="方正黑体_GBK" w:cs="宋体"/>
          <w:bCs/>
          <w:szCs w:val="21"/>
          <w:highlight w:val="none"/>
        </w:rPr>
      </w:pPr>
      <w:r>
        <w:rPr>
          <w:rFonts w:hint="eastAsia" w:ascii="方正黑体_GBK" w:hAnsi="宋体" w:eastAsia="方正黑体_GBK" w:cs="宋体"/>
          <w:szCs w:val="21"/>
          <w:highlight w:val="none"/>
        </w:rPr>
        <w:t xml:space="preserve">第二条  </w:t>
      </w:r>
      <w:r>
        <w:rPr>
          <w:rFonts w:hint="eastAsia" w:ascii="方正黑体_GBK" w:hAnsi="黑体" w:eastAsia="方正黑体_GBK" w:cs="宋体"/>
          <w:bCs/>
          <w:szCs w:val="21"/>
          <w:highlight w:val="none"/>
        </w:rPr>
        <w:t xml:space="preserve">双方责任和义务</w:t>
      </w:r>
      <w:r>
        <w:rPr>
          <w:rFonts w:ascii="方正黑体_GBK" w:hAnsi="黑体" w:eastAsia="方正黑体_GBK" w:cs="宋体"/>
          <w:bCs/>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1、甲方：</w:t>
      </w:r>
      <w:r>
        <w:rPr>
          <w:rFonts w:ascii="宋体" w:hAnsi="宋体"/>
          <w:szCs w:val="21"/>
          <w:highlight w:val="none"/>
        </w:rPr>
      </w:r>
      <w:r/>
    </w:p>
    <w:p>
      <w:pPr>
        <w:pStyle w:val="986"/>
        <w:ind w:firstLine="420"/>
        <w:spacing w:line="520" w:lineRule="exact"/>
        <w:rPr>
          <w:rFonts w:ascii="宋体" w:hAnsi="宋体"/>
          <w:b/>
          <w:szCs w:val="21"/>
          <w:highlight w:val="none"/>
        </w:rPr>
      </w:pPr>
      <w:r>
        <w:rPr>
          <w:rFonts w:hint="eastAsia" w:ascii="宋体" w:hAnsi="宋体"/>
          <w:szCs w:val="21"/>
          <w:highlight w:val="none"/>
        </w:rPr>
        <w:t xml:space="preserve">（1）为乙方开展技术服务工作提供支持和帮助；</w:t>
      </w:r>
      <w:r>
        <w:rPr>
          <w:rFonts w:ascii="宋体" w:hAnsi="宋体"/>
          <w:b/>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（2）为乙方顺利开展技术服务提供告知、协调、联络等事项，协调配合乙方开展技术辅助工作，为其技术服务工作提供便利；</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（3）督促企业单位根据法律法规要求对乙方开放必要的作业场所，提供与特种设备有关的文件、图纸、数据、记录和档案等资料；</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）对工作中发现的安全隐患及时要求企业进行整改，督促企业及时消除事故隐患；</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（5）对乙方的服务工作实施监督管理，督促乙方依法开展服务工作。</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2、乙方：</w:t>
      </w:r>
      <w:r>
        <w:rPr>
          <w:rFonts w:ascii="宋体" w:hAnsi="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方正仿宋_GBK"/>
          <w:szCs w:val="21"/>
          <w:highlight w:val="none"/>
        </w:rPr>
        <w:t xml:space="preserve">明确项目负责人和团队成员，</w:t>
      </w:r>
      <w:r>
        <w:rPr>
          <w:rFonts w:hint="eastAsia" w:ascii="宋体" w:hAnsi="宋体" w:cs="宋体"/>
          <w:szCs w:val="21"/>
          <w:highlight w:val="none"/>
        </w:rPr>
        <w:t xml:space="preserve">参与行动的专家应具备较高安全技术及相关专业素养，符合有关资历要求和知识要求，具有高度的事业心和责任心；工作中应坚持客观公正，不走过场，不弄虚作假，不隐瞒真实情况，对诊断评估结果和所提的意见及建议负责。</w:t>
      </w:r>
      <w:r>
        <w:rPr>
          <w:rFonts w:hint="eastAsia" w:ascii="宋体" w:hAnsi="宋体" w:cs="方正仿宋_GBK"/>
          <w:szCs w:val="21"/>
          <w:highlight w:val="none"/>
        </w:rPr>
        <w:t xml:space="preserve">工作期间</w:t>
      </w:r>
      <w:r>
        <w:rPr>
          <w:rFonts w:hint="eastAsia" w:ascii="宋体" w:hAnsi="宋体"/>
          <w:szCs w:val="21"/>
          <w:highlight w:val="none"/>
        </w:rPr>
        <w:t xml:space="preserve">交通工具和人员食宿由乙方自行保障。</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（2）根据甲方要求，乙方对企业特种设备进行诊断评估，对评估中发现的问题和隐患逐一向企业交底，并提出整改意见和建议，同时应及时书面报告甲方。</w:t>
      </w:r>
      <w:r>
        <w:rPr>
          <w:rFonts w:ascii="宋体" w:hAnsi="宋体" w:cs="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3）根据甲方要求，乙方对企业宣贯《特种设备安全法》《特种设备使用管理规则》《移动式压力容器安全技术监察规程》等法律法规和安全技术规范，指导企业维护完善江北新区特种设备企业管理系统内特种设备相关参数数据。</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乙方对</w:t>
      </w:r>
      <w:r>
        <w:rPr>
          <w:rFonts w:hint="eastAsia" w:ascii="宋体" w:hAnsi="宋体"/>
          <w:szCs w:val="21"/>
          <w:highlight w:val="none"/>
        </w:rPr>
        <w:t xml:space="preserve">工作</w:t>
      </w:r>
      <w:r>
        <w:rPr>
          <w:rFonts w:ascii="宋体" w:hAnsi="宋体"/>
          <w:szCs w:val="21"/>
          <w:highlight w:val="none"/>
        </w:rPr>
        <w:t xml:space="preserve">过程中涉及的企业专有技术、经营情况负有保密义务。</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（5）乙方根据甲方的要求，在规定期限内完成工作，同时收取相应的技术服务费，遇到特殊情况，须在第一时间内书面通知甲方，并告知详情。</w:t>
      </w:r>
      <w:r>
        <w:rPr>
          <w:rFonts w:ascii="宋体" w:hAnsi="宋体"/>
          <w:szCs w:val="21"/>
          <w:highlight w:val="none"/>
        </w:rPr>
      </w:r>
      <w:r/>
    </w:p>
    <w:p>
      <w:pPr>
        <w:pStyle w:val="986"/>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第三条  质量保证</w:t>
      </w:r>
      <w:r>
        <w:rPr>
          <w:rFonts w:ascii="黑体" w:hAnsi="黑体" w:eastAsia="黑体" w:cs="宋体"/>
          <w:bCs/>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1、甲方保证服务期间，对乙方工作给予支持，提供必须的基础工作条件。如乙方有需要，还要提供履行合同所必需的有关资料。未经甲方事先书面同意，乙方不得将甲方资料提供给与履行本合同无关的任何其他人。即使向履行本合同有关的人员提供，也应注意保密并限于履行合同的必需范围内。</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3、乙方应加强廉洁自律，不得私下与企业人员接触，不得吃拿卡要和接受企业宴请，要保持客观公正立场，指出企业特种设备安全管理中存在的问题，并指导企业进行整改，严禁代替甲方实施行政执法事项。工作过程中，乙方应严格按照服务合同要求履行相关义务，对未履行完成的任务和项目的机构，甲方可以扣除相应费用。</w:t>
      </w:r>
      <w:r>
        <w:rPr>
          <w:rFonts w:ascii="宋体" w:hAnsi="宋体" w:cs="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4、乙方严禁利用工作时机或以甲方名义，推销承接各类业务，一经发现，甲方可以立即终止项目合同。</w:t>
      </w:r>
      <w:r>
        <w:rPr>
          <w:rFonts w:ascii="宋体" w:hAnsi="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bCs/>
          <w:szCs w:val="21"/>
          <w:highlight w:val="none"/>
        </w:rPr>
        <w:t xml:space="preserve">5、</w:t>
      </w:r>
      <w:r>
        <w:rPr>
          <w:rFonts w:hint="eastAsia" w:ascii="宋体" w:hAnsi="宋体" w:cs="宋体"/>
          <w:szCs w:val="21"/>
          <w:highlight w:val="none"/>
        </w:rPr>
        <w:t xml:space="preserve">除磋商文件事先说明、且经甲方事先书面同意外，乙方不得分包、转包其应履行的合同义务。</w:t>
      </w:r>
      <w:r>
        <w:rPr>
          <w:rFonts w:ascii="宋体" w:hAnsi="宋体" w:cs="宋体"/>
          <w:szCs w:val="21"/>
          <w:highlight w:val="none"/>
        </w:rPr>
      </w:r>
      <w:r/>
    </w:p>
    <w:p>
      <w:pPr>
        <w:pStyle w:val="986"/>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第四条  合同金额及付款方式</w:t>
      </w:r>
      <w:r>
        <w:rPr>
          <w:rFonts w:ascii="黑体" w:hAnsi="黑体" w:eastAsia="黑体" w:cs="宋体"/>
          <w:bCs/>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1、甲方需要承担的项目服务费用暂定总价人民币</w:t>
      </w:r>
      <w:r>
        <w:rPr>
          <w:rFonts w:hint="eastAsia" w:ascii="宋体" w:hAnsi="宋体" w:cs="宋体"/>
          <w:szCs w:val="21"/>
          <w:highlight w:val="none"/>
          <w:u w:val="single"/>
        </w:rPr>
        <w:t xml:space="preserve">    </w:t>
      </w:r>
      <w:r>
        <w:rPr>
          <w:rFonts w:hint="eastAsia" w:ascii="宋体" w:hAnsi="宋体"/>
          <w:szCs w:val="21"/>
          <w:highlight w:val="none"/>
        </w:rPr>
        <w:t xml:space="preserve">元（</w:t>
      </w:r>
      <w:r>
        <w:rPr>
          <w:rFonts w:hint="eastAsia" w:ascii="宋体" w:hAnsi="宋体" w:cs="宋体"/>
          <w:szCs w:val="21"/>
          <w:highlight w:val="none"/>
          <w:u w:val="single"/>
        </w:rPr>
        <w:t xml:space="preserve">    </w:t>
      </w:r>
      <w:r>
        <w:rPr>
          <w:rFonts w:hint="eastAsia" w:ascii="宋体" w:hAnsi="宋体"/>
          <w:szCs w:val="21"/>
          <w:highlight w:val="none"/>
        </w:rPr>
        <w:t xml:space="preserve">）元整</w:t>
      </w:r>
      <w:r>
        <w:rPr>
          <w:rFonts w:hint="eastAsia" w:ascii="宋体" w:hAnsi="宋体" w:cs="宋体"/>
          <w:bCs/>
          <w:szCs w:val="21"/>
          <w:highlight w:val="none"/>
        </w:rPr>
        <w:t xml:space="preserve">（化工企业￥</w:t>
      </w:r>
      <w:r>
        <w:rPr>
          <w:rFonts w:hint="eastAsia" w:ascii="宋体" w:hAnsi="宋体" w:cs="宋体"/>
          <w:szCs w:val="21"/>
          <w:highlight w:val="none"/>
          <w:u w:val="single"/>
        </w:rPr>
        <w:t xml:space="preserve">    </w:t>
      </w:r>
      <w:r>
        <w:rPr>
          <w:rFonts w:hint="eastAsia" w:ascii="宋体" w:hAnsi="宋体" w:cs="宋体"/>
          <w:bCs/>
          <w:szCs w:val="21"/>
          <w:highlight w:val="none"/>
        </w:rPr>
        <w:t xml:space="preserve">元/家，共计</w:t>
      </w:r>
      <w:r>
        <w:rPr>
          <w:rFonts w:hint="eastAsia" w:ascii="宋体" w:hAnsi="宋体" w:cs="宋体"/>
          <w:szCs w:val="21"/>
          <w:highlight w:val="none"/>
          <w:u w:val="single"/>
        </w:rPr>
        <w:t xml:space="preserve">    </w:t>
      </w:r>
      <w:r>
        <w:rPr>
          <w:rFonts w:hint="eastAsia" w:ascii="宋体" w:hAnsi="宋体" w:cs="宋体"/>
          <w:bCs/>
          <w:szCs w:val="21"/>
          <w:highlight w:val="none"/>
        </w:rPr>
        <w:t xml:space="preserve">家；其他单位</w:t>
      </w:r>
      <w:r>
        <w:rPr>
          <w:rFonts w:hint="eastAsia" w:ascii="宋体" w:hAnsi="宋体" w:cs="宋体"/>
          <w:szCs w:val="21"/>
          <w:highlight w:val="none"/>
          <w:u w:val="single"/>
        </w:rPr>
        <w:t xml:space="preserve">    </w:t>
      </w:r>
      <w:r>
        <w:rPr>
          <w:rFonts w:hint="eastAsia" w:ascii="宋体" w:hAnsi="宋体" w:cs="宋体"/>
          <w:bCs/>
          <w:szCs w:val="21"/>
          <w:highlight w:val="none"/>
        </w:rPr>
        <w:t xml:space="preserve">元/家，共计</w:t>
      </w:r>
      <w:r>
        <w:rPr>
          <w:rFonts w:hint="eastAsia" w:ascii="宋体" w:hAnsi="宋体" w:cs="宋体"/>
          <w:szCs w:val="21"/>
          <w:highlight w:val="none"/>
          <w:u w:val="single"/>
        </w:rPr>
        <w:t xml:space="preserve">    </w:t>
      </w:r>
      <w:r>
        <w:rPr>
          <w:rFonts w:hint="eastAsia" w:ascii="宋体" w:hAnsi="宋体" w:cs="宋体"/>
          <w:bCs/>
          <w:szCs w:val="21"/>
          <w:highlight w:val="none"/>
        </w:rPr>
        <w:t xml:space="preserve">家）</w:t>
      </w:r>
      <w:r>
        <w:rPr>
          <w:rFonts w:hint="eastAsia" w:ascii="宋体" w:hAnsi="宋体" w:cs="宋体"/>
          <w:bCs/>
          <w:szCs w:val="21"/>
          <w:highlight w:val="none"/>
        </w:rPr>
        <w:t xml:space="preserve">，</w:t>
      </w:r>
      <w:r>
        <w:rPr>
          <w:rFonts w:hint="eastAsia" w:ascii="宋体" w:hAnsi="宋体"/>
          <w:szCs w:val="21"/>
          <w:highlight w:val="none"/>
        </w:rPr>
        <w:t xml:space="preserve">实际结算金额=单价*实际参与企业数量。</w:t>
      </w:r>
      <w:r>
        <w:rPr>
          <w:rFonts w:ascii="宋体" w:hAnsi="宋体"/>
          <w:szCs w:val="21"/>
          <w:highlight w:val="none"/>
        </w:rPr>
      </w:r>
      <w:r/>
    </w:p>
    <w:p>
      <w:pPr>
        <w:pStyle w:val="986"/>
        <w:ind w:firstLine="420"/>
        <w:jc w:val="left"/>
        <w:keepLines/>
        <w:keepNext/>
        <w:spacing w:line="520" w:lineRule="exact"/>
        <w:rPr>
          <w:rFonts w:ascii="宋体" w:hAnsi="宋体" w:cs="微软雅黑"/>
          <w:szCs w:val="21"/>
          <w:highlight w:val="none"/>
        </w:rPr>
      </w:pPr>
      <w:r>
        <w:rPr>
          <w:rFonts w:hint="eastAsia" w:ascii="宋体" w:hAnsi="宋体"/>
          <w:szCs w:val="21"/>
          <w:highlight w:val="none"/>
        </w:rPr>
        <w:t xml:space="preserve">2、乙方每累计完成1</w:t>
      </w:r>
      <w:r>
        <w:rPr>
          <w:rFonts w:ascii="宋体" w:hAnsi="宋体"/>
          <w:szCs w:val="21"/>
          <w:highlight w:val="none"/>
        </w:rPr>
        <w:t xml:space="preserve">0</w:t>
      </w:r>
      <w:r>
        <w:rPr>
          <w:rFonts w:hint="eastAsia" w:ascii="宋体" w:hAnsi="宋体"/>
          <w:szCs w:val="21"/>
          <w:highlight w:val="none"/>
        </w:rPr>
        <w:t xml:space="preserve">家企业后，甲方按进度支付</w:t>
      </w:r>
      <w:r>
        <w:rPr>
          <w:rFonts w:hint="eastAsia" w:ascii="宋体" w:hAnsi="宋体" w:cs="微软雅黑"/>
          <w:szCs w:val="21"/>
          <w:highlight w:val="none"/>
        </w:rPr>
        <w:t xml:space="preserve">该批次应付款项的70%。乙方完成全部分配检查任务，提交完整检查台账及整体诊断评估分析报告，经甲方审核合格后，一次性支付全部剩余结算款项</w:t>
      </w:r>
      <w:r>
        <w:rPr>
          <w:rFonts w:hint="eastAsia" w:ascii="宋体" w:hAnsi="宋体"/>
          <w:color w:val="000000"/>
          <w:szCs w:val="21"/>
          <w:highlight w:val="none"/>
        </w:rPr>
        <w:t xml:space="preserve">（具体以实际诊断评估单位数量结算）</w:t>
      </w:r>
      <w:r>
        <w:rPr>
          <w:rFonts w:hint="eastAsia" w:ascii="宋体" w:hAnsi="宋体" w:cs="微软雅黑"/>
          <w:szCs w:val="21"/>
          <w:highlight w:val="none"/>
        </w:rPr>
        <w:t xml:space="preserve">。每次付款前乙方应向甲方提供对应金额的合法有效增值税发票，乙方未按时提供发票或提供发票不合格的，甲方有权顺延付款且不承担延迟付款的违约责任，且乙方仍应按约履行合同义务。</w:t>
      </w:r>
      <w:r>
        <w:rPr>
          <w:rFonts w:ascii="宋体" w:hAnsi="宋体" w:cs="微软雅黑"/>
          <w:szCs w:val="21"/>
          <w:highlight w:val="none"/>
        </w:rPr>
      </w:r>
      <w:r/>
    </w:p>
    <w:p>
      <w:pPr>
        <w:pStyle w:val="986"/>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第五条  违约责任</w:t>
      </w:r>
      <w:r>
        <w:rPr>
          <w:rFonts w:ascii="黑体" w:hAnsi="黑体" w:eastAsia="黑体" w:cs="宋体"/>
          <w:bCs/>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1.乙方所交付服务成果不符合本合同规定的，甲方有权拒收，乙方在得到甲方通知之日起3个工作日内采取补救措施，逾期仍未采取有效措施的，甲方有权要求乙方赔偿因此造成的损失；同时乙方应向甲方支付合同总价 20％的违约金。</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2.乙方无正当理由逾期交付服务的，每逾期1天，乙方向甲方偿付合同总额的5‰的违约金。如乙方逾期达10天，甲方有权解除合同，甲方解除合同的通知自到达乙方时生效。在此情况下，乙方给甲方造成的实际损失高于违约金的，对高出违约金的部分乙方应予以赔偿。</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3.其它违约事宜，以《中华人民共和国民法典》和《中华人民共和国政府采购法》等有关法律法规规定为准，无相关规定的，双方协商解决。</w:t>
      </w:r>
      <w:r>
        <w:rPr>
          <w:rFonts w:ascii="宋体" w:hAnsi="宋体" w:cs="宋体"/>
          <w:szCs w:val="21"/>
          <w:highlight w:val="none"/>
        </w:rPr>
      </w:r>
      <w:r/>
    </w:p>
    <w:p>
      <w:pPr>
        <w:pStyle w:val="986"/>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第六条  不可抗力</w:t>
      </w:r>
      <w:r>
        <w:rPr>
          <w:rFonts w:ascii="黑体" w:hAnsi="黑体" w:eastAsia="黑体" w:cs="宋体"/>
          <w:bCs/>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甲、乙方中任何一方，因不可抗力不能按时或完全履行合同的，应及时通知对方，并在10个工作日内提供相应证明，按实际完成家数结算服务费用。未履行的部分是否继续履行、如何履行等问题，可由双方进行协商。确定为不可抗力原因造成的损失，免予承担责任。上述所称不可抗力指不可预见、不能避免并不能克服的客观情况，包括但不限于地震、台风、水灾、疫情等自然灾害以及战争、罢工等社会动荡。</w:t>
      </w:r>
      <w:r>
        <w:rPr>
          <w:rFonts w:ascii="宋体" w:hAnsi="宋体" w:cs="宋体"/>
          <w:szCs w:val="21"/>
          <w:highlight w:val="none"/>
        </w:rPr>
      </w:r>
      <w:r/>
    </w:p>
    <w:p>
      <w:pPr>
        <w:pStyle w:val="986"/>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第七条  争议的解决方式</w:t>
      </w:r>
      <w:r>
        <w:rPr>
          <w:rFonts w:ascii="黑体" w:hAnsi="黑体" w:eastAsia="黑体" w:cs="宋体"/>
          <w:bCs/>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1.因项目质量问题发生争议的，应当邀请国家认证认可的质量检测机构对服务进行鉴定。服务符合标准的，鉴定费由甲方承担；不符合质量标准的，鉴定费由乙方承担。</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2.在解释或者执行本合同的过程中发生争议时，双方应通过协商方式解决。</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3.经协商不能解决的争议，双方可选择以下第①种方式解决：</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①向甲方所在地人民法院提起诉讼；</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②向南京仲裁委员会提出仲裁。</w:t>
      </w:r>
      <w:r>
        <w:rPr>
          <w:rFonts w:ascii="宋体" w:hAnsi="宋体" w:cs="宋体"/>
          <w:szCs w:val="21"/>
          <w:highlight w:val="none"/>
        </w:rPr>
      </w:r>
      <w:r/>
    </w:p>
    <w:p>
      <w:pPr>
        <w:pStyle w:val="986"/>
        <w:ind w:firstLine="420"/>
        <w:spacing w:line="520" w:lineRule="exact"/>
        <w:rPr>
          <w:rFonts w:ascii="宋体" w:hAnsi="宋体" w:cs="宋体"/>
          <w:szCs w:val="21"/>
          <w:highlight w:val="none"/>
        </w:rPr>
      </w:pPr>
      <w:r>
        <w:rPr>
          <w:rFonts w:hint="eastAsia" w:ascii="宋体" w:hAnsi="宋体" w:cs="宋体"/>
          <w:szCs w:val="21"/>
          <w:highlight w:val="none"/>
        </w:rPr>
        <w:t xml:space="preserve">4.在法院审理和仲裁期间，除有争议部分外，本合同其他部分可以履行的仍应按合同条款继续履行。</w:t>
      </w:r>
      <w:r>
        <w:rPr>
          <w:rFonts w:ascii="宋体" w:hAnsi="宋体" w:cs="宋体"/>
          <w:szCs w:val="21"/>
          <w:highlight w:val="none"/>
        </w:rPr>
      </w:r>
      <w:r/>
    </w:p>
    <w:p>
      <w:pPr>
        <w:pStyle w:val="986"/>
        <w:spacing w:line="520" w:lineRule="exact"/>
        <w:rPr>
          <w:rFonts w:ascii="黑体" w:hAnsi="黑体" w:eastAsia="黑体" w:cs="宋体"/>
          <w:bCs/>
          <w:szCs w:val="21"/>
          <w:highlight w:val="none"/>
        </w:rPr>
      </w:pPr>
      <w:r>
        <w:rPr>
          <w:rFonts w:hint="eastAsia" w:ascii="黑体" w:hAnsi="黑体" w:eastAsia="黑体" w:cs="宋体"/>
          <w:bCs/>
          <w:szCs w:val="21"/>
          <w:highlight w:val="none"/>
        </w:rPr>
        <w:t xml:space="preserve">第八条  附则</w:t>
      </w:r>
      <w:r>
        <w:rPr>
          <w:rFonts w:ascii="黑体" w:hAnsi="黑体" w:eastAsia="黑体" w:cs="宋体"/>
          <w:bCs/>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（1）本合同正本一式陆份，双方各执叁份，均具同等法律效力。</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（2）本合同未尽事宜由双方协商并书面确定，均视为本协议的组成部分，补充协议与本合同具有同等的法律效力。</w:t>
      </w:r>
      <w:r>
        <w:rPr>
          <w:rFonts w:ascii="宋体" w:hAnsi="宋体"/>
          <w:szCs w:val="21"/>
          <w:highlight w:val="none"/>
        </w:rPr>
      </w:r>
      <w:r/>
    </w:p>
    <w:p>
      <w:pPr>
        <w:pStyle w:val="986"/>
        <w:ind w:firstLine="420"/>
        <w:spacing w:line="520" w:lineRule="exact"/>
        <w:rPr>
          <w:rFonts w:ascii="宋体" w:hAnsi="宋体"/>
          <w:szCs w:val="21"/>
          <w:highlight w:val="none"/>
        </w:rPr>
      </w:pPr>
      <w:r>
        <w:rPr>
          <w:rFonts w:hint="eastAsia" w:ascii="宋体" w:hAnsi="宋体"/>
          <w:szCs w:val="21"/>
          <w:highlight w:val="none"/>
        </w:rPr>
        <w:t xml:space="preserve">（3）本合同自双方签字盖章之日起即生效，服务结束并结清服务费用后，本合同即告终止。</w:t>
      </w:r>
      <w:r>
        <w:rPr>
          <w:rFonts w:ascii="宋体" w:hAnsi="宋体"/>
          <w:szCs w:val="21"/>
          <w:highlight w:val="none"/>
        </w:rPr>
      </w:r>
      <w:r/>
    </w:p>
    <w:p>
      <w:pPr>
        <w:pStyle w:val="986"/>
        <w:ind w:firstLine="420"/>
        <w:spacing w:line="520" w:lineRule="exact"/>
        <w:rPr>
          <w:rFonts w:hint="eastAsia" w:ascii="宋体" w:hAnsi="宋体"/>
          <w:szCs w:val="21"/>
          <w:highlight w:val="none"/>
        </w:rPr>
      </w:pPr>
      <w:r>
        <w:rPr>
          <w:rFonts w:hint="eastAsia" w:ascii="宋体" w:hAnsi="宋体"/>
          <w:szCs w:val="21"/>
          <w:highlight w:val="none"/>
        </w:rPr>
        <w:t xml:space="preserve">（4）本合同尾部载明的双方地址系双方有效的送达地址（含争议解决时）。</w:t>
      </w:r>
      <w:r>
        <w:rPr>
          <w:rFonts w:hint="eastAsia" w:ascii="宋体" w:hAnsi="宋体"/>
          <w:szCs w:val="21"/>
          <w:highlight w:val="none"/>
        </w:rPr>
      </w:r>
      <w:r/>
    </w:p>
    <w:p>
      <w:pPr>
        <w:pStyle w:val="986"/>
        <w:ind w:firstLine="420"/>
        <w:spacing w:line="520" w:lineRule="exact"/>
        <w:rPr>
          <w:rFonts w:ascii="宋体" w:hAnsi="宋体" w:cs="宋体"/>
          <w:szCs w:val="21"/>
          <w:highlight w:val="none"/>
        </w:rPr>
      </w:pPr>
      <w:r>
        <w:rPr>
          <w:rFonts w:ascii="宋体" w:hAnsi="宋体" w:cs="宋体"/>
          <w:szCs w:val="21"/>
          <w:highlight w:val="none"/>
        </w:rPr>
        <w:t xml:space="preserve">附件一</w:t>
      </w:r>
      <w:r>
        <w:rPr>
          <w:rFonts w:hint="eastAsia" w:ascii="宋体" w:hAnsi="宋体" w:cs="宋体"/>
          <w:szCs w:val="21"/>
          <w:highlight w:val="none"/>
        </w:rPr>
        <w:t xml:space="preserve">：诊断评估</w:t>
      </w:r>
      <w:r>
        <w:rPr>
          <w:rFonts w:hint="eastAsia" w:ascii="宋体" w:hAnsi="宋体" w:cs="宋体"/>
          <w:bCs/>
          <w:szCs w:val="21"/>
          <w:highlight w:val="none"/>
        </w:rPr>
        <w:t xml:space="preserve">企业名单（以合同签订时为准）</w:t>
      </w:r>
      <w:r>
        <w:rPr>
          <w:rFonts w:ascii="宋体" w:hAnsi="宋体" w:cs="宋体"/>
          <w:szCs w:val="21"/>
          <w:highlight w:val="none"/>
        </w:rPr>
      </w:r>
      <w:r/>
    </w:p>
    <w:tbl>
      <w:tblPr>
        <w:tblW w:w="923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55"/>
        <w:gridCol w:w="403"/>
        <w:gridCol w:w="4781"/>
      </w:tblGrid>
      <w:tr>
        <w:trPr>
          <w:trHeight w:val="537"/>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986"/>
              <w:spacing w:line="520" w:lineRule="exact"/>
              <w:rPr>
                <w:rFonts w:ascii="宋体" w:hAnsi="宋体" w:cs="宋体"/>
                <w:szCs w:val="21"/>
                <w:highlight w:val="none"/>
              </w:rPr>
            </w:pPr>
            <w:r>
              <w:rPr>
                <w:rFonts w:ascii="宋体" w:hAnsi="宋体" w:cs="宋体"/>
                <w:szCs w:val="21"/>
                <w:highlight w:val="none"/>
              </w:rPr>
            </w:r>
            <w:r/>
          </w:p>
          <w:p>
            <w:pPr>
              <w:pStyle w:val="986"/>
              <w:spacing w:line="520" w:lineRule="exact"/>
              <w:rPr>
                <w:rFonts w:ascii="宋体" w:hAnsi="宋体" w:cs="宋体"/>
                <w:szCs w:val="21"/>
                <w:highlight w:val="none"/>
              </w:rPr>
            </w:pPr>
            <w:r>
              <w:rPr>
                <w:rFonts w:ascii="宋体" w:hAnsi="宋体" w:cs="宋体"/>
                <w:szCs w:val="21"/>
                <w:highlight w:val="none"/>
              </w:rPr>
            </w:r>
            <w:r/>
          </w:p>
          <w:p>
            <w:pPr>
              <w:pStyle w:val="986"/>
              <w:spacing w:line="520" w:lineRule="exact"/>
              <w:rPr>
                <w:rFonts w:ascii="宋体" w:hAnsi="宋体" w:cs="宋体"/>
                <w:szCs w:val="21"/>
                <w:highlight w:val="none"/>
              </w:rPr>
            </w:pPr>
            <w:r>
              <w:rPr>
                <w:rFonts w:hint="eastAsia" w:ascii="宋体" w:hAnsi="宋体" w:cs="宋体"/>
                <w:szCs w:val="21"/>
                <w:highlight w:val="none"/>
              </w:rPr>
              <w:t xml:space="preserve">甲   方：</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986"/>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986"/>
              <w:spacing w:line="520" w:lineRule="exact"/>
              <w:rPr>
                <w:rFonts w:ascii="宋体" w:hAnsi="宋体" w:cs="宋体"/>
                <w:szCs w:val="21"/>
                <w:highlight w:val="none"/>
              </w:rPr>
            </w:pPr>
            <w:r>
              <w:rPr>
                <w:rFonts w:ascii="宋体" w:hAnsi="宋体" w:cs="宋体"/>
                <w:szCs w:val="21"/>
                <w:highlight w:val="none"/>
              </w:rPr>
            </w:r>
            <w:r/>
          </w:p>
          <w:p>
            <w:pPr>
              <w:pStyle w:val="986"/>
              <w:spacing w:line="520" w:lineRule="exact"/>
              <w:rPr>
                <w:rFonts w:ascii="宋体" w:hAnsi="宋体" w:cs="宋体"/>
                <w:szCs w:val="21"/>
                <w:highlight w:val="none"/>
              </w:rPr>
            </w:pPr>
            <w:r>
              <w:rPr>
                <w:rFonts w:ascii="宋体" w:hAnsi="宋体" w:cs="宋体"/>
                <w:szCs w:val="21"/>
                <w:highlight w:val="none"/>
              </w:rPr>
            </w:r>
            <w:r/>
          </w:p>
          <w:p>
            <w:pPr>
              <w:pStyle w:val="986"/>
              <w:spacing w:line="520" w:lineRule="exact"/>
              <w:rPr>
                <w:rFonts w:ascii="宋体" w:hAnsi="宋体" w:cs="宋体"/>
                <w:szCs w:val="21"/>
                <w:highlight w:val="none"/>
              </w:rPr>
            </w:pPr>
            <w:r>
              <w:rPr>
                <w:rFonts w:hint="eastAsia" w:ascii="宋体" w:hAnsi="宋体" w:cs="宋体"/>
                <w:szCs w:val="21"/>
                <w:highlight w:val="none"/>
              </w:rPr>
              <w:t xml:space="preserve">乙   方：</w:t>
            </w:r>
            <w:r>
              <w:rPr>
                <w:rFonts w:ascii="宋体" w:hAnsi="宋体" w:cs="宋体"/>
                <w:szCs w:val="21"/>
                <w:highlight w:val="none"/>
              </w:rPr>
            </w:r>
            <w:r/>
          </w:p>
        </w:tc>
      </w:tr>
      <w:tr>
        <w:trPr>
          <w:trHeight w:val="1062"/>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名称：（盖章）南京江北新区管理委员会市场监督管理局</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986"/>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名称：（盖章）</w:t>
            </w:r>
            <w:r>
              <w:rPr>
                <w:rFonts w:ascii="宋体" w:hAnsi="宋体" w:cs="宋体"/>
                <w:szCs w:val="21"/>
                <w:highlight w:val="none"/>
              </w:rPr>
            </w:r>
            <w:r/>
          </w:p>
        </w:tc>
      </w:tr>
      <w:tr>
        <w:trPr>
          <w:trHeight w:val="1062"/>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地址：南京市江北新区泰山街道浦珠北路1</w:t>
            </w:r>
            <w:r>
              <w:rPr>
                <w:rFonts w:ascii="宋体" w:hAnsi="宋体" w:cs="宋体"/>
                <w:szCs w:val="21"/>
                <w:highlight w:val="none"/>
              </w:rPr>
              <w:t xml:space="preserve">51</w:t>
            </w:r>
            <w:r>
              <w:rPr>
                <w:rFonts w:hint="eastAsia" w:ascii="宋体" w:hAnsi="宋体" w:cs="宋体"/>
                <w:szCs w:val="21"/>
                <w:highlight w:val="none"/>
              </w:rPr>
              <w:t xml:space="preserve">号</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986"/>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地址：</w:t>
            </w:r>
            <w:r>
              <w:rPr>
                <w:rFonts w:ascii="宋体" w:hAnsi="宋体" w:cs="宋体"/>
                <w:szCs w:val="21"/>
                <w:highlight w:val="none"/>
              </w:rPr>
            </w:r>
            <w:r/>
          </w:p>
        </w:tc>
      </w:tr>
      <w:tr>
        <w:trPr>
          <w:trHeight w:val="537"/>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授权代表（签字）：</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986"/>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授权代表（签字）：</w:t>
            </w:r>
            <w:r>
              <w:rPr>
                <w:rFonts w:ascii="宋体" w:hAnsi="宋体" w:cs="宋体"/>
                <w:szCs w:val="21"/>
                <w:highlight w:val="none"/>
              </w:rPr>
            </w:r>
            <w:r/>
          </w:p>
        </w:tc>
      </w:tr>
      <w:tr>
        <w:trPr>
          <w:trHeight w:val="537"/>
        </w:trPr>
        <w:tc>
          <w:tcPr>
            <w:tcBorders>
              <w:top w:val="none" w:color="000000" w:sz="0" w:space="0"/>
              <w:left w:val="none" w:color="000000" w:sz="0" w:space="0"/>
              <w:bottom w:val="none" w:color="000000" w:sz="0" w:space="0"/>
              <w:right w:val="none" w:color="000000" w:sz="0" w:space="0"/>
            </w:tcBorders>
            <w:tcW w:w="4055"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税号：11320100MB0204361Y</w:t>
            </w: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03" w:type="dxa"/>
            <w:vAlign w:val="top"/>
            <w:textDirection w:val="lrTb"/>
            <w:noWrap w:val="false"/>
          </w:tcPr>
          <w:p>
            <w:pPr>
              <w:pStyle w:val="986"/>
              <w:spacing w:line="520" w:lineRule="exact"/>
              <w:rPr>
                <w:rFonts w:ascii="宋体" w:hAnsi="宋体" w:cs="宋体"/>
                <w:szCs w:val="21"/>
                <w:highlight w:val="none"/>
              </w:rPr>
            </w:pPr>
            <w:r>
              <w:rPr>
                <w:rFonts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781"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税号：</w:t>
            </w:r>
            <w:r>
              <w:rPr>
                <w:rFonts w:ascii="宋体" w:hAnsi="宋体" w:cs="宋体"/>
                <w:szCs w:val="21"/>
                <w:highlight w:val="none"/>
              </w:rPr>
            </w:r>
            <w:r/>
          </w:p>
        </w:tc>
      </w:tr>
      <w:tr>
        <w:trPr>
          <w:trHeight w:val="549"/>
        </w:trPr>
        <w:tc>
          <w:tcPr>
            <w:gridSpan w:val="3"/>
            <w:tcBorders>
              <w:top w:val="none" w:color="000000" w:sz="0" w:space="0"/>
              <w:left w:val="none" w:color="000000" w:sz="0" w:space="0"/>
              <w:bottom w:val="none" w:color="000000" w:sz="0" w:space="0"/>
              <w:right w:val="none" w:color="000000" w:sz="0" w:space="0"/>
            </w:tcBorders>
            <w:tcW w:w="9239" w:type="dxa"/>
            <w:vAlign w:val="top"/>
            <w:textDirection w:val="lrTb"/>
            <w:noWrap w:val="false"/>
          </w:tcPr>
          <w:p>
            <w:pPr>
              <w:pStyle w:val="986"/>
              <w:spacing w:line="520" w:lineRule="exact"/>
              <w:rPr>
                <w:rFonts w:ascii="宋体" w:hAnsi="宋体" w:cs="宋体"/>
                <w:szCs w:val="21"/>
                <w:highlight w:val="none"/>
              </w:rPr>
            </w:pPr>
            <w:r>
              <w:rPr>
                <w:rFonts w:hint="eastAsia" w:ascii="宋体" w:hAnsi="宋体" w:cs="宋体"/>
                <w:szCs w:val="21"/>
                <w:highlight w:val="none"/>
              </w:rPr>
              <w:t xml:space="preserve">时间：202</w:t>
            </w:r>
            <w:r>
              <w:rPr>
                <w:rFonts w:ascii="宋体" w:hAnsi="宋体" w:cs="宋体"/>
                <w:szCs w:val="21"/>
                <w:highlight w:val="none"/>
              </w:rPr>
              <w:t xml:space="preserve">6</w:t>
            </w:r>
            <w:r>
              <w:rPr>
                <w:rFonts w:hint="eastAsia" w:ascii="宋体" w:hAnsi="宋体" w:cs="宋体"/>
                <w:szCs w:val="21"/>
                <w:highlight w:val="none"/>
              </w:rPr>
              <w:t xml:space="preserve">年  月  日</w:t>
            </w:r>
            <w:r>
              <w:rPr>
                <w:rFonts w:ascii="宋体" w:hAnsi="宋体" w:cs="宋体"/>
                <w:szCs w:val="21"/>
                <w:highlight w:val="none"/>
              </w:rPr>
            </w:r>
            <w:r/>
          </w:p>
        </w:tc>
      </w:tr>
    </w:tbl>
    <w:p>
      <w:pPr>
        <w:pStyle w:val="986"/>
        <w:rPr>
          <w:rFonts w:hint="eastAsia" w:ascii="宋体" w:hAnsi="宋体" w:cs="宋体"/>
          <w:highlight w:val="none"/>
        </w:rPr>
      </w:pPr>
      <w:r/>
      <w:bookmarkEnd w:id="51"/>
      <w:r/>
      <w:bookmarkEnd w:id="52"/>
      <w:r/>
      <w:bookmarkEnd w:id="53"/>
      <w:r/>
      <w:bookmarkStart w:id="54" w:name="_Toc30560"/>
      <w:r>
        <w:rPr>
          <w:rFonts w:hint="eastAsia" w:ascii="宋体" w:hAnsi="宋体" w:cs="宋体"/>
          <w:highlight w:val="none"/>
        </w:rPr>
      </w:r>
      <w:r/>
    </w:p>
    <w:p>
      <w:pPr>
        <w:pStyle w:val="1058"/>
        <w:pageBreakBefore/>
        <w:rPr>
          <w:rFonts w:ascii="Arial" w:hAnsi="Arial"/>
          <w:highlight w:val="none"/>
          <w:lang w:val="zh-CN"/>
        </w:rPr>
      </w:pPr>
      <w:r>
        <w:rPr>
          <w:rFonts w:ascii="Arial" w:hAnsi="Arial"/>
          <w:highlight w:val="none"/>
          <w:lang w:val="zh-CN"/>
        </w:rPr>
        <w:t xml:space="preserve">第六章  </w:t>
      </w:r>
      <w:r>
        <w:rPr>
          <w:rFonts w:hint="eastAsia" w:ascii="Arial" w:hAnsi="宋体"/>
          <w:szCs w:val="21"/>
          <w:highlight w:val="none"/>
        </w:rPr>
        <w:t xml:space="preserve">磋商响应文件格式及附件</w:t>
      </w:r>
      <w:bookmarkEnd w:id="54"/>
      <w:r>
        <w:rPr>
          <w:rFonts w:ascii="Arial" w:hAnsi="Arial"/>
          <w:highlight w:val="none"/>
          <w:lang w:val="zh-CN"/>
        </w:rPr>
      </w:r>
      <w:r/>
    </w:p>
    <w:p>
      <w:pPr>
        <w:pStyle w:val="986"/>
        <w:spacing w:line="440" w:lineRule="exact"/>
        <w:rPr>
          <w:rFonts w:ascii="Arial" w:hAnsi="Arial"/>
          <w:sz w:val="20"/>
          <w:highlight w:val="none"/>
        </w:rPr>
      </w:pPr>
      <w:r>
        <w:rPr>
          <w:rFonts w:ascii="Arial" w:hAnsi="Arial"/>
          <w:sz w:val="20"/>
          <w:highlight w:val="none"/>
        </w:rPr>
      </w:r>
      <w:r/>
    </w:p>
    <w:p>
      <w:pPr>
        <w:pStyle w:val="986"/>
        <w:jc w:val="center"/>
        <w:spacing w:line="440" w:lineRule="exact"/>
        <w:rPr>
          <w:rFonts w:ascii="Arial" w:hAnsi="Arial"/>
          <w:sz w:val="20"/>
          <w:highlight w:val="none"/>
        </w:rPr>
      </w:pPr>
      <w:r>
        <w:rPr>
          <w:rFonts w:ascii="Arial" w:hAnsi="Arial"/>
          <w:sz w:val="20"/>
          <w:highlight w:val="none"/>
        </w:rPr>
      </w:r>
      <w:r/>
    </w:p>
    <w:p>
      <w:pPr>
        <w:pStyle w:val="986"/>
        <w:jc w:val="center"/>
        <w:spacing w:line="440" w:lineRule="exact"/>
        <w:rPr>
          <w:rFonts w:ascii="Arial" w:hAnsi="Arial"/>
          <w:sz w:val="20"/>
          <w:highlight w:val="none"/>
        </w:rPr>
      </w:pPr>
      <w:r>
        <w:rPr>
          <w:rFonts w:ascii="Arial" w:hAnsi="Arial"/>
          <w:sz w:val="20"/>
          <w:highlight w:val="none"/>
        </w:rPr>
      </w:r>
      <w:r/>
    </w:p>
    <w:p>
      <w:pPr>
        <w:pStyle w:val="986"/>
        <w:spacing w:line="440" w:lineRule="exact"/>
        <w:rPr>
          <w:rFonts w:ascii="Arial" w:hAnsi="Arial"/>
          <w:sz w:val="20"/>
          <w:highlight w:val="none"/>
        </w:rPr>
      </w:pPr>
      <w:r>
        <w:rPr>
          <w:rFonts w:ascii="Arial" w:hAnsi="Arial"/>
          <w:sz w:val="20"/>
          <w:highlight w:val="none"/>
        </w:rPr>
      </w:r>
      <w:r/>
    </w:p>
    <w:p>
      <w:pPr>
        <w:pStyle w:val="986"/>
        <w:spacing w:line="440" w:lineRule="exact"/>
        <w:rPr>
          <w:rFonts w:ascii="Arial" w:hAnsi="Arial"/>
          <w:sz w:val="20"/>
          <w:highlight w:val="none"/>
        </w:rPr>
      </w:pPr>
      <w:r>
        <w:rPr>
          <w:rFonts w:ascii="Arial" w:hAnsi="Arial"/>
          <w:sz w:val="20"/>
          <w:highlight w:val="none"/>
        </w:rPr>
      </w:r>
      <w:r/>
    </w:p>
    <w:p>
      <w:pPr>
        <w:pStyle w:val="986"/>
        <w:spacing w:line="440" w:lineRule="exact"/>
        <w:rPr>
          <w:rFonts w:ascii="Arial" w:hAnsi="Arial"/>
          <w:sz w:val="20"/>
          <w:highlight w:val="none"/>
        </w:rPr>
      </w:pPr>
      <w:r>
        <w:rPr>
          <w:rFonts w:ascii="Arial" w:hAnsi="Arial"/>
          <w:sz w:val="20"/>
          <w:highlight w:val="none"/>
        </w:rPr>
      </w:r>
      <w:r/>
    </w:p>
    <w:p>
      <w:pPr>
        <w:pStyle w:val="986"/>
        <w:jc w:val="center"/>
        <w:spacing w:line="440" w:lineRule="exact"/>
        <w:rPr>
          <w:rFonts w:ascii="Arial" w:hAnsi="Arial"/>
          <w:sz w:val="20"/>
          <w:highlight w:val="none"/>
        </w:rPr>
      </w:pPr>
      <w:r>
        <w:rPr>
          <w:rFonts w:ascii="Arial" w:hAnsi="Arial"/>
          <w:sz w:val="20"/>
          <w:highlight w:val="none"/>
        </w:rPr>
      </w:r>
      <w:r/>
    </w:p>
    <w:p>
      <w:pPr>
        <w:pStyle w:val="986"/>
        <w:jc w:val="center"/>
        <w:rPr>
          <w:rFonts w:ascii="Arial" w:hAnsi="Arial"/>
          <w:sz w:val="28"/>
          <w:szCs w:val="28"/>
          <w:highlight w:val="none"/>
        </w:rPr>
      </w:pPr>
      <w:r>
        <w:rPr>
          <w:rFonts w:ascii="Arial" w:hAnsi="Arial"/>
          <w:sz w:val="28"/>
          <w:szCs w:val="28"/>
          <w:highlight w:val="none"/>
        </w:rPr>
        <w:t xml:space="preserve">（项目名称）</w:t>
      </w:r>
      <w:r>
        <w:rPr>
          <w:rFonts w:ascii="Arial" w:hAnsi="Arial"/>
          <w:sz w:val="28"/>
          <w:szCs w:val="28"/>
          <w:highlight w:val="none"/>
        </w:rPr>
      </w:r>
      <w:r/>
    </w:p>
    <w:p>
      <w:pPr>
        <w:pStyle w:val="986"/>
        <w:jc w:val="center"/>
        <w:rPr>
          <w:rFonts w:ascii="Arial" w:hAnsi="Arial"/>
          <w:sz w:val="20"/>
          <w:highlight w:val="none"/>
        </w:rPr>
      </w:pPr>
      <w:r>
        <w:rPr>
          <w:rFonts w:ascii="Arial" w:hAnsi="Arial"/>
          <w:sz w:val="20"/>
          <w:highlight w:val="none"/>
        </w:rPr>
      </w:r>
      <w:r/>
    </w:p>
    <w:p>
      <w:pPr>
        <w:pStyle w:val="986"/>
        <w:jc w:val="center"/>
        <w:rPr>
          <w:rFonts w:ascii="Arial" w:hAnsi="Arial"/>
          <w:sz w:val="20"/>
          <w:highlight w:val="none"/>
        </w:rPr>
      </w:pPr>
      <w:r>
        <w:rPr>
          <w:rFonts w:ascii="Arial" w:hAnsi="Arial"/>
          <w:sz w:val="20"/>
          <w:highlight w:val="none"/>
        </w:rPr>
      </w:r>
      <w:r/>
    </w:p>
    <w:p>
      <w:pPr>
        <w:pStyle w:val="986"/>
        <w:jc w:val="center"/>
        <w:rPr>
          <w:rFonts w:ascii="Arial" w:hAnsi="Arial"/>
          <w:sz w:val="44"/>
          <w:szCs w:val="44"/>
          <w:highlight w:val="none"/>
        </w:rPr>
      </w:pPr>
      <w:r>
        <w:rPr>
          <w:rFonts w:ascii="Arial" w:hAnsi="Arial"/>
          <w:sz w:val="44"/>
          <w:szCs w:val="44"/>
          <w:highlight w:val="none"/>
        </w:rPr>
        <w:t xml:space="preserve">竞争性磋商响应文件</w:t>
      </w:r>
      <w:r>
        <w:rPr>
          <w:rFonts w:ascii="Arial" w:hAnsi="Arial"/>
          <w:sz w:val="44"/>
          <w:szCs w:val="44"/>
          <w:highlight w:val="none"/>
        </w:rPr>
      </w:r>
      <w:r/>
    </w:p>
    <w:p>
      <w:pPr>
        <w:pStyle w:val="986"/>
        <w:rPr>
          <w:rFonts w:ascii="Arial" w:hAnsi="Arial"/>
          <w:sz w:val="28"/>
          <w:szCs w:val="28"/>
          <w:highlight w:val="none"/>
        </w:rPr>
      </w:pPr>
      <w:r>
        <w:rPr>
          <w:rFonts w:ascii="Arial" w:hAnsi="Arial"/>
          <w:sz w:val="28"/>
          <w:szCs w:val="28"/>
          <w:highlight w:val="none"/>
        </w:rPr>
      </w:r>
      <w:r/>
    </w:p>
    <w:p>
      <w:pPr>
        <w:pStyle w:val="986"/>
        <w:rPr>
          <w:rFonts w:ascii="Arial" w:hAnsi="Arial"/>
          <w:sz w:val="28"/>
          <w:szCs w:val="28"/>
          <w:highlight w:val="none"/>
        </w:rPr>
      </w:pPr>
      <w:r>
        <w:rPr>
          <w:rFonts w:ascii="Arial" w:hAnsi="Arial"/>
          <w:sz w:val="28"/>
          <w:szCs w:val="28"/>
          <w:highlight w:val="none"/>
        </w:rPr>
      </w:r>
      <w:r/>
    </w:p>
    <w:p>
      <w:pPr>
        <w:pStyle w:val="986"/>
        <w:rPr>
          <w:rFonts w:ascii="Arial" w:hAnsi="Arial"/>
          <w:sz w:val="28"/>
          <w:szCs w:val="28"/>
          <w:highlight w:val="none"/>
        </w:rPr>
      </w:pPr>
      <w:r>
        <w:rPr>
          <w:rFonts w:ascii="Arial" w:hAnsi="Arial"/>
          <w:sz w:val="28"/>
          <w:szCs w:val="28"/>
          <w:highlight w:val="none"/>
        </w:rPr>
      </w:r>
      <w:r/>
    </w:p>
    <w:p>
      <w:pPr>
        <w:pStyle w:val="986"/>
        <w:rPr>
          <w:rFonts w:ascii="Arial" w:hAnsi="Arial"/>
          <w:sz w:val="28"/>
          <w:szCs w:val="28"/>
          <w:highlight w:val="none"/>
        </w:rPr>
      </w:pPr>
      <w:r>
        <w:rPr>
          <w:rFonts w:ascii="Arial" w:hAnsi="Arial"/>
          <w:sz w:val="28"/>
          <w:szCs w:val="28"/>
          <w:highlight w:val="none"/>
        </w:rPr>
      </w:r>
      <w:r/>
    </w:p>
    <w:p>
      <w:pPr>
        <w:pStyle w:val="986"/>
        <w:rPr>
          <w:rFonts w:hint="eastAsia" w:ascii="Arial" w:hAnsi="Arial"/>
          <w:sz w:val="28"/>
          <w:szCs w:val="28"/>
          <w:highlight w:val="none"/>
        </w:rPr>
      </w:pPr>
      <w:r>
        <w:rPr>
          <w:rFonts w:hint="eastAsia" w:ascii="Arial" w:hAnsi="Arial"/>
          <w:sz w:val="28"/>
          <w:szCs w:val="28"/>
          <w:highlight w:val="none"/>
        </w:rPr>
      </w:r>
      <w:r/>
    </w:p>
    <w:p>
      <w:pPr>
        <w:pStyle w:val="986"/>
        <w:rPr>
          <w:rFonts w:ascii="Arial" w:hAnsi="Arial"/>
          <w:sz w:val="28"/>
          <w:szCs w:val="28"/>
          <w:highlight w:val="none"/>
        </w:rPr>
      </w:pPr>
      <w:r>
        <w:rPr>
          <w:rFonts w:ascii="Arial" w:hAnsi="Arial"/>
          <w:sz w:val="28"/>
          <w:szCs w:val="28"/>
          <w:highlight w:val="none"/>
        </w:rPr>
      </w:r>
      <w:r/>
    </w:p>
    <w:p>
      <w:pPr>
        <w:pStyle w:val="986"/>
        <w:rPr>
          <w:rFonts w:ascii="Arial" w:hAnsi="Arial"/>
          <w:sz w:val="28"/>
          <w:szCs w:val="28"/>
          <w:highlight w:val="none"/>
        </w:rPr>
      </w:pPr>
      <w:r>
        <w:rPr>
          <w:rFonts w:ascii="Arial" w:hAnsi="Arial"/>
          <w:sz w:val="28"/>
          <w:szCs w:val="28"/>
          <w:highlight w:val="none"/>
        </w:rPr>
      </w:r>
      <w:r/>
    </w:p>
    <w:p>
      <w:pPr>
        <w:pStyle w:val="986"/>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rPr>
          <w:rFonts w:ascii="Arial" w:hAnsi="Arial"/>
          <w:sz w:val="28"/>
          <w:szCs w:val="28"/>
          <w:highlight w:val="none"/>
        </w:rPr>
      </w:r>
      <w:r/>
    </w:p>
    <w:p>
      <w:pPr>
        <w:pStyle w:val="986"/>
        <w:jc w:val="center"/>
        <w:rPr>
          <w:rFonts w:ascii="Arial" w:hAnsi="Arial"/>
          <w:sz w:val="28"/>
          <w:szCs w:val="28"/>
          <w:highlight w:val="none"/>
        </w:rPr>
      </w:pPr>
      <w:r>
        <w:rPr>
          <w:rFonts w:ascii="Arial" w:hAnsi="Arial"/>
          <w:sz w:val="28"/>
          <w:szCs w:val="28"/>
          <w:highlight w:val="none"/>
        </w:rPr>
        <w:t xml:space="preserve">年 月 日</w:t>
      </w:r>
      <w:r>
        <w:rPr>
          <w:rFonts w:ascii="Arial" w:hAnsi="Arial"/>
          <w:sz w:val="28"/>
          <w:szCs w:val="28"/>
          <w:highlight w:val="none"/>
        </w:rPr>
      </w:r>
      <w:r/>
    </w:p>
    <w:p>
      <w:pPr>
        <w:pStyle w:val="986"/>
        <w:spacing w:line="360" w:lineRule="auto"/>
        <w:shd w:val="clear" w:color="auto" w:fill="ffffff"/>
        <w:widowControl/>
        <w:rPr>
          <w:rFonts w:ascii="Arial" w:hAnsi="Arial"/>
          <w:highlight w:val="none"/>
        </w:rPr>
      </w:pPr>
      <w:r>
        <w:rPr>
          <w:rFonts w:ascii="Arial" w:hAnsi="Arial"/>
          <w:highlight w:val="none"/>
        </w:rPr>
      </w:r>
      <w:r/>
    </w:p>
    <w:p>
      <w:pPr>
        <w:pStyle w:val="986"/>
        <w:numPr>
          <w:ilvl w:val="0"/>
          <w:numId w:val="10"/>
        </w:numPr>
        <w:ind w:firstLine="472"/>
        <w:spacing w:line="360" w:lineRule="auto"/>
        <w:shd w:val="clear" w:color="auto" w:fill="ffffff"/>
        <w:widowControl/>
        <w:rPr>
          <w:rFonts w:hint="eastAsia" w:ascii="Arial" w:hAnsi="Arial"/>
          <w:sz w:val="28"/>
          <w:szCs w:val="28"/>
          <w:highlight w:val="none"/>
        </w:rPr>
      </w:pPr>
      <w:r>
        <w:rPr>
          <w:rFonts w:ascii="Arial" w:hAnsi="Arial"/>
          <w:b/>
          <w:bCs/>
          <w:sz w:val="24"/>
          <w:highlight w:val="none"/>
        </w:rPr>
        <w:br w:type="page" w:clear="all"/>
      </w:r>
      <w:bookmarkStart w:id="55" w:name="_Toc504056868"/>
      <w:r/>
      <w:bookmarkEnd w:id="55"/>
      <w:r/>
      <w:bookmarkStart w:id="56" w:name="_Toc490133028"/>
      <w:r/>
      <w:bookmarkEnd w:id="56"/>
      <w:r/>
      <w:bookmarkStart w:id="57" w:name="_Toc534273800"/>
      <w:r/>
      <w:bookmarkEnd w:id="57"/>
      <w:r/>
      <w:bookmarkStart w:id="58" w:name="_Toc504044380"/>
      <w:r/>
      <w:bookmarkEnd w:id="58"/>
      <w:r/>
      <w:bookmarkStart w:id="59" w:name="_Toc504573083"/>
      <w:r/>
      <w:bookmarkEnd w:id="59"/>
      <w:r/>
      <w:bookmarkStart w:id="60" w:name="_Toc534273677"/>
      <w:r/>
      <w:bookmarkEnd w:id="60"/>
      <w:r>
        <w:rPr>
          <w:rFonts w:hint="eastAsia" w:ascii="Arial" w:hAnsi="Arial"/>
          <w:sz w:val="28"/>
          <w:szCs w:val="28"/>
          <w:highlight w:val="none"/>
        </w:rPr>
        <w:t xml:space="preserve">基本目录</w:t>
      </w:r>
      <w:r>
        <w:rPr>
          <w:rFonts w:hint="eastAsia" w:ascii="Arial" w:hAnsi="Arial"/>
          <w:sz w:val="28"/>
          <w:szCs w:val="28"/>
          <w:highlight w:val="none"/>
        </w:rPr>
      </w:r>
      <w:r/>
    </w:p>
    <w:p>
      <w:pPr>
        <w:pStyle w:val="986"/>
        <w:rPr>
          <w:rFonts w:hint="eastAsia" w:ascii="Arial" w:hAnsi="Arial"/>
          <w:sz w:val="28"/>
          <w:szCs w:val="28"/>
          <w:highlight w:val="none"/>
        </w:rPr>
        <w:outlineLvl w:val="2"/>
      </w:pPr>
      <w:r/>
      <w:bookmarkStart w:id="61" w:name="_Toc3420"/>
      <w:r/>
      <w:bookmarkStart w:id="62" w:name="_Toc2492"/>
      <w:r>
        <w:rPr>
          <w:rFonts w:hint="eastAsia" w:ascii="Arial" w:hAnsi="Arial"/>
          <w:sz w:val="28"/>
          <w:szCs w:val="28"/>
          <w:highlight w:val="none"/>
        </w:rPr>
        <w:t xml:space="preserve">1、磋商报价表</w:t>
      </w:r>
      <w:bookmarkEnd w:id="61"/>
      <w:r/>
      <w:bookmarkEnd w:id="62"/>
      <w:r>
        <w:rPr>
          <w:rFonts w:hint="eastAsia" w:ascii="Arial" w:hAnsi="Arial"/>
          <w:sz w:val="28"/>
          <w:szCs w:val="28"/>
          <w:highlight w:val="none"/>
        </w:rPr>
      </w:r>
      <w:r/>
    </w:p>
    <w:p>
      <w:pPr>
        <w:pStyle w:val="986"/>
        <w:jc w:val="center"/>
        <w:rPr>
          <w:rFonts w:ascii="Arial" w:hAnsi="Arial"/>
          <w:b/>
          <w:sz w:val="36"/>
          <w:szCs w:val="36"/>
          <w:highlight w:val="none"/>
        </w:rPr>
      </w:pPr>
      <w:r>
        <w:rPr>
          <w:rFonts w:ascii="Arial" w:hAnsi="Arial"/>
          <w:b/>
          <w:sz w:val="36"/>
          <w:szCs w:val="36"/>
          <w:highlight w:val="none"/>
        </w:rPr>
        <w:t xml:space="preserve">磋商报价表</w:t>
      </w:r>
      <w:r>
        <w:rPr>
          <w:rFonts w:ascii="Arial" w:hAnsi="Arial"/>
          <w:b/>
          <w:sz w:val="36"/>
          <w:szCs w:val="36"/>
          <w:highlight w:val="none"/>
        </w:rPr>
      </w:r>
      <w:r/>
    </w:p>
    <w:p>
      <w:pPr>
        <w:pStyle w:val="1007"/>
        <w:widowControl/>
        <w:rPr>
          <w:sz w:val="21"/>
          <w:szCs w:val="21"/>
          <w:highlight w:val="none"/>
        </w:rPr>
      </w:pPr>
      <w:r>
        <w:rPr>
          <w:sz w:val="21"/>
          <w:szCs w:val="21"/>
          <w:highlight w:val="none"/>
        </w:rPr>
        <w:t xml:space="preserve">本次为首次报价</w:t>
      </w:r>
      <w:r>
        <w:rPr>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670"/>
        <w:gridCol w:w="2535"/>
        <w:gridCol w:w="2585"/>
      </w:tblGrid>
      <w:tr>
        <w:trPr>
          <w:trHeight w:val="474"/>
        </w:trPr>
        <w:tc>
          <w:tcPr>
            <w:gridSpan w:val="2"/>
            <w:tcMar>
              <w:left w:w="108" w:type="dxa"/>
              <w:top w:w="0" w:type="dxa"/>
              <w:right w:w="108" w:type="dxa"/>
              <w:bottom w:w="0" w:type="dxa"/>
            </w:tcMar>
            <w:tcW w:w="3602" w:type="dxa"/>
            <w:vAlign w:val="center"/>
            <w:textDirection w:val="lrTb"/>
            <w:noWrap w:val="false"/>
          </w:tcPr>
          <w:p>
            <w:pPr>
              <w:pStyle w:val="986"/>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ascii="宋体" w:hAnsi="宋体" w:cs="宋体"/>
                <w:color w:val="000000"/>
                <w:szCs w:val="21"/>
                <w:highlight w:val="none"/>
              </w:rPr>
              <w:t xml:space="preserve">：</w:t>
            </w:r>
            <w:r>
              <w:rPr>
                <w:rFonts w:ascii="宋体" w:hAnsi="宋体" w:cs="宋体"/>
                <w:szCs w:val="21"/>
                <w:highlight w:val="none"/>
              </w:rPr>
            </w:r>
            <w:r/>
          </w:p>
        </w:tc>
        <w:tc>
          <w:tcPr>
            <w:gridSpan w:val="2"/>
            <w:tcMar>
              <w:left w:w="108" w:type="dxa"/>
              <w:top w:w="0" w:type="dxa"/>
              <w:right w:w="108" w:type="dxa"/>
              <w:bottom w:w="0" w:type="dxa"/>
            </w:tcMar>
            <w:tcW w:w="5120" w:type="dxa"/>
            <w:vAlign w:val="center"/>
            <w:textDirection w:val="lrTb"/>
            <w:noWrap w:val="false"/>
          </w:tcPr>
          <w:p>
            <w:pPr>
              <w:pStyle w:val="986"/>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项目编号：</w:t>
            </w:r>
            <w:r>
              <w:rPr>
                <w:rFonts w:ascii="宋体" w:hAnsi="宋体" w:cs="宋体"/>
                <w:szCs w:val="21"/>
                <w:highlight w:val="none"/>
              </w:rPr>
            </w:r>
            <w:r/>
          </w:p>
        </w:tc>
      </w:tr>
      <w:tr>
        <w:trPr>
          <w:trHeight w:val="508"/>
        </w:trPr>
        <w:tc>
          <w:tcPr>
            <w:tcMar>
              <w:left w:w="108" w:type="dxa"/>
              <w:top w:w="0" w:type="dxa"/>
              <w:right w:w="108" w:type="dxa"/>
              <w:bottom w:w="0" w:type="dxa"/>
            </w:tcMar>
            <w:tcW w:w="932" w:type="dxa"/>
            <w:vAlign w:val="center"/>
            <w:textDirection w:val="lrTb"/>
            <w:noWrap w:val="false"/>
          </w:tcPr>
          <w:p>
            <w:pPr>
              <w:pStyle w:val="986"/>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序号</w:t>
            </w:r>
            <w:r>
              <w:rPr>
                <w:rFonts w:ascii="宋体" w:hAnsi="宋体" w:cs="宋体"/>
                <w:szCs w:val="21"/>
                <w:highlight w:val="none"/>
              </w:rPr>
            </w:r>
            <w:r/>
          </w:p>
        </w:tc>
        <w:tc>
          <w:tcPr>
            <w:tcMar>
              <w:left w:w="108" w:type="dxa"/>
              <w:top w:w="0" w:type="dxa"/>
              <w:right w:w="108" w:type="dxa"/>
              <w:bottom w:w="0" w:type="dxa"/>
            </w:tcMar>
            <w:tcW w:w="2670" w:type="dxa"/>
            <w:vAlign w:val="center"/>
            <w:textDirection w:val="lrTb"/>
            <w:noWrap w:val="false"/>
          </w:tcPr>
          <w:p>
            <w:pPr>
              <w:pStyle w:val="986"/>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项目</w:t>
            </w:r>
            <w:r>
              <w:rPr>
                <w:rFonts w:ascii="宋体" w:hAnsi="宋体" w:cs="宋体"/>
                <w:color w:val="000000"/>
                <w:szCs w:val="21"/>
                <w:highlight w:val="none"/>
              </w:rPr>
              <w:t xml:space="preserve">名称</w:t>
            </w:r>
            <w:r>
              <w:rPr>
                <w:rFonts w:ascii="宋体" w:hAnsi="宋体" w:cs="宋体"/>
                <w:szCs w:val="21"/>
                <w:highlight w:val="none"/>
              </w:rPr>
            </w:r>
            <w:r/>
          </w:p>
        </w:tc>
        <w:tc>
          <w:tcPr>
            <w:tcMar>
              <w:left w:w="108" w:type="dxa"/>
              <w:top w:w="0" w:type="dxa"/>
              <w:right w:w="108" w:type="dxa"/>
              <w:bottom w:w="0" w:type="dxa"/>
            </w:tcMar>
            <w:tcW w:w="2535" w:type="dxa"/>
            <w:vAlign w:val="center"/>
            <w:textDirection w:val="lrTb"/>
            <w:noWrap w:val="false"/>
          </w:tcPr>
          <w:p>
            <w:pPr>
              <w:pStyle w:val="986"/>
              <w:jc w:val="center"/>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总价</w:t>
            </w:r>
            <w:r>
              <w:rPr>
                <w:rFonts w:hint="eastAsia" w:ascii="宋体" w:hAnsi="宋体" w:cs="宋体"/>
                <w:szCs w:val="21"/>
                <w:highlight w:val="none"/>
              </w:rPr>
            </w:r>
            <w:r/>
          </w:p>
        </w:tc>
        <w:tc>
          <w:tcPr>
            <w:tcMar>
              <w:left w:w="108" w:type="dxa"/>
              <w:top w:w="0" w:type="dxa"/>
              <w:right w:w="108" w:type="dxa"/>
              <w:bottom w:w="0" w:type="dxa"/>
            </w:tcMar>
            <w:tcW w:w="2585" w:type="dxa"/>
            <w:vAlign w:val="center"/>
            <w:textDirection w:val="lrTb"/>
            <w:noWrap w:val="false"/>
          </w:tcPr>
          <w:p>
            <w:pPr>
              <w:pStyle w:val="986"/>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备注</w:t>
            </w:r>
            <w:r>
              <w:rPr>
                <w:rFonts w:ascii="宋体" w:hAnsi="宋体" w:cs="宋体"/>
                <w:szCs w:val="21"/>
                <w:highlight w:val="none"/>
              </w:rPr>
            </w:r>
            <w:r/>
          </w:p>
        </w:tc>
      </w:tr>
      <w:tr>
        <w:trPr>
          <w:trHeight w:val="992"/>
        </w:trPr>
        <w:tc>
          <w:tcPr>
            <w:tcMar>
              <w:left w:w="108" w:type="dxa"/>
              <w:top w:w="0" w:type="dxa"/>
              <w:right w:w="108" w:type="dxa"/>
              <w:bottom w:w="0" w:type="dxa"/>
            </w:tcMar>
            <w:tcW w:w="932" w:type="dxa"/>
            <w:vAlign w:val="center"/>
            <w:textDirection w:val="lrTb"/>
            <w:noWrap w:val="false"/>
          </w:tcPr>
          <w:p>
            <w:pPr>
              <w:pStyle w:val="986"/>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highlight w:val="none"/>
              </w:rPr>
              <w:t xml:space="preserve">1</w:t>
            </w:r>
            <w:r>
              <w:rPr>
                <w:rFonts w:ascii="宋体" w:hAnsi="宋体" w:cs="宋体"/>
                <w:szCs w:val="21"/>
                <w:highlight w:val="none"/>
              </w:rPr>
            </w:r>
            <w:r/>
          </w:p>
        </w:tc>
        <w:tc>
          <w:tcPr>
            <w:tcMar>
              <w:left w:w="108" w:type="dxa"/>
              <w:top w:w="0" w:type="dxa"/>
              <w:right w:w="108" w:type="dxa"/>
              <w:bottom w:w="0" w:type="dxa"/>
            </w:tcMar>
            <w:tcW w:w="2670" w:type="dxa"/>
            <w:vAlign w:val="center"/>
            <w:textDirection w:val="lrTb"/>
            <w:noWrap w:val="false"/>
          </w:tcPr>
          <w:p>
            <w:pPr>
              <w:pStyle w:val="986"/>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项目名称</w:t>
            </w:r>
            <w:r>
              <w:rPr>
                <w:rFonts w:ascii="宋体" w:hAnsi="宋体" w:cs="宋体"/>
                <w:szCs w:val="21"/>
                <w:highlight w:val="none"/>
              </w:rPr>
            </w:r>
            <w:r/>
          </w:p>
        </w:tc>
        <w:tc>
          <w:tcPr>
            <w:tcMar>
              <w:left w:w="108" w:type="dxa"/>
              <w:top w:w="0" w:type="dxa"/>
              <w:right w:w="108" w:type="dxa"/>
              <w:bottom w:w="0" w:type="dxa"/>
            </w:tcMar>
            <w:tcW w:w="2535" w:type="dxa"/>
            <w:vAlign w:val="center"/>
            <w:textDirection w:val="lrTb"/>
            <w:noWrap w:val="false"/>
          </w:tcPr>
          <w:p>
            <w:pPr>
              <w:pStyle w:val="986"/>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小写：</w:t>
            </w:r>
            <w:r>
              <w:rPr>
                <w:rFonts w:hint="eastAsia" w:ascii="宋体" w:hAnsi="宋体" w:cs="宋体"/>
                <w:szCs w:val="21"/>
                <w:highlight w:val="none"/>
              </w:rPr>
            </w:r>
            <w:r/>
          </w:p>
          <w:p>
            <w:pPr>
              <w:pStyle w:val="997"/>
              <w:rPr>
                <w:highlight w:val="none"/>
              </w:rPr>
            </w:pPr>
            <w:r>
              <w:rPr>
                <w:highlight w:val="none"/>
              </w:rPr>
            </w:r>
            <w:r/>
          </w:p>
          <w:p>
            <w:pPr>
              <w:pStyle w:val="986"/>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大写：</w:t>
            </w:r>
            <w:r>
              <w:rPr>
                <w:rFonts w:hint="eastAsia"/>
                <w:highlight w:val="none"/>
              </w:rPr>
            </w:r>
            <w:r/>
          </w:p>
        </w:tc>
        <w:tc>
          <w:tcPr>
            <w:tcMar>
              <w:left w:w="108" w:type="dxa"/>
              <w:top w:w="0" w:type="dxa"/>
              <w:right w:w="108" w:type="dxa"/>
              <w:bottom w:w="0" w:type="dxa"/>
            </w:tcMar>
            <w:tcW w:w="2585" w:type="dxa"/>
            <w:vAlign w:val="center"/>
            <w:textDirection w:val="lrTb"/>
            <w:noWrap w:val="false"/>
          </w:tcPr>
          <w:p>
            <w:pPr>
              <w:pStyle w:val="986"/>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在系统中填写总报价，请审核，防止计算错误！</w:t>
            </w:r>
            <w:r>
              <w:rPr>
                <w:rFonts w:ascii="宋体" w:hAnsi="宋体" w:cs="宋体"/>
                <w:szCs w:val="21"/>
                <w:highlight w:val="none"/>
              </w:rPr>
            </w:r>
            <w:r/>
          </w:p>
        </w:tc>
      </w:tr>
      <w:tr>
        <w:trPr>
          <w:trHeight w:val="1123"/>
        </w:trPr>
        <w:tc>
          <w:tcPr>
            <w:tcMar>
              <w:left w:w="108" w:type="dxa"/>
              <w:top w:w="0" w:type="dxa"/>
              <w:right w:w="108" w:type="dxa"/>
              <w:bottom w:w="0" w:type="dxa"/>
            </w:tcMar>
            <w:tcW w:w="932" w:type="dxa"/>
            <w:vAlign w:val="center"/>
            <w:textDirection w:val="lrTb"/>
            <w:noWrap w:val="false"/>
          </w:tcPr>
          <w:p>
            <w:pPr>
              <w:pStyle w:val="986"/>
              <w:jc w:val="center"/>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Mar>
              <w:left w:w="108" w:type="dxa"/>
              <w:top w:w="0" w:type="dxa"/>
              <w:right w:w="108" w:type="dxa"/>
              <w:bottom w:w="0" w:type="dxa"/>
            </w:tcMar>
            <w:tcW w:w="2670" w:type="dxa"/>
            <w:vAlign w:val="center"/>
            <w:textDirection w:val="lrTb"/>
            <w:noWrap w:val="false"/>
          </w:tcPr>
          <w:p>
            <w:pPr>
              <w:pStyle w:val="993"/>
              <w:ind w:firstLine="0"/>
              <w:jc w:val="center"/>
              <w:spacing w:line="440" w:lineRule="exact"/>
              <w:rPr>
                <w:rFonts w:ascii="宋体" w:hAnsi="宋体" w:cs="宋体"/>
                <w:color w:val="000000"/>
                <w:sz w:val="21"/>
                <w:szCs w:val="21"/>
                <w:highlight w:val="none"/>
              </w:rPr>
            </w:pPr>
            <w:r>
              <w:rPr>
                <w:rFonts w:hint="eastAsia" w:ascii="宋体" w:hAnsi="宋体" w:cs="宋体"/>
                <w:sz w:val="21"/>
                <w:szCs w:val="21"/>
                <w:highlight w:val="none"/>
              </w:rPr>
              <w:t xml:space="preserve">服务时间/交付使用时间</w:t>
            </w:r>
            <w:r>
              <w:rPr>
                <w:rFonts w:ascii="宋体" w:hAnsi="宋体" w:cs="宋体"/>
                <w:color w:val="000000"/>
                <w:sz w:val="21"/>
                <w:szCs w:val="21"/>
                <w:highlight w:val="none"/>
              </w:rPr>
            </w:r>
            <w:r/>
          </w:p>
        </w:tc>
        <w:tc>
          <w:tcPr>
            <w:gridSpan w:val="2"/>
            <w:tcMar>
              <w:left w:w="108" w:type="dxa"/>
              <w:top w:w="0" w:type="dxa"/>
              <w:right w:w="108" w:type="dxa"/>
              <w:bottom w:w="0" w:type="dxa"/>
            </w:tcMar>
            <w:tcW w:w="5120" w:type="dxa"/>
            <w:vAlign w:val="center"/>
            <w:textDirection w:val="lrTb"/>
            <w:noWrap w:val="false"/>
          </w:tcPr>
          <w:p>
            <w:pPr>
              <w:pStyle w:val="993"/>
              <w:ind w:firstLine="0"/>
              <w:spacing w:line="440" w:lineRule="exact"/>
              <w:tabs>
                <w:tab w:val="left" w:pos="3624" w:leader="none"/>
              </w:tabs>
              <w:rPr>
                <w:rFonts w:ascii="宋体" w:hAnsi="宋体" w:cs="宋体"/>
                <w:color w:val="000000"/>
                <w:sz w:val="21"/>
                <w:szCs w:val="21"/>
                <w:highlight w:val="none"/>
              </w:rPr>
            </w:pPr>
            <w:r>
              <w:rPr>
                <w:rFonts w:hint="eastAsia" w:ascii="宋体" w:hAnsi="宋体" w:cs="宋体"/>
                <w:sz w:val="21"/>
                <w:szCs w:val="21"/>
                <w:highlight w:val="none"/>
                <w:u w:val="single"/>
              </w:rPr>
              <w:t xml:space="preserve">满足招标文件要求。</w:t>
            </w:r>
            <w:r>
              <w:rPr>
                <w:rFonts w:ascii="宋体" w:hAnsi="宋体" w:cs="宋体"/>
                <w:color w:val="000000"/>
                <w:sz w:val="21"/>
                <w:szCs w:val="21"/>
                <w:highlight w:val="none"/>
              </w:rPr>
            </w:r>
            <w:r/>
          </w:p>
        </w:tc>
      </w:tr>
    </w:tbl>
    <w:p>
      <w:pPr>
        <w:pStyle w:val="1007"/>
        <w:widowControl/>
        <w:rPr>
          <w:sz w:val="21"/>
          <w:szCs w:val="21"/>
          <w:highlight w:val="none"/>
        </w:rPr>
      </w:pPr>
      <w:r>
        <w:rPr>
          <w:sz w:val="21"/>
          <w:szCs w:val="21"/>
          <w:highlight w:val="none"/>
        </w:rPr>
        <w:t xml:space="preserve">报价说明：</w:t>
      </w:r>
      <w:r>
        <w:rPr>
          <w:sz w:val="21"/>
          <w:szCs w:val="21"/>
          <w:highlight w:val="none"/>
        </w:rPr>
      </w:r>
      <w:r/>
    </w:p>
    <w:p>
      <w:pPr>
        <w:pStyle w:val="1007"/>
        <w:widowControl/>
        <w:rPr>
          <w:sz w:val="21"/>
          <w:szCs w:val="21"/>
          <w:highlight w:val="none"/>
        </w:rPr>
      </w:pPr>
      <w:r>
        <w:rPr>
          <w:rFonts w:hint="eastAsia"/>
          <w:sz w:val="21"/>
          <w:szCs w:val="21"/>
          <w:highlight w:val="none"/>
        </w:rPr>
        <w:t xml:space="preserve">1、本项目仅接受一个价格，不得填报有选择性报价方案。如有优惠条款须注明，但不得影响报价，影响项目履约交付。</w:t>
      </w:r>
      <w:r>
        <w:rPr>
          <w:sz w:val="21"/>
          <w:szCs w:val="21"/>
          <w:highlight w:val="none"/>
        </w:rPr>
      </w:r>
      <w:r/>
    </w:p>
    <w:p>
      <w:pPr>
        <w:pStyle w:val="1007"/>
        <w:widowControl/>
        <w:rPr>
          <w:sz w:val="21"/>
          <w:szCs w:val="21"/>
          <w:highlight w:val="none"/>
        </w:rPr>
      </w:pPr>
      <w:r>
        <w:rPr>
          <w:rFonts w:hint="eastAsia"/>
          <w:sz w:val="21"/>
          <w:szCs w:val="21"/>
          <w:highlight w:val="none"/>
        </w:rPr>
        <w:t xml:space="preserve">2</w:t>
      </w:r>
      <w:r>
        <w:rPr>
          <w:sz w:val="21"/>
          <w:szCs w:val="21"/>
          <w:highlight w:val="none"/>
        </w:rPr>
        <w:t xml:space="preserve">、偏离说明：详见《偏离表》；</w:t>
      </w:r>
      <w:r>
        <w:rPr>
          <w:sz w:val="21"/>
          <w:szCs w:val="21"/>
          <w:highlight w:val="none"/>
        </w:rPr>
      </w:r>
      <w:r/>
    </w:p>
    <w:p>
      <w:pPr>
        <w:pStyle w:val="1007"/>
        <w:widowControl/>
        <w:rPr>
          <w:sz w:val="21"/>
          <w:szCs w:val="21"/>
          <w:highlight w:val="none"/>
        </w:rPr>
      </w:pPr>
      <w:r>
        <w:rPr>
          <w:sz w:val="21"/>
          <w:szCs w:val="21"/>
          <w:highlight w:val="none"/>
        </w:rPr>
        <w:t xml:space="preserve">供应商（电子签章）：</w:t>
      </w:r>
      <w:r>
        <w:rPr>
          <w:sz w:val="21"/>
          <w:szCs w:val="21"/>
          <w:highlight w:val="none"/>
        </w:rPr>
      </w:r>
      <w:r/>
    </w:p>
    <w:p>
      <w:pPr>
        <w:pStyle w:val="986"/>
        <w:rPr>
          <w:b/>
          <w:highlight w:val="none"/>
        </w:rPr>
      </w:pPr>
      <w:r>
        <w:rPr>
          <w:b/>
          <w:highlight w:val="none"/>
        </w:rPr>
        <w:br w:type="page" w:clear="all"/>
      </w:r>
      <w:r>
        <w:rPr>
          <w:b/>
          <w:highlight w:val="none"/>
        </w:rPr>
      </w:r>
      <w:r/>
    </w:p>
    <w:p>
      <w:pPr>
        <w:pStyle w:val="986"/>
        <w:rPr>
          <w:rFonts w:hint="eastAsia" w:ascii="Arial" w:hAnsi="Arial"/>
          <w:sz w:val="28"/>
          <w:szCs w:val="28"/>
          <w:highlight w:val="none"/>
        </w:rPr>
        <w:outlineLvl w:val="2"/>
      </w:pPr>
      <w:r/>
      <w:bookmarkStart w:id="63" w:name="_Toc3117"/>
      <w:r/>
      <w:bookmarkStart w:id="64" w:name="_Toc27925"/>
      <w:r>
        <w:rPr>
          <w:rFonts w:hint="eastAsia" w:ascii="Arial" w:hAnsi="Arial"/>
          <w:sz w:val="28"/>
          <w:szCs w:val="28"/>
          <w:highlight w:val="none"/>
        </w:rPr>
        <w:t xml:space="preserve">2、分项报价表</w:t>
      </w:r>
      <w:bookmarkEnd w:id="63"/>
      <w:r/>
      <w:bookmarkEnd w:id="64"/>
      <w:r>
        <w:rPr>
          <w:rFonts w:hint="eastAsia" w:ascii="Arial" w:hAnsi="Arial"/>
          <w:sz w:val="28"/>
          <w:szCs w:val="28"/>
          <w:highlight w:val="none"/>
        </w:rPr>
      </w:r>
      <w:r/>
    </w:p>
    <w:p>
      <w:pPr>
        <w:pStyle w:val="986"/>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分项报价表（必须填写）</w:t>
      </w:r>
      <w:r>
        <w:rPr>
          <w:rFonts w:hint="eastAsia" w:ascii="宋体" w:hAnsi="宋体" w:cs="宋体"/>
          <w:b/>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9"/>
        <w:gridCol w:w="2310"/>
        <w:gridCol w:w="2315"/>
        <w:gridCol w:w="2310"/>
      </w:tblGrid>
      <w:tr>
        <w:trPr/>
        <w:tc>
          <w:tcPr>
            <w:tcW w:w="2309" w:type="dxa"/>
            <w:vAlign w:val="top"/>
            <w:textDirection w:val="lrTb"/>
            <w:noWrap w:val="false"/>
          </w:tcPr>
          <w:p>
            <w:pPr>
              <w:pStyle w:val="986"/>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w:t>
            </w:r>
            <w:r>
              <w:rPr>
                <w:rFonts w:hint="eastAsia" w:ascii="宋体" w:hAnsi="宋体" w:cs="宋体"/>
                <w:szCs w:val="21"/>
                <w:highlight w:val="none"/>
              </w:rPr>
            </w:r>
            <w:r/>
          </w:p>
        </w:tc>
        <w:tc>
          <w:tcPr>
            <w:tcW w:w="2310" w:type="dxa"/>
            <w:vAlign w:val="top"/>
            <w:textDirection w:val="lrTb"/>
            <w:noWrap w:val="false"/>
          </w:tcPr>
          <w:p>
            <w:pPr>
              <w:pStyle w:val="986"/>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数量（家）</w:t>
            </w:r>
            <w:r>
              <w:rPr>
                <w:rFonts w:hint="eastAsia" w:ascii="宋体" w:hAnsi="宋体" w:cs="宋体"/>
                <w:szCs w:val="21"/>
                <w:highlight w:val="none"/>
              </w:rPr>
            </w:r>
            <w:r/>
          </w:p>
        </w:tc>
        <w:tc>
          <w:tcPr>
            <w:tcW w:w="2310" w:type="dxa"/>
            <w:vAlign w:val="top"/>
            <w:textDirection w:val="lrTb"/>
            <w:noWrap w:val="false"/>
          </w:tcPr>
          <w:p>
            <w:pPr>
              <w:pStyle w:val="986"/>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单价（元/家）</w:t>
            </w:r>
            <w:r>
              <w:rPr>
                <w:rFonts w:hint="eastAsia" w:ascii="宋体" w:hAnsi="宋体" w:cs="宋体"/>
                <w:szCs w:val="21"/>
                <w:highlight w:val="none"/>
              </w:rPr>
            </w:r>
            <w:r/>
          </w:p>
        </w:tc>
        <w:tc>
          <w:tcPr>
            <w:tcW w:w="2310" w:type="dxa"/>
            <w:vAlign w:val="top"/>
            <w:textDirection w:val="lrTb"/>
            <w:noWrap w:val="false"/>
          </w:tcPr>
          <w:p>
            <w:pPr>
              <w:pStyle w:val="986"/>
              <w:jc w:val="center"/>
              <w:spacing w:line="360" w:lineRule="auto"/>
              <w:widowControl/>
              <w:rPr>
                <w:rFonts w:ascii="宋体" w:hAnsi="宋体" w:cs="宋体"/>
                <w:szCs w:val="21"/>
                <w:highlight w:val="none"/>
              </w:rPr>
            </w:pPr>
            <w:r>
              <w:rPr>
                <w:rFonts w:hint="eastAsia" w:ascii="宋体" w:hAnsi="宋体" w:cs="宋体"/>
                <w:szCs w:val="21"/>
                <w:highlight w:val="none"/>
              </w:rPr>
              <w:t xml:space="preserve">合价（元）</w:t>
            </w:r>
            <w:r>
              <w:rPr>
                <w:rFonts w:ascii="宋体" w:hAnsi="宋体" w:cs="宋体"/>
                <w:szCs w:val="21"/>
                <w:highlight w:val="none"/>
              </w:rPr>
            </w:r>
            <w:r/>
          </w:p>
        </w:tc>
      </w:tr>
      <w:tr>
        <w:trPr>
          <w:trHeight w:val="500"/>
        </w:trPr>
        <w:tc>
          <w:tcPr>
            <w:tcW w:w="2309" w:type="dxa"/>
            <w:vAlign w:val="center"/>
            <w:textDirection w:val="lrTb"/>
            <w:noWrap w:val="false"/>
          </w:tcPr>
          <w:p>
            <w:pPr>
              <w:pStyle w:val="986"/>
              <w:jc w:val="center"/>
              <w:spacing w:line="360" w:lineRule="auto"/>
              <w:widowControl/>
              <w:rPr>
                <w:rFonts w:ascii="宋体" w:hAnsi="宋体" w:cs="宋体"/>
                <w:szCs w:val="21"/>
                <w:highlight w:val="none"/>
              </w:rPr>
            </w:pPr>
            <w:r>
              <w:rPr>
                <w:rFonts w:ascii="Arial" w:hAnsi="Arial"/>
                <w:spacing w:val="8"/>
                <w:szCs w:val="21"/>
                <w:highlight w:val="none"/>
              </w:rPr>
              <w:t xml:space="preserve">化工企业、电站锅炉</w:t>
            </w:r>
            <w:r>
              <w:rPr>
                <w:rFonts w:ascii="宋体" w:hAnsi="宋体" w:cs="宋体"/>
                <w:szCs w:val="21"/>
                <w:highlight w:val="none"/>
              </w:rPr>
            </w:r>
            <w:r/>
          </w:p>
        </w:tc>
        <w:tc>
          <w:tcPr>
            <w:tcW w:w="2310"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456"/>
        </w:trPr>
        <w:tc>
          <w:tcPr>
            <w:tcW w:w="2309"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t xml:space="preserve">其他企业</w:t>
            </w:r>
            <w:r>
              <w:rPr>
                <w:rFonts w:ascii="宋体" w:hAnsi="宋体" w:cs="宋体"/>
                <w:szCs w:val="21"/>
                <w:highlight w:val="none"/>
              </w:rPr>
            </w:r>
            <w:r/>
          </w:p>
        </w:tc>
        <w:tc>
          <w:tcPr>
            <w:tcW w:w="2310"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r>
            <w:r/>
          </w:p>
        </w:tc>
        <w:tc>
          <w:tcPr>
            <w:tcW w:w="2310"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500"/>
        </w:trPr>
        <w:tc>
          <w:tcPr>
            <w:gridSpan w:val="3"/>
            <w:tcW w:w="6934" w:type="dxa"/>
            <w:vAlign w:val="center"/>
            <w:textDirection w:val="lrTb"/>
            <w:noWrap w:val="false"/>
          </w:tcPr>
          <w:p>
            <w:pPr>
              <w:pStyle w:val="986"/>
              <w:jc w:val="center"/>
              <w:spacing w:line="360" w:lineRule="auto"/>
              <w:widowControl/>
              <w:rPr>
                <w:rFonts w:ascii="宋体" w:hAnsi="宋体" w:cs="宋体"/>
                <w:szCs w:val="21"/>
                <w:highlight w:val="none"/>
              </w:rPr>
            </w:pPr>
            <w:r>
              <w:rPr>
                <w:rFonts w:hint="eastAsia" w:ascii="宋体" w:hAnsi="宋体" w:cs="宋体"/>
                <w:szCs w:val="21"/>
                <w:highlight w:val="none"/>
              </w:rPr>
              <w:t xml:space="preserve">合计（元）</w:t>
            </w:r>
            <w:r>
              <w:rPr>
                <w:rFonts w:ascii="宋体" w:hAnsi="宋体" w:cs="宋体"/>
                <w:szCs w:val="21"/>
                <w:highlight w:val="none"/>
              </w:rPr>
            </w:r>
            <w:r/>
          </w:p>
        </w:tc>
        <w:tc>
          <w:tcPr>
            <w:tcW w:w="2305" w:type="dxa"/>
            <w:vAlign w:val="center"/>
            <w:textDirection w:val="lrTb"/>
            <w:noWrap w:val="false"/>
          </w:tcPr>
          <w:p>
            <w:pPr>
              <w:pStyle w:val="986"/>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350"/>
        </w:trPr>
        <w:tc>
          <w:tcPr>
            <w:gridSpan w:val="4"/>
            <w:tcW w:w="9244" w:type="dxa"/>
            <w:vAlign w:val="center"/>
            <w:textDirection w:val="lrTb"/>
            <w:noWrap w:val="false"/>
          </w:tcPr>
          <w:p>
            <w:pPr>
              <w:pStyle w:val="986"/>
              <w:spacing w:line="360" w:lineRule="auto"/>
              <w:widowControl/>
              <w:rPr>
                <w:rFonts w:hint="eastAsia" w:ascii="宋体" w:hAnsi="宋体" w:cs="宋体"/>
                <w:szCs w:val="21"/>
                <w:highlight w:val="none"/>
              </w:rPr>
            </w:pPr>
            <w:r>
              <w:rPr>
                <w:rFonts w:hint="eastAsia" w:ascii="宋体" w:hAnsi="宋体" w:cs="宋体"/>
                <w:szCs w:val="21"/>
                <w:highlight w:val="none"/>
              </w:rPr>
              <w:t xml:space="preserve">合计=</w:t>
            </w:r>
            <w:r>
              <w:rPr>
                <w:rFonts w:ascii="Arial" w:hAnsi="Arial"/>
                <w:spacing w:val="8"/>
                <w:szCs w:val="21"/>
                <w:highlight w:val="none"/>
              </w:rPr>
              <w:t xml:space="preserve">化工企业</w:t>
            </w:r>
            <w:r>
              <w:rPr>
                <w:rFonts w:hint="eastAsia" w:ascii="Arial" w:hAnsi="Arial"/>
                <w:spacing w:val="8"/>
                <w:szCs w:val="21"/>
                <w:highlight w:val="none"/>
              </w:rPr>
              <w:t xml:space="preserve">或</w:t>
            </w:r>
            <w:r>
              <w:rPr>
                <w:rFonts w:ascii="Arial" w:hAnsi="Arial"/>
                <w:spacing w:val="8"/>
                <w:szCs w:val="21"/>
                <w:highlight w:val="none"/>
              </w:rPr>
              <w:t xml:space="preserve">电站锅炉</w:t>
            </w:r>
            <w:r>
              <w:rPr>
                <w:rFonts w:hint="eastAsia" w:ascii="Arial" w:hAnsi="Arial"/>
                <w:spacing w:val="8"/>
                <w:szCs w:val="21"/>
                <w:highlight w:val="none"/>
              </w:rPr>
              <w:t xml:space="preserve">数量*单价+</w:t>
            </w:r>
            <w:r>
              <w:rPr>
                <w:rFonts w:ascii="宋体" w:hAnsi="宋体" w:cs="宋体"/>
                <w:szCs w:val="21"/>
                <w:highlight w:val="none"/>
              </w:rPr>
              <w:t xml:space="preserve">其他企业</w:t>
            </w:r>
            <w:r>
              <w:rPr>
                <w:rFonts w:hint="eastAsia" w:ascii="宋体" w:hAnsi="宋体" w:cs="宋体"/>
                <w:szCs w:val="21"/>
                <w:highlight w:val="none"/>
              </w:rPr>
              <w:t xml:space="preserve">数量*单价</w:t>
            </w:r>
            <w:r>
              <w:rPr>
                <w:rFonts w:hint="eastAsia" w:ascii="宋体" w:hAnsi="宋体" w:cs="宋体"/>
                <w:b/>
                <w:bCs/>
                <w:szCs w:val="21"/>
                <w:highlight w:val="none"/>
              </w:rPr>
              <w:t xml:space="preserve">（请勿填计算错误）</w:t>
            </w:r>
            <w:r>
              <w:rPr>
                <w:rFonts w:hint="eastAsia" w:ascii="宋体" w:hAnsi="宋体" w:cs="宋体"/>
                <w:szCs w:val="21"/>
                <w:highlight w:val="none"/>
              </w:rPr>
            </w:r>
            <w:r/>
          </w:p>
        </w:tc>
      </w:tr>
    </w:tbl>
    <w:p>
      <w:pPr>
        <w:pStyle w:val="986"/>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986"/>
        <w:jc w:val="left"/>
        <w:spacing w:line="360" w:lineRule="auto"/>
        <w:shd w:val="clear" w:color="auto" w:fill="ffffff"/>
        <w:widowControl/>
        <w:rPr>
          <w:rFonts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rPr>
      </w:r>
      <w:r/>
    </w:p>
    <w:p>
      <w:pPr>
        <w:pStyle w:val="986"/>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日期：     年    月    日</w:t>
      </w:r>
      <w:r>
        <w:rPr>
          <w:rFonts w:hint="eastAsia" w:ascii="Arial" w:hAnsi="Arial"/>
          <w:szCs w:val="21"/>
          <w:highlight w:val="none"/>
        </w:rPr>
      </w:r>
      <w:r/>
    </w:p>
    <w:p>
      <w:pPr>
        <w:pStyle w:val="986"/>
        <w:rPr>
          <w:rFonts w:hint="eastAsia" w:ascii="Arial" w:hAnsi="Arial"/>
          <w:sz w:val="28"/>
          <w:szCs w:val="28"/>
          <w:highlight w:val="none"/>
        </w:rPr>
      </w:pPr>
      <w:r>
        <w:rPr>
          <w:b/>
          <w:highlight w:val="none"/>
        </w:rPr>
        <w:br w:type="page" w:clear="all"/>
      </w:r>
      <w:bookmarkStart w:id="65" w:name="_Toc14558"/>
      <w:r/>
      <w:bookmarkStart w:id="66" w:name="_Toc8667"/>
      <w:r>
        <w:rPr>
          <w:rFonts w:hint="eastAsia" w:ascii="Arial" w:hAnsi="Arial"/>
          <w:sz w:val="28"/>
          <w:szCs w:val="28"/>
          <w:highlight w:val="none"/>
        </w:rPr>
        <w:t xml:space="preserve">3、竞争性磋商申请及声明</w:t>
      </w:r>
      <w:bookmarkEnd w:id="65"/>
      <w:r/>
      <w:bookmarkEnd w:id="66"/>
      <w:r>
        <w:rPr>
          <w:rFonts w:hint="eastAsia" w:ascii="Arial" w:hAnsi="Arial"/>
          <w:sz w:val="28"/>
          <w:szCs w:val="28"/>
          <w:highlight w:val="none"/>
        </w:rPr>
      </w:r>
      <w:r/>
    </w:p>
    <w:p>
      <w:pPr>
        <w:pStyle w:val="986"/>
        <w:rPr>
          <w:rFonts w:ascii="Arial" w:hAnsi="Arial"/>
          <w:szCs w:val="21"/>
          <w:highlight w:val="none"/>
          <w:lang w:val="zh-CN"/>
        </w:rPr>
      </w:pPr>
      <w:r>
        <w:rPr>
          <w:rFonts w:ascii="Arial" w:hAnsi="Arial"/>
          <w:szCs w:val="21"/>
          <w:highlight w:val="none"/>
          <w:lang w:val="zh-CN"/>
        </w:rPr>
      </w:r>
      <w:r/>
    </w:p>
    <w:p>
      <w:pPr>
        <w:pStyle w:val="986"/>
        <w:jc w:val="center"/>
        <w:rPr>
          <w:rFonts w:ascii="Arial" w:hAnsi="Arial"/>
          <w:b/>
          <w:sz w:val="36"/>
          <w:szCs w:val="36"/>
          <w:highlight w:val="none"/>
        </w:rPr>
      </w:pPr>
      <w:r>
        <w:rPr>
          <w:rFonts w:ascii="Arial" w:hAnsi="Arial"/>
          <w:b/>
          <w:sz w:val="36"/>
          <w:szCs w:val="36"/>
          <w:highlight w:val="none"/>
        </w:rPr>
        <w:t xml:space="preserve">竞争性磋商申请及声明</w:t>
      </w:r>
      <w:r>
        <w:rPr>
          <w:rFonts w:ascii="Arial" w:hAnsi="Arial"/>
          <w:b/>
          <w:sz w:val="36"/>
          <w:szCs w:val="36"/>
          <w:highlight w:val="none"/>
        </w:rPr>
      </w:r>
      <w:r/>
    </w:p>
    <w:p>
      <w:pPr>
        <w:pStyle w:val="986"/>
        <w:jc w:val="center"/>
        <w:rPr>
          <w:rFonts w:ascii="Arial" w:hAnsi="Arial"/>
          <w:szCs w:val="21"/>
          <w:highlight w:val="none"/>
        </w:rPr>
      </w:pPr>
      <w:r>
        <w:rPr>
          <w:rFonts w:ascii="Arial" w:hAnsi="Arial"/>
          <w:szCs w:val="21"/>
          <w:highlight w:val="none"/>
        </w:rPr>
      </w:r>
      <w:r/>
    </w:p>
    <w:p>
      <w:pPr>
        <w:pStyle w:val="986"/>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rPr>
          <w:rFonts w:ascii="Arial" w:hAnsi="Arial"/>
          <w:szCs w:val="21"/>
          <w:highlight w:val="none"/>
          <w:lang w:val="zh-CN"/>
        </w:rPr>
      </w:r>
      <w:r/>
    </w:p>
    <w:p>
      <w:pPr>
        <w:pStyle w:val="986"/>
        <w:ind w:firstLine="42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rPr>
          <w:rFonts w:ascii="Arial" w:hAnsi="Arial"/>
          <w:szCs w:val="21"/>
          <w:highlight w:val="none"/>
          <w:lang w:val="zh-CN"/>
        </w:rPr>
      </w:r>
      <w:r/>
    </w:p>
    <w:p>
      <w:pPr>
        <w:pStyle w:val="986"/>
        <w:ind w:firstLine="420"/>
        <w:spacing w:line="440" w:lineRule="exact"/>
        <w:rPr>
          <w:rFonts w:ascii="Arial" w:hAnsi="Arial"/>
          <w:szCs w:val="21"/>
          <w:highlight w:val="none"/>
        </w:rPr>
      </w:pPr>
      <w:r>
        <w:rPr>
          <w:rFonts w:ascii="Arial" w:hAnsi="Arial"/>
          <w:szCs w:val="21"/>
          <w:highlight w:val="none"/>
        </w:rPr>
        <w:t xml:space="preserve">据此函，签字人兹宣布同意如下：</w:t>
      </w:r>
      <w:r>
        <w:rPr>
          <w:rFonts w:ascii="Arial" w:hAnsi="Arial"/>
          <w:szCs w:val="21"/>
          <w:highlight w:val="none"/>
        </w:rPr>
      </w:r>
      <w:r/>
    </w:p>
    <w:p>
      <w:pPr>
        <w:pStyle w:val="986"/>
        <w:ind w:firstLine="420"/>
        <w:spacing w:line="440" w:lineRule="exact"/>
        <w:rPr>
          <w:rFonts w:hint="eastAsia"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rPr>
          <w:rFonts w:hint="eastAsia" w:ascii="Arial" w:hAnsi="Arial"/>
          <w:szCs w:val="21"/>
          <w:highlight w:val="none"/>
        </w:rPr>
      </w:r>
      <w:r/>
    </w:p>
    <w:p>
      <w:pPr>
        <w:pStyle w:val="986"/>
        <w:ind w:firstLine="420"/>
        <w:spacing w:line="440" w:lineRule="exact"/>
        <w:rPr>
          <w:rFonts w:hint="eastAsia"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rPr>
          <w:rFonts w:hint="eastAsia" w:ascii="Arial" w:hAnsi="Arial"/>
          <w:szCs w:val="21"/>
          <w:highlight w:val="none"/>
        </w:rPr>
      </w:r>
      <w:r/>
    </w:p>
    <w:p>
      <w:pPr>
        <w:pStyle w:val="986"/>
        <w:ind w:firstLine="420"/>
        <w:spacing w:line="440" w:lineRule="exact"/>
        <w:rPr>
          <w:rFonts w:hint="eastAsia"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rPr>
          <w:rFonts w:hint="eastAsia" w:ascii="Arial" w:hAnsi="Arial"/>
          <w:szCs w:val="21"/>
          <w:highlight w:val="none"/>
        </w:rPr>
      </w:r>
      <w:r/>
    </w:p>
    <w:p>
      <w:pPr>
        <w:pStyle w:val="986"/>
        <w:ind w:firstLine="420"/>
        <w:spacing w:line="440" w:lineRule="exact"/>
        <w:rPr>
          <w:rFonts w:hint="eastAsia"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rPr>
          <w:rFonts w:hint="eastAsia" w:ascii="Arial" w:hAnsi="Arial"/>
          <w:szCs w:val="21"/>
          <w:highlight w:val="none"/>
        </w:rPr>
      </w:r>
      <w:r/>
    </w:p>
    <w:p>
      <w:pPr>
        <w:pStyle w:val="986"/>
        <w:ind w:firstLine="420"/>
        <w:spacing w:line="440" w:lineRule="exact"/>
        <w:shd w:val="clear" w:color="auto" w:fill="ffffff"/>
        <w:widowControl/>
        <w:rPr>
          <w:rFonts w:hint="eastAsia"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rPr>
          <w:rFonts w:hint="eastAsia" w:ascii="Arial" w:hAnsi="Arial"/>
          <w:szCs w:val="21"/>
          <w:highlight w:val="none"/>
        </w:rPr>
      </w:r>
      <w:r/>
    </w:p>
    <w:p>
      <w:pPr>
        <w:pStyle w:val="986"/>
        <w:ind w:firstLine="420"/>
        <w:spacing w:line="440" w:lineRule="exact"/>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7、我方正式通讯方式为：</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8、我方正式开户银行和账号为：</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rPr>
          <w:rFonts w:ascii="Arial" w:hAnsi="Arial"/>
          <w:szCs w:val="21"/>
          <w:highlight w:val="none"/>
        </w:rPr>
      </w:r>
      <w:r/>
    </w:p>
    <w:p>
      <w:pPr>
        <w:pStyle w:val="986"/>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rPr>
          <w:rFonts w:ascii="Arial" w:hAnsi="Arial"/>
          <w:szCs w:val="21"/>
          <w:highlight w:val="none"/>
        </w:rPr>
      </w:r>
      <w:r/>
    </w:p>
    <w:p>
      <w:pPr>
        <w:pStyle w:val="986"/>
        <w:rPr>
          <w:rFonts w:ascii="Arial" w:hAnsi="Arial"/>
          <w:szCs w:val="21"/>
          <w:highlight w:val="none"/>
          <w:lang w:val="zh-CN"/>
        </w:rPr>
        <w:outlineLvl w:val="2"/>
      </w:pPr>
      <w:r/>
      <w:bookmarkStart w:id="67" w:name="_Toc504056869"/>
      <w:r/>
      <w:bookmarkEnd w:id="67"/>
      <w:r/>
      <w:bookmarkStart w:id="68" w:name="_Toc504044381"/>
      <w:r/>
      <w:bookmarkEnd w:id="68"/>
      <w:r/>
      <w:bookmarkStart w:id="69" w:name="_Toc490133029"/>
      <w:r/>
      <w:bookmarkEnd w:id="69"/>
      <w:r/>
      <w:bookmarkStart w:id="70" w:name="_Toc534273801"/>
      <w:r/>
      <w:bookmarkEnd w:id="70"/>
      <w:r/>
      <w:bookmarkStart w:id="71" w:name="_Toc534273678"/>
      <w:r/>
      <w:bookmarkEnd w:id="71"/>
      <w:r/>
      <w:bookmarkStart w:id="72" w:name="_Toc504573084"/>
      <w:r/>
      <w:bookmarkEnd w:id="72"/>
      <w:r>
        <w:rPr>
          <w:rFonts w:ascii="Arial" w:hAnsi="Arial"/>
          <w:szCs w:val="21"/>
          <w:highlight w:val="none"/>
          <w:lang w:val="zh-CN"/>
        </w:rPr>
        <w:br w:type="page" w:clear="all"/>
      </w:r>
      <w:bookmarkStart w:id="73" w:name="_Toc13583"/>
      <w:r/>
      <w:bookmarkStart w:id="74" w:name="_Toc28044"/>
      <w:r>
        <w:rPr>
          <w:rFonts w:hint="eastAsia" w:ascii="Arial" w:hAnsi="Arial"/>
          <w:sz w:val="28"/>
          <w:szCs w:val="28"/>
          <w:highlight w:val="none"/>
        </w:rPr>
        <w:t xml:space="preserve">4、授权书</w:t>
      </w:r>
      <w:bookmarkEnd w:id="73"/>
      <w:r/>
      <w:bookmarkEnd w:id="74"/>
      <w:r>
        <w:rPr>
          <w:rFonts w:ascii="Arial" w:hAnsi="Arial"/>
          <w:szCs w:val="21"/>
          <w:highlight w:val="none"/>
          <w:lang w:val="zh-CN"/>
        </w:rPr>
      </w:r>
      <w:r/>
    </w:p>
    <w:p>
      <w:pPr>
        <w:pStyle w:val="986"/>
        <w:rPr>
          <w:rFonts w:ascii="Arial" w:hAnsi="Arial"/>
          <w:b/>
          <w:szCs w:val="21"/>
          <w:highlight w:val="none"/>
          <w:lang w:val="zh-CN"/>
        </w:rPr>
      </w:pPr>
      <w:r>
        <w:rPr>
          <w:rFonts w:ascii="Arial" w:hAnsi="Arial"/>
          <w:b/>
          <w:szCs w:val="21"/>
          <w:highlight w:val="none"/>
          <w:lang w:val="zh-CN"/>
        </w:rPr>
      </w:r>
      <w:r/>
    </w:p>
    <w:p>
      <w:pPr>
        <w:pStyle w:val="986"/>
        <w:jc w:val="center"/>
        <w:rPr>
          <w:rFonts w:ascii="Arial" w:hAnsi="Arial"/>
          <w:b/>
          <w:sz w:val="36"/>
          <w:szCs w:val="36"/>
          <w:highlight w:val="none"/>
        </w:rPr>
      </w:pPr>
      <w:r>
        <w:rPr>
          <w:rFonts w:hint="eastAsia" w:ascii="Arial" w:hAnsi="Arial"/>
          <w:b/>
          <w:sz w:val="36"/>
          <w:szCs w:val="36"/>
          <w:highlight w:val="none"/>
        </w:rPr>
        <w:t xml:space="preserve"> 法人授权书</w:t>
      </w:r>
      <w:r>
        <w:rPr>
          <w:rFonts w:ascii="Arial" w:hAnsi="Arial"/>
          <w:b/>
          <w:sz w:val="36"/>
          <w:szCs w:val="36"/>
          <w:highlight w:val="none"/>
        </w:rPr>
      </w:r>
      <w:r/>
    </w:p>
    <w:p>
      <w:pPr>
        <w:pStyle w:val="986"/>
        <w:spacing w:line="360" w:lineRule="auto"/>
        <w:rPr>
          <w:rFonts w:ascii="Arial" w:hAnsi="Arial"/>
          <w:szCs w:val="21"/>
          <w:highlight w:val="none"/>
          <w:lang w:val="zh-CN"/>
        </w:rPr>
      </w:pPr>
      <w:r>
        <w:rPr>
          <w:rFonts w:ascii="Arial" w:hAnsi="Arial"/>
          <w:szCs w:val="21"/>
          <w:highlight w:val="none"/>
          <w:lang w:val="zh-CN"/>
        </w:rPr>
      </w:r>
      <w:r/>
    </w:p>
    <w:p>
      <w:pPr>
        <w:pStyle w:val="986"/>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rPr>
          <w:rFonts w:ascii="Arial" w:hAnsi="Arial"/>
          <w:szCs w:val="21"/>
          <w:highlight w:val="none"/>
        </w:rPr>
      </w:r>
      <w:r/>
    </w:p>
    <w:p>
      <w:pPr>
        <w:pStyle w:val="986"/>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rPr>
          <w:rFonts w:hint="eastAsia" w:ascii="Arial" w:hAnsi="Arial"/>
          <w:szCs w:val="21"/>
          <w:highlight w:val="none"/>
          <w:lang w:val="zh-CN"/>
        </w:rPr>
      </w:r>
      <w:r/>
    </w:p>
    <w:p>
      <w:pPr>
        <w:pStyle w:val="986"/>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本授权书自______年____月____日起生效，特此声明。</w:t>
      </w:r>
      <w:r>
        <w:rPr>
          <w:rFonts w:hint="eastAsia" w:ascii="Arial" w:hAnsi="Arial"/>
          <w:szCs w:val="21"/>
          <w:highlight w:val="none"/>
          <w:lang w:val="zh-CN"/>
        </w:rPr>
      </w:r>
      <w:r/>
    </w:p>
    <w:p>
      <w:pPr>
        <w:pStyle w:val="986"/>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被授权人身份证号码：</w:t>
      </w:r>
      <w:r>
        <w:rPr>
          <w:rFonts w:hint="eastAsia" w:ascii="Arial" w:hAnsi="Arial"/>
          <w:szCs w:val="21"/>
          <w:highlight w:val="none"/>
          <w:lang w:val="zh-CN"/>
        </w:rPr>
      </w:r>
      <w:r/>
    </w:p>
    <w:p>
      <w:pPr>
        <w:pStyle w:val="986"/>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被授权人联系电话：（手机）</w:t>
      </w:r>
      <w:r>
        <w:rPr>
          <w:rFonts w:hint="eastAsia" w:ascii="Arial" w:hAnsi="Arial"/>
          <w:szCs w:val="21"/>
          <w:highlight w:val="none"/>
          <w:lang w:val="zh-CN"/>
        </w:rPr>
      </w:r>
      <w:r/>
    </w:p>
    <w:p>
      <w:pPr>
        <w:pStyle w:val="986"/>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单位名称：（加盖电子公章）</w:t>
      </w:r>
      <w:r>
        <w:rPr>
          <w:rFonts w:hint="eastAsia" w:ascii="Arial" w:hAnsi="Arial"/>
          <w:szCs w:val="21"/>
          <w:highlight w:val="none"/>
          <w:lang w:val="zh-CN"/>
        </w:rPr>
      </w:r>
      <w:r/>
    </w:p>
    <w:p>
      <w:pPr>
        <w:pStyle w:val="986"/>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单位地址：</w:t>
      </w:r>
      <w:r>
        <w:rPr>
          <w:rFonts w:hint="eastAsia" w:ascii="Arial" w:hAnsi="Arial"/>
          <w:szCs w:val="21"/>
          <w:highlight w:val="none"/>
          <w:lang w:val="zh-CN"/>
        </w:rPr>
      </w:r>
      <w:r/>
    </w:p>
    <w:p>
      <w:pPr>
        <w:pStyle w:val="986"/>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rPr>
          <w:rFonts w:ascii="Arial" w:hAnsi="Arial"/>
          <w:szCs w:val="21"/>
          <w:highlight w:val="none"/>
        </w:rPr>
      </w:r>
      <w:r/>
    </w:p>
    <w:p>
      <w:pPr>
        <w:pStyle w:val="986"/>
        <w:spacing w:line="360" w:lineRule="auto"/>
        <w:rPr>
          <w:rFonts w:ascii="Arial" w:hAnsi="Arial"/>
          <w:szCs w:val="21"/>
          <w:highlight w:val="none"/>
          <w:lang w:val="zh-CN"/>
        </w:rPr>
      </w:pPr>
      <w:r>
        <w:rPr>
          <w:rFonts w:ascii="Arial" w:hAnsi="Arial"/>
          <w:szCs w:val="21"/>
          <w:highlight w:val="none"/>
          <w:lang w:val="zh-CN"/>
        </w:rPr>
      </w:r>
      <w:r/>
    </w:p>
    <w:p>
      <w:pPr>
        <w:pStyle w:val="986"/>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rPr>
          <w:rFonts w:ascii="Arial" w:hAnsi="Arial"/>
          <w:b/>
          <w:szCs w:val="21"/>
          <w:highlight w:val="none"/>
        </w:rPr>
      </w:r>
      <w:r/>
    </w:p>
    <w:p>
      <w:pPr>
        <w:pStyle w:val="986"/>
        <w:ind w:firstLine="420"/>
        <w:jc w:val="left"/>
        <w:spacing w:line="360" w:lineRule="auto"/>
        <w:shd w:val="clear" w:color="auto" w:fill="ffffff"/>
        <w:widowControl/>
        <w:rPr>
          <w:rFonts w:ascii="Arial" w:hAnsi="Arial"/>
          <w:b/>
          <w:bCs/>
          <w:szCs w:val="21"/>
          <w:highlight w:val="none"/>
        </w:rPr>
      </w:pPr>
      <w:r/>
      <w:bookmarkStart w:id="75" w:name="_Toc504044382"/>
      <w:r/>
      <w:bookmarkEnd w:id="75"/>
      <w:r/>
      <w:bookmarkStart w:id="76" w:name="_Toc504056870"/>
      <w:r/>
      <w:bookmarkEnd w:id="76"/>
      <w:r/>
      <w:bookmarkStart w:id="77" w:name="_Toc504573085"/>
      <w:r/>
      <w:bookmarkEnd w:id="77"/>
      <w:r/>
      <w:bookmarkStart w:id="78" w:name="_Toc534273802"/>
      <w:r/>
      <w:bookmarkEnd w:id="78"/>
      <w:r/>
      <w:bookmarkStart w:id="79" w:name="_Toc490133030"/>
      <w:r/>
      <w:bookmarkEnd w:id="79"/>
      <w:r/>
      <w:bookmarkStart w:id="80" w:name="_Toc534273679"/>
      <w:r/>
      <w:bookmarkEnd w:id="80"/>
      <w:r>
        <w:rPr>
          <w:highlight w:val="none"/>
          <w:lang w:val="zh-CN"/>
        </w:rPr>
        <w:br w:type="page" w:clear="all"/>
      </w:r>
      <w:r>
        <w:rPr>
          <w:rFonts w:ascii="Arial" w:hAnsi="Arial"/>
          <w:b/>
          <w:bCs/>
          <w:szCs w:val="21"/>
          <w:highlight w:val="none"/>
        </w:rPr>
      </w:r>
      <w:r/>
    </w:p>
    <w:p>
      <w:pPr>
        <w:pStyle w:val="986"/>
        <w:rPr>
          <w:rFonts w:ascii="Arial" w:hAnsi="Arial"/>
          <w:szCs w:val="21"/>
          <w:highlight w:val="none"/>
        </w:rPr>
        <w:outlineLvl w:val="2"/>
      </w:pPr>
      <w:r/>
      <w:bookmarkStart w:id="81" w:name="_Toc31005"/>
      <w:r/>
      <w:bookmarkStart w:id="82" w:name="_Toc158"/>
      <w:r/>
      <w:bookmarkStart w:id="83" w:name="_Toc504573087"/>
      <w:r/>
      <w:bookmarkStart w:id="84" w:name="_Toc534273805"/>
      <w:r/>
      <w:bookmarkStart w:id="85" w:name="_Toc534273804"/>
      <w:r/>
      <w:bookmarkStart w:id="86" w:name="_Toc504056872"/>
      <w:r/>
      <w:bookmarkStart w:id="87" w:name="_Toc534273681"/>
      <w:r/>
      <w:bookmarkStart w:id="88" w:name="_Toc534273682"/>
      <w:r/>
      <w:bookmarkStart w:id="89" w:name="_Toc490133032"/>
      <w:r/>
      <w:bookmarkStart w:id="90" w:name="_Toc504044384"/>
      <w:r>
        <w:rPr>
          <w:rFonts w:hint="eastAsia" w:ascii="Arial" w:hAnsi="Arial"/>
          <w:sz w:val="28"/>
          <w:szCs w:val="28"/>
          <w:highlight w:val="none"/>
        </w:rPr>
        <w:t xml:space="preserve">5、商务条款偏离表</w:t>
      </w:r>
      <w:bookmarkEnd w:id="81"/>
      <w:r/>
      <w:bookmarkEnd w:id="82"/>
      <w:r>
        <w:rPr>
          <w:rFonts w:ascii="Arial" w:hAnsi="Arial"/>
          <w:szCs w:val="21"/>
          <w:highlight w:val="none"/>
        </w:rPr>
      </w:r>
      <w:r/>
    </w:p>
    <w:p>
      <w:pPr>
        <w:pStyle w:val="986"/>
        <w:ind w:firstLine="420"/>
        <w:rPr>
          <w:rFonts w:ascii="Arial" w:hAnsi="Arial"/>
          <w:szCs w:val="21"/>
          <w:highlight w:val="none"/>
          <w:lang w:val="zh-CN"/>
        </w:rPr>
      </w:pPr>
      <w:r>
        <w:rPr>
          <w:rFonts w:ascii="Arial" w:hAnsi="Arial"/>
          <w:szCs w:val="21"/>
          <w:highlight w:val="none"/>
          <w:lang w:val="zh-CN"/>
        </w:rPr>
      </w:r>
      <w:r/>
    </w:p>
    <w:p>
      <w:pPr>
        <w:pStyle w:val="986"/>
        <w:jc w:val="center"/>
        <w:spacing w:before="312" w:line="360" w:lineRule="auto"/>
        <w:shd w:val="clear" w:color="auto" w:fill="ffffff"/>
        <w:widowControl/>
        <w:rPr>
          <w:rFonts w:hint="eastAsia" w:ascii="Arial" w:hAnsi="Arial"/>
          <w:b/>
          <w:sz w:val="36"/>
          <w:szCs w:val="36"/>
          <w:highlight w:val="none"/>
        </w:rPr>
      </w:pPr>
      <w:r>
        <w:rPr>
          <w:rFonts w:hint="eastAsia" w:ascii="Arial" w:hAnsi="Arial"/>
          <w:b/>
          <w:sz w:val="36"/>
          <w:szCs w:val="36"/>
          <w:highlight w:val="none"/>
        </w:rPr>
        <w:t xml:space="preserve">商务条款偏离表</w:t>
      </w:r>
      <w:r>
        <w:rPr>
          <w:rFonts w:hint="eastAsia" w:ascii="Arial" w:hAnsi="Arial"/>
          <w:b/>
          <w:sz w:val="36"/>
          <w:szCs w:val="36"/>
          <w:highlight w:val="none"/>
        </w:rPr>
      </w:r>
      <w:r/>
    </w:p>
    <w:p>
      <w:pPr>
        <w:pStyle w:val="986"/>
        <w:rPr>
          <w:rFonts w:ascii="Arial" w:hAnsi="Arial"/>
          <w:szCs w:val="21"/>
          <w:highlight w:val="none"/>
          <w:lang w:val="zh-CN"/>
        </w:rPr>
      </w:pPr>
      <w:r>
        <w:rPr>
          <w:rFonts w:ascii="Arial" w:hAnsi="Arial"/>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szCs w:val="21"/>
                <w:highlight w:val="none"/>
                <w:lang w:val="zh-CN"/>
              </w:rPr>
            </w:pPr>
            <w:r>
              <w:rPr>
                <w:rFonts w:ascii="Arial" w:hAnsi="Arial"/>
                <w:szCs w:val="21"/>
                <w:highlight w:val="none"/>
                <w:lang w:val="zh-CN"/>
              </w:rPr>
              <w:t xml:space="preserve">项目名称：</w:t>
            </w:r>
            <w:r>
              <w:rPr>
                <w:rFonts w:ascii="Arial" w:hAnsi="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szCs w:val="21"/>
                <w:highlight w:val="none"/>
                <w:lang w:val="zh-CN"/>
              </w:rPr>
            </w:pPr>
            <w:r>
              <w:rPr>
                <w:rFonts w:ascii="Arial" w:hAnsi="Arial"/>
                <w:szCs w:val="21"/>
                <w:highlight w:val="none"/>
                <w:lang w:val="zh-CN"/>
              </w:rPr>
              <w:t xml:space="preserve">项目编号： </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序号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采购文件条目号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磋商响应</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偏离说明</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bl>
    <w:p>
      <w:pPr>
        <w:pStyle w:val="986"/>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磋商响应文件商务部分内容响应存在正偏离或负偏离的，请在本表中逐条列出。未列出的，视为响应磋商文件要求。</w:t>
      </w:r>
      <w:r>
        <w:rPr>
          <w:rFonts w:ascii="Arial" w:hAnsi="Arial"/>
          <w:szCs w:val="21"/>
          <w:highlight w:val="none"/>
        </w:rPr>
        <w:t xml:space="preserve">如果行数不够，请自行增加。</w:t>
      </w:r>
      <w:r>
        <w:rPr>
          <w:rFonts w:ascii="Arial" w:hAnsi="Arial"/>
          <w:szCs w:val="21"/>
          <w:highlight w:val="none"/>
        </w:rPr>
      </w:r>
      <w:r/>
    </w:p>
    <w:p>
      <w:pPr>
        <w:pStyle w:val="986"/>
        <w:jc w:val="left"/>
        <w:spacing w:line="360" w:lineRule="auto"/>
        <w:shd w:val="clear" w:color="auto" w:fill="ffffff"/>
        <w:widowControl/>
        <w:rPr>
          <w:rFonts w:ascii="Arial" w:hAnsi="Arial"/>
          <w:szCs w:val="21"/>
          <w:highlight w:val="none"/>
        </w:rPr>
      </w:pPr>
      <w:r>
        <w:rPr>
          <w:rFonts w:ascii="Arial" w:hAnsi="Arial"/>
          <w:szCs w:val="21"/>
          <w:highlight w:val="none"/>
        </w:rPr>
      </w:r>
      <w:r/>
    </w:p>
    <w:p>
      <w:pPr>
        <w:pStyle w:val="986"/>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986"/>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986"/>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986"/>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986"/>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986"/>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986"/>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986"/>
        <w:rPr>
          <w:rFonts w:hint="eastAsia" w:ascii="Arial" w:hAnsi="Arial"/>
          <w:sz w:val="28"/>
          <w:szCs w:val="28"/>
          <w:highlight w:val="none"/>
        </w:rPr>
        <w:outlineLvl w:val="2"/>
      </w:pPr>
      <w:r/>
      <w:bookmarkEnd w:id="83"/>
      <w:r/>
      <w:bookmarkEnd w:id="84"/>
      <w:r/>
      <w:bookmarkEnd w:id="85"/>
      <w:r/>
      <w:bookmarkEnd w:id="86"/>
      <w:r/>
      <w:bookmarkEnd w:id="87"/>
      <w:r/>
      <w:bookmarkEnd w:id="88"/>
      <w:r/>
      <w:bookmarkEnd w:id="89"/>
      <w:r/>
      <w:bookmarkEnd w:id="90"/>
      <w:r>
        <w:rPr>
          <w:rFonts w:ascii="Arial" w:hAnsi="Arial"/>
          <w:b/>
          <w:bCs/>
          <w:szCs w:val="21"/>
          <w:highlight w:val="none"/>
        </w:rPr>
        <w:br w:type="page" w:clear="all"/>
      </w:r>
      <w:bookmarkStart w:id="91" w:name="_Toc18621"/>
      <w:r/>
      <w:bookmarkStart w:id="92" w:name="_Toc17513"/>
      <w:r>
        <w:rPr>
          <w:rFonts w:hint="eastAsia" w:ascii="Arial" w:hAnsi="Arial"/>
          <w:sz w:val="28"/>
          <w:szCs w:val="28"/>
          <w:highlight w:val="none"/>
        </w:rPr>
        <w:t xml:space="preserve">6、采购需求条款偏离表</w:t>
      </w:r>
      <w:bookmarkEnd w:id="91"/>
      <w:r/>
      <w:bookmarkEnd w:id="92"/>
      <w:r>
        <w:rPr>
          <w:rFonts w:hint="eastAsia" w:ascii="Arial" w:hAnsi="Arial"/>
          <w:sz w:val="28"/>
          <w:szCs w:val="28"/>
          <w:highlight w:val="none"/>
        </w:rPr>
      </w:r>
      <w:r/>
    </w:p>
    <w:p>
      <w:pPr>
        <w:pStyle w:val="986"/>
        <w:spacing w:before="312" w:after="312"/>
        <w:rPr>
          <w:rFonts w:ascii="Arial" w:hAnsi="Arial"/>
          <w:b/>
          <w:bCs/>
          <w:szCs w:val="21"/>
          <w:highlight w:val="none"/>
        </w:rPr>
      </w:pPr>
      <w:r>
        <w:rPr>
          <w:rFonts w:ascii="Arial" w:hAnsi="Arial"/>
          <w:b/>
          <w:bCs/>
          <w:szCs w:val="21"/>
          <w:highlight w:val="none"/>
        </w:rPr>
      </w:r>
      <w:r/>
    </w:p>
    <w:p>
      <w:pPr>
        <w:pStyle w:val="986"/>
        <w:rPr>
          <w:rFonts w:ascii="Arial" w:hAnsi="Arial"/>
          <w:b/>
          <w:szCs w:val="21"/>
          <w:highlight w:val="none"/>
        </w:rPr>
      </w:pPr>
      <w:r>
        <w:rPr>
          <w:rFonts w:ascii="Arial" w:hAnsi="Arial"/>
          <w:b/>
          <w:szCs w:val="21"/>
          <w:highlight w:val="none"/>
        </w:rPr>
      </w:r>
      <w:r/>
    </w:p>
    <w:p>
      <w:pPr>
        <w:pStyle w:val="986"/>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rPr>
          <w:rFonts w:ascii="Arial" w:hAnsi="Arial"/>
          <w:b/>
          <w:sz w:val="36"/>
          <w:szCs w:val="36"/>
          <w:highlight w:val="none"/>
        </w:rPr>
      </w:r>
      <w:r/>
    </w:p>
    <w:p>
      <w:pPr>
        <w:pStyle w:val="986"/>
        <w:rPr>
          <w:rFonts w:ascii="Arial" w:hAnsi="Arial"/>
          <w:szCs w:val="21"/>
          <w:highlight w:val="none"/>
          <w:lang w:val="zh-CN"/>
        </w:rPr>
      </w:pPr>
      <w:r>
        <w:rPr>
          <w:rFonts w:ascii="Arial" w:hAnsi="Arial"/>
          <w:szCs w:val="21"/>
          <w:highlight w:val="none"/>
          <w:lang w:val="zh-CN"/>
        </w:rPr>
        <w:t xml:space="preserve">                        </w:t>
      </w:r>
      <w:r>
        <w:rPr>
          <w:rFonts w:ascii="Arial" w:hAnsi="Arial"/>
          <w:szCs w:val="21"/>
          <w:highlight w:val="none"/>
          <w:lang w:val="zh-CN"/>
        </w:rPr>
      </w:r>
      <w:r/>
    </w:p>
    <w:p>
      <w:pPr>
        <w:pStyle w:val="986"/>
        <w:rPr>
          <w:rFonts w:ascii="Arial" w:hAnsi="Arial"/>
          <w:szCs w:val="21"/>
          <w:highlight w:val="none"/>
        </w:rPr>
      </w:pPr>
      <w:r>
        <w:rPr>
          <w:rFonts w:ascii="Arial" w:hAnsi="Arial"/>
          <w:szCs w:val="21"/>
          <w:highlight w:val="none"/>
        </w:rPr>
        <w:t xml:space="preserve">                                         </w:t>
      </w:r>
      <w:r>
        <w:rPr>
          <w:rFonts w:ascii="Arial" w:hAnsi="Arial"/>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szCs w:val="21"/>
                <w:highlight w:val="none"/>
                <w:lang w:val="zh-CN"/>
              </w:rPr>
            </w:pPr>
            <w:r>
              <w:rPr>
                <w:rFonts w:ascii="Arial" w:hAnsi="Arial"/>
                <w:szCs w:val="21"/>
                <w:highlight w:val="none"/>
                <w:lang w:val="zh-CN"/>
              </w:rPr>
              <w:t xml:space="preserve">项目名称：</w:t>
            </w:r>
            <w:r>
              <w:rPr>
                <w:rFonts w:ascii="Arial" w:hAnsi="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szCs w:val="21"/>
                <w:highlight w:val="none"/>
                <w:lang w:val="zh-CN"/>
              </w:rPr>
            </w:pPr>
            <w:r>
              <w:rPr>
                <w:rFonts w:ascii="Arial" w:hAnsi="Arial"/>
                <w:szCs w:val="21"/>
                <w:highlight w:val="none"/>
                <w:lang w:val="zh-CN"/>
              </w:rPr>
              <w:t xml:space="preserve">项目编号： </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序号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采购文件条目号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hint="eastAsia" w:ascii="Arial" w:hAnsi="Arial"/>
                <w:b/>
                <w:szCs w:val="21"/>
                <w:highlight w:val="none"/>
              </w:rPr>
            </w:pPr>
            <w:r>
              <w:rPr>
                <w:rFonts w:hint="eastAsia" w:ascii="Arial" w:hAnsi="Arial"/>
                <w:b/>
                <w:szCs w:val="21"/>
                <w:highlight w:val="none"/>
              </w:rPr>
              <w:t xml:space="preserve">条款内容</w:t>
            </w:r>
            <w:r>
              <w:rPr>
                <w:rFonts w:hint="eastAsia" w:ascii="Arial" w:hAnsi="Arial"/>
                <w:b/>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磋商响应</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t xml:space="preserve">偏离说明</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szCs w:val="21"/>
                <w:highlight w:val="none"/>
                <w:lang w:val="zh-CN"/>
              </w:rPr>
            </w:pPr>
            <w:r>
              <w:rPr>
                <w:rFonts w:ascii="Arial" w:hAnsi="Arial"/>
                <w:szCs w:val="21"/>
                <w:highlight w:val="none"/>
                <w:lang w:val="zh-CN"/>
              </w:rPr>
            </w:r>
            <w:r/>
          </w:p>
        </w:tc>
      </w:tr>
    </w:tbl>
    <w:p>
      <w:pPr>
        <w:pStyle w:val="986"/>
        <w:rPr>
          <w:rFonts w:ascii="Arial" w:hAnsi="Arial"/>
          <w:szCs w:val="21"/>
          <w:highlight w:val="none"/>
          <w:lang w:val="zh-CN"/>
        </w:rPr>
      </w:pPr>
      <w:r>
        <w:rPr>
          <w:rFonts w:ascii="Arial" w:hAnsi="Arial"/>
          <w:szCs w:val="21"/>
          <w:highlight w:val="none"/>
          <w:lang w:val="zh-CN"/>
        </w:rPr>
      </w:r>
      <w:r/>
    </w:p>
    <w:p>
      <w:pPr>
        <w:pStyle w:val="986"/>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磋商响应文件采购需求内容响应存在正偏离或负偏离的，请在本表中逐条列出。未列出的，视为响应磋商文件要求。</w:t>
      </w:r>
      <w:r>
        <w:rPr>
          <w:rFonts w:ascii="Arial" w:hAnsi="Arial"/>
          <w:szCs w:val="21"/>
          <w:highlight w:val="none"/>
        </w:rPr>
        <w:t xml:space="preserve">如果行数不够，请自行增加。</w:t>
      </w:r>
      <w:r>
        <w:rPr>
          <w:rFonts w:ascii="Arial" w:hAnsi="Arial"/>
          <w:szCs w:val="21"/>
          <w:highlight w:val="none"/>
        </w:rPr>
      </w:r>
      <w:r/>
    </w:p>
    <w:p>
      <w:pPr>
        <w:pStyle w:val="986"/>
        <w:rPr>
          <w:rFonts w:ascii="Arial" w:hAnsi="Arial"/>
          <w:szCs w:val="21"/>
          <w:highlight w:val="none"/>
          <w:lang w:val="zh-CN"/>
        </w:rPr>
      </w:pPr>
      <w:r>
        <w:rPr>
          <w:rFonts w:ascii="Arial" w:hAnsi="Arial"/>
          <w:szCs w:val="21"/>
          <w:highlight w:val="none"/>
          <w:lang w:val="zh-CN"/>
        </w:rPr>
      </w:r>
      <w:r/>
    </w:p>
    <w:p>
      <w:pPr>
        <w:pStyle w:val="1134"/>
        <w:rPr>
          <w:highlight w:val="none"/>
          <w:lang w:val="zh-CN"/>
        </w:rPr>
      </w:pPr>
      <w:r>
        <w:rPr>
          <w:highlight w:val="none"/>
          <w:lang w:val="zh-CN"/>
        </w:rPr>
      </w:r>
      <w:r/>
    </w:p>
    <w:p>
      <w:pPr>
        <w:pStyle w:val="986"/>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986"/>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986"/>
        <w:rPr>
          <w:rFonts w:ascii="Arial" w:hAnsi="Arial"/>
          <w:szCs w:val="21"/>
          <w:highlight w:val="none"/>
        </w:rPr>
      </w:pPr>
      <w:r>
        <w:rPr>
          <w:rFonts w:ascii="Arial" w:hAnsi="Arial"/>
          <w:szCs w:val="21"/>
          <w:highlight w:val="none"/>
        </w:rPr>
      </w:r>
      <w:r/>
    </w:p>
    <w:p>
      <w:pPr>
        <w:pStyle w:val="986"/>
        <w:rPr>
          <w:rFonts w:ascii="Arial" w:hAnsi="Arial"/>
          <w:sz w:val="28"/>
          <w:szCs w:val="28"/>
          <w:highlight w:val="none"/>
        </w:rPr>
      </w:pPr>
      <w:r/>
      <w:bookmarkStart w:id="93" w:name="_Toc490133033"/>
      <w:r/>
      <w:bookmarkEnd w:id="93"/>
      <w:r/>
      <w:bookmarkStart w:id="94" w:name="_Toc504044386"/>
      <w:r/>
      <w:bookmarkEnd w:id="94"/>
      <w:r/>
      <w:bookmarkStart w:id="95" w:name="_Toc504044385"/>
      <w:r/>
      <w:bookmarkEnd w:id="95"/>
      <w:r/>
      <w:bookmarkStart w:id="96" w:name="_Toc534273806"/>
      <w:r/>
      <w:bookmarkEnd w:id="96"/>
      <w:r/>
      <w:bookmarkStart w:id="97" w:name="_Toc504573089"/>
      <w:r/>
      <w:bookmarkEnd w:id="97"/>
      <w:r/>
      <w:bookmarkStart w:id="98" w:name="_Toc504056874"/>
      <w:r/>
      <w:bookmarkEnd w:id="98"/>
      <w:r/>
      <w:bookmarkStart w:id="99" w:name="_Toc534273683"/>
      <w:r/>
      <w:bookmarkEnd w:id="99"/>
      <w:r/>
      <w:bookmarkStart w:id="100" w:name="_Toc504056873"/>
      <w:r/>
      <w:bookmarkEnd w:id="100"/>
      <w:r/>
      <w:bookmarkStart w:id="101" w:name="_Toc490133034"/>
      <w:r/>
      <w:bookmarkEnd w:id="101"/>
      <w:r/>
      <w:bookmarkStart w:id="102" w:name="_Toc504573088"/>
      <w:r/>
      <w:bookmarkEnd w:id="102"/>
      <w:r>
        <w:rPr>
          <w:rFonts w:hint="eastAsia" w:ascii="Arial" w:hAnsi="Arial"/>
          <w:sz w:val="28"/>
          <w:szCs w:val="28"/>
          <w:highlight w:val="none"/>
        </w:rPr>
        <w:br w:type="page" w:clear="all"/>
      </w:r>
      <w:r>
        <w:rPr>
          <w:rFonts w:hint="eastAsia" w:ascii="Arial" w:hAnsi="Arial"/>
          <w:sz w:val="28"/>
          <w:szCs w:val="28"/>
          <w:highlight w:val="none"/>
        </w:rPr>
        <w:t xml:space="preserve">7、其他文件</w:t>
      </w:r>
      <w:r>
        <w:rPr>
          <w:rFonts w:ascii="Arial" w:hAnsi="Arial"/>
          <w:sz w:val="28"/>
          <w:szCs w:val="28"/>
          <w:highlight w:val="none"/>
        </w:rPr>
      </w:r>
      <w:r/>
    </w:p>
    <w:p>
      <w:pPr>
        <w:pStyle w:val="986"/>
        <w:rPr>
          <w:rFonts w:hint="eastAsia" w:ascii="Arial" w:hAnsi="Arial"/>
          <w:sz w:val="28"/>
          <w:szCs w:val="28"/>
          <w:highlight w:val="none"/>
        </w:rPr>
      </w:pPr>
      <w:r>
        <w:rPr>
          <w:rFonts w:hint="eastAsia" w:ascii="Arial" w:hAnsi="Arial"/>
          <w:sz w:val="28"/>
          <w:szCs w:val="28"/>
          <w:highlight w:val="none"/>
        </w:rPr>
        <w:br w:type="page" w:clear="all"/>
      </w:r>
      <w:bookmarkStart w:id="103" w:name="_Toc10937"/>
      <w:r/>
      <w:bookmarkStart w:id="104" w:name="_Toc28265"/>
      <w:r>
        <w:rPr>
          <w:rFonts w:hint="eastAsia" w:ascii="Arial" w:hAnsi="Arial"/>
          <w:sz w:val="28"/>
          <w:szCs w:val="28"/>
          <w:highlight w:val="none"/>
        </w:rPr>
        <w:t xml:space="preserve">二、资格条件</w:t>
      </w:r>
      <w:bookmarkEnd w:id="103"/>
      <w:r/>
      <w:bookmarkEnd w:id="104"/>
      <w:r>
        <w:rPr>
          <w:rFonts w:hint="eastAsia" w:ascii="Arial" w:hAnsi="Arial"/>
          <w:sz w:val="28"/>
          <w:szCs w:val="28"/>
          <w:highlight w:val="none"/>
        </w:rPr>
      </w:r>
      <w:r/>
    </w:p>
    <w:p>
      <w:pPr>
        <w:pStyle w:val="986"/>
        <w:ind w:firstLine="420"/>
        <w:spacing w:line="360" w:lineRule="auto"/>
        <w:rPr>
          <w:rFonts w:ascii="宋体" w:hAnsi="宋体" w:cs="宋体"/>
          <w:bCs/>
          <w:szCs w:val="21"/>
          <w:highlight w:val="none"/>
        </w:rPr>
        <w:outlineLvl w:val="2"/>
      </w:pPr>
      <w:r/>
      <w:bookmarkStart w:id="105" w:name="_Toc10398"/>
      <w:r/>
      <w:bookmarkStart w:id="106" w:name="_Toc18426"/>
      <w:r>
        <w:rPr>
          <w:rFonts w:hint="eastAsia" w:ascii="宋体" w:hAnsi="宋体" w:cs="宋体"/>
          <w:bCs/>
          <w:szCs w:val="21"/>
          <w:highlight w:val="none"/>
        </w:rPr>
        <w:t xml:space="preserve">（1）具有独立承担民事责任的能力（提供法人或者其他组织的营业执照；供应商为自然人的，提供其身份证）；</w:t>
      </w:r>
      <w:bookmarkEnd w:id="105"/>
      <w:r/>
      <w:bookmarkEnd w:id="106"/>
      <w:r>
        <w:rPr>
          <w:rFonts w:hint="eastAsia" w:ascii="宋体" w:hAnsi="宋体" w:cs="宋体"/>
          <w:bCs/>
          <w:szCs w:val="21"/>
          <w:highlight w:val="none"/>
        </w:rPr>
        <w:t xml:space="preserve"> </w:t>
      </w:r>
      <w:r>
        <w:rPr>
          <w:rFonts w:ascii="宋体" w:hAnsi="宋体" w:cs="宋体"/>
          <w:bCs/>
          <w:szCs w:val="21"/>
          <w:highlight w:val="none"/>
        </w:rPr>
      </w:r>
      <w:r/>
    </w:p>
    <w:p>
      <w:pPr>
        <w:pStyle w:val="986"/>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86"/>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986"/>
        <w:ind w:firstLine="420"/>
        <w:spacing w:line="360" w:lineRule="auto"/>
        <w:rPr>
          <w:rFonts w:ascii="宋体" w:hAnsi="宋体" w:cs="宋体"/>
          <w:bCs/>
          <w:szCs w:val="21"/>
          <w:highlight w:val="none"/>
        </w:rPr>
        <w:outlineLvl w:val="2"/>
      </w:pPr>
      <w:r/>
      <w:bookmarkStart w:id="107" w:name="_Toc19837"/>
      <w:r/>
      <w:bookmarkStart w:id="108" w:name="_Toc16415"/>
      <w:r>
        <w:rPr>
          <w:rFonts w:hint="eastAsia" w:ascii="宋体" w:hAnsi="宋体" w:cs="宋体"/>
          <w:bCs/>
          <w:szCs w:val="21"/>
          <w:highlight w:val="none"/>
        </w:rPr>
        <w:t xml:space="preserve">（2）具有良好的商业信誉和健全的财务会计制度（提供2024年或2025年度的财务报表，或投标截止时间前六个月内银行出具的资信证明）；</w:t>
      </w:r>
      <w:bookmarkEnd w:id="107"/>
      <w:r/>
      <w:bookmarkEnd w:id="108"/>
      <w:r>
        <w:rPr>
          <w:rFonts w:ascii="宋体" w:hAnsi="宋体" w:cs="宋体"/>
          <w:bCs/>
          <w:szCs w:val="21"/>
          <w:highlight w:val="none"/>
        </w:rPr>
      </w:r>
      <w:r/>
    </w:p>
    <w:p>
      <w:pPr>
        <w:pStyle w:val="986"/>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86"/>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986"/>
        <w:ind w:firstLine="420"/>
        <w:spacing w:line="360" w:lineRule="auto"/>
        <w:rPr>
          <w:rFonts w:ascii="宋体" w:hAnsi="宋体" w:cs="宋体"/>
          <w:bCs/>
          <w:szCs w:val="21"/>
          <w:highlight w:val="none"/>
        </w:rPr>
        <w:outlineLvl w:val="2"/>
      </w:pPr>
      <w:r/>
      <w:bookmarkStart w:id="109" w:name="_Toc6907"/>
      <w:r/>
      <w:bookmarkStart w:id="110" w:name="_Toc28805"/>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109"/>
      <w:r/>
      <w:bookmarkEnd w:id="110"/>
      <w:r>
        <w:rPr>
          <w:rFonts w:ascii="宋体" w:hAnsi="宋体" w:cs="宋体"/>
          <w:bCs/>
          <w:szCs w:val="21"/>
          <w:highlight w:val="none"/>
        </w:rPr>
      </w:r>
      <w:r/>
    </w:p>
    <w:p>
      <w:pPr>
        <w:pStyle w:val="986"/>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86"/>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986"/>
        <w:ind w:firstLine="420"/>
        <w:spacing w:line="360" w:lineRule="auto"/>
        <w:rPr>
          <w:rFonts w:ascii="宋体" w:hAnsi="宋体" w:cs="宋体"/>
          <w:bCs/>
          <w:szCs w:val="21"/>
          <w:highlight w:val="none"/>
        </w:rPr>
        <w:outlineLvl w:val="2"/>
      </w:pPr>
      <w:r/>
      <w:bookmarkStart w:id="111" w:name="_Toc26491"/>
      <w:r/>
      <w:bookmarkStart w:id="112" w:name="_Toc28199"/>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111"/>
      <w:r/>
      <w:bookmarkEnd w:id="112"/>
      <w:r>
        <w:rPr>
          <w:rFonts w:ascii="宋体" w:hAnsi="宋体" w:cs="宋体"/>
          <w:bCs/>
          <w:szCs w:val="21"/>
          <w:highlight w:val="none"/>
        </w:rPr>
      </w:r>
      <w:r/>
    </w:p>
    <w:p>
      <w:pPr>
        <w:pStyle w:val="986"/>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86"/>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986"/>
        <w:ind w:firstLine="420"/>
        <w:spacing w:line="360" w:lineRule="auto"/>
        <w:rPr>
          <w:rFonts w:ascii="宋体" w:hAnsi="宋体" w:cs="宋体"/>
          <w:bCs/>
          <w:szCs w:val="21"/>
          <w:highlight w:val="none"/>
        </w:rPr>
        <w:outlineLvl w:val="2"/>
      </w:pPr>
      <w:r/>
      <w:bookmarkStart w:id="113" w:name="_Toc31935"/>
      <w:r/>
      <w:bookmarkStart w:id="114" w:name="_Toc26414"/>
      <w:r>
        <w:rPr>
          <w:rFonts w:hint="eastAsia" w:ascii="宋体" w:hAnsi="宋体" w:cs="宋体"/>
          <w:bCs/>
          <w:szCs w:val="21"/>
          <w:highlight w:val="none"/>
        </w:rPr>
        <w:t xml:space="preserve">（5）参加政府采购活动前三年内，在经营活动中没有重大违法记录（提供承诺书）；</w:t>
      </w:r>
      <w:bookmarkEnd w:id="113"/>
      <w:r/>
      <w:bookmarkEnd w:id="114"/>
      <w:r>
        <w:rPr>
          <w:rFonts w:ascii="宋体" w:hAnsi="宋体" w:cs="宋体"/>
          <w:bCs/>
          <w:szCs w:val="21"/>
          <w:highlight w:val="none"/>
        </w:rPr>
      </w:r>
      <w:r/>
    </w:p>
    <w:p>
      <w:pPr>
        <w:pStyle w:val="986"/>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rPr>
          <w:rFonts w:ascii="Arial" w:hAnsi="Arial" w:eastAsia="黑体"/>
          <w:sz w:val="28"/>
          <w:szCs w:val="36"/>
          <w:highlight w:val="none"/>
        </w:rPr>
      </w:r>
      <w:r/>
    </w:p>
    <w:p>
      <w:pPr>
        <w:pStyle w:val="986"/>
        <w:spacing w:line="360" w:lineRule="auto"/>
        <w:rPr>
          <w:rFonts w:ascii="Arial" w:hAnsi="Arial" w:eastAsia="黑体"/>
          <w:szCs w:val="21"/>
          <w:highlight w:val="none"/>
        </w:rPr>
      </w:pPr>
      <w:r>
        <w:rPr>
          <w:rFonts w:ascii="Arial" w:hAnsi="Arial" w:eastAsia="黑体"/>
          <w:szCs w:val="21"/>
          <w:highlight w:val="none"/>
        </w:rPr>
      </w:r>
      <w:r/>
    </w:p>
    <w:p>
      <w:pPr>
        <w:pStyle w:val="986"/>
        <w:spacing w:line="360" w:lineRule="auto"/>
        <w:rPr>
          <w:rFonts w:ascii="Arial" w:hAnsi="Arial"/>
          <w:szCs w:val="21"/>
          <w:highlight w:val="none"/>
        </w:rPr>
      </w:pPr>
      <w:r>
        <w:rPr>
          <w:rFonts w:ascii="Arial" w:hAnsi="Arial"/>
          <w:szCs w:val="21"/>
          <w:highlight w:val="none"/>
        </w:rPr>
        <w:t xml:space="preserve">江苏省设备成套股份有限公司：</w:t>
      </w:r>
      <w:r>
        <w:rPr>
          <w:rFonts w:ascii="Arial" w:hAnsi="Arial"/>
          <w:szCs w:val="21"/>
          <w:highlight w:val="none"/>
        </w:rPr>
      </w:r>
      <w:r/>
    </w:p>
    <w:p>
      <w:pPr>
        <w:pStyle w:val="986"/>
        <w:spacing w:line="360" w:lineRule="auto"/>
        <w:rPr>
          <w:rFonts w:ascii="Arial" w:hAnsi="Arial"/>
          <w:highlight w:val="none"/>
        </w:rPr>
      </w:pPr>
      <w:r>
        <w:rPr>
          <w:rFonts w:ascii="Arial" w:hAnsi="Arial"/>
          <w:highlight w:val="none"/>
        </w:rPr>
      </w:r>
      <w:r/>
    </w:p>
    <w:p>
      <w:pPr>
        <w:pStyle w:val="986"/>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rPr>
          <w:rFonts w:ascii="Arial" w:hAnsi="Arial"/>
          <w:szCs w:val="21"/>
          <w:highlight w:val="none"/>
        </w:rPr>
      </w:r>
      <w:r/>
    </w:p>
    <w:p>
      <w:pPr>
        <w:pStyle w:val="986"/>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rPr>
        <w:t xml:space="preserve">重大税收违法失信主体名单</w:t>
      </w:r>
      <w:r>
        <w:rPr>
          <w:rFonts w:ascii="Arial" w:hAnsi="Arial"/>
          <w:b/>
          <w:szCs w:val="21"/>
          <w:highlight w:val="none"/>
        </w:rPr>
        <w:t xml:space="preserve">、政府采购严重违法失信行为记录名单的供应商。</w:t>
      </w:r>
      <w:r>
        <w:rPr>
          <w:rFonts w:ascii="Arial" w:hAnsi="Arial"/>
          <w:b/>
          <w:szCs w:val="21"/>
          <w:highlight w:val="none"/>
        </w:rPr>
      </w:r>
      <w:r/>
    </w:p>
    <w:p>
      <w:pPr>
        <w:pStyle w:val="986"/>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highlight w:val="none"/>
        </w:rPr>
      </w:r>
      <w:r/>
    </w:p>
    <w:p>
      <w:pPr>
        <w:pStyle w:val="986"/>
        <w:ind w:firstLine="315"/>
        <w:spacing w:line="360" w:lineRule="auto"/>
        <w:rPr>
          <w:rFonts w:ascii="Arial" w:hAnsi="Arial"/>
          <w:highlight w:val="none"/>
        </w:rPr>
      </w:pPr>
      <w:r>
        <w:rPr>
          <w:rFonts w:ascii="Arial" w:hAnsi="Arial"/>
          <w:highlight w:val="none"/>
        </w:rPr>
      </w:r>
      <w:r/>
    </w:p>
    <w:p>
      <w:pPr>
        <w:pStyle w:val="986"/>
        <w:spacing w:line="360" w:lineRule="auto"/>
        <w:rPr>
          <w:rFonts w:ascii="Arial" w:hAnsi="Arial"/>
          <w:highlight w:val="none"/>
        </w:rPr>
      </w:pPr>
      <w:r>
        <w:rPr>
          <w:rFonts w:ascii="Arial" w:hAnsi="Arial"/>
          <w:highlight w:val="none"/>
        </w:rPr>
      </w:r>
      <w:r/>
    </w:p>
    <w:p>
      <w:pPr>
        <w:pStyle w:val="986"/>
        <w:spacing w:line="360" w:lineRule="auto"/>
        <w:rPr>
          <w:rFonts w:ascii="Arial" w:hAnsi="Arial"/>
          <w:highlight w:val="none"/>
        </w:rPr>
      </w:pPr>
      <w:r>
        <w:rPr>
          <w:rFonts w:ascii="Arial" w:hAnsi="Arial"/>
          <w:highlight w:val="none"/>
        </w:rPr>
      </w:r>
      <w:r/>
    </w:p>
    <w:p>
      <w:pPr>
        <w:pStyle w:val="986"/>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rPr>
          <w:rFonts w:ascii="Arial" w:hAnsi="Arial"/>
          <w:highlight w:val="none"/>
        </w:rPr>
      </w:r>
      <w:r/>
    </w:p>
    <w:p>
      <w:pPr>
        <w:pStyle w:val="986"/>
        <w:ind w:firstLine="5040"/>
        <w:spacing w:line="360" w:lineRule="auto"/>
        <w:rPr>
          <w:rFonts w:ascii="Arial" w:hAnsi="Arial"/>
          <w:highlight w:val="none"/>
        </w:rPr>
      </w:pPr>
      <w:r>
        <w:rPr>
          <w:rFonts w:ascii="Arial" w:hAnsi="Arial"/>
          <w:highlight w:val="none"/>
        </w:rPr>
        <w:t xml:space="preserve">日期：    年   月</w:t>
      </w:r>
      <w:r>
        <w:rPr>
          <w:rFonts w:ascii="Arial" w:hAnsi="Arial"/>
          <w:highlight w:val="none"/>
        </w:rPr>
      </w:r>
      <w:r/>
    </w:p>
    <w:p>
      <w:pPr>
        <w:pStyle w:val="986"/>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86"/>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986"/>
        <w:ind w:firstLine="420"/>
        <w:spacing w:line="360" w:lineRule="auto"/>
        <w:rPr>
          <w:rFonts w:ascii="Arial" w:hAnsi="Arial"/>
          <w:bCs/>
          <w:szCs w:val="21"/>
          <w:highlight w:val="none"/>
        </w:rPr>
        <w:outlineLvl w:val="2"/>
      </w:pPr>
      <w:r/>
      <w:bookmarkStart w:id="115" w:name="_Toc18286"/>
      <w:r/>
      <w:bookmarkStart w:id="116" w:name="_Toc812"/>
      <w:r>
        <w:rPr>
          <w:rFonts w:hint="eastAsia" w:ascii="宋体" w:hAnsi="宋体" w:cs="宋体"/>
          <w:bCs/>
          <w:szCs w:val="21"/>
          <w:highlight w:val="none"/>
        </w:rPr>
        <w:t xml:space="preserve">（6）法律、行政法规规定的其他条件：无</w:t>
      </w:r>
      <w:bookmarkEnd w:id="115"/>
      <w:r/>
      <w:bookmarkEnd w:id="116"/>
      <w:r>
        <w:rPr>
          <w:rFonts w:ascii="Arial" w:hAnsi="Arial"/>
          <w:bCs/>
          <w:szCs w:val="21"/>
          <w:highlight w:val="none"/>
        </w:rPr>
      </w:r>
      <w:r/>
    </w:p>
    <w:p>
      <w:pPr>
        <w:pStyle w:val="986"/>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r>
      <w:r/>
    </w:p>
    <w:p>
      <w:pPr>
        <w:pStyle w:val="986"/>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r>
      <w:r/>
    </w:p>
    <w:p>
      <w:pPr>
        <w:pStyle w:val="986"/>
        <w:ind w:firstLine="420"/>
        <w:spacing w:line="360" w:lineRule="auto"/>
        <w:rPr>
          <w:rFonts w:hint="eastAsia" w:ascii="Arial" w:hAnsi="Arial"/>
          <w:b/>
          <w:bCs/>
          <w:spacing w:val="8"/>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lang w:eastAsia="zh-CN"/>
        </w:rPr>
        <w:t xml:space="preserve">）</w:t>
      </w:r>
      <w:r>
        <w:rPr>
          <w:rFonts w:hint="eastAsia" w:ascii="Arial" w:hAnsi="Arial"/>
          <w:spacing w:val="8"/>
          <w:szCs w:val="21"/>
          <w:highlight w:val="none"/>
        </w:rPr>
        <w:t xml:space="preserve">提供《南京市政府采购供应商信用承诺书》</w:t>
      </w:r>
      <w:r>
        <w:rPr>
          <w:rFonts w:hint="eastAsia" w:ascii="Arial" w:hAnsi="Arial"/>
          <w:spacing w:val="8"/>
          <w:szCs w:val="21"/>
          <w:highlight w:val="none"/>
          <w:lang w:val="en-US" w:eastAsia="zh-CN"/>
        </w:rPr>
        <w:t xml:space="preserve">可替代以上材料</w:t>
      </w:r>
      <w:r>
        <w:rPr>
          <w:rFonts w:hint="eastAsia" w:ascii="Arial" w:hAnsi="Arial"/>
          <w:spacing w:val="8"/>
          <w:szCs w:val="21"/>
          <w:highlight w:val="none"/>
        </w:rPr>
        <w:t xml:space="preserve">，</w:t>
      </w:r>
      <w:r>
        <w:rPr>
          <w:rFonts w:hint="eastAsia" w:ascii="Arial" w:hAnsi="Arial"/>
          <w:b/>
          <w:bCs/>
          <w:spacing w:val="8"/>
          <w:szCs w:val="21"/>
          <w:highlight w:val="none"/>
        </w:rPr>
        <w:t xml:space="preserve">法定代表人签字并加盖单位公章。</w:t>
      </w:r>
      <w:r>
        <w:rPr>
          <w:rFonts w:hint="eastAsia" w:ascii="Arial" w:hAnsi="Arial"/>
          <w:b/>
          <w:bCs/>
          <w:spacing w:val="8"/>
          <w:szCs w:val="21"/>
          <w:highlight w:val="none"/>
        </w:rPr>
      </w:r>
      <w:r/>
    </w:p>
    <w:p>
      <w:pPr>
        <w:pStyle w:val="986"/>
        <w:jc w:val="center"/>
        <w:keepLines w:val="0"/>
        <w:keepNext w:val="0"/>
        <w:pageBreakBefore w:val="0"/>
        <w:widowControl w:val="off"/>
        <w:rPr>
          <w:rFonts w:hint="eastAsia" w:ascii="宋体" w:hAnsi="宋体" w:eastAsia="宋体" w:cs="宋体"/>
          <w:sz w:val="44"/>
          <w:szCs w:val="52"/>
          <w:lang w:val="en-US" w:eastAsia="zh-CN"/>
        </w:rPr>
      </w:pPr>
      <w:r>
        <w:rPr>
          <w:rFonts w:hint="eastAsia" w:ascii="宋体" w:hAnsi="宋体" w:eastAsia="宋体" w:cs="宋体"/>
          <w:sz w:val="44"/>
          <w:szCs w:val="52"/>
          <w:lang w:val="en-US" w:eastAsia="zh-CN"/>
        </w:rPr>
        <w:t xml:space="preserve">南京市政府采购供应商信用承诺书</w:t>
      </w:r>
      <w:r>
        <w:rPr>
          <w:rFonts w:hint="eastAsia" w:ascii="宋体" w:hAnsi="宋体" w:eastAsia="宋体" w:cs="宋体"/>
          <w:sz w:val="44"/>
          <w:szCs w:val="52"/>
          <w:lang w:val="en-US" w:eastAsia="zh-CN"/>
        </w:rPr>
      </w:r>
      <w:r/>
    </w:p>
    <w:p>
      <w:pPr>
        <w:pStyle w:val="986"/>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t xml:space="preserve">XXXX年XX月XX日</w:t>
      </w:r>
      <w:r>
        <w:rPr>
          <w:rFonts w:hint="eastAsia" w:ascii="宋体" w:hAnsi="宋体" w:eastAsia="宋体" w:cs="宋体"/>
          <w:sz w:val="22"/>
          <w:szCs w:val="28"/>
          <w:lang w:val="en-US" w:eastAsia="zh-CN"/>
        </w:rPr>
      </w:r>
      <w:r/>
    </w:p>
    <w:p>
      <w:pPr>
        <w:pStyle w:val="986"/>
        <w:jc w:val="center"/>
        <w:rPr>
          <w:rFonts w:hint="eastAsia" w:ascii="宋体" w:hAnsi="宋体" w:eastAsia="宋体" w:cs="宋体"/>
          <w:lang w:val="en-US" w:eastAsia="zh-CN"/>
        </w:rPr>
      </w:pPr>
      <w:r>
        <w:rPr>
          <w:rFonts w:hint="eastAsia" w:ascii="宋体" w:hAnsi="宋体" w:eastAsia="宋体" w:cs="宋体"/>
          <w:lang w:val="en-US" w:eastAsia="zh-CN"/>
        </w:rPr>
      </w:r>
      <w:r/>
    </w:p>
    <w:tbl>
      <w:tblPr>
        <w:tblStyle w:val="1010"/>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86"/>
              <w:ind w:left="-420" w:firstLine="0"/>
              <w:jc w:val="center"/>
              <w:tabs>
                <w:tab w:val="left" w:pos="2520" w:leader="none"/>
              </w:tabs>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   单位名称</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统一社会信用代码</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86"/>
              <w:ind w:right="-678"/>
              <w:jc w:val="center"/>
              <w:tabs>
                <w:tab w:val="left" w:pos="2320" w:leader="none"/>
              </w:tabs>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法定代表人</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联系人</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86"/>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联系地址</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联系电话</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986"/>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pStyle w:val="986"/>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信用承诺</w:t>
            </w:r>
            <w:r>
              <w:rPr>
                <w:rFonts w:hint="eastAsia" w:ascii="宋体" w:hAnsi="宋体" w:eastAsia="宋体" w:cs="宋体"/>
                <w:sz w:val="24"/>
                <w:szCs w:val="32"/>
                <w:vertAlign w:val="baseline"/>
                <w:lang w:val="en-US" w:eastAsia="zh-CN"/>
              </w:rPr>
            </w:r>
            <w:r/>
          </w:p>
        </w:tc>
        <w:tc>
          <w:tcPr>
            <w:gridSpan w:val="3"/>
            <w:tcW w:w="7448" w:type="dxa"/>
            <w:vAlign w:val="center"/>
            <w:textDirection w:val="lrTb"/>
            <w:noWrap w:val="false"/>
          </w:tcPr>
          <w:p>
            <w:pPr>
              <w:pStyle w:val="986"/>
              <w:ind w:firstLine="420"/>
              <w:jc w:val="both"/>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vertAlign w:val="baseline"/>
                <w:lang w:val="en-US" w:eastAsia="zh-CN"/>
              </w:rPr>
            </w:r>
            <w:r/>
          </w:p>
          <w:p>
            <w:pPr>
              <w:pStyle w:val="986"/>
              <w:ind w:firstLine="420"/>
              <w:jc w:val="both"/>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p>
            <w:pPr>
              <w:pStyle w:val="986"/>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供应商名称（盖章）：</w:t>
            </w:r>
            <w:r>
              <w:rPr>
                <w:rFonts w:hint="eastAsia" w:ascii="宋体" w:hAnsi="宋体" w:eastAsia="宋体" w:cs="宋体"/>
                <w:vertAlign w:val="baseline"/>
                <w:lang w:val="en-US" w:eastAsia="zh-CN"/>
              </w:rPr>
            </w:r>
            <w:r/>
          </w:p>
          <w:p>
            <w:pPr>
              <w:pStyle w:val="986"/>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p>
            <w:pPr>
              <w:pStyle w:val="986"/>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法定代表人（签字）：</w:t>
            </w:r>
            <w:r>
              <w:rPr>
                <w:rFonts w:hint="eastAsia" w:ascii="宋体" w:hAnsi="宋体" w:eastAsia="宋体" w:cs="宋体"/>
                <w:vertAlign w:val="baseline"/>
                <w:lang w:val="en-US" w:eastAsia="zh-CN"/>
              </w:rPr>
            </w:r>
            <w:r/>
          </w:p>
          <w:p>
            <w:pPr>
              <w:pStyle w:val="986"/>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p>
            <w:pPr>
              <w:pStyle w:val="986"/>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XXXX年XX月XX日</w:t>
            </w:r>
            <w:r>
              <w:rPr>
                <w:rFonts w:hint="eastAsia" w:ascii="宋体" w:hAnsi="宋体" w:eastAsia="宋体" w:cs="宋体"/>
                <w:vertAlign w:val="baseline"/>
                <w:lang w:val="en-US" w:eastAsia="zh-CN"/>
              </w:rPr>
            </w:r>
            <w:r/>
          </w:p>
        </w:tc>
      </w:tr>
    </w:tbl>
    <w:p>
      <w:pPr>
        <w:pStyle w:val="986"/>
        <w:rPr>
          <w:rFonts w:hint="eastAsia" w:ascii="Arial" w:hAnsi="Arial"/>
          <w:sz w:val="28"/>
          <w:szCs w:val="28"/>
          <w:highlight w:val="none"/>
          <w:lang w:val="zh-CN"/>
        </w:rPr>
      </w:pPr>
      <w:r>
        <w:rPr>
          <w:rFonts w:hint="eastAsia" w:ascii="Arial" w:hAnsi="Arial"/>
          <w:sz w:val="28"/>
          <w:szCs w:val="28"/>
          <w:highlight w:val="none"/>
          <w:lang w:val="zh-CN"/>
        </w:rPr>
      </w:r>
      <w:r/>
    </w:p>
    <w:p>
      <w:pPr>
        <w:pStyle w:val="986"/>
        <w:ind w:firstLine="454"/>
        <w:spacing w:line="360" w:lineRule="auto"/>
        <w:rPr>
          <w:rFonts w:hint="eastAsia" w:ascii="Arial" w:hAnsi="Arial"/>
          <w:b/>
          <w:bCs/>
          <w:spacing w:val="8"/>
          <w:szCs w:val="21"/>
          <w:highlight w:val="none"/>
        </w:rPr>
      </w:pPr>
      <w:r>
        <w:rPr>
          <w:rFonts w:hint="eastAsia" w:ascii="Arial" w:hAnsi="Arial"/>
          <w:b/>
          <w:bCs/>
          <w:spacing w:val="8"/>
          <w:szCs w:val="21"/>
          <w:highlight w:val="none"/>
        </w:rPr>
      </w:r>
      <w:r/>
    </w:p>
    <w:p>
      <w:pPr>
        <w:pStyle w:val="986"/>
        <w:rPr>
          <w:rFonts w:hint="eastAsia" w:ascii="Arial" w:hAnsi="Arial"/>
          <w:b/>
          <w:spacing w:val="8"/>
          <w:szCs w:val="21"/>
          <w:highlight w:val="none"/>
        </w:rPr>
      </w:pPr>
      <w:r>
        <w:rPr>
          <w:rFonts w:hint="eastAsia" w:ascii="Arial" w:hAnsi="Arial"/>
          <w:b/>
          <w:spacing w:val="8"/>
          <w:szCs w:val="21"/>
          <w:highlight w:val="none"/>
        </w:rPr>
        <w:br w:type="page" w:clear="all"/>
      </w:r>
      <w:r>
        <w:rPr>
          <w:rFonts w:hint="eastAsia" w:ascii="Arial" w:hAnsi="Arial"/>
          <w:b/>
          <w:spacing w:val="8"/>
          <w:szCs w:val="21"/>
          <w:highlight w:val="none"/>
        </w:rPr>
      </w:r>
      <w:r/>
    </w:p>
    <w:p>
      <w:pPr>
        <w:pStyle w:val="986"/>
        <w:ind w:firstLine="452"/>
        <w:spacing w:line="360" w:lineRule="auto"/>
        <w:rPr>
          <w:rFonts w:ascii="Arial" w:hAnsi="Arial"/>
          <w:bCs/>
          <w:spacing w:val="8"/>
          <w:szCs w:val="21"/>
          <w:highlight w:val="none"/>
        </w:rPr>
        <w:outlineLvl w:val="2"/>
      </w:pPr>
      <w:r/>
      <w:bookmarkStart w:id="117" w:name="_Toc15836"/>
      <w:r/>
      <w:bookmarkStart w:id="118" w:name="_Toc7474"/>
      <w:r>
        <w:rPr>
          <w:rFonts w:hint="eastAsia" w:ascii="Arial" w:hAnsi="Arial"/>
          <w:bCs/>
          <w:spacing w:val="8"/>
          <w:szCs w:val="21"/>
          <w:highlight w:val="none"/>
        </w:rPr>
        <w:t xml:space="preserve">（</w:t>
      </w:r>
      <w:r>
        <w:rPr>
          <w:rFonts w:hint="eastAsia" w:ascii="Arial" w:hAnsi="Arial"/>
          <w:bCs/>
          <w:spacing w:val="8"/>
          <w:szCs w:val="21"/>
          <w:highlight w:val="none"/>
          <w:lang w:val="en-US" w:eastAsia="zh-CN"/>
        </w:rPr>
        <w:t xml:space="preserve">8</w:t>
      </w:r>
      <w:r>
        <w:rPr>
          <w:rFonts w:hint="eastAsia" w:ascii="Arial" w:hAnsi="Arial"/>
          <w:bCs/>
          <w:spacing w:val="8"/>
          <w:szCs w:val="21"/>
          <w:highlight w:val="none"/>
        </w:rPr>
        <w:t xml:space="preserve">）</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rPr>
        <w:t xml:space="preserve">本项目非专门面向中小企业（或监狱企业或残疾人福利性单位）采购。</w:t>
      </w:r>
      <w:bookmarkEnd w:id="117"/>
      <w:r/>
      <w:bookmarkEnd w:id="118"/>
      <w:r>
        <w:rPr>
          <w:rFonts w:ascii="Arial" w:hAnsi="Arial"/>
          <w:bCs/>
          <w:spacing w:val="8"/>
          <w:szCs w:val="21"/>
          <w:highlight w:val="none"/>
        </w:rPr>
      </w:r>
      <w:r/>
    </w:p>
    <w:p>
      <w:pPr>
        <w:pStyle w:val="986"/>
        <w:ind w:firstLine="420"/>
        <w:spacing w:line="360" w:lineRule="auto"/>
        <w:rPr>
          <w:rFonts w:hint="eastAsia" w:ascii="Arial" w:hAnsi="Arial"/>
          <w:bCs/>
          <w:szCs w:val="21"/>
          <w:highlight w:val="none"/>
        </w:rPr>
        <w:outlineLvl w:val="2"/>
      </w:pPr>
      <w:r>
        <w:rPr>
          <w:rFonts w:hint="eastAsia" w:ascii="Arial" w:hAnsi="Arial"/>
          <w:bCs/>
          <w:szCs w:val="21"/>
          <w:highlight w:val="none"/>
        </w:rPr>
      </w:r>
      <w:r/>
    </w:p>
    <w:p>
      <w:pPr>
        <w:pStyle w:val="986"/>
        <w:ind w:firstLine="424"/>
        <w:spacing w:line="360" w:lineRule="auto"/>
        <w:rPr>
          <w:rFonts w:hint="eastAsia" w:ascii="Arial" w:hAnsi="Arial"/>
          <w:bCs/>
          <w:szCs w:val="21"/>
          <w:highlight w:val="none"/>
        </w:rPr>
      </w:pPr>
      <w:r>
        <w:rPr>
          <w:rFonts w:hint="eastAsia" w:ascii="Arial" w:hAnsi="Arial"/>
          <w:bCs/>
          <w:szCs w:val="21"/>
          <w:highlight w:val="none"/>
        </w:rPr>
        <w:t xml:space="preserve">（</w:t>
      </w:r>
      <w:r>
        <w:rPr>
          <w:rFonts w:hint="eastAsia" w:ascii="Arial" w:hAnsi="Arial"/>
          <w:bCs/>
          <w:szCs w:val="21"/>
          <w:highlight w:val="none"/>
          <w:lang w:val="en-US" w:eastAsia="zh-CN"/>
        </w:rPr>
        <w:t xml:space="preserve">9</w:t>
      </w:r>
      <w:r>
        <w:rPr>
          <w:rFonts w:hint="eastAsia" w:ascii="Arial" w:hAnsi="Arial"/>
          <w:bCs/>
          <w:szCs w:val="21"/>
          <w:highlight w:val="none"/>
        </w:rPr>
        <w:t xml:space="preserve">）</w:t>
      </w:r>
      <w:r>
        <w:rPr>
          <w:rFonts w:ascii="Arial" w:hAnsi="Arial"/>
          <w:bCs/>
          <w:szCs w:val="21"/>
          <w:highlight w:val="none"/>
        </w:rPr>
        <w:t xml:space="preserve">采购人根据采购项目的特殊要求规定的特定条件，并提供符合特殊要求的证明材料或者情况说明：</w:t>
      </w:r>
      <w:r>
        <w:rPr>
          <w:rFonts w:hint="eastAsia" w:ascii="Arial" w:hAnsi="Arial"/>
          <w:bCs/>
          <w:spacing w:val="8"/>
          <w:szCs w:val="21"/>
          <w:highlight w:val="none"/>
        </w:rPr>
        <w:t xml:space="preserve">具有特种设备检验检测机构核准证（检验机构），检验项目须包含：锅炉、压力容器、压力管道安装监督检验和定期检验。</w:t>
      </w:r>
      <w:r>
        <w:rPr>
          <w:rFonts w:hint="eastAsia" w:ascii="微软雅黑" w:hAnsi="微软雅黑" w:cs="微软雅黑"/>
          <w:bCs/>
          <w:szCs w:val="21"/>
          <w:highlight w:val="none"/>
        </w:rPr>
        <w:t xml:space="preserve">（提供证书复印件,原件备查）</w:t>
      </w:r>
      <w:r>
        <w:rPr>
          <w:rFonts w:hint="eastAsia" w:ascii="Arial" w:hAnsi="Arial"/>
          <w:bCs/>
          <w:spacing w:val="8"/>
          <w:szCs w:val="21"/>
          <w:highlight w:val="none"/>
        </w:rPr>
        <w:t xml:space="preserve">。</w:t>
      </w:r>
      <w:r>
        <w:rPr>
          <w:rFonts w:hint="eastAsia" w:ascii="Arial" w:hAnsi="Arial"/>
          <w:bCs/>
          <w:szCs w:val="21"/>
          <w:highlight w:val="none"/>
        </w:rPr>
      </w:r>
      <w:r/>
    </w:p>
    <w:p>
      <w:pPr>
        <w:pStyle w:val="986"/>
        <w:ind w:firstLine="420"/>
        <w:spacing w:line="360" w:lineRule="auto"/>
        <w:rPr>
          <w:rFonts w:hint="eastAsia" w:ascii="Arial" w:hAnsi="Arial" w:cs="Arial"/>
          <w:bCs/>
          <w:szCs w:val="21"/>
          <w:highlight w:val="none"/>
        </w:rPr>
        <w:outlineLvl w:val="2"/>
      </w:pPr>
      <w:r>
        <w:rPr>
          <w:rFonts w:hint="eastAsia" w:ascii="Arial" w:hAnsi="Arial" w:cs="Arial"/>
          <w:bCs/>
          <w:szCs w:val="21"/>
          <w:highlight w:val="none"/>
        </w:rPr>
      </w:r>
      <w:r/>
    </w:p>
    <w:p>
      <w:pPr>
        <w:pStyle w:val="986"/>
        <w:ind w:firstLine="452"/>
        <w:spacing w:line="360" w:lineRule="auto"/>
        <w:rPr>
          <w:rFonts w:ascii="Arial" w:hAnsi="Arial"/>
          <w:bCs/>
          <w:spacing w:val="8"/>
          <w:szCs w:val="21"/>
          <w:highlight w:val="none"/>
        </w:rPr>
        <w:outlineLvl w:val="2"/>
      </w:pPr>
      <w:r>
        <w:rPr>
          <w:rFonts w:ascii="Arial" w:hAnsi="Arial"/>
          <w:bCs/>
          <w:spacing w:val="8"/>
          <w:szCs w:val="21"/>
          <w:highlight w:val="none"/>
        </w:rPr>
      </w:r>
      <w:r/>
    </w:p>
    <w:p>
      <w:pPr>
        <w:pStyle w:val="986"/>
        <w:ind w:firstLine="452"/>
        <w:spacing w:line="360" w:lineRule="auto"/>
        <w:rPr>
          <w:rFonts w:hint="eastAsia" w:ascii="Arial" w:hAnsi="Arial"/>
          <w:bCs/>
          <w:spacing w:val="8"/>
          <w:szCs w:val="21"/>
          <w:highlight w:val="none"/>
        </w:rPr>
        <w:outlineLvl w:val="2"/>
      </w:pPr>
      <w:r/>
      <w:bookmarkStart w:id="119" w:name="_Toc28381"/>
      <w:r/>
      <w:bookmarkStart w:id="120" w:name="_Toc510"/>
      <w:r>
        <w:rPr>
          <w:rFonts w:hint="eastAsia" w:ascii="Arial" w:hAnsi="Arial"/>
          <w:bCs/>
          <w:spacing w:val="8"/>
          <w:szCs w:val="21"/>
          <w:highlight w:val="none"/>
        </w:rPr>
        <w:t xml:space="preserve">（</w:t>
      </w:r>
      <w:r>
        <w:rPr>
          <w:rFonts w:hint="eastAsia" w:ascii="Arial" w:hAnsi="Arial"/>
          <w:bCs/>
          <w:spacing w:val="8"/>
          <w:szCs w:val="21"/>
          <w:highlight w:val="none"/>
          <w:lang w:val="en-US" w:eastAsia="zh-CN"/>
        </w:rPr>
        <w:t xml:space="preserve">1</w:t>
      </w:r>
      <w:r>
        <w:rPr>
          <w:rFonts w:hint="eastAsia" w:ascii="Arial" w:hAnsi="Arial"/>
          <w:bCs/>
          <w:spacing w:val="8"/>
          <w:szCs w:val="21"/>
          <w:highlight w:val="none"/>
          <w:lang w:val="en-US" w:eastAsia="zh-CN"/>
        </w:rPr>
        <w:t xml:space="preserve">0</w:t>
      </w:r>
      <w:r>
        <w:rPr>
          <w:rFonts w:hint="eastAsia" w:ascii="Arial" w:hAnsi="Arial"/>
          <w:bCs/>
          <w:spacing w:val="8"/>
          <w:szCs w:val="21"/>
          <w:highlight w:val="none"/>
        </w:rPr>
        <w:t xml:space="preserve">）本项目不接受联合体投标。</w:t>
      </w:r>
      <w:bookmarkEnd w:id="119"/>
      <w:r/>
      <w:bookmarkEnd w:id="120"/>
      <w:r>
        <w:rPr>
          <w:rFonts w:hint="eastAsia" w:ascii="Arial" w:hAnsi="Arial"/>
          <w:bCs/>
          <w:spacing w:val="8"/>
          <w:szCs w:val="21"/>
          <w:highlight w:val="none"/>
        </w:rPr>
      </w:r>
      <w:r/>
    </w:p>
    <w:p>
      <w:pPr>
        <w:pStyle w:val="986"/>
        <w:rPr>
          <w:rFonts w:hint="eastAsia" w:ascii="Arial" w:hAnsi="Arial"/>
          <w:spacing w:val="8"/>
          <w:szCs w:val="21"/>
          <w:highlight w:val="none"/>
        </w:rPr>
      </w:pPr>
      <w:r/>
      <w:bookmarkStart w:id="121" w:name="_Toc11818"/>
      <w:r/>
      <w:bookmarkStart w:id="122" w:name="_Toc24564"/>
      <w:r>
        <w:rPr>
          <w:rFonts w:hint="eastAsia" w:ascii="Arial" w:hAnsi="Arial"/>
          <w:spacing w:val="8"/>
          <w:szCs w:val="21"/>
          <w:highlight w:val="none"/>
        </w:rPr>
      </w:r>
      <w:r/>
    </w:p>
    <w:p>
      <w:pPr>
        <w:pStyle w:val="986"/>
        <w:ind w:firstLine="452"/>
        <w:rPr>
          <w:rFonts w:hint="eastAsia" w:ascii="Arial" w:hAnsi="Arial"/>
          <w:spacing w:val="8"/>
          <w:szCs w:val="21"/>
          <w:highlight w:val="none"/>
        </w:rPr>
      </w:pPr>
      <w:r>
        <w:rPr>
          <w:rFonts w:hint="eastAsia" w:ascii="Arial" w:hAnsi="Arial"/>
          <w:spacing w:val="8"/>
          <w:szCs w:val="21"/>
          <w:highlight w:val="none"/>
        </w:rPr>
        <w:t xml:space="preserve">（11） 拒绝下述供应商参加本次采购活动：</w:t>
      </w:r>
      <w:bookmarkEnd w:id="121"/>
      <w:r/>
      <w:bookmarkEnd w:id="122"/>
      <w:r>
        <w:rPr>
          <w:rFonts w:hint="eastAsia" w:ascii="Arial" w:hAnsi="Arial"/>
          <w:spacing w:val="8"/>
          <w:szCs w:val="21"/>
          <w:highlight w:val="none"/>
        </w:rPr>
      </w:r>
      <w:r/>
    </w:p>
    <w:p>
      <w:pPr>
        <w:pStyle w:val="986"/>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rPr>
          <w:rFonts w:hint="eastAsia" w:ascii="Arial" w:hAnsi="Arial"/>
          <w:spacing w:val="8"/>
          <w:szCs w:val="21"/>
          <w:highlight w:val="none"/>
        </w:rPr>
      </w:r>
      <w:r/>
    </w:p>
    <w:p>
      <w:pPr>
        <w:pStyle w:val="986"/>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rPr>
          <w:rFonts w:hint="eastAsia" w:ascii="Arial" w:hAnsi="Arial"/>
          <w:spacing w:val="8"/>
          <w:szCs w:val="21"/>
          <w:highlight w:val="none"/>
        </w:rPr>
      </w:r>
      <w:r/>
    </w:p>
    <w:p>
      <w:pPr>
        <w:pStyle w:val="986"/>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bCs/>
          <w:szCs w:val="21"/>
          <w:highlight w:val="none"/>
        </w:rPr>
        <w:t xml:space="preserve">。</w:t>
      </w:r>
      <w:r>
        <w:rPr>
          <w:rFonts w:ascii="Arial" w:hAnsi="Arial"/>
          <w:bCs/>
          <w:szCs w:val="21"/>
          <w:highlight w:val="none"/>
        </w:rPr>
      </w:r>
      <w:r/>
    </w:p>
    <w:p>
      <w:pPr>
        <w:pStyle w:val="986"/>
        <w:rPr>
          <w:rFonts w:hint="eastAsia" w:ascii="Arial" w:hAnsi="Arial"/>
          <w:sz w:val="28"/>
          <w:szCs w:val="28"/>
          <w:highlight w:val="none"/>
        </w:rPr>
      </w:pPr>
      <w:r>
        <w:rPr>
          <w:rFonts w:hint="eastAsia" w:ascii="Arial" w:hAnsi="Arial"/>
          <w:sz w:val="28"/>
          <w:szCs w:val="28"/>
          <w:highlight w:val="none"/>
        </w:rPr>
      </w:r>
      <w:r/>
    </w:p>
    <w:p>
      <w:pPr>
        <w:pStyle w:val="986"/>
        <w:rPr>
          <w:rFonts w:hint="eastAsia" w:ascii="Arial" w:hAnsi="Arial"/>
          <w:sz w:val="28"/>
          <w:szCs w:val="28"/>
          <w:highlight w:val="none"/>
        </w:rPr>
      </w:pPr>
      <w:r>
        <w:rPr>
          <w:rFonts w:hint="eastAsia" w:ascii="Arial" w:hAnsi="Arial"/>
          <w:sz w:val="28"/>
          <w:szCs w:val="28"/>
          <w:highlight w:val="none"/>
        </w:rPr>
        <w:br w:type="page" w:clear="all"/>
      </w:r>
      <w:r>
        <w:rPr>
          <w:rFonts w:hint="eastAsia" w:ascii="Arial" w:hAnsi="Arial"/>
          <w:sz w:val="28"/>
          <w:szCs w:val="28"/>
          <w:highlight w:val="none"/>
        </w:rPr>
      </w:r>
      <w:r/>
    </w:p>
    <w:p>
      <w:pPr>
        <w:pStyle w:val="986"/>
        <w:rPr>
          <w:rFonts w:hint="eastAsia" w:ascii="Arial" w:hAnsi="Arial"/>
          <w:sz w:val="28"/>
          <w:szCs w:val="28"/>
          <w:highlight w:val="none"/>
        </w:rPr>
        <w:outlineLvl w:val="1"/>
      </w:pPr>
      <w:r/>
      <w:bookmarkStart w:id="123" w:name="_Toc21325"/>
      <w:r/>
      <w:bookmarkStart w:id="124" w:name="_Toc23726"/>
      <w:r>
        <w:rPr>
          <w:rFonts w:hint="eastAsia" w:ascii="Arial" w:hAnsi="Arial"/>
          <w:sz w:val="28"/>
          <w:szCs w:val="28"/>
          <w:highlight w:val="none"/>
        </w:rPr>
        <w:t xml:space="preserve">三、符合条件</w:t>
      </w:r>
      <w:bookmarkEnd w:id="123"/>
      <w:r/>
      <w:bookmarkEnd w:id="124"/>
      <w:r>
        <w:rPr>
          <w:rFonts w:hint="eastAsia" w:ascii="Arial" w:hAnsi="Arial"/>
          <w:sz w:val="28"/>
          <w:szCs w:val="28"/>
          <w:highlight w:val="none"/>
        </w:rPr>
      </w:r>
      <w:r/>
    </w:p>
    <w:p>
      <w:pPr>
        <w:pStyle w:val="986"/>
        <w:rPr>
          <w:rFonts w:hint="eastAsia" w:ascii="Arial" w:hAnsi="Arial"/>
          <w:sz w:val="28"/>
          <w:szCs w:val="28"/>
          <w:highlight w:val="none"/>
        </w:rPr>
      </w:pPr>
      <w:r>
        <w:rPr>
          <w:rFonts w:hint="eastAsia" w:ascii="Arial" w:hAnsi="Arial"/>
          <w:sz w:val="28"/>
          <w:szCs w:val="28"/>
          <w:highlight w:val="none"/>
        </w:rPr>
      </w:r>
      <w:r/>
    </w:p>
    <w:p>
      <w:pPr>
        <w:pStyle w:val="986"/>
        <w:rPr>
          <w:rFonts w:hint="eastAsia" w:ascii="Arial" w:hAnsi="Arial"/>
          <w:sz w:val="28"/>
          <w:szCs w:val="28"/>
          <w:highlight w:val="none"/>
        </w:rPr>
      </w:pPr>
      <w:r>
        <w:rPr>
          <w:rFonts w:hint="eastAsia" w:ascii="Arial" w:hAnsi="Arial"/>
          <w:sz w:val="28"/>
          <w:szCs w:val="28"/>
          <w:highlight w:val="none"/>
        </w:rPr>
        <w:t xml:space="preserve">（注：满足采购文件要求，详见竞争性磋商须知。）</w:t>
      </w:r>
      <w:r>
        <w:rPr>
          <w:rFonts w:hint="eastAsia" w:ascii="Arial" w:hAnsi="Arial"/>
          <w:sz w:val="28"/>
          <w:szCs w:val="28"/>
          <w:highlight w:val="none"/>
        </w:rPr>
      </w:r>
      <w:r/>
    </w:p>
    <w:p>
      <w:pPr>
        <w:pStyle w:val="986"/>
        <w:rPr>
          <w:rFonts w:ascii="Arial" w:hAnsi="Arial"/>
          <w:sz w:val="28"/>
          <w:szCs w:val="28"/>
          <w:highlight w:val="none"/>
        </w:rPr>
      </w:pPr>
      <w:r>
        <w:rPr>
          <w:rFonts w:ascii="Arial" w:hAnsi="Arial"/>
          <w:sz w:val="28"/>
          <w:szCs w:val="28"/>
          <w:highlight w:val="none"/>
        </w:rPr>
        <w:br w:type="page" w:clear="all"/>
      </w:r>
      <w:r>
        <w:rPr>
          <w:rFonts w:hint="eastAsia" w:ascii="Arial" w:hAnsi="Arial"/>
          <w:sz w:val="28"/>
          <w:szCs w:val="28"/>
          <w:highlight w:val="none"/>
        </w:rPr>
        <w:t xml:space="preserve">四、</w:t>
      </w:r>
      <w:r>
        <w:rPr>
          <w:rFonts w:ascii="Arial" w:hAnsi="Arial"/>
          <w:sz w:val="28"/>
          <w:szCs w:val="28"/>
          <w:highlight w:val="none"/>
        </w:rPr>
        <w:t xml:space="preserve">综合评审评分项</w:t>
      </w:r>
      <w:r>
        <w:rPr>
          <w:rFonts w:ascii="Arial" w:hAnsi="Arial"/>
          <w:sz w:val="28"/>
          <w:szCs w:val="28"/>
          <w:highlight w:val="none"/>
        </w:rPr>
      </w:r>
      <w:r/>
    </w:p>
    <w:p>
      <w:pPr>
        <w:pStyle w:val="986"/>
        <w:rPr>
          <w:rFonts w:ascii="Arial" w:hAnsi="Arial"/>
          <w:sz w:val="28"/>
          <w:szCs w:val="28"/>
          <w:highlight w:val="none"/>
        </w:rPr>
      </w:pPr>
      <w:r>
        <w:rPr>
          <w:rFonts w:hint="eastAsia" w:ascii="Arial" w:hAnsi="Arial"/>
          <w:sz w:val="28"/>
          <w:szCs w:val="28"/>
          <w:highlight w:val="none"/>
        </w:rPr>
        <w:t xml:space="preserve">（注：详见第三章 评审标准。）</w:t>
      </w:r>
      <w:r>
        <w:rPr>
          <w:rFonts w:ascii="Arial" w:hAnsi="Arial"/>
          <w:sz w:val="28"/>
          <w:szCs w:val="28"/>
          <w:highlight w:val="none"/>
        </w:rPr>
      </w:r>
      <w:r/>
    </w:p>
    <w:p>
      <w:pPr>
        <w:pStyle w:val="986"/>
        <w:ind w:left="420"/>
        <w:rPr>
          <w:rFonts w:hint="eastAsia" w:ascii="Arial" w:hAnsi="Arial"/>
          <w:sz w:val="28"/>
          <w:szCs w:val="28"/>
          <w:highlight w:val="none"/>
          <w:lang w:val="zh-CN"/>
        </w:rPr>
      </w:pPr>
      <w:r>
        <w:rPr>
          <w:rFonts w:hint="eastAsia" w:ascii="Arial" w:hAnsi="Arial"/>
          <w:sz w:val="28"/>
          <w:szCs w:val="28"/>
          <w:highlight w:val="none"/>
          <w:lang w:val="zh-CN"/>
        </w:rPr>
      </w:r>
      <w:r/>
    </w:p>
    <w:p>
      <w:pPr>
        <w:pStyle w:val="986"/>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rPr>
          <w:rFonts w:ascii="Arial" w:hAnsi="Arial"/>
          <w:szCs w:val="21"/>
          <w:highlight w:val="none"/>
        </w:rPr>
      </w:r>
      <w:r/>
    </w:p>
    <w:p>
      <w:pPr>
        <w:pStyle w:val="986"/>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rPr>
          <w:rFonts w:ascii="Arial" w:hAnsi="Arial"/>
          <w:b/>
          <w:sz w:val="36"/>
          <w:szCs w:val="36"/>
          <w:highlight w:val="none"/>
        </w:rPr>
      </w:r>
      <w:r/>
    </w:p>
    <w:p>
      <w:pPr>
        <w:pStyle w:val="986"/>
        <w:jc w:val="center"/>
        <w:rPr>
          <w:rFonts w:ascii="Arial" w:hAnsi="Arial"/>
          <w:b/>
          <w:bCs/>
          <w:szCs w:val="21"/>
          <w:highlight w:val="none"/>
          <w:lang w:val="zh-CN"/>
        </w:rPr>
      </w:pPr>
      <w:r>
        <w:rPr>
          <w:rFonts w:ascii="Arial" w:hAnsi="Arial"/>
          <w:b/>
          <w:bCs/>
          <w:szCs w:val="21"/>
          <w:highlight w:val="none"/>
          <w:lang w:val="zh-CN"/>
        </w:rPr>
      </w:r>
      <w:r/>
    </w:p>
    <w:p>
      <w:pPr>
        <w:pStyle w:val="986"/>
        <w:rPr>
          <w:rFonts w:ascii="Arial" w:hAnsi="Arial"/>
          <w:szCs w:val="21"/>
          <w:highlight w:val="none"/>
          <w:lang w:val="zh-CN"/>
        </w:rPr>
      </w:pPr>
      <w:r>
        <w:rPr>
          <w:rFonts w:ascii="Arial" w:hAnsi="Arial"/>
          <w:szCs w:val="21"/>
          <w:highlight w:val="none"/>
          <w:lang w:val="zh-CN"/>
        </w:rPr>
        <w:t xml:space="preserve">项目名称：                                     项目编号：</w:t>
      </w:r>
      <w:r>
        <w:rPr>
          <w:rFonts w:ascii="Arial" w:hAnsi="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序号</w:t>
            </w:r>
            <w:r>
              <w:rPr>
                <w:rFonts w:ascii="Arial" w:hAnsi="Arial"/>
                <w:b/>
                <w:szCs w:val="21"/>
                <w:highlight w:val="none"/>
                <w:lang w:val="zh-CN"/>
              </w:rPr>
            </w:r>
            <w:r/>
          </w:p>
        </w:tc>
        <w:tc>
          <w:tcPr>
            <w:tcW w:w="896"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姓名</w:t>
            </w:r>
            <w:r>
              <w:rPr>
                <w:rFonts w:ascii="Arial" w:hAnsi="Arial"/>
                <w:b/>
                <w:szCs w:val="21"/>
                <w:highlight w:val="none"/>
                <w:lang w:val="zh-CN"/>
              </w:rPr>
            </w:r>
            <w:r/>
          </w:p>
        </w:tc>
        <w:tc>
          <w:tcPr>
            <w:tcW w:w="663"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性别</w:t>
            </w:r>
            <w:r>
              <w:rPr>
                <w:rFonts w:ascii="Arial" w:hAnsi="Arial"/>
                <w:b/>
                <w:szCs w:val="21"/>
                <w:highlight w:val="none"/>
                <w:lang w:val="zh-CN"/>
              </w:rPr>
            </w:r>
            <w:r/>
          </w:p>
        </w:tc>
        <w:tc>
          <w:tcPr>
            <w:tcW w:w="709"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年龄</w:t>
            </w:r>
            <w:r>
              <w:rPr>
                <w:rFonts w:ascii="Arial" w:hAnsi="Arial"/>
                <w:b/>
                <w:szCs w:val="21"/>
                <w:highlight w:val="none"/>
                <w:lang w:val="zh-CN"/>
              </w:rPr>
            </w:r>
            <w:r/>
          </w:p>
        </w:tc>
        <w:tc>
          <w:tcPr>
            <w:tcW w:w="1134"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学历及</w:t>
            </w:r>
            <w:r>
              <w:rPr>
                <w:rFonts w:ascii="Arial" w:hAnsi="Arial"/>
                <w:b/>
                <w:szCs w:val="21"/>
                <w:highlight w:val="none"/>
                <w:lang w:val="zh-CN"/>
              </w:rPr>
            </w:r>
            <w:r/>
          </w:p>
          <w:p>
            <w:pPr>
              <w:pStyle w:val="986"/>
              <w:jc w:val="center"/>
              <w:rPr>
                <w:rFonts w:ascii="Arial" w:hAnsi="Arial"/>
                <w:b/>
                <w:szCs w:val="21"/>
                <w:highlight w:val="none"/>
                <w:lang w:val="zh-CN"/>
              </w:rPr>
            </w:pPr>
            <w:r>
              <w:rPr>
                <w:rFonts w:ascii="Arial" w:hAnsi="Arial"/>
                <w:b/>
                <w:szCs w:val="21"/>
                <w:highlight w:val="none"/>
                <w:lang w:val="zh-CN"/>
              </w:rPr>
              <w:t xml:space="preserve">专业</w:t>
            </w:r>
            <w:r>
              <w:rPr>
                <w:rFonts w:ascii="Arial" w:hAnsi="Arial"/>
                <w:b/>
                <w:szCs w:val="21"/>
                <w:highlight w:val="none"/>
                <w:lang w:val="zh-CN"/>
              </w:rPr>
            </w:r>
            <w:r/>
          </w:p>
        </w:tc>
        <w:tc>
          <w:tcPr>
            <w:tcW w:w="1056"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执业</w:t>
            </w:r>
            <w:r>
              <w:rPr>
                <w:rFonts w:ascii="Arial" w:hAnsi="Arial"/>
                <w:b/>
                <w:szCs w:val="21"/>
                <w:highlight w:val="none"/>
                <w:lang w:val="zh-CN"/>
              </w:rPr>
            </w:r>
            <w:r/>
          </w:p>
          <w:p>
            <w:pPr>
              <w:pStyle w:val="986"/>
              <w:jc w:val="center"/>
              <w:rPr>
                <w:rFonts w:ascii="Arial" w:hAnsi="Arial"/>
                <w:b/>
                <w:szCs w:val="21"/>
                <w:highlight w:val="none"/>
                <w:lang w:val="zh-CN"/>
              </w:rPr>
            </w:pPr>
            <w:r>
              <w:rPr>
                <w:rFonts w:ascii="Arial" w:hAnsi="Arial"/>
                <w:b/>
                <w:szCs w:val="21"/>
                <w:highlight w:val="none"/>
                <w:lang w:val="zh-CN"/>
              </w:rPr>
              <w:t xml:space="preserve">资格及证书号</w:t>
            </w:r>
            <w:r>
              <w:rPr>
                <w:rFonts w:ascii="Arial" w:hAnsi="Arial"/>
                <w:b/>
                <w:szCs w:val="21"/>
                <w:highlight w:val="none"/>
                <w:lang w:val="zh-CN"/>
              </w:rPr>
            </w:r>
            <w:r/>
          </w:p>
        </w:tc>
        <w:tc>
          <w:tcPr>
            <w:tcW w:w="1020"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技术</w:t>
            </w:r>
            <w:r>
              <w:rPr>
                <w:rFonts w:ascii="Arial" w:hAnsi="Arial"/>
                <w:b/>
                <w:szCs w:val="21"/>
                <w:highlight w:val="none"/>
                <w:lang w:val="zh-CN"/>
              </w:rPr>
            </w:r>
            <w:r/>
          </w:p>
          <w:p>
            <w:pPr>
              <w:pStyle w:val="986"/>
              <w:jc w:val="center"/>
              <w:rPr>
                <w:rFonts w:ascii="Arial" w:hAnsi="Arial"/>
                <w:b/>
                <w:szCs w:val="21"/>
                <w:highlight w:val="none"/>
                <w:lang w:val="zh-CN"/>
              </w:rPr>
            </w:pPr>
            <w:r>
              <w:rPr>
                <w:rFonts w:ascii="Arial" w:hAnsi="Arial"/>
                <w:b/>
                <w:szCs w:val="21"/>
                <w:highlight w:val="none"/>
                <w:lang w:val="zh-CN"/>
              </w:rPr>
              <w:t xml:space="preserve">职称</w:t>
            </w:r>
            <w:r>
              <w:rPr>
                <w:rFonts w:ascii="Arial" w:hAnsi="Arial"/>
                <w:b/>
                <w:szCs w:val="21"/>
                <w:highlight w:val="none"/>
                <w:lang w:val="zh-CN"/>
              </w:rPr>
            </w:r>
            <w:r/>
          </w:p>
        </w:tc>
        <w:tc>
          <w:tcPr>
            <w:tcW w:w="1174"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相关工作年限及工作经历</w:t>
            </w:r>
            <w:r>
              <w:rPr>
                <w:rFonts w:ascii="Arial" w:hAnsi="Arial"/>
                <w:b/>
                <w:szCs w:val="21"/>
                <w:highlight w:val="none"/>
                <w:lang w:val="zh-CN"/>
              </w:rPr>
            </w:r>
            <w:r/>
          </w:p>
        </w:tc>
        <w:tc>
          <w:tcPr>
            <w:tcW w:w="1588"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拟担任本项目何种工作</w:t>
            </w:r>
            <w:r>
              <w:rPr>
                <w:rFonts w:ascii="Arial" w:hAnsi="Arial"/>
                <w:b/>
                <w:szCs w:val="21"/>
                <w:highlight w:val="none"/>
                <w:lang w:val="zh-CN"/>
              </w:rPr>
            </w:r>
            <w:r/>
          </w:p>
        </w:tc>
        <w:tc>
          <w:tcPr>
            <w:tcW w:w="851"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备注</w:t>
            </w:r>
            <w:r>
              <w:rPr>
                <w:rFonts w:ascii="Arial" w:hAnsi="Arial"/>
                <w:b/>
                <w:szCs w:val="21"/>
                <w:highlight w:val="none"/>
                <w:lang w:val="zh-CN"/>
              </w:rPr>
            </w:r>
            <w:r/>
          </w:p>
        </w:tc>
      </w:tr>
      <w:tr>
        <w:trPr/>
        <w:tc>
          <w:tcPr>
            <w:tcW w:w="5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bl>
    <w:p>
      <w:pPr>
        <w:pStyle w:val="986"/>
        <w:rPr>
          <w:rFonts w:ascii="Arial" w:hAnsi="Arial"/>
          <w:szCs w:val="21"/>
          <w:highlight w:val="none"/>
          <w:lang w:val="zh-CN"/>
        </w:rPr>
      </w:pPr>
      <w:r>
        <w:rPr>
          <w:rFonts w:ascii="Arial" w:hAnsi="Arial"/>
          <w:szCs w:val="21"/>
          <w:highlight w:val="none"/>
          <w:lang w:val="zh-CN"/>
        </w:rPr>
      </w:r>
      <w:r/>
    </w:p>
    <w:p>
      <w:pPr>
        <w:pStyle w:val="986"/>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986"/>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986"/>
        <w:rPr>
          <w:rFonts w:ascii="Arial" w:hAnsi="Arial"/>
          <w:szCs w:val="21"/>
          <w:highlight w:val="none"/>
          <w:lang w:val="zh-CN"/>
        </w:rPr>
      </w:pPr>
      <w:r>
        <w:rPr>
          <w:rFonts w:ascii="Arial" w:hAnsi="Arial"/>
          <w:szCs w:val="21"/>
          <w:highlight w:val="none"/>
          <w:lang w:val="zh-CN"/>
        </w:rPr>
      </w:r>
      <w:r/>
    </w:p>
    <w:p>
      <w:pPr>
        <w:pStyle w:val="986"/>
        <w:spacing w:before="312" w:after="312"/>
        <w:rPr>
          <w:rFonts w:ascii="Arial" w:hAnsi="Arial"/>
          <w:szCs w:val="21"/>
          <w:highlight w:val="none"/>
          <w:lang w:val="zh-CN"/>
        </w:rPr>
      </w:pPr>
      <w:r/>
      <w:bookmarkStart w:id="125" w:name="_Toc534273807"/>
      <w:r/>
      <w:bookmarkEnd w:id="125"/>
      <w:r/>
      <w:bookmarkStart w:id="126" w:name="_Toc504573090"/>
      <w:r/>
      <w:bookmarkEnd w:id="126"/>
      <w:r/>
      <w:bookmarkStart w:id="127" w:name="_Toc504056875"/>
      <w:r/>
      <w:bookmarkEnd w:id="127"/>
      <w:r/>
      <w:bookmarkStart w:id="128" w:name="_Toc534273684"/>
      <w:r/>
      <w:bookmarkEnd w:id="128"/>
      <w:r/>
      <w:bookmarkStart w:id="129" w:name="_Toc490133035"/>
      <w:r/>
      <w:bookmarkEnd w:id="129"/>
      <w:r/>
      <w:bookmarkStart w:id="130" w:name="_Toc504044387"/>
      <w:r/>
      <w:bookmarkEnd w:id="130"/>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rPr>
          <w:rFonts w:ascii="Arial" w:hAnsi="Arial"/>
          <w:szCs w:val="21"/>
          <w:highlight w:val="none"/>
          <w:lang w:val="zh-CN"/>
        </w:rPr>
      </w:r>
      <w:r/>
    </w:p>
    <w:p>
      <w:pPr>
        <w:pStyle w:val="986"/>
        <w:rPr>
          <w:rFonts w:ascii="Arial" w:hAnsi="Arial"/>
          <w:highlight w:val="none"/>
        </w:rPr>
      </w:pPr>
      <w:r>
        <w:rPr>
          <w:rFonts w:ascii="Arial" w:hAnsi="Arial"/>
          <w:highlight w:val="none"/>
        </w:rPr>
      </w:r>
      <w:r/>
    </w:p>
    <w:p>
      <w:pPr>
        <w:pStyle w:val="986"/>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rPr>
          <w:rFonts w:ascii="Arial" w:hAnsi="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序号</w:t>
            </w:r>
            <w:r>
              <w:rPr>
                <w:rFonts w:ascii="Arial" w:hAnsi="Arial"/>
                <w:b/>
                <w:szCs w:val="21"/>
                <w:highlight w:val="none"/>
                <w:lang w:val="zh-CN"/>
              </w:rPr>
            </w:r>
            <w:r/>
          </w:p>
        </w:tc>
        <w:tc>
          <w:tcPr>
            <w:tcW w:w="1710"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项目名称</w:t>
            </w:r>
            <w:r>
              <w:rPr>
                <w:rFonts w:ascii="Arial" w:hAnsi="Arial"/>
                <w:b/>
                <w:szCs w:val="21"/>
                <w:highlight w:val="none"/>
                <w:lang w:val="zh-CN"/>
              </w:rPr>
            </w:r>
            <w:r/>
          </w:p>
        </w:tc>
        <w:tc>
          <w:tcPr>
            <w:tcW w:w="1365"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业主单位</w:t>
            </w:r>
            <w:r>
              <w:rPr>
                <w:rFonts w:ascii="Arial" w:hAnsi="Arial"/>
                <w:b/>
                <w:szCs w:val="21"/>
                <w:highlight w:val="none"/>
                <w:lang w:val="zh-CN"/>
              </w:rPr>
            </w:r>
            <w:r/>
          </w:p>
        </w:tc>
        <w:tc>
          <w:tcPr>
            <w:tcW w:w="1455"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业主联系</w:t>
            </w:r>
            <w:r>
              <w:rPr>
                <w:rFonts w:ascii="Arial" w:hAnsi="Arial"/>
                <w:b/>
                <w:szCs w:val="21"/>
                <w:highlight w:val="none"/>
                <w:lang w:val="zh-CN"/>
              </w:rPr>
            </w:r>
            <w:r/>
          </w:p>
          <w:p>
            <w:pPr>
              <w:pStyle w:val="986"/>
              <w:jc w:val="center"/>
              <w:rPr>
                <w:rFonts w:ascii="Arial" w:hAnsi="Arial"/>
                <w:b/>
                <w:szCs w:val="21"/>
                <w:highlight w:val="none"/>
                <w:lang w:val="zh-CN"/>
              </w:rPr>
            </w:pPr>
            <w:r>
              <w:rPr>
                <w:rFonts w:ascii="Arial" w:hAnsi="Arial"/>
                <w:b/>
                <w:szCs w:val="21"/>
                <w:highlight w:val="none"/>
                <w:lang w:val="zh-CN"/>
              </w:rPr>
              <w:t xml:space="preserve">方式</w:t>
            </w:r>
            <w:r>
              <w:rPr>
                <w:rFonts w:ascii="Arial" w:hAnsi="Arial"/>
                <w:b/>
                <w:szCs w:val="21"/>
                <w:highlight w:val="none"/>
                <w:lang w:val="zh-CN"/>
              </w:rPr>
            </w:r>
            <w:r/>
          </w:p>
        </w:tc>
        <w:tc>
          <w:tcPr>
            <w:tcW w:w="1300"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工作主要</w:t>
            </w:r>
            <w:r>
              <w:rPr>
                <w:rFonts w:ascii="Arial" w:hAnsi="Arial"/>
                <w:b/>
                <w:szCs w:val="21"/>
                <w:highlight w:val="none"/>
                <w:lang w:val="zh-CN"/>
              </w:rPr>
            </w:r>
            <w:r/>
          </w:p>
          <w:p>
            <w:pPr>
              <w:pStyle w:val="986"/>
              <w:jc w:val="center"/>
              <w:rPr>
                <w:rFonts w:ascii="Arial" w:hAnsi="Arial"/>
                <w:b/>
                <w:szCs w:val="21"/>
                <w:highlight w:val="none"/>
                <w:lang w:val="zh-CN"/>
              </w:rPr>
            </w:pPr>
            <w:r>
              <w:rPr>
                <w:rFonts w:ascii="Arial" w:hAnsi="Arial"/>
                <w:b/>
                <w:szCs w:val="21"/>
                <w:highlight w:val="none"/>
                <w:lang w:val="zh-CN"/>
              </w:rPr>
              <w:t xml:space="preserve">内容</w:t>
            </w:r>
            <w:r>
              <w:rPr>
                <w:rFonts w:ascii="Arial" w:hAnsi="Arial"/>
                <w:b/>
                <w:szCs w:val="21"/>
                <w:highlight w:val="none"/>
                <w:lang w:val="zh-CN"/>
              </w:rPr>
            </w:r>
            <w:r/>
          </w:p>
        </w:tc>
        <w:tc>
          <w:tcPr>
            <w:tcW w:w="1026" w:type="dxa"/>
            <w:vAlign w:val="center"/>
            <w:textDirection w:val="lrTb"/>
            <w:noWrap w:val="false"/>
          </w:tcPr>
          <w:p>
            <w:pPr>
              <w:pStyle w:val="986"/>
              <w:jc w:val="center"/>
              <w:rPr>
                <w:rFonts w:ascii="Arial" w:hAnsi="Arial"/>
                <w:b/>
                <w:szCs w:val="21"/>
                <w:highlight w:val="none"/>
              </w:rPr>
            </w:pPr>
            <w:r>
              <w:rPr>
                <w:rFonts w:ascii="Arial" w:hAnsi="Arial"/>
                <w:b/>
                <w:szCs w:val="21"/>
                <w:highlight w:val="none"/>
              </w:rPr>
              <w:t xml:space="preserve">合同</w:t>
            </w:r>
            <w:r>
              <w:rPr>
                <w:rFonts w:ascii="Arial" w:hAnsi="Arial"/>
                <w:b/>
                <w:szCs w:val="21"/>
                <w:highlight w:val="none"/>
              </w:rPr>
            </w:r>
            <w:r/>
          </w:p>
          <w:p>
            <w:pPr>
              <w:pStyle w:val="986"/>
              <w:jc w:val="center"/>
              <w:rPr>
                <w:rFonts w:ascii="Arial" w:hAnsi="Arial"/>
                <w:b/>
                <w:szCs w:val="21"/>
                <w:highlight w:val="none"/>
              </w:rPr>
            </w:pPr>
            <w:r>
              <w:rPr>
                <w:rFonts w:ascii="Arial" w:hAnsi="Arial"/>
                <w:b/>
                <w:szCs w:val="21"/>
                <w:highlight w:val="none"/>
              </w:rPr>
              <w:t xml:space="preserve">金额</w:t>
            </w:r>
            <w:r>
              <w:rPr>
                <w:rFonts w:ascii="Arial" w:hAnsi="Arial"/>
                <w:b/>
                <w:szCs w:val="21"/>
                <w:highlight w:val="none"/>
              </w:rPr>
            </w:r>
            <w:r/>
          </w:p>
        </w:tc>
        <w:tc>
          <w:tcPr>
            <w:tcW w:w="1026" w:type="dxa"/>
            <w:vAlign w:val="center"/>
            <w:textDirection w:val="lrTb"/>
            <w:noWrap w:val="false"/>
          </w:tcPr>
          <w:p>
            <w:pPr>
              <w:pStyle w:val="986"/>
              <w:jc w:val="center"/>
              <w:rPr>
                <w:rFonts w:ascii="Arial" w:hAnsi="Arial"/>
                <w:b/>
                <w:szCs w:val="21"/>
                <w:highlight w:val="none"/>
                <w:lang w:val="zh-CN"/>
              </w:rPr>
            </w:pPr>
            <w:r>
              <w:rPr>
                <w:rFonts w:ascii="Arial" w:hAnsi="Arial"/>
                <w:b/>
                <w:szCs w:val="21"/>
                <w:highlight w:val="none"/>
                <w:lang w:val="zh-CN"/>
              </w:rPr>
              <w:t xml:space="preserve">备注</w:t>
            </w:r>
            <w:r>
              <w:rPr>
                <w:rFonts w:ascii="Arial" w:hAnsi="Arial"/>
                <w:b/>
                <w:szCs w:val="21"/>
                <w:highlight w:val="none"/>
                <w:lang w:val="zh-CN"/>
              </w:rPr>
            </w:r>
            <w:r/>
          </w:p>
        </w:tc>
      </w:tr>
      <w:tr>
        <w:trPr>
          <w:trHeight w:val="352"/>
        </w:trPr>
        <w:tc>
          <w:tcPr>
            <w:tcW w:w="77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rHeight w:val="352"/>
        </w:trPr>
        <w:tc>
          <w:tcPr>
            <w:tcW w:w="77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986"/>
              <w:rPr>
                <w:rFonts w:ascii="Arial" w:hAnsi="Arial"/>
                <w:szCs w:val="21"/>
                <w:highlight w:val="none"/>
                <w:lang w:val="zh-CN"/>
              </w:rPr>
            </w:pPr>
            <w:r>
              <w:rPr>
                <w:rFonts w:ascii="Arial" w:hAnsi="Arial"/>
                <w:szCs w:val="21"/>
                <w:highlight w:val="none"/>
                <w:lang w:val="zh-CN"/>
              </w:rPr>
            </w:r>
            <w:r/>
          </w:p>
        </w:tc>
      </w:tr>
    </w:tbl>
    <w:p>
      <w:pPr>
        <w:pStyle w:val="986"/>
        <w:rPr>
          <w:rFonts w:ascii="Arial" w:hAnsi="Arial"/>
          <w:szCs w:val="21"/>
          <w:highlight w:val="none"/>
          <w:lang w:val="zh-CN"/>
        </w:rPr>
      </w:pPr>
      <w:r>
        <w:rPr>
          <w:rFonts w:ascii="Arial" w:hAnsi="Arial"/>
          <w:szCs w:val="21"/>
          <w:highlight w:val="none"/>
          <w:lang w:val="zh-CN"/>
        </w:rPr>
      </w:r>
      <w:r/>
    </w:p>
    <w:p>
      <w:pPr>
        <w:pStyle w:val="986"/>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986"/>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986"/>
        <w:spacing w:line="360" w:lineRule="auto"/>
        <w:rPr>
          <w:rFonts w:ascii="Arial" w:hAnsi="Arial"/>
          <w:b/>
          <w:highlight w:val="none"/>
        </w:rPr>
      </w:pPr>
      <w:r>
        <w:rPr>
          <w:rFonts w:ascii="Arial" w:hAnsi="Arial"/>
          <w:b/>
          <w:highlight w:val="none"/>
        </w:rPr>
      </w:r>
      <w:r/>
    </w:p>
    <w:p>
      <w:pPr>
        <w:pStyle w:val="986"/>
        <w:spacing w:line="360" w:lineRule="auto"/>
        <w:rPr>
          <w:rFonts w:ascii="Arial" w:hAnsi="Arial"/>
          <w:b/>
          <w:highlight w:val="none"/>
        </w:rPr>
      </w:pPr>
      <w:r>
        <w:rPr>
          <w:rFonts w:ascii="Arial" w:hAnsi="Arial"/>
          <w:b/>
          <w:highlight w:val="none"/>
        </w:rPr>
      </w:r>
      <w:r/>
    </w:p>
    <w:p>
      <w:pPr>
        <w:pStyle w:val="986"/>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rPr>
          <w:rFonts w:ascii="Arial" w:hAnsi="Arial"/>
          <w:b/>
          <w:bCs/>
          <w:szCs w:val="21"/>
          <w:highlight w:val="none"/>
        </w:rPr>
      </w:r>
      <w:r/>
    </w:p>
    <w:p>
      <w:pPr>
        <w:pStyle w:val="986"/>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pStyle w:val="986"/>
        <w:spacing w:line="360" w:lineRule="auto"/>
        <w:rPr>
          <w:rFonts w:ascii="Arial" w:hAnsi="Arial"/>
          <w:b/>
          <w:highlight w:val="none"/>
        </w:rPr>
      </w:pPr>
      <w:r/>
      <w:bookmarkStart w:id="131" w:name="_Toc490133036"/>
      <w:r/>
      <w:bookmarkEnd w:id="131"/>
      <w:r/>
      <w:bookmarkStart w:id="132" w:name="_Toc504573091"/>
      <w:r/>
      <w:bookmarkEnd w:id="132"/>
      <w:r/>
      <w:bookmarkStart w:id="133" w:name="_Toc504056876"/>
      <w:r/>
      <w:bookmarkEnd w:id="133"/>
      <w:r/>
      <w:bookmarkStart w:id="134" w:name="_Toc534273685"/>
      <w:r/>
      <w:bookmarkEnd w:id="134"/>
      <w:r/>
      <w:bookmarkStart w:id="135" w:name="_Toc534273808"/>
      <w:r/>
      <w:bookmarkEnd w:id="135"/>
      <w:r/>
      <w:bookmarkStart w:id="136" w:name="_Toc504044388"/>
      <w:r/>
      <w:bookmarkEnd w:id="136"/>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rPr>
          <w:rFonts w:ascii="Arial" w:hAnsi="Arial"/>
          <w:b/>
          <w:highlight w:val="none"/>
        </w:rPr>
      </w:r>
      <w:r/>
    </w:p>
    <w:p>
      <w:pPr>
        <w:pStyle w:val="986"/>
        <w:rPr>
          <w:rStyle w:val="1047"/>
          <w:rFonts w:ascii="Arial" w:hAnsi="Arial"/>
          <w:sz w:val="21"/>
          <w:szCs w:val="21"/>
          <w:highlight w:val="none"/>
        </w:rPr>
        <w:outlineLvl w:val="1"/>
      </w:pPr>
      <w:r>
        <w:rPr>
          <w:rStyle w:val="1047"/>
          <w:rFonts w:ascii="Arial" w:hAnsi="Arial"/>
          <w:sz w:val="21"/>
          <w:szCs w:val="21"/>
          <w:highlight w:val="none"/>
        </w:rPr>
        <w:br w:type="page" w:clear="all"/>
      </w:r>
      <w:bookmarkStart w:id="137" w:name="_Toc6086"/>
      <w:r/>
      <w:bookmarkStart w:id="138" w:name="_Toc20843"/>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37"/>
      <w:r/>
      <w:bookmarkEnd w:id="138"/>
      <w:r>
        <w:rPr>
          <w:rStyle w:val="1047"/>
          <w:rFonts w:ascii="Arial" w:hAnsi="Arial"/>
          <w:sz w:val="21"/>
          <w:szCs w:val="21"/>
          <w:highlight w:val="none"/>
        </w:rPr>
      </w:r>
      <w:r/>
    </w:p>
    <w:p>
      <w:pPr>
        <w:pStyle w:val="986"/>
        <w:jc w:val="center"/>
        <w:spacing w:before="312" w:after="312" w:line="480" w:lineRule="auto"/>
        <w:rPr>
          <w:rFonts w:hint="eastAsia" w:ascii="宋体" w:hAnsi="宋体" w:cs="宋体"/>
          <w:b/>
          <w:bCs/>
          <w:sz w:val="28"/>
          <w:szCs w:val="28"/>
          <w:highlight w:val="none"/>
        </w:rPr>
      </w:pPr>
      <w:r/>
      <w:bookmarkStart w:id="139" w:name="OLE_LINK14"/>
      <w:r/>
      <w:bookmarkStart w:id="140" w:name="OLE_LINK13"/>
      <w:r>
        <w:rPr>
          <w:rFonts w:hint="eastAsia" w:ascii="宋体" w:hAnsi="宋体" w:cs="宋体"/>
          <w:b/>
          <w:bCs/>
          <w:sz w:val="28"/>
          <w:szCs w:val="28"/>
          <w:highlight w:val="none"/>
        </w:rPr>
        <w:t xml:space="preserve">中小企业声明函（工程、服务）</w:t>
      </w:r>
      <w:r>
        <w:rPr>
          <w:rFonts w:hint="eastAsia" w:ascii="宋体" w:hAnsi="宋体" w:cs="宋体"/>
          <w:b/>
          <w:bCs/>
          <w:sz w:val="28"/>
          <w:szCs w:val="28"/>
          <w:highlight w:val="none"/>
        </w:rPr>
      </w:r>
      <w:r/>
    </w:p>
    <w:p>
      <w:pPr>
        <w:pStyle w:val="986"/>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cs="宋体"/>
          <w:szCs w:val="21"/>
          <w:highlight w:val="none"/>
        </w:rPr>
      </w:r>
      <w:r/>
    </w:p>
    <w:p>
      <w:pPr>
        <w:pStyle w:val="986"/>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r>
      <w:r/>
    </w:p>
    <w:p>
      <w:pPr>
        <w:pStyle w:val="986"/>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rPr>
          <w:rFonts w:hint="eastAsia" w:ascii="宋体" w:hAnsi="宋体" w:cs="宋体"/>
          <w:highlight w:val="none"/>
        </w:rPr>
      </w:r>
      <w:r/>
    </w:p>
    <w:p>
      <w:pPr>
        <w:pStyle w:val="986"/>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hint="eastAsia" w:ascii="宋体" w:hAnsi="宋体" w:cs="宋体"/>
          <w:highlight w:val="none"/>
        </w:rPr>
      </w:r>
      <w:r/>
    </w:p>
    <w:p>
      <w:pPr>
        <w:pStyle w:val="986"/>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hint="eastAsia" w:ascii="宋体" w:hAnsi="宋体" w:cs="宋体"/>
          <w:highlight w:val="none"/>
        </w:rPr>
      </w:r>
      <w:r/>
    </w:p>
    <w:p>
      <w:pPr>
        <w:pStyle w:val="986"/>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986"/>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986"/>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986"/>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rPr>
          <w:rFonts w:hint="eastAsia" w:ascii="宋体" w:hAnsi="宋体" w:cs="宋体"/>
          <w:highlight w:val="none"/>
        </w:rPr>
      </w:r>
      <w:r/>
    </w:p>
    <w:p>
      <w:pPr>
        <w:pStyle w:val="986"/>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日期：</w:t>
      </w:r>
      <w:r>
        <w:rPr>
          <w:rFonts w:hint="eastAsia" w:ascii="宋体" w:hAnsi="宋体" w:cs="宋体"/>
          <w:highlight w:val="none"/>
        </w:rPr>
      </w:r>
      <w:r/>
    </w:p>
    <w:p>
      <w:pPr>
        <w:pStyle w:val="986"/>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pStyle w:val="986"/>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pStyle w:val="986"/>
        <w:ind w:firstLine="420"/>
        <w:keepLines/>
        <w:keepNext/>
        <w:rPr>
          <w:rFonts w:ascii="宋体" w:hAnsi="宋体" w:cs="宋体"/>
          <w:szCs w:val="24"/>
          <w:highlight w:val="none"/>
        </w:rPr>
      </w:pPr>
      <w:r>
        <w:rPr>
          <w:rFonts w:hint="eastAsia" w:ascii="宋体" w:hAnsi="宋体" w:cs="宋体"/>
          <w:szCs w:val="24"/>
          <w:highlight w:val="none"/>
        </w:rPr>
        <w:t xml:space="preserve">备注：</w:t>
      </w:r>
      <w:r>
        <w:rPr>
          <w:rFonts w:ascii="宋体" w:hAnsi="宋体" w:cs="宋体"/>
          <w:szCs w:val="24"/>
          <w:highlight w:val="none"/>
        </w:rPr>
      </w:r>
      <w:r/>
    </w:p>
    <w:p>
      <w:pPr>
        <w:pStyle w:val="986"/>
        <w:ind w:firstLine="630"/>
        <w:keepLines/>
        <w:keepNext/>
        <w:rPr>
          <w:rFonts w:ascii="宋体" w:hAnsi="宋体" w:cs="宋体"/>
          <w:szCs w:val="24"/>
          <w:highlight w:val="none"/>
        </w:rPr>
      </w:pPr>
      <w:r>
        <w:rPr>
          <w:rFonts w:hint="eastAsia" w:ascii="宋体" w:hAnsi="宋体" w:cs="宋体"/>
          <w:szCs w:val="24"/>
          <w:highlight w:val="none"/>
        </w:rPr>
        <w:t xml:space="preserve">1.从业人员、营业收入、资产总额填报上一年度数据，无上一年度数据的新成立企业可不填报。</w:t>
      </w:r>
      <w:r>
        <w:rPr>
          <w:rFonts w:ascii="宋体" w:hAnsi="宋体" w:cs="宋体"/>
          <w:szCs w:val="24"/>
          <w:highlight w:val="none"/>
        </w:rPr>
      </w:r>
      <w:r/>
    </w:p>
    <w:p>
      <w:pPr>
        <w:pStyle w:val="986"/>
        <w:ind w:firstLine="630"/>
        <w:keepLines/>
        <w:keepNext/>
        <w:rPr>
          <w:rFonts w:ascii="宋体" w:hAnsi="宋体" w:cs="宋体"/>
          <w:b/>
          <w:bCs/>
          <w:szCs w:val="24"/>
          <w:highlight w:val="none"/>
        </w:rPr>
      </w:pPr>
      <w:r>
        <w:rPr>
          <w:rFonts w:hint="eastAsia" w:ascii="宋体" w:hAnsi="宋体" w:cs="宋体"/>
          <w:szCs w:val="24"/>
          <w:highlight w:val="none"/>
        </w:rPr>
        <w:t xml:space="preserve">2.在货物采购项目中，货物由中小企业制造，即货物由中小企业生产且使用该中小企业商号或者注册商标。</w:t>
      </w:r>
      <w:r>
        <w:rPr>
          <w:rFonts w:hint="eastAsia" w:ascii="宋体" w:hAnsi="宋体" w:cs="宋体"/>
          <w:b/>
          <w:bCs/>
          <w:szCs w:val="24"/>
          <w:highlight w:val="none"/>
        </w:rPr>
        <w:t xml:space="preserve">供应商提供的货物既有中小企业制造货物，也有大型企业制造货物的，不享受相应扶持政策。</w:t>
      </w:r>
      <w:r>
        <w:rPr>
          <w:rFonts w:ascii="宋体" w:hAnsi="宋体" w:cs="宋体"/>
          <w:b/>
          <w:bCs/>
          <w:szCs w:val="24"/>
          <w:highlight w:val="none"/>
        </w:rPr>
      </w:r>
      <w:r/>
    </w:p>
    <w:p>
      <w:pPr>
        <w:pStyle w:val="986"/>
        <w:ind w:firstLine="630"/>
        <w:keepLines/>
        <w:keepNext/>
        <w:rPr>
          <w:rFonts w:ascii="宋体" w:hAnsi="宋体" w:cs="宋体"/>
          <w:b/>
          <w:bCs/>
          <w:szCs w:val="24"/>
          <w:highlight w:val="none"/>
        </w:rPr>
      </w:pPr>
      <w:r>
        <w:rPr>
          <w:rFonts w:hint="eastAsia" w:ascii="宋体" w:hAnsi="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szCs w:val="24"/>
          <w:highlight w:val="none"/>
        </w:rPr>
        <w:t xml:space="preserve">本采购标的对应的中小企业划分标准所属行业，以采购文件中具体规定为准。</w:t>
      </w:r>
      <w:r>
        <w:rPr>
          <w:rFonts w:ascii="宋体" w:hAnsi="宋体" w:cs="宋体"/>
          <w:b/>
          <w:bCs/>
          <w:szCs w:val="24"/>
          <w:highlight w:val="none"/>
        </w:rPr>
      </w:r>
      <w:r/>
    </w:p>
    <w:p>
      <w:pPr>
        <w:pStyle w:val="986"/>
        <w:ind w:firstLine="632"/>
        <w:keepLines/>
        <w:keepNext/>
        <w:rPr>
          <w:rFonts w:ascii="宋体" w:hAnsi="宋体" w:cs="宋体"/>
          <w:b/>
          <w:bCs/>
          <w:szCs w:val="24"/>
          <w:highlight w:val="none"/>
        </w:rPr>
      </w:pPr>
      <w:r>
        <w:rPr>
          <w:rFonts w:hint="eastAsia" w:ascii="宋体" w:hAnsi="宋体" w:cs="宋体"/>
          <w:b/>
          <w:bCs/>
          <w:szCs w:val="24"/>
          <w:highlight w:val="none"/>
        </w:rPr>
        <w:t xml:space="preserve">4.如未对（中型企业、小型企业、微型企业）进行勾选，视同非中小微企业，不可享受相应扶持政策。</w:t>
      </w:r>
      <w:r>
        <w:rPr>
          <w:rFonts w:ascii="宋体" w:hAnsi="宋体" w:cs="宋体"/>
          <w:b/>
          <w:bCs/>
          <w:szCs w:val="24"/>
          <w:highlight w:val="none"/>
        </w:rPr>
      </w:r>
      <w:r/>
    </w:p>
    <w:p>
      <w:pPr>
        <w:pStyle w:val="986"/>
        <w:ind w:left="840" w:hanging="210"/>
        <w:spacing w:line="360" w:lineRule="auto"/>
        <w:rPr>
          <w:rFonts w:ascii="宋体" w:hAnsi="宋体" w:cs="宋体"/>
          <w:szCs w:val="24"/>
          <w:highlight w:val="none"/>
          <w:lang w:val="zh-CN"/>
        </w:rPr>
      </w:pPr>
      <w:r>
        <w:rPr>
          <w:rFonts w:hint="eastAsia" w:ascii="宋体" w:hAnsi="宋体" w:cs="宋体"/>
          <w:szCs w:val="24"/>
          <w:highlight w:val="none"/>
        </w:rPr>
        <w:t xml:space="preserve">5.中标单位为中小企业的，《中小企业声明函》将随中标结果同时公告</w:t>
      </w:r>
      <w:r>
        <w:rPr>
          <w:rFonts w:hint="eastAsia" w:ascii="宋体" w:hAnsi="宋体" w:cs="宋体"/>
          <w:szCs w:val="24"/>
          <w:highlight w:val="none"/>
          <w:lang w:val="zh-CN"/>
        </w:rPr>
        <w:t xml:space="preserve">。</w:t>
      </w:r>
      <w:r>
        <w:rPr>
          <w:rFonts w:ascii="宋体" w:hAnsi="宋体" w:cs="宋体"/>
          <w:szCs w:val="24"/>
          <w:highlight w:val="none"/>
          <w:lang w:val="zh-CN"/>
        </w:rPr>
      </w:r>
      <w:r/>
    </w:p>
    <w:p>
      <w:pPr>
        <w:pStyle w:val="986"/>
        <w:ind w:left="840" w:hanging="210"/>
        <w:spacing w:line="360" w:lineRule="auto"/>
        <w:rPr>
          <w:rFonts w:ascii="宋体" w:hAnsi="宋体" w:cs="宋体"/>
          <w:szCs w:val="24"/>
          <w:highlight w:val="none"/>
          <w:lang w:val="zh-CN"/>
        </w:rPr>
      </w:pPr>
      <w:r>
        <w:rPr>
          <w:rFonts w:ascii="宋体" w:hAnsi="宋体" w:cs="宋体"/>
          <w:szCs w:val="24"/>
          <w:highlight w:val="none"/>
          <w:lang w:val="zh-CN"/>
        </w:rPr>
      </w:r>
      <w:r/>
    </w:p>
    <w:p>
      <w:pPr>
        <w:pStyle w:val="986"/>
        <w:rPr>
          <w:rFonts w:ascii="宋体" w:hAnsi="宋体"/>
          <w:b/>
          <w:szCs w:val="24"/>
          <w:highlight w:val="none"/>
        </w:rPr>
      </w:pPr>
      <w:r>
        <w:rPr>
          <w:rFonts w:hint="eastAsia" w:ascii="宋体" w:hAnsi="宋体"/>
          <w:b/>
          <w:szCs w:val="24"/>
          <w:highlight w:val="none"/>
        </w:rPr>
        <w:t xml:space="preserve">附：中小企业划型标准规定</w:t>
      </w:r>
      <w:r>
        <w:rPr>
          <w:rFonts w:ascii="宋体" w:hAnsi="宋体"/>
          <w:b/>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（一）农、林、牧、渔业。</w:t>
      </w:r>
      <w:r>
        <w:rPr>
          <w:rFonts w:hint="eastAsia" w:ascii="宋体" w:hAnsi="宋体"/>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（二）工业。</w:t>
      </w:r>
      <w:r>
        <w:rPr>
          <w:rFonts w:hint="eastAsia" w:ascii="宋体" w:hAnsi="宋体"/>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（三）建筑业。</w:t>
      </w:r>
      <w:r>
        <w:rPr>
          <w:rFonts w:hint="eastAsia" w:ascii="宋体" w:hAnsi="宋体"/>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（四）批发业。</w:t>
      </w:r>
      <w:r>
        <w:rPr>
          <w:rFonts w:hint="eastAsia" w:ascii="宋体" w:hAnsi="宋体"/>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（五）零售业。</w:t>
      </w:r>
      <w:r>
        <w:rPr>
          <w:rFonts w:hint="eastAsia" w:ascii="宋体" w:hAnsi="宋体"/>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（六）交通运输业。</w:t>
      </w:r>
      <w:r>
        <w:rPr>
          <w:rFonts w:hint="eastAsia" w:ascii="宋体" w:hAnsi="宋体"/>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（七）仓储业。</w:t>
      </w:r>
      <w:r>
        <w:rPr>
          <w:rFonts w:hint="eastAsia" w:ascii="宋体" w:hAnsi="宋体"/>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（八）邮政业。</w:t>
      </w:r>
      <w:r>
        <w:rPr>
          <w:rFonts w:hint="eastAsia" w:ascii="宋体" w:hAnsi="宋体"/>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（九）住宿业。</w:t>
      </w:r>
      <w:r>
        <w:rPr>
          <w:rFonts w:hint="eastAsia" w:ascii="宋体" w:hAnsi="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（十）餐饮业。</w:t>
      </w:r>
      <w:r>
        <w:rPr>
          <w:rFonts w:hint="eastAsia" w:ascii="宋体" w:hAnsi="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（十一）信息传输业。</w:t>
      </w:r>
      <w:r>
        <w:rPr>
          <w:rFonts w:hint="eastAsia" w:ascii="宋体" w:hAnsi="宋体"/>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（十二）软件和信息技术服务业。</w:t>
      </w:r>
      <w:r>
        <w:rPr>
          <w:rFonts w:hint="eastAsia" w:ascii="宋体" w:hAnsi="宋体"/>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（十三）房地产开发经营。</w:t>
      </w:r>
      <w:r>
        <w:rPr>
          <w:rFonts w:hint="eastAsia" w:ascii="宋体" w:hAnsi="宋体"/>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（十四）物业管理。</w:t>
      </w:r>
      <w:r>
        <w:rPr>
          <w:rFonts w:hint="eastAsia" w:ascii="宋体" w:hAnsi="宋体"/>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szCs w:val="24"/>
          <w:highlight w:val="none"/>
        </w:rPr>
      </w:r>
      <w:r/>
    </w:p>
    <w:p>
      <w:pPr>
        <w:pStyle w:val="986"/>
        <w:ind w:firstLine="422"/>
        <w:rPr>
          <w:rFonts w:ascii="宋体" w:hAnsi="宋体"/>
          <w:szCs w:val="24"/>
          <w:highlight w:val="none"/>
        </w:rPr>
      </w:pPr>
      <w:r>
        <w:rPr>
          <w:rFonts w:hint="eastAsia" w:ascii="宋体" w:hAnsi="宋体"/>
          <w:b/>
          <w:szCs w:val="24"/>
          <w:highlight w:val="none"/>
        </w:rPr>
        <w:t xml:space="preserve">（十五）租赁和商务服务业。</w:t>
      </w:r>
      <w:r>
        <w:rPr>
          <w:rFonts w:hint="eastAsia" w:ascii="宋体" w:hAnsi="宋体"/>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4"/>
          <w:highlight w:val="none"/>
        </w:rPr>
      </w:r>
      <w:r/>
    </w:p>
    <w:p>
      <w:pPr>
        <w:pStyle w:val="986"/>
        <w:ind w:firstLine="422"/>
        <w:jc w:val="left"/>
        <w:spacing w:line="360" w:lineRule="auto"/>
        <w:widowControl/>
        <w:rPr>
          <w:rFonts w:hint="eastAsia" w:ascii="宋体" w:hAnsi="宋体" w:cs="宋体"/>
          <w:b/>
          <w:szCs w:val="21"/>
          <w:highlight w:val="none"/>
        </w:rPr>
      </w:pPr>
      <w:r>
        <w:rPr>
          <w:rFonts w:hint="eastAsia" w:ascii="宋体" w:hAnsi="宋体"/>
          <w:b/>
          <w:szCs w:val="24"/>
          <w:highlight w:val="none"/>
        </w:rPr>
        <w:t xml:space="preserve">（十六）其他未列明行业。</w:t>
      </w:r>
      <w:r>
        <w:rPr>
          <w:rFonts w:hint="eastAsia" w:ascii="宋体" w:hAnsi="宋体"/>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szCs w:val="21"/>
          <w:highlight w:val="none"/>
        </w:rPr>
      </w:r>
      <w:r/>
    </w:p>
    <w:p>
      <w:pPr>
        <w:pStyle w:val="986"/>
        <w:jc w:val="center"/>
        <w:spacing w:line="360" w:lineRule="auto"/>
        <w:rPr>
          <w:rFonts w:hint="eastAsia" w:ascii="宋体" w:hAnsi="宋体" w:cs="宋体"/>
          <w:b/>
          <w:bCs/>
          <w:sz w:val="28"/>
          <w:highlight w:val="none"/>
        </w:rPr>
        <w:sectPr>
          <w:footerReference w:type="default" r:id="rId13"/>
          <w:footerReference w:type="first" r:id="rId14"/>
          <w:footnotePr/>
          <w:endnotePr/>
          <w:type w:val="nextPage"/>
          <w:pgSz w:w="11906" w:h="16838" w:orient="portrait"/>
          <w:pgMar w:top="1440" w:right="1274" w:bottom="1440" w:left="1600" w:header="851" w:footer="992" w:gutter="0"/>
          <w:cols w:num="1" w:sep="0" w:space="1701" w:equalWidth="1"/>
          <w:docGrid w:linePitch="360"/>
          <w:titlePg/>
        </w:sectPr>
      </w:pPr>
      <w:r>
        <w:rPr>
          <w:rFonts w:hint="eastAsia" w:ascii="宋体" w:hAnsi="宋体" w:cs="宋体"/>
          <w:b/>
          <w:bCs/>
          <w:sz w:val="28"/>
          <w:highlight w:val="none"/>
        </w:rPr>
      </w:r>
      <w:r/>
    </w:p>
    <w:p>
      <w:pPr>
        <w:pStyle w:val="986"/>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r>
        <w:rPr>
          <w:rFonts w:hint="eastAsia" w:ascii="宋体" w:hAnsi="宋体" w:cs="宋体"/>
          <w:b/>
          <w:bCs/>
          <w:sz w:val="28"/>
          <w:highlight w:val="none"/>
        </w:rPr>
      </w:r>
      <w:r/>
    </w:p>
    <w:p>
      <w:pPr>
        <w:pStyle w:val="986"/>
        <w:ind w:firstLine="428"/>
        <w:jc w:val="left"/>
        <w:spacing w:line="440" w:lineRule="exact"/>
        <w:widowControl/>
        <w:rPr>
          <w:rFonts w:hint="eastAsia" w:ascii="宋体" w:hAnsi="宋体" w:cs="宋体"/>
          <w:szCs w:val="21"/>
          <w:highlight w:val="none"/>
        </w:rPr>
      </w:pPr>
      <w:r/>
      <w:bookmarkEnd w:id="139"/>
      <w:r/>
      <w:bookmarkEnd w:id="140"/>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highlight w:val="none"/>
        </w:rPr>
      </w:r>
      <w:r/>
    </w:p>
    <w:p>
      <w:pPr>
        <w:pStyle w:val="986"/>
        <w:ind w:firstLine="428"/>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hint="eastAsia" w:ascii="宋体" w:hAnsi="宋体" w:cs="宋体"/>
          <w:szCs w:val="21"/>
          <w:highlight w:val="none"/>
        </w:rPr>
      </w:r>
      <w:r/>
    </w:p>
    <w:p>
      <w:pPr>
        <w:pStyle w:val="986"/>
        <w:ind w:firstLine="5136"/>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rPr>
          <w:rFonts w:hint="eastAsia" w:ascii="宋体" w:hAnsi="宋体" w:cs="宋体"/>
          <w:szCs w:val="21"/>
          <w:highlight w:val="none"/>
        </w:rPr>
      </w:r>
      <w:r/>
    </w:p>
    <w:p>
      <w:pPr>
        <w:pStyle w:val="986"/>
        <w:ind w:firstLine="5136"/>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rPr>
      </w:r>
      <w:r/>
    </w:p>
    <w:p>
      <w:pPr>
        <w:pStyle w:val="986"/>
        <w:spacing w:line="360" w:lineRule="auto"/>
        <w:rPr>
          <w:rFonts w:hint="eastAsia" w:ascii="宋体" w:hAnsi="宋体" w:cs="宋体"/>
          <w:b/>
          <w:bCs/>
          <w:highlight w:val="none"/>
        </w:rPr>
      </w:pPr>
      <w:r>
        <w:rPr>
          <w:rFonts w:hint="eastAsia" w:ascii="宋体" w:hAnsi="宋体" w:cs="宋体"/>
          <w:b/>
          <w:bCs/>
          <w:highlight w:val="none"/>
        </w:rPr>
      </w:r>
      <w:r/>
    </w:p>
    <w:p>
      <w:pPr>
        <w:pStyle w:val="986"/>
        <w:spacing w:line="360" w:lineRule="auto"/>
        <w:rPr>
          <w:rFonts w:hint="eastAsia" w:ascii="宋体" w:hAnsi="宋体" w:cs="宋体"/>
          <w:b/>
          <w:bCs/>
          <w:highlight w:val="none"/>
        </w:rPr>
      </w:pPr>
      <w:r>
        <w:rPr>
          <w:rFonts w:hint="eastAsia" w:ascii="宋体" w:hAnsi="宋体" w:cs="宋体"/>
          <w:b/>
          <w:bCs/>
          <w:highlight w:val="none"/>
        </w:rPr>
      </w:r>
      <w:r/>
    </w:p>
    <w:p>
      <w:pPr>
        <w:pStyle w:val="986"/>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rPr>
          <w:rFonts w:hint="eastAsia" w:ascii="宋体" w:hAnsi="宋体" w:cs="宋体"/>
          <w:b/>
          <w:bCs/>
          <w:sz w:val="28"/>
          <w:highlight w:val="none"/>
        </w:rPr>
      </w:r>
      <w:r/>
    </w:p>
    <w:p>
      <w:pPr>
        <w:pStyle w:val="986"/>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hint="eastAsia" w:ascii="宋体" w:hAnsi="宋体" w:cs="宋体"/>
          <w:highlight w:val="none"/>
        </w:rPr>
      </w:r>
      <w:r/>
    </w:p>
    <w:p>
      <w:pPr>
        <w:pStyle w:val="986"/>
        <w:spacing w:line="360" w:lineRule="auto"/>
        <w:rPr>
          <w:rFonts w:hint="eastAsia" w:ascii="宋体" w:hAnsi="宋体" w:cs="宋体"/>
          <w:b/>
          <w:bCs/>
          <w:highlight w:val="none"/>
        </w:rPr>
      </w:pPr>
      <w:r>
        <w:rPr>
          <w:rFonts w:hint="eastAsia" w:ascii="宋体" w:hAnsi="宋体" w:cs="宋体"/>
          <w:b/>
          <w:bCs/>
          <w:highlight w:val="none"/>
        </w:rPr>
      </w:r>
      <w:r/>
    </w:p>
    <w:p>
      <w:pPr>
        <w:pStyle w:val="986"/>
        <w:spacing w:line="360" w:lineRule="auto"/>
        <w:rPr>
          <w:rFonts w:hint="eastAsia" w:ascii="宋体" w:hAnsi="宋体" w:cs="宋体"/>
          <w:b/>
          <w:bCs/>
          <w:highlight w:val="none"/>
        </w:rPr>
      </w:pPr>
      <w:r>
        <w:rPr>
          <w:rFonts w:hint="eastAsia" w:ascii="宋体" w:hAnsi="宋体" w:cs="宋体"/>
          <w:b/>
          <w:bCs/>
          <w:highlight w:val="none"/>
        </w:rPr>
      </w:r>
      <w:r/>
    </w:p>
    <w:p>
      <w:pPr>
        <w:pStyle w:val="986"/>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rPr>
          <w:rFonts w:hint="eastAsia" w:ascii="宋体" w:hAnsi="宋体" w:cs="宋体"/>
          <w:b/>
          <w:bCs/>
          <w:highlight w:val="none"/>
        </w:rPr>
      </w:r>
      <w:r/>
    </w:p>
    <w:p>
      <w:pPr>
        <w:pStyle w:val="986"/>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hint="eastAsia" w:ascii="宋体" w:hAnsi="宋体" w:cs="宋体"/>
          <w:bCs/>
          <w:highlight w:val="none"/>
        </w:rPr>
      </w:r>
      <w:r/>
    </w:p>
    <w:p>
      <w:pPr>
        <w:pStyle w:val="986"/>
        <w:spacing w:line="360" w:lineRule="auto"/>
        <w:rPr>
          <w:rFonts w:hint="eastAsia" w:ascii="宋体" w:hAnsi="宋体" w:cs="宋体"/>
          <w:b/>
          <w:bCs/>
          <w:highlight w:val="none"/>
        </w:rPr>
      </w:pPr>
      <w:r>
        <w:rPr>
          <w:rFonts w:hint="eastAsia" w:ascii="宋体" w:hAnsi="宋体" w:cs="宋体"/>
          <w:b/>
          <w:bCs/>
          <w:highlight w:val="none"/>
        </w:rPr>
      </w:r>
      <w:r/>
    </w:p>
    <w:p>
      <w:pPr>
        <w:pStyle w:val="986"/>
        <w:spacing w:line="360" w:lineRule="auto"/>
        <w:rPr>
          <w:rFonts w:hint="eastAsia" w:ascii="宋体" w:hAnsi="宋体" w:cs="宋体"/>
          <w:b/>
          <w:bCs/>
          <w:highlight w:val="none"/>
        </w:rPr>
      </w:pPr>
      <w:r>
        <w:rPr>
          <w:rFonts w:hint="eastAsia" w:ascii="宋体" w:hAnsi="宋体" w:cs="宋体"/>
          <w:b/>
          <w:bCs/>
          <w:highlight w:val="none"/>
        </w:rPr>
      </w:r>
      <w:r/>
    </w:p>
    <w:p>
      <w:pPr>
        <w:pStyle w:val="986"/>
        <w:spacing w:line="360" w:lineRule="auto"/>
        <w:rPr>
          <w:rFonts w:hint="eastAsia" w:ascii="宋体" w:hAnsi="宋体" w:cs="宋体"/>
          <w:b/>
          <w:bCs/>
          <w:highlight w:val="none"/>
        </w:rPr>
      </w:pPr>
      <w:r>
        <w:rPr>
          <w:rFonts w:hint="eastAsia" w:ascii="宋体" w:hAnsi="宋体" w:cs="宋体"/>
          <w:b/>
          <w:bCs/>
          <w:highlight w:val="none"/>
        </w:rPr>
      </w:r>
      <w:r/>
    </w:p>
    <w:p>
      <w:pPr>
        <w:pStyle w:val="986"/>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rPr>
          <w:rFonts w:hint="eastAsia" w:ascii="宋体" w:hAnsi="宋体" w:cs="宋体"/>
          <w:b/>
          <w:bCs/>
          <w:highlight w:val="none"/>
        </w:rPr>
      </w:r>
      <w:r/>
    </w:p>
    <w:p>
      <w:pPr>
        <w:pStyle w:val="986"/>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hint="eastAsia" w:ascii="宋体" w:hAnsi="宋体" w:cs="宋体"/>
          <w:bCs/>
          <w:highlight w:val="none"/>
        </w:rPr>
      </w:r>
      <w:r/>
    </w:p>
    <w:p>
      <w:pPr>
        <w:pStyle w:val="1134"/>
        <w:ind w:firstLine="430"/>
        <w:rPr>
          <w:rFonts w:hint="eastAsia" w:ascii="宋体" w:hAnsi="宋体" w:cs="宋体"/>
          <w:bCs/>
          <w:highlight w:val="none"/>
        </w:rPr>
      </w:pPr>
      <w:r>
        <w:rPr>
          <w:rFonts w:hint="eastAsia" w:ascii="宋体" w:hAnsi="宋体" w:cs="宋体"/>
          <w:bCs/>
          <w:highlight w:val="none"/>
        </w:rPr>
      </w:r>
      <w:r/>
    </w:p>
    <w:p>
      <w:pPr>
        <w:pStyle w:val="1134"/>
        <w:ind w:firstLine="430"/>
        <w:rPr>
          <w:rFonts w:hint="eastAsia" w:ascii="宋体" w:hAnsi="宋体" w:cs="宋体"/>
          <w:bCs/>
          <w:highlight w:val="none"/>
        </w:rPr>
      </w:pPr>
      <w:r>
        <w:rPr>
          <w:rFonts w:hint="eastAsia" w:ascii="宋体" w:hAnsi="宋体" w:cs="宋体"/>
          <w:bCs/>
          <w:highlight w:val="none"/>
        </w:rPr>
      </w:r>
      <w:r/>
    </w:p>
    <w:p>
      <w:pPr>
        <w:pStyle w:val="1134"/>
        <w:ind w:firstLine="430"/>
        <w:rPr>
          <w:rFonts w:hint="eastAsia" w:ascii="宋体" w:hAnsi="宋体" w:cs="宋体"/>
          <w:bCs/>
          <w:highlight w:val="none"/>
        </w:rPr>
      </w:pPr>
      <w:r>
        <w:rPr>
          <w:rFonts w:hint="eastAsia" w:ascii="宋体" w:hAnsi="宋体" w:cs="宋体"/>
          <w:bCs/>
          <w:highlight w:val="none"/>
        </w:rPr>
      </w:r>
      <w:r/>
    </w:p>
    <w:p>
      <w:pPr>
        <w:pStyle w:val="986"/>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rPr>
          <w:rFonts w:hint="eastAsia" w:ascii="宋体" w:hAnsi="宋体" w:cs="宋体"/>
          <w:b/>
          <w:bCs/>
          <w:sz w:val="28"/>
          <w:highlight w:val="none"/>
        </w:rPr>
      </w:r>
      <w:r/>
    </w:p>
    <w:p>
      <w:pPr>
        <w:pStyle w:val="986"/>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rPr>
          <w:rFonts w:hint="eastAsia" w:ascii="宋体" w:hAnsi="宋体" w:cs="宋体"/>
          <w:bCs/>
          <w:highlight w:val="none"/>
        </w:rPr>
      </w:r>
      <w:r/>
    </w:p>
    <w:p>
      <w:pPr>
        <w:pStyle w:val="1007"/>
        <w:jc w:val="center"/>
        <w:spacing w:before="15" w:beforeAutospacing="0" w:after="15" w:afterAutospacing="0"/>
        <w:shd w:val="clear" w:color="auto" w:fill="ffffff"/>
        <w:widowControl/>
        <w:rPr>
          <w:highlight w:val="none"/>
        </w:rPr>
      </w:pPr>
      <w:r>
        <w:rPr>
          <w:rFonts w:hint="eastAsia" w:ascii="宋体" w:hAnsi="宋体" w:cs="宋体"/>
          <w:b/>
          <w:bCs/>
          <w:color w:val="333333"/>
          <w:sz w:val="30"/>
          <w:szCs w:val="30"/>
          <w:highlight w:val="none"/>
          <w:shd w:val="clear" w:color="auto" w:fill="ffffff"/>
        </w:rPr>
        <w:t xml:space="preserve">关于符合本国产品标准的声明函</w:t>
      </w:r>
      <w:r>
        <w:rPr>
          <w:highlight w:val="none"/>
        </w:rPr>
      </w:r>
      <w:r/>
    </w:p>
    <w:p>
      <w:pPr>
        <w:pStyle w:val="1007"/>
        <w:ind w:firstLine="420"/>
        <w:spacing w:before="15" w:beforeAutospacing="0" w:after="15" w:afterAutospacing="0"/>
        <w:shd w:val="clear" w:color="auto" w:fill="ffffff"/>
        <w:widowControl/>
        <w:rPr>
          <w:highlight w:val="none"/>
        </w:rPr>
      </w:pPr>
      <w:r>
        <w:rPr>
          <w:highlight w:val="none"/>
          <w:shd w:val="clear" w:color="auto" w:fill="ffffff"/>
        </w:rPr>
        <w:t xml:space="preserve"> </w:t>
      </w:r>
      <w:r>
        <w:rPr>
          <w:highlight w:val="none"/>
        </w:rPr>
      </w:r>
      <w:r/>
    </w:p>
    <w:p>
      <w:pPr>
        <w:pStyle w:val="1007"/>
        <w:ind w:firstLine="420"/>
        <w:spacing w:before="0" w:beforeAutospacing="0" w:after="0" w:afterAutospacing="0" w:line="360" w:lineRule="auto"/>
        <w:widowControl/>
        <w:rPr>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07"/>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1.</w:t>
      </w:r>
      <w:r>
        <w:rPr>
          <w:rFonts w:hint="eastAsia" w:ascii="宋体" w:hAnsi="宋体" w:cs="宋体"/>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Fonts w:hint="eastAsia" w:ascii="宋体" w:hAnsi="宋体" w:cs="宋体"/>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Fonts w:hint="eastAsia" w:ascii="宋体" w:hAnsi="宋体" w:cs="宋体"/>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的中国境内生产的组件成本占比≥</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highlight w:val="none"/>
        </w:rPr>
      </w:r>
      <w:r/>
    </w:p>
    <w:p>
      <w:pPr>
        <w:pStyle w:val="1007"/>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2.</w:t>
      </w:r>
      <w:r>
        <w:rPr>
          <w:rFonts w:hint="eastAsia" w:ascii="宋体" w:hAnsi="宋体" w:cs="宋体"/>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，生产厂为</w:t>
      </w:r>
      <w:r>
        <w:rPr>
          <w:rFonts w:hint="eastAsia" w:ascii="宋体" w:hAnsi="宋体" w:cs="宋体"/>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rPr>
        <w:t xml:space="preserve">，厂址为</w:t>
      </w:r>
      <w:r>
        <w:rPr>
          <w:rFonts w:hint="eastAsia" w:ascii="宋体" w:hAnsi="宋体" w:cs="宋体"/>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的中国境内生产的组件成本占比≥</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在中国境内生产。</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在中国境内完成。</w:t>
      </w:r>
      <w:r>
        <w:rPr>
          <w:highlight w:val="none"/>
        </w:rPr>
      </w:r>
      <w:r/>
    </w:p>
    <w:p>
      <w:pPr>
        <w:pStyle w:val="1007"/>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w:t>
      </w:r>
      <w:r>
        <w:rPr>
          <w:highlight w:val="none"/>
        </w:rPr>
      </w:r>
      <w:r/>
    </w:p>
    <w:p>
      <w:pPr>
        <w:pStyle w:val="1007"/>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highlight w:val="none"/>
        </w:rPr>
      </w:r>
      <w:r/>
    </w:p>
    <w:p>
      <w:pPr>
        <w:pStyle w:val="1007"/>
        <w:spacing w:before="30" w:beforeAutospacing="0" w:after="30" w:afterAutospacing="0" w:line="0" w:lineRule="atLeast"/>
        <w:shd w:val="clear" w:color="auto" w:fill="ffffff"/>
        <w:widowControl/>
        <w:rPr>
          <w:highlight w:val="none"/>
        </w:rPr>
      </w:pPr>
      <w:r>
        <w:rPr>
          <w:highlight w:val="none"/>
          <w:shd w:val="clear" w:color="auto" w:fill="ffffff"/>
        </w:rPr>
        <w:t xml:space="preserve"> </w:t>
      </w:r>
      <w:r>
        <w:rPr>
          <w:highlight w:val="none"/>
        </w:rPr>
      </w:r>
      <w:r/>
    </w:p>
    <w:p>
      <w:pPr>
        <w:pStyle w:val="1007"/>
        <w:jc w:val="right"/>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   公司（单位）名称（加盖CA电子公章）：         </w:t>
      </w:r>
      <w:r>
        <w:rPr>
          <w:highlight w:val="none"/>
        </w:rPr>
      </w:r>
      <w:r/>
    </w:p>
    <w:p>
      <w:pPr>
        <w:pStyle w:val="1007"/>
        <w:jc w:val="center"/>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           日期：      年   月   日         </w:t>
      </w:r>
      <w:r>
        <w:rPr>
          <w:highlight w:val="none"/>
        </w:rPr>
      </w:r>
      <w:r/>
    </w:p>
    <w:p>
      <w:pPr>
        <w:pStyle w:val="1007"/>
        <w:spacing w:before="30" w:beforeAutospacing="0" w:after="30" w:afterAutospacing="0" w:line="0" w:lineRule="atLeast"/>
        <w:shd w:val="clear" w:color="auto" w:fill="ffffff"/>
        <w:widowControl/>
        <w:rPr>
          <w:highlight w:val="none"/>
        </w:rPr>
      </w:pPr>
      <w:r>
        <w:rPr>
          <w:highlight w:val="none"/>
          <w:shd w:val="clear" w:color="auto" w:fill="ffffff"/>
        </w:rPr>
        <w:t xml:space="preserve"> </w:t>
      </w:r>
      <w:r>
        <w:rPr>
          <w:highlight w:val="none"/>
        </w:rPr>
      </w:r>
      <w:r/>
    </w:p>
    <w:p>
      <w:pPr>
        <w:pStyle w:val="1007"/>
        <w:spacing w:before="30" w:beforeAutospacing="0" w:after="30" w:afterAutospacing="0" w:line="0" w:lineRule="atLeast"/>
        <w:shd w:val="clear" w:color="auto" w:fill="ffffff"/>
        <w:widowControl/>
        <w:rPr>
          <w:highlight w:val="none"/>
        </w:rPr>
      </w:pPr>
      <w:r>
        <w:rPr>
          <w:rFonts w:hint="eastAsia" w:ascii="宋体" w:hAnsi="宋体" w:cs="宋体"/>
          <w:color w:val="000000"/>
          <w:sz w:val="21"/>
          <w:szCs w:val="21"/>
          <w:highlight w:val="none"/>
          <w:shd w:val="clear" w:color="auto" w:fill="ffffff"/>
        </w:rPr>
        <w:t xml:space="preserve">_________________</w:t>
      </w:r>
      <w:r>
        <w:rPr>
          <w:highlight w:val="none"/>
        </w:rPr>
      </w:r>
      <w:r/>
    </w:p>
    <w:p>
      <w:pPr>
        <w:pStyle w:val="1007"/>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highlight w:val="none"/>
        </w:rPr>
      </w:r>
      <w:r/>
    </w:p>
    <w:p>
      <w:pPr>
        <w:pStyle w:val="1007"/>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highlight w:val="none"/>
        </w:rPr>
      </w:r>
      <w:r/>
    </w:p>
    <w:p>
      <w:pPr>
        <w:pStyle w:val="1007"/>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highlight w:val="none"/>
        </w:rPr>
      </w:r>
      <w:r/>
    </w:p>
    <w:p>
      <w:pPr>
        <w:pStyle w:val="1007"/>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highlight w:val="none"/>
        </w:rPr>
      </w:r>
      <w:r/>
    </w:p>
    <w:p>
      <w:pPr>
        <w:pStyle w:val="1007"/>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highlight w:val="none"/>
        </w:rPr>
      </w:r>
      <w:r/>
    </w:p>
    <w:p>
      <w:pPr>
        <w:pStyle w:val="1134"/>
        <w:ind w:firstLine="0"/>
        <w:jc w:val="left"/>
        <w:spacing w:line="360" w:lineRule="auto"/>
        <w:rPr>
          <w:rFonts w:hint="eastAsia" w:ascii="宋体" w:hAnsi="宋体" w:cs="宋体"/>
          <w:b/>
          <w:highlight w:val="none"/>
        </w:rPr>
      </w:pPr>
      <w:r>
        <w:rPr>
          <w:rFonts w:hint="eastAsia" w:ascii="宋体" w:hAnsi="宋体" w:cs="宋体"/>
          <w:color w:val="000000"/>
          <w:szCs w:val="21"/>
          <w:highlight w:val="none"/>
          <w:shd w:val="clear" w:color="auto" w:fill="ffffff"/>
        </w:rPr>
        <w:t xml:space="preserve">6.《声明函》中标注“</w:t>
      </w:r>
      <w:r>
        <w:rPr>
          <w:rFonts w:hint="eastAsia" w:ascii="宋体" w:hAnsi="宋体" w:cs="宋体"/>
          <w:color w:val="000000"/>
          <w:szCs w:val="21"/>
          <w:highlight w:val="none"/>
          <w:u w:val="single"/>
          <w:shd w:val="clear" w:color="auto" w:fill="ffffff"/>
        </w:rPr>
        <w:t xml:space="preserve">  /  </w:t>
      </w:r>
      <w:r>
        <w:rPr>
          <w:rFonts w:hint="eastAsia" w:ascii="宋体" w:hAnsi="宋体" w:cs="宋体"/>
          <w:color w:val="000000"/>
          <w:szCs w:val="21"/>
          <w:highlight w:val="none"/>
          <w:shd w:val="clear" w:color="auto" w:fill="ffffff"/>
        </w:rPr>
        <w:t xml:space="preserve">”的地方无需填写。</w:t>
      </w:r>
      <w:r>
        <w:rPr>
          <w:rFonts w:hint="eastAsia" w:ascii="宋体" w:hAnsi="宋体" w:cs="宋体"/>
          <w:b/>
          <w:highlight w:val="none"/>
        </w:rPr>
      </w:r>
      <w:r/>
    </w:p>
    <w:sectPr>
      <w:footerReference w:type="default" r:id="rId15"/>
      <w:footnotePr/>
      <w:endnotePr/>
      <w:type w:val="nextPage"/>
      <w:pgSz w:w="11906" w:h="16838" w:orient="portrait"/>
      <w:pgMar w:top="1440" w:right="1440" w:bottom="1440" w:left="1440" w:header="119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Symbol">
    <w:panose1 w:val="05050102010706020507"/>
  </w:font>
  <w:font w:name="Wingdings">
    <w:panose1 w:val="05000000000000000000"/>
  </w:font>
  <w:font w:name="等线">
    <w:panose1 w:val="02010600030101010101"/>
  </w:font>
  <w:font w:name="Tahoma">
    <w:panose1 w:val="020B0604030504040204"/>
  </w:font>
  <w:font w:name="楷体_GB2312">
    <w:panose1 w:val="0201060906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SimSun">
    <w:panose1 w:val="02010600030101010101"/>
  </w:font>
  <w:font w:name="Ari">
    <w:panose1 w:val="020B0606020202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2724150</wp:posOffset>
              </wp:positionH>
              <wp:positionV relativeFrom="paragraph">
                <wp:posOffset>635</wp:posOffset>
              </wp:positionV>
              <wp:extent cx="178435" cy="120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986"/>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isibility:visible;" filled="f" stroked="f" strokeweight="0.50pt">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98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9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9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15"/>
      <w:isLgl w:val="false"/>
      <w:suff w:val="nothing"/>
      <w:lvlText w:val="第%1章"/>
      <w:lvlJc w:val="left"/>
      <w:pPr>
        <w:pStyle w:val="986"/>
        <w:ind w:left="0" w:firstLine="0"/>
      </w:pPr>
    </w:lvl>
    <w:lvl w:ilvl="1">
      <w:start w:val="1"/>
      <w:numFmt w:val="decimal"/>
      <w:pStyle w:val="988"/>
      <w:isLgl w:val="false"/>
      <w:suff w:val="nothing"/>
      <w:lvlText w:val=""/>
      <w:lvlJc w:val="left"/>
      <w:pPr>
        <w:pStyle w:val="986"/>
        <w:ind w:left="0" w:firstLine="0"/>
      </w:pPr>
    </w:lvl>
    <w:lvl w:ilvl="2">
      <w:start w:val="1"/>
      <w:numFmt w:val="decimal"/>
      <w:pStyle w:val="1026"/>
      <w:isLgl w:val="false"/>
      <w:suff w:val="nothing"/>
      <w:lvlText w:val=""/>
      <w:lvlJc w:val="left"/>
      <w:pPr>
        <w:pStyle w:val="986"/>
        <w:ind w:left="0" w:firstLine="0"/>
      </w:pPr>
    </w:lvl>
    <w:lvl w:ilvl="3">
      <w:start w:val="1"/>
      <w:numFmt w:val="decimal"/>
      <w:pStyle w:val="989"/>
      <w:isLgl w:val="false"/>
      <w:suff w:val="nothing"/>
      <w:lvlText w:val=""/>
      <w:lvlJc w:val="left"/>
      <w:pPr>
        <w:pStyle w:val="986"/>
        <w:ind w:left="0" w:firstLine="0"/>
      </w:pPr>
    </w:lvl>
    <w:lvl w:ilvl="4">
      <w:start w:val="1"/>
      <w:numFmt w:val="decimal"/>
      <w:pStyle w:val="1017"/>
      <w:isLgl w:val="false"/>
      <w:suff w:val="nothing"/>
      <w:lvlText w:val=""/>
      <w:lvlJc w:val="left"/>
      <w:pPr>
        <w:pStyle w:val="986"/>
        <w:ind w:left="0" w:firstLine="0"/>
      </w:pPr>
    </w:lvl>
    <w:lvl w:ilvl="5">
      <w:start w:val="1"/>
      <w:numFmt w:val="decimal"/>
      <w:pStyle w:val="1052"/>
      <w:isLgl w:val="false"/>
      <w:suff w:val="nothing"/>
      <w:lvlText w:val=""/>
      <w:lvlJc w:val="left"/>
      <w:pPr>
        <w:pStyle w:val="986"/>
        <w:ind w:left="0" w:firstLine="0"/>
      </w:pPr>
    </w:lvl>
    <w:lvl w:ilvl="6">
      <w:start w:val="1"/>
      <w:numFmt w:val="decimal"/>
      <w:pStyle w:val="1065"/>
      <w:isLgl w:val="false"/>
      <w:suff w:val="nothing"/>
      <w:lvlText w:val=""/>
      <w:lvlJc w:val="left"/>
      <w:pPr>
        <w:pStyle w:val="986"/>
        <w:ind w:left="0" w:firstLine="0"/>
      </w:pPr>
    </w:lvl>
    <w:lvl w:ilvl="7">
      <w:start w:val="1"/>
      <w:numFmt w:val="decimal"/>
      <w:pStyle w:val="1044"/>
      <w:isLgl w:val="false"/>
      <w:suff w:val="nothing"/>
      <w:lvlText w:val=""/>
      <w:lvlJc w:val="left"/>
      <w:pPr>
        <w:pStyle w:val="986"/>
        <w:ind w:left="0" w:firstLine="0"/>
      </w:pPr>
    </w:lvl>
    <w:lvl w:ilvl="8">
      <w:start w:val="1"/>
      <w:numFmt w:val="decimal"/>
      <w:pStyle w:val="1050"/>
      <w:isLgl w:val="false"/>
      <w:suff w:val="nothing"/>
      <w:lvlText w:val=""/>
      <w:lvlJc w:val="left"/>
      <w:pPr>
        <w:pStyle w:val="986"/>
        <w:ind w:left="0" w:firstLine="0"/>
      </w:pPr>
    </w:lvl>
  </w:abstractNum>
  <w:abstractNum w:abstractNumId="3">
    <w:multiLevelType w:val="hybridMultilevel"/>
    <w:lvl w:ilvl="0">
      <w:start w:val="1"/>
      <w:numFmt w:val="bullet"/>
      <w:pStyle w:val="1156"/>
      <w:isLgl w:val="false"/>
      <w:suff w:val="tab"/>
      <w:lvlText w:val=""/>
      <w:lvlJc w:val="left"/>
      <w:pPr>
        <w:pStyle w:val="986"/>
        <w:ind w:left="420" w:hanging="420"/>
        <w:tabs>
          <w:tab w:val="num" w:pos="420" w:leader="none"/>
        </w:tabs>
      </w:pPr>
      <w:rPr>
        <w:rFonts w:ascii="Wingdings" w:hAnsi="Wingdings"/>
      </w:rPr>
    </w:lvl>
    <w:lvl w:ilvl="1">
      <w:start w:val="1"/>
      <w:numFmt w:val="decimal"/>
      <w:isLgl w:val="false"/>
      <w:suff w:val="tab"/>
      <w:lvlText w:val="（%2）"/>
      <w:lvlJc w:val="left"/>
      <w:pPr>
        <w:pStyle w:val="986"/>
        <w:ind w:left="1500" w:hanging="1080"/>
        <w:tabs>
          <w:tab w:val="num" w:pos="1500" w:leader="none"/>
        </w:tabs>
      </w:pPr>
      <w:rPr>
        <w:rFonts w:hint="eastAsia"/>
      </w:rPr>
    </w:lvl>
    <w:lvl w:ilvl="2">
      <w:start w:val="1"/>
      <w:numFmt w:val="decimal"/>
      <w:isLgl w:val="false"/>
      <w:suff w:val="tab"/>
      <w:lvlText w:val="（%3）"/>
      <w:lvlJc w:val="left"/>
      <w:pPr>
        <w:pStyle w:val="986"/>
        <w:ind w:left="1560" w:hanging="720"/>
        <w:tabs>
          <w:tab w:val="num" w:pos="1560" w:leader="none"/>
        </w:tabs>
      </w:pPr>
      <w:rPr>
        <w:rFonts w:hint="eastAsia"/>
      </w:rPr>
    </w:lvl>
    <w:lvl w:ilvl="3">
      <w:start w:val="1"/>
      <w:numFmt w:val="decimal"/>
      <w:isLgl w:val="false"/>
      <w:suff w:val="tab"/>
      <w:lvlText w:val="%4."/>
      <w:lvlJc w:val="left"/>
      <w:pPr>
        <w:pStyle w:val="986"/>
        <w:ind w:left="1680" w:hanging="420"/>
        <w:tabs>
          <w:tab w:val="num" w:pos="1680" w:leader="none"/>
        </w:tabs>
      </w:pPr>
    </w:lvl>
    <w:lvl w:ilvl="4">
      <w:start w:val="1"/>
      <w:numFmt w:val="lowerLetter"/>
      <w:isLgl w:val="false"/>
      <w:suff w:val="tab"/>
      <w:lvlText w:val="%5)"/>
      <w:lvlJc w:val="left"/>
      <w:pPr>
        <w:pStyle w:val="986"/>
        <w:ind w:left="2100" w:hanging="420"/>
        <w:tabs>
          <w:tab w:val="num" w:pos="2100" w:leader="none"/>
        </w:tabs>
      </w:pPr>
    </w:lvl>
    <w:lvl w:ilvl="5">
      <w:start w:val="1"/>
      <w:numFmt w:val="lowerRoman"/>
      <w:isLgl w:val="false"/>
      <w:suff w:val="tab"/>
      <w:lvlText w:val="%6."/>
      <w:lvlJc w:val="right"/>
      <w:pPr>
        <w:pStyle w:val="986"/>
        <w:ind w:left="2520" w:hanging="420"/>
        <w:tabs>
          <w:tab w:val="num" w:pos="2520" w:leader="none"/>
        </w:tabs>
      </w:pPr>
    </w:lvl>
    <w:lvl w:ilvl="6">
      <w:start w:val="1"/>
      <w:numFmt w:val="decimal"/>
      <w:isLgl w:val="false"/>
      <w:suff w:val="tab"/>
      <w:lvlText w:val="%7."/>
      <w:lvlJc w:val="left"/>
      <w:pPr>
        <w:pStyle w:val="986"/>
        <w:ind w:left="2940" w:hanging="420"/>
        <w:tabs>
          <w:tab w:val="num" w:pos="2940" w:leader="none"/>
        </w:tabs>
      </w:pPr>
    </w:lvl>
    <w:lvl w:ilvl="7">
      <w:start w:val="1"/>
      <w:numFmt w:val="lowerLetter"/>
      <w:isLgl w:val="false"/>
      <w:suff w:val="tab"/>
      <w:lvlText w:val="%8)"/>
      <w:lvlJc w:val="left"/>
      <w:pPr>
        <w:pStyle w:val="986"/>
        <w:ind w:left="3360" w:hanging="420"/>
        <w:tabs>
          <w:tab w:val="num" w:pos="3360" w:leader="none"/>
        </w:tabs>
      </w:pPr>
    </w:lvl>
    <w:lvl w:ilvl="8">
      <w:start w:val="1"/>
      <w:numFmt w:val="lowerRoman"/>
      <w:isLgl w:val="false"/>
      <w:suff w:val="tab"/>
      <w:lvlText w:val="%9."/>
      <w:lvlJc w:val="right"/>
      <w:pPr>
        <w:pStyle w:val="986"/>
        <w:ind w:left="3780" w:hanging="420"/>
        <w:tabs>
          <w:tab w:val="num" w:pos="3780" w:leader="none"/>
        </w:tabs>
      </w:pPr>
    </w:lvl>
  </w:abstractNum>
  <w:abstractNum w:abstractNumId="4">
    <w:multiLevelType w:val="hybridMultilevel"/>
    <w:lvl w:ilvl="0">
      <w:start w:val="1"/>
      <w:numFmt w:val="japaneseCounting"/>
      <w:isLgl w:val="false"/>
      <w:suff w:val="tab"/>
      <w:lvlText w:val="第%1条"/>
      <w:lvlJc w:val="left"/>
      <w:pPr>
        <w:pStyle w:val="986"/>
        <w:ind w:left="1080" w:hanging="1080"/>
      </w:pPr>
    </w:lvl>
    <w:lvl w:ilvl="1">
      <w:start w:val="1"/>
      <w:numFmt w:val="decimal"/>
      <w:isLgl w:val="false"/>
      <w:suff w:val="tab"/>
      <w:lvlText w:val="%2、"/>
      <w:lvlJc w:val="left"/>
      <w:pPr>
        <w:pStyle w:val="986"/>
        <w:ind w:left="780" w:hanging="360"/>
      </w:pPr>
      <w:rPr>
        <w:u w:val="none"/>
      </w:rPr>
    </w:lvl>
    <w:lvl w:ilvl="2">
      <w:start w:val="1"/>
      <w:numFmt w:val="decimal"/>
      <w:isLgl w:val="false"/>
      <w:suff w:val="tab"/>
      <w:lvlText w:val="（%3）"/>
      <w:lvlJc w:val="left"/>
      <w:pPr>
        <w:pStyle w:val="986"/>
        <w:ind w:left="1560" w:hanging="720"/>
      </w:pPr>
      <w:rPr>
        <w:rFonts w:ascii="仿宋_GB2312" w:eastAsia="仿宋_GB2312"/>
        <w:b w:val="0"/>
        <w:sz w:val="24"/>
      </w:rPr>
    </w:lvl>
    <w:lvl w:ilvl="3">
      <w:start w:val="1"/>
      <w:numFmt w:val="decimal"/>
      <w:isLgl w:val="false"/>
      <w:suff w:val="tab"/>
      <w:lvlText w:val="%4."/>
      <w:lvlJc w:val="left"/>
      <w:pPr>
        <w:pStyle w:val="986"/>
        <w:ind w:left="1680" w:hanging="420"/>
      </w:pPr>
    </w:lvl>
    <w:lvl w:ilvl="4">
      <w:start w:val="1"/>
      <w:numFmt w:val="lowerLetter"/>
      <w:isLgl w:val="false"/>
      <w:suff w:val="tab"/>
      <w:lvlText w:val="%5)"/>
      <w:lvlJc w:val="left"/>
      <w:pPr>
        <w:pStyle w:val="986"/>
        <w:ind w:left="2100" w:hanging="420"/>
      </w:pPr>
    </w:lvl>
    <w:lvl w:ilvl="5">
      <w:start w:val="1"/>
      <w:numFmt w:val="lowerRoman"/>
      <w:isLgl w:val="false"/>
      <w:suff w:val="tab"/>
      <w:lvlText w:val="%6."/>
      <w:lvlJc w:val="right"/>
      <w:pPr>
        <w:pStyle w:val="986"/>
        <w:ind w:left="2520" w:hanging="420"/>
      </w:pPr>
    </w:lvl>
    <w:lvl w:ilvl="6">
      <w:start w:val="1"/>
      <w:numFmt w:val="decimal"/>
      <w:isLgl w:val="false"/>
      <w:suff w:val="tab"/>
      <w:lvlText w:val="%7."/>
      <w:lvlJc w:val="left"/>
      <w:pPr>
        <w:pStyle w:val="986"/>
        <w:ind w:left="2940" w:hanging="420"/>
      </w:pPr>
    </w:lvl>
    <w:lvl w:ilvl="7">
      <w:start w:val="1"/>
      <w:numFmt w:val="lowerLetter"/>
      <w:isLgl w:val="false"/>
      <w:suff w:val="tab"/>
      <w:lvlText w:val="%8)"/>
      <w:lvlJc w:val="left"/>
      <w:pPr>
        <w:pStyle w:val="986"/>
        <w:ind w:left="3360" w:hanging="420"/>
      </w:pPr>
    </w:lvl>
    <w:lvl w:ilvl="8">
      <w:start w:val="1"/>
      <w:numFmt w:val="lowerRoman"/>
      <w:isLgl w:val="false"/>
      <w:suff w:val="tab"/>
      <w:lvlText w:val="%9."/>
      <w:lvlJc w:val="right"/>
      <w:pPr>
        <w:pStyle w:val="986"/>
        <w:ind w:left="3780" w:hanging="420"/>
      </w:pPr>
    </w:lvl>
  </w:abstractNum>
  <w:abstractNum w:abstractNumId="5">
    <w:multiLevelType w:val="hybridMultilevel"/>
    <w:lvl w:ilvl="0">
      <w:start w:val="1"/>
      <w:numFmt w:val="chineseCounting"/>
      <w:isLgl w:val="false"/>
      <w:suff w:val="nothing"/>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7"/>
      <w:isLgl w:val="false"/>
      <w:suff w:val="tab"/>
      <w:lvlText w:val="(%1)"/>
      <w:lvlJc w:val="left"/>
      <w:pPr>
        <w:pStyle w:val="98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86"/>
        <w:ind w:left="840" w:hanging="420"/>
        <w:tabs>
          <w:tab w:val="num" w:pos="840" w:leader="none"/>
        </w:tabs>
      </w:pPr>
    </w:lvl>
    <w:lvl w:ilvl="2">
      <w:start w:val="1"/>
      <w:numFmt w:val="lowerRoman"/>
      <w:isLgl w:val="false"/>
      <w:suff w:val="tab"/>
      <w:lvlText w:val="%3."/>
      <w:lvlJc w:val="right"/>
      <w:pPr>
        <w:pStyle w:val="986"/>
        <w:ind w:left="1260" w:hanging="420"/>
        <w:tabs>
          <w:tab w:val="num" w:pos="1260" w:leader="none"/>
        </w:tabs>
      </w:pPr>
    </w:lvl>
    <w:lvl w:ilvl="3">
      <w:start w:val="1"/>
      <w:numFmt w:val="decimal"/>
      <w:isLgl w:val="false"/>
      <w:suff w:val="tab"/>
      <w:lvlText w:val="%4."/>
      <w:lvlJc w:val="left"/>
      <w:pPr>
        <w:pStyle w:val="986"/>
        <w:ind w:left="1680" w:hanging="420"/>
        <w:tabs>
          <w:tab w:val="num" w:pos="1680" w:leader="none"/>
        </w:tabs>
      </w:pPr>
    </w:lvl>
    <w:lvl w:ilvl="4">
      <w:start w:val="1"/>
      <w:numFmt w:val="lowerLetter"/>
      <w:isLgl w:val="false"/>
      <w:suff w:val="tab"/>
      <w:lvlText w:val="%5)"/>
      <w:lvlJc w:val="left"/>
      <w:pPr>
        <w:pStyle w:val="986"/>
        <w:ind w:left="2100" w:hanging="420"/>
        <w:tabs>
          <w:tab w:val="num" w:pos="2100" w:leader="none"/>
        </w:tabs>
      </w:pPr>
    </w:lvl>
    <w:lvl w:ilvl="5">
      <w:start w:val="1"/>
      <w:numFmt w:val="lowerRoman"/>
      <w:isLgl w:val="false"/>
      <w:suff w:val="tab"/>
      <w:lvlText w:val="%6."/>
      <w:lvlJc w:val="right"/>
      <w:pPr>
        <w:pStyle w:val="986"/>
        <w:ind w:left="2520" w:hanging="420"/>
        <w:tabs>
          <w:tab w:val="num" w:pos="2520" w:leader="none"/>
        </w:tabs>
      </w:pPr>
    </w:lvl>
    <w:lvl w:ilvl="6">
      <w:start w:val="1"/>
      <w:numFmt w:val="decimal"/>
      <w:isLgl w:val="false"/>
      <w:suff w:val="tab"/>
      <w:lvlText w:val="%7."/>
      <w:lvlJc w:val="left"/>
      <w:pPr>
        <w:pStyle w:val="986"/>
        <w:ind w:left="2940" w:hanging="420"/>
        <w:tabs>
          <w:tab w:val="num" w:pos="2940" w:leader="none"/>
        </w:tabs>
      </w:pPr>
    </w:lvl>
    <w:lvl w:ilvl="7">
      <w:start w:val="1"/>
      <w:numFmt w:val="lowerLetter"/>
      <w:isLgl w:val="false"/>
      <w:suff w:val="tab"/>
      <w:lvlText w:val="%8)"/>
      <w:lvlJc w:val="left"/>
      <w:pPr>
        <w:pStyle w:val="986"/>
        <w:ind w:left="3360" w:hanging="420"/>
        <w:tabs>
          <w:tab w:val="num" w:pos="3360" w:leader="none"/>
        </w:tabs>
      </w:pPr>
    </w:lvl>
    <w:lvl w:ilvl="8">
      <w:start w:val="1"/>
      <w:numFmt w:val="lowerRoman"/>
      <w:isLgl w:val="false"/>
      <w:suff w:val="tab"/>
      <w:lvlText w:val="%9."/>
      <w:lvlJc w:val="right"/>
      <w:pPr>
        <w:pStyle w:val="986"/>
        <w:ind w:left="3780" w:hanging="420"/>
        <w:tabs>
          <w:tab w:val="num" w:pos="3780" w:leader="none"/>
        </w:tabs>
      </w:pPr>
    </w:lvl>
  </w:abstractNum>
  <w:abstractNum w:abstractNumId="7">
    <w:multiLevelType w:val="hybridMultilevel"/>
    <w:lvl w:ilvl="0">
      <w:start w:val="1"/>
      <w:numFmt w:val="bullet"/>
      <w:pStyle w:val="1115"/>
      <w:isLgl w:val="false"/>
      <w:suff w:val="tab"/>
      <w:lvlText w:val=""/>
      <w:lvlJc w:val="left"/>
      <w:pPr>
        <w:pStyle w:val="98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2"/>
      <w:isLgl w:val="false"/>
      <w:suff w:val="tab"/>
      <w:lvlText w:val="%1"/>
      <w:lvlJc w:val="left"/>
      <w:pPr>
        <w:pStyle w:val="986"/>
        <w:ind w:left="567" w:hanging="567"/>
        <w:tabs>
          <w:tab w:val="num" w:pos="567" w:leader="none"/>
        </w:tabs>
      </w:pPr>
      <w:rPr>
        <w:rFonts w:hint="eastAsia"/>
      </w:rPr>
    </w:lvl>
    <w:lvl w:ilvl="1">
      <w:start w:val="1"/>
      <w:numFmt w:val="decimal"/>
      <w:pStyle w:val="1121"/>
      <w:isLgl w:val="false"/>
      <w:suff w:val="tab"/>
      <w:lvlText w:val="%1.%2"/>
      <w:lvlJc w:val="left"/>
      <w:pPr>
        <w:pStyle w:val="986"/>
        <w:ind w:left="567" w:hanging="283"/>
        <w:tabs>
          <w:tab w:val="num" w:pos="1004" w:leader="none"/>
        </w:tabs>
      </w:pPr>
      <w:rPr>
        <w:rFonts w:hint="eastAsia"/>
      </w:rPr>
    </w:lvl>
    <w:lvl w:ilvl="2">
      <w:start w:val="1"/>
      <w:numFmt w:val="decimal"/>
      <w:isLgl w:val="false"/>
      <w:suff w:val="tab"/>
      <w:lvlText w:val="%1.%2.%3"/>
      <w:lvlJc w:val="left"/>
      <w:pPr>
        <w:pStyle w:val="986"/>
        <w:ind w:left="1134" w:hanging="567"/>
        <w:tabs>
          <w:tab w:val="num" w:pos="1647" w:leader="none"/>
        </w:tabs>
      </w:pPr>
      <w:rPr>
        <w:rFonts w:hint="eastAsia"/>
      </w:rPr>
    </w:lvl>
    <w:lvl w:ilvl="3">
      <w:start w:val="1"/>
      <w:numFmt w:val="decimal"/>
      <w:isLgl w:val="false"/>
      <w:suff w:val="tab"/>
      <w:lvlText w:val="%1.%2.%3.%4"/>
      <w:lvlJc w:val="left"/>
      <w:pPr>
        <w:pStyle w:val="986"/>
        <w:ind w:left="2851" w:hanging="708"/>
        <w:tabs>
          <w:tab w:val="num" w:pos="3223" w:leader="none"/>
        </w:tabs>
      </w:pPr>
      <w:rPr>
        <w:rFonts w:hint="eastAsia"/>
      </w:rPr>
    </w:lvl>
    <w:lvl w:ilvl="4">
      <w:start w:val="1"/>
      <w:numFmt w:val="decimal"/>
      <w:isLgl w:val="false"/>
      <w:suff w:val="tab"/>
      <w:lvlText w:val="%1.%2.%3.%4.%5"/>
      <w:lvlJc w:val="left"/>
      <w:pPr>
        <w:pStyle w:val="986"/>
        <w:ind w:left="3418" w:hanging="850"/>
        <w:tabs>
          <w:tab w:val="num" w:pos="3648" w:leader="none"/>
        </w:tabs>
      </w:pPr>
      <w:rPr>
        <w:rFonts w:hint="eastAsia"/>
      </w:rPr>
    </w:lvl>
    <w:lvl w:ilvl="5">
      <w:start w:val="1"/>
      <w:numFmt w:val="decimal"/>
      <w:isLgl w:val="false"/>
      <w:suff w:val="tab"/>
      <w:lvlText w:val="%1.%2.%3.%4.%5.%6"/>
      <w:lvlJc w:val="left"/>
      <w:pPr>
        <w:pStyle w:val="986"/>
        <w:ind w:left="4127" w:hanging="1134"/>
        <w:tabs>
          <w:tab w:val="num" w:pos="4433" w:leader="none"/>
        </w:tabs>
      </w:pPr>
      <w:rPr>
        <w:rFonts w:hint="eastAsia"/>
      </w:rPr>
    </w:lvl>
    <w:lvl w:ilvl="6">
      <w:start w:val="1"/>
      <w:numFmt w:val="decimal"/>
      <w:isLgl w:val="false"/>
      <w:suff w:val="tab"/>
      <w:lvlText w:val="%1.%2.%3.%4.%5.%6.%7"/>
      <w:lvlJc w:val="left"/>
      <w:pPr>
        <w:pStyle w:val="986"/>
        <w:ind w:left="4694" w:hanging="1276"/>
        <w:tabs>
          <w:tab w:val="num" w:pos="4858" w:leader="none"/>
        </w:tabs>
      </w:pPr>
      <w:rPr>
        <w:rFonts w:hint="eastAsia"/>
      </w:rPr>
    </w:lvl>
    <w:lvl w:ilvl="7">
      <w:start w:val="1"/>
      <w:numFmt w:val="decimal"/>
      <w:isLgl w:val="false"/>
      <w:suff w:val="tab"/>
      <w:lvlText w:val="%1.%2.%3.%4.%5.%6.%7.%8"/>
      <w:lvlJc w:val="left"/>
      <w:pPr>
        <w:pStyle w:val="986"/>
        <w:ind w:left="5261" w:hanging="1418"/>
        <w:tabs>
          <w:tab w:val="num" w:pos="5643" w:leader="none"/>
        </w:tabs>
      </w:pPr>
      <w:rPr>
        <w:rFonts w:hint="eastAsia"/>
      </w:rPr>
    </w:lvl>
    <w:lvl w:ilvl="8">
      <w:start w:val="1"/>
      <w:numFmt w:val="decimal"/>
      <w:isLgl w:val="false"/>
      <w:suff w:val="tab"/>
      <w:lvlText w:val="%1.%2.%3.%4.%5.%6.%7.%8.%9"/>
      <w:lvlJc w:val="left"/>
      <w:pPr>
        <w:pStyle w:val="986"/>
        <w:ind w:left="5969" w:hanging="1700"/>
        <w:tabs>
          <w:tab w:val="num" w:pos="6429" w:leader="none"/>
        </w:tabs>
      </w:pPr>
      <w:rPr>
        <w:rFonts w:hint="eastAsia"/>
      </w:rPr>
    </w:lvl>
  </w:abstractNum>
  <w:abstractNum w:abstractNumId="9">
    <w:multiLevelType w:val="hybridMultilevel"/>
    <w:lvl w:ilvl="0">
      <w:start w:val="1"/>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7"/>
  </w:num>
  <w:num w:numId="4">
    <w:abstractNumId w:val="6"/>
  </w:num>
  <w:num w:numId="5">
    <w:abstractNumId w:val="3"/>
  </w:num>
  <w:num w:numId="6">
    <w:abstractNumId w:val="1"/>
  </w:num>
  <w:num w:numId="7">
    <w:abstractNumId w:val="0"/>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Heading 1"/>
    <w:basedOn w:val="986"/>
    <w:next w:val="986"/>
    <w:link w:val="809"/>
    <w:uiPriority w:val="9"/>
    <w:qFormat/>
    <w:pPr>
      <w:keepLines/>
      <w:keepNext/>
      <w:spacing w:before="480" w:after="200"/>
      <w:outlineLvl w:val="0"/>
    </w:pPr>
    <w:rPr>
      <w:rFonts w:ascii="Arial" w:hAnsi="Arial" w:eastAsia="Arial" w:cs="Arial"/>
      <w:sz w:val="40"/>
      <w:szCs w:val="40"/>
    </w:rPr>
  </w:style>
  <w:style w:type="character" w:styleId="809">
    <w:name w:val="Heading 1 Char"/>
    <w:link w:val="808"/>
    <w:uiPriority w:val="9"/>
    <w:rPr>
      <w:rFonts w:ascii="Arial" w:hAnsi="Arial" w:eastAsia="Arial" w:cs="Arial"/>
      <w:sz w:val="40"/>
      <w:szCs w:val="40"/>
    </w:rPr>
  </w:style>
  <w:style w:type="paragraph" w:styleId="810">
    <w:name w:val="Heading 2"/>
    <w:basedOn w:val="986"/>
    <w:next w:val="986"/>
    <w:link w:val="811"/>
    <w:uiPriority w:val="9"/>
    <w:unhideWhenUsed/>
    <w:qFormat/>
    <w:pPr>
      <w:keepLines/>
      <w:keepNext/>
      <w:spacing w:before="360" w:after="200"/>
      <w:outlineLvl w:val="1"/>
    </w:pPr>
    <w:rPr>
      <w:rFonts w:ascii="Arial" w:hAnsi="Arial" w:eastAsia="Arial" w:cs="Arial"/>
      <w:sz w:val="34"/>
    </w:rPr>
  </w:style>
  <w:style w:type="character" w:styleId="811">
    <w:name w:val="Heading 2 Char"/>
    <w:link w:val="810"/>
    <w:uiPriority w:val="9"/>
    <w:rPr>
      <w:rFonts w:ascii="Arial" w:hAnsi="Arial" w:eastAsia="Arial" w:cs="Arial"/>
      <w:sz w:val="34"/>
    </w:rPr>
  </w:style>
  <w:style w:type="paragraph" w:styleId="812">
    <w:name w:val="Heading 3"/>
    <w:basedOn w:val="986"/>
    <w:next w:val="986"/>
    <w:link w:val="813"/>
    <w:uiPriority w:val="9"/>
    <w:unhideWhenUsed/>
    <w:qFormat/>
    <w:pPr>
      <w:keepLines/>
      <w:keepNext/>
      <w:spacing w:before="320" w:after="200"/>
      <w:outlineLvl w:val="2"/>
    </w:pPr>
    <w:rPr>
      <w:rFonts w:ascii="Arial" w:hAnsi="Arial" w:eastAsia="Arial" w:cs="Arial"/>
      <w:sz w:val="30"/>
      <w:szCs w:val="30"/>
    </w:rPr>
  </w:style>
  <w:style w:type="character" w:styleId="813">
    <w:name w:val="Heading 3 Char"/>
    <w:link w:val="812"/>
    <w:uiPriority w:val="9"/>
    <w:rPr>
      <w:rFonts w:ascii="Arial" w:hAnsi="Arial" w:eastAsia="Arial" w:cs="Arial"/>
      <w:sz w:val="30"/>
      <w:szCs w:val="30"/>
    </w:rPr>
  </w:style>
  <w:style w:type="paragraph" w:styleId="814">
    <w:name w:val="Heading 4"/>
    <w:basedOn w:val="986"/>
    <w:next w:val="986"/>
    <w:link w:val="815"/>
    <w:uiPriority w:val="9"/>
    <w:unhideWhenUsed/>
    <w:qFormat/>
    <w:pPr>
      <w:keepLines/>
      <w:keepNext/>
      <w:spacing w:before="320" w:after="200"/>
      <w:outlineLvl w:val="3"/>
    </w:pPr>
    <w:rPr>
      <w:rFonts w:ascii="Arial" w:hAnsi="Arial" w:eastAsia="Arial" w:cs="Arial"/>
      <w:b/>
      <w:bCs/>
      <w:sz w:val="26"/>
      <w:szCs w:val="26"/>
    </w:rPr>
  </w:style>
  <w:style w:type="character" w:styleId="815">
    <w:name w:val="Heading 4 Char"/>
    <w:link w:val="814"/>
    <w:uiPriority w:val="9"/>
    <w:rPr>
      <w:rFonts w:ascii="Arial" w:hAnsi="Arial" w:eastAsia="Arial" w:cs="Arial"/>
      <w:b/>
      <w:bCs/>
      <w:sz w:val="26"/>
      <w:szCs w:val="26"/>
    </w:rPr>
  </w:style>
  <w:style w:type="paragraph" w:styleId="816">
    <w:name w:val="Heading 5"/>
    <w:basedOn w:val="986"/>
    <w:next w:val="986"/>
    <w:link w:val="817"/>
    <w:uiPriority w:val="9"/>
    <w:unhideWhenUsed/>
    <w:qFormat/>
    <w:pPr>
      <w:keepLines/>
      <w:keepNext/>
      <w:spacing w:before="320" w:after="200"/>
      <w:outlineLvl w:val="4"/>
    </w:pPr>
    <w:rPr>
      <w:rFonts w:ascii="Arial" w:hAnsi="Arial" w:eastAsia="Arial" w:cs="Arial"/>
      <w:b/>
      <w:bCs/>
      <w:sz w:val="24"/>
      <w:szCs w:val="24"/>
    </w:rPr>
  </w:style>
  <w:style w:type="character" w:styleId="817">
    <w:name w:val="Heading 5 Char"/>
    <w:link w:val="816"/>
    <w:uiPriority w:val="9"/>
    <w:rPr>
      <w:rFonts w:ascii="Arial" w:hAnsi="Arial" w:eastAsia="Arial" w:cs="Arial"/>
      <w:b/>
      <w:bCs/>
      <w:sz w:val="24"/>
      <w:szCs w:val="24"/>
    </w:rPr>
  </w:style>
  <w:style w:type="paragraph" w:styleId="818">
    <w:name w:val="Heading 6"/>
    <w:basedOn w:val="986"/>
    <w:next w:val="986"/>
    <w:link w:val="819"/>
    <w:uiPriority w:val="9"/>
    <w:unhideWhenUsed/>
    <w:qFormat/>
    <w:pPr>
      <w:keepLines/>
      <w:keepNext/>
      <w:spacing w:before="320" w:after="200"/>
      <w:outlineLvl w:val="5"/>
    </w:pPr>
    <w:rPr>
      <w:rFonts w:ascii="Arial" w:hAnsi="Arial" w:eastAsia="Arial" w:cs="Arial"/>
      <w:b/>
      <w:bCs/>
      <w:sz w:val="22"/>
      <w:szCs w:val="22"/>
    </w:rPr>
  </w:style>
  <w:style w:type="character" w:styleId="819">
    <w:name w:val="Heading 6 Char"/>
    <w:link w:val="818"/>
    <w:uiPriority w:val="9"/>
    <w:rPr>
      <w:rFonts w:ascii="Arial" w:hAnsi="Arial" w:eastAsia="Arial" w:cs="Arial"/>
      <w:b/>
      <w:bCs/>
      <w:sz w:val="22"/>
      <w:szCs w:val="22"/>
    </w:rPr>
  </w:style>
  <w:style w:type="paragraph" w:styleId="820">
    <w:name w:val="Heading 7"/>
    <w:basedOn w:val="986"/>
    <w:next w:val="986"/>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name w:val="Heading 7 Char"/>
    <w:link w:val="820"/>
    <w:uiPriority w:val="9"/>
    <w:rPr>
      <w:rFonts w:ascii="Arial" w:hAnsi="Arial" w:eastAsia="Arial" w:cs="Arial"/>
      <w:b/>
      <w:bCs/>
      <w:i/>
      <w:iCs/>
      <w:sz w:val="22"/>
      <w:szCs w:val="22"/>
    </w:rPr>
  </w:style>
  <w:style w:type="paragraph" w:styleId="822">
    <w:name w:val="Heading 8"/>
    <w:basedOn w:val="986"/>
    <w:next w:val="986"/>
    <w:link w:val="823"/>
    <w:uiPriority w:val="9"/>
    <w:unhideWhenUsed/>
    <w:qFormat/>
    <w:pPr>
      <w:keepLines/>
      <w:keepNext/>
      <w:spacing w:before="320" w:after="200"/>
      <w:outlineLvl w:val="7"/>
    </w:pPr>
    <w:rPr>
      <w:rFonts w:ascii="Arial" w:hAnsi="Arial" w:eastAsia="Arial" w:cs="Arial"/>
      <w:i/>
      <w:iCs/>
      <w:sz w:val="22"/>
      <w:szCs w:val="22"/>
    </w:rPr>
  </w:style>
  <w:style w:type="character" w:styleId="823">
    <w:name w:val="Heading 8 Char"/>
    <w:link w:val="822"/>
    <w:uiPriority w:val="9"/>
    <w:rPr>
      <w:rFonts w:ascii="Arial" w:hAnsi="Arial" w:eastAsia="Arial" w:cs="Arial"/>
      <w:i/>
      <w:iCs/>
      <w:sz w:val="22"/>
      <w:szCs w:val="22"/>
    </w:rPr>
  </w:style>
  <w:style w:type="paragraph" w:styleId="824">
    <w:name w:val="Heading 9"/>
    <w:basedOn w:val="986"/>
    <w:next w:val="986"/>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link w:val="824"/>
    <w:uiPriority w:val="9"/>
    <w:rPr>
      <w:rFonts w:ascii="Arial" w:hAnsi="Arial" w:eastAsia="Arial" w:cs="Arial"/>
      <w:i/>
      <w:iCs/>
      <w:sz w:val="21"/>
      <w:szCs w:val="21"/>
    </w:rPr>
  </w:style>
  <w:style w:type="paragraph" w:styleId="826">
    <w:name w:val="List Paragraph"/>
    <w:basedOn w:val="986"/>
    <w:uiPriority w:val="34"/>
    <w:qFormat/>
    <w:pPr>
      <w:contextualSpacing/>
      <w:ind w:left="720"/>
    </w:pPr>
  </w:style>
  <w:style w:type="paragraph" w:styleId="827">
    <w:name w:val="No Spacing"/>
    <w:uiPriority w:val="1"/>
    <w:qFormat/>
    <w:pPr>
      <w:spacing w:before="0" w:after="0" w:line="240" w:lineRule="auto"/>
    </w:pPr>
  </w:style>
  <w:style w:type="paragraph" w:styleId="828">
    <w:name w:val="Title"/>
    <w:basedOn w:val="986"/>
    <w:next w:val="986"/>
    <w:link w:val="829"/>
    <w:uiPriority w:val="10"/>
    <w:qFormat/>
    <w:pPr>
      <w:contextualSpacing/>
      <w:spacing w:before="300" w:after="200"/>
    </w:pPr>
    <w:rPr>
      <w:sz w:val="48"/>
      <w:szCs w:val="48"/>
    </w:rPr>
  </w:style>
  <w:style w:type="character" w:styleId="829">
    <w:name w:val="Title Char"/>
    <w:link w:val="828"/>
    <w:uiPriority w:val="10"/>
    <w:rPr>
      <w:sz w:val="48"/>
      <w:szCs w:val="48"/>
    </w:rPr>
  </w:style>
  <w:style w:type="paragraph" w:styleId="830">
    <w:name w:val="Subtitle"/>
    <w:basedOn w:val="986"/>
    <w:next w:val="986"/>
    <w:link w:val="831"/>
    <w:uiPriority w:val="11"/>
    <w:qFormat/>
    <w:pPr>
      <w:spacing w:before="200" w:after="200"/>
    </w:pPr>
    <w:rPr>
      <w:sz w:val="24"/>
      <w:szCs w:val="24"/>
    </w:rPr>
  </w:style>
  <w:style w:type="character" w:styleId="831">
    <w:name w:val="Subtitle Char"/>
    <w:link w:val="830"/>
    <w:uiPriority w:val="11"/>
    <w:rPr>
      <w:sz w:val="24"/>
      <w:szCs w:val="24"/>
    </w:rPr>
  </w:style>
  <w:style w:type="paragraph" w:styleId="832">
    <w:name w:val="Quote"/>
    <w:basedOn w:val="986"/>
    <w:next w:val="986"/>
    <w:link w:val="833"/>
    <w:uiPriority w:val="29"/>
    <w:qFormat/>
    <w:pPr>
      <w:ind w:left="720" w:right="720"/>
    </w:pPr>
    <w:rPr>
      <w:i/>
    </w:rPr>
  </w:style>
  <w:style w:type="character" w:styleId="833">
    <w:name w:val="Quote Char"/>
    <w:link w:val="832"/>
    <w:uiPriority w:val="29"/>
    <w:rPr>
      <w:i/>
    </w:rPr>
  </w:style>
  <w:style w:type="paragraph" w:styleId="834">
    <w:name w:val="Intense Quote"/>
    <w:basedOn w:val="986"/>
    <w:next w:val="9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link w:val="834"/>
    <w:uiPriority w:val="30"/>
    <w:rPr>
      <w:i/>
    </w:rPr>
  </w:style>
  <w:style w:type="paragraph" w:styleId="836">
    <w:name w:val="Header"/>
    <w:basedOn w:val="986"/>
    <w:link w:val="837"/>
    <w:uiPriority w:val="99"/>
    <w:unhideWhenUsed/>
    <w:pPr>
      <w:spacing w:after="0" w:line="240" w:lineRule="auto"/>
      <w:tabs>
        <w:tab w:val="center" w:pos="7143" w:leader="none"/>
        <w:tab w:val="right" w:pos="14287" w:leader="none"/>
      </w:tabs>
    </w:pPr>
  </w:style>
  <w:style w:type="character" w:styleId="837">
    <w:name w:val="Header Char"/>
    <w:link w:val="836"/>
    <w:uiPriority w:val="99"/>
  </w:style>
  <w:style w:type="paragraph" w:styleId="838">
    <w:name w:val="Footer"/>
    <w:basedOn w:val="986"/>
    <w:link w:val="841"/>
    <w:uiPriority w:val="99"/>
    <w:unhideWhenUsed/>
    <w:pPr>
      <w:spacing w:after="0" w:line="240" w:lineRule="auto"/>
      <w:tabs>
        <w:tab w:val="center" w:pos="7143" w:leader="none"/>
        <w:tab w:val="right" w:pos="14287" w:leader="none"/>
      </w:tabs>
    </w:pPr>
  </w:style>
  <w:style w:type="character" w:styleId="839">
    <w:name w:val="Footer Char"/>
    <w:link w:val="838"/>
    <w:uiPriority w:val="99"/>
  </w:style>
  <w:style w:type="paragraph" w:styleId="840">
    <w:name w:val="Caption"/>
    <w:basedOn w:val="986"/>
    <w:next w:val="986"/>
    <w:uiPriority w:val="35"/>
    <w:semiHidden/>
    <w:unhideWhenUsed/>
    <w:qFormat/>
    <w:pPr>
      <w:spacing w:line="276" w:lineRule="auto"/>
    </w:pPr>
    <w:rPr>
      <w:b/>
      <w:bCs/>
      <w:color w:val="4f81bd" w:themeColor="accent1"/>
      <w:sz w:val="18"/>
      <w:szCs w:val="18"/>
    </w:rPr>
  </w:style>
  <w:style w:type="character" w:styleId="841">
    <w:name w:val="Caption Char"/>
    <w:basedOn w:val="840"/>
    <w:link w:val="838"/>
    <w:uiPriority w:val="99"/>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Hyperlink"/>
    <w:uiPriority w:val="99"/>
    <w:unhideWhenUsed/>
    <w:rPr>
      <w:color w:val="0000ff" w:themeColor="hyperlink"/>
      <w:u w:val="single"/>
    </w:rPr>
  </w:style>
  <w:style w:type="paragraph" w:styleId="969">
    <w:name w:val="footnote text"/>
    <w:basedOn w:val="98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uiPriority w:val="99"/>
    <w:unhideWhenUsed/>
    <w:rPr>
      <w:vertAlign w:val="superscript"/>
    </w:rPr>
  </w:style>
  <w:style w:type="paragraph" w:styleId="972">
    <w:name w:val="endnote text"/>
    <w:basedOn w:val="98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uiPriority w:val="99"/>
    <w:semiHidden/>
    <w:unhideWhenUsed/>
    <w:rPr>
      <w:vertAlign w:val="superscript"/>
    </w:rPr>
  </w:style>
  <w:style w:type="paragraph" w:styleId="975">
    <w:name w:val="toc 1"/>
    <w:basedOn w:val="986"/>
    <w:next w:val="986"/>
    <w:uiPriority w:val="39"/>
    <w:unhideWhenUsed/>
    <w:pPr>
      <w:ind w:left="0" w:right="0" w:firstLine="0"/>
      <w:spacing w:after="57"/>
    </w:p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86"/>
    <w:link w:val="986"/>
    <w:qFormat/>
    <w:pPr>
      <w:jc w:val="both"/>
      <w:widowControl w:val="off"/>
    </w:pPr>
    <w:rPr>
      <w:sz w:val="21"/>
      <w:lang w:val="en-US" w:eastAsia="zh-CN" w:bidi="ar-SA"/>
    </w:rPr>
  </w:style>
  <w:style w:type="paragraph" w:styleId="987">
    <w:name w:val="标题 1"/>
    <w:basedOn w:val="986"/>
    <w:next w:val="986"/>
    <w:link w:val="992"/>
    <w:qFormat/>
    <w:pPr>
      <w:keepLines/>
      <w:keepNext/>
      <w:spacing w:before="340" w:beforeAutospacing="0" w:after="330" w:afterAutospacing="0" w:line="576" w:lineRule="auto"/>
      <w:outlineLvl w:val="0"/>
    </w:pPr>
    <w:rPr>
      <w:b/>
      <w:sz w:val="44"/>
    </w:rPr>
  </w:style>
  <w:style w:type="paragraph" w:styleId="988">
    <w:name w:val="标题 2"/>
    <w:basedOn w:val="986"/>
    <w:next w:val="986"/>
    <w:link w:val="986"/>
    <w:uiPriority w:val="99"/>
    <w:qFormat/>
    <w:pPr>
      <w:numPr>
        <w:ilvl w:val="1"/>
        <w:numId w:val="1"/>
      </w:numPr>
      <w:jc w:val="left"/>
      <w:keepLines/>
      <w:keepNext/>
      <w:spacing w:before="120" w:after="120"/>
      <w:outlineLvl w:val="1"/>
    </w:pPr>
    <w:rPr>
      <w:rFonts w:ascii="Cambria" w:hAnsi="Cambria" w:eastAsia="宋体" w:cs="Times New Roman"/>
      <w:b/>
      <w:bCs/>
      <w:sz w:val="32"/>
      <w:szCs w:val="32"/>
    </w:rPr>
  </w:style>
  <w:style w:type="paragraph" w:styleId="989">
    <w:name w:val="标题 4"/>
    <w:basedOn w:val="986"/>
    <w:next w:val="986"/>
    <w:link w:val="986"/>
    <w:uiPriority w:val="99"/>
    <w:qFormat/>
    <w:pPr>
      <w:numPr>
        <w:ilvl w:val="3"/>
        <w:numId w:val="1"/>
      </w:numPr>
      <w:keepLines/>
      <w:keepNext/>
      <w:spacing w:before="120" w:after="120"/>
      <w:outlineLvl w:val="3"/>
    </w:pPr>
    <w:rPr>
      <w:rFonts w:ascii="Cambria" w:hAnsi="Cambria"/>
      <w:b/>
      <w:bCs/>
      <w:sz w:val="28"/>
      <w:szCs w:val="28"/>
    </w:rPr>
  </w:style>
  <w:style w:type="character" w:styleId="990">
    <w:name w:val="默认段落字体"/>
    <w:next w:val="990"/>
    <w:link w:val="986"/>
    <w:semiHidden/>
    <w:qFormat/>
  </w:style>
  <w:style w:type="table" w:styleId="991">
    <w:name w:val="普通表格"/>
    <w:next w:val="991"/>
    <w:link w:val="986"/>
    <w:semiHidden/>
    <w:qFormat/>
    <w:tblPr/>
  </w:style>
  <w:style w:type="character" w:styleId="992">
    <w:name w:val="标题 1 字符1"/>
    <w:next w:val="992"/>
    <w:link w:val="987"/>
    <w:rPr>
      <w:b/>
      <w:sz w:val="44"/>
    </w:rPr>
  </w:style>
  <w:style w:type="paragraph" w:styleId="993">
    <w:name w:val="正文缩进"/>
    <w:basedOn w:val="986"/>
    <w:next w:val="993"/>
    <w:link w:val="986"/>
    <w:qFormat/>
    <w:pPr>
      <w:ind w:firstLine="420"/>
    </w:pPr>
    <w:rPr>
      <w:b/>
      <w:sz w:val="24"/>
      <w:szCs w:val="20"/>
    </w:rPr>
  </w:style>
  <w:style w:type="paragraph" w:styleId="994">
    <w:name w:val="批注文字"/>
    <w:basedOn w:val="986"/>
    <w:next w:val="994"/>
    <w:link w:val="995"/>
    <w:uiPriority w:val="99"/>
    <w:unhideWhenUsed/>
    <w:qFormat/>
    <w:pPr>
      <w:jc w:val="left"/>
    </w:pPr>
  </w:style>
  <w:style w:type="character" w:styleId="995">
    <w:name w:val="批注文字 字符1"/>
    <w:next w:val="995"/>
    <w:link w:val="994"/>
    <w:uiPriority w:val="99"/>
    <w:rPr>
      <w:sz w:val="21"/>
    </w:rPr>
  </w:style>
  <w:style w:type="paragraph" w:styleId="996">
    <w:name w:val="正文文本"/>
    <w:basedOn w:val="986"/>
    <w:next w:val="986"/>
    <w:link w:val="986"/>
    <w:uiPriority w:val="99"/>
    <w:qFormat/>
    <w:rPr>
      <w:sz w:val="20"/>
    </w:rPr>
  </w:style>
  <w:style w:type="paragraph" w:styleId="997">
    <w:name w:val="索引 4"/>
    <w:basedOn w:val="986"/>
    <w:next w:val="986"/>
    <w:link w:val="986"/>
    <w:uiPriority w:val="99"/>
    <w:unhideWhenUsed/>
    <w:qFormat/>
    <w:pPr>
      <w:ind w:left="600"/>
    </w:pPr>
    <w:rPr>
      <w:rFonts w:ascii="Verdana" w:hAnsi="Verdana"/>
      <w:szCs w:val="20"/>
    </w:rPr>
  </w:style>
  <w:style w:type="paragraph" w:styleId="998">
    <w:name w:val="目录 3"/>
    <w:basedOn w:val="986"/>
    <w:next w:val="986"/>
    <w:link w:val="986"/>
    <w:pPr>
      <w:ind w:left="840"/>
    </w:pPr>
  </w:style>
  <w:style w:type="paragraph" w:styleId="999">
    <w:name w:val="纯文本"/>
    <w:basedOn w:val="986"/>
    <w:next w:val="999"/>
    <w:link w:val="986"/>
    <w:uiPriority w:val="99"/>
    <w:qFormat/>
    <w:rPr>
      <w:rFonts w:ascii="Ari" w:cs="Ari"/>
      <w:sz w:val="20"/>
      <w:szCs w:val="20"/>
    </w:rPr>
  </w:style>
  <w:style w:type="paragraph" w:styleId="1000">
    <w:name w:val="批注框文本"/>
    <w:basedOn w:val="986"/>
    <w:next w:val="1000"/>
    <w:link w:val="1001"/>
    <w:rPr>
      <w:sz w:val="18"/>
      <w:szCs w:val="18"/>
    </w:rPr>
  </w:style>
  <w:style w:type="character" w:styleId="1001">
    <w:name w:val="批注框文本 字符1"/>
    <w:next w:val="1001"/>
    <w:link w:val="1000"/>
    <w:rPr>
      <w:sz w:val="18"/>
      <w:szCs w:val="18"/>
    </w:rPr>
  </w:style>
  <w:style w:type="paragraph" w:styleId="1002">
    <w:name w:val="页脚"/>
    <w:basedOn w:val="986"/>
    <w:next w:val="1002"/>
    <w:link w:val="986"/>
    <w:qFormat/>
    <w:pPr>
      <w:jc w:val="left"/>
      <w:tabs>
        <w:tab w:val="center" w:pos="4153" w:leader="none"/>
        <w:tab w:val="right" w:pos="8306" w:leader="none"/>
      </w:tabs>
    </w:pPr>
    <w:rPr>
      <w:sz w:val="18"/>
    </w:rPr>
  </w:style>
  <w:style w:type="paragraph" w:styleId="1003">
    <w:name w:val="页眉"/>
    <w:basedOn w:val="986"/>
    <w:next w:val="1003"/>
    <w:link w:val="1004"/>
    <w:pPr>
      <w:jc w:val="center"/>
      <w:tabs>
        <w:tab w:val="center" w:pos="4153" w:leader="none"/>
        <w:tab w:val="right" w:pos="8306" w:leader="none"/>
      </w:tabs>
      <w:pBdr>
        <w:bottom w:val="single" w:color="000000" w:sz="6" w:space="1"/>
      </w:pBdr>
    </w:pPr>
    <w:rPr>
      <w:sz w:val="18"/>
      <w:szCs w:val="18"/>
    </w:rPr>
  </w:style>
  <w:style w:type="character" w:styleId="1004">
    <w:name w:val="页眉 字符1"/>
    <w:next w:val="1004"/>
    <w:link w:val="1003"/>
    <w:rPr>
      <w:sz w:val="18"/>
      <w:szCs w:val="18"/>
    </w:rPr>
  </w:style>
  <w:style w:type="paragraph" w:styleId="1005">
    <w:name w:val="目录 1"/>
    <w:basedOn w:val="986"/>
    <w:next w:val="986"/>
    <w:link w:val="986"/>
  </w:style>
  <w:style w:type="paragraph" w:styleId="1006">
    <w:name w:val="目录 2"/>
    <w:basedOn w:val="986"/>
    <w:next w:val="986"/>
    <w:link w:val="986"/>
    <w:pPr>
      <w:ind w:left="420"/>
    </w:pPr>
  </w:style>
  <w:style w:type="paragraph" w:styleId="1007">
    <w:name w:val="普通(网站)"/>
    <w:basedOn w:val="986"/>
    <w:next w:val="1007"/>
    <w:link w:val="986"/>
    <w:qFormat/>
    <w:pPr>
      <w:ind w:left="0" w:right="0"/>
      <w:jc w:val="left"/>
      <w:spacing w:before="100" w:beforeAutospacing="1" w:after="100" w:afterAutospacing="1"/>
    </w:pPr>
    <w:rPr>
      <w:sz w:val="24"/>
      <w:lang w:val="en-US" w:eastAsia="zh-CN" w:bidi="ar"/>
    </w:rPr>
  </w:style>
  <w:style w:type="paragraph" w:styleId="1008">
    <w:name w:val="批注主题"/>
    <w:basedOn w:val="994"/>
    <w:next w:val="994"/>
    <w:link w:val="1009"/>
    <w:rPr>
      <w:b/>
      <w:bCs/>
    </w:rPr>
  </w:style>
  <w:style w:type="character" w:styleId="1009">
    <w:name w:val="批注主题 字符1"/>
    <w:next w:val="1009"/>
    <w:link w:val="1008"/>
    <w:rPr>
      <w:b/>
      <w:bCs/>
      <w:sz w:val="21"/>
    </w:rPr>
  </w:style>
  <w:style w:type="table" w:styleId="1010">
    <w:name w:val="网格型"/>
    <w:basedOn w:val="991"/>
    <w:next w:val="1010"/>
    <w:link w:val="986"/>
    <w:uiPriority w:val="99"/>
    <w:qFormat/>
    <w:tblPr/>
  </w:style>
  <w:style w:type="character" w:styleId="1011">
    <w:name w:val="要点"/>
    <w:next w:val="1011"/>
    <w:link w:val="986"/>
    <w:qFormat/>
    <w:rPr>
      <w:b/>
    </w:rPr>
  </w:style>
  <w:style w:type="character" w:styleId="1012">
    <w:name w:val="超链接"/>
    <w:next w:val="1012"/>
    <w:link w:val="986"/>
    <w:qFormat/>
    <w:rPr>
      <w:color w:val="0000ff"/>
      <w:u w:val="single"/>
    </w:rPr>
  </w:style>
  <w:style w:type="character" w:styleId="1013">
    <w:name w:val="批注引用"/>
    <w:next w:val="1013"/>
    <w:link w:val="986"/>
    <w:rPr>
      <w:sz w:val="21"/>
      <w:szCs w:val="21"/>
    </w:rPr>
  </w:style>
  <w:style w:type="character" w:styleId="1014">
    <w:name w:val="标题 1 字符"/>
    <w:next w:val="1014"/>
    <w:link w:val="1015"/>
    <w:qFormat/>
    <w:rPr>
      <w:rFonts w:ascii="黑体" w:eastAsia="黑体"/>
      <w:b/>
      <w:sz w:val="28"/>
    </w:rPr>
  </w:style>
  <w:style w:type="paragraph" w:styleId="1015">
    <w:name w:val="标题 11"/>
    <w:basedOn w:val="986"/>
    <w:next w:val="1015"/>
    <w:link w:val="1014"/>
    <w:qFormat/>
    <w:pPr>
      <w:numPr>
        <w:ilvl w:val="0"/>
        <w:numId w:val="1"/>
      </w:numPr>
      <w:keepNext/>
      <w:spacing w:before="312" w:after="312"/>
      <w:tabs>
        <w:tab w:val="left" w:pos="1440" w:leader="none"/>
        <w:tab w:val="left" w:pos="5670" w:leader="none"/>
      </w:tabs>
      <w:outlineLvl w:val="0"/>
    </w:pPr>
    <w:rPr>
      <w:rFonts w:ascii="黑体" w:eastAsia="黑体"/>
      <w:b/>
      <w:sz w:val="28"/>
    </w:rPr>
  </w:style>
  <w:style w:type="character" w:styleId="1016">
    <w:name w:val="标题 5 字符"/>
    <w:next w:val="1016"/>
    <w:link w:val="1017"/>
    <w:qFormat/>
    <w:rPr>
      <w:b/>
      <w:bCs/>
      <w:sz w:val="28"/>
      <w:szCs w:val="28"/>
    </w:rPr>
  </w:style>
  <w:style w:type="paragraph" w:styleId="1017">
    <w:name w:val="标题 51"/>
    <w:basedOn w:val="986"/>
    <w:next w:val="1017"/>
    <w:link w:val="1016"/>
    <w:qFormat/>
    <w:pPr>
      <w:numPr>
        <w:ilvl w:val="4"/>
        <w:numId w:val="1"/>
      </w:numPr>
      <w:keepNext/>
      <w:spacing w:before="156" w:after="156"/>
      <w:outlineLvl w:val="4"/>
    </w:pPr>
    <w:rPr>
      <w:b/>
      <w:bCs/>
      <w:sz w:val="28"/>
      <w:szCs w:val="28"/>
    </w:rPr>
  </w:style>
  <w:style w:type="character" w:styleId="1018">
    <w:name w:val="正文文本缩进 2 字符"/>
    <w:next w:val="1018"/>
    <w:link w:val="1019"/>
    <w:semiHidden/>
    <w:qFormat/>
    <w:rPr>
      <w:sz w:val="20"/>
      <w:szCs w:val="20"/>
    </w:rPr>
  </w:style>
  <w:style w:type="paragraph" w:styleId="1019">
    <w:name w:val="正文文本缩进 21"/>
    <w:basedOn w:val="986"/>
    <w:next w:val="1019"/>
    <w:link w:val="1018"/>
    <w:qFormat/>
    <w:pPr>
      <w:ind w:left="630" w:firstLine="645"/>
    </w:pPr>
    <w:rPr>
      <w:sz w:val="20"/>
    </w:rPr>
  </w:style>
  <w:style w:type="character" w:styleId="1020">
    <w:name w:val="页脚 字符"/>
    <w:next w:val="1020"/>
    <w:link w:val="1021"/>
    <w:qFormat/>
    <w:rPr>
      <w:rFonts w:eastAsia="宋体"/>
      <w:sz w:val="18"/>
      <w:lang w:val="en-US" w:eastAsia="zh-CN" w:bidi="ar-SA"/>
    </w:rPr>
  </w:style>
  <w:style w:type="paragraph" w:styleId="1021">
    <w:name w:val="页脚1"/>
    <w:basedOn w:val="986"/>
    <w:next w:val="1021"/>
    <w:link w:val="1020"/>
    <w:qFormat/>
    <w:pPr>
      <w:jc w:val="left"/>
      <w:tabs>
        <w:tab w:val="center" w:pos="4153" w:leader="none"/>
        <w:tab w:val="right" w:pos="8306" w:leader="none"/>
      </w:tabs>
    </w:pPr>
    <w:rPr>
      <w:sz w:val="18"/>
    </w:rPr>
  </w:style>
  <w:style w:type="character" w:styleId="1022">
    <w:name w:val="文档结构图 字符"/>
    <w:next w:val="1022"/>
    <w:link w:val="1023"/>
    <w:semiHidden/>
    <w:qFormat/>
    <w:rPr>
      <w:sz w:val="2"/>
    </w:rPr>
  </w:style>
  <w:style w:type="paragraph" w:styleId="1023">
    <w:name w:val="文档结构图1"/>
    <w:basedOn w:val="986"/>
    <w:next w:val="1023"/>
    <w:link w:val="1022"/>
    <w:semiHidden/>
    <w:qFormat/>
    <w:pPr>
      <w:shd w:val="clear" w:color="auto" w:fill="000080"/>
    </w:pPr>
    <w:rPr>
      <w:sz w:val="2"/>
    </w:rPr>
  </w:style>
  <w:style w:type="character" w:styleId="1024">
    <w:name w:val="纯文本 Char1"/>
    <w:next w:val="1024"/>
    <w:link w:val="986"/>
    <w:qFormat/>
    <w:rPr>
      <w:rFonts w:ascii="宋体" w:hAnsi="Courier New" w:eastAsia="宋体"/>
      <w:sz w:val="21"/>
      <w:lang w:val="en-US" w:eastAsia="zh-CN" w:bidi="ar-SA"/>
    </w:rPr>
  </w:style>
  <w:style w:type="character" w:styleId="1025">
    <w:name w:val="标题 3 字符"/>
    <w:next w:val="1025"/>
    <w:link w:val="1026"/>
    <w:qFormat/>
    <w:rPr>
      <w:b/>
      <w:bCs/>
      <w:sz w:val="32"/>
      <w:szCs w:val="32"/>
    </w:rPr>
  </w:style>
  <w:style w:type="paragraph" w:styleId="1026">
    <w:name w:val="标题 31"/>
    <w:basedOn w:val="986"/>
    <w:next w:val="1026"/>
    <w:link w:val="1025"/>
    <w:qFormat/>
    <w:pPr>
      <w:numPr>
        <w:ilvl w:val="2"/>
        <w:numId w:val="1"/>
      </w:numPr>
      <w:keepLines/>
      <w:keepNext/>
      <w:spacing w:before="120" w:after="120"/>
      <w:outlineLvl w:val="2"/>
    </w:pPr>
    <w:rPr>
      <w:b/>
      <w:bCs/>
      <w:sz w:val="32"/>
      <w:szCs w:val="32"/>
    </w:rPr>
  </w:style>
  <w:style w:type="character" w:styleId="1027">
    <w:name w:val="批注文字 字符"/>
    <w:next w:val="1027"/>
    <w:link w:val="1028"/>
    <w:qFormat/>
    <w:rPr>
      <w:sz w:val="20"/>
      <w:szCs w:val="20"/>
    </w:rPr>
  </w:style>
  <w:style w:type="paragraph" w:styleId="1028">
    <w:name w:val="批注文字1"/>
    <w:basedOn w:val="986"/>
    <w:next w:val="1028"/>
    <w:link w:val="1027"/>
    <w:qFormat/>
    <w:pPr>
      <w:jc w:val="left"/>
    </w:pPr>
    <w:rPr>
      <w:sz w:val="20"/>
    </w:rPr>
  </w:style>
  <w:style w:type="character" w:styleId="1029">
    <w:name w:val="默认段落字体1"/>
    <w:next w:val="1029"/>
    <w:link w:val="986"/>
    <w:qFormat/>
  </w:style>
  <w:style w:type="character" w:styleId="1030">
    <w:name w:val="标题 1 Char"/>
    <w:next w:val="1030"/>
    <w:link w:val="986"/>
    <w:qFormat/>
    <w:rPr>
      <w:b/>
      <w:bCs/>
      <w:sz w:val="32"/>
      <w:szCs w:val="44"/>
    </w:rPr>
  </w:style>
  <w:style w:type="character" w:styleId="1031">
    <w:name w:val="二级目录 Char"/>
    <w:next w:val="1031"/>
    <w:link w:val="1032"/>
    <w:qFormat/>
    <w:rPr>
      <w:b/>
      <w:sz w:val="30"/>
      <w:szCs w:val="28"/>
      <w:lang w:val="en-US" w:eastAsia="zh-CN" w:bidi="ar-SA"/>
    </w:rPr>
  </w:style>
  <w:style w:type="paragraph" w:styleId="1032">
    <w:name w:val="二级目录"/>
    <w:next w:val="1032"/>
    <w:link w:val="1031"/>
    <w:qFormat/>
    <w:pPr>
      <w:numPr>
        <w:ilvl w:val="0"/>
        <w:numId w:val="2"/>
      </w:numPr>
      <w:tabs>
        <w:tab w:val="clear" w:pos="567" w:leader="none"/>
      </w:tabs>
      <w:outlineLvl w:val="1"/>
    </w:pPr>
    <w:rPr>
      <w:b/>
      <w:sz w:val="30"/>
      <w:szCs w:val="28"/>
      <w:lang w:val="en-US" w:eastAsia="zh-CN" w:bidi="ar-SA"/>
    </w:rPr>
  </w:style>
  <w:style w:type="character" w:styleId="1033">
    <w:name w:val="页码1"/>
    <w:next w:val="1033"/>
    <w:link w:val="986"/>
    <w:qFormat/>
  </w:style>
  <w:style w:type="character" w:styleId="1034">
    <w:name w:val="para_small"/>
    <w:next w:val="1034"/>
    <w:link w:val="986"/>
    <w:qFormat/>
  </w:style>
  <w:style w:type="character" w:styleId="1035">
    <w:name w:val="正文文本缩进 3 字符"/>
    <w:next w:val="1035"/>
    <w:link w:val="1036"/>
    <w:semiHidden/>
    <w:qFormat/>
    <w:rPr>
      <w:sz w:val="16"/>
      <w:szCs w:val="16"/>
    </w:rPr>
  </w:style>
  <w:style w:type="paragraph" w:styleId="1036">
    <w:name w:val="正文文本缩进 31"/>
    <w:basedOn w:val="986"/>
    <w:next w:val="1036"/>
    <w:link w:val="1035"/>
    <w:qFormat/>
    <w:pPr>
      <w:ind w:left="645" w:firstLine="645"/>
    </w:pPr>
    <w:rPr>
      <w:sz w:val="16"/>
      <w:szCs w:val="16"/>
    </w:rPr>
  </w:style>
  <w:style w:type="character" w:styleId="1037">
    <w:name w:val="font91"/>
    <w:next w:val="1037"/>
    <w:link w:val="986"/>
    <w:qFormat/>
    <w:rPr>
      <w:rFonts w:hint="eastAsia" w:ascii="微软雅黑" w:hAnsi="微软雅黑" w:eastAsia="微软雅黑" w:cs="微软雅黑"/>
      <w:b/>
      <w:color w:val="dd0806"/>
      <w:sz w:val="24"/>
      <w:szCs w:val="24"/>
      <w:u w:val="none"/>
    </w:rPr>
  </w:style>
  <w:style w:type="character" w:styleId="1038">
    <w:name w:val="页眉 字符"/>
    <w:next w:val="1038"/>
    <w:link w:val="1039"/>
    <w:semiHidden/>
    <w:qFormat/>
    <w:rPr>
      <w:rFonts w:eastAsia="宋体"/>
      <w:sz w:val="18"/>
      <w:lang w:val="en-US" w:eastAsia="zh-CN" w:bidi="ar-SA"/>
    </w:rPr>
  </w:style>
  <w:style w:type="paragraph" w:styleId="1039">
    <w:name w:val="页眉1"/>
    <w:basedOn w:val="986"/>
    <w:next w:val="1039"/>
    <w:link w:val="1038"/>
    <w:qFormat/>
    <w:pPr>
      <w:jc w:val="center"/>
      <w:tabs>
        <w:tab w:val="center" w:pos="4153" w:leader="none"/>
        <w:tab w:val="right" w:pos="8306" w:leader="none"/>
      </w:tabs>
      <w:pBdr>
        <w:bottom w:val="single" w:color="000000" w:sz="6" w:space="1"/>
      </w:pBdr>
    </w:pPr>
    <w:rPr>
      <w:sz w:val="18"/>
    </w:rPr>
  </w:style>
  <w:style w:type="character" w:styleId="1040">
    <w:name w:val="标题 3 Char"/>
    <w:next w:val="1040"/>
    <w:link w:val="986"/>
    <w:qFormat/>
    <w:rPr>
      <w:rFonts w:ascii="宋体" w:hAnsi="宋体" w:eastAsia="宋体"/>
      <w:b/>
      <w:bCs/>
      <w:sz w:val="32"/>
      <w:szCs w:val="32"/>
      <w:lang w:val="en-US" w:eastAsia="zh-CN" w:bidi="ar-SA"/>
    </w:rPr>
  </w:style>
  <w:style w:type="character" w:styleId="1041">
    <w:name w:val="正文文本缩进 字符"/>
    <w:next w:val="1041"/>
    <w:link w:val="1042"/>
    <w:semiHidden/>
    <w:qFormat/>
    <w:rPr>
      <w:sz w:val="20"/>
      <w:szCs w:val="20"/>
    </w:rPr>
  </w:style>
  <w:style w:type="paragraph" w:styleId="1042">
    <w:name w:val="正文文本缩进1"/>
    <w:basedOn w:val="986"/>
    <w:next w:val="1042"/>
    <w:link w:val="1041"/>
    <w:qFormat/>
    <w:pPr>
      <w:ind w:firstLine="645"/>
    </w:pPr>
    <w:rPr>
      <w:sz w:val="20"/>
    </w:rPr>
  </w:style>
  <w:style w:type="character" w:styleId="1043">
    <w:name w:val="标题 8 字符"/>
    <w:next w:val="1043"/>
    <w:link w:val="1044"/>
    <w:qFormat/>
    <w:rPr>
      <w:rFonts w:ascii="Cambria" w:hAnsi="Cambria"/>
      <w:sz w:val="24"/>
      <w:szCs w:val="24"/>
    </w:rPr>
  </w:style>
  <w:style w:type="paragraph" w:styleId="1044">
    <w:name w:val="标题 81"/>
    <w:basedOn w:val="986"/>
    <w:next w:val="1044"/>
    <w:link w:val="1043"/>
    <w:qFormat/>
    <w:pPr>
      <w:numPr>
        <w:ilvl w:val="7"/>
        <w:numId w:val="1"/>
      </w:numPr>
      <w:keepLines/>
      <w:keepNext/>
      <w:spacing w:before="240" w:after="64" w:line="320" w:lineRule="auto"/>
      <w:outlineLvl w:val="7"/>
    </w:pPr>
    <w:rPr>
      <w:rFonts w:ascii="Cambria" w:hAnsi="Cambria"/>
      <w:sz w:val="24"/>
      <w:szCs w:val="24"/>
    </w:rPr>
  </w:style>
  <w:style w:type="character" w:styleId="1045">
    <w:name w:val="日期 字符"/>
    <w:next w:val="1045"/>
    <w:link w:val="1046"/>
    <w:semiHidden/>
    <w:qFormat/>
    <w:rPr>
      <w:sz w:val="20"/>
      <w:szCs w:val="20"/>
    </w:rPr>
  </w:style>
  <w:style w:type="paragraph" w:styleId="1046">
    <w:name w:val="日期1"/>
    <w:basedOn w:val="986"/>
    <w:next w:val="1046"/>
    <w:link w:val="1045"/>
    <w:qFormat/>
    <w:pPr>
      <w:ind w:left="100"/>
    </w:pPr>
    <w:rPr>
      <w:sz w:val="20"/>
    </w:rPr>
  </w:style>
  <w:style w:type="character" w:styleId="1047">
    <w:name w:val="标题 2 字符"/>
    <w:next w:val="1047"/>
    <w:link w:val="1048"/>
    <w:qFormat/>
    <w:rPr>
      <w:rFonts w:ascii="Cambria" w:hAnsi="Cambria"/>
      <w:b/>
      <w:bCs/>
      <w:sz w:val="32"/>
      <w:szCs w:val="32"/>
    </w:rPr>
  </w:style>
  <w:style w:type="paragraph" w:styleId="1048">
    <w:name w:val="标题 21"/>
    <w:basedOn w:val="986"/>
    <w:next w:val="1048"/>
    <w:link w:val="1047"/>
    <w:qFormat/>
    <w:pPr>
      <w:numPr>
        <w:ilvl w:val="1"/>
        <w:numId w:val="1"/>
      </w:numPr>
      <w:jc w:val="left"/>
      <w:keepLines/>
      <w:keepNext/>
      <w:spacing w:before="120" w:after="120"/>
      <w:outlineLvl w:val="1"/>
    </w:pPr>
    <w:rPr>
      <w:rFonts w:ascii="Cambria" w:hAnsi="Cambria"/>
      <w:b/>
      <w:bCs/>
      <w:sz w:val="32"/>
      <w:szCs w:val="32"/>
    </w:rPr>
  </w:style>
  <w:style w:type="character" w:styleId="1049">
    <w:name w:val="标题 9 字符"/>
    <w:next w:val="1049"/>
    <w:link w:val="1050"/>
    <w:qFormat/>
    <w:rPr>
      <w:rFonts w:ascii="Cambria" w:hAnsi="Cambria"/>
      <w:sz w:val="21"/>
      <w:szCs w:val="21"/>
    </w:rPr>
  </w:style>
  <w:style w:type="paragraph" w:styleId="1050">
    <w:name w:val="标题 91"/>
    <w:basedOn w:val="986"/>
    <w:next w:val="1050"/>
    <w:link w:val="1049"/>
    <w:qFormat/>
    <w:pPr>
      <w:numPr>
        <w:ilvl w:val="8"/>
        <w:numId w:val="1"/>
      </w:numPr>
      <w:keepLines/>
      <w:keepNext/>
      <w:spacing w:before="240" w:after="64" w:line="320" w:lineRule="auto"/>
      <w:outlineLvl w:val="8"/>
    </w:pPr>
    <w:rPr>
      <w:rFonts w:ascii="Cambria" w:hAnsi="Cambria"/>
      <w:szCs w:val="21"/>
    </w:rPr>
  </w:style>
  <w:style w:type="character" w:styleId="1051">
    <w:name w:val="标题 6 字符"/>
    <w:next w:val="1051"/>
    <w:link w:val="1052"/>
    <w:qFormat/>
    <w:rPr>
      <w:rFonts w:ascii="Cambria" w:hAnsi="Cambria"/>
      <w:b/>
      <w:bCs/>
      <w:sz w:val="24"/>
      <w:szCs w:val="24"/>
    </w:rPr>
  </w:style>
  <w:style w:type="paragraph" w:styleId="1052">
    <w:name w:val="标题 61"/>
    <w:basedOn w:val="986"/>
    <w:next w:val="1052"/>
    <w:link w:val="1051"/>
    <w:qFormat/>
    <w:pPr>
      <w:numPr>
        <w:ilvl w:val="5"/>
        <w:numId w:val="1"/>
      </w:numPr>
      <w:keepLines/>
      <w:keepNext/>
      <w:spacing w:before="240" w:after="64" w:line="320" w:lineRule="auto"/>
      <w:outlineLvl w:val="5"/>
    </w:pPr>
    <w:rPr>
      <w:rFonts w:ascii="Cambria" w:hAnsi="Cambria"/>
      <w:b/>
      <w:bCs/>
      <w:sz w:val="24"/>
      <w:szCs w:val="24"/>
    </w:rPr>
  </w:style>
  <w:style w:type="character" w:styleId="1053">
    <w:name w:val="正文文本 字符"/>
    <w:next w:val="1053"/>
    <w:link w:val="1054"/>
    <w:semiHidden/>
    <w:qFormat/>
    <w:rPr>
      <w:sz w:val="20"/>
      <w:szCs w:val="20"/>
    </w:rPr>
  </w:style>
  <w:style w:type="paragraph" w:styleId="1054">
    <w:name w:val="正文文本1"/>
    <w:basedOn w:val="986"/>
    <w:next w:val="1054"/>
    <w:link w:val="1053"/>
    <w:qFormat/>
    <w:rPr>
      <w:sz w:val="20"/>
    </w:rPr>
  </w:style>
  <w:style w:type="character" w:styleId="1055">
    <w:name w:val="正文文本首行缩进 字符"/>
    <w:next w:val="1055"/>
    <w:link w:val="1056"/>
    <w:semiHidden/>
    <w:qFormat/>
  </w:style>
  <w:style w:type="paragraph" w:styleId="1056">
    <w:name w:val="正文首行缩进1"/>
    <w:basedOn w:val="1054"/>
    <w:next w:val="1056"/>
    <w:link w:val="1055"/>
    <w:qFormat/>
    <w:pPr>
      <w:ind w:firstLine="420"/>
      <w:spacing w:after="120"/>
    </w:pPr>
    <w:rPr>
      <w:rFonts w:ascii="Times New Roman" w:hAnsi="Times New Roman" w:eastAsia="宋体"/>
      <w:sz w:val="21"/>
      <w:szCs w:val="24"/>
    </w:rPr>
  </w:style>
  <w:style w:type="character" w:styleId="1057">
    <w:name w:val="标题 字符"/>
    <w:next w:val="1057"/>
    <w:link w:val="1058"/>
    <w:qFormat/>
    <w:rPr>
      <w:rFonts w:ascii="Cambria" w:hAnsi="Cambria"/>
      <w:b/>
      <w:bCs/>
      <w:sz w:val="32"/>
      <w:szCs w:val="32"/>
    </w:rPr>
  </w:style>
  <w:style w:type="paragraph" w:styleId="1058">
    <w:name w:val="标题1"/>
    <w:basedOn w:val="986"/>
    <w:next w:val="1058"/>
    <w:link w:val="1057"/>
    <w:qFormat/>
    <w:pPr>
      <w:jc w:val="center"/>
      <w:spacing w:before="240" w:after="60"/>
      <w:outlineLvl w:val="0"/>
    </w:pPr>
    <w:rPr>
      <w:rFonts w:ascii="Cambria" w:hAnsi="Cambria"/>
      <w:b/>
      <w:bCs/>
      <w:sz w:val="32"/>
      <w:szCs w:val="32"/>
    </w:rPr>
  </w:style>
  <w:style w:type="character" w:styleId="1059">
    <w:name w:val="point_normal1"/>
    <w:next w:val="1059"/>
    <w:link w:val="986"/>
    <w:qFormat/>
    <w:rPr>
      <w:rFonts w:ascii="Arial" w:hAnsi="Arial"/>
      <w:sz w:val="18"/>
      <w:szCs w:val="18"/>
    </w:rPr>
  </w:style>
  <w:style w:type="character" w:styleId="1060">
    <w:name w:val="正文文本 2 字符"/>
    <w:next w:val="1060"/>
    <w:link w:val="1061"/>
    <w:semiHidden/>
    <w:qFormat/>
    <w:rPr>
      <w:sz w:val="20"/>
      <w:szCs w:val="20"/>
    </w:rPr>
  </w:style>
  <w:style w:type="paragraph" w:styleId="1061">
    <w:name w:val="正文文本 21"/>
    <w:basedOn w:val="986"/>
    <w:next w:val="1061"/>
    <w:link w:val="1060"/>
    <w:qFormat/>
    <w:pPr>
      <w:jc w:val="center"/>
      <w:widowControl/>
    </w:pPr>
    <w:rPr>
      <w:sz w:val="20"/>
    </w:rPr>
  </w:style>
  <w:style w:type="character" w:styleId="1062">
    <w:name w:val="标题 4 字符"/>
    <w:next w:val="1062"/>
    <w:link w:val="1063"/>
    <w:qFormat/>
    <w:rPr>
      <w:rFonts w:ascii="Cambria" w:hAnsi="Cambria"/>
      <w:b/>
      <w:bCs/>
      <w:sz w:val="28"/>
      <w:szCs w:val="28"/>
    </w:rPr>
  </w:style>
  <w:style w:type="paragraph" w:styleId="1063">
    <w:name w:val="标题 41"/>
    <w:basedOn w:val="986"/>
    <w:next w:val="1063"/>
    <w:link w:val="1062"/>
    <w:qFormat/>
    <w:pPr>
      <w:numPr>
        <w:ilvl w:val="3"/>
        <w:numId w:val="1"/>
      </w:numPr>
      <w:keepLines/>
      <w:keepNext/>
      <w:spacing w:before="120" w:after="120"/>
      <w:outlineLvl w:val="3"/>
    </w:pPr>
    <w:rPr>
      <w:rFonts w:ascii="Cambria" w:hAnsi="Cambria"/>
      <w:b/>
      <w:bCs/>
      <w:sz w:val="28"/>
      <w:szCs w:val="28"/>
    </w:rPr>
  </w:style>
  <w:style w:type="character" w:styleId="1064">
    <w:name w:val="标题 7 字符"/>
    <w:next w:val="1064"/>
    <w:link w:val="1065"/>
    <w:qFormat/>
    <w:rPr>
      <w:b/>
      <w:bCs/>
      <w:sz w:val="24"/>
      <w:szCs w:val="24"/>
    </w:rPr>
  </w:style>
  <w:style w:type="paragraph" w:styleId="1065">
    <w:name w:val="标题 71"/>
    <w:basedOn w:val="986"/>
    <w:next w:val="1065"/>
    <w:link w:val="1064"/>
    <w:qFormat/>
    <w:pPr>
      <w:numPr>
        <w:ilvl w:val="6"/>
        <w:numId w:val="1"/>
      </w:numPr>
      <w:keepLines/>
      <w:keepNext/>
      <w:spacing w:before="240" w:after="64" w:line="320" w:lineRule="auto"/>
      <w:outlineLvl w:val="6"/>
    </w:pPr>
    <w:rPr>
      <w:b/>
      <w:bCs/>
      <w:sz w:val="24"/>
      <w:szCs w:val="24"/>
    </w:rPr>
  </w:style>
  <w:style w:type="character" w:styleId="1066">
    <w:name w:val="正文缩进 字符"/>
    <w:next w:val="1066"/>
    <w:link w:val="1067"/>
    <w:qFormat/>
    <w:rPr>
      <w:rFonts w:eastAsia="宋体"/>
      <w:sz w:val="21"/>
      <w:lang w:val="en-US" w:eastAsia="zh-CN" w:bidi="ar-SA"/>
    </w:rPr>
  </w:style>
  <w:style w:type="paragraph" w:styleId="1067">
    <w:name w:val="正文缩进1"/>
    <w:basedOn w:val="986"/>
    <w:next w:val="1067"/>
    <w:link w:val="1066"/>
    <w:qFormat/>
    <w:pPr>
      <w:ind w:firstLine="420"/>
    </w:pPr>
  </w:style>
  <w:style w:type="character" w:styleId="1068">
    <w:name w:val="正文文本 3 字符"/>
    <w:next w:val="1068"/>
    <w:link w:val="1069"/>
    <w:semiHidden/>
    <w:qFormat/>
    <w:rPr>
      <w:sz w:val="16"/>
      <w:szCs w:val="16"/>
    </w:rPr>
  </w:style>
  <w:style w:type="paragraph" w:styleId="1069">
    <w:name w:val="正文文本 31"/>
    <w:basedOn w:val="986"/>
    <w:next w:val="1069"/>
    <w:link w:val="1068"/>
    <w:qFormat/>
    <w:rPr>
      <w:sz w:val="16"/>
      <w:szCs w:val="16"/>
    </w:rPr>
  </w:style>
  <w:style w:type="character" w:styleId="1070">
    <w:name w:val="纯文本 字符"/>
    <w:next w:val="1070"/>
    <w:link w:val="1071"/>
    <w:qFormat/>
    <w:rPr>
      <w:rFonts w:ascii="宋体" w:hAnsi="Courier New"/>
      <w:sz w:val="21"/>
      <w:szCs w:val="21"/>
    </w:rPr>
  </w:style>
  <w:style w:type="paragraph" w:styleId="1071">
    <w:name w:val="纯文本1"/>
    <w:basedOn w:val="986"/>
    <w:next w:val="1071"/>
    <w:link w:val="1070"/>
    <w:qFormat/>
    <w:rPr>
      <w:rFonts w:ascii="宋体" w:hAnsi="Courier New"/>
      <w:szCs w:val="21"/>
    </w:rPr>
  </w:style>
  <w:style w:type="character" w:styleId="1072">
    <w:name w:val="批注框文本 字符"/>
    <w:next w:val="1072"/>
    <w:link w:val="1073"/>
    <w:semiHidden/>
    <w:qFormat/>
    <w:rPr>
      <w:sz w:val="18"/>
      <w:szCs w:val="18"/>
    </w:rPr>
  </w:style>
  <w:style w:type="paragraph" w:styleId="1073">
    <w:name w:val="批注框文本1"/>
    <w:basedOn w:val="986"/>
    <w:next w:val="1073"/>
    <w:link w:val="1072"/>
    <w:semiHidden/>
    <w:qFormat/>
    <w:rPr>
      <w:sz w:val="18"/>
      <w:szCs w:val="18"/>
    </w:rPr>
  </w:style>
  <w:style w:type="character" w:styleId="1074">
    <w:name w:val="HTML 预设格式 字符"/>
    <w:next w:val="1074"/>
    <w:link w:val="1075"/>
    <w:semiHidden/>
    <w:qFormat/>
    <w:rPr>
      <w:rFonts w:ascii="Courier New" w:hAnsi="Courier New"/>
      <w:sz w:val="20"/>
      <w:szCs w:val="20"/>
    </w:rPr>
  </w:style>
  <w:style w:type="paragraph" w:styleId="1075">
    <w:name w:val="HTML 预设格式1"/>
    <w:basedOn w:val="986"/>
    <w:next w:val="1075"/>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76">
    <w:name w:val="批注主题 字符"/>
    <w:next w:val="1076"/>
    <w:link w:val="1077"/>
    <w:semiHidden/>
    <w:qFormat/>
    <w:rPr>
      <w:b/>
      <w:bCs/>
      <w:sz w:val="20"/>
      <w:szCs w:val="20"/>
    </w:rPr>
  </w:style>
  <w:style w:type="paragraph" w:styleId="1077">
    <w:name w:val="批注主题1"/>
    <w:basedOn w:val="1028"/>
    <w:next w:val="1077"/>
    <w:link w:val="1076"/>
    <w:semiHidden/>
    <w:qFormat/>
    <w:rPr>
      <w:b/>
      <w:bCs/>
    </w:rPr>
  </w:style>
  <w:style w:type="character" w:styleId="1078">
    <w:name w:val="已访问的超链接1"/>
    <w:next w:val="1078"/>
    <w:link w:val="986"/>
    <w:qFormat/>
    <w:rPr>
      <w:color w:val="800080"/>
      <w:u w:val="single"/>
    </w:rPr>
  </w:style>
  <w:style w:type="character" w:styleId="1079">
    <w:name w:val="超链接1"/>
    <w:next w:val="1079"/>
    <w:link w:val="986"/>
    <w:qFormat/>
    <w:rPr>
      <w:color w:val="0000ff"/>
      <w:u w:val="single"/>
    </w:rPr>
  </w:style>
  <w:style w:type="character" w:styleId="1080">
    <w:name w:val="批注引用1"/>
    <w:next w:val="1080"/>
    <w:link w:val="986"/>
    <w:qFormat/>
    <w:rPr>
      <w:sz w:val="21"/>
    </w:rPr>
  </w:style>
  <w:style w:type="character" w:styleId="1081">
    <w:name w:val="正文2 Char"/>
    <w:next w:val="1081"/>
    <w:link w:val="1082"/>
    <w:qFormat/>
    <w:rPr>
      <w:sz w:val="24"/>
    </w:rPr>
  </w:style>
  <w:style w:type="paragraph" w:styleId="1082">
    <w:name w:val="正文2"/>
    <w:basedOn w:val="986"/>
    <w:next w:val="1082"/>
    <w:link w:val="1081"/>
    <w:qFormat/>
    <w:pPr>
      <w:ind w:firstLine="510"/>
      <w:spacing w:before="156" w:line="360" w:lineRule="auto"/>
    </w:pPr>
    <w:rPr>
      <w:sz w:val="24"/>
    </w:rPr>
  </w:style>
  <w:style w:type="character" w:styleId="1083">
    <w:name w:val="NormalCharacter1"/>
    <w:next w:val="1083"/>
    <w:link w:val="986"/>
    <w:uiPriority w:val="99"/>
    <w:qFormat/>
  </w:style>
  <w:style w:type="paragraph" w:styleId="1084">
    <w:name w:val="目录 11"/>
    <w:basedOn w:val="986"/>
    <w:next w:val="1084"/>
    <w:link w:val="986"/>
    <w:qFormat/>
    <w:pPr>
      <w:jc w:val="left"/>
      <w:spacing w:before="120" w:after="120"/>
    </w:pPr>
    <w:rPr>
      <w:b/>
      <w:caps/>
      <w:sz w:val="20"/>
    </w:rPr>
  </w:style>
  <w:style w:type="paragraph" w:styleId="1085">
    <w:name w:val="目录 81"/>
    <w:basedOn w:val="986"/>
    <w:next w:val="1085"/>
    <w:link w:val="986"/>
    <w:semiHidden/>
    <w:qFormat/>
    <w:pPr>
      <w:ind w:left="1470"/>
      <w:jc w:val="left"/>
    </w:pPr>
    <w:rPr>
      <w:sz w:val="18"/>
    </w:rPr>
  </w:style>
  <w:style w:type="paragraph" w:styleId="1086">
    <w:name w:val="列表 31"/>
    <w:basedOn w:val="986"/>
    <w:next w:val="1086"/>
    <w:link w:val="986"/>
    <w:qFormat/>
    <w:pPr>
      <w:ind w:left="1260" w:hanging="420"/>
    </w:pPr>
  </w:style>
  <w:style w:type="paragraph" w:styleId="1087">
    <w:name w:val="列出段落"/>
    <w:basedOn w:val="986"/>
    <w:next w:val="1087"/>
    <w:link w:val="986"/>
    <w:qFormat/>
    <w:pPr>
      <w:ind w:firstLine="420"/>
    </w:pPr>
    <w:rPr>
      <w:rFonts w:ascii="Calibri" w:hAnsi="Calibri"/>
      <w:szCs w:val="22"/>
    </w:rPr>
  </w:style>
  <w:style w:type="paragraph" w:styleId="1088">
    <w:name w:val="普通(网站)1"/>
    <w:basedOn w:val="986"/>
    <w:next w:val="1088"/>
    <w:link w:val="986"/>
    <w:qFormat/>
    <w:pPr>
      <w:jc w:val="left"/>
      <w:spacing w:before="100" w:beforeAutospacing="1" w:after="100" w:afterAutospacing="1"/>
      <w:widowControl/>
    </w:pPr>
    <w:rPr>
      <w:rFonts w:ascii="Arial" w:hAnsi="Arial"/>
      <w:sz w:val="24"/>
      <w:szCs w:val="24"/>
    </w:rPr>
  </w:style>
  <w:style w:type="paragraph" w:styleId="1089">
    <w:name w:val="索引 61"/>
    <w:basedOn w:val="986"/>
    <w:next w:val="1089"/>
    <w:link w:val="986"/>
    <w:semiHidden/>
    <w:qFormat/>
    <w:pPr>
      <w:ind w:left="2100"/>
    </w:pPr>
  </w:style>
  <w:style w:type="paragraph" w:styleId="1090">
    <w:name w:val="一级条标题"/>
    <w:basedOn w:val="1091"/>
    <w:next w:val="1092"/>
    <w:link w:val="98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name w:val="章标题"/>
    <w:basedOn w:val="986"/>
    <w:next w:val="986"/>
    <w:link w:val="986"/>
    <w:qFormat/>
    <w:pPr>
      <w:jc w:val="center"/>
      <w:spacing w:before="158" w:after="153" w:line="1292" w:lineRule="atLeast"/>
      <w:widowControl/>
    </w:pPr>
    <w:rPr>
      <w:rFonts w:ascii="Arial" w:hAnsi="Calibri" w:eastAsia="黑体" w:cs="黑体"/>
      <w:sz w:val="31"/>
      <w:szCs w:val="22"/>
      <w:lang w:eastAsia="en-US" w:bidi="en-US"/>
    </w:rPr>
  </w:style>
  <w:style w:type="paragraph" w:styleId="1092">
    <w:name w:val="段"/>
    <w:basedOn w:val="986"/>
    <w:next w:val="986"/>
    <w:link w:val="986"/>
    <w:qFormat/>
    <w:pPr>
      <w:ind w:firstLine="200"/>
      <w:widowControl/>
    </w:pPr>
    <w:rPr>
      <w:rFonts w:hint="eastAsia" w:ascii="宋体"/>
      <w:szCs w:val="20"/>
    </w:rPr>
  </w:style>
  <w:style w:type="paragraph" w:styleId="1093">
    <w:name w:val="正文1"/>
    <w:next w:val="1094"/>
    <w:link w:val="986"/>
    <w:qFormat/>
    <w:pPr>
      <w:jc w:val="both"/>
      <w:widowControl w:val="off"/>
    </w:pPr>
    <w:rPr>
      <w:rFonts w:ascii="Calibri" w:hAnsi="Calibri"/>
      <w:lang w:val="en-US" w:eastAsia="zh-CN" w:bidi="ar-SA"/>
    </w:rPr>
  </w:style>
  <w:style w:type="paragraph" w:styleId="1094">
    <w:name w:val="索引 41"/>
    <w:basedOn w:val="1093"/>
    <w:next w:val="986"/>
    <w:link w:val="986"/>
    <w:semiHidden/>
    <w:qFormat/>
    <w:pPr>
      <w:ind w:left="1260"/>
    </w:pPr>
  </w:style>
  <w:style w:type="paragraph" w:styleId="1095">
    <w:name w:val="目录 51"/>
    <w:basedOn w:val="986"/>
    <w:next w:val="1095"/>
    <w:link w:val="986"/>
    <w:semiHidden/>
    <w:qFormat/>
    <w:pPr>
      <w:ind w:left="840"/>
      <w:jc w:val="left"/>
    </w:pPr>
    <w:rPr>
      <w:sz w:val="18"/>
    </w:rPr>
  </w:style>
  <w:style w:type="paragraph" w:styleId="1096">
    <w:name w:val="目录 71"/>
    <w:basedOn w:val="986"/>
    <w:next w:val="1096"/>
    <w:link w:val="986"/>
    <w:semiHidden/>
    <w:qFormat/>
    <w:pPr>
      <w:ind w:left="1260"/>
      <w:jc w:val="left"/>
    </w:pPr>
    <w:rPr>
      <w:sz w:val="18"/>
    </w:rPr>
  </w:style>
  <w:style w:type="paragraph" w:styleId="1097">
    <w:name w:val="索引标题1"/>
    <w:basedOn w:val="986"/>
    <w:next w:val="1097"/>
    <w:link w:val="986"/>
    <w:semiHidden/>
    <w:qFormat/>
  </w:style>
  <w:style w:type="paragraph" w:styleId="1098">
    <w:name w:val="列表段落11"/>
    <w:basedOn w:val="986"/>
    <w:next w:val="1098"/>
    <w:link w:val="986"/>
    <w:qFormat/>
    <w:pPr>
      <w:ind w:firstLine="420"/>
    </w:pPr>
  </w:style>
  <w:style w:type="paragraph" w:styleId="1099">
    <w:name w:val="目录 61"/>
    <w:basedOn w:val="986"/>
    <w:next w:val="1099"/>
    <w:link w:val="986"/>
    <w:semiHidden/>
    <w:qFormat/>
    <w:pPr>
      <w:ind w:left="1050"/>
      <w:jc w:val="left"/>
    </w:pPr>
    <w:rPr>
      <w:sz w:val="18"/>
    </w:rPr>
  </w:style>
  <w:style w:type="paragraph" w:styleId="1100">
    <w:name w:val="目录 31"/>
    <w:basedOn w:val="986"/>
    <w:next w:val="1100"/>
    <w:link w:val="986"/>
    <w:semiHidden/>
    <w:qFormat/>
    <w:pPr>
      <w:ind w:left="420"/>
      <w:jc w:val="left"/>
    </w:pPr>
    <w:rPr>
      <w:i/>
      <w:sz w:val="20"/>
    </w:rPr>
  </w:style>
  <w:style w:type="paragraph" w:styleId="1101">
    <w:name w:val="索引 51"/>
    <w:basedOn w:val="986"/>
    <w:next w:val="1101"/>
    <w:link w:val="986"/>
    <w:semiHidden/>
    <w:qFormat/>
    <w:pPr>
      <w:ind w:left="1680"/>
    </w:pPr>
  </w:style>
  <w:style w:type="paragraph" w:styleId="1102">
    <w:name w:val="列出段落1"/>
    <w:basedOn w:val="986"/>
    <w:next w:val="1102"/>
    <w:link w:val="986"/>
    <w:qFormat/>
    <w:pPr>
      <w:contextualSpacing/>
      <w:ind w:left="720"/>
      <w:jc w:val="left"/>
      <w:widowControl/>
    </w:pPr>
    <w:rPr>
      <w:rFonts w:ascii="Arial" w:hAnsi="Arial" w:eastAsia="黑体"/>
      <w:sz w:val="24"/>
      <w:szCs w:val="24"/>
      <w:lang w:eastAsia="en-US"/>
    </w:rPr>
  </w:style>
  <w:style w:type="paragraph" w:styleId="1103">
    <w:name w:val="目录 21"/>
    <w:basedOn w:val="986"/>
    <w:next w:val="1103"/>
    <w:link w:val="986"/>
    <w:qFormat/>
    <w:pPr>
      <w:ind w:left="210"/>
      <w:jc w:val="left"/>
    </w:pPr>
    <w:rPr>
      <w:sz w:val="20"/>
    </w:rPr>
  </w:style>
  <w:style w:type="paragraph" w:styleId="1104">
    <w:name w:val="索引 81"/>
    <w:basedOn w:val="986"/>
    <w:next w:val="1104"/>
    <w:link w:val="986"/>
    <w:semiHidden/>
    <w:qFormat/>
    <w:pPr>
      <w:ind w:left="2940"/>
    </w:pPr>
  </w:style>
  <w:style w:type="paragraph" w:styleId="1105">
    <w:name w:val="索引 11"/>
    <w:basedOn w:val="986"/>
    <w:next w:val="1105"/>
    <w:link w:val="986"/>
    <w:semiHidden/>
    <w:qFormat/>
    <w:pPr>
      <w:jc w:val="center"/>
    </w:pPr>
    <w:rPr>
      <w:rFonts w:ascii="仿宋_GB2312" w:hAnsi="宋体" w:eastAsia="仿宋_GB2312"/>
      <w:sz w:val="30"/>
      <w:szCs w:val="24"/>
    </w:rPr>
  </w:style>
  <w:style w:type="paragraph" w:styleId="1106">
    <w:name w:val="目录 41"/>
    <w:basedOn w:val="986"/>
    <w:next w:val="1106"/>
    <w:link w:val="986"/>
    <w:semiHidden/>
    <w:qFormat/>
    <w:pPr>
      <w:ind w:left="630"/>
      <w:jc w:val="left"/>
    </w:pPr>
    <w:rPr>
      <w:sz w:val="18"/>
    </w:rPr>
  </w:style>
  <w:style w:type="paragraph" w:styleId="1107">
    <w:name w:val="索引 31"/>
    <w:basedOn w:val="986"/>
    <w:next w:val="1107"/>
    <w:link w:val="986"/>
    <w:semiHidden/>
    <w:qFormat/>
    <w:pPr>
      <w:ind w:left="840"/>
    </w:pPr>
  </w:style>
  <w:style w:type="paragraph" w:styleId="1108">
    <w:name w:val="xl107"/>
    <w:basedOn w:val="986"/>
    <w:next w:val="1108"/>
    <w:link w:val="986"/>
    <w:qFormat/>
    <w:pPr>
      <w:jc w:val="left"/>
      <w:spacing w:before="100" w:beforeAutospacing="1" w:after="100" w:afterAutospacing="1"/>
      <w:widowControl/>
    </w:pPr>
    <w:rPr>
      <w:rFonts w:ascii="Arial" w:hAnsi="Arial"/>
      <w:sz w:val="20"/>
    </w:rPr>
  </w:style>
  <w:style w:type="paragraph" w:styleId="1109">
    <w:name w:val="索引 71"/>
    <w:basedOn w:val="986"/>
    <w:next w:val="1109"/>
    <w:link w:val="986"/>
    <w:semiHidden/>
    <w:qFormat/>
    <w:pPr>
      <w:ind w:left="2520"/>
    </w:pPr>
  </w:style>
  <w:style w:type="paragraph" w:styleId="1110">
    <w:name w:val="font7"/>
    <w:basedOn w:val="986"/>
    <w:next w:val="1110"/>
    <w:link w:val="986"/>
    <w:qFormat/>
    <w:pPr>
      <w:jc w:val="left"/>
      <w:spacing w:before="100" w:beforeAutospacing="1" w:after="100" w:afterAutospacing="1"/>
      <w:widowControl/>
    </w:pPr>
    <w:rPr>
      <w:rFonts w:ascii="Arial" w:hAnsi="Arial"/>
      <w:color w:val="000000"/>
      <w:sz w:val="20"/>
    </w:rPr>
  </w:style>
  <w:style w:type="paragraph" w:styleId="1111">
    <w:name w:val="索引 91"/>
    <w:basedOn w:val="986"/>
    <w:next w:val="1111"/>
    <w:link w:val="986"/>
    <w:semiHidden/>
    <w:qFormat/>
    <w:pPr>
      <w:ind w:left="3360"/>
    </w:pPr>
  </w:style>
  <w:style w:type="paragraph" w:styleId="1112">
    <w:name w:val="xl116"/>
    <w:basedOn w:val="986"/>
    <w:next w:val="1112"/>
    <w:link w:val="98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13">
    <w:name w:val="图表目录1"/>
    <w:basedOn w:val="986"/>
    <w:next w:val="1113"/>
    <w:link w:val="986"/>
    <w:semiHidden/>
    <w:qFormat/>
    <w:pPr>
      <w:ind w:left="840" w:hanging="420"/>
    </w:pPr>
  </w:style>
  <w:style w:type="paragraph" w:styleId="1114">
    <w:name w:val="目录 91"/>
    <w:basedOn w:val="986"/>
    <w:next w:val="1114"/>
    <w:link w:val="986"/>
    <w:semiHidden/>
    <w:qFormat/>
    <w:pPr>
      <w:ind w:left="1680"/>
      <w:jc w:val="left"/>
    </w:pPr>
    <w:rPr>
      <w:sz w:val="18"/>
    </w:rPr>
  </w:style>
  <w:style w:type="paragraph" w:styleId="1115">
    <w:name w:val="Bullets L1"/>
    <w:basedOn w:val="986"/>
    <w:next w:val="1115"/>
    <w:link w:val="986"/>
    <w:qFormat/>
    <w:pPr>
      <w:numPr>
        <w:ilvl w:val="0"/>
        <w:numId w:val="3"/>
      </w:numPr>
      <w:jc w:val="left"/>
      <w:spacing w:before="60" w:after="60"/>
      <w:widowControl/>
      <w:tabs>
        <w:tab w:val="clear" w:pos="360" w:leader="none"/>
      </w:tabs>
    </w:pPr>
    <w:rPr>
      <w:rFonts w:ascii="Arial" w:hAnsi="Arial"/>
      <w:sz w:val="20"/>
    </w:rPr>
  </w:style>
  <w:style w:type="paragraph" w:styleId="1116">
    <w:name w:val="索引 21"/>
    <w:basedOn w:val="986"/>
    <w:next w:val="1116"/>
    <w:link w:val="986"/>
    <w:semiHidden/>
    <w:qFormat/>
    <w:pPr>
      <w:ind w:left="420"/>
    </w:pPr>
  </w:style>
  <w:style w:type="paragraph" w:styleId="1117">
    <w:name w:val="xl112"/>
    <w:basedOn w:val="986"/>
    <w:next w:val="1117"/>
    <w:link w:val="9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18">
    <w:name w:val="xl115"/>
    <w:basedOn w:val="986"/>
    <w:next w:val="1118"/>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19">
    <w:name w:val="font5"/>
    <w:basedOn w:val="986"/>
    <w:next w:val="1119"/>
    <w:link w:val="986"/>
    <w:qFormat/>
    <w:pPr>
      <w:jc w:val="left"/>
      <w:spacing w:before="100" w:beforeAutospacing="1" w:after="100" w:afterAutospacing="1"/>
      <w:widowControl/>
    </w:pPr>
    <w:rPr>
      <w:rFonts w:ascii="宋体" w:hAnsi="宋体"/>
      <w:sz w:val="18"/>
      <w:szCs w:val="18"/>
    </w:rPr>
  </w:style>
  <w:style w:type="paragraph" w:styleId="1120">
    <w:name w:val="丁华标题3"/>
    <w:basedOn w:val="1121"/>
    <w:next w:val="1120"/>
    <w:link w:val="986"/>
    <w:qFormat/>
    <w:pPr>
      <w:numPr>
        <w:ilvl w:val="1"/>
        <w:numId w:val="0"/>
      </w:numPr>
      <w:ind w:left="1980" w:hanging="420"/>
      <w:spacing w:after="0"/>
      <w:outlineLvl w:val="2"/>
    </w:pPr>
    <w:rPr>
      <w:sz w:val="24"/>
    </w:rPr>
  </w:style>
  <w:style w:type="paragraph" w:styleId="1121">
    <w:name w:val="丁华标题2"/>
    <w:basedOn w:val="1048"/>
    <w:next w:val="1121"/>
    <w:link w:val="986"/>
    <w:qFormat/>
    <w:pPr>
      <w:numPr>
        <w:ilvl w:val="1"/>
        <w:numId w:val="2"/>
      </w:numPr>
      <w:spacing w:line="415" w:lineRule="auto"/>
      <w:tabs>
        <w:tab w:val="clear" w:pos="1004" w:leader="none"/>
      </w:tabs>
    </w:pPr>
    <w:rPr>
      <w:rFonts w:ascii="Arial" w:hAnsi="Arial" w:eastAsia="黑体"/>
      <w:b w:val="0"/>
      <w:sz w:val="28"/>
      <w:szCs w:val="20"/>
    </w:rPr>
  </w:style>
  <w:style w:type="paragraph" w:styleId="1122">
    <w:name w:val="tableau"/>
    <w:basedOn w:val="986"/>
    <w:next w:val="1122"/>
    <w:link w:val="986"/>
    <w:qFormat/>
    <w:pPr>
      <w:jc w:val="center"/>
      <w:spacing w:before="20" w:after="20"/>
      <w:widowControl/>
    </w:pPr>
    <w:rPr>
      <w:rFonts w:ascii="Arial" w:hAnsi="Arial"/>
      <w:sz w:val="16"/>
      <w:lang w:eastAsia="en-US"/>
    </w:rPr>
  </w:style>
  <w:style w:type="paragraph" w:styleId="1123">
    <w:name w:val="丁华正文"/>
    <w:basedOn w:val="1036"/>
    <w:next w:val="1123"/>
    <w:link w:val="986"/>
    <w:qFormat/>
    <w:pPr>
      <w:ind w:left="0" w:firstLine="510"/>
      <w:spacing w:line="360" w:lineRule="auto"/>
    </w:pPr>
    <w:rPr>
      <w:rFonts w:ascii="Times New Roman" w:hAnsi="Times New Roman" w:eastAsia="宋体"/>
      <w:color w:val="000000"/>
      <w:sz w:val="24"/>
      <w:szCs w:val="16"/>
    </w:rPr>
  </w:style>
  <w:style w:type="paragraph" w:styleId="1124">
    <w:name w:val="xl113"/>
    <w:basedOn w:val="986"/>
    <w:next w:val="1124"/>
    <w:link w:val="98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25">
    <w:name w:val="xl114"/>
    <w:basedOn w:val="986"/>
    <w:next w:val="1125"/>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26">
    <w:name w:val="样式"/>
    <w:basedOn w:val="986"/>
    <w:next w:val="1126"/>
    <w:link w:val="986"/>
    <w:qFormat/>
    <w:rPr>
      <w:rFonts w:ascii="楷体_GB2312" w:hAnsi="Arial" w:eastAsia="楷体_GB2312"/>
      <w:sz w:val="28"/>
    </w:rPr>
  </w:style>
  <w:style w:type="paragraph" w:styleId="1127">
    <w:name w:val="Char"/>
    <w:basedOn w:val="986"/>
    <w:next w:val="1127"/>
    <w:link w:val="986"/>
    <w:qFormat/>
    <w:rPr>
      <w:rFonts w:ascii="Tahoma" w:hAnsi="Tahoma"/>
      <w:sz w:val="24"/>
      <w:szCs w:val="28"/>
    </w:rPr>
  </w:style>
  <w:style w:type="paragraph" w:styleId="1128">
    <w:name w:val="xl117"/>
    <w:basedOn w:val="986"/>
    <w:next w:val="1128"/>
    <w:link w:val="98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29">
    <w:name w:val="模板正文"/>
    <w:basedOn w:val="986"/>
    <w:next w:val="1129"/>
    <w:link w:val="986"/>
    <w:qFormat/>
    <w:pPr>
      <w:ind w:firstLine="200"/>
      <w:spacing w:before="120" w:line="360" w:lineRule="auto"/>
    </w:pPr>
    <w:rPr>
      <w:rFonts w:eastAsia="仿宋_GB2312"/>
      <w:sz w:val="24"/>
      <w:szCs w:val="21"/>
    </w:rPr>
  </w:style>
  <w:style w:type="paragraph" w:styleId="1130">
    <w:name w:val="普通正文"/>
    <w:basedOn w:val="986"/>
    <w:next w:val="1130"/>
    <w:link w:val="986"/>
    <w:qFormat/>
    <w:pPr>
      <w:ind w:firstLine="480"/>
      <w:jc w:val="left"/>
      <w:spacing w:before="120" w:after="120" w:line="360" w:lineRule="auto"/>
    </w:pPr>
    <w:rPr>
      <w:rFonts w:ascii="Arial" w:hAnsi="Arial"/>
      <w:sz w:val="24"/>
      <w:szCs w:val="24"/>
    </w:rPr>
  </w:style>
  <w:style w:type="paragraph" w:styleId="1131">
    <w:name w:val="xl109"/>
    <w:basedOn w:val="986"/>
    <w:next w:val="1131"/>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32">
    <w:name w:val="论文正文"/>
    <w:basedOn w:val="1019"/>
    <w:next w:val="1132"/>
    <w:link w:val="986"/>
    <w:qFormat/>
    <w:pPr>
      <w:ind w:left="0" w:firstLine="200"/>
      <w:jc w:val="left"/>
      <w:spacing w:line="360" w:lineRule="auto"/>
    </w:pPr>
    <w:rPr>
      <w:rFonts w:ascii="Times New Roman" w:hAnsi="Times New Roman"/>
      <w:sz w:val="28"/>
      <w:szCs w:val="24"/>
    </w:rPr>
  </w:style>
  <w:style w:type="paragraph" w:styleId="1133">
    <w:name w:val="无间隔"/>
    <w:next w:val="1133"/>
    <w:link w:val="986"/>
    <w:qFormat/>
    <w:pPr>
      <w:jc w:val="both"/>
      <w:widowControl w:val="off"/>
    </w:pPr>
    <w:rPr>
      <w:sz w:val="21"/>
      <w:lang w:val="en-US" w:eastAsia="zh-CN" w:bidi="ar-SA"/>
    </w:rPr>
  </w:style>
  <w:style w:type="paragraph" w:styleId="1134">
    <w:name w:val="列表段落1"/>
    <w:basedOn w:val="986"/>
    <w:next w:val="1134"/>
    <w:link w:val="986"/>
    <w:qFormat/>
    <w:pPr>
      <w:ind w:firstLine="420"/>
    </w:pPr>
    <w:rPr>
      <w:rFonts w:ascii="Times New Roman" w:hAnsi="Times New Roman" w:eastAsia="宋体"/>
      <w:szCs w:val="20"/>
    </w:rPr>
  </w:style>
  <w:style w:type="paragraph" w:styleId="1135">
    <w:name w:val="默认段落字体 Para Char Char Char Char Char Char Char"/>
    <w:basedOn w:val="986"/>
    <w:next w:val="1135"/>
    <w:link w:val="986"/>
    <w:qFormat/>
  </w:style>
  <w:style w:type="paragraph" w:styleId="1136">
    <w:name w:val="font6"/>
    <w:basedOn w:val="986"/>
    <w:next w:val="1136"/>
    <w:link w:val="986"/>
    <w:qFormat/>
    <w:pPr>
      <w:jc w:val="left"/>
      <w:spacing w:before="100" w:beforeAutospacing="1" w:after="100" w:afterAutospacing="1"/>
      <w:widowControl/>
    </w:pPr>
    <w:rPr>
      <w:rFonts w:ascii="宋体" w:hAnsi="宋体"/>
      <w:color w:val="000000"/>
      <w:sz w:val="20"/>
    </w:rPr>
  </w:style>
  <w:style w:type="paragraph" w:styleId="1137">
    <w:name w:val="Char1"/>
    <w:basedOn w:val="986"/>
    <w:next w:val="1137"/>
    <w:link w:val="986"/>
    <w:qFormat/>
    <w:pPr>
      <w:jc w:val="left"/>
      <w:spacing w:after="160" w:line="240" w:lineRule="exact"/>
      <w:widowControl/>
    </w:pPr>
    <w:rPr>
      <w:rFonts w:ascii="Verdana" w:hAnsi="Verdana" w:eastAsia="仿宋_GB2312"/>
      <w:sz w:val="24"/>
      <w:lang w:eastAsia="en-US"/>
    </w:rPr>
  </w:style>
  <w:style w:type="paragraph" w:styleId="1138">
    <w:name w:val="xl25"/>
    <w:basedOn w:val="986"/>
    <w:next w:val="1138"/>
    <w:link w:val="986"/>
    <w:qFormat/>
    <w:pPr>
      <w:jc w:val="center"/>
      <w:spacing w:before="100" w:beforeAutospacing="1" w:after="100" w:afterAutospacing="1"/>
      <w:widowControl/>
      <w:pBdr>
        <w:right w:val="single" w:color="000000" w:sz="4" w:space="0"/>
      </w:pBdr>
    </w:pPr>
    <w:rPr>
      <w:szCs w:val="21"/>
    </w:rPr>
  </w:style>
  <w:style w:type="paragraph" w:styleId="1139">
    <w:name w:val="p0"/>
    <w:basedOn w:val="986"/>
    <w:next w:val="1139"/>
    <w:link w:val="986"/>
    <w:qFormat/>
    <w:pPr>
      <w:widowControl/>
    </w:pPr>
    <w:rPr>
      <w:szCs w:val="21"/>
    </w:rPr>
  </w:style>
  <w:style w:type="paragraph" w:styleId="1140">
    <w:name w:val="msolistparagraph"/>
    <w:basedOn w:val="986"/>
    <w:next w:val="1140"/>
    <w:link w:val="986"/>
    <w:qFormat/>
    <w:pPr>
      <w:ind w:firstLine="420"/>
    </w:pPr>
    <w:rPr>
      <w:rFonts w:ascii="Calibri" w:hAnsi="Calibri"/>
      <w:szCs w:val="22"/>
    </w:rPr>
  </w:style>
  <w:style w:type="paragraph" w:styleId="1141">
    <w:name w:val="xl111"/>
    <w:basedOn w:val="986"/>
    <w:next w:val="1141"/>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42">
    <w:name w:val="Char Char Char Char Char Char Char Char Char Char Char Char Char"/>
    <w:basedOn w:val="1023"/>
    <w:next w:val="1142"/>
    <w:link w:val="986"/>
    <w:qFormat/>
    <w:rPr>
      <w:rFonts w:ascii="Tahoma" w:hAnsi="Tahoma"/>
      <w:sz w:val="24"/>
      <w:szCs w:val="24"/>
    </w:rPr>
  </w:style>
  <w:style w:type="paragraph" w:styleId="1143">
    <w:name w:val="列出段落3"/>
    <w:basedOn w:val="986"/>
    <w:next w:val="1143"/>
    <w:link w:val="986"/>
    <w:qFormat/>
    <w:pPr>
      <w:ind w:firstLine="420"/>
    </w:pPr>
  </w:style>
  <w:style w:type="paragraph" w:styleId="1144">
    <w:name w:val="Char Char Char Char"/>
    <w:basedOn w:val="1023"/>
    <w:next w:val="1144"/>
    <w:link w:val="986"/>
    <w:qFormat/>
    <w:pPr>
      <w:spacing w:line="360" w:lineRule="auto"/>
    </w:pPr>
    <w:rPr>
      <w:rFonts w:ascii="Tahoma" w:hAnsi="Tahoma"/>
      <w:sz w:val="24"/>
      <w:szCs w:val="24"/>
    </w:rPr>
  </w:style>
  <w:style w:type="paragraph" w:styleId="1145">
    <w:name w:val="_Style 475"/>
    <w:basedOn w:val="986"/>
    <w:next w:val="1102"/>
    <w:link w:val="986"/>
    <w:uiPriority w:val="34"/>
    <w:qFormat/>
    <w:pPr>
      <w:ind w:firstLine="420"/>
    </w:pPr>
  </w:style>
  <w:style w:type="paragraph" w:styleId="1146">
    <w:name w:val="列出段落2"/>
    <w:basedOn w:val="986"/>
    <w:next w:val="1146"/>
    <w:link w:val="986"/>
    <w:qFormat/>
    <w:pPr>
      <w:ind w:firstLine="420"/>
    </w:pPr>
  </w:style>
  <w:style w:type="paragraph" w:styleId="1147">
    <w:name w:val="Item Step in Table"/>
    <w:next w:val="1147"/>
    <w:link w:val="986"/>
    <w:qFormat/>
    <w:pPr>
      <w:numPr>
        <w:ilvl w:val="0"/>
        <w:numId w:val="4"/>
      </w:numPr>
      <w:jc w:val="both"/>
      <w:spacing w:before="40" w:after="40"/>
      <w:tabs>
        <w:tab w:val="clear" w:pos="397" w:leader="none"/>
      </w:tabs>
    </w:pPr>
    <w:rPr>
      <w:rFonts w:ascii="Arial" w:hAnsi="Arial"/>
      <w:sz w:val="18"/>
      <w:szCs w:val="18"/>
      <w:lang w:val="en-US" w:eastAsia="zh-CN" w:bidi="ar-SA"/>
    </w:rPr>
  </w:style>
  <w:style w:type="paragraph" w:styleId="1148">
    <w:name w:val="xl108"/>
    <w:basedOn w:val="986"/>
    <w:next w:val="1148"/>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49">
    <w:name w:val="表格1"/>
    <w:basedOn w:val="986"/>
    <w:next w:val="1149"/>
    <w:link w:val="986"/>
    <w:qFormat/>
    <w:rPr>
      <w:rFonts w:ascii="宋体"/>
      <w:szCs w:val="21"/>
    </w:rPr>
  </w:style>
  <w:style w:type="paragraph" w:styleId="1150">
    <w:name w:val="Char Char Char Char Char Char Char Char Char Char Char1 Char Char Char1"/>
    <w:basedOn w:val="986"/>
    <w:next w:val="1150"/>
    <w:link w:val="986"/>
    <w:semiHidden/>
    <w:qFormat/>
    <w:pPr>
      <w:ind w:firstLine="200"/>
      <w:jc w:val="left"/>
    </w:pPr>
    <w:rPr>
      <w:rFonts w:ascii="Tahoma" w:hAnsi="Tahoma"/>
      <w:sz w:val="24"/>
      <w:szCs w:val="24"/>
    </w:rPr>
  </w:style>
  <w:style w:type="paragraph" w:styleId="1151">
    <w:name w:val="Char Char Char"/>
    <w:basedOn w:val="1023"/>
    <w:next w:val="1151"/>
    <w:link w:val="986"/>
    <w:qFormat/>
    <w:pPr>
      <w:spacing w:line="436" w:lineRule="exact"/>
    </w:pPr>
    <w:rPr>
      <w:szCs w:val="24"/>
    </w:rPr>
  </w:style>
  <w:style w:type="paragraph" w:styleId="1152">
    <w:name w:val="_Style 193"/>
    <w:basedOn w:val="986"/>
    <w:next w:val="1152"/>
    <w:link w:val="986"/>
    <w:qFormat/>
    <w:pPr>
      <w:ind w:firstLine="420"/>
    </w:pPr>
    <w:rPr>
      <w:rFonts w:ascii="Calibri" w:hAnsi="Calibri"/>
    </w:rPr>
  </w:style>
  <w:style w:type="paragraph" w:styleId="1153">
    <w:name w:val="retrait3"/>
    <w:basedOn w:val="986"/>
    <w:next w:val="1153"/>
    <w:link w:val="986"/>
    <w:qFormat/>
    <w:pPr>
      <w:ind w:left="851"/>
      <w:jc w:val="left"/>
      <w:spacing w:before="20" w:after="20"/>
      <w:widowControl/>
    </w:pPr>
    <w:rPr>
      <w:rFonts w:ascii="Arial" w:hAnsi="Arial"/>
      <w:sz w:val="24"/>
    </w:rPr>
  </w:style>
  <w:style w:type="paragraph" w:styleId="1154">
    <w:name w:val="丁华标题1"/>
    <w:basedOn w:val="1015"/>
    <w:next w:val="1154"/>
    <w:link w:val="986"/>
    <w:qFormat/>
    <w:pPr>
      <w:numPr>
        <w:ilvl w:val="0"/>
        <w:numId w:val="2"/>
      </w:numPr>
      <w:ind w:firstLine="0"/>
      <w:jc w:val="left"/>
      <w:keepLines/>
      <w:spacing w:before="0" w:line="578" w:lineRule="auto"/>
      <w:tabs>
        <w:tab w:val="left" w:pos="567" w:leader="none"/>
      </w:tabs>
    </w:pPr>
    <w:rPr>
      <w:rFonts w:ascii="Times New Roman"/>
      <w:b w:val="0"/>
      <w:sz w:val="32"/>
      <w:szCs w:val="20"/>
    </w:rPr>
  </w:style>
  <w:style w:type="paragraph" w:styleId="1155">
    <w:name w:val="TOC 标题"/>
    <w:basedOn w:val="1015"/>
    <w:next w:val="1155"/>
    <w:link w:val="986"/>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56">
    <w:name w:val="标题6"/>
    <w:basedOn w:val="1017"/>
    <w:next w:val="1156"/>
    <w:link w:val="986"/>
    <w:qFormat/>
    <w:pPr>
      <w:numPr>
        <w:ilvl w:val="0"/>
        <w:numId w:val="5"/>
      </w:numPr>
      <w:keepLines/>
      <w:tabs>
        <w:tab w:val="clear" w:pos="420" w:leader="none"/>
      </w:tabs>
    </w:pPr>
    <w:rPr>
      <w:rFonts w:ascii="Times New Roman"/>
      <w:b w:val="0"/>
      <w:color w:val="000000"/>
      <w:sz w:val="24"/>
      <w:szCs w:val="28"/>
    </w:rPr>
  </w:style>
  <w:style w:type="paragraph" w:styleId="1157">
    <w:name w:val="默认段落字体 Para Char"/>
    <w:basedOn w:val="986"/>
    <w:next w:val="1157"/>
    <w:link w:val="986"/>
    <w:qFormat/>
    <w:rPr>
      <w:sz w:val="24"/>
      <w:szCs w:val="24"/>
    </w:rPr>
  </w:style>
  <w:style w:type="paragraph" w:styleId="1158">
    <w:name w:val="段落"/>
    <w:basedOn w:val="986"/>
    <w:next w:val="1158"/>
    <w:link w:val="986"/>
    <w:qFormat/>
    <w:pPr>
      <w:ind w:firstLine="480"/>
      <w:spacing w:line="460" w:lineRule="exact"/>
    </w:pPr>
    <w:rPr>
      <w:sz w:val="24"/>
    </w:rPr>
  </w:style>
  <w:style w:type="paragraph" w:styleId="1159">
    <w:name w:val="List Paragraph1"/>
    <w:basedOn w:val="986"/>
    <w:next w:val="1159"/>
    <w:link w:val="986"/>
    <w:qFormat/>
    <w:pPr>
      <w:ind w:firstLine="420"/>
    </w:pPr>
    <w:rPr>
      <w:szCs w:val="24"/>
    </w:rPr>
  </w:style>
  <w:style w:type="paragraph" w:styleId="1160">
    <w:name w:val="Char Char2 Char Char"/>
    <w:basedOn w:val="1023"/>
    <w:next w:val="1160"/>
    <w:link w:val="986"/>
    <w:qFormat/>
    <w:pPr>
      <w:spacing w:line="436" w:lineRule="exact"/>
    </w:pPr>
    <w:rPr>
      <w:rFonts w:ascii="Tahoma" w:hAnsi="Tahoma"/>
      <w:sz w:val="24"/>
    </w:rPr>
  </w:style>
  <w:style w:type="paragraph" w:styleId="1161">
    <w:name w:val="xl110"/>
    <w:basedOn w:val="986"/>
    <w:next w:val="1161"/>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62">
    <w:name w:val="正文首行缩进 21"/>
    <w:basedOn w:val="1042"/>
    <w:next w:val="1162"/>
    <w:link w:val="986"/>
    <w:qFormat/>
    <w:pPr>
      <w:ind w:firstLine="200"/>
    </w:pPr>
    <w:rPr>
      <w:rFonts w:ascii="等线" w:hAnsi="等线" w:eastAsia="等线"/>
    </w:rPr>
  </w:style>
  <w:style w:type="table" w:styleId="1163">
    <w:name w:val="普通表格1"/>
    <w:next w:val="1163"/>
    <w:link w:val="986"/>
    <w:qFormat/>
    <w:rPr>
      <w:lang w:val="en-US" w:eastAsia="zh-CN" w:bidi="ar-SA"/>
    </w:rPr>
    <w:tblPr/>
  </w:style>
  <w:style w:type="paragraph" w:styleId="1164">
    <w:name w:val="章正文"/>
    <w:basedOn w:val="986"/>
    <w:next w:val="1164"/>
    <w:link w:val="986"/>
    <w:qFormat/>
    <w:pPr>
      <w:ind w:firstLine="480"/>
      <w:spacing w:after="120" w:line="300" w:lineRule="auto"/>
    </w:pPr>
    <w:rPr>
      <w:rFonts w:ascii="Helvetica" w:hAnsi="Helvetica"/>
    </w:rPr>
  </w:style>
  <w:style w:type="character" w:styleId="1165" w:default="1">
    <w:name w:val="Default Paragraph Font"/>
    <w:uiPriority w:val="1"/>
    <w:semiHidden/>
    <w:unhideWhenUsed/>
  </w:style>
  <w:style w:type="numbering" w:styleId="1166" w:default="1">
    <w:name w:val="No List"/>
    <w:uiPriority w:val="99"/>
    <w:semiHidden/>
    <w:unhideWhenUsed/>
  </w:style>
  <w:style w:type="table" w:styleId="1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dc:creator>
  <cp:lastModifiedBy>左卢成</cp:lastModifiedBy>
  <cp:revision>4</cp:revision>
  <dcterms:created xsi:type="dcterms:W3CDTF">2025-05-21T01:42:00Z</dcterms:created>
  <dcterms:modified xsi:type="dcterms:W3CDTF">2026-08-20T09:08:33Z</dcterms:modified>
</cp:coreProperties>
</file>