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b/>
          <w:bCs/>
          <w:sz w:val="52"/>
          <w:szCs w:val="52"/>
          <w:highlight w:val="white"/>
        </w:rPr>
      </w:pPr>
      <w:r>
        <w:rPr>
          <w:rFonts w:ascii="宋体" w:hAnsi="宋体"/>
          <w:b/>
          <w:bCs/>
          <w:sz w:val="52"/>
          <w:szCs w:val="52"/>
          <w:highlight w:val="white"/>
        </w:rPr>
        <w:tab/>
      </w:r>
      <w:r>
        <w:rPr>
          <w:highlight w:val="white"/>
        </w:rPr>
      </w:r>
      <w:r/>
    </w:p>
    <w:p>
      <w:pPr>
        <w:jc w:val="left"/>
        <w:tabs>
          <w:tab w:val="left" w:pos="6919" w:leader="none"/>
        </w:tabs>
        <w:rPr>
          <w:rFonts w:hint="eastAsia" w:ascii="宋体" w:hAnsi="宋体"/>
          <w:b/>
          <w:bCs/>
          <w:sz w:val="52"/>
          <w:szCs w:val="52"/>
          <w:highlight w:val="white"/>
        </w:rPr>
      </w:pPr>
      <w:r>
        <w:rPr>
          <w:rFonts w:hint="eastAsia" w:ascii="宋体" w:hAnsi="宋体"/>
          <w:b/>
          <w:bCs/>
          <w:sz w:val="52"/>
          <w:szCs w:val="52"/>
          <w:highlight w:val="white"/>
        </w:rPr>
        <w:tab/>
      </w:r>
      <w:r>
        <w:rPr>
          <w:highlight w:val="white"/>
        </w:rPr>
      </w:r>
      <w:r/>
    </w:p>
    <w:p>
      <w:pPr>
        <w:jc w:val="center"/>
        <w:rPr>
          <w:rFonts w:hint="eastAsia" w:ascii="宋体" w:hAnsi="宋体"/>
          <w:b/>
          <w:bCs/>
          <w:sz w:val="72"/>
          <w:szCs w:val="72"/>
          <w:highlight w:val="white"/>
        </w:rPr>
      </w:pPr>
      <w:r>
        <w:rPr>
          <w:rFonts w:hint="eastAsia" w:ascii="宋体" w:hAnsi="宋体"/>
          <w:b/>
          <w:bCs/>
          <w:sz w:val="72"/>
          <w:szCs w:val="72"/>
          <w:highlight w:val="white"/>
        </w:rPr>
        <w:t xml:space="preserve">苏 州 市 政 府 采 购</w:t>
      </w:r>
      <w:r>
        <w:rPr>
          <w:highlight w:val="white"/>
        </w:rPr>
      </w:r>
      <w:r/>
    </w:p>
    <w:p>
      <w:pPr>
        <w:jc w:val="center"/>
        <w:rPr>
          <w:rFonts w:ascii="Times New Roman" w:hAnsi="Times New Roman" w:eastAsia="黑体"/>
          <w:b/>
          <w:sz w:val="72"/>
          <w:szCs w:val="72"/>
          <w:highlight w:val="white"/>
        </w:rPr>
      </w:pPr>
      <w:r>
        <w:rPr>
          <w:rFonts w:hint="eastAsia" w:ascii="宋体" w:hAnsi="宋体"/>
          <w:b/>
          <w:bCs/>
          <w:sz w:val="72"/>
          <w:szCs w:val="72"/>
          <w:highlight w:val="white"/>
        </w:rPr>
        <w:t xml:space="preserve">竞争性磋商文件</w:t>
      </w:r>
      <w:r>
        <w:rPr>
          <w:highlight w:val="white"/>
        </w:rPr>
      </w:r>
      <w:r/>
    </w:p>
    <w:p>
      <w:pPr>
        <w:jc w:val="center"/>
        <w:rPr>
          <w:rFonts w:ascii="Times New Roman" w:hAnsi="Times New Roman" w:eastAsia="黑体"/>
          <w:b/>
          <w:sz w:val="32"/>
          <w:szCs w:val="32"/>
          <w:highlight w:val="white"/>
        </w:rPr>
      </w:pPr>
      <w:r>
        <w:rPr>
          <w:rFonts w:ascii="Times New Roman" w:hAnsi="Times New Roman" w:eastAsia="黑体"/>
          <w:b/>
          <w:sz w:val="32"/>
          <w:szCs w:val="32"/>
          <w:highlight w:val="white"/>
        </w:rPr>
      </w:r>
      <w:r>
        <w:rPr>
          <w:highlight w:val="white"/>
        </w:rPr>
      </w:r>
      <w:r/>
    </w:p>
    <w:p>
      <w:pPr>
        <w:rPr>
          <w:rFonts w:ascii="Times New Roman" w:hAnsi="Times New Roman"/>
          <w:sz w:val="32"/>
          <w:szCs w:val="32"/>
          <w:highlight w:val="white"/>
        </w:rPr>
      </w:pPr>
      <w:r>
        <w:rPr>
          <w:rFonts w:ascii="Times New Roman" w:hAnsi="Times New Roman"/>
          <w:sz w:val="32"/>
          <w:szCs w:val="32"/>
          <w:highlight w:val="white"/>
        </w:rPr>
      </w:r>
      <w:r>
        <w:rPr>
          <w:highlight w:val="white"/>
        </w:rPr>
      </w:r>
      <w:r/>
    </w:p>
    <w:p>
      <w:pPr>
        <w:rPr>
          <w:rFonts w:ascii="Times New Roman" w:hAnsi="Times New Roman"/>
          <w:sz w:val="32"/>
          <w:szCs w:val="32"/>
          <w:highlight w:val="white"/>
        </w:rPr>
      </w:pPr>
      <w:r>
        <w:rPr>
          <w:rFonts w:ascii="Times New Roman" w:hAnsi="Times New Roman"/>
          <w:sz w:val="32"/>
          <w:szCs w:val="32"/>
          <w:highlight w:val="white"/>
        </w:rPr>
      </w:r>
      <w:r>
        <w:rPr>
          <w:highlight w:val="white"/>
        </w:rPr>
      </w:r>
      <w:r/>
    </w:p>
    <w:p>
      <w:pPr>
        <w:rPr>
          <w:rFonts w:ascii="Times New Roman" w:hAnsi="Times New Roman"/>
          <w:sz w:val="32"/>
          <w:szCs w:val="32"/>
          <w:highlight w:val="white"/>
        </w:rPr>
      </w:pPr>
      <w:r>
        <w:rPr>
          <w:rFonts w:ascii="Times New Roman" w:hAnsi="Times New Roman"/>
          <w:sz w:val="32"/>
          <w:szCs w:val="32"/>
          <w:highlight w:val="white"/>
        </w:rPr>
      </w:r>
      <w:r>
        <w:rPr>
          <w:highlight w:val="white"/>
        </w:rPr>
      </w:r>
      <w:r/>
    </w:p>
    <w:p>
      <w:pPr>
        <w:jc w:val="center"/>
        <w:rPr>
          <w:rFonts w:ascii="Times New Roman" w:hAnsi="Times New Roman"/>
          <w:sz w:val="32"/>
          <w:szCs w:val="32"/>
          <w:highlight w:val="white"/>
        </w:rPr>
      </w:pPr>
      <w:r>
        <w:rPr>
          <w:rFonts w:ascii="Times New Roman" w:hAnsi="Times New Roman"/>
          <w:sz w:val="32"/>
          <w:szCs w:val="32"/>
          <w:highlight w:val="white"/>
        </w:rPr>
      </w:r>
      <w:r>
        <w:rPr>
          <w:highlight w:val="white"/>
        </w:rPr>
      </w:r>
      <w:r/>
    </w:p>
    <w:p>
      <w:pPr>
        <w:rPr>
          <w:rFonts w:ascii="Times New Roman" w:hAnsi="Times New Roman"/>
          <w:sz w:val="32"/>
          <w:szCs w:val="32"/>
          <w:highlight w:val="white"/>
        </w:rPr>
      </w:pPr>
      <w:r>
        <w:rPr>
          <w:rFonts w:ascii="Times New Roman" w:hAnsi="Times New Roman"/>
          <w:sz w:val="32"/>
          <w:szCs w:val="32"/>
          <w:highlight w:val="white"/>
        </w:rPr>
      </w:r>
      <w:r>
        <w:rPr>
          <w:highlight w:val="white"/>
        </w:rPr>
      </w:r>
      <w:r/>
    </w:p>
    <w:p>
      <w:pPr>
        <w:ind w:firstLine="1063"/>
        <w:jc w:val="left"/>
        <w:spacing w:line="360" w:lineRule="auto"/>
        <w:rPr>
          <w:rFonts w:ascii="Times New Roman" w:hAnsi="Times New Roman"/>
          <w:b/>
          <w:sz w:val="32"/>
          <w:szCs w:val="32"/>
          <w:highlight w:val="white"/>
        </w:rPr>
      </w:pPr>
      <w:r>
        <w:rPr>
          <w:rFonts w:hint="eastAsia" w:ascii="Times New Roman" w:hAnsi="Times New Roman"/>
          <w:b/>
          <w:sz w:val="32"/>
          <w:szCs w:val="32"/>
          <w:highlight w:val="white"/>
        </w:rPr>
        <w:t xml:space="preserve">采购编号：</w:t>
      </w:r>
      <w:r>
        <w:rPr>
          <w:rFonts w:hint="eastAsia" w:ascii="Times New Roman" w:hAnsi="Times New Roman"/>
          <w:b/>
          <w:sz w:val="32"/>
          <w:szCs w:val="32"/>
          <w:highlight w:val="white"/>
        </w:rPr>
        <w:t xml:space="preserve">JSZC-320508-SZJN-C2026-0005</w:t>
      </w:r>
      <w:r>
        <w:rPr>
          <w:highlight w:val="white"/>
        </w:rPr>
      </w:r>
      <w:r/>
    </w:p>
    <w:p>
      <w:pPr>
        <w:ind w:firstLine="1063"/>
        <w:jc w:val="left"/>
        <w:spacing w:line="360" w:lineRule="auto"/>
        <w:rPr>
          <w:rFonts w:ascii="Times New Roman" w:hAnsi="Times New Roman"/>
          <w:b/>
          <w:sz w:val="32"/>
          <w:szCs w:val="32"/>
          <w:highlight w:val="white"/>
        </w:rPr>
      </w:pPr>
      <w:r>
        <w:rPr>
          <w:rFonts w:hint="eastAsia" w:ascii="Times New Roman" w:hAnsi="Times New Roman"/>
          <w:b/>
          <w:sz w:val="32"/>
          <w:szCs w:val="32"/>
          <w:highlight w:val="white"/>
        </w:rPr>
        <w:t xml:space="preserve">采购单位：苏州国家历史文化名城保护区（姑苏）生态环境局</w:t>
      </w:r>
      <w:r>
        <w:rPr>
          <w:highlight w:val="white"/>
        </w:rPr>
      </w:r>
      <w:r/>
    </w:p>
    <w:p>
      <w:pPr>
        <w:ind w:firstLine="1063"/>
        <w:jc w:val="left"/>
        <w:spacing w:line="360" w:lineRule="auto"/>
        <w:rPr>
          <w:rFonts w:ascii="Times New Roman" w:hAnsi="Times New Roman"/>
          <w:b/>
          <w:sz w:val="32"/>
          <w:szCs w:val="32"/>
          <w:highlight w:val="white"/>
        </w:rPr>
      </w:pPr>
      <w:r>
        <w:rPr>
          <w:rFonts w:hint="eastAsia" w:ascii="Times New Roman" w:hAnsi="Times New Roman"/>
          <w:b/>
          <w:sz w:val="32"/>
          <w:szCs w:val="32"/>
          <w:highlight w:val="white"/>
        </w:rPr>
        <w:t xml:space="preserve">采购内容：姑苏区街道空气自动站运行维护（</w:t>
      </w:r>
      <w:r>
        <w:rPr>
          <w:rFonts w:hint="eastAsia" w:ascii="Times New Roman" w:hAnsi="Times New Roman"/>
          <w:b/>
          <w:sz w:val="32"/>
          <w:szCs w:val="32"/>
          <w:highlight w:val="white"/>
        </w:rPr>
        <w:t xml:space="preserve">2026</w:t>
      </w:r>
      <w:r>
        <w:rPr>
          <w:rFonts w:hint="eastAsia" w:ascii="Times New Roman" w:hAnsi="Times New Roman"/>
          <w:b/>
          <w:sz w:val="32"/>
          <w:szCs w:val="32"/>
          <w:highlight w:val="white"/>
        </w:rPr>
        <w:t xml:space="preserve">年）</w:t>
      </w:r>
      <w:r>
        <w:rPr>
          <w:highlight w:val="white"/>
        </w:rPr>
      </w:r>
      <w:r/>
    </w:p>
    <w:p>
      <w:pPr>
        <w:ind w:firstLine="1063"/>
        <w:jc w:val="left"/>
        <w:spacing w:line="360" w:lineRule="auto"/>
        <w:rPr>
          <w:rFonts w:ascii="Times New Roman" w:hAnsi="Times New Roman"/>
          <w:b/>
          <w:sz w:val="32"/>
          <w:szCs w:val="32"/>
          <w:highlight w:val="white"/>
        </w:rPr>
      </w:pPr>
      <w:r>
        <w:rPr>
          <w:rFonts w:hint="eastAsia" w:ascii="Times New Roman" w:hAnsi="Times New Roman"/>
          <w:b/>
          <w:sz w:val="32"/>
          <w:szCs w:val="32"/>
          <w:highlight w:val="white"/>
        </w:rPr>
        <w:t xml:space="preserve">项目类别：服务类</w:t>
      </w:r>
      <w:r>
        <w:rPr>
          <w:highlight w:val="white"/>
        </w:rPr>
      </w:r>
      <w:r/>
    </w:p>
    <w:p>
      <w:pPr>
        <w:spacing w:line="360" w:lineRule="auto"/>
        <w:rPr>
          <w:rFonts w:ascii="Times New Roman" w:hAnsi="Times New Roman"/>
          <w:b/>
          <w:spacing w:val="-26"/>
          <w:sz w:val="24"/>
          <w:highlight w:val="white"/>
        </w:rPr>
      </w:pPr>
      <w:r>
        <w:rPr>
          <w:rFonts w:ascii="Times New Roman" w:hAnsi="Times New Roman"/>
          <w:b/>
          <w:spacing w:val="-26"/>
          <w:sz w:val="24"/>
          <w:highlight w:val="white"/>
        </w:rPr>
      </w:r>
      <w:r>
        <w:rPr>
          <w:highlight w:val="white"/>
        </w:rPr>
      </w:r>
      <w:r/>
    </w:p>
    <w:p>
      <w:pPr>
        <w:pStyle w:val="799"/>
        <w:rPr>
          <w:highlight w:val="white"/>
        </w:rPr>
      </w:pPr>
      <w:r>
        <w:rPr>
          <w:highlight w:val="white"/>
        </w:rPr>
      </w:r>
      <w:r>
        <w:rPr>
          <w:highlight w:val="white"/>
        </w:rPr>
      </w:r>
      <w:r/>
    </w:p>
    <w:p>
      <w:pPr>
        <w:jc w:val="left"/>
        <w:rPr>
          <w:rFonts w:ascii="Times New Roman" w:hAnsi="Times New Roman" w:eastAsia="楷体_GB2312"/>
          <w:sz w:val="24"/>
          <w:highlight w:val="white"/>
        </w:rPr>
      </w:pPr>
      <w:r>
        <w:rPr>
          <w:rFonts w:ascii="Times New Roman" w:hAnsi="Times New Roman" w:eastAsia="楷体_GB2312"/>
          <w:sz w:val="24"/>
          <w:highlight w:val="white"/>
        </w:rPr>
      </w:r>
      <w:r>
        <w:rPr>
          <w:highlight w:val="white"/>
        </w:rPr>
      </w:r>
      <w:r/>
    </w:p>
    <w:p>
      <w:pPr>
        <w:rPr>
          <w:rFonts w:ascii="Times New Roman" w:hAnsi="Times New Roman"/>
          <w:szCs w:val="20"/>
          <w:highlight w:val="white"/>
        </w:rPr>
      </w:pPr>
      <w:r>
        <w:rPr>
          <w:rFonts w:ascii="Times New Roman" w:hAnsi="Times New Roman"/>
          <w:szCs w:val="20"/>
          <w:highlight w:val="white"/>
        </w:rPr>
      </w:r>
      <w:r>
        <w:rPr>
          <w:highlight w:val="white"/>
        </w:rPr>
      </w:r>
      <w:r/>
    </w:p>
    <w:p>
      <w:pPr>
        <w:rPr>
          <w:rFonts w:ascii="Times New Roman" w:hAnsi="Times New Roman"/>
          <w:szCs w:val="20"/>
          <w:highlight w:val="white"/>
        </w:rPr>
      </w:pPr>
      <w:r>
        <w:rPr>
          <w:rFonts w:ascii="Times New Roman" w:hAnsi="Times New Roman"/>
          <w:szCs w:val="20"/>
          <w:highlight w:val="white"/>
        </w:rPr>
      </w:r>
      <w:r>
        <w:rPr>
          <w:highlight w:val="white"/>
        </w:rPr>
      </w:r>
      <w:r/>
    </w:p>
    <w:p>
      <w:pPr>
        <w:pStyle w:val="799"/>
        <w:ind w:left="0" w:firstLine="0"/>
        <w:jc w:val="center"/>
        <w:rPr>
          <w:highlight w:val="white"/>
        </w:rPr>
      </w:pPr>
      <w:r>
        <w:rPr>
          <w:rFonts w:hint="eastAsia"/>
          <w:highlight w:val="white"/>
        </w:rPr>
        <mc:AlternateContent>
          <mc:Choice Requires="wpg">
            <w:drawing>
              <wp:inline xmlns:wp="http://schemas.openxmlformats.org/drawingml/2006/wordprocessingDrawing" distT="0" distB="0" distL="0" distR="0">
                <wp:extent cx="988060" cy="939800"/>
                <wp:effectExtent l="0" t="0" r="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r/>
                      </pic:nvPicPr>
                      <pic:blipFill>
                        <a:blip r:embed="rId12"/>
                        <a:stretch/>
                      </pic:blipFill>
                      <pic:spPr bwMode="auto">
                        <a:xfrm>
                          <a:off x="0" y="0"/>
                          <a:ext cx="988484" cy="93980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8pt;height:74.0pt;mso-wrap-distance-left:0.0pt;mso-wrap-distance-top:0.0pt;mso-wrap-distance-right:0.0pt;mso-wrap-distance-bottom:0.0pt;" stroked="false">
                <v:path textboxrect="0,0,0,0"/>
                <v:imagedata r:id="rId12" o:title=""/>
              </v:shape>
            </w:pict>
          </mc:Fallback>
        </mc:AlternateContent>
      </w:r>
      <w:r>
        <w:rPr>
          <w:highlight w:val="white"/>
        </w:rPr>
      </w:r>
      <w:r/>
    </w:p>
    <w:p>
      <w:pPr>
        <w:pStyle w:val="799"/>
        <w:ind w:left="0" w:firstLine="0"/>
        <w:jc w:val="center"/>
        <w:rPr>
          <w:highlight w:val="white"/>
        </w:rPr>
      </w:pPr>
      <w:r>
        <w:rPr>
          <w:highlight w:val="white"/>
        </w:rPr>
      </w:r>
      <w:r>
        <w:rPr>
          <w:highlight w:val="white"/>
        </w:rPr>
      </w:r>
      <w:r/>
    </w:p>
    <w:p>
      <w:pPr>
        <w:pStyle w:val="799"/>
        <w:ind w:left="0" w:firstLine="0"/>
        <w:jc w:val="center"/>
        <w:rPr>
          <w:highlight w:val="white"/>
        </w:rPr>
      </w:pPr>
      <w:r>
        <w:rPr>
          <w:highlight w:val="white"/>
        </w:rPr>
      </w:r>
      <w:r>
        <w:rPr>
          <w:highlight w:val="white"/>
        </w:rPr>
      </w:r>
      <w:r/>
    </w:p>
    <w:p>
      <w:pPr>
        <w:pStyle w:val="799"/>
        <w:ind w:left="0" w:firstLine="0"/>
        <w:jc w:val="center"/>
        <w:rPr>
          <w:highlight w:val="white"/>
        </w:rPr>
      </w:pPr>
      <w:r>
        <w:rPr>
          <w:highlight w:val="white"/>
        </w:rPr>
      </w:r>
      <w:r>
        <w:rPr>
          <w:highlight w:val="white"/>
        </w:rPr>
      </w:r>
      <w:r/>
    </w:p>
    <w:p>
      <w:pPr>
        <w:rPr>
          <w:rFonts w:ascii="Times New Roman" w:hAnsi="Times New Roman"/>
          <w:sz w:val="24"/>
          <w:highlight w:val="white"/>
        </w:rPr>
      </w:pPr>
      <w:r>
        <w:rPr>
          <w:rFonts w:ascii="Times New Roman" w:hAnsi="Times New Roman"/>
          <w:sz w:val="24"/>
          <w:highlight w:val="white"/>
        </w:rPr>
      </w:r>
      <w:r>
        <w:rPr>
          <w:highlight w:val="white"/>
        </w:rPr>
      </w:r>
      <w:r/>
    </w:p>
    <w:p>
      <w:pPr>
        <w:ind w:right="-506"/>
        <w:jc w:val="center"/>
        <w:spacing w:line="360" w:lineRule="auto"/>
        <w:rPr>
          <w:rFonts w:ascii="Times New Roman" w:hAnsi="Times New Roman"/>
          <w:b/>
          <w:sz w:val="32"/>
          <w:szCs w:val="32"/>
          <w:highlight w:val="white"/>
        </w:rPr>
      </w:pPr>
      <w:r>
        <w:rPr>
          <w:rFonts w:hint="eastAsia" w:ascii="Times New Roman" w:hAnsi="Times New Roman"/>
          <w:b/>
          <w:sz w:val="32"/>
          <w:szCs w:val="32"/>
          <w:highlight w:val="white"/>
        </w:rPr>
        <w:t xml:space="preserve">苏州久诺招投标咨询服务有限公司</w:t>
      </w:r>
      <w:r>
        <w:rPr>
          <w:highlight w:val="white"/>
        </w:rPr>
      </w:r>
      <w:r/>
    </w:p>
    <w:p>
      <w:pPr>
        <w:ind w:right="-506"/>
        <w:jc w:val="center"/>
        <w:spacing w:line="360" w:lineRule="auto"/>
        <w:rPr>
          <w:rFonts w:ascii="Times New Roman" w:hAnsi="Times New Roman"/>
          <w:b/>
          <w:sz w:val="32"/>
          <w:szCs w:val="32"/>
          <w:highlight w:val="white"/>
        </w:rPr>
      </w:pPr>
      <w:r>
        <w:rPr>
          <w:rFonts w:hint="eastAsia" w:ascii="Times New Roman" w:hAnsi="Times New Roman"/>
          <w:b/>
          <w:sz w:val="32"/>
          <w:szCs w:val="32"/>
          <w:highlight w:val="white"/>
        </w:rPr>
        <w:t xml:space="preserve">二○二六年八月</w:t>
      </w:r>
      <w:r>
        <w:rPr>
          <w:highlight w:val="white"/>
        </w:rPr>
      </w:r>
      <w:r/>
    </w:p>
    <w:p>
      <w:pPr>
        <w:rPr>
          <w:highlight w:val="white"/>
        </w:rPr>
      </w:pPr>
      <w:r>
        <w:rPr>
          <w:highlight w:val="white"/>
        </w:rPr>
      </w:r>
      <w:r>
        <w:rPr>
          <w:highlight w:val="white"/>
        </w:rPr>
      </w:r>
      <w:r/>
    </w:p>
    <w:p>
      <w:pPr>
        <w:jc w:val="center"/>
        <w:rPr>
          <w:rFonts w:ascii="黑体" w:eastAsia="黑体"/>
          <w:b/>
          <w:sz w:val="52"/>
          <w:szCs w:val="52"/>
          <w:highlight w:val="white"/>
        </w:rPr>
      </w:pPr>
      <w:r>
        <w:rPr>
          <w:rFonts w:hint="eastAsia" w:ascii="黑体" w:eastAsia="黑体"/>
          <w:b/>
          <w:sz w:val="52"/>
          <w:szCs w:val="52"/>
          <w:highlight w:val="white"/>
        </w:rPr>
        <w:br w:type="page" w:clear="all"/>
      </w:r>
      <w:r>
        <w:rPr>
          <w:highlight w:val="white"/>
        </w:rPr>
      </w:r>
      <w:r/>
    </w:p>
    <w:p>
      <w:pPr>
        <w:jc w:val="center"/>
        <w:rPr>
          <w:rFonts w:ascii="黑体" w:eastAsia="黑体"/>
          <w:b/>
          <w:sz w:val="52"/>
          <w:szCs w:val="52"/>
          <w:highlight w:val="white"/>
        </w:rPr>
      </w:pPr>
      <w:r>
        <w:rPr>
          <w:rFonts w:ascii="黑体" w:eastAsia="黑体"/>
          <w:b/>
          <w:sz w:val="52"/>
          <w:szCs w:val="52"/>
          <w:highlight w:val="white"/>
        </w:rPr>
      </w:r>
      <w:r>
        <w:rPr>
          <w:highlight w:val="white"/>
        </w:rPr>
      </w:r>
      <w:r/>
    </w:p>
    <w:p>
      <w:pPr>
        <w:jc w:val="center"/>
        <w:rPr>
          <w:rFonts w:ascii="黑体" w:eastAsia="黑体"/>
          <w:b/>
          <w:sz w:val="52"/>
          <w:szCs w:val="52"/>
          <w:highlight w:val="white"/>
        </w:rPr>
      </w:pPr>
      <w:r>
        <w:rPr>
          <w:rFonts w:ascii="黑体" w:eastAsia="黑体"/>
          <w:b/>
          <w:sz w:val="52"/>
          <w:szCs w:val="52"/>
          <w:highlight w:val="white"/>
        </w:rPr>
      </w:r>
      <w:r>
        <w:rPr>
          <w:highlight w:val="white"/>
        </w:rPr>
      </w:r>
      <w:r/>
    </w:p>
    <w:p>
      <w:pPr>
        <w:jc w:val="center"/>
        <w:rPr>
          <w:rFonts w:ascii="黑体" w:eastAsia="黑体"/>
          <w:b/>
          <w:bCs/>
          <w:sz w:val="52"/>
          <w:szCs w:val="52"/>
          <w:highlight w:val="white"/>
        </w:rPr>
      </w:pPr>
      <w:r>
        <w:rPr>
          <w:rFonts w:hint="eastAsia" w:ascii="黑体" w:eastAsia="黑体"/>
          <w:b/>
          <w:sz w:val="52"/>
          <w:szCs w:val="52"/>
          <w:highlight w:val="white"/>
        </w:rPr>
        <w:t xml:space="preserve">目    录</w:t>
      </w:r>
      <w:r>
        <w:rPr>
          <w:highlight w:val="white"/>
        </w:rPr>
      </w:r>
      <w:r/>
    </w:p>
    <w:p>
      <w:pPr>
        <w:jc w:val="center"/>
        <w:tabs>
          <w:tab w:val="left" w:pos="315" w:leader="none"/>
          <w:tab w:val="center" w:pos="4153" w:leader="none"/>
        </w:tabs>
        <w:rPr>
          <w:rFonts w:ascii="黑体" w:eastAsia="黑体"/>
          <w:b/>
          <w:sz w:val="52"/>
          <w:szCs w:val="52"/>
          <w:highlight w:val="white"/>
        </w:rPr>
      </w:pPr>
      <w:r>
        <w:rPr>
          <w:rFonts w:ascii="黑体" w:eastAsia="黑体"/>
          <w:b/>
          <w:sz w:val="52"/>
          <w:szCs w:val="52"/>
          <w:highlight w:val="white"/>
        </w:rPr>
      </w:r>
      <w:r>
        <w:rPr>
          <w:highlight w:val="white"/>
        </w:rPr>
      </w:r>
      <w:r/>
    </w:p>
    <w:p>
      <w:pPr>
        <w:spacing w:line="600" w:lineRule="auto"/>
        <w:tabs>
          <w:tab w:val="left" w:pos="315" w:leader="none"/>
          <w:tab w:val="center" w:pos="4153" w:leader="none"/>
        </w:tabs>
        <w:rPr>
          <w:rFonts w:hint="eastAsia" w:ascii="宋体" w:hAnsi="宋体"/>
          <w:sz w:val="32"/>
          <w:szCs w:val="32"/>
          <w:highlight w:val="white"/>
        </w:rPr>
      </w:pPr>
      <w:r>
        <w:rPr>
          <w:rFonts w:hint="eastAsia" w:ascii="宋体" w:hAnsi="宋体"/>
          <w:sz w:val="32"/>
          <w:szCs w:val="32"/>
          <w:highlight w:val="white"/>
        </w:rPr>
        <w:t xml:space="preserve">一、磋商公告</w:t>
      </w:r>
      <w:r>
        <w:rPr>
          <w:highlight w:val="white"/>
        </w:rPr>
      </w:r>
      <w:r/>
    </w:p>
    <w:p>
      <w:pPr>
        <w:spacing w:line="600" w:lineRule="auto"/>
        <w:tabs>
          <w:tab w:val="left" w:pos="315" w:leader="none"/>
          <w:tab w:val="center" w:pos="4153" w:leader="none"/>
        </w:tabs>
        <w:rPr>
          <w:rFonts w:hint="eastAsia" w:ascii="宋体" w:hAnsi="宋体"/>
          <w:sz w:val="32"/>
          <w:szCs w:val="32"/>
          <w:highlight w:val="white"/>
        </w:rPr>
      </w:pPr>
      <w:r>
        <w:rPr>
          <w:rFonts w:hint="eastAsia" w:ascii="宋体" w:hAnsi="宋体"/>
          <w:sz w:val="32"/>
          <w:szCs w:val="32"/>
          <w:highlight w:val="white"/>
        </w:rPr>
        <w:t xml:space="preserve">二、苏州市政府采购竞争性磋商文件</w:t>
      </w:r>
      <w:r>
        <w:rPr>
          <w:highlight w:val="white"/>
        </w:rPr>
      </w:r>
      <w:r/>
    </w:p>
    <w:p>
      <w:pPr>
        <w:spacing w:line="600" w:lineRule="auto"/>
        <w:tabs>
          <w:tab w:val="left" w:pos="315" w:leader="none"/>
          <w:tab w:val="center" w:pos="4153" w:leader="none"/>
        </w:tabs>
        <w:rPr>
          <w:rFonts w:hint="eastAsia" w:ascii="宋体" w:hAnsi="宋体"/>
          <w:sz w:val="32"/>
          <w:szCs w:val="32"/>
          <w:highlight w:val="white"/>
        </w:rPr>
      </w:pPr>
      <w:r>
        <w:rPr>
          <w:rFonts w:hint="eastAsia" w:ascii="宋体" w:hAnsi="宋体"/>
          <w:sz w:val="32"/>
          <w:szCs w:val="32"/>
          <w:highlight w:val="white"/>
        </w:rPr>
        <w:t xml:space="preserve">三、评审方法及评分标准</w:t>
      </w:r>
      <w:r>
        <w:rPr>
          <w:highlight w:val="white"/>
        </w:rPr>
      </w:r>
      <w:r/>
    </w:p>
    <w:p>
      <w:pPr>
        <w:spacing w:line="600" w:lineRule="auto"/>
        <w:tabs>
          <w:tab w:val="left" w:pos="315" w:leader="none"/>
          <w:tab w:val="center" w:pos="4153" w:leader="none"/>
        </w:tabs>
        <w:rPr>
          <w:rFonts w:hint="eastAsia" w:ascii="宋体" w:hAnsi="宋体"/>
          <w:sz w:val="32"/>
          <w:szCs w:val="32"/>
          <w:highlight w:val="white"/>
        </w:rPr>
      </w:pPr>
      <w:r>
        <w:rPr>
          <w:rFonts w:hint="eastAsia" w:ascii="宋体" w:hAnsi="宋体"/>
          <w:sz w:val="32"/>
          <w:szCs w:val="32"/>
          <w:highlight w:val="white"/>
        </w:rPr>
        <w:t xml:space="preserve">四、合同主要条款及格式</w:t>
      </w:r>
      <w:r>
        <w:rPr>
          <w:highlight w:val="white"/>
        </w:rPr>
      </w:r>
      <w:r/>
    </w:p>
    <w:p>
      <w:pPr>
        <w:spacing w:line="600" w:lineRule="auto"/>
        <w:tabs>
          <w:tab w:val="left" w:pos="315" w:leader="none"/>
          <w:tab w:val="center" w:pos="4153" w:leader="none"/>
        </w:tabs>
        <w:rPr>
          <w:rFonts w:hint="eastAsia" w:ascii="宋体" w:hAnsi="宋体"/>
          <w:sz w:val="32"/>
          <w:szCs w:val="32"/>
          <w:highlight w:val="white"/>
        </w:rPr>
      </w:pPr>
      <w:r>
        <w:rPr>
          <w:rFonts w:hint="eastAsia" w:ascii="宋体" w:hAnsi="宋体"/>
          <w:sz w:val="32"/>
          <w:szCs w:val="32"/>
          <w:highlight w:val="white"/>
        </w:rPr>
        <w:t xml:space="preserve">五、磋商响应文件格式</w:t>
      </w:r>
      <w:r>
        <w:rPr>
          <w:highlight w:val="white"/>
        </w:rPr>
      </w:r>
      <w:r/>
    </w:p>
    <w:p>
      <w:pPr>
        <w:rPr>
          <w:highlight w:val="white"/>
        </w:rPr>
      </w:pPr>
      <w:r>
        <w:rPr>
          <w:highlight w:val="white"/>
        </w:rPr>
      </w:r>
      <w:r>
        <w:rPr>
          <w:highlight w:val="white"/>
        </w:rPr>
      </w:r>
      <w:r/>
    </w:p>
    <w:p>
      <w:pPr>
        <w:pStyle w:val="796"/>
        <w:jc w:val="center"/>
        <w:spacing w:before="75" w:beforeAutospacing="0" w:after="75" w:afterAutospacing="0" w:line="405" w:lineRule="atLeast"/>
        <w:widowControl/>
        <w:rPr>
          <w:rStyle w:val="801"/>
          <w:rFonts w:hint="eastAsia" w:ascii="宋体" w:hAnsi="宋体" w:cs="宋体"/>
          <w:sz w:val="43"/>
          <w:szCs w:val="43"/>
          <w:highlight w:val="white"/>
        </w:rPr>
      </w:pPr>
      <w:r>
        <w:rPr>
          <w:rFonts w:hint="eastAsia" w:ascii="宋体" w:hAnsi="宋体" w:cs="宋体"/>
          <w:sz w:val="43"/>
          <w:szCs w:val="43"/>
          <w:highlight w:val="white"/>
        </w:rPr>
      </w:r>
      <w:r>
        <w:rPr>
          <w:highlight w:val="white"/>
        </w:rPr>
      </w:r>
      <w:r/>
    </w:p>
    <w:p>
      <w:pPr>
        <w:pStyle w:val="796"/>
        <w:jc w:val="center"/>
        <w:spacing w:before="75" w:beforeAutospacing="0" w:after="75" w:afterAutospacing="0" w:line="405" w:lineRule="atLeast"/>
        <w:widowControl/>
        <w:rPr>
          <w:rStyle w:val="801"/>
          <w:rFonts w:hint="eastAsia" w:ascii="宋体" w:hAnsi="宋体" w:cs="宋体"/>
          <w:sz w:val="43"/>
          <w:szCs w:val="43"/>
          <w:highlight w:val="white"/>
        </w:rPr>
      </w:pPr>
      <w:r>
        <w:rPr>
          <w:rFonts w:hint="eastAsia" w:ascii="宋体" w:hAnsi="宋体" w:cs="宋体"/>
          <w:sz w:val="43"/>
          <w:szCs w:val="43"/>
          <w:highlight w:val="white"/>
        </w:rPr>
      </w:r>
      <w:r>
        <w:rPr>
          <w:highlight w:val="white"/>
        </w:rPr>
      </w:r>
      <w:r/>
    </w:p>
    <w:p>
      <w:pPr>
        <w:pStyle w:val="796"/>
        <w:jc w:val="center"/>
        <w:spacing w:before="75" w:beforeAutospacing="0" w:after="75" w:afterAutospacing="0" w:line="405" w:lineRule="atLeast"/>
        <w:widowControl/>
        <w:rPr>
          <w:rStyle w:val="801"/>
          <w:rFonts w:hint="eastAsia" w:ascii="宋体" w:hAnsi="宋体" w:cs="宋体"/>
          <w:sz w:val="43"/>
          <w:szCs w:val="43"/>
          <w:highlight w:val="white"/>
        </w:rPr>
      </w:pPr>
      <w:r>
        <w:rPr>
          <w:rFonts w:hint="eastAsia" w:ascii="宋体" w:hAnsi="宋体" w:cs="宋体"/>
          <w:sz w:val="43"/>
          <w:szCs w:val="43"/>
          <w:highlight w:val="white"/>
        </w:rPr>
      </w:r>
      <w:r>
        <w:rPr>
          <w:highlight w:val="white"/>
        </w:rPr>
      </w:r>
      <w:r/>
    </w:p>
    <w:p>
      <w:pPr>
        <w:pStyle w:val="796"/>
        <w:jc w:val="center"/>
        <w:spacing w:before="75" w:beforeAutospacing="0" w:after="75" w:afterAutospacing="0" w:line="405" w:lineRule="atLeast"/>
        <w:widowControl/>
        <w:rPr>
          <w:rStyle w:val="801"/>
          <w:rFonts w:hint="eastAsia" w:ascii="宋体" w:hAnsi="宋体" w:cs="宋体"/>
          <w:sz w:val="43"/>
          <w:szCs w:val="43"/>
          <w:highlight w:val="white"/>
        </w:rPr>
      </w:pPr>
      <w:r>
        <w:rPr>
          <w:rFonts w:hint="eastAsia" w:ascii="宋体" w:hAnsi="宋体" w:cs="宋体"/>
          <w:sz w:val="43"/>
          <w:szCs w:val="43"/>
          <w:highlight w:val="white"/>
        </w:rPr>
      </w:r>
      <w:r>
        <w:rPr>
          <w:highlight w:val="white"/>
        </w:rPr>
      </w:r>
      <w:r/>
    </w:p>
    <w:p>
      <w:pPr>
        <w:pStyle w:val="796"/>
        <w:jc w:val="center"/>
        <w:spacing w:before="75" w:beforeAutospacing="0" w:after="75" w:afterAutospacing="0" w:line="405" w:lineRule="atLeast"/>
        <w:widowControl/>
        <w:rPr>
          <w:rStyle w:val="801"/>
          <w:rFonts w:hint="eastAsia" w:ascii="宋体" w:hAnsi="宋体" w:cs="宋体"/>
          <w:sz w:val="43"/>
          <w:szCs w:val="43"/>
          <w:highlight w:val="white"/>
        </w:rPr>
      </w:pPr>
      <w:r>
        <w:rPr>
          <w:rFonts w:hint="eastAsia" w:ascii="宋体" w:hAnsi="宋体" w:cs="宋体"/>
          <w:sz w:val="43"/>
          <w:szCs w:val="43"/>
          <w:highlight w:val="white"/>
        </w:rPr>
      </w:r>
      <w:r>
        <w:rPr>
          <w:highlight w:val="white"/>
        </w:rPr>
      </w:r>
      <w:r/>
    </w:p>
    <w:p>
      <w:pPr>
        <w:pStyle w:val="796"/>
        <w:jc w:val="center"/>
        <w:spacing w:before="75" w:beforeAutospacing="0" w:after="75" w:afterAutospacing="0" w:line="405" w:lineRule="atLeast"/>
        <w:widowControl/>
        <w:rPr>
          <w:rStyle w:val="801"/>
          <w:rFonts w:hint="eastAsia" w:ascii="宋体" w:hAnsi="宋体" w:cs="宋体"/>
          <w:sz w:val="43"/>
          <w:szCs w:val="43"/>
          <w:highlight w:val="white"/>
        </w:rPr>
      </w:pPr>
      <w:r>
        <w:rPr>
          <w:rFonts w:hint="eastAsia" w:ascii="宋体" w:hAnsi="宋体" w:cs="宋体"/>
          <w:sz w:val="43"/>
          <w:szCs w:val="43"/>
          <w:highlight w:val="white"/>
        </w:rPr>
      </w:r>
      <w:r>
        <w:rPr>
          <w:highlight w:val="white"/>
        </w:rPr>
      </w:r>
      <w:r/>
    </w:p>
    <w:p>
      <w:pPr>
        <w:pStyle w:val="796"/>
        <w:jc w:val="center"/>
        <w:spacing w:before="75" w:beforeAutospacing="0" w:after="75" w:afterAutospacing="0" w:line="405" w:lineRule="atLeast"/>
        <w:widowControl/>
        <w:rPr>
          <w:rStyle w:val="801"/>
          <w:rFonts w:hint="eastAsia" w:ascii="宋体" w:hAnsi="宋体" w:cs="宋体"/>
          <w:sz w:val="43"/>
          <w:szCs w:val="43"/>
          <w:highlight w:val="white"/>
        </w:rPr>
      </w:pPr>
      <w:r>
        <w:rPr>
          <w:rFonts w:hint="eastAsia" w:ascii="宋体" w:hAnsi="宋体" w:cs="宋体"/>
          <w:sz w:val="43"/>
          <w:szCs w:val="43"/>
          <w:highlight w:val="white"/>
        </w:rPr>
      </w:r>
      <w:r>
        <w:rPr>
          <w:highlight w:val="white"/>
        </w:rPr>
      </w:r>
      <w:r/>
    </w:p>
    <w:p>
      <w:pPr>
        <w:pStyle w:val="796"/>
        <w:jc w:val="center"/>
        <w:spacing w:before="75" w:beforeAutospacing="0" w:after="75" w:afterAutospacing="0" w:line="405" w:lineRule="atLeast"/>
        <w:widowControl/>
        <w:rPr>
          <w:rStyle w:val="801"/>
          <w:rFonts w:hint="eastAsia" w:ascii="宋体" w:hAnsi="宋体" w:cs="宋体"/>
          <w:sz w:val="43"/>
          <w:szCs w:val="43"/>
          <w:highlight w:val="white"/>
        </w:rPr>
      </w:pPr>
      <w:r>
        <w:rPr>
          <w:rFonts w:hint="eastAsia" w:ascii="宋体" w:hAnsi="宋体" w:cs="宋体"/>
          <w:sz w:val="43"/>
          <w:szCs w:val="43"/>
          <w:highlight w:val="white"/>
        </w:rPr>
      </w:r>
      <w:r>
        <w:rPr>
          <w:highlight w:val="white"/>
        </w:rPr>
      </w:r>
      <w:r/>
    </w:p>
    <w:p>
      <w:pPr>
        <w:pStyle w:val="796"/>
        <w:jc w:val="center"/>
        <w:spacing w:before="75" w:beforeAutospacing="0" w:after="75" w:afterAutospacing="0" w:line="405" w:lineRule="atLeast"/>
        <w:widowControl/>
        <w:rPr>
          <w:rStyle w:val="801"/>
          <w:rFonts w:hint="eastAsia" w:ascii="宋体" w:hAnsi="宋体" w:cs="宋体"/>
          <w:sz w:val="43"/>
          <w:szCs w:val="43"/>
          <w:highlight w:val="white"/>
        </w:rPr>
      </w:pPr>
      <w:r>
        <w:rPr>
          <w:rFonts w:hint="eastAsia" w:ascii="宋体" w:hAnsi="宋体" w:cs="宋体"/>
          <w:sz w:val="43"/>
          <w:szCs w:val="43"/>
          <w:highlight w:val="white"/>
        </w:rPr>
      </w:r>
      <w:r>
        <w:rPr>
          <w:highlight w:val="white"/>
        </w:rPr>
      </w:r>
      <w:r/>
    </w:p>
    <w:p>
      <w:pPr>
        <w:pStyle w:val="796"/>
        <w:jc w:val="center"/>
        <w:spacing w:before="75" w:beforeAutospacing="0" w:after="75" w:afterAutospacing="0" w:line="405" w:lineRule="atLeast"/>
        <w:widowControl/>
        <w:rPr>
          <w:rStyle w:val="801"/>
          <w:rFonts w:hint="eastAsia" w:ascii="宋体" w:hAnsi="宋体" w:cs="宋体"/>
          <w:sz w:val="43"/>
          <w:szCs w:val="43"/>
          <w:highlight w:val="white"/>
        </w:rPr>
      </w:pPr>
      <w:r>
        <w:rPr>
          <w:rFonts w:hint="eastAsia" w:ascii="宋体" w:hAnsi="宋体" w:cs="宋体"/>
          <w:sz w:val="43"/>
          <w:szCs w:val="43"/>
          <w:highlight w:val="white"/>
        </w:rPr>
      </w:r>
      <w:r>
        <w:rPr>
          <w:highlight w:val="white"/>
        </w:rPr>
      </w:r>
      <w:r/>
    </w:p>
    <w:p>
      <w:pPr>
        <w:pStyle w:val="796"/>
        <w:jc w:val="center"/>
        <w:spacing w:before="75" w:beforeAutospacing="0" w:after="75" w:afterAutospacing="0" w:line="405" w:lineRule="atLeast"/>
        <w:widowControl/>
        <w:rPr>
          <w:rStyle w:val="801"/>
          <w:rFonts w:hint="eastAsia" w:ascii="宋体" w:hAnsi="宋体" w:cs="宋体"/>
          <w:sz w:val="43"/>
          <w:szCs w:val="43"/>
          <w:highlight w:val="white"/>
        </w:rPr>
      </w:pPr>
      <w:r>
        <w:rPr>
          <w:rStyle w:val="801"/>
          <w:rFonts w:hint="eastAsia" w:ascii="宋体" w:hAnsi="宋体" w:cs="宋体"/>
          <w:sz w:val="43"/>
          <w:szCs w:val="43"/>
          <w:highlight w:val="white"/>
        </w:rPr>
        <w:t xml:space="preserve">第一章 磋商公告</w:t>
      </w:r>
      <w:r>
        <w:rPr>
          <w:highlight w:val="white"/>
        </w:rPr>
      </w:r>
      <w:r/>
    </w:p>
    <w:tbl>
      <w:tblPr>
        <w:tblStyle w:val="800"/>
        <w:tblW w:w="9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68"/>
      </w:tblGrid>
      <w:tr>
        <w:trPr/>
        <w:tc>
          <w:tcPr>
            <w:tcW w:w="9968" w:type="dxa"/>
            <w:textDirection w:val="lrTb"/>
            <w:noWrap w:val="false"/>
          </w:tcPr>
          <w:p>
            <w:pPr>
              <w:ind w:firstLine="480"/>
              <w:spacing w:line="440" w:lineRule="exact"/>
              <w:rPr>
                <w:rFonts w:hint="eastAsia" w:ascii="宋体" w:hAnsi="宋体"/>
                <w:sz w:val="24"/>
                <w:szCs w:val="24"/>
                <w:highlight w:val="white"/>
              </w:rPr>
            </w:pPr>
            <w:r>
              <w:rPr>
                <w:rFonts w:hint="eastAsia" w:ascii="宋体" w:hAnsi="宋体"/>
                <w:sz w:val="24"/>
                <w:szCs w:val="24"/>
                <w:highlight w:val="white"/>
                <w:lang w:val="zh-CN"/>
              </w:rPr>
              <w:t xml:space="preserve">项目概况</w:t>
            </w:r>
            <w:r>
              <w:rPr>
                <w:highlight w:val="white"/>
              </w:rPr>
            </w:r>
            <w:r/>
          </w:p>
          <w:p>
            <w:pPr>
              <w:ind w:firstLine="480"/>
              <w:spacing w:line="440" w:lineRule="exact"/>
              <w:rPr>
                <w:rStyle w:val="801"/>
                <w:rFonts w:hint="eastAsia" w:ascii="宋体" w:hAnsi="宋体" w:cs="宋体"/>
                <w:sz w:val="43"/>
                <w:szCs w:val="43"/>
                <w:highlight w:val="white"/>
              </w:rPr>
            </w:pPr>
            <w:r>
              <w:rPr>
                <w:rFonts w:hint="eastAsia" w:ascii="宋体" w:hAnsi="宋体"/>
                <w:sz w:val="24"/>
                <w:szCs w:val="24"/>
                <w:highlight w:val="white"/>
                <w:lang w:val="zh-CN"/>
              </w:rPr>
              <w:t xml:space="preserve">姑苏区街道空气自动站运行维护（2026年）的潜在投标人应在苏采云系统获取招标文件，并于</w:t>
            </w:r>
            <w:r>
              <w:rPr>
                <w:rFonts w:hint="eastAsia" w:ascii="宋体" w:hAnsi="宋体" w:cs="宋体"/>
                <w:sz w:val="24"/>
                <w:szCs w:val="24"/>
                <w:highlight w:val="white"/>
                <w:u w:val="single"/>
              </w:rPr>
              <w:t xml:space="preserve">2026年</w:t>
            </w:r>
            <w:r>
              <w:rPr>
                <w:rFonts w:hint="eastAsia" w:ascii="宋体" w:hAnsi="宋体" w:cs="宋体"/>
                <w:sz w:val="24"/>
                <w:szCs w:val="24"/>
                <w:highlight w:val="white"/>
                <w:u w:val="single"/>
              </w:rPr>
              <w:t xml:space="preserve">0</w:t>
            </w:r>
            <w:r>
              <w:rPr>
                <w:rFonts w:hint="eastAsia" w:ascii="宋体" w:hAnsi="宋体" w:cs="宋体"/>
                <w:sz w:val="24"/>
                <w:szCs w:val="24"/>
                <w:highlight w:val="white"/>
                <w:u w:val="single"/>
              </w:rPr>
              <w:t xml:space="preserve">9月</w:t>
            </w:r>
            <w:r>
              <w:rPr>
                <w:rFonts w:hint="eastAsia" w:ascii="宋体" w:hAnsi="宋体" w:cs="宋体"/>
                <w:sz w:val="24"/>
                <w:szCs w:val="24"/>
                <w:highlight w:val="white"/>
                <w:u w:val="single"/>
              </w:rPr>
              <w:t xml:space="preserve">09</w:t>
            </w:r>
            <w:r>
              <w:rPr>
                <w:rFonts w:hint="eastAsia" w:ascii="宋体" w:hAnsi="宋体" w:cs="宋体"/>
                <w:sz w:val="24"/>
                <w:szCs w:val="24"/>
                <w:highlight w:val="white"/>
                <w:u w:val="single"/>
              </w:rPr>
              <w:t xml:space="preserve">日13点30分（北京时间）</w:t>
            </w:r>
            <w:r>
              <w:rPr>
                <w:rFonts w:hint="eastAsia" w:ascii="宋体" w:hAnsi="宋体"/>
                <w:sz w:val="24"/>
                <w:szCs w:val="24"/>
                <w:highlight w:val="white"/>
                <w:lang w:val="zh-CN"/>
              </w:rPr>
              <w:t xml:space="preserve">前递交投标文件。</w:t>
            </w:r>
            <w:r>
              <w:rPr>
                <w:highlight w:val="white"/>
              </w:rPr>
            </w:r>
            <w:r/>
          </w:p>
        </w:tc>
      </w:tr>
    </w:tbl>
    <w:p>
      <w:pPr>
        <w:spacing w:line="360" w:lineRule="auto"/>
        <w:rPr>
          <w:rFonts w:hint="eastAsia" w:ascii="宋体" w:hAnsi="宋体"/>
          <w:b/>
          <w:sz w:val="24"/>
          <w:szCs w:val="24"/>
          <w:highlight w:val="white"/>
        </w:rPr>
      </w:pPr>
      <w:r>
        <w:rPr>
          <w:rFonts w:hint="eastAsia" w:ascii="宋体" w:hAnsi="宋体"/>
          <w:b/>
          <w:sz w:val="24"/>
          <w:szCs w:val="24"/>
          <w:highlight w:val="white"/>
          <w:lang w:val="zh-CN"/>
        </w:rPr>
        <w:t xml:space="preserve">一、项目基本情况</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1</w:t>
      </w:r>
      <w:r>
        <w:rPr>
          <w:rFonts w:hint="eastAsia" w:ascii="宋体" w:hAnsi="宋体"/>
          <w:sz w:val="24"/>
          <w:szCs w:val="24"/>
          <w:highlight w:val="white"/>
        </w:rPr>
        <w:t xml:space="preserve">.</w:t>
      </w:r>
      <w:r>
        <w:rPr>
          <w:rFonts w:hint="eastAsia" w:ascii="宋体" w:hAnsi="宋体"/>
          <w:sz w:val="24"/>
          <w:szCs w:val="24"/>
          <w:highlight w:val="white"/>
          <w:lang w:val="zh-CN"/>
        </w:rPr>
        <w:t xml:space="preserve">项目编号：</w:t>
      </w:r>
      <w:r>
        <w:rPr>
          <w:rFonts w:hint="eastAsia" w:ascii="宋体" w:hAnsi="宋体"/>
          <w:sz w:val="24"/>
          <w:szCs w:val="24"/>
          <w:highlight w:val="white"/>
          <w:lang w:val="zh-CN"/>
        </w:rPr>
        <w:t xml:space="preserve">JSZC-320508-SZJN-C2026-0005</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2.项目名称：姑苏区街道空气自动站运行维护（2026年）</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3.预算金额：人民币壹佰叁拾捌万元整（￥1380000.00）</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4.最高限价：人民币壹佰叁拾捌万元整（￥1380000.00）</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5.</w:t>
      </w:r>
      <w:r>
        <w:rPr>
          <w:rFonts w:hint="eastAsia" w:ascii="宋体" w:hAnsi="宋体"/>
          <w:sz w:val="24"/>
          <w:szCs w:val="24"/>
          <w:highlight w:val="white"/>
        </w:rPr>
        <w:t xml:space="preserve">采购需求：本项目是对站点PM</w:t>
      </w:r>
      <w:r>
        <w:rPr>
          <w:rFonts w:hint="eastAsia" w:ascii="宋体" w:hAnsi="宋体"/>
          <w:sz w:val="24"/>
          <w:szCs w:val="24"/>
          <w:highlight w:val="white"/>
          <w:vertAlign w:val="subscript"/>
        </w:rPr>
        <w:t xml:space="preserve">2.5</w:t>
      </w:r>
      <w:r>
        <w:rPr>
          <w:rFonts w:hint="eastAsia" w:ascii="宋体" w:hAnsi="宋体"/>
          <w:sz w:val="24"/>
          <w:szCs w:val="24"/>
          <w:highlight w:val="white"/>
        </w:rPr>
        <w:t xml:space="preserve">在线监测仪、PM</w:t>
      </w:r>
      <w:r>
        <w:rPr>
          <w:rFonts w:hint="eastAsia" w:ascii="宋体" w:hAnsi="宋体"/>
          <w:sz w:val="24"/>
          <w:szCs w:val="24"/>
          <w:highlight w:val="white"/>
          <w:vertAlign w:val="subscript"/>
        </w:rPr>
        <w:t xml:space="preserve">10</w:t>
      </w:r>
      <w:r>
        <w:rPr>
          <w:rFonts w:hint="eastAsia" w:ascii="宋体" w:hAnsi="宋体"/>
          <w:sz w:val="24"/>
          <w:szCs w:val="24"/>
          <w:highlight w:val="white"/>
        </w:rPr>
        <w:t xml:space="preserve">在线监测仪、O</w:t>
      </w:r>
      <w:r>
        <w:rPr>
          <w:rFonts w:hint="eastAsia" w:ascii="宋体" w:hAnsi="宋体"/>
          <w:sz w:val="24"/>
          <w:szCs w:val="24"/>
          <w:highlight w:val="white"/>
          <w:vertAlign w:val="subscript"/>
        </w:rPr>
        <w:t xml:space="preserve">3</w:t>
      </w:r>
      <w:r>
        <w:rPr>
          <w:rFonts w:hint="eastAsia" w:ascii="宋体" w:hAnsi="宋体"/>
          <w:sz w:val="24"/>
          <w:szCs w:val="24"/>
          <w:highlight w:val="white"/>
        </w:rPr>
        <w:t xml:space="preserve">在线监测仪、NO</w:t>
      </w:r>
      <w:r>
        <w:rPr>
          <w:rFonts w:hint="eastAsia" w:ascii="宋体" w:hAnsi="宋体"/>
          <w:sz w:val="24"/>
          <w:szCs w:val="24"/>
          <w:highlight w:val="white"/>
          <w:vertAlign w:val="subscript"/>
        </w:rPr>
        <w:t xml:space="preserve">2</w:t>
      </w:r>
      <w:r>
        <w:rPr>
          <w:rFonts w:hint="eastAsia" w:ascii="宋体" w:hAnsi="宋体"/>
          <w:sz w:val="24"/>
          <w:szCs w:val="24"/>
          <w:highlight w:val="white"/>
        </w:rPr>
        <w:t xml:space="preserve">在线监测仪、CO在线监测仪、SO2在线监测仪、降尘罐、气象仪（五参数）、采样系统、数据采集系统、质控设备、站房及附属设施、安保摄影系统等进行维护、校准、维修等，项目费用包括更换必要的监测仪器配件费用、耗材费用、网络通讯费用、计量检定费用、水电费、检查维护的交通费等保证站点正常运行的全部费用，项目须确保站点设备及系统连续、稳定、有效运行。</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6</w:t>
      </w:r>
      <w:r>
        <w:rPr>
          <w:rFonts w:hint="eastAsia" w:ascii="宋体" w:hAnsi="宋体"/>
          <w:sz w:val="24"/>
          <w:szCs w:val="24"/>
          <w:highlight w:val="white"/>
          <w:lang w:val="zh-CN"/>
        </w:rPr>
        <w:t xml:space="preserve">.合同履行期限：自移交乙方运维之日起计算12个月</w:t>
      </w:r>
      <w:r>
        <w:rPr>
          <w:rFonts w:hint="eastAsia" w:ascii="宋体" w:hAnsi="宋体"/>
          <w:sz w:val="24"/>
          <w:szCs w:val="24"/>
          <w:highlight w:val="white"/>
        </w:rPr>
        <w:t xml:space="preserve">。</w:t>
      </w:r>
      <w:r>
        <w:rPr>
          <w:highlight w:val="white"/>
        </w:rPr>
      </w:r>
      <w:r/>
    </w:p>
    <w:p>
      <w:pPr>
        <w:spacing w:line="360" w:lineRule="auto"/>
        <w:rPr>
          <w:rFonts w:hint="eastAsia" w:ascii="宋体" w:hAnsi="宋体"/>
          <w:b/>
          <w:sz w:val="24"/>
          <w:szCs w:val="24"/>
          <w:highlight w:val="white"/>
        </w:rPr>
      </w:pPr>
      <w:r>
        <w:rPr>
          <w:rFonts w:hint="eastAsia" w:ascii="宋体" w:hAnsi="宋体"/>
          <w:b/>
          <w:sz w:val="24"/>
          <w:szCs w:val="24"/>
          <w:highlight w:val="white"/>
          <w:lang w:val="zh-CN"/>
        </w:rPr>
        <w:t xml:space="preserve">二、申请人的资格要求：</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1.满足《中华人民共和国政府采购法》第二十二条规定：</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（1）具有独立承担民事责任的能力；</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（2）具有良好的商业信誉和健全的财务会计制度；</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（3）具有履行合同所必须的设备和专业技术能力；</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（4）有依法缴纳税收和社会保障资金的良好记录；</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（5）参加政府采购活动前三年内，在经营活动中没有重大违法记录；</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（6）法律、行政法规规定的其他条件。</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2.落实政府采购政策需满足的资格要求：</w:t>
      </w:r>
      <w:r>
        <w:rPr>
          <w:rFonts w:hint="eastAsia" w:ascii="宋体" w:hAnsi="宋体"/>
          <w:bCs/>
          <w:sz w:val="24"/>
          <w:szCs w:val="24"/>
          <w:highlight w:val="white"/>
          <w:lang w:val="zh-CN"/>
        </w:rPr>
        <w:t xml:space="preserve">本项目专门面向中小企业采购，行业划分类别为其他未列明行业。供应商应为中小微企业</w:t>
      </w:r>
      <w:r>
        <w:rPr>
          <w:rFonts w:hint="eastAsia" w:ascii="宋体" w:hAnsi="宋体"/>
          <w:bCs/>
          <w:sz w:val="24"/>
          <w:szCs w:val="24"/>
          <w:highlight w:val="white"/>
        </w:rPr>
        <w:t xml:space="preserve">或</w:t>
      </w:r>
      <w:r>
        <w:rPr>
          <w:rFonts w:hint="eastAsia" w:ascii="宋体" w:hAnsi="宋体"/>
          <w:bCs/>
          <w:sz w:val="24"/>
          <w:szCs w:val="24"/>
          <w:highlight w:val="white"/>
          <w:lang w:val="zh-CN"/>
        </w:rPr>
        <w:t xml:space="preserve">监狱企业</w:t>
      </w:r>
      <w:r>
        <w:rPr>
          <w:rFonts w:hint="eastAsia" w:ascii="宋体" w:hAnsi="宋体"/>
          <w:bCs/>
          <w:sz w:val="24"/>
          <w:szCs w:val="24"/>
          <w:highlight w:val="white"/>
        </w:rPr>
        <w:t xml:space="preserve">或</w:t>
      </w:r>
      <w:r>
        <w:rPr>
          <w:rFonts w:hint="eastAsia" w:ascii="宋体" w:hAnsi="宋体"/>
          <w:bCs/>
          <w:sz w:val="24"/>
          <w:szCs w:val="24"/>
          <w:highlight w:val="white"/>
          <w:lang w:val="zh-CN"/>
        </w:rPr>
        <w:t xml:space="preserve">残疾人福利性单位。</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3.本项目的特定资格要求： </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w:t>
      </w:r>
      <w:r>
        <w:rPr>
          <w:rFonts w:hint="eastAsia" w:ascii="宋体" w:hAnsi="宋体"/>
          <w:sz w:val="24"/>
          <w:szCs w:val="24"/>
          <w:highlight w:val="white"/>
          <w:lang w:val="zh-CN"/>
        </w:rPr>
        <w:t xml:space="preserve">未被</w:t>
      </w:r>
      <w:r>
        <w:rPr>
          <w:rFonts w:hint="eastAsia" w:ascii="宋体" w:hAnsi="宋体"/>
          <w:sz w:val="24"/>
          <w:szCs w:val="24"/>
          <w:highlight w:val="white"/>
        </w:rPr>
        <w:t xml:space="preserve">“</w:t>
      </w:r>
      <w:r>
        <w:rPr>
          <w:rFonts w:hint="eastAsia" w:ascii="宋体" w:hAnsi="宋体"/>
          <w:sz w:val="24"/>
          <w:szCs w:val="24"/>
          <w:highlight w:val="white"/>
          <w:lang w:val="zh-CN"/>
        </w:rPr>
        <w:t xml:space="preserve">信用中国</w:t>
      </w:r>
      <w:r>
        <w:rPr>
          <w:rFonts w:hint="eastAsia" w:ascii="宋体" w:hAnsi="宋体"/>
          <w:sz w:val="24"/>
          <w:szCs w:val="24"/>
          <w:highlight w:val="white"/>
        </w:rPr>
        <w:t xml:space="preserve">”</w:t>
      </w:r>
      <w:r>
        <w:rPr>
          <w:rFonts w:hint="eastAsia" w:ascii="宋体" w:hAnsi="宋体"/>
          <w:sz w:val="24"/>
          <w:szCs w:val="24"/>
          <w:highlight w:val="white"/>
          <w:lang w:val="zh-CN"/>
        </w:rPr>
        <w:t xml:space="preserve">网站或</w:t>
      </w:r>
      <w:r>
        <w:rPr>
          <w:rFonts w:hint="eastAsia" w:ascii="宋体" w:hAnsi="宋体"/>
          <w:sz w:val="24"/>
          <w:szCs w:val="24"/>
          <w:highlight w:val="white"/>
        </w:rPr>
        <w:t xml:space="preserve">“</w:t>
      </w:r>
      <w:r>
        <w:rPr>
          <w:rFonts w:hint="eastAsia" w:ascii="宋体" w:hAnsi="宋体"/>
          <w:sz w:val="24"/>
          <w:szCs w:val="24"/>
          <w:highlight w:val="white"/>
          <w:lang w:val="zh-CN"/>
        </w:rPr>
        <w:t xml:space="preserve">中国政府采购网</w:t>
      </w:r>
      <w:r>
        <w:rPr>
          <w:rFonts w:hint="eastAsia" w:ascii="宋体" w:hAnsi="宋体"/>
          <w:sz w:val="24"/>
          <w:szCs w:val="24"/>
          <w:highlight w:val="white"/>
        </w:rPr>
        <w:t xml:space="preserve">”</w:t>
      </w:r>
      <w:r>
        <w:rPr>
          <w:rFonts w:hint="eastAsia" w:ascii="宋体" w:hAnsi="宋体"/>
          <w:sz w:val="24"/>
          <w:szCs w:val="24"/>
          <w:highlight w:val="white"/>
          <w:lang w:val="zh-CN"/>
        </w:rPr>
        <w:t xml:space="preserve">网站列入失信被执行人、重大税收违法案件当事人名单、政府采购严重失信行为记录名单</w:t>
      </w:r>
      <w:r>
        <w:rPr>
          <w:rFonts w:hint="eastAsia" w:ascii="宋体" w:hAnsi="宋体"/>
          <w:sz w:val="24"/>
          <w:szCs w:val="24"/>
          <w:highlight w:val="white"/>
        </w:rPr>
        <w:t xml:space="preserve">；</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（2）本项目不接受联合体投标；</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（3）单位负责人为同一人或者存在直接控股、管理关系的不同供应商（包含法定代表人为同一个人的两个及两个以上法人，母公司、全资子公司及其控股公司），不得参加同一合</w:t>
      </w:r>
      <w:r>
        <w:rPr>
          <w:rFonts w:hint="eastAsia" w:ascii="宋体" w:hAnsi="宋体"/>
          <w:sz w:val="24"/>
          <w:szCs w:val="24"/>
          <w:highlight w:val="white"/>
          <w:lang w:val="zh-CN"/>
        </w:rPr>
        <w:t xml:space="preserve">同项下的政府采购活动。</w:t>
      </w:r>
      <w:r>
        <w:rPr>
          <w:highlight w:val="white"/>
        </w:rPr>
      </w:r>
      <w:r/>
    </w:p>
    <w:p>
      <w:pPr>
        <w:spacing w:line="360" w:lineRule="auto"/>
        <w:rPr>
          <w:rFonts w:hint="eastAsia" w:ascii="宋体" w:hAnsi="宋体"/>
          <w:b/>
          <w:sz w:val="24"/>
          <w:szCs w:val="24"/>
          <w:highlight w:val="white"/>
        </w:rPr>
      </w:pPr>
      <w:r>
        <w:rPr>
          <w:rFonts w:hint="eastAsia" w:ascii="宋体" w:hAnsi="宋体"/>
          <w:b/>
          <w:sz w:val="24"/>
          <w:szCs w:val="24"/>
          <w:highlight w:val="white"/>
          <w:lang w:val="zh-CN"/>
        </w:rPr>
        <w:t xml:space="preserve">三、报名及采购文件的获取:</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采购文件获取时间：自招标文件公告发布之日起5个工作日（北京时间，法定节假日除外）</w:t>
      </w:r>
      <w:r>
        <w:rPr>
          <w:highlight w:val="white"/>
        </w:rPr>
      </w:r>
      <w:r/>
    </w:p>
    <w:p>
      <w:pPr>
        <w:ind w:firstLine="480"/>
        <w:spacing w:line="360" w:lineRule="auto"/>
        <w:rPr>
          <w:rFonts w:hint="eastAsia" w:ascii="宋体" w:hAnsi="宋体" w:cs="宋体"/>
          <w:sz w:val="24"/>
          <w:szCs w:val="24"/>
          <w:highlight w:val="white"/>
        </w:rPr>
      </w:pPr>
      <w:r>
        <w:rPr>
          <w:highlight w:val="white"/>
        </w:rPr>
      </w:r>
      <w:bookmarkStart w:id="0" w:name="_Toc35393632"/>
      <w:r>
        <w:rPr>
          <w:highlight w:val="white"/>
        </w:rPr>
      </w:r>
      <w:bookmarkStart w:id="1" w:name="_Toc28359092"/>
      <w:r>
        <w:rPr>
          <w:highlight w:val="white"/>
        </w:rPr>
      </w:r>
      <w:bookmarkStart w:id="2" w:name="_Toc28359015"/>
      <w:r>
        <w:rPr>
          <w:highlight w:val="white"/>
        </w:rPr>
      </w:r>
      <w:bookmarkStart w:id="3" w:name="_Toc35393801"/>
      <w:r>
        <w:rPr>
          <w:rFonts w:hint="eastAsia" w:ascii="宋体" w:hAnsi="宋体" w:cs="宋体"/>
          <w:sz w:val="24"/>
          <w:szCs w:val="24"/>
          <w:highlight w:val="white"/>
        </w:rPr>
        <w:t xml:space="preserve">（1）CA证书办理</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（2）参与采购活动</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（3）电子投标准备</w:t>
      </w:r>
      <w:r>
        <w:rPr>
          <w:highlight w:val="white"/>
        </w:rPr>
      </w:r>
      <w:r/>
    </w:p>
    <w:p>
      <w:pPr>
        <w:ind w:firstLine="480"/>
        <w:spacing w:line="360" w:lineRule="auto"/>
        <w:rPr>
          <w:rFonts w:hint="eastAsia" w:ascii="宋体" w:hAnsi="宋体" w:cs="宋体"/>
          <w:b/>
          <w:bCs/>
          <w:sz w:val="24"/>
          <w:szCs w:val="24"/>
          <w:highlight w:val="white"/>
        </w:rPr>
      </w:pPr>
      <w:r>
        <w:rPr>
          <w:rFonts w:hint="eastAsia" w:ascii="宋体" w:hAnsi="宋体" w:cs="宋体"/>
          <w:sz w:val="24"/>
          <w:szCs w:val="24"/>
          <w:highlight w:val="white"/>
        </w:rPr>
        <w:t xml:space="preserve">供应商在“苏采云”系统中操作参与项目后，必须在“已参与项目”界面中下载电子采购文件（后缀名为“.</w:t>
      </w:r>
      <w:r>
        <w:rPr>
          <w:rFonts w:hint="eastAsia" w:ascii="宋体" w:hAnsi="宋体" w:cs="宋体"/>
          <w:sz w:val="24"/>
          <w:szCs w:val="24"/>
          <w:highlight w:val="white"/>
        </w:rPr>
        <w:t xml:space="preserve">kedt</w:t>
      </w:r>
      <w:r>
        <w:rPr>
          <w:rFonts w:hint="eastAsia" w:ascii="宋体" w:hAnsi="宋体" w:cs="宋体"/>
          <w:sz w:val="24"/>
          <w:szCs w:val="24"/>
          <w:highlight w:val="white"/>
        </w:rPr>
        <w:t xml:space="preserve">”）并导入政府采购客户端工具后方可进行响应文件制作和提交</w:t>
      </w:r>
      <w:r>
        <w:rPr>
          <w:rFonts w:hint="eastAsia" w:ascii="宋体" w:hAnsi="宋体" w:cs="宋体"/>
          <w:b/>
          <w:bCs/>
          <w:sz w:val="24"/>
          <w:szCs w:val="24"/>
          <w:highlight w:val="white"/>
        </w:rPr>
        <w:t xml:space="preserve">（具体详见《苏采云系统供应商操作手册》，网址链接https://czju.suzhou.gov.cn/zfcg/html/content/20231220161910031.shtml）。</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在系统操作过程中如有疑问，请按以下方式联系：</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注册咨询：18261002950；</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CA技术咨询电话：400-608-6099；</w:t>
      </w:r>
      <w:r>
        <w:rPr>
          <w:highlight w:val="white"/>
        </w:rPr>
      </w:r>
      <w:r/>
    </w:p>
    <w:p>
      <w:pPr>
        <w:ind w:firstLine="480"/>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签章使用问题：</w:t>
      </w:r>
      <w:r>
        <w:rPr>
          <w:highlight w:val="white"/>
        </w:rPr>
      </w:r>
      <w:r/>
    </w:p>
    <w:p>
      <w:pPr>
        <w:ind w:firstLine="480"/>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025-83633811、025-83633812、15380932027、15371015030；</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系统使用指导与咨询：联系电话：18261002950；QQ：3048755361、1315179389、895706745。</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四、响应文件提交</w:t>
      </w:r>
      <w:bookmarkEnd w:id="0"/>
      <w:r>
        <w:rPr>
          <w:highlight w:val="white"/>
        </w:rPr>
      </w:r>
      <w:bookmarkEnd w:id="1"/>
      <w:r>
        <w:rPr>
          <w:highlight w:val="white"/>
        </w:rPr>
      </w:r>
      <w:bookmarkEnd w:id="2"/>
      <w:r>
        <w:rPr>
          <w:highlight w:val="white"/>
        </w:rPr>
      </w:r>
      <w:bookmarkEnd w:id="3"/>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1.截止时间：</w:t>
      </w:r>
      <w:r>
        <w:rPr>
          <w:rFonts w:hint="eastAsia" w:ascii="宋体" w:hAnsi="宋体" w:cs="宋体"/>
          <w:sz w:val="24"/>
          <w:szCs w:val="24"/>
          <w:highlight w:val="white"/>
          <w:u w:val="single"/>
        </w:rPr>
        <w:t xml:space="preserve">2026年</w:t>
      </w:r>
      <w:r>
        <w:rPr>
          <w:rFonts w:hint="eastAsia" w:ascii="宋体" w:hAnsi="宋体" w:cs="宋体"/>
          <w:sz w:val="24"/>
          <w:szCs w:val="24"/>
          <w:highlight w:val="white"/>
          <w:u w:val="single"/>
        </w:rPr>
        <w:t xml:space="preserve">0</w:t>
      </w:r>
      <w:r>
        <w:rPr>
          <w:rFonts w:hint="eastAsia" w:ascii="宋体" w:hAnsi="宋体" w:cs="宋体"/>
          <w:sz w:val="24"/>
          <w:szCs w:val="24"/>
          <w:highlight w:val="white"/>
          <w:u w:val="single"/>
        </w:rPr>
        <w:t xml:space="preserve">9月</w:t>
      </w:r>
      <w:r>
        <w:rPr>
          <w:rFonts w:hint="eastAsia" w:ascii="宋体" w:hAnsi="宋体" w:cs="宋体"/>
          <w:sz w:val="24"/>
          <w:szCs w:val="24"/>
          <w:highlight w:val="white"/>
          <w:u w:val="single"/>
        </w:rPr>
        <w:t xml:space="preserve">09</w:t>
      </w:r>
      <w:r>
        <w:rPr>
          <w:rFonts w:hint="eastAsia" w:ascii="宋体" w:hAnsi="宋体" w:cs="宋体"/>
          <w:sz w:val="24"/>
          <w:szCs w:val="24"/>
          <w:highlight w:val="white"/>
          <w:u w:val="single"/>
        </w:rPr>
        <w:t xml:space="preserve">日</w:t>
      </w:r>
      <w:r>
        <w:rPr>
          <w:rFonts w:hint="eastAsia" w:ascii="宋体" w:hAnsi="宋体" w:cs="宋体"/>
          <w:sz w:val="24"/>
          <w:szCs w:val="24"/>
          <w:highlight w:val="white"/>
          <w:u w:val="single"/>
        </w:rPr>
        <w:t xml:space="preserve">13点30分（北京时间）</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2.地点：</w:t>
      </w:r>
      <w:r>
        <w:rPr>
          <w:rFonts w:hint="eastAsia" w:ascii="宋体" w:hAnsi="宋体" w:cs="宋体"/>
          <w:b/>
          <w:bCs/>
          <w:sz w:val="24"/>
          <w:szCs w:val="24"/>
          <w:highlight w:val="white"/>
        </w:rPr>
        <w:t xml:space="preserve">“苏采云”系统（网址：http://jszfcg.jsczt.cn/）</w:t>
      </w:r>
      <w:r>
        <w:rPr>
          <w:rFonts w:hint="eastAsia" w:ascii="宋体" w:hAnsi="宋体" w:cs="宋体"/>
          <w:sz w:val="24"/>
          <w:szCs w:val="24"/>
          <w:highlight w:val="white"/>
        </w:rPr>
        <w:t xml:space="preserve">。响应文件网上递交，不需要现场参加采购活动，无需提供纸质响应文件。</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szCs w:val="24"/>
          <w:highlight w:val="white"/>
        </w:rPr>
        <w:t xml:space="preserve">供应商应充分考虑到网络环境、网络带宽等风险因素，如因供应商自身原因造成的电子响应文件上传不成功由供应商自行承担全部责任。</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五、开启</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1.截止时间：</w:t>
      </w:r>
      <w:r>
        <w:rPr>
          <w:rFonts w:hint="eastAsia" w:ascii="宋体" w:hAnsi="宋体" w:cs="宋体"/>
          <w:sz w:val="24"/>
          <w:szCs w:val="24"/>
          <w:highlight w:val="white"/>
          <w:u w:val="single"/>
        </w:rPr>
        <w:t xml:space="preserve">2026年</w:t>
      </w:r>
      <w:r>
        <w:rPr>
          <w:rFonts w:hint="eastAsia" w:ascii="宋体" w:hAnsi="宋体" w:cs="宋体"/>
          <w:sz w:val="24"/>
          <w:szCs w:val="24"/>
          <w:highlight w:val="white"/>
          <w:u w:val="single"/>
        </w:rPr>
        <w:t xml:space="preserve">0</w:t>
      </w:r>
      <w:r>
        <w:rPr>
          <w:rFonts w:hint="eastAsia" w:ascii="宋体" w:hAnsi="宋体" w:cs="宋体"/>
          <w:sz w:val="24"/>
          <w:szCs w:val="24"/>
          <w:highlight w:val="white"/>
          <w:u w:val="single"/>
        </w:rPr>
        <w:t xml:space="preserve">9月</w:t>
      </w:r>
      <w:r>
        <w:rPr>
          <w:rFonts w:hint="eastAsia" w:ascii="宋体" w:hAnsi="宋体" w:cs="宋体"/>
          <w:sz w:val="24"/>
          <w:szCs w:val="24"/>
          <w:highlight w:val="white"/>
          <w:u w:val="single"/>
        </w:rPr>
        <w:t xml:space="preserve">09</w:t>
      </w:r>
      <w:r>
        <w:rPr>
          <w:rFonts w:hint="eastAsia" w:ascii="宋体" w:hAnsi="宋体" w:cs="宋体"/>
          <w:sz w:val="24"/>
          <w:szCs w:val="24"/>
          <w:highlight w:val="white"/>
          <w:u w:val="single"/>
        </w:rPr>
        <w:t xml:space="preserve">日</w:t>
      </w:r>
      <w:r>
        <w:rPr>
          <w:rFonts w:hint="eastAsia" w:ascii="宋体" w:hAnsi="宋体" w:cs="宋体"/>
          <w:sz w:val="24"/>
          <w:szCs w:val="24"/>
          <w:highlight w:val="white"/>
          <w:u w:val="single"/>
        </w:rPr>
        <w:t xml:space="preserve">13点30分（北京时间）</w:t>
      </w:r>
      <w:r>
        <w:rPr>
          <w:highlight w:val="white"/>
        </w:rPr>
      </w:r>
      <w:r/>
    </w:p>
    <w:p>
      <w:pPr>
        <w:ind w:firstLine="480"/>
        <w:spacing w:line="360" w:lineRule="auto"/>
        <w:rPr>
          <w:rFonts w:hint="eastAsia" w:ascii="宋体" w:hAnsi="宋体" w:cs="宋体"/>
          <w:b/>
          <w:bCs/>
          <w:sz w:val="24"/>
          <w:szCs w:val="24"/>
          <w:highlight w:val="white"/>
        </w:rPr>
      </w:pPr>
      <w:r>
        <w:rPr>
          <w:rFonts w:hint="eastAsia" w:ascii="宋体" w:hAnsi="宋体" w:cs="宋体"/>
          <w:sz w:val="24"/>
          <w:szCs w:val="24"/>
          <w:highlight w:val="white"/>
        </w:rPr>
        <w:t xml:space="preserve">2.地点：</w:t>
      </w:r>
      <w:r>
        <w:rPr>
          <w:rFonts w:hint="eastAsia" w:ascii="宋体" w:hAnsi="宋体" w:cs="宋体"/>
          <w:b/>
          <w:bCs/>
          <w:sz w:val="24"/>
          <w:szCs w:val="24"/>
          <w:highlight w:val="white"/>
        </w:rPr>
        <w:t xml:space="preserve">“苏采云”系统（网址：http://jszfcg.jsczt.cn/）</w:t>
      </w:r>
      <w:r>
        <w:rPr>
          <w:highlight w:val="white"/>
        </w:rPr>
      </w:r>
      <w:r/>
    </w:p>
    <w:p>
      <w:pPr>
        <w:ind w:firstLine="480"/>
        <w:spacing w:line="360" w:lineRule="auto"/>
        <w:rPr>
          <w:rFonts w:hint="eastAsia" w:ascii="宋体" w:hAnsi="宋体" w:cs="宋体"/>
          <w:b/>
          <w:bCs/>
          <w:sz w:val="24"/>
          <w:szCs w:val="24"/>
          <w:highlight w:val="white"/>
        </w:rPr>
      </w:pPr>
      <w:r>
        <w:rPr>
          <w:rFonts w:hint="eastAsia" w:ascii="宋体" w:hAnsi="宋体" w:cs="宋体"/>
          <w:sz w:val="24"/>
          <w:szCs w:val="24"/>
          <w:highlight w:val="whit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highlight w:val="white"/>
        </w:rPr>
        <w:t xml:space="preserve">本项目为不见面磋商项目，开启阶段供应商在【供应商解密】环节必须使用 CA证书解密电子响应文件，如在系统规定的解密时间内未能完成解密的视为放弃参与本项目。</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b/>
          <w:bCs/>
          <w:sz w:val="24"/>
          <w:szCs w:val="24"/>
          <w:highlight w:val="white"/>
        </w:rPr>
        <w:t xml:space="preserve">请供应商确保电脑、系统及其他设备（视频输入输出设备等）无误，且开启直至项目结束始终保持系统在线状态。</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六、公告期限</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自本公告发布之日起5个工作日。</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七、其他补充事宜</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w:t>
      </w:r>
      <w:r>
        <w:rPr>
          <w:rFonts w:hint="eastAsia" w:ascii="宋体" w:hAnsi="宋体" w:cs="宋体"/>
          <w:sz w:val="24"/>
          <w:szCs w:val="24"/>
          <w:highlight w:val="white"/>
        </w:rPr>
        <w:t xml:space="preserve">.本次采购的有关信息将在江苏政府采购网、苏州政府采购网上发布，敬请留意。</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八、对本次招标提出询问，请按以下方式联系。</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1.采购人：苏州国家历史文化名城保护区（姑苏）生态环境局</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地址：苏州市平川路510号</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联系方式：0512-68725611</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联系人：庄瑶</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2.招标代理机构：苏州久诺招投标咨询服务有限公司</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联系人：张伟 联系电话：0512-63274291</w:t>
      </w:r>
      <w:r>
        <w:rPr>
          <w:highlight w:val="white"/>
        </w:rPr>
      </w:r>
      <w:r/>
    </w:p>
    <w:p>
      <w:pPr>
        <w:ind w:firstLine="480"/>
        <w:spacing w:line="360" w:lineRule="auto"/>
        <w:rPr>
          <w:rFonts w:hint="eastAsia" w:ascii="宋体" w:hAnsi="宋体"/>
          <w:sz w:val="24"/>
          <w:szCs w:val="24"/>
          <w:highlight w:val="white"/>
        </w:rPr>
      </w:pPr>
      <w:r>
        <w:rPr>
          <w:rFonts w:hint="eastAsia" w:ascii="宋体" w:hAnsi="宋体" w:cs="宋体"/>
          <w:sz w:val="24"/>
          <w:szCs w:val="24"/>
          <w:highlight w:val="white"/>
        </w:rPr>
        <w:t xml:space="preserve">联系地址：</w:t>
      </w:r>
      <w:r>
        <w:rPr>
          <w:rFonts w:hint="eastAsia" w:ascii="宋体" w:hAnsi="宋体" w:cs="宋体"/>
          <w:sz w:val="24"/>
          <w:szCs w:val="24"/>
          <w:highlight w:val="white"/>
        </w:rPr>
        <w:t xml:space="preserve">苏州高新区金狮大厦1楼103室</w:t>
      </w:r>
      <w:r>
        <w:rPr>
          <w:highlight w:val="white"/>
        </w:rPr>
      </w:r>
      <w:r/>
    </w:p>
    <w:p>
      <w:pPr>
        <w:pStyle w:val="799"/>
        <w:rPr>
          <w:highlight w:val="white"/>
        </w:rPr>
      </w:pPr>
      <w:r>
        <w:rPr>
          <w:highlight w:val="white"/>
          <w:lang w:val="zh-CN"/>
        </w:rPr>
        <w:br w:type="page" w:clear="all"/>
      </w:r>
      <w:r>
        <w:rPr>
          <w:highlight w:val="white"/>
        </w:rPr>
      </w:r>
      <w:r/>
    </w:p>
    <w:p>
      <w:pPr>
        <w:pStyle w:val="796"/>
        <w:jc w:val="center"/>
        <w:spacing w:before="75" w:beforeAutospacing="0" w:after="75" w:afterAutospacing="0"/>
        <w:widowControl/>
        <w:rPr>
          <w:rStyle w:val="801"/>
          <w:rFonts w:hint="eastAsia" w:ascii="宋体" w:hAnsi="宋体" w:cs="宋体"/>
          <w:sz w:val="31"/>
          <w:szCs w:val="31"/>
          <w:highlight w:val="white"/>
        </w:rPr>
      </w:pPr>
      <w:r>
        <w:rPr>
          <w:rStyle w:val="801"/>
          <w:rFonts w:hint="eastAsia" w:ascii="宋体" w:hAnsi="宋体" w:cs="宋体"/>
          <w:sz w:val="43"/>
          <w:szCs w:val="43"/>
          <w:highlight w:val="white"/>
        </w:rPr>
        <w:t xml:space="preserve">第二章  苏州市政府采购竞争性磋商文件</w:t>
      </w:r>
      <w:r>
        <w:rPr>
          <w:highlight w:val="white"/>
        </w:rPr>
      </w:r>
      <w:r/>
    </w:p>
    <w:p>
      <w:pPr>
        <w:rPr>
          <w:rFonts w:hint="eastAsia" w:ascii="宋体" w:hAnsi="宋体"/>
          <w:sz w:val="24"/>
          <w:highlight w:val="white"/>
        </w:rPr>
      </w:pPr>
      <w:r>
        <w:rPr>
          <w:rFonts w:hint="eastAsia" w:ascii="宋体" w:hAnsi="宋体"/>
          <w:sz w:val="24"/>
          <w:highlight w:val="white"/>
        </w:rPr>
      </w:r>
      <w:r>
        <w:rPr>
          <w:highlight w:val="white"/>
        </w:rPr>
      </w:r>
      <w:r/>
    </w:p>
    <w:p>
      <w:pPr>
        <w:pStyle w:val="770"/>
        <w:rPr>
          <w:highlight w:val="white"/>
        </w:rPr>
      </w:pPr>
      <w:r>
        <w:rPr>
          <w:highlight w:val="white"/>
        </w:rPr>
      </w:r>
      <w:r>
        <w:rPr>
          <w:highlight w:val="white"/>
        </w:rPr>
      </w:r>
      <w:r/>
    </w:p>
    <w:p>
      <w:pPr>
        <w:ind w:firstLine="540"/>
        <w:spacing w:line="360" w:lineRule="auto"/>
        <w:rPr>
          <w:rFonts w:hint="eastAsia" w:ascii="宋体" w:hAnsi="宋体" w:cs="宋体"/>
          <w:spacing w:val="15"/>
          <w:sz w:val="24"/>
          <w:szCs w:val="24"/>
          <w:highlight w:val="white"/>
        </w:rPr>
      </w:pPr>
      <w:r>
        <w:rPr>
          <w:rFonts w:hint="eastAsia" w:ascii="宋体" w:hAnsi="宋体" w:cs="宋体"/>
          <w:spacing w:val="15"/>
          <w:sz w:val="24"/>
          <w:szCs w:val="24"/>
          <w:highlight w:val="white"/>
        </w:rPr>
        <w:t xml:space="preserve">苏州久诺招投标咨询服务有限公司受</w:t>
      </w:r>
      <w:r>
        <w:rPr>
          <w:rFonts w:hint="eastAsia" w:ascii="宋体" w:hAnsi="宋体" w:cs="宋体"/>
          <w:sz w:val="24"/>
          <w:szCs w:val="24"/>
          <w:highlight w:val="white"/>
        </w:rPr>
        <w:t xml:space="preserve">苏州国家历史文化名城保护区（姑苏）生态环境局</w:t>
      </w:r>
      <w:r>
        <w:rPr>
          <w:rFonts w:hint="eastAsia" w:ascii="宋体" w:hAnsi="宋体" w:cs="宋体"/>
          <w:spacing w:val="15"/>
          <w:sz w:val="24"/>
          <w:szCs w:val="24"/>
          <w:highlight w:val="white"/>
        </w:rPr>
        <w:t xml:space="preserve">委托，对其要求采购的</w:t>
      </w:r>
      <w:r>
        <w:rPr>
          <w:rFonts w:hint="eastAsia" w:ascii="宋体" w:hAnsi="宋体" w:cs="宋体"/>
          <w:sz w:val="24"/>
          <w:szCs w:val="24"/>
          <w:highlight w:val="white"/>
          <w:lang w:val="zh-CN"/>
        </w:rPr>
        <w:t xml:space="preserve">姑苏区街道空气自动站运行维护（2026年）</w:t>
      </w:r>
      <w:r>
        <w:rPr>
          <w:rFonts w:hint="eastAsia" w:ascii="宋体" w:hAnsi="宋体" w:cs="宋体"/>
          <w:spacing w:val="15"/>
          <w:sz w:val="24"/>
          <w:szCs w:val="24"/>
          <w:highlight w:val="white"/>
        </w:rPr>
        <w:t xml:space="preserve">进行竞争性磋商采购，欢迎具有独立承担民事责任能力及履约能力的服务商参与磋商。</w:t>
      </w:r>
      <w:r>
        <w:rPr>
          <w:highlight w:val="white"/>
        </w:rPr>
      </w:r>
      <w:r/>
    </w:p>
    <w:p>
      <w:pPr>
        <w:spacing w:line="360" w:lineRule="auto"/>
        <w:tabs>
          <w:tab w:val="left" w:pos="0" w:leader="none"/>
        </w:tabs>
        <w:rPr>
          <w:rFonts w:hint="eastAsia" w:ascii="宋体" w:hAnsi="宋体" w:cs="宋体"/>
          <w:bCs/>
          <w:sz w:val="24"/>
          <w:szCs w:val="24"/>
          <w:highlight w:val="white"/>
        </w:rPr>
      </w:pPr>
      <w:r>
        <w:rPr>
          <w:rFonts w:hint="eastAsia" w:ascii="宋体" w:hAnsi="宋体" w:cs="宋体"/>
          <w:b/>
          <w:bCs/>
          <w:sz w:val="24"/>
          <w:szCs w:val="24"/>
          <w:highlight w:val="white"/>
        </w:rPr>
        <w:t xml:space="preserve">一、采购编号：</w:t>
      </w:r>
      <w:r>
        <w:rPr>
          <w:rFonts w:hint="eastAsia" w:ascii="宋体" w:hAnsi="宋体" w:cs="宋体"/>
          <w:bCs/>
          <w:sz w:val="24"/>
          <w:szCs w:val="24"/>
          <w:highlight w:val="white"/>
        </w:rPr>
        <w:t xml:space="preserve">JSZC-320508-SZJN-C2026-0005</w:t>
      </w:r>
      <w:r>
        <w:rPr>
          <w:highlight w:val="white"/>
        </w:rPr>
      </w:r>
      <w:r/>
    </w:p>
    <w:p>
      <w:pPr>
        <w:spacing w:line="360" w:lineRule="auto"/>
        <w:rPr>
          <w:rFonts w:hint="eastAsia" w:ascii="宋体" w:hAnsi="宋体" w:cs="宋体"/>
          <w:sz w:val="24"/>
          <w:szCs w:val="24"/>
          <w:highlight w:val="white"/>
        </w:rPr>
      </w:pPr>
      <w:r>
        <w:rPr>
          <w:rFonts w:hint="eastAsia" w:ascii="宋体" w:hAnsi="宋体" w:cs="宋体"/>
          <w:b/>
          <w:sz w:val="24"/>
          <w:szCs w:val="24"/>
          <w:highlight w:val="white"/>
          <w:lang w:val="zh-CN"/>
        </w:rPr>
        <w:t xml:space="preserve">二、项目名称：</w:t>
      </w:r>
      <w:r>
        <w:rPr>
          <w:rFonts w:hint="eastAsia" w:ascii="宋体" w:hAnsi="宋体" w:cs="宋体"/>
          <w:sz w:val="24"/>
          <w:szCs w:val="24"/>
          <w:highlight w:val="white"/>
          <w:lang w:val="zh-CN"/>
        </w:rPr>
        <w:t xml:space="preserve">姑苏区街道空气自动站运行维护（2026年）</w:t>
      </w:r>
      <w:r>
        <w:rPr>
          <w:highlight w:val="white"/>
        </w:rPr>
      </w:r>
      <w:r/>
    </w:p>
    <w:p>
      <w:pPr>
        <w:spacing w:line="360" w:lineRule="auto"/>
        <w:rPr>
          <w:rFonts w:hint="eastAsia" w:ascii="宋体" w:hAnsi="宋体" w:cs="宋体"/>
          <w:sz w:val="24"/>
          <w:szCs w:val="24"/>
          <w:highlight w:val="white"/>
        </w:rPr>
      </w:pPr>
      <w:r>
        <w:rPr>
          <w:rFonts w:hint="eastAsia" w:ascii="宋体" w:hAnsi="宋体" w:cs="宋体"/>
          <w:b/>
          <w:sz w:val="24"/>
          <w:szCs w:val="24"/>
          <w:highlight w:val="white"/>
          <w:lang w:val="zh-CN"/>
        </w:rPr>
        <w:t xml:space="preserve">三、预算金额：</w:t>
      </w:r>
      <w:r>
        <w:rPr>
          <w:rFonts w:hint="eastAsia" w:ascii="宋体" w:hAnsi="宋体" w:cs="宋体"/>
          <w:sz w:val="24"/>
          <w:szCs w:val="24"/>
          <w:highlight w:val="white"/>
          <w:lang w:val="zh-CN"/>
        </w:rPr>
        <w:t xml:space="preserve">人民币壹佰叁拾捌万元整（￥1380000.00）</w:t>
      </w:r>
      <w:r>
        <w:rPr>
          <w:highlight w:val="white"/>
        </w:rPr>
      </w:r>
      <w:r/>
    </w:p>
    <w:p>
      <w:pPr>
        <w:spacing w:line="360" w:lineRule="auto"/>
        <w:rPr>
          <w:rFonts w:hint="eastAsia" w:ascii="宋体" w:hAnsi="宋体" w:cs="宋体"/>
          <w:sz w:val="24"/>
          <w:szCs w:val="24"/>
          <w:highlight w:val="white"/>
        </w:rPr>
      </w:pPr>
      <w:r>
        <w:rPr>
          <w:rFonts w:hint="eastAsia" w:ascii="宋体" w:hAnsi="宋体" w:cs="宋体"/>
          <w:b/>
          <w:bCs/>
          <w:sz w:val="24"/>
          <w:szCs w:val="24"/>
          <w:highlight w:val="white"/>
        </w:rPr>
        <w:t xml:space="preserve">四、</w:t>
      </w:r>
      <w:r>
        <w:rPr>
          <w:rFonts w:hint="eastAsia" w:ascii="宋体" w:hAnsi="宋体" w:cs="宋体"/>
          <w:b/>
          <w:bCs/>
          <w:sz w:val="24"/>
          <w:szCs w:val="24"/>
          <w:highlight w:val="white"/>
          <w:lang w:val="zh-CN"/>
        </w:rPr>
        <w:t xml:space="preserve">最高限价：</w:t>
      </w:r>
      <w:r>
        <w:rPr>
          <w:rFonts w:hint="eastAsia" w:ascii="宋体" w:hAnsi="宋体" w:cs="宋体"/>
          <w:sz w:val="24"/>
          <w:szCs w:val="24"/>
          <w:highlight w:val="white"/>
          <w:lang w:val="zh-CN"/>
        </w:rPr>
        <w:t xml:space="preserve">人民币壹佰叁拾捌万元整（￥1380000.00）</w:t>
      </w:r>
      <w:r>
        <w:rPr>
          <w:highlight w:val="white"/>
        </w:rPr>
      </w:r>
      <w:r/>
    </w:p>
    <w:p>
      <w:pPr>
        <w:spacing w:line="360" w:lineRule="auto"/>
        <w:rPr>
          <w:rFonts w:hint="eastAsia" w:ascii="宋体" w:hAnsi="宋体" w:cs="宋体"/>
          <w:b/>
          <w:bCs/>
          <w:sz w:val="24"/>
          <w:szCs w:val="24"/>
          <w:highlight w:val="white"/>
        </w:rPr>
      </w:pPr>
      <w:r>
        <w:rPr>
          <w:highlight w:val="white"/>
        </w:rPr>
      </w:r>
      <w:bookmarkStart w:id="4" w:name="_Hlk213319679"/>
      <w:r>
        <w:rPr>
          <w:rFonts w:hint="eastAsia" w:ascii="宋体" w:hAnsi="宋体" w:cs="宋体"/>
          <w:b/>
          <w:bCs/>
          <w:sz w:val="24"/>
          <w:szCs w:val="24"/>
          <w:highlight w:val="white"/>
        </w:rPr>
        <w:t xml:space="preserve">五、采购需求：</w:t>
      </w:r>
      <w:bookmarkEnd w:id="4"/>
      <w:r>
        <w:rPr>
          <w:highlight w:val="white"/>
        </w:rPr>
      </w:r>
      <w:r/>
    </w:p>
    <w:p>
      <w:pPr>
        <w:numPr>
          <w:ilvl w:val="0"/>
          <w:numId w:val="1"/>
        </w:numPr>
        <w:spacing w:line="360" w:lineRule="auto"/>
        <w:tabs>
          <w:tab w:val="left" w:pos="525" w:leader="none"/>
        </w:tabs>
        <w:rPr>
          <w:rFonts w:hint="eastAsia" w:ascii="宋体" w:hAnsi="宋体" w:cs="宋体"/>
          <w:sz w:val="24"/>
          <w:szCs w:val="24"/>
          <w:highlight w:val="white"/>
        </w:rPr>
      </w:pPr>
      <w:r>
        <w:rPr>
          <w:rFonts w:hint="eastAsia" w:ascii="宋体" w:hAnsi="宋体" w:cs="宋体"/>
          <w:sz w:val="24"/>
          <w:szCs w:val="24"/>
          <w:highlight w:val="white"/>
        </w:rPr>
        <w:t xml:space="preserve">项目概况</w:t>
      </w:r>
      <w:r>
        <w:rPr>
          <w:highlight w:val="white"/>
        </w:rPr>
      </w:r>
      <w:r/>
    </w:p>
    <w:p>
      <w:pPr>
        <w:ind w:firstLine="567"/>
        <w:spacing w:line="360" w:lineRule="auto"/>
        <w:tabs>
          <w:tab w:val="left" w:pos="525" w:leader="none"/>
          <w:tab w:val="left" w:pos="567" w:leader="none"/>
        </w:tabs>
        <w:rPr>
          <w:rFonts w:hint="eastAsia" w:ascii="宋体" w:hAnsi="宋体" w:cs="宋体"/>
          <w:sz w:val="24"/>
          <w:szCs w:val="24"/>
          <w:highlight w:val="white"/>
        </w:rPr>
      </w:pPr>
      <w:r>
        <w:rPr>
          <w:rFonts w:hint="eastAsia" w:ascii="宋体" w:hAnsi="宋体" w:cs="宋体"/>
          <w:bCs/>
          <w:sz w:val="24"/>
          <w:szCs w:val="24"/>
          <w:highlight w:val="white"/>
        </w:rPr>
        <w:t xml:space="preserve">本项目是对站点</w:t>
      </w:r>
      <w:r>
        <w:rPr>
          <w:rFonts w:hint="eastAsia" w:ascii="宋体" w:hAnsi="宋体" w:cs="宋体"/>
          <w:sz w:val="24"/>
          <w:szCs w:val="24"/>
          <w:highlight w:val="white"/>
        </w:rPr>
        <w:t xml:space="preserve">PM</w:t>
      </w:r>
      <w:r>
        <w:rPr>
          <w:rFonts w:hint="eastAsia" w:ascii="宋体" w:hAnsi="宋体" w:cs="宋体"/>
          <w:sz w:val="24"/>
          <w:szCs w:val="24"/>
          <w:highlight w:val="white"/>
          <w:vertAlign w:val="subscript"/>
        </w:rPr>
        <w:t xml:space="preserve">2.5</w:t>
      </w:r>
      <w:r>
        <w:rPr>
          <w:rFonts w:hint="eastAsia" w:ascii="宋体" w:hAnsi="宋体" w:cs="宋体"/>
          <w:sz w:val="24"/>
          <w:szCs w:val="24"/>
          <w:highlight w:val="white"/>
        </w:rPr>
        <w:t xml:space="preserve">在线监测仪、PM</w:t>
      </w:r>
      <w:r>
        <w:rPr>
          <w:rFonts w:hint="eastAsia" w:ascii="宋体" w:hAnsi="宋体" w:cs="宋体"/>
          <w:sz w:val="24"/>
          <w:szCs w:val="24"/>
          <w:highlight w:val="white"/>
          <w:vertAlign w:val="subscript"/>
        </w:rPr>
        <w:t xml:space="preserve">10</w:t>
      </w:r>
      <w:r>
        <w:rPr>
          <w:rFonts w:hint="eastAsia" w:ascii="宋体" w:hAnsi="宋体" w:cs="宋体"/>
          <w:sz w:val="24"/>
          <w:szCs w:val="24"/>
          <w:highlight w:val="white"/>
        </w:rPr>
        <w:t xml:space="preserve">在线监测仪、O</w:t>
      </w:r>
      <w:r>
        <w:rPr>
          <w:rFonts w:hint="eastAsia" w:ascii="宋体" w:hAnsi="宋体" w:cs="宋体"/>
          <w:sz w:val="24"/>
          <w:szCs w:val="24"/>
          <w:highlight w:val="white"/>
          <w:vertAlign w:val="subscript"/>
        </w:rPr>
        <w:t xml:space="preserve">3</w:t>
      </w:r>
      <w:r>
        <w:rPr>
          <w:rFonts w:hint="eastAsia" w:ascii="宋体" w:hAnsi="宋体" w:cs="宋体"/>
          <w:sz w:val="24"/>
          <w:szCs w:val="24"/>
          <w:highlight w:val="white"/>
        </w:rPr>
        <w:t xml:space="preserve">在线监测仪、NO</w:t>
      </w:r>
      <w:r>
        <w:rPr>
          <w:rFonts w:hint="eastAsia" w:ascii="宋体" w:hAnsi="宋体" w:cs="宋体"/>
          <w:sz w:val="24"/>
          <w:szCs w:val="24"/>
          <w:highlight w:val="white"/>
          <w:vertAlign w:val="subscript"/>
        </w:rPr>
        <w:t xml:space="preserve">2</w:t>
      </w:r>
      <w:r>
        <w:rPr>
          <w:rFonts w:hint="eastAsia" w:ascii="宋体" w:hAnsi="宋体" w:cs="宋体"/>
          <w:sz w:val="24"/>
          <w:szCs w:val="24"/>
          <w:highlight w:val="white"/>
        </w:rPr>
        <w:t xml:space="preserve">在线监测仪、CO在线监测仪、SO</w:t>
      </w:r>
      <w:r>
        <w:rPr>
          <w:rFonts w:hint="eastAsia" w:ascii="宋体" w:hAnsi="宋体" w:cs="宋体"/>
          <w:sz w:val="24"/>
          <w:szCs w:val="24"/>
          <w:highlight w:val="white"/>
          <w:vertAlign w:val="subscript"/>
        </w:rPr>
        <w:t xml:space="preserve">2</w:t>
      </w:r>
      <w:r>
        <w:rPr>
          <w:rFonts w:hint="eastAsia" w:ascii="宋体" w:hAnsi="宋体" w:cs="宋体"/>
          <w:sz w:val="24"/>
          <w:szCs w:val="24"/>
          <w:highlight w:val="white"/>
        </w:rPr>
        <w:t xml:space="preserve">在线监测仪、降尘罐、气象仪（五参数）、采样系统、数据采集系统、质控设备、站房及附属设施、</w:t>
      </w:r>
      <w:r>
        <w:rPr>
          <w:rFonts w:hint="eastAsia" w:ascii="宋体" w:hAnsi="宋体" w:cs="宋体"/>
          <w:bCs/>
          <w:sz w:val="24"/>
          <w:szCs w:val="24"/>
          <w:highlight w:val="white"/>
        </w:rPr>
        <w:t xml:space="preserve">安保摄影系统等进行维护、校准、维修等，项目费用包括更换必要的监测仪器配件费用、耗材费用、网络通讯费用、计量检定费用、水电费、检查维护的交通费等保证站点正常运行的全部费用，项目须确保站点设备及系统连续、稳定、有效运行。</w:t>
      </w:r>
      <w:r>
        <w:rPr>
          <w:highlight w:val="white"/>
        </w:rPr>
      </w:r>
      <w:r/>
    </w:p>
    <w:p>
      <w:pPr>
        <w:ind w:firstLine="567"/>
        <w:spacing w:line="360" w:lineRule="auto"/>
        <w:tabs>
          <w:tab w:val="left" w:pos="525" w:leader="none"/>
          <w:tab w:val="left" w:pos="567" w:leader="none"/>
        </w:tabs>
        <w:rPr>
          <w:rFonts w:hint="eastAsia" w:ascii="宋体" w:hAnsi="宋体" w:cs="宋体"/>
          <w:sz w:val="24"/>
          <w:szCs w:val="24"/>
          <w:highlight w:val="white"/>
        </w:rPr>
      </w:pPr>
      <w:r>
        <w:rPr>
          <w:rFonts w:hint="eastAsia" w:ascii="宋体" w:hAnsi="宋体" w:cs="宋体"/>
          <w:sz w:val="24"/>
          <w:szCs w:val="24"/>
          <w:highlight w:val="white"/>
        </w:rPr>
        <w:t xml:space="preserve">具体运维设施设备如下：</w:t>
      </w:r>
      <w:r>
        <w:rPr>
          <w:highlight w:val="white"/>
        </w:rPr>
      </w:r>
      <w:r/>
    </w:p>
    <w:tbl>
      <w:tblPr>
        <w:tblStyle w:val="800"/>
        <w:tblW w:w="9976" w:type="dxa"/>
        <w:tblInd w:w="0" w:type="dxa"/>
        <w:tblLayout w:type="fixed"/>
        <w:tblLook w:val="04A0" w:firstRow="1" w:lastRow="0" w:firstColumn="1" w:lastColumn="0" w:noHBand="0" w:noVBand="1"/>
      </w:tblPr>
      <w:tblGrid>
        <w:gridCol w:w="513"/>
        <w:gridCol w:w="2080"/>
        <w:gridCol w:w="2433"/>
        <w:gridCol w:w="1048"/>
        <w:gridCol w:w="3902"/>
      </w:tblGrid>
      <w:tr>
        <w:trPr>
          <w:trHeight w:val="57"/>
        </w:trPr>
        <w:tc>
          <w:tcPr>
            <w:tcW w:w="51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序号</w:t>
            </w:r>
            <w:r>
              <w:rPr>
                <w:highlight w:val="white"/>
              </w:rPr>
            </w:r>
            <w:r/>
          </w:p>
        </w:tc>
        <w:tc>
          <w:tcPr>
            <w:tcW w:w="2080"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仪器设备名称</w:t>
            </w:r>
            <w:r>
              <w:rPr>
                <w:highlight w:val="white"/>
              </w:rPr>
            </w:r>
            <w:r/>
          </w:p>
        </w:tc>
        <w:tc>
          <w:tcPr>
            <w:tcW w:w="243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监测方法/用途</w:t>
            </w:r>
            <w:r>
              <w:rPr>
                <w:highlight w:val="white"/>
              </w:rPr>
            </w:r>
            <w:r/>
          </w:p>
        </w:tc>
        <w:tc>
          <w:tcPr>
            <w:tcW w:w="104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数量（套）</w:t>
            </w:r>
            <w:r>
              <w:rPr>
                <w:highlight w:val="white"/>
              </w:rPr>
            </w:r>
            <w:r/>
          </w:p>
        </w:tc>
        <w:tc>
          <w:tcPr>
            <w:tcW w:w="390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备注</w:t>
            </w:r>
            <w:r>
              <w:rPr>
                <w:highlight w:val="white"/>
              </w:rPr>
            </w:r>
            <w:r/>
          </w:p>
        </w:tc>
      </w:tr>
      <w:tr>
        <w:trPr>
          <w:trHeight w:val="57"/>
        </w:trPr>
        <w:tc>
          <w:tcPr>
            <w:tcW w:w="51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1</w:t>
            </w:r>
            <w:r>
              <w:rPr>
                <w:highlight w:val="white"/>
              </w:rPr>
            </w:r>
            <w:r/>
          </w:p>
        </w:tc>
        <w:tc>
          <w:tcPr>
            <w:tcW w:w="208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PM</w:t>
            </w:r>
            <w:r>
              <w:rPr>
                <w:rFonts w:hint="eastAsia" w:ascii="宋体" w:hAnsi="宋体" w:cs="宋体"/>
                <w:sz w:val="24"/>
                <w:szCs w:val="24"/>
                <w:highlight w:val="white"/>
                <w:vertAlign w:val="subscript"/>
              </w:rPr>
              <w:t xml:space="preserve">2.5</w:t>
            </w:r>
            <w:r>
              <w:rPr>
                <w:rFonts w:hint="eastAsia" w:ascii="宋体" w:hAnsi="宋体" w:cs="宋体"/>
                <w:sz w:val="24"/>
                <w:szCs w:val="24"/>
                <w:highlight w:val="white"/>
              </w:rPr>
              <w:t xml:space="preserve">在线监测仪</w:t>
            </w:r>
            <w:r>
              <w:rPr>
                <w:highlight w:val="white"/>
              </w:rPr>
            </w:r>
            <w:r/>
          </w:p>
        </w:tc>
        <w:tc>
          <w:tcPr>
            <w:tcW w:w="243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β射线法+动态温湿度补偿</w:t>
            </w:r>
            <w:r>
              <w:rPr>
                <w:highlight w:val="white"/>
              </w:rPr>
            </w:r>
            <w:r/>
          </w:p>
        </w:tc>
        <w:tc>
          <w:tcPr>
            <w:tcW w:w="1048"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8</w:t>
            </w:r>
            <w:r>
              <w:rPr>
                <w:highlight w:val="white"/>
              </w:rPr>
            </w:r>
            <w:r/>
          </w:p>
        </w:tc>
        <w:tc>
          <w:tcPr>
            <w:tcW w:w="3902"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含分析仪电子版说明书/采样管/法兰盘/外置泵</w:t>
            </w:r>
            <w:r>
              <w:rPr>
                <w:highlight w:val="white"/>
              </w:rPr>
            </w:r>
            <w:r/>
          </w:p>
        </w:tc>
      </w:tr>
      <w:tr>
        <w:trPr>
          <w:trHeight w:val="57"/>
        </w:trPr>
        <w:tc>
          <w:tcPr>
            <w:tcW w:w="51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2</w:t>
            </w:r>
            <w:r>
              <w:rPr>
                <w:highlight w:val="white"/>
              </w:rPr>
            </w:r>
            <w:r/>
          </w:p>
        </w:tc>
        <w:tc>
          <w:tcPr>
            <w:tcW w:w="208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PM</w:t>
            </w:r>
            <w:r>
              <w:rPr>
                <w:rFonts w:hint="eastAsia" w:ascii="宋体" w:hAnsi="宋体" w:cs="宋体"/>
                <w:sz w:val="24"/>
                <w:szCs w:val="24"/>
                <w:highlight w:val="white"/>
                <w:vertAlign w:val="subscript"/>
              </w:rPr>
              <w:t xml:space="preserve">10</w:t>
            </w:r>
            <w:r>
              <w:rPr>
                <w:rFonts w:hint="eastAsia" w:ascii="宋体" w:hAnsi="宋体" w:cs="宋体"/>
                <w:sz w:val="24"/>
                <w:szCs w:val="24"/>
                <w:highlight w:val="white"/>
              </w:rPr>
              <w:t xml:space="preserve">在线监测仪</w:t>
            </w:r>
            <w:r>
              <w:rPr>
                <w:highlight w:val="white"/>
              </w:rPr>
            </w:r>
            <w:r/>
          </w:p>
        </w:tc>
        <w:tc>
          <w:tcPr>
            <w:tcW w:w="243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β射线法+动态温湿度补偿</w:t>
            </w:r>
            <w:r>
              <w:rPr>
                <w:highlight w:val="white"/>
              </w:rPr>
            </w:r>
            <w:r/>
          </w:p>
        </w:tc>
        <w:tc>
          <w:tcPr>
            <w:tcW w:w="1048"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8</w:t>
            </w:r>
            <w:r>
              <w:rPr>
                <w:highlight w:val="white"/>
              </w:rPr>
            </w:r>
            <w:r/>
          </w:p>
        </w:tc>
        <w:tc>
          <w:tcPr>
            <w:tcW w:w="3902"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含分析仪电子版说明书/采样管/法兰盘/外置泵</w:t>
            </w:r>
            <w:r>
              <w:rPr>
                <w:highlight w:val="white"/>
              </w:rPr>
            </w:r>
            <w:r/>
          </w:p>
        </w:tc>
      </w:tr>
      <w:tr>
        <w:trPr>
          <w:trHeight w:val="57"/>
        </w:trPr>
        <w:tc>
          <w:tcPr>
            <w:tcW w:w="51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3</w:t>
            </w:r>
            <w:r>
              <w:rPr>
                <w:highlight w:val="white"/>
              </w:rPr>
            </w:r>
            <w:r/>
          </w:p>
        </w:tc>
        <w:tc>
          <w:tcPr>
            <w:tcW w:w="208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O</w:t>
            </w:r>
            <w:r>
              <w:rPr>
                <w:rFonts w:hint="eastAsia" w:ascii="宋体" w:hAnsi="宋体" w:cs="宋体"/>
                <w:sz w:val="24"/>
                <w:szCs w:val="24"/>
                <w:highlight w:val="white"/>
                <w:vertAlign w:val="subscript"/>
              </w:rPr>
              <w:t xml:space="preserve">3</w:t>
            </w:r>
            <w:r>
              <w:rPr>
                <w:rFonts w:hint="eastAsia" w:ascii="宋体" w:hAnsi="宋体" w:cs="宋体"/>
                <w:sz w:val="24"/>
                <w:szCs w:val="24"/>
                <w:highlight w:val="white"/>
              </w:rPr>
              <w:t xml:space="preserve">在线监测仪</w:t>
            </w:r>
            <w:r>
              <w:rPr>
                <w:highlight w:val="white"/>
              </w:rPr>
            </w:r>
            <w:r/>
          </w:p>
        </w:tc>
        <w:tc>
          <w:tcPr>
            <w:tcW w:w="243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紫外光度法</w:t>
            </w:r>
            <w:r>
              <w:rPr>
                <w:highlight w:val="white"/>
              </w:rPr>
            </w:r>
            <w:r/>
          </w:p>
        </w:tc>
        <w:tc>
          <w:tcPr>
            <w:tcW w:w="1048"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8</w:t>
            </w:r>
            <w:r>
              <w:rPr>
                <w:highlight w:val="white"/>
              </w:rPr>
            </w:r>
            <w:r/>
          </w:p>
        </w:tc>
        <w:tc>
          <w:tcPr>
            <w:tcW w:w="3902"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含分析仪电子版说明书/采样管/采样泵</w:t>
            </w:r>
            <w:r>
              <w:rPr>
                <w:highlight w:val="white"/>
              </w:rPr>
            </w:r>
            <w:r/>
          </w:p>
        </w:tc>
      </w:tr>
      <w:tr>
        <w:trPr>
          <w:trHeight w:val="57"/>
        </w:trPr>
        <w:tc>
          <w:tcPr>
            <w:tcW w:w="51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4</w:t>
            </w:r>
            <w:r>
              <w:rPr>
                <w:highlight w:val="white"/>
              </w:rPr>
            </w:r>
            <w:r/>
          </w:p>
        </w:tc>
        <w:tc>
          <w:tcPr>
            <w:tcW w:w="208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NO</w:t>
            </w:r>
            <w:r>
              <w:rPr>
                <w:rFonts w:hint="eastAsia" w:ascii="宋体" w:hAnsi="宋体" w:cs="宋体"/>
                <w:sz w:val="24"/>
                <w:szCs w:val="24"/>
                <w:highlight w:val="white"/>
                <w:vertAlign w:val="subscript"/>
              </w:rPr>
              <w:t xml:space="preserve">2</w:t>
            </w:r>
            <w:r>
              <w:rPr>
                <w:rFonts w:hint="eastAsia" w:ascii="宋体" w:hAnsi="宋体" w:cs="宋体"/>
                <w:sz w:val="24"/>
                <w:szCs w:val="24"/>
                <w:highlight w:val="white"/>
              </w:rPr>
              <w:t xml:space="preserve">在线监测仪</w:t>
            </w:r>
            <w:r>
              <w:rPr>
                <w:highlight w:val="white"/>
              </w:rPr>
            </w:r>
            <w:r/>
          </w:p>
        </w:tc>
        <w:tc>
          <w:tcPr>
            <w:tcW w:w="243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化学发光法</w:t>
            </w:r>
            <w:r>
              <w:rPr>
                <w:highlight w:val="white"/>
              </w:rPr>
            </w:r>
            <w:r/>
          </w:p>
        </w:tc>
        <w:tc>
          <w:tcPr>
            <w:tcW w:w="1048"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8</w:t>
            </w:r>
            <w:r>
              <w:rPr>
                <w:highlight w:val="white"/>
              </w:rPr>
            </w:r>
            <w:r/>
          </w:p>
        </w:tc>
        <w:tc>
          <w:tcPr>
            <w:tcW w:w="3902"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含分析仪电子版说明书/采样管/法兰盘/外置泵</w:t>
            </w:r>
            <w:r>
              <w:rPr>
                <w:highlight w:val="white"/>
              </w:rPr>
            </w:r>
            <w:r/>
          </w:p>
        </w:tc>
      </w:tr>
      <w:tr>
        <w:trPr>
          <w:trHeight w:val="57"/>
        </w:trPr>
        <w:tc>
          <w:tcPr>
            <w:tcW w:w="51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5</w:t>
            </w:r>
            <w:r>
              <w:rPr>
                <w:highlight w:val="white"/>
              </w:rPr>
            </w:r>
            <w:r/>
          </w:p>
        </w:tc>
        <w:tc>
          <w:tcPr>
            <w:tcW w:w="208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CO在线监测仪</w:t>
            </w:r>
            <w:r>
              <w:rPr>
                <w:highlight w:val="white"/>
              </w:rPr>
            </w:r>
            <w:r/>
          </w:p>
        </w:tc>
        <w:tc>
          <w:tcPr>
            <w:tcW w:w="243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红外吸收相关法</w:t>
            </w:r>
            <w:r>
              <w:rPr>
                <w:highlight w:val="white"/>
              </w:rPr>
            </w:r>
            <w:r/>
          </w:p>
        </w:tc>
        <w:tc>
          <w:tcPr>
            <w:tcW w:w="1048"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8</w:t>
            </w:r>
            <w:r>
              <w:rPr>
                <w:highlight w:val="white"/>
              </w:rPr>
            </w:r>
            <w:r/>
          </w:p>
        </w:tc>
        <w:tc>
          <w:tcPr>
            <w:tcW w:w="3902"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含分析仪电子版说明书/采样管/法兰盘/外置泵</w:t>
            </w:r>
            <w:r>
              <w:rPr>
                <w:highlight w:val="white"/>
              </w:rPr>
            </w:r>
            <w:r/>
          </w:p>
        </w:tc>
      </w:tr>
      <w:tr>
        <w:trPr>
          <w:trHeight w:val="57"/>
        </w:trPr>
        <w:tc>
          <w:tcPr>
            <w:tcW w:w="51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6</w:t>
            </w:r>
            <w:r>
              <w:rPr>
                <w:highlight w:val="white"/>
              </w:rPr>
            </w:r>
            <w:r/>
          </w:p>
        </w:tc>
        <w:tc>
          <w:tcPr>
            <w:tcW w:w="208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SO</w:t>
            </w:r>
            <w:r>
              <w:rPr>
                <w:rFonts w:hint="eastAsia" w:ascii="宋体" w:hAnsi="宋体" w:cs="宋体"/>
                <w:sz w:val="24"/>
                <w:szCs w:val="24"/>
                <w:highlight w:val="white"/>
                <w:vertAlign w:val="subscript"/>
              </w:rPr>
              <w:t xml:space="preserve">2</w:t>
            </w:r>
            <w:r>
              <w:rPr>
                <w:rFonts w:hint="eastAsia" w:ascii="宋体" w:hAnsi="宋体" w:cs="宋体"/>
                <w:sz w:val="24"/>
                <w:szCs w:val="24"/>
                <w:highlight w:val="white"/>
              </w:rPr>
              <w:t xml:space="preserve">在线监测仪</w:t>
            </w:r>
            <w:r>
              <w:rPr>
                <w:highlight w:val="white"/>
              </w:rPr>
            </w:r>
            <w:r/>
          </w:p>
        </w:tc>
        <w:tc>
          <w:tcPr>
            <w:tcW w:w="243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紫外荧光法</w:t>
            </w:r>
            <w:r>
              <w:rPr>
                <w:highlight w:val="white"/>
              </w:rPr>
            </w:r>
            <w:r/>
          </w:p>
        </w:tc>
        <w:tc>
          <w:tcPr>
            <w:tcW w:w="1048"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8</w:t>
            </w:r>
            <w:r>
              <w:rPr>
                <w:highlight w:val="white"/>
              </w:rPr>
            </w:r>
            <w:r/>
          </w:p>
        </w:tc>
        <w:tc>
          <w:tcPr>
            <w:tcW w:w="3902"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含分析仪电子版说明书/采样管/采样泵</w:t>
            </w:r>
            <w:r>
              <w:rPr>
                <w:highlight w:val="white"/>
              </w:rPr>
            </w:r>
            <w:r/>
          </w:p>
        </w:tc>
      </w:tr>
      <w:tr>
        <w:trPr>
          <w:trHeight w:val="57"/>
        </w:trPr>
        <w:tc>
          <w:tcPr>
            <w:tcW w:w="51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7</w:t>
            </w:r>
            <w:r>
              <w:rPr>
                <w:highlight w:val="white"/>
              </w:rPr>
            </w:r>
            <w:r/>
          </w:p>
        </w:tc>
        <w:tc>
          <w:tcPr>
            <w:tcW w:w="2080" w:type="dxa"/>
            <w:vAlign w:val="center"/>
            <w:textDirection w:val="lrTb"/>
            <w:noWrap w:val="false"/>
          </w:tcPr>
          <w:p>
            <w:pPr>
              <w:jc w:val="center"/>
              <w:rPr>
                <w:rFonts w:hint="eastAsia" w:ascii="宋体" w:hAnsi="宋体" w:cs="宋体"/>
                <w:b/>
                <w:bCs/>
                <w:sz w:val="24"/>
                <w:szCs w:val="24"/>
                <w:highlight w:val="white"/>
              </w:rPr>
            </w:pPr>
            <w:r>
              <w:rPr>
                <w:rFonts w:hint="eastAsia" w:ascii="宋体" w:hAnsi="宋体" w:cs="宋体"/>
                <w:sz w:val="24"/>
                <w:szCs w:val="24"/>
                <w:highlight w:val="white"/>
              </w:rPr>
              <w:t xml:space="preserve">降尘罐</w:t>
            </w:r>
            <w:r>
              <w:rPr>
                <w:highlight w:val="white"/>
              </w:rPr>
            </w:r>
            <w:r/>
          </w:p>
        </w:tc>
        <w:tc>
          <w:tcPr>
            <w:tcW w:w="243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玻璃材料</w:t>
            </w:r>
            <w:r>
              <w:rPr>
                <w:highlight w:val="white"/>
              </w:rPr>
            </w:r>
            <w:r/>
          </w:p>
        </w:tc>
        <w:tc>
          <w:tcPr>
            <w:tcW w:w="104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8</w:t>
            </w:r>
            <w:r>
              <w:rPr>
                <w:highlight w:val="white"/>
              </w:rPr>
            </w:r>
            <w:r/>
          </w:p>
        </w:tc>
        <w:tc>
          <w:tcPr>
            <w:tcW w:w="390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对现有的8套降尘罐实施运维监测</w:t>
            </w:r>
            <w:r>
              <w:rPr>
                <w:highlight w:val="white"/>
              </w:rPr>
            </w:r>
            <w:r/>
          </w:p>
        </w:tc>
      </w:tr>
      <w:tr>
        <w:trPr>
          <w:trHeight w:val="57"/>
        </w:trPr>
        <w:tc>
          <w:tcPr>
            <w:tcW w:w="51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8</w:t>
            </w:r>
            <w:r>
              <w:rPr>
                <w:highlight w:val="white"/>
              </w:rPr>
            </w:r>
            <w:r/>
          </w:p>
        </w:tc>
        <w:tc>
          <w:tcPr>
            <w:tcW w:w="208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气象仪（五参数）</w:t>
            </w:r>
            <w:r>
              <w:rPr>
                <w:highlight w:val="white"/>
              </w:rPr>
            </w:r>
            <w:r/>
          </w:p>
        </w:tc>
        <w:tc>
          <w:tcPr>
            <w:tcW w:w="243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用于气象五参数（温度、气压、湿度、风向、风速）测定</w:t>
            </w:r>
            <w:r>
              <w:rPr>
                <w:highlight w:val="white"/>
              </w:rPr>
            </w:r>
            <w:r/>
          </w:p>
        </w:tc>
        <w:tc>
          <w:tcPr>
            <w:tcW w:w="1048"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8</w:t>
            </w:r>
            <w:r>
              <w:rPr>
                <w:highlight w:val="white"/>
              </w:rPr>
            </w:r>
            <w:r/>
          </w:p>
        </w:tc>
        <w:tc>
          <w:tcPr>
            <w:tcW w:w="3902"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r>
        <w:trPr>
          <w:trHeight w:val="57"/>
        </w:trPr>
        <w:tc>
          <w:tcPr>
            <w:tcW w:w="51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9</w:t>
            </w:r>
            <w:r>
              <w:rPr>
                <w:highlight w:val="white"/>
              </w:rPr>
            </w:r>
            <w:r/>
          </w:p>
        </w:tc>
        <w:tc>
          <w:tcPr>
            <w:tcW w:w="208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配套采样系统、机柜、稳压电源</w:t>
            </w:r>
            <w:r>
              <w:rPr>
                <w:rFonts w:hint="eastAsia" w:ascii="宋体" w:hAnsi="宋体" w:cs="宋体"/>
                <w:sz w:val="24"/>
                <w:szCs w:val="24"/>
                <w:highlight w:val="white"/>
              </w:rPr>
              <w:t xml:space="preserve">等辅助设施</w:t>
            </w:r>
            <w:r>
              <w:rPr>
                <w:highlight w:val="white"/>
              </w:rPr>
            </w:r>
            <w:r/>
          </w:p>
        </w:tc>
        <w:tc>
          <w:tcPr>
            <w:tcW w:w="243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监测设备所必要配备的采样系统、机柜、</w:t>
            </w:r>
            <w:r>
              <w:rPr>
                <w:rFonts w:hint="eastAsia" w:ascii="宋体" w:hAnsi="宋体" w:cs="宋体"/>
                <w:sz w:val="24"/>
                <w:szCs w:val="24"/>
                <w:highlight w:val="white"/>
              </w:rPr>
              <w:t xml:space="preserve">稳压电源等辅助设施</w:t>
            </w:r>
            <w:r>
              <w:rPr>
                <w:highlight w:val="white"/>
              </w:rPr>
            </w:r>
            <w:r/>
          </w:p>
        </w:tc>
        <w:tc>
          <w:tcPr>
            <w:tcW w:w="1048"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8</w:t>
            </w:r>
            <w:r>
              <w:rPr>
                <w:highlight w:val="white"/>
              </w:rPr>
            </w:r>
            <w:r/>
          </w:p>
        </w:tc>
        <w:tc>
          <w:tcPr>
            <w:tcW w:w="3902"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采样系统采用硼硅玻璃或聚四氟乙烯材料，停留时间小于20秒；机</w:t>
            </w:r>
            <w:r>
              <w:rPr>
                <w:rFonts w:hint="eastAsia" w:ascii="宋体" w:hAnsi="宋体" w:cs="宋体"/>
                <w:sz w:val="24"/>
                <w:szCs w:val="24"/>
                <w:highlight w:val="white"/>
              </w:rPr>
              <w:t xml:space="preserve">柜为19英寸导轨式标准机柜，含1套机柜，可灵活调节导轨高度，以兼容其他仪器</w:t>
            </w:r>
            <w:r>
              <w:rPr>
                <w:highlight w:val="white"/>
              </w:rPr>
            </w:r>
            <w:r/>
          </w:p>
        </w:tc>
      </w:tr>
      <w:tr>
        <w:trPr>
          <w:trHeight w:val="57"/>
        </w:trPr>
        <w:tc>
          <w:tcPr>
            <w:tcW w:w="51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10</w:t>
            </w:r>
            <w:r>
              <w:rPr>
                <w:highlight w:val="white"/>
              </w:rPr>
            </w:r>
            <w:r/>
          </w:p>
        </w:tc>
        <w:tc>
          <w:tcPr>
            <w:tcW w:w="208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数据采集系统</w:t>
            </w:r>
            <w:r>
              <w:rPr>
                <w:highlight w:val="white"/>
              </w:rPr>
            </w:r>
            <w:r/>
          </w:p>
        </w:tc>
        <w:tc>
          <w:tcPr>
            <w:tcW w:w="243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数据采集，数据存储、历史数据查询、实时传输软硬件及接口扩展模块等</w:t>
            </w:r>
            <w:r>
              <w:rPr>
                <w:highlight w:val="white"/>
              </w:rPr>
            </w:r>
            <w:r/>
          </w:p>
        </w:tc>
        <w:tc>
          <w:tcPr>
            <w:tcW w:w="1048"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8</w:t>
            </w:r>
            <w:r>
              <w:rPr>
                <w:highlight w:val="white"/>
              </w:rPr>
            </w:r>
            <w:r/>
          </w:p>
        </w:tc>
        <w:tc>
          <w:tcPr>
            <w:tcW w:w="3902"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工控机及软件</w:t>
            </w:r>
            <w:r>
              <w:rPr>
                <w:highlight w:val="white"/>
              </w:rPr>
            </w:r>
            <w:r/>
          </w:p>
        </w:tc>
      </w:tr>
      <w:tr>
        <w:trPr>
          <w:trHeight w:val="57"/>
        </w:trPr>
        <w:tc>
          <w:tcPr>
            <w:tcW w:w="51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11</w:t>
            </w:r>
            <w:r>
              <w:rPr>
                <w:highlight w:val="white"/>
              </w:rPr>
            </w:r>
            <w:r/>
          </w:p>
        </w:tc>
        <w:tc>
          <w:tcPr>
            <w:tcW w:w="208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质控设备</w:t>
            </w:r>
            <w:r>
              <w:rPr>
                <w:highlight w:val="white"/>
              </w:rPr>
            </w:r>
            <w:r/>
          </w:p>
        </w:tc>
        <w:tc>
          <w:tcPr>
            <w:tcW w:w="243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用于环境空气污染物分析仪的质量保证</w:t>
            </w:r>
            <w:r>
              <w:rPr>
                <w:highlight w:val="white"/>
              </w:rPr>
            </w:r>
            <w:r/>
          </w:p>
        </w:tc>
        <w:tc>
          <w:tcPr>
            <w:tcW w:w="1048"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8</w:t>
            </w:r>
            <w:r>
              <w:rPr>
                <w:highlight w:val="white"/>
              </w:rPr>
            </w:r>
            <w:r/>
          </w:p>
        </w:tc>
        <w:tc>
          <w:tcPr>
            <w:tcW w:w="3902"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含动态校准仪（配备光度计、臭氧发生器等）、零气发生器等。动态校准仪需考虑预留SO2、NO2、CO等其他指标校准能力</w:t>
            </w:r>
            <w:r>
              <w:rPr>
                <w:highlight w:val="white"/>
              </w:rPr>
            </w:r>
            <w:r/>
          </w:p>
        </w:tc>
      </w:tr>
      <w:tr>
        <w:trPr>
          <w:trHeight w:val="57"/>
        </w:trPr>
        <w:tc>
          <w:tcPr>
            <w:tcW w:w="51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12</w:t>
            </w:r>
            <w:r>
              <w:rPr>
                <w:highlight w:val="white"/>
              </w:rPr>
            </w:r>
            <w:r/>
          </w:p>
        </w:tc>
        <w:tc>
          <w:tcPr>
            <w:tcW w:w="208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站房</w:t>
            </w:r>
            <w:r>
              <w:rPr>
                <w:highlight w:val="white"/>
              </w:rPr>
            </w:r>
            <w:r/>
          </w:p>
        </w:tc>
        <w:tc>
          <w:tcPr>
            <w:tcW w:w="243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用于监测仪器的安装场所</w:t>
            </w:r>
            <w:r>
              <w:rPr>
                <w:highlight w:val="white"/>
              </w:rPr>
            </w:r>
            <w:r/>
          </w:p>
        </w:tc>
        <w:tc>
          <w:tcPr>
            <w:tcW w:w="1048"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8</w:t>
            </w:r>
            <w:r>
              <w:rPr>
                <w:highlight w:val="white"/>
              </w:rPr>
            </w:r>
            <w:r/>
          </w:p>
        </w:tc>
        <w:tc>
          <w:tcPr>
            <w:tcW w:w="3902"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站房及附属设施（含避雷、空调、布线、消防、工作台及配套等）</w:t>
            </w:r>
            <w:r>
              <w:rPr>
                <w:highlight w:val="white"/>
              </w:rPr>
            </w:r>
            <w:r/>
          </w:p>
        </w:tc>
      </w:tr>
      <w:tr>
        <w:trPr>
          <w:trHeight w:val="57"/>
        </w:trPr>
        <w:tc>
          <w:tcPr>
            <w:tcW w:w="51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13</w:t>
            </w:r>
            <w:r>
              <w:rPr>
                <w:highlight w:val="white"/>
              </w:rPr>
            </w:r>
            <w:r/>
          </w:p>
        </w:tc>
        <w:tc>
          <w:tcPr>
            <w:tcW w:w="208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安保摄影系统</w:t>
            </w:r>
            <w:r>
              <w:rPr>
                <w:highlight w:val="white"/>
              </w:rPr>
            </w:r>
            <w:r/>
          </w:p>
        </w:tc>
        <w:tc>
          <w:tcPr>
            <w:tcW w:w="243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用于安保实时摄像监控</w:t>
            </w:r>
            <w:r>
              <w:rPr>
                <w:highlight w:val="white"/>
              </w:rPr>
            </w:r>
            <w:r/>
          </w:p>
        </w:tc>
        <w:tc>
          <w:tcPr>
            <w:tcW w:w="1048"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8</w:t>
            </w:r>
            <w:r>
              <w:rPr>
                <w:highlight w:val="white"/>
              </w:rPr>
            </w:r>
            <w:r/>
          </w:p>
        </w:tc>
        <w:tc>
          <w:tcPr>
            <w:tcW w:w="3902"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室内一台球机、室外一台枪机。摄像机具有IP66级防水，清晰度200万像素以上，支持自动白平衡、ICR红外滤片式自动切换、自动彩转黑、红外夜视功能等功能</w:t>
            </w:r>
            <w:r>
              <w:rPr>
                <w:highlight w:val="white"/>
              </w:rPr>
            </w:r>
            <w:r/>
          </w:p>
        </w:tc>
      </w:tr>
    </w:tbl>
    <w:p>
      <w:pPr>
        <w:numPr>
          <w:ilvl w:val="0"/>
          <w:numId w:val="1"/>
        </w:numPr>
        <w:spacing w:line="360" w:lineRule="auto"/>
        <w:tabs>
          <w:tab w:val="left" w:pos="525" w:leader="none"/>
        </w:tabs>
        <w:rPr>
          <w:rFonts w:hint="eastAsia" w:ascii="宋体" w:hAnsi="宋体" w:cs="宋体"/>
          <w:sz w:val="24"/>
          <w:szCs w:val="24"/>
          <w:highlight w:val="white"/>
        </w:rPr>
      </w:pPr>
      <w:r>
        <w:rPr>
          <w:rFonts w:hint="eastAsia" w:ascii="宋体" w:hAnsi="宋体" w:cs="宋体"/>
          <w:sz w:val="24"/>
          <w:szCs w:val="24"/>
          <w:highlight w:val="white"/>
        </w:rPr>
        <w:t xml:space="preserve">运维技术要求</w:t>
      </w:r>
      <w:r>
        <w:rPr>
          <w:highlight w:val="white"/>
        </w:rPr>
      </w:r>
      <w:r/>
    </w:p>
    <w:p>
      <w:pPr>
        <w:numPr>
          <w:ilvl w:val="0"/>
          <w:numId w:val="2"/>
        </w:numPr>
        <w:jc w:val="left"/>
        <w:spacing w:line="360" w:lineRule="auto"/>
        <w:rPr>
          <w:rFonts w:hint="eastAsia" w:ascii="宋体" w:hAnsi="宋体" w:cs="宋体"/>
          <w:b/>
          <w:sz w:val="24"/>
          <w:szCs w:val="24"/>
          <w:highlight w:val="white"/>
        </w:rPr>
      </w:pPr>
      <w:r>
        <w:rPr>
          <w:rFonts w:hint="eastAsia" w:ascii="宋体" w:hAnsi="宋体" w:cs="宋体"/>
          <w:sz w:val="24"/>
          <w:szCs w:val="24"/>
          <w:highlight w:val="white"/>
        </w:rPr>
        <w:t xml:space="preserve">有完善的管理制度及技术人员培训制度，指定项目负责人，针对本项目配置至少3名空气自动站维护技术人员与2辆运维专车。</w:t>
      </w:r>
      <w:r>
        <w:rPr>
          <w:rFonts w:hint="eastAsia" w:ascii="宋体" w:hAnsi="宋体" w:cs="宋体"/>
          <w:b/>
          <w:sz w:val="24"/>
          <w:szCs w:val="24"/>
          <w:highlight w:val="white"/>
        </w:rPr>
        <w:t xml:space="preserve">（提供承诺函，同时成交单位不得指派维护人员从事与本项目无关的任何工作，发现一次警告，第二次扣除合同总价的10%，第三次采购人有权解除合同并通报，由成交单位承担由此对采购人造成的一切损失）</w:t>
      </w:r>
      <w:r>
        <w:rPr>
          <w:highlight w:val="white"/>
        </w:rPr>
      </w:r>
      <w:r/>
    </w:p>
    <w:p>
      <w:pPr>
        <w:numPr>
          <w:ilvl w:val="0"/>
          <w:numId w:val="2"/>
        </w:numPr>
        <w:jc w:val="left"/>
        <w:spacing w:line="360" w:lineRule="auto"/>
        <w:shd w:val="clear" w:color="auto" w:fill="ffffff"/>
        <w:widowControl/>
        <w:rPr>
          <w:rFonts w:hint="eastAsia" w:ascii="宋体" w:hAnsi="宋体" w:cs="宋体"/>
          <w:sz w:val="24"/>
          <w:szCs w:val="24"/>
          <w:highlight w:val="white"/>
        </w:rPr>
      </w:pPr>
      <w:r>
        <w:rPr>
          <w:rFonts w:hint="eastAsia" w:ascii="宋体" w:hAnsi="宋体" w:cs="宋体"/>
          <w:sz w:val="24"/>
          <w:szCs w:val="24"/>
          <w:highlight w:val="white"/>
        </w:rPr>
        <w:t xml:space="preserve">响应时间：对于站点出现的故障，应2小时内赶到现场，4小时内解决故障，不能及时修复时，也应立即在4小时之内使用备机开展监测。</w:t>
      </w:r>
      <w:r>
        <w:rPr>
          <w:highlight w:val="white"/>
        </w:rPr>
      </w:r>
      <w:r/>
    </w:p>
    <w:p>
      <w:pPr>
        <w:numPr>
          <w:ilvl w:val="0"/>
          <w:numId w:val="2"/>
        </w:numPr>
        <w:jc w:val="left"/>
        <w:spacing w:line="360" w:lineRule="auto"/>
        <w:widowControl/>
        <w:rPr>
          <w:rFonts w:hint="eastAsia" w:ascii="宋体" w:hAnsi="宋体" w:cs="宋体"/>
          <w:bCs/>
          <w:sz w:val="24"/>
          <w:szCs w:val="24"/>
          <w:highlight w:val="white"/>
        </w:rPr>
      </w:pPr>
      <w:r>
        <w:rPr>
          <w:rFonts w:hint="eastAsia" w:ascii="宋体" w:hAnsi="宋体" w:cs="宋体"/>
          <w:bCs/>
          <w:sz w:val="24"/>
          <w:szCs w:val="24"/>
          <w:highlight w:val="white"/>
        </w:rPr>
        <w:t xml:space="preserve">配备日常运行管理过程中涉及的常用工具、校准设备等，如流量计、温度计、气压计等。</w:t>
      </w:r>
      <w:r>
        <w:rPr>
          <w:highlight w:val="white"/>
        </w:rPr>
      </w:r>
      <w:r/>
    </w:p>
    <w:p>
      <w:pPr>
        <w:numPr>
          <w:ilvl w:val="0"/>
          <w:numId w:val="2"/>
        </w:numPr>
        <w:jc w:val="left"/>
        <w:spacing w:line="360" w:lineRule="auto"/>
        <w:widowControl/>
        <w:rPr>
          <w:rFonts w:hint="eastAsia" w:ascii="宋体" w:hAnsi="宋体" w:cs="宋体"/>
          <w:bCs/>
          <w:sz w:val="24"/>
          <w:szCs w:val="24"/>
          <w:highlight w:val="white"/>
        </w:rPr>
      </w:pPr>
      <w:r>
        <w:rPr>
          <w:rFonts w:hint="eastAsia" w:ascii="宋体" w:hAnsi="宋体" w:cs="宋体"/>
          <w:bCs/>
          <w:sz w:val="24"/>
          <w:szCs w:val="24"/>
          <w:highlight w:val="white"/>
        </w:rPr>
        <w:t xml:space="preserve">耗材备件</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成交单位须在苏州市服务点配备充足的与本项目同型号的主要仪器备件常用的耗材备件，如仪器设备校准使用的标准气体、过滤膜、纸带、滤芯、泵维护包、颗粒物仪器的干燥管等。耗材、备件的使用和管理应有相应的记录备查。由于缺少相应的耗材、备件，导致仪器不能正常使用、数据缺失的，采购方按照空气站管理办法扣除一定的费用，直至解除合同。</w:t>
      </w:r>
      <w:r>
        <w:rPr>
          <w:highlight w:val="white"/>
        </w:rPr>
      </w:r>
      <w:r/>
    </w:p>
    <w:p>
      <w:pPr>
        <w:numPr>
          <w:ilvl w:val="0"/>
          <w:numId w:val="2"/>
        </w:num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标准物质的使用</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空气站校准维护的标准气体必须为中国计量科学研究院或生态环境部环境发展中心环境标准样品研究所产品（有标准物质证书）。在用标准气体当钢瓶压力低于500PSIG时，标准需要进行重新验证，当钢瓶压力低于150PSIG(1.0MPa)时,停止使用。标准气体必须在有效期内使用。</w:t>
      </w:r>
      <w:r>
        <w:rPr>
          <w:highlight w:val="white"/>
        </w:rPr>
      </w:r>
      <w:r/>
    </w:p>
    <w:p>
      <w:pPr>
        <w:numPr>
          <w:ilvl w:val="0"/>
          <w:numId w:val="2"/>
        </w:num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工作计划的制定</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成交单位应及时制定运维计划，并严格按计划执行，若有变更须及时通知采购人。每月</w:t>
      </w:r>
      <w:r>
        <w:rPr>
          <w:rFonts w:hint="eastAsia" w:ascii="宋体" w:hAnsi="宋体" w:cs="宋体"/>
          <w:sz w:val="24"/>
          <w:szCs w:val="24"/>
          <w:highlight w:val="white"/>
        </w:rPr>
        <w:t xml:space="preserve">初提供月度总结。</w:t>
      </w:r>
      <w:r>
        <w:rPr>
          <w:highlight w:val="white"/>
        </w:rPr>
      </w:r>
      <w:r/>
    </w:p>
    <w:p>
      <w:pPr>
        <w:numPr>
          <w:ilvl w:val="0"/>
          <w:numId w:val="2"/>
        </w:num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财产保护和数据保密</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委托运行管理及维修的全部资产（包括全部产权和建筑物、设备及配套设施）属采购人。未经采购人同意，成交单位不得以任何方式对采购人各类财产进行出售、抵押、转移及调换。</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在委托管理期间，成交单位应对系统状况和数据严格保密。未经采购人同意，成交单位不得利用本项目的所有资料对外开展技术交流、业务联系、数据交换等。</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注：成交单位违反上述条款中任何一条要求或者出现重大失误，采购方有权直接终止合同，同时列入不良单位名单并通报。</w:t>
      </w:r>
      <w:r>
        <w:rPr>
          <w:highlight w:val="white"/>
        </w:rPr>
      </w:r>
      <w:r/>
    </w:p>
    <w:p>
      <w:pPr>
        <w:numPr>
          <w:ilvl w:val="0"/>
          <w:numId w:val="1"/>
        </w:numPr>
        <w:spacing w:line="360" w:lineRule="auto"/>
        <w:tabs>
          <w:tab w:val="left" w:pos="525" w:leader="none"/>
        </w:tabs>
        <w:rPr>
          <w:rFonts w:hint="eastAsia" w:ascii="宋体" w:hAnsi="宋体" w:cs="宋体"/>
          <w:sz w:val="24"/>
          <w:szCs w:val="24"/>
          <w:highlight w:val="white"/>
        </w:rPr>
      </w:pPr>
      <w:r>
        <w:rPr>
          <w:rFonts w:hint="eastAsia" w:ascii="宋体" w:hAnsi="宋体" w:cs="宋体"/>
          <w:sz w:val="24"/>
          <w:szCs w:val="24"/>
          <w:highlight w:val="white"/>
        </w:rPr>
        <w:t xml:space="preserve">具体运维要求</w:t>
      </w:r>
      <w:r>
        <w:rPr>
          <w:highlight w:val="white"/>
        </w:rPr>
      </w:r>
      <w:r/>
    </w:p>
    <w:p>
      <w:pPr>
        <w:ind w:firstLine="480"/>
        <w:spacing w:line="360" w:lineRule="auto"/>
        <w:tabs>
          <w:tab w:val="left" w:pos="567"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成交单位应严格按照《环境空气颗粒物（PM2.5、PM10）连续自动监测系统运行和质控技术规范》（HJ 817-2018）、《环境空气气态污染物（SO2、NO2、O3、CO）连续自动监测系统运行和质控技术规范》（HJ 818-2018）、《国家环境空气质量监测网络城市站运行管理办法》、《</w:t>
      </w:r>
      <w:bookmarkStart w:id="5" w:name="OLE_LINK3"/>
      <w:r>
        <w:rPr>
          <w:rFonts w:hint="eastAsia" w:ascii="宋体" w:hAnsi="宋体" w:cs="宋体"/>
          <w:bCs/>
          <w:sz w:val="24"/>
          <w:szCs w:val="24"/>
          <w:highlight w:val="white"/>
        </w:rPr>
        <w:t xml:space="preserve">江苏省环境空气自动监测质量管理暂行规定</w:t>
      </w:r>
      <w:bookmarkEnd w:id="5"/>
      <w:r>
        <w:rPr>
          <w:rFonts w:hint="eastAsia" w:ascii="宋体" w:hAnsi="宋体" w:cs="宋体"/>
          <w:bCs/>
          <w:sz w:val="24"/>
          <w:szCs w:val="24"/>
          <w:highlight w:val="white"/>
        </w:rPr>
        <w:t xml:space="preserve">》、新颁布的相关技术文件及采购文件、仪器操作说明书以及监测站的质控要求对仪器进行维护、维修和质量控制。如运维期间生态环境部、中国环境监测总站、江苏生态环境厅、苏州市生态环境局出台新的空气站运行管理规定，则运维工作要求随之执行最新规定。</w:t>
      </w:r>
      <w:r>
        <w:rPr>
          <w:highlight w:val="white"/>
        </w:rPr>
      </w:r>
      <w:r/>
    </w:p>
    <w:p>
      <w:pPr>
        <w:ind w:left="425" w:hanging="425"/>
        <w:spacing w:line="360" w:lineRule="auto"/>
        <w:widowControl/>
        <w:rPr>
          <w:rFonts w:hint="eastAsia" w:ascii="宋体" w:hAnsi="宋体" w:cs="宋体"/>
          <w:sz w:val="24"/>
          <w:szCs w:val="24"/>
          <w:highlight w:val="white"/>
        </w:rPr>
      </w:pPr>
      <w:r>
        <w:rPr>
          <w:rFonts w:ascii="宋体" w:hAnsi="宋体" w:cs="宋体"/>
          <w:sz w:val="24"/>
          <w:szCs w:val="24"/>
          <w:highlight w:val="white"/>
        </w:rPr>
        <w:t xml:space="preserve">1.</w:t>
      </w:r>
      <w:r>
        <w:rPr>
          <w:rFonts w:hint="eastAsia" w:ascii="宋体" w:hAnsi="宋体" w:cs="宋体"/>
          <w:sz w:val="24"/>
          <w:szCs w:val="24"/>
          <w:highlight w:val="white"/>
        </w:rPr>
        <w:t xml:space="preserve">运维管理</w:t>
      </w:r>
      <w:r>
        <w:rPr>
          <w:highlight w:val="white"/>
        </w:rPr>
      </w:r>
      <w:r/>
    </w:p>
    <w:p>
      <w:pPr>
        <w:ind w:firstLine="480"/>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要求托管过程中完成以下几项工作：</w:t>
      </w:r>
      <w:r>
        <w:rPr>
          <w:highlight w:val="white"/>
        </w:rPr>
      </w:r>
      <w:r/>
    </w:p>
    <w:p>
      <w:pPr>
        <w:numPr>
          <w:ilvl w:val="0"/>
          <w:numId w:val="4"/>
        </w:numPr>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8个环境空气自动监测站日常运行维护，对滤纸、滤膜等耗材进行更换，对采样头、采样管路等进行清洗，采样流量、斜率、截距等进行检查校准，检查仪器设备状态是否正常，监测数据是否合理（与周边和历史数据的比较）；</w:t>
      </w:r>
      <w:r>
        <w:rPr>
          <w:highlight w:val="white"/>
        </w:rPr>
      </w:r>
      <w:r/>
    </w:p>
    <w:p>
      <w:pPr>
        <w:numPr>
          <w:ilvl w:val="0"/>
          <w:numId w:val="4"/>
        </w:numPr>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8个环境空气自动监测站的设备维护及维修；</w:t>
      </w:r>
      <w:r>
        <w:rPr>
          <w:highlight w:val="white"/>
        </w:rPr>
      </w:r>
      <w:r/>
    </w:p>
    <w:p>
      <w:pPr>
        <w:numPr>
          <w:ilvl w:val="0"/>
          <w:numId w:val="4"/>
        </w:numPr>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8个环境空气自动监测站的质量管理，含校零、校标等； </w:t>
      </w:r>
      <w:r>
        <w:rPr>
          <w:highlight w:val="white"/>
        </w:rPr>
      </w:r>
      <w:r/>
    </w:p>
    <w:p>
      <w:pPr>
        <w:numPr>
          <w:ilvl w:val="0"/>
          <w:numId w:val="4"/>
        </w:numPr>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8个环境空气自动监测站的日常安全管理，视频系统、空调系统等是否正常，采样间是否漏雨，消防器材是否过期等等；</w:t>
      </w:r>
      <w:r>
        <w:rPr>
          <w:highlight w:val="white"/>
        </w:rPr>
      </w:r>
      <w:r/>
    </w:p>
    <w:p>
      <w:pPr>
        <w:numPr>
          <w:ilvl w:val="0"/>
          <w:numId w:val="4"/>
        </w:numPr>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突发性环境应急事故的辅助分析工作；</w:t>
      </w:r>
      <w:r>
        <w:rPr>
          <w:highlight w:val="white"/>
        </w:rPr>
      </w:r>
      <w:r/>
    </w:p>
    <w:p>
      <w:pPr>
        <w:numPr>
          <w:ilvl w:val="0"/>
          <w:numId w:val="4"/>
        </w:numPr>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数据分析及应用工作；</w:t>
      </w:r>
      <w:r>
        <w:rPr>
          <w:highlight w:val="white"/>
        </w:rPr>
      </w:r>
      <w:r/>
    </w:p>
    <w:p>
      <w:pPr>
        <w:numPr>
          <w:ilvl w:val="0"/>
          <w:numId w:val="4"/>
        </w:numPr>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子站通讯及数据采集系统的维护及维修、通讯保障；</w:t>
      </w:r>
      <w:r>
        <w:rPr>
          <w:highlight w:val="white"/>
        </w:rPr>
      </w:r>
      <w:r/>
    </w:p>
    <w:p>
      <w:pPr>
        <w:numPr>
          <w:ilvl w:val="0"/>
          <w:numId w:val="4"/>
        </w:numPr>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sz w:val="24"/>
          <w:szCs w:val="24"/>
          <w:highlight w:val="white"/>
        </w:rPr>
        <w:t xml:space="preserve">定期开展8个空气自动站的防人为干扰巡查工作，严格按照相关要求识别可能影响监测质量的风险，及时反馈采购方；同步开展站点安全工作巡查，确保自动站建筑结构、水、电、监控视频等相关要素的安全。</w:t>
      </w:r>
      <w:r>
        <w:rPr>
          <w:highlight w:val="white"/>
        </w:rPr>
      </w:r>
      <w:r/>
    </w:p>
    <w:p>
      <w:pPr>
        <w:ind w:left="425" w:hanging="425"/>
        <w:spacing w:line="360" w:lineRule="auto"/>
        <w:widowControl/>
        <w:rPr>
          <w:rFonts w:hint="eastAsia" w:ascii="宋体" w:hAnsi="宋体" w:cs="宋体"/>
          <w:bCs/>
          <w:sz w:val="24"/>
          <w:szCs w:val="24"/>
          <w:highlight w:val="white"/>
        </w:rPr>
      </w:pPr>
      <w:r>
        <w:rPr>
          <w:rFonts w:ascii="宋体" w:hAnsi="宋体" w:cs="宋体"/>
          <w:bCs/>
          <w:sz w:val="24"/>
          <w:szCs w:val="24"/>
          <w:highlight w:val="white"/>
        </w:rPr>
        <w:t xml:space="preserve">2.</w:t>
      </w:r>
      <w:r>
        <w:rPr>
          <w:rFonts w:hint="eastAsia" w:ascii="宋体" w:hAnsi="宋体" w:cs="宋体"/>
          <w:bCs/>
          <w:sz w:val="24"/>
          <w:szCs w:val="24"/>
          <w:highlight w:val="white"/>
        </w:rPr>
        <w:t xml:space="preserve">日常运行维护内容</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（1）一般要求</w:t>
      </w:r>
      <w:r>
        <w:rPr>
          <w:highlight w:val="white"/>
        </w:rPr>
      </w:r>
      <w:r/>
    </w:p>
    <w:p>
      <w:pPr>
        <w:numPr>
          <w:ilvl w:val="0"/>
          <w:numId w:val="5"/>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保持站房内部环境清洁，布置整齐，各仪器设备干净清洁，设备标识清楚；</w:t>
      </w:r>
      <w:r>
        <w:rPr>
          <w:highlight w:val="white"/>
        </w:rPr>
      </w:r>
      <w:r/>
    </w:p>
    <w:p>
      <w:pPr>
        <w:numPr>
          <w:ilvl w:val="0"/>
          <w:numId w:val="5"/>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检查供电、网络通讯的情况，保证系统的正常运行；</w:t>
      </w:r>
      <w:r>
        <w:rPr>
          <w:highlight w:val="white"/>
        </w:rPr>
      </w:r>
      <w:r/>
    </w:p>
    <w:p>
      <w:pPr>
        <w:numPr>
          <w:ilvl w:val="0"/>
          <w:numId w:val="5"/>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保证空调正常工作，仪器运行温度保持在25℃左右，站房内温度日波动范围小于5℃，相对湿度保持在80%RH以下； </w:t>
      </w:r>
      <w:r>
        <w:rPr>
          <w:highlight w:val="white"/>
        </w:rPr>
      </w:r>
      <w:r/>
    </w:p>
    <w:p>
      <w:pPr>
        <w:numPr>
          <w:ilvl w:val="0"/>
          <w:numId w:val="5"/>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指派专人维护，设备固定牢固，门窗关闭良好，人走关门，非工作人员未经许可不得入内；</w:t>
      </w:r>
      <w:r>
        <w:rPr>
          <w:highlight w:val="white"/>
        </w:rPr>
      </w:r>
      <w:r/>
    </w:p>
    <w:p>
      <w:pPr>
        <w:numPr>
          <w:ilvl w:val="0"/>
          <w:numId w:val="5"/>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定期检查消防和安全设施；</w:t>
      </w:r>
      <w:r>
        <w:rPr>
          <w:highlight w:val="white"/>
        </w:rPr>
      </w:r>
      <w:r/>
    </w:p>
    <w:p>
      <w:pPr>
        <w:numPr>
          <w:ilvl w:val="0"/>
          <w:numId w:val="5"/>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每次维护后做好系统运行维护记录；</w:t>
      </w:r>
      <w:r>
        <w:rPr>
          <w:highlight w:val="white"/>
        </w:rPr>
      </w:r>
      <w:r/>
    </w:p>
    <w:p>
      <w:pPr>
        <w:numPr>
          <w:ilvl w:val="0"/>
          <w:numId w:val="5"/>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进行维护时，应规范操作，注意安全，防止意外发生。</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（2）每日工作</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成交单位至少每天的8-22点，需每隔4小时查看空气自动监测站数据并形成记录，分析监测数据，对站点运行情况进行远程诊断和运行管理，内容包括：</w:t>
      </w:r>
      <w:r>
        <w:rPr>
          <w:highlight w:val="white"/>
        </w:rPr>
      </w:r>
      <w:r/>
    </w:p>
    <w:p>
      <w:pPr>
        <w:numPr>
          <w:ilvl w:val="0"/>
          <w:numId w:val="6"/>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判断系统数据采集与传输情况；</w:t>
      </w:r>
      <w:r>
        <w:rPr>
          <w:highlight w:val="white"/>
        </w:rPr>
      </w:r>
      <w:r/>
    </w:p>
    <w:p>
      <w:pPr>
        <w:numPr>
          <w:ilvl w:val="0"/>
          <w:numId w:val="6"/>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根据电源电压、站房温度、湿度数据判断站房内部情况；</w:t>
      </w:r>
      <w:r>
        <w:rPr>
          <w:highlight w:val="white"/>
        </w:rPr>
      </w:r>
      <w:r/>
    </w:p>
    <w:p>
      <w:pPr>
        <w:numPr>
          <w:ilvl w:val="0"/>
          <w:numId w:val="6"/>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发现运行数据有持续异常值时，应立即通知苏州国家历史文化名城保护区（姑苏）生态环境局管理人员，在每日8时-22时出现的故障，成交单位应能在2小时内赶到现场，4小时内解决（通信线路、电力线路故障除外，但应及时与相关部门联系）；</w:t>
      </w:r>
      <w:r>
        <w:rPr>
          <w:highlight w:val="white"/>
        </w:rPr>
      </w:r>
      <w:r/>
    </w:p>
    <w:p>
      <w:pPr>
        <w:numPr>
          <w:ilvl w:val="0"/>
          <w:numId w:val="6"/>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根据仪器分析数据判断仪器运行情况；</w:t>
      </w:r>
      <w:r>
        <w:rPr>
          <w:highlight w:val="white"/>
        </w:rPr>
      </w:r>
      <w:r/>
    </w:p>
    <w:p>
      <w:pPr>
        <w:numPr>
          <w:ilvl w:val="0"/>
          <w:numId w:val="6"/>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根据故障报警信号判断现场状况；</w:t>
      </w:r>
      <w:r>
        <w:rPr>
          <w:highlight w:val="white"/>
        </w:rPr>
      </w:r>
      <w:r/>
    </w:p>
    <w:p>
      <w:pPr>
        <w:numPr>
          <w:ilvl w:val="0"/>
          <w:numId w:val="6"/>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每日检查数据是否及时上传至环境质量监控系统，发现数据掉线及时恢复。</w:t>
      </w:r>
      <w:r>
        <w:rPr>
          <w:highlight w:val="white"/>
        </w:rPr>
      </w:r>
      <w:r/>
    </w:p>
    <w:p>
      <w:pPr>
        <w:numPr>
          <w:ilvl w:val="0"/>
          <w:numId w:val="6"/>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每日对苏州国家历史文化名城保护区（姑苏）生态环境局安排的空气自动监测数据进行审核工作。</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（3）每周工作</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成交单位每周至少巡视空气自动监测站1次，并做好巡查记录，巡检时需要完成的工作包括：</w:t>
      </w:r>
      <w:r>
        <w:rPr>
          <w:highlight w:val="white"/>
        </w:rPr>
      </w:r>
      <w:r/>
    </w:p>
    <w:p>
      <w:pPr>
        <w:numPr>
          <w:ilvl w:val="0"/>
          <w:numId w:val="7"/>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查看空气自动站设备是否齐备，无丢失和损坏；检查子站的接地线路是否可靠，排风排气装置工作是否正常，标准气钢瓶阀门是否漏气，标准气的消耗情况；</w:t>
      </w:r>
      <w:r>
        <w:rPr>
          <w:highlight w:val="white"/>
        </w:rPr>
      </w:r>
      <w:r/>
    </w:p>
    <w:p>
      <w:pPr>
        <w:numPr>
          <w:ilvl w:val="0"/>
          <w:numId w:val="7"/>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检查采样和排气管路是否有漏气或堵塞现象，各分析仪器采样流量是否正常。检查各仪器的运行状况和工作参数，保证系统运行顺畅；</w:t>
      </w:r>
      <w:r>
        <w:rPr>
          <w:highlight w:val="white"/>
        </w:rPr>
      </w:r>
      <w:r/>
    </w:p>
    <w:p>
      <w:pPr>
        <w:numPr>
          <w:ilvl w:val="0"/>
          <w:numId w:val="7"/>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检查外部环境是否正常，有没有对测定结果或运行环境存在明显影响的污染源；</w:t>
      </w:r>
      <w:r>
        <w:rPr>
          <w:highlight w:val="white"/>
        </w:rPr>
      </w:r>
      <w:r/>
    </w:p>
    <w:p>
      <w:pPr>
        <w:numPr>
          <w:ilvl w:val="0"/>
          <w:numId w:val="7"/>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检查电路系统和通讯系统，保证系统供电正常，电压稳定；</w:t>
      </w:r>
      <w:r>
        <w:rPr>
          <w:highlight w:val="white"/>
        </w:rPr>
      </w:r>
      <w:r/>
    </w:p>
    <w:p>
      <w:pPr>
        <w:numPr>
          <w:ilvl w:val="0"/>
          <w:numId w:val="7"/>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检查空气自动站的通讯系统，保证空气自动站与远程监控中心的连接正常，数据传输正常；</w:t>
      </w:r>
      <w:r>
        <w:rPr>
          <w:highlight w:val="white"/>
        </w:rPr>
      </w:r>
      <w:r/>
    </w:p>
    <w:p>
      <w:pPr>
        <w:numPr>
          <w:ilvl w:val="0"/>
          <w:numId w:val="7"/>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对二氧化硫、一氧化碳、臭氧、二氧化氮分析仪进行零点及跨度检查，根据情况进行校准；</w:t>
      </w:r>
      <w:r>
        <w:rPr>
          <w:highlight w:val="white"/>
        </w:rPr>
      </w:r>
      <w:r/>
    </w:p>
    <w:p>
      <w:pPr>
        <w:numPr>
          <w:ilvl w:val="0"/>
          <w:numId w:val="7"/>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检查监测仪器的采样入口与采样支路管线结合部之间安装的过滤膜的污染情况，每周更换滤膜。每周检查监测仪器散热风扇污染情况，及时清洗。</w:t>
      </w:r>
      <w:r>
        <w:rPr>
          <w:highlight w:val="white"/>
        </w:rPr>
      </w:r>
      <w:r/>
    </w:p>
    <w:p>
      <w:pPr>
        <w:numPr>
          <w:ilvl w:val="0"/>
          <w:numId w:val="7"/>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检查并记录仪器设备零气、标气输出压力。应与前次检查时基本保持一致。</w:t>
      </w:r>
      <w:r>
        <w:rPr>
          <w:highlight w:val="white"/>
        </w:rPr>
      </w:r>
      <w:r/>
    </w:p>
    <w:p>
      <w:pPr>
        <w:numPr>
          <w:ilvl w:val="0"/>
          <w:numId w:val="7"/>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在冬、夏季节应注意子站房室内外温差，若温差较大使采样装置出现冷凝水，应及时改变站房温度或对采样总管采取适当的控制措施，防止冷凝现象。</w:t>
      </w:r>
      <w:r>
        <w:rPr>
          <w:highlight w:val="white"/>
        </w:rPr>
      </w:r>
      <w:r/>
    </w:p>
    <w:p>
      <w:pPr>
        <w:numPr>
          <w:ilvl w:val="0"/>
          <w:numId w:val="7"/>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对子站房周围的杂草和积水应及时清除，当周围树木生长超过规范规定的控制限时，对采样或监测光束有影响的树枝应及时进行剪除。</w:t>
      </w:r>
      <w:r>
        <w:rPr>
          <w:highlight w:val="white"/>
        </w:rPr>
      </w:r>
      <w:r/>
    </w:p>
    <w:p>
      <w:pPr>
        <w:numPr>
          <w:ilvl w:val="0"/>
          <w:numId w:val="7"/>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在经常出现强风暴雨的地区，应经常检查避雷设施是否可靠，子站房屋是否有漏雨现象，气象杆和天线是否被刮坏，站房外围的其它设施是否有损坏或被水淹，如遇到以上问题应及时处理，保证系统能安全运行。</w:t>
      </w:r>
      <w:r>
        <w:rPr>
          <w:highlight w:val="white"/>
        </w:rPr>
      </w:r>
      <w:r/>
    </w:p>
    <w:p>
      <w:pPr>
        <w:numPr>
          <w:ilvl w:val="0"/>
          <w:numId w:val="7"/>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检查站房的安全设施，做好防火防盗工作。</w:t>
      </w:r>
      <w:r>
        <w:rPr>
          <w:highlight w:val="white"/>
        </w:rPr>
      </w:r>
      <w:r/>
    </w:p>
    <w:p>
      <w:pPr>
        <w:numPr>
          <w:ilvl w:val="0"/>
          <w:numId w:val="7"/>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每周对气象仪器的运行情况进行检查。</w:t>
      </w:r>
      <w:r>
        <w:rPr>
          <w:highlight w:val="white"/>
        </w:rPr>
      </w:r>
      <w:r/>
    </w:p>
    <w:p>
      <w:pPr>
        <w:numPr>
          <w:ilvl w:val="0"/>
          <w:numId w:val="7"/>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每周对颗粒物的采样纸带或滤膜进行检查，如纸带即将用尽，及时进行更换。</w:t>
      </w:r>
      <w:r>
        <w:rPr>
          <w:highlight w:val="white"/>
        </w:rPr>
      </w:r>
      <w:r/>
    </w:p>
    <w:p>
      <w:pPr>
        <w:numPr>
          <w:ilvl w:val="0"/>
          <w:numId w:val="7"/>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重污染天气过程结束后及时清洗采样系统管路。</w:t>
      </w:r>
      <w:r>
        <w:rPr>
          <w:highlight w:val="white"/>
        </w:rPr>
      </w:r>
      <w:r/>
    </w:p>
    <w:p>
      <w:pPr>
        <w:numPr>
          <w:ilvl w:val="0"/>
          <w:numId w:val="7"/>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检查PM</w:t>
      </w:r>
      <w:r>
        <w:rPr>
          <w:rFonts w:hint="eastAsia" w:ascii="宋体" w:hAnsi="宋体" w:cs="宋体"/>
          <w:bCs/>
          <w:sz w:val="24"/>
          <w:szCs w:val="24"/>
          <w:highlight w:val="white"/>
          <w:vertAlign w:val="subscript"/>
        </w:rPr>
        <w:t xml:space="preserve">10</w:t>
      </w:r>
      <w:r>
        <w:rPr>
          <w:rFonts w:hint="eastAsia" w:ascii="宋体" w:hAnsi="宋体" w:cs="宋体"/>
          <w:bCs/>
          <w:sz w:val="24"/>
          <w:szCs w:val="24"/>
          <w:highlight w:val="white"/>
        </w:rPr>
        <w:t xml:space="preserve">及PM</w:t>
      </w:r>
      <w:r>
        <w:rPr>
          <w:rFonts w:hint="eastAsia" w:ascii="宋体" w:hAnsi="宋体" w:cs="宋体"/>
          <w:bCs/>
          <w:sz w:val="24"/>
          <w:szCs w:val="24"/>
          <w:highlight w:val="white"/>
          <w:vertAlign w:val="subscript"/>
        </w:rPr>
        <w:t xml:space="preserve">2.5</w:t>
      </w:r>
      <w:r>
        <w:rPr>
          <w:rFonts w:hint="eastAsia" w:ascii="宋体" w:hAnsi="宋体" w:cs="宋体"/>
          <w:bCs/>
          <w:sz w:val="24"/>
          <w:szCs w:val="24"/>
          <w:highlight w:val="white"/>
        </w:rPr>
        <w:t xml:space="preserve">分析仪相对湿度、温度传感器、动态加热装置是否正常工作；</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（4）每月工作</w:t>
      </w:r>
      <w:r>
        <w:rPr>
          <w:highlight w:val="white"/>
        </w:rPr>
      </w:r>
      <w:r/>
    </w:p>
    <w:p>
      <w:pPr>
        <w:numPr>
          <w:ilvl w:val="0"/>
          <w:numId w:val="8"/>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清洗PM10及PM2.5切割器，对β法颗粒物分析仪检查仪器喷嘴、压环等部件；</w:t>
      </w:r>
      <w:r>
        <w:rPr>
          <w:highlight w:val="white"/>
        </w:rPr>
      </w:r>
      <w:r/>
    </w:p>
    <w:p>
      <w:pPr>
        <w:numPr>
          <w:ilvl w:val="0"/>
          <w:numId w:val="8"/>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检查PM10及PM2.5监测、气态分析仪、动态校准仪流量，超过国家相关规范要求的，及时进行校准；</w:t>
      </w:r>
      <w:r>
        <w:rPr>
          <w:highlight w:val="white"/>
        </w:rPr>
      </w:r>
      <w:r/>
    </w:p>
    <w:p>
      <w:pPr>
        <w:numPr>
          <w:ilvl w:val="0"/>
          <w:numId w:val="8"/>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对仪器显示数据和数据采集仪之间的一致性进行检查；</w:t>
      </w:r>
      <w:r>
        <w:rPr>
          <w:highlight w:val="white"/>
        </w:rPr>
      </w:r>
      <w:r/>
    </w:p>
    <w:p>
      <w:pPr>
        <w:numPr>
          <w:ilvl w:val="0"/>
          <w:numId w:val="8"/>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更换PM10、PM2.5分析仪滤纸带（必要时）、进行系统自检。</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（5）每季度工作</w:t>
      </w:r>
      <w:r>
        <w:rPr>
          <w:highlight w:val="white"/>
        </w:rPr>
      </w:r>
      <w:r/>
    </w:p>
    <w:p>
      <w:pPr>
        <w:numPr>
          <w:ilvl w:val="0"/>
          <w:numId w:val="9"/>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采样总管及采样风机每季度至少清洗一次；</w:t>
      </w:r>
      <w:r>
        <w:rPr>
          <w:highlight w:val="white"/>
        </w:rPr>
      </w:r>
      <w:r/>
    </w:p>
    <w:p>
      <w:pPr>
        <w:numPr>
          <w:ilvl w:val="0"/>
          <w:numId w:val="9"/>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对气态分析仪进行多点线性检查，绘制校准曲线。检验相关系数、斜率和截距。 </w:t>
      </w:r>
      <w:r>
        <w:rPr>
          <w:highlight w:val="white"/>
        </w:rPr>
      </w:r>
      <w:r/>
    </w:p>
    <w:p>
      <w:pPr>
        <w:numPr>
          <w:ilvl w:val="0"/>
          <w:numId w:val="9"/>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对动态校准仪流量进行多点检查，必要时校准，</w:t>
      </w:r>
      <w:r>
        <w:rPr>
          <w:highlight w:val="white"/>
        </w:rPr>
      </w:r>
      <w:r/>
    </w:p>
    <w:p>
      <w:pPr>
        <w:numPr>
          <w:ilvl w:val="0"/>
          <w:numId w:val="9"/>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对PM</w:t>
      </w:r>
      <w:r>
        <w:rPr>
          <w:rFonts w:hint="eastAsia" w:ascii="宋体" w:hAnsi="宋体" w:cs="宋体"/>
          <w:bCs/>
          <w:sz w:val="24"/>
          <w:szCs w:val="24"/>
          <w:highlight w:val="white"/>
          <w:vertAlign w:val="subscript"/>
        </w:rPr>
        <w:t xml:space="preserve">10</w:t>
      </w:r>
      <w:r>
        <w:rPr>
          <w:rFonts w:hint="eastAsia" w:ascii="宋体" w:hAnsi="宋体" w:cs="宋体"/>
          <w:bCs/>
          <w:sz w:val="24"/>
          <w:szCs w:val="24"/>
          <w:highlight w:val="white"/>
        </w:rPr>
        <w:t xml:space="preserve">及PM</w:t>
      </w:r>
      <w:r>
        <w:rPr>
          <w:rFonts w:hint="eastAsia" w:ascii="宋体" w:hAnsi="宋体" w:cs="宋体"/>
          <w:bCs/>
          <w:sz w:val="24"/>
          <w:szCs w:val="24"/>
          <w:highlight w:val="white"/>
          <w:vertAlign w:val="subscript"/>
        </w:rPr>
        <w:t xml:space="preserve">2.5</w:t>
      </w:r>
      <w:r>
        <w:rPr>
          <w:rFonts w:hint="eastAsia" w:ascii="宋体" w:hAnsi="宋体" w:cs="宋体"/>
          <w:bCs/>
          <w:sz w:val="24"/>
          <w:szCs w:val="24"/>
          <w:highlight w:val="white"/>
        </w:rPr>
        <w:t xml:space="preserve">监测仪器进行标准膜校准或K0值检查，超过国家相关规范要求时，及时进行校准；PM</w:t>
      </w:r>
      <w:r>
        <w:rPr>
          <w:rFonts w:hint="eastAsia" w:ascii="宋体" w:hAnsi="宋体" w:cs="宋体"/>
          <w:bCs/>
          <w:sz w:val="24"/>
          <w:szCs w:val="24"/>
          <w:highlight w:val="white"/>
          <w:vertAlign w:val="subscript"/>
        </w:rPr>
        <w:t xml:space="preserve">10</w:t>
      </w:r>
      <w:r>
        <w:rPr>
          <w:rFonts w:hint="eastAsia" w:ascii="宋体" w:hAnsi="宋体" w:cs="宋体"/>
          <w:bCs/>
          <w:sz w:val="24"/>
          <w:szCs w:val="24"/>
          <w:highlight w:val="white"/>
        </w:rPr>
        <w:t xml:space="preserve">及PM</w:t>
      </w:r>
      <w:r>
        <w:rPr>
          <w:rFonts w:hint="eastAsia" w:ascii="宋体" w:hAnsi="宋体" w:cs="宋体"/>
          <w:bCs/>
          <w:sz w:val="24"/>
          <w:szCs w:val="24"/>
          <w:highlight w:val="white"/>
          <w:vertAlign w:val="subscript"/>
        </w:rPr>
        <w:t xml:space="preserve">2.5</w:t>
      </w:r>
      <w:r>
        <w:rPr>
          <w:rFonts w:hint="eastAsia" w:ascii="宋体" w:hAnsi="宋体" w:cs="宋体"/>
          <w:bCs/>
          <w:sz w:val="24"/>
          <w:szCs w:val="24"/>
          <w:highlight w:val="white"/>
        </w:rPr>
        <w:t xml:space="preserve">温度、气压检查、时钟校准。</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（6）每半年工作</w:t>
      </w:r>
      <w:r>
        <w:rPr>
          <w:highlight w:val="white"/>
        </w:rPr>
      </w:r>
      <w:r/>
    </w:p>
    <w:p>
      <w:pPr>
        <w:numPr>
          <w:ilvl w:val="0"/>
          <w:numId w:val="10"/>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检查PM</w:t>
      </w:r>
      <w:r>
        <w:rPr>
          <w:rFonts w:hint="eastAsia" w:ascii="宋体" w:hAnsi="宋体" w:cs="宋体"/>
          <w:bCs/>
          <w:sz w:val="24"/>
          <w:szCs w:val="24"/>
          <w:highlight w:val="white"/>
          <w:vertAlign w:val="subscript"/>
        </w:rPr>
        <w:t xml:space="preserve">2.5</w:t>
      </w:r>
      <w:r>
        <w:rPr>
          <w:rFonts w:hint="eastAsia" w:ascii="宋体" w:hAnsi="宋体" w:cs="宋体"/>
          <w:bCs/>
          <w:sz w:val="24"/>
          <w:szCs w:val="24"/>
          <w:highlight w:val="white"/>
        </w:rPr>
        <w:t xml:space="preserve">、PM</w:t>
      </w:r>
      <w:r>
        <w:rPr>
          <w:rFonts w:hint="eastAsia" w:ascii="宋体" w:hAnsi="宋体" w:cs="宋体"/>
          <w:bCs/>
          <w:sz w:val="24"/>
          <w:szCs w:val="24"/>
          <w:highlight w:val="white"/>
          <w:vertAlign w:val="subscript"/>
        </w:rPr>
        <w:t xml:space="preserve">10</w:t>
      </w:r>
      <w:r>
        <w:rPr>
          <w:rFonts w:hint="eastAsia" w:ascii="宋体" w:hAnsi="宋体" w:cs="宋体"/>
          <w:bCs/>
          <w:sz w:val="24"/>
          <w:szCs w:val="24"/>
          <w:highlight w:val="white"/>
        </w:rPr>
        <w:t xml:space="preserve">分析仪相对湿度、温度传感器和动态加热装置是否正常工作。</w:t>
      </w:r>
      <w:r>
        <w:rPr>
          <w:highlight w:val="white"/>
        </w:rPr>
      </w:r>
      <w:r/>
    </w:p>
    <w:p>
      <w:pPr>
        <w:numPr>
          <w:ilvl w:val="0"/>
          <w:numId w:val="10"/>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对气态污染物监测仪进行多点校准，绘制校准曲线，检验相关系数、斜率和截距。</w:t>
      </w:r>
      <w:r>
        <w:rPr>
          <w:highlight w:val="white"/>
        </w:rPr>
      </w:r>
      <w:r/>
    </w:p>
    <w:p>
      <w:pPr>
        <w:numPr>
          <w:ilvl w:val="0"/>
          <w:numId w:val="10"/>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臭氧标准源对子站校准设备进行标准传递；</w:t>
      </w:r>
      <w:r>
        <w:rPr>
          <w:highlight w:val="white"/>
        </w:rPr>
      </w:r>
      <w:r/>
    </w:p>
    <w:p>
      <w:pPr>
        <w:numPr>
          <w:ilvl w:val="0"/>
          <w:numId w:val="10"/>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对氮氧化物分析仪钼炉转化率进行检查。</w:t>
      </w:r>
      <w:r>
        <w:rPr>
          <w:highlight w:val="white"/>
        </w:rPr>
      </w:r>
      <w:r/>
    </w:p>
    <w:p>
      <w:pPr>
        <w:numPr>
          <w:ilvl w:val="0"/>
          <w:numId w:val="10"/>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更换零起源净化剂和氧化剂，对零气性能进行检查。</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（7）每年工作（合同期内）</w:t>
      </w:r>
      <w:r>
        <w:rPr>
          <w:highlight w:val="white"/>
        </w:rPr>
      </w:r>
      <w:r/>
    </w:p>
    <w:p>
      <w:pPr>
        <w:numPr>
          <w:ilvl w:val="0"/>
          <w:numId w:val="11"/>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对所有的仪器进行预防性维护，按说明书的要求更换备件，更换所有泵组件。响应单位在响应文件中应注明预防性维护需更换的备件种类、价格以及来源，作为评标时的重要依据。</w:t>
      </w:r>
      <w:r>
        <w:rPr>
          <w:highlight w:val="white"/>
        </w:rPr>
      </w:r>
      <w:r/>
    </w:p>
    <w:p>
      <w:pPr>
        <w:numPr>
          <w:ilvl w:val="0"/>
          <w:numId w:val="11"/>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对采样总管进行气密性检查。</w:t>
      </w:r>
      <w:r>
        <w:rPr>
          <w:highlight w:val="white"/>
        </w:rPr>
      </w:r>
      <w:r/>
    </w:p>
    <w:p>
      <w:pPr>
        <w:numPr>
          <w:ilvl w:val="0"/>
          <w:numId w:val="11"/>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对站房、监测设备及电源的防雷检测。</w:t>
      </w:r>
      <w:r>
        <w:rPr>
          <w:highlight w:val="white"/>
        </w:rPr>
      </w:r>
      <w:r/>
    </w:p>
    <w:p>
      <w:pPr>
        <w:numPr>
          <w:ilvl w:val="0"/>
          <w:numId w:val="11"/>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根据甲方的要求，撰写区域环境质量分析报告、站点间的数据比对分析报告，分析影响空气质量状况的原因。</w:t>
      </w:r>
      <w:r>
        <w:rPr>
          <w:highlight w:val="white"/>
        </w:rPr>
      </w:r>
      <w:r/>
    </w:p>
    <w:p>
      <w:pPr>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（8）临时工作安排及比对</w:t>
      </w:r>
      <w:r>
        <w:rPr>
          <w:highlight w:val="white"/>
        </w:rPr>
      </w:r>
      <w:r/>
    </w:p>
    <w:p>
      <w:pPr>
        <w:ind w:firstLine="480"/>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根据工作需要，成交单位还需要完成苏州国家历史文化名城保护区（姑苏）生态环境局安排的计划外检查任务，包括临时检查和专项检查。检查的相关要求原则上参照例行检查要求进行。</w:t>
      </w:r>
      <w:r>
        <w:rPr>
          <w:highlight w:val="white"/>
        </w:rPr>
      </w:r>
      <w:r/>
    </w:p>
    <w:p>
      <w:pPr>
        <w:spacing w:line="360" w:lineRule="auto"/>
        <w:tabs>
          <w:tab w:val="left" w:pos="993" w:leader="none"/>
        </w:tabs>
        <w:rPr>
          <w:rFonts w:hint="eastAsia" w:ascii="宋体" w:hAnsi="宋体" w:cs="宋体"/>
          <w:sz w:val="24"/>
          <w:szCs w:val="24"/>
          <w:highlight w:val="white"/>
        </w:rPr>
      </w:pPr>
      <w:r>
        <w:rPr>
          <w:rFonts w:hint="eastAsia" w:ascii="宋体" w:hAnsi="宋体" w:cs="宋体"/>
          <w:sz w:val="24"/>
          <w:szCs w:val="24"/>
          <w:highlight w:val="white"/>
        </w:rPr>
        <w:t xml:space="preserve">(A) 临时检查包括但不限于：</w:t>
      </w:r>
      <w:r>
        <w:rPr>
          <w:highlight w:val="white"/>
        </w:rPr>
      </w:r>
      <w:r/>
    </w:p>
    <w:p>
      <w:pPr>
        <w:ind w:firstLine="60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①发现数据异常后；②市、区、乡镇街道环保负责人提出异议；③其他临时性检查。</w:t>
      </w:r>
      <w:r>
        <w:rPr>
          <w:highlight w:val="white"/>
        </w:rPr>
      </w:r>
      <w:r/>
    </w:p>
    <w:p>
      <w:pPr>
        <w:spacing w:line="360" w:lineRule="auto"/>
        <w:tabs>
          <w:tab w:val="left" w:pos="993" w:leader="none"/>
        </w:tabs>
        <w:rPr>
          <w:rFonts w:hint="eastAsia" w:ascii="宋体" w:hAnsi="宋体" w:cs="宋体"/>
          <w:sz w:val="24"/>
          <w:szCs w:val="24"/>
          <w:highlight w:val="white"/>
        </w:rPr>
      </w:pPr>
      <w:r>
        <w:rPr>
          <w:rFonts w:hint="eastAsia" w:ascii="宋体" w:hAnsi="宋体" w:cs="宋体"/>
          <w:sz w:val="24"/>
          <w:szCs w:val="24"/>
          <w:highlight w:val="white"/>
        </w:rPr>
        <w:t xml:space="preserve">(B) 专项检查包括但不限于：</w:t>
      </w:r>
      <w:r>
        <w:rPr>
          <w:highlight w:val="white"/>
        </w:rPr>
      </w:r>
      <w:r/>
    </w:p>
    <w:p>
      <w:pPr>
        <w:ind w:left="105"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①飞行检查；②使用备机超过7天时；③设备因故停机超过7天时；④设备更新后；⑤站点迁移后；⑥进行可能影响校准结果的维修或维护后；⑦其他站点周边环境调整后；⑧其他采购人根据国家、省、市要求而组织的专项检查。</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（9）环境空气监测数据分析</w:t>
      </w:r>
      <w:r>
        <w:rPr>
          <w:highlight w:val="white"/>
        </w:rPr>
      </w:r>
      <w:r/>
    </w:p>
    <w:p>
      <w:pPr>
        <w:ind w:firstLine="480"/>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成交单位应每月提供运维站点的空气质量监测总结报告，不定期提供专项分析报告。</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（10）降尘采样工作</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    成交单位应完成8个市控站的降尘采样工作，并每月提供相应检测报告。</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（11）日常运行维护记录</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成交单位应建立空气自动站维护档案，将空气自动站的运行过程和运行事件进行详细记录，并进行归档管理。日常运营中使用运行管理相关记录表至少应包括以下表格：</w:t>
      </w:r>
      <w:r>
        <w:rPr>
          <w:highlight w:val="white"/>
        </w:rPr>
      </w:r>
      <w:r/>
    </w:p>
    <w:p>
      <w:pPr>
        <w:numPr>
          <w:ilvl w:val="0"/>
          <w:numId w:val="12"/>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空气自动监测运行维护记录表。</w:t>
      </w:r>
      <w:r>
        <w:rPr>
          <w:highlight w:val="white"/>
        </w:rPr>
      </w:r>
      <w:r/>
    </w:p>
    <w:p>
      <w:pPr>
        <w:numPr>
          <w:ilvl w:val="0"/>
          <w:numId w:val="12"/>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颗粒物监测仪校准检查记录。</w:t>
      </w:r>
      <w:r>
        <w:rPr>
          <w:highlight w:val="white"/>
        </w:rPr>
      </w:r>
      <w:r/>
    </w:p>
    <w:p>
      <w:pPr>
        <w:numPr>
          <w:ilvl w:val="0"/>
          <w:numId w:val="12"/>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气态污染物监测仪校准检查记录。</w:t>
      </w:r>
      <w:r>
        <w:rPr>
          <w:highlight w:val="white"/>
        </w:rPr>
      </w:r>
      <w:r/>
    </w:p>
    <w:p>
      <w:pPr>
        <w:numPr>
          <w:ilvl w:val="0"/>
          <w:numId w:val="12"/>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空气自动监测系统仪器设备维修记录表。</w:t>
      </w:r>
      <w:r>
        <w:rPr>
          <w:highlight w:val="white"/>
        </w:rPr>
      </w:r>
      <w:r/>
    </w:p>
    <w:p>
      <w:pPr>
        <w:numPr>
          <w:ilvl w:val="0"/>
          <w:numId w:val="12"/>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空气自动监测系统备品备件管理记录表。</w:t>
      </w:r>
      <w:r>
        <w:rPr>
          <w:highlight w:val="white"/>
        </w:rPr>
      </w:r>
      <w:r/>
    </w:p>
    <w:p>
      <w:pPr>
        <w:numPr>
          <w:ilvl w:val="0"/>
          <w:numId w:val="12"/>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空气自动监测主要消耗材料使用登记表。</w:t>
      </w:r>
      <w:r>
        <w:rPr>
          <w:highlight w:val="white"/>
        </w:rPr>
      </w:r>
      <w:r/>
    </w:p>
    <w:p>
      <w:pPr>
        <w:numPr>
          <w:ilvl w:val="0"/>
          <w:numId w:val="12"/>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多点线性校准表格。</w:t>
      </w:r>
      <w:r>
        <w:rPr>
          <w:highlight w:val="white"/>
        </w:rPr>
      </w:r>
      <w:r/>
    </w:p>
    <w:p>
      <w:pPr>
        <w:numPr>
          <w:ilvl w:val="0"/>
          <w:numId w:val="12"/>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空气自动监测站室内外环境记录。</w:t>
      </w:r>
      <w:r>
        <w:rPr>
          <w:highlight w:val="white"/>
        </w:rPr>
      </w:r>
      <w:r/>
    </w:p>
    <w:p>
      <w:pPr>
        <w:numPr>
          <w:ilvl w:val="0"/>
          <w:numId w:val="12"/>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标准物质使用记录。</w:t>
      </w:r>
      <w:r>
        <w:rPr>
          <w:highlight w:val="white"/>
        </w:rPr>
      </w:r>
      <w:r/>
    </w:p>
    <w:p>
      <w:pPr>
        <w:numPr>
          <w:ilvl w:val="0"/>
          <w:numId w:val="12"/>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空气自动监测系统仪器资料保管清单。</w:t>
      </w:r>
      <w:r>
        <w:rPr>
          <w:highlight w:val="white"/>
        </w:rPr>
      </w:r>
      <w:r/>
    </w:p>
    <w:p>
      <w:pPr>
        <w:numPr>
          <w:ilvl w:val="0"/>
          <w:numId w:val="12"/>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数据审核记录。</w:t>
      </w:r>
      <w:r>
        <w:rPr>
          <w:highlight w:val="white"/>
        </w:rPr>
      </w:r>
      <w:r/>
    </w:p>
    <w:p>
      <w:pPr>
        <w:numPr>
          <w:ilvl w:val="0"/>
          <w:numId w:val="12"/>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量值传递/溯源及标准设备检定记录。</w:t>
      </w:r>
      <w:r>
        <w:rPr>
          <w:highlight w:val="white"/>
        </w:rPr>
      </w:r>
      <w:r/>
    </w:p>
    <w:p>
      <w:pPr>
        <w:numPr>
          <w:ilvl w:val="0"/>
          <w:numId w:val="12"/>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颗粒物手工比对记录。</w:t>
      </w:r>
      <w:r>
        <w:rPr>
          <w:highlight w:val="white"/>
        </w:rPr>
      </w:r>
      <w:r/>
    </w:p>
    <w:p>
      <w:pPr>
        <w:ind w:left="425" w:hanging="425"/>
        <w:spacing w:line="360" w:lineRule="auto"/>
        <w:widowControl/>
        <w:rPr>
          <w:rFonts w:hint="eastAsia" w:ascii="宋体" w:hAnsi="宋体" w:cs="宋体"/>
          <w:bCs/>
          <w:sz w:val="24"/>
          <w:szCs w:val="24"/>
          <w:highlight w:val="white"/>
        </w:rPr>
      </w:pPr>
      <w:r>
        <w:rPr>
          <w:rFonts w:ascii="宋体" w:hAnsi="宋体" w:cs="宋体"/>
          <w:bCs/>
          <w:sz w:val="24"/>
          <w:szCs w:val="24"/>
          <w:highlight w:val="white"/>
        </w:rPr>
        <w:t xml:space="preserve">3.</w:t>
      </w:r>
      <w:r>
        <w:rPr>
          <w:rFonts w:hint="eastAsia" w:ascii="宋体" w:hAnsi="宋体" w:cs="宋体"/>
          <w:bCs/>
          <w:sz w:val="24"/>
          <w:szCs w:val="24"/>
          <w:highlight w:val="white"/>
        </w:rPr>
        <w:t xml:space="preserve">质量控制要求</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成交单位需认真落实质量管理制度，做好相应记录。</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（1）量值溯源要求</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成交单位在每个</w:t>
      </w:r>
      <w:r>
        <w:rPr>
          <w:rFonts w:hint="eastAsia" w:ascii="宋体" w:hAnsi="宋体" w:cs="宋体"/>
          <w:sz w:val="24"/>
          <w:szCs w:val="24"/>
          <w:highlight w:val="white"/>
        </w:rPr>
        <w:t xml:space="preserve">环境空气自动监测站</w:t>
      </w:r>
      <w:r>
        <w:rPr>
          <w:rFonts w:hint="eastAsia" w:ascii="宋体" w:hAnsi="宋体" w:cs="宋体"/>
          <w:bCs/>
          <w:sz w:val="24"/>
          <w:szCs w:val="24"/>
          <w:highlight w:val="white"/>
        </w:rPr>
        <w:t xml:space="preserve">需配备标准气体，所使用的标准气体须为</w:t>
      </w:r>
      <w:r>
        <w:rPr>
          <w:rFonts w:hint="eastAsia" w:ascii="宋体" w:hAnsi="宋体" w:cs="宋体"/>
          <w:sz w:val="24"/>
          <w:szCs w:val="24"/>
          <w:highlight w:val="white"/>
        </w:rPr>
        <w:t xml:space="preserve">中国计量科学研究院或生态环境部环境发展中心环境标准样品研究所</w:t>
      </w:r>
      <w:r>
        <w:rPr>
          <w:rFonts w:hint="eastAsia" w:ascii="宋体" w:hAnsi="宋体" w:cs="宋体"/>
          <w:bCs/>
          <w:sz w:val="24"/>
          <w:szCs w:val="24"/>
          <w:highlight w:val="white"/>
        </w:rPr>
        <w:t xml:space="preserve">生产的有证标准样品或物质。在用标准气体当钢瓶压力低于500PSIG时，标准气体需要进行重新验证；当钢瓶压力低于150PSIG(1.0MPa)时,标准气体停止使用。</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用于工作标准的臭氧校准，如配备光度计，成交单位至少每半年使用传递标准进行一次量值传递；未配备光度计，成交单位至少每三个月使用传递标准进行一次量值传递。</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成交单位所用的流量检查设备、空气压力表、温湿度计应每年通过计量测试机构的校准，并获得校准证书在有效期内。</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（2）日常质量控制要求 </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分析仪在以下情况下需进行校准和再校准：</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安装时、移动位置时、进行可能影响校准结果的维修或维护后、分析仪暂停工作一段时间后，有迹象表明分析仪工作不正常或校准结果出现变化以及固定时段内。</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应及时制定运维工作计划，工作计划为甲方核查成交单位的重要依据。成交单位严格按计划执行，若有变更应及时通知甲方。若出现违反计划的现象，一次警告，2次扣除总款1%，3次扣除总款3%，若出现4次以上，采购方有权拒绝接受该单位来年针对本项目的投标资格。</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（3）异常数据的检验</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成交单位应对检测数据异常值进行分析，查明原因，如属于系统或仪器故障，应在24小</w:t>
      </w:r>
      <w:r>
        <w:rPr>
          <w:rFonts w:hint="eastAsia" w:ascii="宋体" w:hAnsi="宋体" w:cs="宋体"/>
          <w:bCs/>
          <w:sz w:val="24"/>
          <w:szCs w:val="24"/>
          <w:highlight w:val="white"/>
        </w:rPr>
        <w:t xml:space="preserve">时内处理并上报采购人；如为突发事件，应立即通知采购人，并配合采购人进行应急监测工作的开展。</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响应单位须在响应文件中说明异常数据处理的方法。</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（4）质量控制资料整理</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各种技术与质量文件均保持现行有效，可根据管理需要进行调整或修订，巡检记录、维修记录、日常检查与监督抽查等质量保证与质量控制记录均须按要求进行填写，每年进行整理归档。</w:t>
      </w:r>
      <w:r>
        <w:rPr>
          <w:highlight w:val="white"/>
        </w:rPr>
      </w:r>
      <w:r/>
    </w:p>
    <w:p>
      <w:pPr>
        <w:ind w:left="425" w:hanging="425"/>
        <w:spacing w:line="360" w:lineRule="auto"/>
        <w:widowControl/>
        <w:rPr>
          <w:rFonts w:hint="eastAsia" w:ascii="宋体" w:hAnsi="宋体" w:cs="宋体"/>
          <w:bCs/>
          <w:sz w:val="24"/>
          <w:szCs w:val="24"/>
          <w:highlight w:val="white"/>
        </w:rPr>
      </w:pPr>
      <w:r>
        <w:rPr>
          <w:rFonts w:ascii="宋体" w:hAnsi="宋体" w:cs="宋体"/>
          <w:bCs/>
          <w:sz w:val="24"/>
          <w:szCs w:val="24"/>
          <w:highlight w:val="white"/>
        </w:rPr>
        <w:t xml:space="preserve">4.</w:t>
      </w:r>
      <w:r>
        <w:rPr>
          <w:rFonts w:hint="eastAsia" w:ascii="宋体" w:hAnsi="宋体" w:cs="宋体"/>
          <w:bCs/>
          <w:sz w:val="24"/>
          <w:szCs w:val="24"/>
          <w:highlight w:val="white"/>
        </w:rPr>
        <w:t xml:space="preserve">系统设备维修要求</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（1）运行维修工作界定</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需负责8个环境空气自动监测系统各组成部分非自然灾害（火灾、雷击等）、非战争等外部因素引起的采样、检测、数据传输与系统控制等设备设施的维护、维修工作（含基础设施），并负责系统各设备常规耗品耗件的更换工作。</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由成交单位全权负责系统所有设备和仪器的维护、维修和部件更换（包括空调设备等附属设施），并将维修费用计算在托管报价中。由于自然灾害、战争造成的设备损坏，成交单位不再负责维修费用。</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本服务内容同样包括由于外部原因意外丢失和损坏设备的维修或更换。</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属于成交单位的工作人员操作不当、违反规程等造成的故障维修费用由成交单位负责。</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（2）设备维修质量控制要求</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检测仪器被修复后，当其检测性能受到影响时，需要进行检验，采用标气测定的方法进行。</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仪器大修后（更换设备测试关键部件），应按顺序进行漂移实验（零点漂移、量程漂移）、重复性及准确度试验、多点线性试验。</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（3）系统软件维修和维护</w:t>
      </w:r>
      <w:r>
        <w:rPr>
          <w:highlight w:val="white"/>
        </w:rPr>
      </w:r>
      <w:r/>
    </w:p>
    <w:p>
      <w:pPr>
        <w:ind w:firstLine="480"/>
        <w:spacing w:line="360" w:lineRule="auto"/>
        <w:tabs>
          <w:tab w:val="left" w:pos="72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成交单位对所运维得空气站的工控机及数据采集系统软件有一定的了解，负责解决工控机和数据采集系统软件出现的各类故障，并承担子站至平台的数据传输所需的网络费用，保证数据的正常传输。</w:t>
      </w:r>
      <w:r>
        <w:rPr>
          <w:highlight w:val="white"/>
        </w:rPr>
      </w:r>
      <w:r/>
    </w:p>
    <w:p>
      <w:pPr>
        <w:ind w:left="425" w:hanging="425"/>
        <w:spacing w:line="360" w:lineRule="auto"/>
        <w:widowControl/>
        <w:rPr>
          <w:rFonts w:hint="eastAsia" w:ascii="宋体" w:hAnsi="宋体" w:cs="宋体"/>
          <w:bCs/>
          <w:sz w:val="24"/>
          <w:szCs w:val="24"/>
          <w:highlight w:val="white"/>
        </w:rPr>
      </w:pPr>
      <w:r>
        <w:rPr>
          <w:rFonts w:ascii="宋体" w:hAnsi="宋体" w:cs="宋体"/>
          <w:bCs/>
          <w:sz w:val="24"/>
          <w:szCs w:val="24"/>
          <w:highlight w:val="white"/>
        </w:rPr>
        <w:t xml:space="preserve">5.</w:t>
      </w:r>
      <w:r>
        <w:rPr>
          <w:rFonts w:hint="eastAsia" w:ascii="宋体" w:hAnsi="宋体" w:cs="宋体"/>
          <w:bCs/>
          <w:sz w:val="24"/>
          <w:szCs w:val="24"/>
          <w:highlight w:val="white"/>
        </w:rPr>
        <w:t xml:space="preserve">针对本项目服务的其他要求：</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（1）基本要求</w:t>
      </w:r>
      <w:r>
        <w:rPr>
          <w:highlight w:val="white"/>
        </w:rPr>
      </w:r>
      <w:r/>
    </w:p>
    <w:p>
      <w:pPr>
        <w:numPr>
          <w:ilvl w:val="0"/>
          <w:numId w:val="13"/>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成交单位应建立完善的售后服务制度和良好的用户服务记录；</w:t>
      </w:r>
      <w:r>
        <w:rPr>
          <w:highlight w:val="white"/>
        </w:rPr>
      </w:r>
      <w:r/>
    </w:p>
    <w:p>
      <w:pPr>
        <w:numPr>
          <w:ilvl w:val="0"/>
          <w:numId w:val="13"/>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成交单位编制周巡检计划，并按计划执行，若有变更，应及时通知采购单位。</w:t>
      </w:r>
      <w:r>
        <w:rPr>
          <w:highlight w:val="white"/>
        </w:rPr>
      </w:r>
      <w:r/>
    </w:p>
    <w:p>
      <w:pPr>
        <w:numPr>
          <w:ilvl w:val="0"/>
          <w:numId w:val="13"/>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成交后，应无条</w:t>
      </w:r>
      <w:r>
        <w:rPr>
          <w:rFonts w:hint="eastAsia" w:ascii="宋体" w:hAnsi="宋体" w:cs="宋体"/>
          <w:sz w:val="24"/>
          <w:szCs w:val="24"/>
          <w:highlight w:val="white"/>
        </w:rPr>
        <w:t xml:space="preserve">件接受市局或区局的检查。</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（2）针对本项目服务的硬件配置要求：</w:t>
      </w:r>
      <w:r>
        <w:rPr>
          <w:highlight w:val="white"/>
        </w:rPr>
      </w:r>
      <w:r/>
    </w:p>
    <w:p>
      <w:pPr>
        <w:numPr>
          <w:ilvl w:val="0"/>
          <w:numId w:val="14"/>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成交单位应配备空气自动站维护所需基本工具和质控仪器，包括大小流量计、温湿度计、压力计以及常规维修的工具等；</w:t>
      </w:r>
      <w:r>
        <w:rPr>
          <w:highlight w:val="white"/>
        </w:rPr>
      </w:r>
      <w:r/>
    </w:p>
    <w:p>
      <w:pPr>
        <w:numPr>
          <w:ilvl w:val="0"/>
          <w:numId w:val="14"/>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成交单位应具有或委托通过CMA实验室提供所需检测服务，该实验室认证范围必须包含环境空气类二氧化硫</w:t>
      </w:r>
      <w:r>
        <w:rPr>
          <w:rFonts w:hint="eastAsia" w:ascii="宋体" w:hAnsi="宋体" w:cs="宋体"/>
          <w:sz w:val="24"/>
          <w:szCs w:val="24"/>
          <w:highlight w:val="white"/>
        </w:rPr>
        <w:t xml:space="preserve">（SO</w:t>
      </w:r>
      <w:r>
        <w:rPr>
          <w:rFonts w:hint="eastAsia" w:ascii="宋体" w:hAnsi="宋体" w:cs="宋体"/>
          <w:sz w:val="24"/>
          <w:szCs w:val="24"/>
          <w:highlight w:val="white"/>
          <w:vertAlign w:val="subscript"/>
        </w:rPr>
        <w:t xml:space="preserve">2</w:t>
      </w:r>
      <w:r>
        <w:rPr>
          <w:rFonts w:hint="eastAsia" w:ascii="宋体" w:hAnsi="宋体" w:cs="宋体"/>
          <w:sz w:val="24"/>
          <w:szCs w:val="24"/>
          <w:highlight w:val="white"/>
        </w:rPr>
        <w:t xml:space="preserve">）、二氧化氮（NO</w:t>
      </w:r>
      <w:r>
        <w:rPr>
          <w:rFonts w:hint="eastAsia" w:ascii="宋体" w:hAnsi="宋体" w:cs="宋体"/>
          <w:sz w:val="24"/>
          <w:szCs w:val="24"/>
          <w:highlight w:val="white"/>
          <w:vertAlign w:val="subscript"/>
        </w:rPr>
        <w:t xml:space="preserve">2</w:t>
      </w:r>
      <w:r>
        <w:rPr>
          <w:rFonts w:hint="eastAsia" w:ascii="宋体" w:hAnsi="宋体" w:cs="宋体"/>
          <w:sz w:val="24"/>
          <w:szCs w:val="24"/>
          <w:highlight w:val="white"/>
        </w:rPr>
        <w:t xml:space="preserve">）、一氧化碳（CO）、臭氧（O</w:t>
      </w:r>
      <w:r>
        <w:rPr>
          <w:rFonts w:hint="eastAsia" w:ascii="宋体" w:hAnsi="宋体" w:cs="宋体"/>
          <w:sz w:val="24"/>
          <w:szCs w:val="24"/>
          <w:highlight w:val="white"/>
          <w:vertAlign w:val="subscript"/>
        </w:rPr>
        <w:t xml:space="preserve">3</w:t>
      </w:r>
      <w:r>
        <w:rPr>
          <w:rFonts w:hint="eastAsia" w:ascii="宋体" w:hAnsi="宋体" w:cs="宋体"/>
          <w:sz w:val="24"/>
          <w:szCs w:val="24"/>
          <w:highlight w:val="white"/>
        </w:rPr>
        <w:t xml:space="preserve">）、可吸入颗粒物（PM</w:t>
      </w:r>
      <w:r>
        <w:rPr>
          <w:rFonts w:hint="eastAsia" w:ascii="宋体" w:hAnsi="宋体" w:cs="宋体"/>
          <w:sz w:val="24"/>
          <w:szCs w:val="24"/>
          <w:highlight w:val="white"/>
          <w:vertAlign w:val="subscript"/>
        </w:rPr>
        <w:t xml:space="preserve">10</w:t>
      </w:r>
      <w:r>
        <w:rPr>
          <w:rFonts w:hint="eastAsia" w:ascii="宋体" w:hAnsi="宋体" w:cs="宋体"/>
          <w:sz w:val="24"/>
          <w:szCs w:val="24"/>
          <w:highlight w:val="white"/>
        </w:rPr>
        <w:t xml:space="preserve">）、细颗粒物(PM</w:t>
      </w:r>
      <w:r>
        <w:rPr>
          <w:rFonts w:hint="eastAsia" w:ascii="宋体" w:hAnsi="宋体" w:cs="宋体"/>
          <w:sz w:val="24"/>
          <w:szCs w:val="24"/>
          <w:highlight w:val="white"/>
          <w:vertAlign w:val="subscript"/>
        </w:rPr>
        <w:t xml:space="preserve">2.5</w:t>
      </w:r>
      <w:r>
        <w:rPr>
          <w:rFonts w:hint="eastAsia" w:ascii="宋体" w:hAnsi="宋体" w:cs="宋体"/>
          <w:sz w:val="24"/>
          <w:szCs w:val="24"/>
          <w:highlight w:val="white"/>
        </w:rPr>
        <w:t xml:space="preserve">)项目。</w:t>
      </w:r>
      <w:r>
        <w:rPr>
          <w:rFonts w:hint="eastAsia" w:ascii="宋体" w:hAnsi="宋体" w:cs="宋体"/>
          <w:b/>
          <w:bCs/>
          <w:sz w:val="24"/>
          <w:szCs w:val="24"/>
          <w:highlight w:val="white"/>
        </w:rPr>
        <w:t xml:space="preserve">响应文件中提供对应资质证明文件（如为委托的还需提供委托协议书复印件加盖响应单位公章）或提供承诺中标后配置满足上述要求的承诺书加盖响应单位公章，否则视为无效响应。</w:t>
      </w:r>
      <w:r>
        <w:rPr>
          <w:rFonts w:hint="eastAsia" w:ascii="宋体" w:hAnsi="宋体" w:cs="宋体"/>
          <w:bCs/>
          <w:sz w:val="24"/>
          <w:szCs w:val="24"/>
          <w:highlight w:val="white"/>
        </w:rPr>
        <w:t xml:space="preserve">；</w:t>
      </w:r>
      <w:r>
        <w:rPr>
          <w:highlight w:val="white"/>
        </w:rPr>
      </w:r>
      <w:r/>
    </w:p>
    <w:p>
      <w:pPr>
        <w:numPr>
          <w:ilvl w:val="0"/>
          <w:numId w:val="14"/>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成交单位应设定维护专用的联系电话，配备传真、电脑等基础办公设备，方便文件的编写和发送。</w:t>
      </w:r>
      <w:r>
        <w:rPr>
          <w:highlight w:val="white"/>
        </w:rPr>
      </w:r>
      <w:r/>
    </w:p>
    <w:p>
      <w:pPr>
        <w:numPr>
          <w:ilvl w:val="0"/>
          <w:numId w:val="14"/>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备机要求：成交供应商应须提供至少2套运维备机（SO2、CO、NO2、O3、PM2.5、PM10），仪器型号需通过国家环境保护部的适用性检测（具有检测报告原件彩色扫描件）</w:t>
      </w:r>
      <w:r>
        <w:rPr>
          <w:highlight w:val="white"/>
        </w:rPr>
      </w:r>
      <w:r/>
    </w:p>
    <w:p>
      <w:pPr>
        <w:numPr>
          <w:ilvl w:val="0"/>
          <w:numId w:val="14"/>
        </w:numPr>
        <w:ind w:left="825" w:hanging="405"/>
        <w:jc w:val="left"/>
        <w:spacing w:line="360" w:lineRule="auto"/>
        <w:tabs>
          <w:tab w:val="left" w:pos="840" w:leader="none"/>
        </w:tabs>
        <w:rPr>
          <w:rFonts w:hint="eastAsia" w:ascii="宋体" w:hAnsi="宋体" w:cs="宋体"/>
          <w:sz w:val="24"/>
          <w:szCs w:val="24"/>
          <w:highlight w:val="white"/>
        </w:rPr>
      </w:pPr>
      <w:r>
        <w:rPr>
          <w:rFonts w:hint="eastAsia" w:ascii="宋体" w:hAnsi="宋体" w:cs="宋体"/>
          <w:bCs/>
          <w:sz w:val="24"/>
          <w:szCs w:val="24"/>
          <w:highlight w:val="white"/>
        </w:rPr>
        <w:t xml:space="preserve">针对本项目配置质量控制设备：包括用于气态因子和颗粒物监测仪流量校准的流量计、气压计、温湿度计、臭氧校准仪、便携式颗粒物自动监测仪、标准气体各1套，具备仪器购置发票或采购合同；如为租赁的具备租赁合同（租赁有效期不低于本项目服务期）和照片；其中流量计、气压计、温湿度计需具有有效期内的检定校准证书复印件，标准气体需具备标准物质证书复印件。    </w:t>
      </w:r>
      <w:r>
        <w:rPr>
          <w:rFonts w:hint="eastAsia" w:ascii="宋体" w:hAnsi="宋体" w:cs="宋体"/>
          <w:sz w:val="24"/>
          <w:szCs w:val="24"/>
          <w:highlight w:val="white"/>
        </w:rPr>
        <w:t xml:space="preserve"> </w:t>
      </w:r>
      <w:r>
        <w:rPr>
          <w:highlight w:val="white"/>
        </w:rPr>
      </w:r>
      <w:r/>
    </w:p>
    <w:p>
      <w:pPr>
        <w:spacing w:line="360" w:lineRule="auto"/>
        <w:tabs>
          <w:tab w:val="left" w:pos="42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（3）针对本项目服务的人员配置要求：</w:t>
      </w:r>
      <w:r>
        <w:rPr>
          <w:highlight w:val="white"/>
        </w:rPr>
      </w:r>
      <w:r/>
    </w:p>
    <w:p>
      <w:pPr>
        <w:numPr>
          <w:ilvl w:val="0"/>
          <w:numId w:val="15"/>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成交单位应指定至少3名维护人员专门负责本项目的空气自动站维护工作，维护人员应具备空气自动站的现场维护经验，熟悉系统和仪器的日常操作，有能力处理系统出现的问题；</w:t>
      </w:r>
      <w:r>
        <w:rPr>
          <w:highlight w:val="white"/>
        </w:rPr>
      </w:r>
      <w:r/>
    </w:p>
    <w:p>
      <w:pPr>
        <w:numPr>
          <w:ilvl w:val="0"/>
          <w:numId w:val="15"/>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成交</w:t>
      </w:r>
      <w:r>
        <w:rPr>
          <w:rFonts w:hint="eastAsia" w:ascii="宋体" w:hAnsi="宋体" w:cs="宋体"/>
          <w:sz w:val="24"/>
          <w:szCs w:val="24"/>
          <w:highlight w:val="white"/>
        </w:rPr>
        <w:t xml:space="preserve">单位投入本项目的全部专业技术人员要求取得中国环境监测总站颁发的环境空气质量自动监测运维与质控技术培训班考核合格证书或者省级环境监测部门颁发的环境空气自动监测运维合格证，成交半年后新参与空气站运维的专业技术人员要求先持证后上岗；</w:t>
      </w:r>
      <w:r>
        <w:rPr>
          <w:rFonts w:hint="eastAsia" w:ascii="宋体" w:hAnsi="宋体" w:cs="宋体"/>
          <w:b/>
          <w:bCs/>
          <w:sz w:val="24"/>
          <w:szCs w:val="24"/>
          <w:highlight w:val="white"/>
        </w:rPr>
        <w:t xml:space="preserve">响应文件中提供承诺函，否则视为无效响应。</w:t>
      </w:r>
      <w:r>
        <w:rPr>
          <w:highlight w:val="white"/>
        </w:rPr>
      </w:r>
      <w:r/>
    </w:p>
    <w:p>
      <w:pPr>
        <w:numPr>
          <w:ilvl w:val="0"/>
          <w:numId w:val="15"/>
        </w:numPr>
        <w:ind w:left="825" w:hanging="405"/>
        <w:jc w:val="left"/>
        <w:spacing w:line="360" w:lineRule="auto"/>
        <w:tabs>
          <w:tab w:val="left" w:pos="840" w:leader="none"/>
        </w:tabs>
        <w:rPr>
          <w:rFonts w:hint="eastAsia" w:ascii="宋体" w:hAnsi="宋体" w:cs="宋体"/>
          <w:bCs/>
          <w:sz w:val="24"/>
          <w:szCs w:val="24"/>
          <w:highlight w:val="white"/>
        </w:rPr>
      </w:pPr>
      <w:r>
        <w:rPr>
          <w:rFonts w:hint="eastAsia" w:ascii="宋体" w:hAnsi="宋体" w:cs="宋体"/>
          <w:sz w:val="24"/>
          <w:szCs w:val="24"/>
          <w:highlight w:val="white"/>
        </w:rPr>
        <w:t xml:space="preserve">成交单位应具备承担环境监测数据分析的人员</w:t>
      </w:r>
      <w:r>
        <w:rPr>
          <w:rFonts w:hint="eastAsia" w:ascii="宋体" w:hAnsi="宋体" w:cs="宋体"/>
          <w:bCs/>
          <w:sz w:val="24"/>
          <w:szCs w:val="24"/>
          <w:highlight w:val="white"/>
        </w:rPr>
        <w:t xml:space="preserve">。</w:t>
      </w:r>
      <w:r>
        <w:rPr>
          <w:highlight w:val="white"/>
        </w:rPr>
      </w:r>
      <w:r/>
    </w:p>
    <w:p>
      <w:pPr>
        <w:numPr>
          <w:ilvl w:val="0"/>
          <w:numId w:val="15"/>
        </w:numPr>
        <w:ind w:left="825" w:hanging="405"/>
        <w:jc w:val="left"/>
        <w:spacing w:line="360" w:lineRule="auto"/>
        <w:tabs>
          <w:tab w:val="left" w:pos="840" w:leader="none"/>
        </w:tabs>
        <w:rPr>
          <w:rFonts w:hint="eastAsia" w:ascii="宋体" w:hAnsi="宋体" w:cs="宋体"/>
          <w:sz w:val="24"/>
          <w:szCs w:val="24"/>
          <w:highlight w:val="white"/>
        </w:rPr>
      </w:pPr>
      <w:r>
        <w:rPr>
          <w:rFonts w:hint="eastAsia" w:ascii="宋体" w:hAnsi="宋体" w:cs="宋体"/>
          <w:bCs/>
          <w:sz w:val="24"/>
          <w:szCs w:val="24"/>
          <w:highlight w:val="white"/>
        </w:rPr>
        <w:t xml:space="preserve">成交单位指定专人负责站房环境卫生和设备看管工作</w:t>
      </w:r>
      <w:r>
        <w:rPr>
          <w:rFonts w:hint="eastAsia" w:ascii="宋体" w:hAnsi="宋体" w:cs="宋体"/>
          <w:sz w:val="24"/>
          <w:szCs w:val="24"/>
          <w:highlight w:val="white"/>
        </w:rPr>
        <w:t xml:space="preserve">。</w:t>
      </w:r>
      <w:r>
        <w:rPr>
          <w:highlight w:val="white"/>
        </w:rPr>
      </w:r>
      <w:r/>
    </w:p>
    <w:p>
      <w:pPr>
        <w:pStyle w:val="770"/>
        <w:ind w:left="425" w:hanging="425"/>
        <w:rPr>
          <w:rFonts w:hint="eastAsia" w:ascii="宋体" w:hAnsi="宋体" w:eastAsia="宋体" w:cs="宋体"/>
          <w:sz w:val="24"/>
          <w:szCs w:val="24"/>
          <w:highlight w:val="white"/>
        </w:rPr>
      </w:pPr>
      <w:r>
        <w:rPr>
          <w:rFonts w:ascii="宋体" w:hAnsi="宋体" w:eastAsia="宋体" w:cs="宋体"/>
          <w:sz w:val="24"/>
          <w:szCs w:val="24"/>
          <w:highlight w:val="white"/>
        </w:rPr>
        <w:t xml:space="preserve">6.</w:t>
      </w:r>
      <w:r>
        <w:rPr>
          <w:rFonts w:hint="eastAsia" w:ascii="宋体" w:hAnsi="宋体" w:eastAsia="宋体" w:cs="宋体"/>
          <w:sz w:val="24"/>
          <w:szCs w:val="24"/>
          <w:highlight w:val="white"/>
        </w:rPr>
        <w:t xml:space="preserve">交接要求</w:t>
      </w:r>
      <w:r>
        <w:rPr>
          <w:highlight w:val="white"/>
        </w:rPr>
      </w:r>
      <w:r/>
    </w:p>
    <w:p>
      <w:pPr>
        <w:numPr>
          <w:ilvl w:val="255"/>
          <w:numId w:val="0"/>
        </w:numPr>
        <w:ind w:firstLine="480"/>
        <w:jc w:val="left"/>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投标单位须在中标后1个月内与上一任运维单位完成所有站点的运维交接并填写交接报告，交接报告须由两家运维单位与采购方共同盖章方可完成。已完成现场交接的站点，之后发生的所有维修与配件更换均由投标单位承担。</w:t>
      </w:r>
      <w:r>
        <w:rPr>
          <w:highlight w:val="white"/>
        </w:rPr>
      </w:r>
      <w:r/>
    </w:p>
    <w:p>
      <w:pPr>
        <w:numPr>
          <w:ilvl w:val="0"/>
          <w:numId w:val="1"/>
        </w:numPr>
        <w:spacing w:line="360" w:lineRule="auto"/>
        <w:tabs>
          <w:tab w:val="left" w:pos="525" w:leader="none"/>
        </w:tabs>
        <w:rPr>
          <w:rFonts w:hint="eastAsia" w:ascii="宋体" w:hAnsi="宋体" w:cs="宋体"/>
          <w:sz w:val="24"/>
          <w:szCs w:val="24"/>
          <w:highlight w:val="white"/>
        </w:rPr>
      </w:pPr>
      <w:r>
        <w:rPr>
          <w:rFonts w:hint="eastAsia" w:ascii="宋体" w:hAnsi="宋体" w:cs="宋体"/>
          <w:sz w:val="24"/>
          <w:szCs w:val="24"/>
          <w:highlight w:val="white"/>
        </w:rPr>
        <w:t xml:space="preserve">运维管理目标</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环境空气自动监测站：设备运行率达到90%、数据有效率达到95.0%、异常情况处理率100%。</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污染物数据有效性最低要求满足下表要求：</w:t>
      </w:r>
      <w:r>
        <w:rPr>
          <w:highlight w:val="white"/>
        </w:rPr>
      </w:r>
      <w:r/>
    </w:p>
    <w:p>
      <w:pPr>
        <w:ind w:firstLine="480"/>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表4 </w:t>
      </w:r>
      <w:r>
        <w:rPr>
          <w:rFonts w:hint="eastAsia" w:ascii="宋体" w:hAnsi="宋体" w:cs="宋体"/>
          <w:sz w:val="24"/>
          <w:szCs w:val="24"/>
          <w:highlight w:val="white"/>
          <w:lang w:val="zh-CN"/>
        </w:rPr>
        <w:t xml:space="preserve">各污染物浓度数据有效性的最低要求</w:t>
      </w:r>
      <w:r>
        <w:rPr>
          <w:highlight w:val="white"/>
        </w:rPr>
      </w:r>
      <w:r/>
    </w:p>
    <w:tbl>
      <w:tblPr>
        <w:tblW w:w="97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836"/>
        <w:gridCol w:w="1654"/>
        <w:gridCol w:w="5250"/>
      </w:tblGrid>
      <w:tr>
        <w:trPr>
          <w:jc w:val="center"/>
          <w:trHeight w:val="57"/>
        </w:trPr>
        <w:tc>
          <w:tcPr>
            <w:tcW w:w="2836"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污染物项目</w:t>
            </w:r>
            <w:r>
              <w:rPr>
                <w:highlight w:val="white"/>
              </w:rPr>
            </w:r>
            <w:r/>
          </w:p>
        </w:tc>
        <w:tc>
          <w:tcPr>
            <w:tcW w:w="1654"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平均时间</w:t>
            </w:r>
            <w:r>
              <w:rPr>
                <w:highlight w:val="white"/>
              </w:rPr>
            </w:r>
            <w:r/>
          </w:p>
        </w:tc>
        <w:tc>
          <w:tcPr>
            <w:tcW w:w="525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数据有效性规定</w:t>
            </w:r>
            <w:r>
              <w:rPr>
                <w:highlight w:val="white"/>
              </w:rPr>
            </w:r>
            <w:r/>
          </w:p>
        </w:tc>
      </w:tr>
      <w:tr>
        <w:trPr>
          <w:jc w:val="center"/>
          <w:trHeight w:val="57"/>
        </w:trPr>
        <w:tc>
          <w:tcPr>
            <w:tcW w:w="2836"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SO</w:t>
            </w:r>
            <w:r>
              <w:rPr>
                <w:rFonts w:hint="eastAsia" w:ascii="宋体" w:hAnsi="宋体" w:cs="宋体"/>
                <w:sz w:val="24"/>
                <w:szCs w:val="24"/>
                <w:highlight w:val="white"/>
                <w:vertAlign w:val="subscript"/>
              </w:rPr>
              <w:t xml:space="preserve">2</w:t>
            </w:r>
            <w:r>
              <w:rPr>
                <w:rFonts w:hint="eastAsia" w:ascii="宋体" w:hAnsi="宋体" w:cs="宋体"/>
                <w:sz w:val="24"/>
                <w:szCs w:val="24"/>
                <w:highlight w:val="white"/>
              </w:rPr>
              <w:t xml:space="preserve">、NO</w:t>
            </w:r>
            <w:r>
              <w:rPr>
                <w:rFonts w:hint="eastAsia" w:ascii="宋体" w:hAnsi="宋体" w:cs="宋体"/>
                <w:sz w:val="24"/>
                <w:szCs w:val="24"/>
                <w:highlight w:val="white"/>
                <w:vertAlign w:val="subscript"/>
              </w:rPr>
              <w:t xml:space="preserve">2</w:t>
            </w:r>
            <w:r>
              <w:rPr>
                <w:rFonts w:hint="eastAsia" w:ascii="宋体" w:hAnsi="宋体" w:cs="宋体"/>
                <w:sz w:val="24"/>
                <w:szCs w:val="24"/>
                <w:highlight w:val="white"/>
              </w:rPr>
              <w:t xml:space="preserve">、PM</w:t>
            </w:r>
            <w:r>
              <w:rPr>
                <w:rFonts w:hint="eastAsia" w:ascii="宋体" w:hAnsi="宋体" w:cs="宋体"/>
                <w:sz w:val="24"/>
                <w:szCs w:val="24"/>
                <w:highlight w:val="white"/>
                <w:vertAlign w:val="subscript"/>
              </w:rPr>
              <w:t xml:space="preserve">10</w:t>
            </w:r>
            <w:r>
              <w:rPr>
                <w:rFonts w:hint="eastAsia" w:ascii="宋体" w:hAnsi="宋体" w:cs="宋体"/>
                <w:sz w:val="24"/>
                <w:szCs w:val="24"/>
                <w:highlight w:val="white"/>
              </w:rPr>
              <w:t xml:space="preserve">、PM</w:t>
            </w:r>
            <w:r>
              <w:rPr>
                <w:rFonts w:hint="eastAsia" w:ascii="宋体" w:hAnsi="宋体" w:cs="宋体"/>
                <w:sz w:val="24"/>
                <w:szCs w:val="24"/>
                <w:highlight w:val="white"/>
                <w:vertAlign w:val="subscript"/>
              </w:rPr>
              <w:t xml:space="preserve">2.5</w:t>
            </w:r>
            <w:r>
              <w:rPr>
                <w:rFonts w:hint="eastAsia" w:ascii="宋体" w:hAnsi="宋体" w:cs="宋体"/>
                <w:sz w:val="24"/>
                <w:szCs w:val="24"/>
                <w:highlight w:val="white"/>
              </w:rPr>
              <w:t xml:space="preserve">、NOx</w:t>
            </w:r>
            <w:r>
              <w:rPr>
                <w:highlight w:val="white"/>
              </w:rPr>
            </w:r>
            <w:r/>
          </w:p>
        </w:tc>
        <w:tc>
          <w:tcPr>
            <w:tcW w:w="1654"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年平均</w:t>
            </w:r>
            <w:r>
              <w:rPr>
                <w:highlight w:val="white"/>
              </w:rPr>
            </w:r>
            <w:r/>
          </w:p>
        </w:tc>
        <w:tc>
          <w:tcPr>
            <w:tcW w:w="525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每年至少有分布均匀的</w:t>
            </w:r>
            <w:r>
              <w:rPr>
                <w:rFonts w:hint="eastAsia" w:ascii="宋体" w:hAnsi="宋体" w:cs="宋体"/>
                <w:sz w:val="24"/>
                <w:szCs w:val="24"/>
                <w:highlight w:val="white"/>
              </w:rPr>
              <w:t xml:space="preserve">324 个</w:t>
            </w:r>
            <w:r>
              <w:rPr>
                <w:rFonts w:hint="eastAsia" w:ascii="宋体" w:hAnsi="宋体" w:cs="宋体"/>
                <w:sz w:val="24"/>
                <w:szCs w:val="24"/>
                <w:highlight w:val="white"/>
              </w:rPr>
              <w:t xml:space="preserve">日平均浓度值；每月至少有分布均匀的27个日平均浓度值（二月至少有25个日平均浓度值）</w:t>
            </w:r>
            <w:r>
              <w:rPr>
                <w:highlight w:val="white"/>
              </w:rPr>
            </w:r>
            <w:r/>
          </w:p>
        </w:tc>
      </w:tr>
      <w:tr>
        <w:trPr>
          <w:jc w:val="center"/>
          <w:trHeight w:val="57"/>
        </w:trPr>
        <w:tc>
          <w:tcPr>
            <w:tcW w:w="2836"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SO</w:t>
            </w:r>
            <w:r>
              <w:rPr>
                <w:rFonts w:hint="eastAsia" w:ascii="宋体" w:hAnsi="宋体" w:cs="宋体"/>
                <w:sz w:val="24"/>
                <w:szCs w:val="24"/>
                <w:highlight w:val="white"/>
                <w:vertAlign w:val="subscript"/>
              </w:rPr>
              <w:t xml:space="preserve">2</w:t>
            </w:r>
            <w:r>
              <w:rPr>
                <w:rFonts w:hint="eastAsia" w:ascii="宋体" w:hAnsi="宋体" w:cs="宋体"/>
                <w:sz w:val="24"/>
                <w:szCs w:val="24"/>
                <w:highlight w:val="white"/>
              </w:rPr>
              <w:t xml:space="preserve">、NO</w:t>
            </w:r>
            <w:r>
              <w:rPr>
                <w:rFonts w:hint="eastAsia" w:ascii="宋体" w:hAnsi="宋体" w:cs="宋体"/>
                <w:sz w:val="24"/>
                <w:szCs w:val="24"/>
                <w:highlight w:val="white"/>
                <w:vertAlign w:val="subscript"/>
              </w:rPr>
              <w:t xml:space="preserve">2</w:t>
            </w:r>
            <w:r>
              <w:rPr>
                <w:rFonts w:hint="eastAsia" w:ascii="宋体" w:hAnsi="宋体" w:cs="宋体"/>
                <w:sz w:val="24"/>
                <w:szCs w:val="24"/>
                <w:highlight w:val="white"/>
              </w:rPr>
              <w:t xml:space="preserve">、CO、PM</w:t>
            </w:r>
            <w:r>
              <w:rPr>
                <w:rFonts w:hint="eastAsia" w:ascii="宋体" w:hAnsi="宋体" w:cs="宋体"/>
                <w:sz w:val="24"/>
                <w:szCs w:val="24"/>
                <w:highlight w:val="white"/>
                <w:vertAlign w:val="subscript"/>
              </w:rPr>
              <w:t xml:space="preserve">10</w:t>
            </w:r>
            <w:r>
              <w:rPr>
                <w:rFonts w:hint="eastAsia" w:ascii="宋体" w:hAnsi="宋体" w:cs="宋体"/>
                <w:sz w:val="24"/>
                <w:szCs w:val="24"/>
                <w:highlight w:val="white"/>
              </w:rPr>
              <w:t xml:space="preserve">、PM</w:t>
            </w:r>
            <w:r>
              <w:rPr>
                <w:rFonts w:hint="eastAsia" w:ascii="宋体" w:hAnsi="宋体" w:cs="宋体"/>
                <w:sz w:val="24"/>
                <w:szCs w:val="24"/>
                <w:highlight w:val="white"/>
                <w:vertAlign w:val="subscript"/>
              </w:rPr>
              <w:t xml:space="preserve">2.5</w:t>
            </w:r>
            <w:r>
              <w:rPr>
                <w:rFonts w:hint="eastAsia" w:ascii="宋体" w:hAnsi="宋体" w:cs="宋体"/>
                <w:sz w:val="24"/>
                <w:szCs w:val="24"/>
                <w:highlight w:val="white"/>
              </w:rPr>
              <w:t xml:space="preserve">、NOx</w:t>
            </w:r>
            <w:r>
              <w:rPr>
                <w:highlight w:val="white"/>
              </w:rPr>
            </w:r>
            <w:r/>
          </w:p>
        </w:tc>
        <w:tc>
          <w:tcPr>
            <w:tcW w:w="1654"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24小时平均</w:t>
            </w:r>
            <w:r>
              <w:rPr>
                <w:highlight w:val="white"/>
              </w:rPr>
            </w:r>
            <w:r/>
          </w:p>
        </w:tc>
        <w:tc>
          <w:tcPr>
            <w:tcW w:w="525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每日至少有20个小时的平均浓度值或采样时间</w:t>
            </w:r>
            <w:r>
              <w:rPr>
                <w:highlight w:val="white"/>
              </w:rPr>
            </w:r>
            <w:r/>
          </w:p>
        </w:tc>
      </w:tr>
      <w:tr>
        <w:trPr>
          <w:jc w:val="center"/>
          <w:trHeight w:val="57"/>
        </w:trPr>
        <w:tc>
          <w:tcPr>
            <w:tcW w:w="2836"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O</w:t>
            </w:r>
            <w:r>
              <w:rPr>
                <w:rFonts w:hint="eastAsia" w:ascii="宋体" w:hAnsi="宋体" w:cs="宋体"/>
                <w:sz w:val="24"/>
                <w:szCs w:val="24"/>
                <w:highlight w:val="white"/>
                <w:vertAlign w:val="subscript"/>
              </w:rPr>
              <w:t xml:space="preserve">3</w:t>
            </w:r>
            <w:r>
              <w:rPr>
                <w:highlight w:val="white"/>
              </w:rPr>
            </w:r>
            <w:r/>
          </w:p>
        </w:tc>
        <w:tc>
          <w:tcPr>
            <w:tcW w:w="1654"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8小时平均</w:t>
            </w:r>
            <w:r>
              <w:rPr>
                <w:highlight w:val="white"/>
              </w:rPr>
            </w:r>
            <w:r/>
          </w:p>
        </w:tc>
        <w:tc>
          <w:tcPr>
            <w:tcW w:w="525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每8小时至少有6小时平均浓度值</w:t>
            </w:r>
            <w:r>
              <w:rPr>
                <w:highlight w:val="white"/>
              </w:rPr>
            </w:r>
            <w:r/>
          </w:p>
        </w:tc>
      </w:tr>
      <w:tr>
        <w:trPr>
          <w:jc w:val="center"/>
          <w:trHeight w:val="57"/>
        </w:trPr>
        <w:tc>
          <w:tcPr>
            <w:tcW w:w="2836"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SO</w:t>
            </w:r>
            <w:r>
              <w:rPr>
                <w:rFonts w:hint="eastAsia" w:ascii="宋体" w:hAnsi="宋体" w:cs="宋体"/>
                <w:sz w:val="24"/>
                <w:szCs w:val="24"/>
                <w:highlight w:val="white"/>
                <w:vertAlign w:val="subscript"/>
              </w:rPr>
              <w:t xml:space="preserve">2</w:t>
            </w:r>
            <w:r>
              <w:rPr>
                <w:rFonts w:hint="eastAsia" w:ascii="宋体" w:hAnsi="宋体" w:cs="宋体"/>
                <w:sz w:val="24"/>
                <w:szCs w:val="24"/>
                <w:highlight w:val="white"/>
              </w:rPr>
              <w:t xml:space="preserve">、NO</w:t>
            </w:r>
            <w:r>
              <w:rPr>
                <w:rFonts w:hint="eastAsia" w:ascii="宋体" w:hAnsi="宋体" w:cs="宋体"/>
                <w:sz w:val="24"/>
                <w:szCs w:val="24"/>
                <w:highlight w:val="white"/>
                <w:vertAlign w:val="subscript"/>
              </w:rPr>
              <w:t xml:space="preserve">2</w:t>
            </w:r>
            <w:r>
              <w:rPr>
                <w:rFonts w:hint="eastAsia" w:ascii="宋体" w:hAnsi="宋体" w:cs="宋体"/>
                <w:sz w:val="24"/>
                <w:szCs w:val="24"/>
                <w:highlight w:val="white"/>
              </w:rPr>
              <w:t xml:space="preserve">、CO、O</w:t>
            </w:r>
            <w:r>
              <w:rPr>
                <w:rFonts w:hint="eastAsia" w:ascii="宋体" w:hAnsi="宋体" w:cs="宋体"/>
                <w:sz w:val="24"/>
                <w:szCs w:val="24"/>
                <w:highlight w:val="white"/>
                <w:vertAlign w:val="subscript"/>
              </w:rPr>
              <w:t xml:space="preserve">3</w:t>
            </w:r>
            <w:r>
              <w:rPr>
                <w:rFonts w:hint="eastAsia" w:ascii="宋体" w:hAnsi="宋体" w:cs="宋体"/>
                <w:sz w:val="24"/>
                <w:szCs w:val="24"/>
                <w:highlight w:val="white"/>
              </w:rPr>
              <w:t xml:space="preserve">、NOx</w:t>
            </w:r>
            <w:r>
              <w:rPr>
                <w:highlight w:val="white"/>
              </w:rPr>
            </w:r>
            <w:r/>
          </w:p>
        </w:tc>
        <w:tc>
          <w:tcPr>
            <w:tcW w:w="1654"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1小时平均</w:t>
            </w:r>
            <w:r>
              <w:rPr>
                <w:highlight w:val="white"/>
              </w:rPr>
            </w:r>
            <w:r/>
          </w:p>
        </w:tc>
        <w:tc>
          <w:tcPr>
            <w:tcW w:w="525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每小时至少有45分钟的采样时间</w:t>
            </w:r>
            <w:r>
              <w:rPr>
                <w:highlight w:val="white"/>
              </w:rPr>
            </w:r>
            <w:r/>
          </w:p>
        </w:tc>
      </w:tr>
    </w:tbl>
    <w:p>
      <w:pPr>
        <w:numPr>
          <w:ilvl w:val="0"/>
          <w:numId w:val="1"/>
        </w:numPr>
        <w:spacing w:line="360" w:lineRule="auto"/>
        <w:tabs>
          <w:tab w:val="left" w:pos="525" w:leader="none"/>
        </w:tabs>
        <w:rPr>
          <w:rFonts w:hint="eastAsia" w:ascii="宋体" w:hAnsi="宋体" w:cs="宋体"/>
          <w:sz w:val="24"/>
          <w:szCs w:val="24"/>
          <w:highlight w:val="white"/>
        </w:rPr>
      </w:pPr>
      <w:r>
        <w:rPr>
          <w:rFonts w:hint="eastAsia" w:ascii="宋体" w:hAnsi="宋体" w:cs="宋体"/>
          <w:sz w:val="24"/>
          <w:szCs w:val="24"/>
          <w:highlight w:val="white"/>
        </w:rPr>
        <w:t xml:space="preserve">监督考核要求</w:t>
      </w:r>
      <w:r>
        <w:rPr>
          <w:highlight w:val="white"/>
        </w:rPr>
      </w:r>
      <w:r/>
    </w:p>
    <w:p>
      <w:pPr>
        <w:numPr>
          <w:ilvl w:val="0"/>
          <w:numId w:val="16"/>
        </w:numPr>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监督管理</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（1）数据必须真实有效，响应单位近3年内，在环境监测服务活动中必须没有弄虚作假行为</w:t>
      </w:r>
      <w:r>
        <w:rPr>
          <w:rFonts w:hint="eastAsia" w:ascii="宋体" w:hAnsi="宋体" w:cs="宋体"/>
          <w:b/>
          <w:bCs/>
          <w:sz w:val="24"/>
          <w:szCs w:val="24"/>
          <w:highlight w:val="white"/>
        </w:rPr>
        <w:t xml:space="preserve">（请响应单位根据本单位实际情况提供承诺函，若有不实，按提供虚假资料处理，成交无效，且承担相关法律责任）</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（2）响应单位应承担监测数据的保密责任，不得利用本项目的数据、档案或有关资料对外开展技术交流、业务联系、数据交换等。否则，采购方有权终止合同。</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（3）运维期间出现调整数据、修改参数、改动设备、质控结果与平台采集结果不一致、弄虚作假等违规行为的，一经查实采购方有权终止运维合同。</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（4）采购方开展运维管理考核，对达不到运维要求或违规操作的，有权终止运维合同。</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（5）违反江苏省空气自动站管理办法等违规行为的，一经查实采购方有权终止运维合同。</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（6）空气站的运维管理事项需要沟通协调的，由苏州国家历史文化名城保护区（姑苏）生态环境局统一协调运维方及板块进行沟通，未经报备擅自沟通，视为有干扰数据的嫌疑，采购方有权终止合同。</w:t>
      </w:r>
      <w:r>
        <w:rPr>
          <w:highlight w:val="white"/>
        </w:rPr>
      </w:r>
      <w:r/>
    </w:p>
    <w:p>
      <w:pPr>
        <w:numPr>
          <w:ilvl w:val="0"/>
          <w:numId w:val="16"/>
        </w:numPr>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考核办法及经费支付</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每月由苏州国家历史文化名城保护区（姑苏）生态环境局组织对运维成交单位绩效</w:t>
      </w:r>
      <w:r>
        <w:rPr>
          <w:rFonts w:hint="eastAsia" w:ascii="宋体" w:hAnsi="宋体" w:cs="宋体"/>
          <w:sz w:val="24"/>
          <w:szCs w:val="24"/>
          <w:highlight w:val="white"/>
        </w:rPr>
        <w:t xml:space="preserve">(职责履行情况)</w:t>
      </w:r>
      <w:r>
        <w:rPr>
          <w:rFonts w:hint="eastAsia" w:ascii="宋体" w:hAnsi="宋体" w:cs="宋体"/>
          <w:sz w:val="24"/>
          <w:szCs w:val="24"/>
          <w:highlight w:val="white"/>
        </w:rPr>
        <w:t xml:space="preserve">进行考核，填写考核表。考核采取百分制、单站考核的方式进行，主要包括设备运行率、数据有效率</w:t>
      </w:r>
      <w:r>
        <w:rPr>
          <w:rFonts w:hint="eastAsia" w:ascii="宋体" w:hAnsi="宋体" w:cs="宋体"/>
          <w:sz w:val="24"/>
          <w:szCs w:val="24"/>
          <w:highlight w:val="white"/>
        </w:rPr>
        <w:t xml:space="preserve">(以下简称两率)</w:t>
      </w:r>
      <w:r>
        <w:rPr>
          <w:rFonts w:hint="eastAsia" w:ascii="宋体" w:hAnsi="宋体" w:cs="宋体"/>
          <w:sz w:val="24"/>
          <w:szCs w:val="24"/>
          <w:highlight w:val="white"/>
        </w:rPr>
        <w:t xml:space="preserve">、运行维护3部分内容，其中两率考核占50%，运行维护考核占50%。</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设备运行率是指考核时段内各监测项目实际获取的小时值监测数据量总和除以应获得小时值数据量总和。</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数据有效率是指考核时段内</w:t>
      </w:r>
      <w:bookmarkStart w:id="6" w:name="OLE_LINK5"/>
      <w:r>
        <w:rPr>
          <w:rFonts w:hint="eastAsia" w:ascii="宋体" w:hAnsi="宋体" w:cs="宋体"/>
          <w:sz w:val="24"/>
          <w:szCs w:val="24"/>
          <w:highlight w:val="white"/>
        </w:rPr>
        <w:t xml:space="preserve">各监测项目实际获取的质控合格的小时值监测数据量总和除</w:t>
      </w:r>
      <w:r>
        <w:rPr>
          <w:rFonts w:hint="eastAsia" w:ascii="宋体" w:hAnsi="宋体" w:cs="宋体"/>
          <w:sz w:val="24"/>
          <w:szCs w:val="24"/>
          <w:highlight w:val="white"/>
        </w:rPr>
        <w:t xml:space="preserve">以应获得小时值数据量总和</w:t>
      </w:r>
      <w:bookmarkEnd w:id="6"/>
      <w:r>
        <w:rPr>
          <w:rFonts w:hint="eastAsia" w:ascii="宋体" w:hAnsi="宋体" w:cs="宋体"/>
          <w:sz w:val="24"/>
          <w:szCs w:val="24"/>
          <w:highlight w:val="white"/>
        </w:rPr>
        <w:t xml:space="preserve">。</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每日各项目应获得小时值数据量均按24个计，考核时段天数按考核时段内日历天数计。计算应获得小时值数据量时，应扣除因不可抗力造成的停止监测的小时数。</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（1）数据有效性</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考核时段内单个站点任一监测项目有效数据量应满足《环境空气质量标准》（GB 3095-2012）中规定的污染物浓度数据有效性的最低要求，否则考核总分为0分。</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（2）两率及运行维护</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符合数据有效性要求后，参照本部分执行。</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当单站设备运行率高于90%(含)时，才能按照以下条款对数据有效率进行考核，否则两率部分直接0分；</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①单站监测数据有效率高于95%</w:t>
      </w:r>
      <w:r>
        <w:rPr>
          <w:rFonts w:hint="eastAsia" w:ascii="宋体" w:hAnsi="宋体" w:cs="宋体"/>
          <w:sz w:val="24"/>
          <w:szCs w:val="24"/>
          <w:highlight w:val="white"/>
        </w:rPr>
        <w:t xml:space="preserve">(含)</w:t>
      </w:r>
      <w:r>
        <w:rPr>
          <w:rFonts w:hint="eastAsia" w:ascii="宋体" w:hAnsi="宋体" w:cs="宋体"/>
          <w:sz w:val="24"/>
          <w:szCs w:val="24"/>
          <w:highlight w:val="white"/>
        </w:rPr>
        <w:t xml:space="preserve">的，两率得分=50；</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②有效率在90%</w:t>
      </w:r>
      <w:r>
        <w:rPr>
          <w:rFonts w:hint="eastAsia" w:ascii="宋体" w:hAnsi="宋体" w:cs="宋体"/>
          <w:sz w:val="24"/>
          <w:szCs w:val="24"/>
          <w:highlight w:val="white"/>
        </w:rPr>
        <w:t xml:space="preserve">(含)</w:t>
      </w:r>
      <w:r>
        <w:rPr>
          <w:rFonts w:hint="eastAsia" w:ascii="宋体" w:hAnsi="宋体" w:cs="宋体"/>
          <w:sz w:val="24"/>
          <w:szCs w:val="24"/>
          <w:highlight w:val="white"/>
        </w:rPr>
        <w:t xml:space="preserve">-95%的，两率得分=实际有效率×50；</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③有效率在80%(含)-90%的，两率得分=实际有效率×90%×50。</w:t>
      </w:r>
      <w:r>
        <w:rPr>
          <w:highlight w:val="white"/>
        </w:rPr>
      </w:r>
      <w:r/>
    </w:p>
    <w:p>
      <w:pPr>
        <w:ind w:firstLine="480"/>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运行维护部分内容包括日常运维操作、质量保证与控制、档案和管理3部分，其中，日常运维操作占28分，质量保证与控制占12分，运维响应占10分，满分50分，采用扣分制。</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具体考核评价与付款方式详见下表:</w:t>
      </w:r>
      <w:r>
        <w:rPr>
          <w:highlight w:val="white"/>
        </w:rPr>
      </w:r>
      <w:r/>
    </w:p>
    <w:tbl>
      <w:tblPr>
        <w:tblW w:w="1006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0"/>
        <w:gridCol w:w="1800"/>
        <w:gridCol w:w="1655"/>
        <w:gridCol w:w="5669"/>
      </w:tblGrid>
      <w:tr>
        <w:trPr>
          <w:trHeight w:val="340"/>
        </w:trPr>
        <w:tc>
          <w:tcPr>
            <w:tcW w:w="94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序号</w:t>
            </w:r>
            <w:r>
              <w:rPr>
                <w:highlight w:val="white"/>
              </w:rPr>
            </w:r>
            <w:r/>
          </w:p>
        </w:tc>
        <w:tc>
          <w:tcPr>
            <w:tcW w:w="180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考核分数</w:t>
            </w:r>
            <w:r>
              <w:rPr>
                <w:highlight w:val="white"/>
              </w:rPr>
            </w:r>
            <w:r/>
          </w:p>
        </w:tc>
        <w:tc>
          <w:tcPr>
            <w:tcW w:w="1655"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评价等级</w:t>
            </w:r>
            <w:r>
              <w:rPr>
                <w:highlight w:val="white"/>
              </w:rPr>
            </w:r>
            <w:r/>
          </w:p>
        </w:tc>
        <w:tc>
          <w:tcPr>
            <w:tcW w:w="5669"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付款方式</w:t>
            </w:r>
            <w:r>
              <w:rPr>
                <w:highlight w:val="white"/>
              </w:rPr>
            </w:r>
            <w:r/>
          </w:p>
        </w:tc>
      </w:tr>
      <w:tr>
        <w:trPr>
          <w:trHeight w:val="340"/>
        </w:trPr>
        <w:tc>
          <w:tcPr>
            <w:tcW w:w="940" w:type="dxa"/>
            <w:vAlign w:val="center"/>
            <w:textDirection w:val="lrTb"/>
            <w:noWrap w:val="false"/>
          </w:tcPr>
          <w:p>
            <w:pPr>
              <w:ind w:left="284"/>
              <w:rPr>
                <w:rFonts w:hint="eastAsia" w:ascii="宋体" w:hAnsi="宋体" w:cs="宋体"/>
                <w:sz w:val="24"/>
                <w:szCs w:val="24"/>
                <w:highlight w:val="white"/>
              </w:rPr>
            </w:pPr>
            <w:r>
              <w:rPr>
                <w:rFonts w:hint="eastAsia" w:ascii="宋体" w:hAnsi="宋体" w:cs="宋体"/>
                <w:sz w:val="24"/>
                <w:szCs w:val="24"/>
                <w:highlight w:val="white"/>
              </w:rPr>
              <w:t xml:space="preserve">1</w:t>
            </w:r>
            <w:r>
              <w:rPr>
                <w:highlight w:val="white"/>
              </w:rPr>
            </w:r>
            <w:r/>
          </w:p>
        </w:tc>
        <w:tc>
          <w:tcPr>
            <w:tcW w:w="180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≥90</w:t>
            </w:r>
            <w:r>
              <w:rPr>
                <w:highlight w:val="white"/>
              </w:rPr>
            </w:r>
            <w:r/>
          </w:p>
        </w:tc>
        <w:tc>
          <w:tcPr>
            <w:tcW w:w="1655"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优秀</w:t>
            </w:r>
            <w:r>
              <w:rPr>
                <w:highlight w:val="white"/>
              </w:rPr>
            </w:r>
            <w:r/>
          </w:p>
        </w:tc>
        <w:tc>
          <w:tcPr>
            <w:tcW w:w="5669"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100%全额支付</w:t>
            </w:r>
            <w:r>
              <w:rPr>
                <w:highlight w:val="white"/>
              </w:rPr>
            </w:r>
            <w:r/>
          </w:p>
        </w:tc>
      </w:tr>
      <w:tr>
        <w:trPr>
          <w:trHeight w:val="340"/>
        </w:trPr>
        <w:tc>
          <w:tcPr>
            <w:tcW w:w="940" w:type="dxa"/>
            <w:vAlign w:val="center"/>
            <w:textDirection w:val="lrTb"/>
            <w:noWrap w:val="false"/>
          </w:tcPr>
          <w:p>
            <w:pPr>
              <w:ind w:left="284"/>
              <w:rPr>
                <w:rFonts w:hint="eastAsia" w:ascii="宋体" w:hAnsi="宋体" w:cs="宋体"/>
                <w:sz w:val="24"/>
                <w:szCs w:val="24"/>
                <w:highlight w:val="white"/>
              </w:rPr>
            </w:pPr>
            <w:r>
              <w:rPr>
                <w:rFonts w:hint="eastAsia" w:ascii="宋体" w:hAnsi="宋体" w:cs="宋体"/>
                <w:sz w:val="24"/>
                <w:szCs w:val="24"/>
                <w:highlight w:val="white"/>
              </w:rPr>
              <w:t xml:space="preserve">2</w:t>
            </w:r>
            <w:r>
              <w:rPr>
                <w:highlight w:val="white"/>
              </w:rPr>
            </w:r>
            <w:r/>
          </w:p>
        </w:tc>
        <w:tc>
          <w:tcPr>
            <w:tcW w:w="180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80～89</w:t>
            </w:r>
            <w:r>
              <w:rPr>
                <w:highlight w:val="white"/>
              </w:rPr>
            </w:r>
            <w:r/>
          </w:p>
        </w:tc>
        <w:tc>
          <w:tcPr>
            <w:tcW w:w="1655"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合格</w:t>
            </w:r>
            <w:r>
              <w:rPr>
                <w:highlight w:val="white"/>
              </w:rPr>
            </w:r>
            <w:r/>
          </w:p>
        </w:tc>
        <w:tc>
          <w:tcPr>
            <w:tcW w:w="5669"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90%支付</w:t>
            </w:r>
            <w:r>
              <w:rPr>
                <w:highlight w:val="white"/>
              </w:rPr>
            </w:r>
            <w:r/>
          </w:p>
        </w:tc>
      </w:tr>
      <w:tr>
        <w:trPr>
          <w:trHeight w:val="340"/>
        </w:trPr>
        <w:tc>
          <w:tcPr>
            <w:tcW w:w="940" w:type="dxa"/>
            <w:vAlign w:val="center"/>
            <w:textDirection w:val="lrTb"/>
            <w:noWrap w:val="false"/>
          </w:tcPr>
          <w:p>
            <w:pPr>
              <w:ind w:left="284"/>
              <w:rPr>
                <w:rFonts w:hint="eastAsia" w:ascii="宋体" w:hAnsi="宋体" w:cs="宋体"/>
                <w:sz w:val="24"/>
                <w:szCs w:val="24"/>
                <w:highlight w:val="white"/>
              </w:rPr>
            </w:pPr>
            <w:r>
              <w:rPr>
                <w:rFonts w:hint="eastAsia" w:ascii="宋体" w:hAnsi="宋体" w:cs="宋体"/>
                <w:sz w:val="24"/>
                <w:szCs w:val="24"/>
                <w:highlight w:val="white"/>
              </w:rPr>
              <w:t xml:space="preserve">3</w:t>
            </w:r>
            <w:r>
              <w:rPr>
                <w:highlight w:val="white"/>
              </w:rPr>
            </w:r>
            <w:r/>
          </w:p>
        </w:tc>
        <w:tc>
          <w:tcPr>
            <w:tcW w:w="180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60～79</w:t>
            </w:r>
            <w:r>
              <w:rPr>
                <w:highlight w:val="white"/>
              </w:rPr>
            </w:r>
            <w:r/>
          </w:p>
        </w:tc>
        <w:tc>
          <w:tcPr>
            <w:tcW w:w="1655"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不合格</w:t>
            </w:r>
            <w:r>
              <w:rPr>
                <w:highlight w:val="white"/>
              </w:rPr>
            </w:r>
            <w:r/>
          </w:p>
        </w:tc>
        <w:tc>
          <w:tcPr>
            <w:tcW w:w="5669"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80%支付</w:t>
            </w:r>
            <w:r>
              <w:rPr>
                <w:highlight w:val="white"/>
              </w:rPr>
            </w:r>
            <w:r/>
          </w:p>
        </w:tc>
      </w:tr>
      <w:tr>
        <w:trPr>
          <w:trHeight w:val="340"/>
        </w:trPr>
        <w:tc>
          <w:tcPr>
            <w:tcW w:w="940" w:type="dxa"/>
            <w:vAlign w:val="center"/>
            <w:textDirection w:val="lrTb"/>
            <w:noWrap w:val="false"/>
          </w:tcPr>
          <w:p>
            <w:pPr>
              <w:ind w:left="284"/>
              <w:rPr>
                <w:rFonts w:hint="eastAsia" w:ascii="宋体" w:hAnsi="宋体" w:cs="宋体"/>
                <w:sz w:val="24"/>
                <w:szCs w:val="24"/>
                <w:highlight w:val="white"/>
              </w:rPr>
            </w:pPr>
            <w:r>
              <w:rPr>
                <w:rFonts w:hint="eastAsia" w:ascii="宋体" w:hAnsi="宋体" w:cs="宋体"/>
                <w:sz w:val="24"/>
                <w:szCs w:val="24"/>
                <w:highlight w:val="white"/>
              </w:rPr>
              <w:t xml:space="preserve">4</w:t>
            </w:r>
            <w:r>
              <w:rPr>
                <w:highlight w:val="white"/>
              </w:rPr>
            </w:r>
            <w:r/>
          </w:p>
        </w:tc>
        <w:tc>
          <w:tcPr>
            <w:tcW w:w="1800"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＜60</w:t>
            </w:r>
            <w:r>
              <w:rPr>
                <w:highlight w:val="white"/>
              </w:rPr>
            </w:r>
            <w:r/>
          </w:p>
        </w:tc>
        <w:tc>
          <w:tcPr>
            <w:tcW w:w="1655"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严重不合格</w:t>
            </w:r>
            <w:r>
              <w:rPr>
                <w:highlight w:val="white"/>
              </w:rPr>
            </w:r>
            <w:r/>
          </w:p>
        </w:tc>
        <w:tc>
          <w:tcPr>
            <w:tcW w:w="5669"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扣除运维单位该站点考核月度全部运维款项，连续3个月不满足要求，采购人有权取消合同</w:t>
            </w:r>
            <w:r>
              <w:rPr>
                <w:highlight w:val="white"/>
              </w:rPr>
            </w:r>
            <w:r/>
          </w:p>
        </w:tc>
      </w:tr>
    </w:tbl>
    <w:p>
      <w:pPr>
        <w:numPr>
          <w:ilvl w:val="0"/>
          <w:numId w:val="1"/>
        </w:numPr>
        <w:spacing w:line="360" w:lineRule="auto"/>
        <w:tabs>
          <w:tab w:val="left" w:pos="525" w:leader="none"/>
        </w:tabs>
        <w:rPr>
          <w:rFonts w:hint="eastAsia" w:ascii="宋体" w:hAnsi="宋体" w:cs="宋体"/>
          <w:sz w:val="24"/>
          <w:szCs w:val="24"/>
          <w:highlight w:val="white"/>
        </w:rPr>
      </w:pPr>
      <w:r>
        <w:rPr>
          <w:rFonts w:hint="eastAsia" w:ascii="宋体" w:hAnsi="宋体" w:cs="宋体"/>
          <w:sz w:val="24"/>
          <w:szCs w:val="24"/>
          <w:highlight w:val="white"/>
        </w:rPr>
        <w:t xml:space="preserve">安全责任</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成交单位应对项目组成员做好安全培训，在项目实施过程中应注意人员和财产安全，如造成相关人员安全和财产损失问题的，一律由成交单位全权承担负责，采购单位不承担任何责任。</w:t>
      </w:r>
      <w:r>
        <w:rPr>
          <w:highlight w:val="white"/>
        </w:rPr>
      </w:r>
      <w:r/>
    </w:p>
    <w:p>
      <w:pPr>
        <w:numPr>
          <w:ilvl w:val="0"/>
          <w:numId w:val="1"/>
        </w:numPr>
        <w:spacing w:line="360" w:lineRule="auto"/>
        <w:tabs>
          <w:tab w:val="left" w:pos="525" w:leader="none"/>
        </w:tabs>
        <w:rPr>
          <w:rFonts w:hint="eastAsia" w:ascii="宋体" w:hAnsi="宋体" w:cs="宋体"/>
          <w:sz w:val="24"/>
          <w:szCs w:val="24"/>
          <w:highlight w:val="white"/>
        </w:rPr>
      </w:pPr>
      <w:r>
        <w:rPr>
          <w:rFonts w:hint="eastAsia" w:ascii="宋体" w:hAnsi="宋体" w:cs="宋体"/>
          <w:sz w:val="24"/>
          <w:szCs w:val="24"/>
          <w:highlight w:val="white"/>
        </w:rPr>
        <w:t xml:space="preserve">其他要求：</w:t>
      </w:r>
      <w:r>
        <w:rPr>
          <w:highlight w:val="white"/>
        </w:rPr>
      </w:r>
      <w:r/>
    </w:p>
    <w:p>
      <w:pPr>
        <w:numPr>
          <w:ilvl w:val="0"/>
          <w:numId w:val="17"/>
        </w:numPr>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各响应单位按以上要求制定出具体的工作方案，达到的标准，提供的人力、物力。所提供的服务能够至少达到以上要求，同时明确详细的服务方案。</w:t>
      </w:r>
      <w:r>
        <w:rPr>
          <w:highlight w:val="white"/>
        </w:rPr>
      </w:r>
      <w:r/>
    </w:p>
    <w:p>
      <w:pPr>
        <w:numPr>
          <w:ilvl w:val="0"/>
          <w:numId w:val="17"/>
        </w:numPr>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成交单位管理如不符合或达不到采购人的要求，采购人书面告知成交单位整改；若经整改后仍不能达到采购人要求，采购人有权终止合同，并无需支付因终止合同而产生的相关费用。</w:t>
      </w:r>
      <w:r>
        <w:rPr>
          <w:highlight w:val="white"/>
        </w:rPr>
      </w:r>
      <w:r/>
    </w:p>
    <w:p>
      <w:pPr>
        <w:numPr>
          <w:ilvl w:val="0"/>
          <w:numId w:val="17"/>
        </w:numPr>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响应单位必须承诺招标文件中提出的全部要求，如果其中某些条款不响应时，应在文件中逐条列出，未列出的视同响应。</w:t>
      </w:r>
      <w:r>
        <w:rPr>
          <w:highlight w:val="white"/>
        </w:rPr>
      </w:r>
      <w:r/>
    </w:p>
    <w:p>
      <w:pPr>
        <w:numPr>
          <w:ilvl w:val="0"/>
          <w:numId w:val="17"/>
        </w:numPr>
        <w:spacing w:line="360" w:lineRule="auto"/>
        <w:widowControl/>
        <w:rPr>
          <w:rFonts w:hint="eastAsia" w:ascii="宋体" w:hAnsi="宋体" w:cs="宋体"/>
          <w:bCs/>
          <w:sz w:val="24"/>
          <w:szCs w:val="24"/>
          <w:highlight w:val="white"/>
        </w:rPr>
      </w:pPr>
      <w:r>
        <w:rPr>
          <w:rFonts w:hint="eastAsia" w:ascii="宋体" w:hAnsi="宋体" w:cs="宋体"/>
          <w:bCs/>
          <w:sz w:val="24"/>
          <w:szCs w:val="24"/>
          <w:highlight w:val="white"/>
        </w:rPr>
        <w:t xml:space="preserve">本项目采购预算不包括本项目代理服务费及专家评审费。</w:t>
      </w:r>
      <w:r>
        <w:rPr>
          <w:highlight w:val="white"/>
        </w:rPr>
      </w:r>
      <w:r/>
    </w:p>
    <w:p>
      <w:pPr>
        <w:numPr>
          <w:ilvl w:val="0"/>
          <w:numId w:val="17"/>
        </w:numPr>
        <w:spacing w:line="360" w:lineRule="auto"/>
        <w:widowControl/>
        <w:rPr>
          <w:rFonts w:hint="eastAsia" w:ascii="宋体" w:hAnsi="宋体" w:cs="宋体"/>
          <w:bCs/>
          <w:sz w:val="24"/>
          <w:szCs w:val="24"/>
          <w:highlight w:val="white"/>
        </w:rPr>
      </w:pPr>
      <w:r>
        <w:rPr>
          <w:rFonts w:hint="eastAsia" w:ascii="宋体" w:hAnsi="宋体" w:cs="宋体"/>
          <w:sz w:val="24"/>
          <w:szCs w:val="24"/>
          <w:highlight w:val="white"/>
        </w:rPr>
        <w:t xml:space="preserve">磋商总价：包含完成本项目服务工作期间所需的人工、材料、仪器设备、备品备件、车辆交通、保险、利润、税金、通讯、政策性文件规定及合同包含的所有风险、责任等各项应有费用。未经采购人书面同意，就本招标项目，成交单位不得再向招标人收取任何其他费用。成交单位报价涵盖范围列举的正误和遗漏均不得作为成交单位调价的依据，成交单位不得再以任何理由另行加价。</w:t>
      </w:r>
      <w:r>
        <w:rPr>
          <w:rFonts w:hint="eastAsia" w:ascii="宋体" w:hAnsi="宋体" w:cs="宋体"/>
          <w:bCs/>
          <w:sz w:val="24"/>
          <w:szCs w:val="24"/>
          <w:highlight w:val="white"/>
        </w:rPr>
        <w:t xml:space="preserve"> </w:t>
      </w:r>
      <w:r>
        <w:rPr>
          <w:highlight w:val="white"/>
        </w:rPr>
      </w:r>
      <w:r/>
    </w:p>
    <w:p>
      <w:pPr>
        <w:spacing w:line="360" w:lineRule="auto"/>
        <w:rPr>
          <w:rFonts w:hint="eastAsia" w:asciiTheme="minorEastAsia" w:hAnsiTheme="minorEastAsia" w:eastAsiaTheme="minorEastAsia"/>
          <w:b/>
          <w:bCs/>
          <w:sz w:val="24"/>
          <w:szCs w:val="24"/>
          <w:highlight w:val="white"/>
        </w:rPr>
      </w:pPr>
      <w:r>
        <w:rPr>
          <w:rFonts w:hint="eastAsia" w:asciiTheme="minorEastAsia" w:hAnsiTheme="minorEastAsia" w:eastAsiaTheme="minorEastAsia"/>
          <w:b/>
          <w:bCs/>
          <w:sz w:val="24"/>
          <w:szCs w:val="24"/>
          <w:highlight w:val="white"/>
        </w:rPr>
        <w:t xml:space="preserve">六、其他说明需求：</w:t>
      </w:r>
      <w:r>
        <w:rPr>
          <w:highlight w:val="white"/>
        </w:rPr>
      </w:r>
      <w:r/>
    </w:p>
    <w:p>
      <w:pPr>
        <w:ind w:firstLine="480"/>
        <w:jc w:val="left"/>
        <w:spacing w:line="360" w:lineRule="auto"/>
        <w:widowControl/>
        <w:rPr>
          <w:rFonts w:hint="eastAsia" w:ascii="宋体" w:hAnsi="宋体" w:cs="宋体"/>
          <w:sz w:val="24"/>
          <w:szCs w:val="24"/>
          <w:highlight w:val="white"/>
        </w:rPr>
      </w:pPr>
      <w:r>
        <w:rPr>
          <w:rFonts w:ascii="宋体" w:hAnsi="宋体" w:cs="宋体"/>
          <w:sz w:val="24"/>
          <w:szCs w:val="24"/>
          <w:highlight w:val="white"/>
        </w:rPr>
        <w:t xml:space="preserve">1</w:t>
      </w:r>
      <w:r>
        <w:rPr>
          <w:rFonts w:hint="eastAsia" w:ascii="宋体" w:hAnsi="宋体" w:cs="宋体"/>
          <w:sz w:val="24"/>
          <w:szCs w:val="24"/>
          <w:highlight w:val="white"/>
        </w:rPr>
        <w:t xml:space="preserve">、磋商说明：</w:t>
      </w:r>
      <w:r>
        <w:rPr>
          <w:highlight w:val="white"/>
        </w:rPr>
      </w:r>
      <w:r/>
    </w:p>
    <w:p>
      <w:pPr>
        <w:ind w:firstLine="480"/>
        <w:jc w:val="left"/>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（1）未在响应文件递交截止时间之前上传的响应文件将被拒绝；</w:t>
      </w:r>
      <w:r>
        <w:rPr>
          <w:highlight w:val="white"/>
        </w:rPr>
      </w:r>
      <w:r/>
    </w:p>
    <w:p>
      <w:pPr>
        <w:ind w:firstLine="480"/>
        <w:jc w:val="left"/>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（2）响应文件签署不符合要求的，响应文件将被拒绝；</w:t>
      </w:r>
      <w:r>
        <w:rPr>
          <w:highlight w:val="white"/>
        </w:rPr>
      </w:r>
      <w:r/>
    </w:p>
    <w:p>
      <w:pPr>
        <w:ind w:firstLine="480"/>
        <w:jc w:val="left"/>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（3）不符合响应单位资格要求的响应文件将被拒绝；</w:t>
      </w:r>
      <w:r>
        <w:rPr>
          <w:highlight w:val="white"/>
        </w:rPr>
      </w:r>
      <w:r/>
    </w:p>
    <w:p>
      <w:pPr>
        <w:ind w:firstLine="480"/>
        <w:jc w:val="left"/>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w:t>
      </w:r>
      <w:r>
        <w:rPr>
          <w:rFonts w:ascii="宋体" w:hAnsi="宋体" w:cs="宋体"/>
          <w:sz w:val="24"/>
          <w:szCs w:val="24"/>
          <w:highlight w:val="white"/>
        </w:rPr>
        <w:t xml:space="preserve">4</w:t>
      </w:r>
      <w:r>
        <w:rPr>
          <w:rFonts w:hint="eastAsia" w:ascii="宋体" w:hAnsi="宋体" w:cs="宋体"/>
          <w:sz w:val="24"/>
          <w:szCs w:val="24"/>
          <w:highlight w:val="white"/>
        </w:rPr>
        <w:t xml:space="preserve">）不实质性响应磋商文件的，不能成交；</w:t>
      </w:r>
      <w:r>
        <w:rPr>
          <w:highlight w:val="white"/>
        </w:rPr>
      </w:r>
      <w:r/>
    </w:p>
    <w:p>
      <w:pPr>
        <w:ind w:firstLine="480"/>
        <w:jc w:val="left"/>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w:t>
      </w:r>
      <w:r>
        <w:rPr>
          <w:rFonts w:ascii="宋体" w:hAnsi="宋体" w:cs="宋体"/>
          <w:sz w:val="24"/>
          <w:szCs w:val="24"/>
          <w:highlight w:val="white"/>
        </w:rPr>
        <w:t xml:space="preserve">5</w:t>
      </w:r>
      <w:r>
        <w:rPr>
          <w:rFonts w:hint="eastAsia" w:ascii="宋体" w:hAnsi="宋体" w:cs="宋体"/>
          <w:sz w:val="24"/>
          <w:szCs w:val="24"/>
          <w:highlight w:val="white"/>
        </w:rPr>
        <w:t xml:space="preserve">）最终合同单价按最终总报价同比例下（上）浮。</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2、凡涉及磋商采购文件的补充说明和修改，均以苏州市政府采购网上公示的补充通知为准。</w:t>
      </w:r>
      <w:r>
        <w:rPr>
          <w:highlight w:val="white"/>
        </w:rPr>
      </w:r>
      <w:r/>
    </w:p>
    <w:p>
      <w:pPr>
        <w:spacing w:line="360" w:lineRule="auto"/>
        <w:tabs>
          <w:tab w:val="left" w:pos="851" w:leader="none"/>
        </w:tabs>
        <w:rPr>
          <w:rFonts w:hint="eastAsia" w:ascii="宋体" w:hAnsi="宋体" w:cs="宋体"/>
          <w:b/>
          <w:sz w:val="24"/>
          <w:szCs w:val="24"/>
          <w:highlight w:val="white"/>
        </w:rPr>
      </w:pPr>
      <w:r>
        <w:rPr>
          <w:rFonts w:hint="eastAsia" w:ascii="宋体" w:hAnsi="宋体" w:cs="宋体"/>
          <w:b/>
          <w:sz w:val="24"/>
          <w:szCs w:val="24"/>
          <w:highlight w:val="white"/>
        </w:rPr>
        <w:t xml:space="preserve">七、关于小微企业、残疾人福利性单位、监狱企业的政策：</w:t>
      </w:r>
      <w:r>
        <w:rPr>
          <w:highlight w:val="white"/>
        </w:rPr>
      </w:r>
      <w:r/>
    </w:p>
    <w:p>
      <w:pPr>
        <w:ind w:firstLine="480"/>
        <w:spacing w:line="360" w:lineRule="auto"/>
        <w:tabs>
          <w:tab w:val="left" w:pos="540" w:leader="none"/>
        </w:tabs>
        <w:rPr>
          <w:rFonts w:hint="eastAsia" w:ascii="宋体" w:hAnsi="宋体"/>
          <w:b/>
          <w:bCs/>
          <w:sz w:val="24"/>
          <w:szCs w:val="24"/>
          <w:highlight w:val="white"/>
        </w:rPr>
      </w:pPr>
      <w:r>
        <w:rPr>
          <w:rFonts w:hint="eastAsia" w:ascii="宋体" w:hAnsi="宋体"/>
          <w:sz w:val="24"/>
          <w:szCs w:val="24"/>
          <w:highlight w:val="whit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bCs/>
          <w:sz w:val="24"/>
          <w:szCs w:val="24"/>
          <w:highlight w:val="white"/>
        </w:rPr>
        <w:t xml:space="preserve">本项目为专门面向中小企业采购的项目，属于其他未列明行业。本项目不再执行价格评审优惠的扶持政策。</w:t>
      </w:r>
      <w:r>
        <w:rPr>
          <w:highlight w:val="white"/>
        </w:rPr>
      </w:r>
      <w:r/>
    </w:p>
    <w:p>
      <w:pPr>
        <w:ind w:firstLine="482"/>
        <w:spacing w:line="360" w:lineRule="auto"/>
        <w:tabs>
          <w:tab w:val="left" w:pos="540" w:leader="none"/>
        </w:tabs>
        <w:rPr>
          <w:rFonts w:hint="eastAsia" w:ascii="宋体" w:hAnsi="宋体"/>
          <w:sz w:val="24"/>
          <w:szCs w:val="24"/>
          <w:highlight w:val="white"/>
        </w:rPr>
      </w:pPr>
      <w:r>
        <w:rPr>
          <w:rFonts w:hint="eastAsia" w:ascii="宋体" w:hAnsi="宋体"/>
          <w:sz w:val="24"/>
          <w:szCs w:val="24"/>
          <w:highlight w:val="white"/>
        </w:rPr>
        <w:t xml:space="preserve">投标人应提供《中小企业声明函》或《残疾人福利性单位声明函》或由省级以上监狱管理局、戒毒管理局（含新疆生产建设兵团）出具的属于监狱企业的证明文件。服务类项目中供应商若使用退休人员，将不享受中小企业扶持政策。</w:t>
      </w:r>
      <w:r>
        <w:rPr>
          <w:highlight w:val="white"/>
        </w:rPr>
      </w:r>
      <w:r/>
    </w:p>
    <w:p>
      <w:pPr>
        <w:ind w:firstLine="480"/>
        <w:spacing w:line="360" w:lineRule="auto"/>
        <w:tabs>
          <w:tab w:val="left" w:pos="540" w:leader="none"/>
        </w:tabs>
        <w:rPr>
          <w:rFonts w:hint="eastAsia" w:ascii="宋体" w:hAnsi="宋体"/>
          <w:sz w:val="24"/>
          <w:szCs w:val="24"/>
          <w:highlight w:val="white"/>
        </w:rPr>
      </w:pPr>
      <w:r>
        <w:rPr>
          <w:rFonts w:hint="eastAsia" w:ascii="宋体" w:hAnsi="宋体"/>
          <w:sz w:val="24"/>
          <w:szCs w:val="24"/>
          <w:highlight w:val="white"/>
        </w:rPr>
        <w:t xml:space="preserve">若供应商提供虚假声明、虚假材料，按“政府采购法”相关规定处理并报请政府监管部门给予行政处罚。</w:t>
      </w:r>
      <w:r>
        <w:rPr>
          <w:highlight w:val="white"/>
        </w:rPr>
      </w:r>
      <w:r/>
    </w:p>
    <w:p>
      <w:pPr>
        <w:spacing w:line="360" w:lineRule="auto"/>
        <w:tabs>
          <w:tab w:val="left" w:pos="851" w:leader="none"/>
        </w:tabs>
        <w:rPr>
          <w:rFonts w:hint="eastAsia" w:ascii="宋体" w:hAnsi="宋体" w:cs="宋体"/>
          <w:b/>
          <w:sz w:val="24"/>
          <w:szCs w:val="24"/>
          <w:highlight w:val="white"/>
        </w:rPr>
      </w:pPr>
      <w:r>
        <w:rPr>
          <w:rFonts w:hint="eastAsia" w:ascii="宋体" w:hAnsi="宋体" w:cs="宋体"/>
          <w:b/>
          <w:sz w:val="24"/>
          <w:szCs w:val="24"/>
          <w:highlight w:val="white"/>
        </w:rPr>
        <w:t xml:space="preserve">八、磋商须知：</w:t>
      </w:r>
      <w:r>
        <w:rPr>
          <w:highlight w:val="white"/>
        </w:rPr>
      </w:r>
      <w:r/>
    </w:p>
    <w:p>
      <w:pPr>
        <w:numPr>
          <w:ilvl w:val="0"/>
          <w:numId w:val="18"/>
        </w:numPr>
        <w:ind w:left="0" w:firstLine="480"/>
        <w:spacing w:line="360" w:lineRule="auto"/>
        <w:tabs>
          <w:tab w:val="left" w:pos="993" w:leader="none"/>
        </w:tabs>
        <w:rPr>
          <w:rFonts w:hint="eastAsia" w:ascii="宋体" w:hAnsi="宋体" w:cs="宋体"/>
          <w:b/>
          <w:sz w:val="24"/>
          <w:szCs w:val="24"/>
          <w:highlight w:val="white"/>
        </w:rPr>
      </w:pPr>
      <w:r>
        <w:rPr>
          <w:rFonts w:hint="eastAsia" w:ascii="宋体" w:hAnsi="宋体" w:cs="宋体"/>
          <w:b/>
          <w:sz w:val="24"/>
          <w:szCs w:val="24"/>
          <w:highlight w:val="white"/>
        </w:rPr>
        <w:t xml:space="preserve">询问及质疑</w:t>
      </w:r>
      <w:r>
        <w:rPr>
          <w:highlight w:val="white"/>
        </w:rPr>
      </w:r>
      <w:r/>
    </w:p>
    <w:p>
      <w:pPr>
        <w:numPr>
          <w:ilvl w:val="0"/>
          <w:numId w:val="19"/>
        </w:numPr>
        <w:ind w:left="0"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供应商对本次采购有疑问的，可通过联系电话或苏州市政府采购网“网上报名”系统向代理机构进行询问。</w:t>
      </w:r>
      <w:r>
        <w:rPr>
          <w:highlight w:val="white"/>
        </w:rPr>
      </w:r>
      <w:r/>
    </w:p>
    <w:p>
      <w:pPr>
        <w:numPr>
          <w:ilvl w:val="0"/>
          <w:numId w:val="19"/>
        </w:numPr>
        <w:ind w:left="0"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供应商认为采购文件、采购过程和中标、成交结果使自己的权益受到损害的，可以在</w:t>
      </w:r>
      <w:r>
        <w:rPr>
          <w:rFonts w:hint="eastAsia" w:ascii="宋体" w:hAnsi="宋体" w:cs="宋体"/>
          <w:sz w:val="24"/>
          <w:szCs w:val="24"/>
          <w:highlight w:val="white"/>
        </w:rPr>
        <w:t xml:space="preserve">知道或者应知其权益受到损害之日起七个工作日内，根据《政府采购质疑和投诉办法》（中华人民共和国财政部令第94号）向代理机构提出质疑。提出质疑的供应商应当是参与所质疑项目采购活动的供应商。供应商应当在法定质疑期内一次性提出针对同一采购程序环节的质疑。</w:t>
      </w:r>
      <w:r>
        <w:rPr>
          <w:highlight w:val="white"/>
        </w:rPr>
      </w:r>
      <w:r/>
    </w:p>
    <w:p>
      <w:pPr>
        <w:numPr>
          <w:ilvl w:val="0"/>
          <w:numId w:val="18"/>
        </w:numPr>
        <w:ind w:left="0" w:firstLine="482"/>
        <w:spacing w:line="360" w:lineRule="auto"/>
        <w:tabs>
          <w:tab w:val="left" w:pos="993" w:leader="none"/>
        </w:tabs>
        <w:rPr>
          <w:rFonts w:hint="eastAsia" w:ascii="宋体" w:hAnsi="宋体" w:cs="宋体"/>
          <w:b/>
          <w:sz w:val="24"/>
          <w:szCs w:val="24"/>
          <w:highlight w:val="white"/>
        </w:rPr>
        <w:outlineLvl w:val="1"/>
      </w:pPr>
      <w:r>
        <w:rPr>
          <w:rFonts w:hint="eastAsia" w:ascii="宋体" w:hAnsi="宋体" w:cs="宋体"/>
          <w:b/>
          <w:sz w:val="24"/>
          <w:szCs w:val="24"/>
          <w:highlight w:val="white"/>
        </w:rPr>
        <w:t xml:space="preserve">响应文件组成及要求</w:t>
      </w:r>
      <w:r>
        <w:rPr>
          <w:highlight w:val="white"/>
        </w:rPr>
      </w:r>
      <w:r/>
    </w:p>
    <w:p>
      <w:pPr>
        <w:numPr>
          <w:ilvl w:val="0"/>
          <w:numId w:val="20"/>
        </w:numPr>
        <w:ind w:left="0" w:firstLine="482"/>
        <w:spacing w:line="360" w:lineRule="auto"/>
        <w:tabs>
          <w:tab w:val="left" w:pos="993" w:leader="none"/>
        </w:tabs>
        <w:rPr>
          <w:rFonts w:hint="eastAsia" w:ascii="宋体" w:hAnsi="宋体"/>
          <w:b/>
          <w:bCs/>
          <w:sz w:val="24"/>
          <w:szCs w:val="24"/>
          <w:highlight w:val="white"/>
        </w:rPr>
      </w:pPr>
      <w:r>
        <w:rPr>
          <w:rFonts w:hint="eastAsia" w:ascii="宋体" w:hAnsi="宋体"/>
          <w:b/>
          <w:bCs/>
          <w:sz w:val="24"/>
          <w:szCs w:val="24"/>
          <w:highlight w:val="white"/>
        </w:rPr>
        <w:t xml:space="preserve">封面</w:t>
      </w:r>
      <w:r>
        <w:rPr>
          <w:highlight w:val="white"/>
        </w:rPr>
      </w:r>
      <w:r/>
    </w:p>
    <w:p>
      <w:pPr>
        <w:numPr>
          <w:ilvl w:val="0"/>
          <w:numId w:val="20"/>
        </w:numPr>
        <w:ind w:left="0" w:firstLine="482"/>
        <w:spacing w:line="360" w:lineRule="auto"/>
        <w:tabs>
          <w:tab w:val="left" w:pos="993" w:leader="none"/>
        </w:tabs>
        <w:rPr>
          <w:rFonts w:hint="eastAsia" w:ascii="宋体" w:hAnsi="宋体"/>
          <w:b/>
          <w:bCs/>
          <w:sz w:val="24"/>
          <w:szCs w:val="24"/>
          <w:highlight w:val="white"/>
        </w:rPr>
      </w:pPr>
      <w:r>
        <w:rPr>
          <w:rFonts w:hint="eastAsia" w:ascii="宋体" w:hAnsi="宋体"/>
          <w:b/>
          <w:bCs/>
          <w:sz w:val="24"/>
          <w:szCs w:val="24"/>
          <w:highlight w:val="white"/>
        </w:rPr>
        <w:t xml:space="preserve">磋商报价表</w:t>
      </w:r>
      <w:r>
        <w:rPr>
          <w:highlight w:val="white"/>
        </w:rPr>
      </w:r>
      <w:r/>
    </w:p>
    <w:p>
      <w:pPr>
        <w:numPr>
          <w:ilvl w:val="0"/>
          <w:numId w:val="20"/>
        </w:numPr>
        <w:ind w:left="0" w:firstLine="482"/>
        <w:spacing w:line="360" w:lineRule="auto"/>
        <w:tabs>
          <w:tab w:val="left" w:pos="993" w:leader="none"/>
        </w:tabs>
        <w:rPr>
          <w:rFonts w:hint="eastAsia" w:ascii="宋体" w:hAnsi="宋体"/>
          <w:b/>
          <w:bCs/>
          <w:sz w:val="24"/>
          <w:szCs w:val="24"/>
          <w:highlight w:val="white"/>
        </w:rPr>
      </w:pPr>
      <w:r>
        <w:rPr>
          <w:rFonts w:hint="eastAsia" w:ascii="宋体" w:hAnsi="宋体"/>
          <w:b/>
          <w:bCs/>
          <w:sz w:val="24"/>
          <w:szCs w:val="24"/>
          <w:highlight w:val="white"/>
        </w:rPr>
        <w:t xml:space="preserve">磋商分项报价明细表</w:t>
      </w:r>
      <w:r>
        <w:rPr>
          <w:highlight w:val="white"/>
        </w:rPr>
      </w:r>
      <w:r/>
    </w:p>
    <w:p>
      <w:pPr>
        <w:numPr>
          <w:ilvl w:val="0"/>
          <w:numId w:val="20"/>
        </w:numPr>
        <w:ind w:left="0" w:firstLine="482"/>
        <w:spacing w:line="360" w:lineRule="auto"/>
        <w:tabs>
          <w:tab w:val="left" w:pos="993" w:leader="none"/>
        </w:tabs>
        <w:rPr>
          <w:rFonts w:hint="eastAsia" w:ascii="宋体" w:hAnsi="宋体"/>
          <w:b/>
          <w:bCs/>
          <w:sz w:val="24"/>
          <w:szCs w:val="24"/>
          <w:highlight w:val="white"/>
        </w:rPr>
      </w:pPr>
      <w:r>
        <w:rPr>
          <w:rFonts w:hint="eastAsia" w:ascii="宋体" w:hAnsi="宋体"/>
          <w:b/>
          <w:bCs/>
          <w:sz w:val="24"/>
          <w:szCs w:val="24"/>
          <w:highlight w:val="white"/>
        </w:rPr>
        <w:t xml:space="preserve">其他针对本次磋商的详细说明</w:t>
      </w:r>
      <w:r>
        <w:rPr>
          <w:highlight w:val="white"/>
        </w:rPr>
      </w:r>
      <w:r/>
    </w:p>
    <w:p>
      <w:pPr>
        <w:numPr>
          <w:ilvl w:val="1"/>
          <w:numId w:val="20"/>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无对应模块上传的响应文件内容可传至此，含“磋商响应文件格式”中部分表格、内容。</w:t>
      </w:r>
      <w:r>
        <w:rPr>
          <w:highlight w:val="white"/>
        </w:rPr>
      </w:r>
      <w:r/>
    </w:p>
    <w:p>
      <w:pPr>
        <w:numPr>
          <w:ilvl w:val="0"/>
          <w:numId w:val="20"/>
        </w:numPr>
        <w:ind w:left="0" w:firstLine="482"/>
        <w:spacing w:line="360" w:lineRule="auto"/>
        <w:tabs>
          <w:tab w:val="left" w:pos="993" w:leader="none"/>
        </w:tabs>
        <w:rPr>
          <w:rFonts w:hint="eastAsia" w:ascii="宋体" w:hAnsi="宋体"/>
          <w:b/>
          <w:bCs/>
          <w:sz w:val="24"/>
          <w:szCs w:val="24"/>
          <w:highlight w:val="white"/>
        </w:rPr>
      </w:pPr>
      <w:r>
        <w:rPr>
          <w:rFonts w:hint="eastAsia" w:ascii="宋体" w:hAnsi="宋体"/>
          <w:b/>
          <w:bCs/>
          <w:sz w:val="24"/>
          <w:szCs w:val="24"/>
          <w:highlight w:val="white"/>
        </w:rPr>
        <w:t xml:space="preserve">资格审查响应文件</w:t>
      </w:r>
      <w:r>
        <w:rPr>
          <w:highlight w:val="white"/>
        </w:rPr>
      </w:r>
      <w:r/>
    </w:p>
    <w:p>
      <w:pPr>
        <w:numPr>
          <w:ilvl w:val="1"/>
          <w:numId w:val="20"/>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磋商响应函；</w:t>
      </w:r>
      <w:r>
        <w:rPr>
          <w:highlight w:val="white"/>
        </w:rPr>
      </w:r>
      <w:r/>
    </w:p>
    <w:p>
      <w:pPr>
        <w:numPr>
          <w:ilvl w:val="1"/>
          <w:numId w:val="20"/>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关于资格文件的声明函；</w:t>
      </w:r>
      <w:r>
        <w:rPr>
          <w:highlight w:val="white"/>
        </w:rPr>
      </w:r>
      <w:r/>
    </w:p>
    <w:p>
      <w:pPr>
        <w:numPr>
          <w:ilvl w:val="1"/>
          <w:numId w:val="20"/>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法定代表人授权委托书（如有授权）；</w:t>
      </w:r>
      <w:r>
        <w:rPr>
          <w:highlight w:val="white"/>
        </w:rPr>
      </w:r>
      <w:r/>
    </w:p>
    <w:p>
      <w:pPr>
        <w:numPr>
          <w:ilvl w:val="1"/>
          <w:numId w:val="20"/>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供应商的法定代表人身份证复印件、供应商代理人身份证复印件（如有授权）；</w:t>
      </w:r>
      <w:r>
        <w:rPr>
          <w:highlight w:val="white"/>
        </w:rPr>
      </w:r>
      <w:r/>
    </w:p>
    <w:p>
      <w:pPr>
        <w:numPr>
          <w:ilvl w:val="1"/>
          <w:numId w:val="20"/>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供应商参加政府采购活动应当具备的条件：</w:t>
      </w:r>
      <w:r>
        <w:rPr>
          <w:highlight w:val="white"/>
        </w:rPr>
      </w:r>
      <w:r/>
    </w:p>
    <w:p>
      <w:pPr>
        <w:numPr>
          <w:ilvl w:val="0"/>
          <w:numId w:val="21"/>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具有独立承担民事责任的能力（提供法人或者其他组织的营业执照等证明文件）；</w:t>
      </w:r>
      <w:r>
        <w:rPr>
          <w:highlight w:val="white"/>
        </w:rPr>
      </w:r>
      <w:r/>
    </w:p>
    <w:p>
      <w:pPr>
        <w:numPr>
          <w:ilvl w:val="0"/>
          <w:numId w:val="21"/>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具有良好的商业信誉和健全的财务会计制度（提供参加本次政府采购前的财务报表或银行出具的资信证明）；</w:t>
      </w:r>
      <w:r>
        <w:rPr>
          <w:highlight w:val="white"/>
        </w:rPr>
      </w:r>
      <w:r/>
    </w:p>
    <w:p>
      <w:pPr>
        <w:numPr>
          <w:ilvl w:val="0"/>
          <w:numId w:val="21"/>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具有履行合同所必须的设备和专业技术能力（企业法人性质的政府采购供应商应在经工商管理部门核准登记注册的经营范围内参与经营活动，提供营业执照或其他证明材料）；</w:t>
      </w:r>
      <w:r>
        <w:rPr>
          <w:highlight w:val="white"/>
        </w:rPr>
      </w:r>
      <w:r/>
    </w:p>
    <w:p>
      <w:pPr>
        <w:numPr>
          <w:ilvl w:val="0"/>
          <w:numId w:val="21"/>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有依法缴纳税收和社会保障资金的良好记录（提供参加本次政府采购前一年内（至少一个月的）的依法缴纳税收和社会保障资金的相关材料）；</w:t>
      </w:r>
      <w:r>
        <w:rPr>
          <w:highlight w:val="white"/>
        </w:rPr>
      </w:r>
      <w:r/>
    </w:p>
    <w:p>
      <w:pPr>
        <w:numPr>
          <w:ilvl w:val="0"/>
          <w:numId w:val="21"/>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参加政府采购活动前</w:t>
      </w:r>
      <w:r>
        <w:rPr>
          <w:rFonts w:ascii="宋体" w:hAnsi="宋体"/>
          <w:sz w:val="24"/>
          <w:szCs w:val="24"/>
          <w:highlight w:val="white"/>
        </w:rPr>
        <w:t xml:space="preserve">3</w:t>
      </w:r>
      <w:r>
        <w:rPr>
          <w:rFonts w:hint="eastAsia" w:ascii="宋体" w:hAnsi="宋体"/>
          <w:sz w:val="24"/>
          <w:szCs w:val="24"/>
          <w:highlight w:val="white"/>
        </w:rPr>
        <w:t xml:space="preserve">年内在经营活动中没有重大违法记录（提供书面声明）；</w:t>
      </w:r>
      <w:r>
        <w:rPr>
          <w:highlight w:val="white"/>
        </w:rPr>
      </w:r>
      <w:r/>
    </w:p>
    <w:p>
      <w:pPr>
        <w:numPr>
          <w:ilvl w:val="0"/>
          <w:numId w:val="21"/>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响应单位与其他单位存在控股、管理关系情况表； </w:t>
      </w:r>
      <w:r>
        <w:rPr>
          <w:highlight w:val="white"/>
        </w:rPr>
      </w:r>
      <w:r/>
    </w:p>
    <w:p>
      <w:pPr>
        <w:numPr>
          <w:ilvl w:val="0"/>
          <w:numId w:val="20"/>
        </w:numPr>
        <w:ind w:left="0" w:firstLine="482"/>
        <w:spacing w:line="360" w:lineRule="auto"/>
        <w:tabs>
          <w:tab w:val="left" w:pos="993" w:leader="none"/>
        </w:tabs>
        <w:rPr>
          <w:rFonts w:hint="eastAsia" w:ascii="宋体" w:hAnsi="宋体"/>
          <w:b/>
          <w:bCs/>
          <w:sz w:val="24"/>
          <w:szCs w:val="24"/>
          <w:highlight w:val="white"/>
        </w:rPr>
      </w:pPr>
      <w:r>
        <w:rPr>
          <w:rFonts w:hint="eastAsia" w:ascii="宋体" w:hAnsi="宋体"/>
          <w:b/>
          <w:bCs/>
          <w:sz w:val="24"/>
          <w:szCs w:val="24"/>
          <w:highlight w:val="white"/>
        </w:rPr>
        <w:t xml:space="preserve">符合性审查响应文件</w:t>
      </w:r>
      <w:r>
        <w:rPr>
          <w:highlight w:val="white"/>
        </w:rPr>
      </w:r>
      <w:r/>
    </w:p>
    <w:p>
      <w:pPr>
        <w:numPr>
          <w:ilvl w:val="1"/>
          <w:numId w:val="20"/>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服务要求偏离表；</w:t>
      </w:r>
      <w:r>
        <w:rPr>
          <w:highlight w:val="white"/>
        </w:rPr>
      </w:r>
      <w:r/>
    </w:p>
    <w:p>
      <w:pPr>
        <w:numPr>
          <w:ilvl w:val="1"/>
          <w:numId w:val="20"/>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投标（响应）保证承诺书；</w:t>
      </w:r>
      <w:r>
        <w:rPr>
          <w:highlight w:val="white"/>
        </w:rPr>
      </w:r>
      <w:r/>
    </w:p>
    <w:p>
      <w:pPr>
        <w:numPr>
          <w:ilvl w:val="1"/>
          <w:numId w:val="20"/>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其他需供应商对本次响应的详细说明、承诺；</w:t>
      </w:r>
      <w:r>
        <w:rPr>
          <w:highlight w:val="white"/>
        </w:rPr>
      </w:r>
      <w:r/>
    </w:p>
    <w:p>
      <w:pPr>
        <w:numPr>
          <w:ilvl w:val="0"/>
          <w:numId w:val="20"/>
        </w:numPr>
        <w:ind w:left="0" w:firstLine="482"/>
        <w:spacing w:line="360" w:lineRule="auto"/>
        <w:tabs>
          <w:tab w:val="left" w:pos="993" w:leader="none"/>
        </w:tabs>
        <w:rPr>
          <w:rFonts w:hint="eastAsia" w:ascii="宋体" w:hAnsi="宋体"/>
          <w:b/>
          <w:bCs/>
          <w:sz w:val="24"/>
          <w:szCs w:val="24"/>
          <w:highlight w:val="white"/>
        </w:rPr>
      </w:pPr>
      <w:r>
        <w:rPr>
          <w:rFonts w:hint="eastAsia" w:ascii="宋体" w:hAnsi="宋体"/>
          <w:b/>
          <w:bCs/>
          <w:sz w:val="24"/>
          <w:szCs w:val="24"/>
          <w:highlight w:val="white"/>
        </w:rPr>
        <w:t xml:space="preserve">综合评审响应文件</w:t>
      </w:r>
      <w:r>
        <w:rPr>
          <w:highlight w:val="white"/>
        </w:rPr>
      </w:r>
      <w:r/>
    </w:p>
    <w:p>
      <w:pPr>
        <w:numPr>
          <w:ilvl w:val="1"/>
          <w:numId w:val="20"/>
        </w:numPr>
        <w:ind w:left="0" w:firstLine="480"/>
        <w:spacing w:line="360" w:lineRule="auto"/>
        <w:tabs>
          <w:tab w:val="left" w:pos="993" w:leader="none"/>
          <w:tab w:val="left" w:pos="1134" w:leader="none"/>
        </w:tabs>
        <w:rPr>
          <w:rFonts w:hint="eastAsia" w:ascii="宋体" w:hAnsi="宋体"/>
          <w:sz w:val="24"/>
          <w:szCs w:val="24"/>
          <w:highlight w:val="white"/>
        </w:rPr>
      </w:pPr>
      <w:r>
        <w:rPr>
          <w:rFonts w:hint="eastAsia" w:ascii="宋体" w:hAnsi="宋体"/>
          <w:sz w:val="24"/>
          <w:szCs w:val="24"/>
          <w:highlight w:val="white"/>
        </w:rPr>
        <w:t xml:space="preserve">项目具体实施方案；</w:t>
      </w:r>
      <w:r>
        <w:rPr>
          <w:highlight w:val="white"/>
        </w:rPr>
      </w:r>
      <w:r/>
    </w:p>
    <w:p>
      <w:pPr>
        <w:numPr>
          <w:ilvl w:val="1"/>
          <w:numId w:val="20"/>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履约期限、后续服务等响应承诺；</w:t>
      </w:r>
      <w:r>
        <w:rPr>
          <w:highlight w:val="white"/>
        </w:rPr>
      </w:r>
      <w:r/>
    </w:p>
    <w:p>
      <w:pPr>
        <w:numPr>
          <w:ilvl w:val="1"/>
          <w:numId w:val="20"/>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与本次磋商有关的其他资料。</w:t>
      </w:r>
      <w:r>
        <w:rPr>
          <w:highlight w:val="white"/>
        </w:rPr>
      </w:r>
      <w:r/>
    </w:p>
    <w:p>
      <w:pPr>
        <w:numPr>
          <w:ilvl w:val="0"/>
          <w:numId w:val="20"/>
        </w:numPr>
        <w:ind w:left="0" w:firstLine="482"/>
        <w:spacing w:line="360" w:lineRule="auto"/>
        <w:tabs>
          <w:tab w:val="left" w:pos="993" w:leader="none"/>
        </w:tabs>
        <w:rPr>
          <w:rFonts w:hint="eastAsia" w:ascii="宋体" w:hAnsi="宋体"/>
          <w:b/>
          <w:bCs/>
          <w:sz w:val="24"/>
          <w:szCs w:val="24"/>
          <w:highlight w:val="white"/>
        </w:rPr>
      </w:pPr>
      <w:r>
        <w:rPr>
          <w:rFonts w:hint="eastAsia" w:ascii="宋体" w:hAnsi="宋体"/>
          <w:b/>
          <w:bCs/>
          <w:sz w:val="24"/>
          <w:szCs w:val="24"/>
          <w:highlight w:val="white"/>
        </w:rPr>
        <w:t xml:space="preserve">企业报价折扣证明</w:t>
      </w:r>
      <w:r>
        <w:rPr>
          <w:highlight w:val="white"/>
        </w:rPr>
      </w:r>
      <w:r/>
    </w:p>
    <w:p>
      <w:pPr>
        <w:numPr>
          <w:ilvl w:val="1"/>
          <w:numId w:val="20"/>
        </w:numPr>
        <w:ind w:left="0" w:firstLine="480"/>
        <w:spacing w:line="360" w:lineRule="auto"/>
        <w:tabs>
          <w:tab w:val="left" w:pos="993" w:leader="none"/>
        </w:tabs>
        <w:rPr>
          <w:rFonts w:hint="eastAsia" w:ascii="宋体" w:hAnsi="宋体"/>
          <w:sz w:val="24"/>
          <w:szCs w:val="24"/>
          <w:highlight w:val="white"/>
        </w:rPr>
      </w:pPr>
      <w:r>
        <w:rPr>
          <w:rFonts w:hint="eastAsia" w:ascii="宋体" w:hAnsi="宋体"/>
          <w:sz w:val="24"/>
          <w:szCs w:val="24"/>
          <w:highlight w:val="white"/>
        </w:rPr>
        <w:t xml:space="preserve">中型、小型或微型企业、残疾人企业、监狱企业的相关材料。</w:t>
      </w:r>
      <w:r>
        <w:rPr>
          <w:highlight w:val="white"/>
        </w:rPr>
      </w:r>
      <w:r/>
    </w:p>
    <w:p>
      <w:pPr>
        <w:ind w:firstLine="480"/>
        <w:spacing w:line="360" w:lineRule="auto"/>
        <w:tabs>
          <w:tab w:val="left" w:pos="993" w:leader="none"/>
        </w:tabs>
        <w:rPr>
          <w:rFonts w:ascii="宋体"/>
          <w:sz w:val="24"/>
          <w:szCs w:val="24"/>
          <w:highlight w:val="white"/>
        </w:rPr>
      </w:pPr>
      <w:r>
        <w:rPr>
          <w:rFonts w:hint="eastAsia" w:ascii="宋体" w:hAnsi="宋体"/>
          <w:sz w:val="24"/>
          <w:szCs w:val="24"/>
          <w:highlight w:val="white"/>
        </w:rPr>
        <w:t xml:space="preserve">注：响应单位成交后须提供一份与电子响应文件内容一致的纸质响应文件（装订成册）。</w:t>
      </w:r>
      <w:r>
        <w:rPr>
          <w:highlight w:val="white"/>
        </w:rPr>
      </w:r>
      <w:r/>
    </w:p>
    <w:p>
      <w:pPr>
        <w:pStyle w:val="773"/>
        <w:ind w:left="568" w:firstLine="0"/>
        <w:spacing w:line="360" w:lineRule="auto"/>
        <w:rPr>
          <w:rFonts w:hint="eastAsia" w:ascii="宋体" w:hAnsi="宋体" w:cs="宋体"/>
          <w:b/>
          <w:bCs/>
          <w:sz w:val="24"/>
          <w:szCs w:val="24"/>
          <w:highlight w:val="white"/>
        </w:rPr>
      </w:pPr>
      <w:r>
        <w:rPr>
          <w:rFonts w:hint="eastAsia" w:ascii="宋体" w:hAnsi="宋体" w:cs="宋体"/>
          <w:b/>
          <w:sz w:val="24"/>
          <w:szCs w:val="24"/>
          <w:highlight w:val="white"/>
        </w:rPr>
        <w:t xml:space="preserve">注：</w:t>
      </w:r>
      <w:r>
        <w:rPr>
          <w:rFonts w:hint="eastAsia" w:ascii="宋体" w:hAnsi="宋体" w:cs="宋体"/>
          <w:b/>
          <w:bCs/>
          <w:sz w:val="24"/>
          <w:szCs w:val="24"/>
          <w:highlight w:val="white"/>
        </w:rPr>
        <w:t xml:space="preserve">（1）以上</w:t>
      </w:r>
      <w:r>
        <w:rPr>
          <w:rFonts w:ascii="宋体" w:hAnsi="宋体" w:cs="宋体"/>
          <w:b/>
          <w:bCs/>
          <w:sz w:val="24"/>
          <w:szCs w:val="24"/>
          <w:highlight w:val="white"/>
        </w:rPr>
        <w:t xml:space="preserve">5</w:t>
      </w:r>
      <w:r>
        <w:rPr>
          <w:rFonts w:hint="eastAsia" w:ascii="宋体" w:hAnsi="宋体" w:cs="宋体"/>
          <w:b/>
          <w:bCs/>
          <w:sz w:val="24"/>
          <w:szCs w:val="24"/>
          <w:highlight w:val="white"/>
        </w:rPr>
        <w:t xml:space="preserve">.1-</w:t>
      </w:r>
      <w:r>
        <w:rPr>
          <w:rFonts w:ascii="宋体" w:hAnsi="宋体" w:cs="宋体"/>
          <w:b/>
          <w:bCs/>
          <w:sz w:val="24"/>
          <w:szCs w:val="24"/>
          <w:highlight w:val="white"/>
        </w:rPr>
        <w:t xml:space="preserve">5</w:t>
      </w:r>
      <w:r>
        <w:rPr>
          <w:rFonts w:hint="eastAsia" w:ascii="宋体" w:hAnsi="宋体" w:cs="宋体"/>
          <w:b/>
          <w:bCs/>
          <w:sz w:val="24"/>
          <w:szCs w:val="24"/>
          <w:highlight w:val="white"/>
        </w:rPr>
        <w:t xml:space="preserve">.</w:t>
      </w:r>
      <w:r>
        <w:rPr>
          <w:rFonts w:ascii="宋体" w:hAnsi="宋体" w:cs="宋体"/>
          <w:b/>
          <w:bCs/>
          <w:sz w:val="24"/>
          <w:szCs w:val="24"/>
          <w:highlight w:val="white"/>
        </w:rPr>
        <w:t xml:space="preserve">5</w:t>
      </w:r>
      <w:r>
        <w:rPr>
          <w:rFonts w:hint="eastAsia" w:ascii="宋体" w:hAnsi="宋体" w:cs="宋体"/>
          <w:b/>
          <w:bCs/>
          <w:sz w:val="24"/>
          <w:szCs w:val="24"/>
          <w:highlight w:val="white"/>
        </w:rPr>
        <w:t xml:space="preserve">为资格审查要求提供的材料，是作为对供应商资格审查、质疑身份认定的依据，响应供应商必须提供并加盖电子公章。否则，磋商响应文件将被认定为不符合资格审查要求。</w:t>
      </w:r>
      <w:r>
        <w:rPr>
          <w:highlight w:val="white"/>
        </w:rPr>
      </w:r>
      <w:r/>
    </w:p>
    <w:p>
      <w:pPr>
        <w:pStyle w:val="773"/>
        <w:ind w:left="568" w:firstLine="0"/>
        <w:spacing w:line="360" w:lineRule="auto"/>
        <w:rPr>
          <w:sz w:val="24"/>
          <w:szCs w:val="24"/>
          <w:highlight w:val="white"/>
        </w:rPr>
      </w:pPr>
      <w:r>
        <w:rPr>
          <w:rFonts w:hint="eastAsia" w:ascii="宋体" w:hAnsi="宋体" w:cs="宋体"/>
          <w:b/>
          <w:bCs/>
          <w:sz w:val="24"/>
          <w:szCs w:val="24"/>
          <w:highlight w:val="white"/>
        </w:rPr>
        <w:t xml:space="preserve">（2）以上</w:t>
      </w:r>
      <w:r>
        <w:rPr>
          <w:rFonts w:ascii="宋体" w:hAnsi="宋体" w:cs="宋体"/>
          <w:b/>
          <w:bCs/>
          <w:sz w:val="24"/>
          <w:szCs w:val="24"/>
          <w:highlight w:val="white"/>
        </w:rPr>
        <w:t xml:space="preserve">6</w:t>
      </w:r>
      <w:r>
        <w:rPr>
          <w:rFonts w:hint="eastAsia" w:ascii="宋体" w:hAnsi="宋体" w:cs="宋体"/>
          <w:b/>
          <w:bCs/>
          <w:sz w:val="24"/>
          <w:szCs w:val="24"/>
          <w:highlight w:val="white"/>
        </w:rPr>
        <w:t xml:space="preserve">.1-</w:t>
      </w:r>
      <w:r>
        <w:rPr>
          <w:rFonts w:ascii="宋体" w:hAnsi="宋体" w:cs="宋体"/>
          <w:b/>
          <w:bCs/>
          <w:sz w:val="24"/>
          <w:szCs w:val="24"/>
          <w:highlight w:val="white"/>
        </w:rPr>
        <w:t xml:space="preserve">6</w:t>
      </w:r>
      <w:r>
        <w:rPr>
          <w:rFonts w:hint="eastAsia" w:ascii="宋体" w:hAnsi="宋体" w:cs="宋体"/>
          <w:b/>
          <w:bCs/>
          <w:sz w:val="24"/>
          <w:szCs w:val="24"/>
          <w:highlight w:val="white"/>
        </w:rPr>
        <w:t xml:space="preserve">.3为符合性审查须提供的资料，响应供应商必须提供并加盖电子公章。否则，磋商响应文件将被认定为未实质性响应。</w:t>
      </w:r>
      <w:r>
        <w:rPr>
          <w:highlight w:val="white"/>
        </w:rPr>
      </w:r>
      <w:r/>
    </w:p>
    <w:p>
      <w:pPr>
        <w:pStyle w:val="773"/>
        <w:ind w:left="568" w:firstLine="0"/>
        <w:spacing w:line="360" w:lineRule="auto"/>
        <w:rPr>
          <w:rFonts w:hint="eastAsia" w:ascii="宋体" w:hAnsi="宋体" w:cs="宋体"/>
          <w:b/>
          <w:bCs/>
          <w:sz w:val="24"/>
          <w:szCs w:val="24"/>
          <w:highlight w:val="white"/>
        </w:rPr>
      </w:pPr>
      <w:r>
        <w:rPr>
          <w:rFonts w:hint="eastAsia" w:ascii="宋体" w:hAnsi="宋体" w:cs="宋体"/>
          <w:b/>
          <w:bCs/>
          <w:sz w:val="24"/>
          <w:szCs w:val="24"/>
          <w:highlight w:val="white"/>
        </w:rPr>
        <w:t xml:space="preserve">（3）制作电子响应文件时必须与投标文件制作软件目录一一对应，将相关资料上传至相应模块</w:t>
      </w:r>
      <w:r>
        <w:rPr>
          <w:rFonts w:hint="eastAsia" w:ascii="宋体" w:hAnsi="宋体"/>
          <w:b/>
          <w:sz w:val="24"/>
          <w:szCs w:val="24"/>
          <w:highlight w:val="white"/>
        </w:rPr>
        <w:t xml:space="preserve">，如未按照系统中模块上传的，相关不利后果(如资格审查不通过、符合性审查不通过)由供应商自行承担。</w:t>
      </w:r>
      <w:r>
        <w:rPr>
          <w:highlight w:val="white"/>
        </w:rPr>
      </w:r>
      <w:r/>
    </w:p>
    <w:p>
      <w:pPr>
        <w:pStyle w:val="773"/>
        <w:ind w:left="568" w:firstLine="0"/>
        <w:spacing w:line="360" w:lineRule="auto"/>
        <w:rPr>
          <w:rFonts w:hint="eastAsia" w:ascii="宋体" w:hAnsi="宋体"/>
          <w:sz w:val="24"/>
          <w:szCs w:val="24"/>
          <w:highlight w:val="white"/>
        </w:rPr>
      </w:pPr>
      <w:r>
        <w:rPr>
          <w:rFonts w:hint="eastAsia" w:ascii="宋体" w:hAnsi="宋体"/>
          <w:b/>
          <w:sz w:val="24"/>
          <w:szCs w:val="24"/>
          <w:highlight w:val="white"/>
        </w:rPr>
        <w:t xml:space="preserve">（4）磋商响应文件编制要求：</w:t>
      </w:r>
      <w:r>
        <w:rPr>
          <w:rFonts w:hint="eastAsia" w:ascii="宋体" w:hAnsi="宋体" w:cs="宋体"/>
          <w:bCs/>
          <w:sz w:val="24"/>
          <w:szCs w:val="24"/>
          <w:highlight w:val="white"/>
        </w:rPr>
        <w:t xml:space="preserve">本项目采用电子招投标形式，请供应商按照《苏采云系统供应商操作手册》进行制作、上传电子响应文件。</w:t>
      </w:r>
      <w:r>
        <w:rPr>
          <w:rFonts w:hint="eastAsia" w:ascii="宋体" w:hAnsi="宋体" w:cs="宋体"/>
          <w:b/>
          <w:bCs/>
          <w:sz w:val="24"/>
          <w:szCs w:val="24"/>
          <w:highlight w:val="white"/>
        </w:rPr>
        <w:t xml:space="preserve">电子响应文件制作完成后请于响应文件递交截止时间前成功上传至“苏采云”系统，否则视为放弃参加该采购项目。</w:t>
      </w:r>
      <w:r>
        <w:rPr>
          <w:rFonts w:hint="eastAsia" w:ascii="宋体" w:hAnsi="宋体" w:cs="宋体"/>
          <w:bCs/>
          <w:sz w:val="24"/>
          <w:szCs w:val="24"/>
          <w:highlight w:val="white"/>
        </w:rPr>
        <w:t xml:space="preserve">供应商应充分考虑到网络环境、网络带宽等风险因素，如因供应商自身原因造成的电子响应文件上传不成功由供应商自行承担全部责任。</w:t>
      </w:r>
      <w:r>
        <w:rPr>
          <w:highlight w:val="white"/>
        </w:rPr>
      </w:r>
      <w:r/>
    </w:p>
    <w:p>
      <w:pPr>
        <w:pStyle w:val="773"/>
        <w:ind w:left="568" w:firstLine="0"/>
        <w:spacing w:line="360" w:lineRule="auto"/>
        <w:rPr>
          <w:rFonts w:hint="eastAsia" w:ascii="宋体" w:hAnsi="宋体"/>
          <w:b/>
          <w:sz w:val="24"/>
          <w:szCs w:val="24"/>
          <w:highlight w:val="white"/>
        </w:rPr>
      </w:pPr>
      <w:r>
        <w:rPr>
          <w:rFonts w:hint="eastAsia" w:ascii="宋体" w:hAnsi="宋体"/>
          <w:b/>
          <w:sz w:val="24"/>
          <w:szCs w:val="24"/>
          <w:highlight w:val="whit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highlight w:val="white"/>
        </w:rPr>
      </w:r>
      <w:r/>
    </w:p>
    <w:p>
      <w:pPr>
        <w:pStyle w:val="773"/>
        <w:ind w:left="568" w:firstLine="0"/>
        <w:spacing w:line="360" w:lineRule="auto"/>
        <w:rPr>
          <w:rFonts w:hint="eastAsia" w:ascii="宋体" w:hAnsi="宋体" w:cs="宋体"/>
          <w:b/>
          <w:bCs/>
          <w:sz w:val="24"/>
          <w:szCs w:val="24"/>
          <w:highlight w:val="white"/>
        </w:rPr>
      </w:pPr>
      <w:r>
        <w:rPr>
          <w:rFonts w:hint="eastAsia" w:ascii="宋体" w:hAnsi="宋体" w:cs="宋体"/>
          <w:b/>
          <w:bCs/>
          <w:sz w:val="24"/>
          <w:szCs w:val="24"/>
          <w:highlight w:val="white"/>
        </w:rPr>
        <w:t xml:space="preserve">（三）供应商信用记录</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1、采购代理机构会在接收响应文件截止时间后，登录信用中国网站（www.creditchina.gov.cn/）和中国政府采购网（www.ccgp.gov.cn/）查询供应商的信用记录，并将查询结果递交评审小组。</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3、供应商若在经营活动中受到罚款的，请携带相关地方、部门对较大数额认定标准的证</w:t>
      </w:r>
      <w:r>
        <w:rPr>
          <w:rFonts w:hint="eastAsia" w:ascii="宋体" w:hAnsi="宋体" w:cs="宋体"/>
          <w:sz w:val="24"/>
          <w:szCs w:val="24"/>
          <w:highlight w:val="white"/>
        </w:rPr>
        <w:t xml:space="preserve">明材料，与响应文件一并提交。若无法提供，则可能承担响应无效等相应不利后果。</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4、对存在失信信息的供应商，由失信供应商进行确认。同时，采购代理机构工作人员应根据评审小组确认的失信信息，登录到相关来源网站页面进行复核并打印，作为证据留存。</w:t>
      </w:r>
      <w:r>
        <w:rPr>
          <w:highlight w:val="white"/>
        </w:rPr>
      </w:r>
      <w:r/>
    </w:p>
    <w:p>
      <w:pPr>
        <w:ind w:firstLine="482"/>
        <w:spacing w:line="360" w:lineRule="auto"/>
        <w:tabs>
          <w:tab w:val="left" w:pos="993" w:leader="none"/>
        </w:tabs>
        <w:rPr>
          <w:rFonts w:hint="eastAsia" w:ascii="宋体" w:hAnsi="宋体" w:cs="宋体"/>
          <w:b/>
          <w:sz w:val="24"/>
          <w:szCs w:val="24"/>
          <w:highlight w:val="white"/>
        </w:rPr>
      </w:pPr>
      <w:r>
        <w:rPr>
          <w:rFonts w:hint="eastAsia" w:ascii="宋体" w:hAnsi="宋体" w:cs="宋体"/>
          <w:b/>
          <w:sz w:val="24"/>
          <w:szCs w:val="24"/>
          <w:highlight w:val="white"/>
        </w:rPr>
        <w:t xml:space="preserve">（四）代理服务费及专家评审费</w:t>
      </w:r>
      <w:r>
        <w:rPr>
          <w:highlight w:val="white"/>
        </w:rPr>
      </w:r>
      <w:r/>
    </w:p>
    <w:p>
      <w:pPr>
        <w:ind w:firstLine="480"/>
        <w:spacing w:line="360" w:lineRule="auto"/>
        <w:rPr>
          <w:rFonts w:ascii="Times New Roman" w:hAnsi="Times New Roman"/>
          <w:spacing w:val="4"/>
          <w:highlight w:val="white"/>
        </w:rPr>
      </w:pPr>
      <w:r>
        <w:rPr>
          <w:rFonts w:hint="eastAsia" w:ascii="宋体" w:hAnsi="宋体" w:cs="宋体"/>
          <w:sz w:val="24"/>
          <w:szCs w:val="24"/>
          <w:highlight w:val="white"/>
        </w:rPr>
        <w:t xml:space="preserve">1、代理</w:t>
      </w:r>
      <w:r>
        <w:rPr>
          <w:rFonts w:hint="eastAsia" w:ascii="宋体" w:hAnsi="宋体" w:cs="宋体"/>
          <w:sz w:val="24"/>
          <w:szCs w:val="24"/>
          <w:highlight w:val="white"/>
        </w:rPr>
        <w:t xml:space="preserve">服务费：由采购人在评审完成后30个日内向招标代理机构一次性付清，本项目代理服务费为￥19000.00元。</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w:t>
      </w:r>
      <w:r>
        <w:rPr>
          <w:rFonts w:ascii="宋体" w:hAnsi="宋体" w:cs="宋体"/>
          <w:sz w:val="24"/>
          <w:szCs w:val="24"/>
          <w:highlight w:val="white"/>
        </w:rPr>
        <w:t xml:space="preserve">专家评审费：本项目专家评审费由采购人根据苏州市专家评审费标准的通知支付，金额为</w:t>
      </w:r>
      <w:r>
        <w:rPr>
          <w:rFonts w:hint="eastAsia" w:ascii="宋体" w:hAnsi="宋体" w:cs="宋体"/>
          <w:sz w:val="24"/>
          <w:szCs w:val="24"/>
          <w:highlight w:val="white"/>
        </w:rPr>
        <w:t xml:space="preserve">4小时内</w:t>
      </w:r>
      <w:r>
        <w:rPr>
          <w:rFonts w:ascii="宋体" w:hAnsi="宋体" w:cs="宋体"/>
          <w:sz w:val="24"/>
          <w:szCs w:val="24"/>
          <w:highlight w:val="white"/>
        </w:rPr>
        <w:t xml:space="preserve">500元/人</w:t>
      </w:r>
      <w:r>
        <w:rPr>
          <w:rFonts w:hint="eastAsia" w:ascii="宋体" w:hAnsi="宋体" w:cs="宋体"/>
          <w:sz w:val="24"/>
          <w:szCs w:val="24"/>
          <w:highlight w:val="white"/>
        </w:rPr>
        <w:t xml:space="preserve">，超过4小时，每超过1小时加100元/人，异地评委另加差旅费200元/人</w:t>
      </w:r>
      <w:r>
        <w:rPr>
          <w:rFonts w:ascii="宋体" w:hAnsi="宋体" w:cs="宋体"/>
          <w:sz w:val="24"/>
          <w:szCs w:val="24"/>
          <w:highlight w:val="white"/>
        </w:rPr>
        <w:t xml:space="preserve">。</w:t>
      </w:r>
      <w:r>
        <w:rPr>
          <w:highlight w:val="white"/>
        </w:rPr>
      </w:r>
      <w:r/>
    </w:p>
    <w:p>
      <w:pPr>
        <w:ind w:firstLine="480"/>
        <w:spacing w:line="360" w:lineRule="auto"/>
        <w:rPr>
          <w:rFonts w:hint="eastAsia" w:ascii="宋体" w:hAnsi="宋体" w:cs="宋体"/>
          <w:b/>
          <w:sz w:val="24"/>
          <w:szCs w:val="24"/>
          <w:highlight w:val="white"/>
        </w:rPr>
      </w:pPr>
      <w:r>
        <w:rPr>
          <w:rFonts w:hint="eastAsia" w:ascii="宋体" w:hAnsi="宋体" w:cs="宋体"/>
          <w:b/>
          <w:sz w:val="24"/>
          <w:szCs w:val="24"/>
          <w:highlight w:val="white"/>
        </w:rPr>
        <w:t xml:space="preserve">（五）响应文件要求</w:t>
      </w:r>
      <w:r>
        <w:rPr>
          <w:highlight w:val="white"/>
        </w:rPr>
      </w:r>
      <w:r/>
    </w:p>
    <w:p>
      <w:pPr>
        <w:ind w:firstLine="480"/>
        <w:spacing w:line="360" w:lineRule="auto"/>
        <w:rPr>
          <w:rFonts w:hint="eastAsia" w:ascii="宋体" w:hAnsi="宋体" w:cs="宋体"/>
          <w:bCs/>
          <w:sz w:val="24"/>
          <w:szCs w:val="24"/>
          <w:highlight w:val="white"/>
        </w:rPr>
      </w:pPr>
      <w:r>
        <w:rPr>
          <w:rFonts w:ascii="宋体" w:hAnsi="宋体" w:cs="宋体"/>
          <w:sz w:val="24"/>
          <w:szCs w:val="24"/>
          <w:highlight w:val="white"/>
        </w:rPr>
        <w:t xml:space="preserve">1.</w:t>
      </w:r>
      <w:r>
        <w:rPr>
          <w:rFonts w:hint="eastAsia" w:ascii="宋体" w:hAnsi="宋体" w:cs="宋体"/>
          <w:bCs/>
          <w:sz w:val="24"/>
          <w:szCs w:val="24"/>
          <w:highlight w:val="whit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2.</w:t>
      </w:r>
      <w:r>
        <w:rPr>
          <w:rFonts w:hint="eastAsia" w:ascii="宋体" w:hAnsi="宋体" w:cs="宋体"/>
          <w:sz w:val="24"/>
          <w:szCs w:val="24"/>
          <w:highlight w:val="white"/>
        </w:rPr>
        <w:t xml:space="preserve">电子响应文件中的资料应按要求加盖电子印章或加盖响应供应商公章上传。</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3.</w:t>
      </w:r>
      <w:r>
        <w:rPr>
          <w:rFonts w:hint="eastAsia" w:ascii="宋体" w:hAnsi="宋体" w:cs="宋体"/>
          <w:sz w:val="24"/>
          <w:szCs w:val="24"/>
          <w:highlight w:val="white"/>
        </w:rPr>
        <w:t xml:space="preserve">磋商截止时间</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3.1</w:t>
      </w:r>
      <w:r>
        <w:rPr>
          <w:rFonts w:hint="eastAsia" w:ascii="宋体" w:hAnsi="宋体" w:cs="宋体"/>
          <w:sz w:val="24"/>
          <w:szCs w:val="24"/>
          <w:highlight w:val="white"/>
        </w:rPr>
        <w:t xml:space="preserve">响应供应商应当在采购文件要求提交响应文件的截止时间前，将响应文件上传系统。</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3.2</w:t>
      </w:r>
      <w:r>
        <w:rPr>
          <w:rFonts w:hint="eastAsia" w:ascii="宋体" w:hAnsi="宋体" w:cs="宋体"/>
          <w:sz w:val="24"/>
          <w:szCs w:val="24"/>
          <w:highlight w:val="white"/>
        </w:rPr>
        <w:t xml:space="preserve">采购人或者采购代理机构推迟磋商截止时间时的，应以网上补充公告形式通知所有响应供应商。在这种情况下，采购人或者采购代理机构和响应供应商的权利和义务将受到新的截止期的约束。</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4.</w:t>
      </w:r>
      <w:r>
        <w:rPr>
          <w:rFonts w:hint="eastAsia" w:ascii="宋体" w:hAnsi="宋体" w:cs="宋体"/>
          <w:sz w:val="24"/>
          <w:szCs w:val="24"/>
          <w:highlight w:val="white"/>
        </w:rPr>
        <w:t xml:space="preserve">响应文件的修改和撤回</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4.1</w:t>
      </w:r>
      <w:r>
        <w:rPr>
          <w:rFonts w:hint="eastAsia" w:ascii="宋体" w:hAnsi="宋体" w:cs="宋体"/>
          <w:sz w:val="24"/>
          <w:szCs w:val="24"/>
          <w:highlight w:val="white"/>
        </w:rPr>
        <w:t xml:space="preserve">响应供应商在磋商截止时间前，可以对所递交的响应文件进行补充、修改或者撤回，并书面通知采购人或者采购代理机构。补充、修改的内容应当按照采购文件要求签署、盖章、密封后，作为响应文件的组成部分。</w:t>
      </w:r>
      <w:r>
        <w:rPr>
          <w:highlight w:val="white"/>
        </w:rPr>
      </w:r>
      <w:r/>
    </w:p>
    <w:p>
      <w:pPr>
        <w:ind w:firstLine="482"/>
        <w:spacing w:line="360" w:lineRule="auto"/>
        <w:rPr>
          <w:rFonts w:hint="eastAsia" w:ascii="宋体" w:hAnsi="宋体" w:cs="宋体"/>
          <w:b/>
          <w:bCs/>
          <w:sz w:val="24"/>
          <w:szCs w:val="24"/>
          <w:highlight w:val="white"/>
        </w:rPr>
      </w:pPr>
      <w:r>
        <w:rPr>
          <w:rFonts w:hint="eastAsia" w:ascii="宋体" w:hAnsi="宋体" w:cs="宋体"/>
          <w:b/>
          <w:bCs/>
          <w:sz w:val="24"/>
          <w:szCs w:val="24"/>
          <w:highlight w:val="white"/>
        </w:rPr>
        <w:t xml:space="preserve">（六）磋商采购程序</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w:t>
      </w:r>
      <w:r>
        <w:rPr>
          <w:rFonts w:hint="eastAsia" w:ascii="宋体" w:hAnsi="宋体" w:cs="宋体"/>
          <w:sz w:val="24"/>
          <w:szCs w:val="24"/>
          <w:highlight w:val="white"/>
        </w:rPr>
        <w:t xml:space="preserve">.磋商采购程序</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1.1</w:t>
      </w:r>
      <w:r>
        <w:rPr>
          <w:rFonts w:hint="eastAsia" w:ascii="宋体" w:hAnsi="宋体" w:cs="宋体"/>
          <w:sz w:val="24"/>
          <w:szCs w:val="24"/>
          <w:highlight w:val="white"/>
        </w:rPr>
        <w:t xml:space="preserve">采购代理机构按本须知规定的时间、地点主持磋商采购活动。</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1.2</w:t>
      </w:r>
      <w:r>
        <w:rPr>
          <w:rFonts w:hint="eastAsia" w:ascii="宋体" w:hAnsi="宋体" w:cs="宋体"/>
          <w:sz w:val="24"/>
          <w:szCs w:val="24"/>
          <w:highlight w:val="white"/>
        </w:rPr>
        <w:t xml:space="preserve">供应商通过“苏采云”系统在线参与磋商活动。供应商应当按照《苏采云系统供应商操作手册》规定在 “苏采云”系统规定的时间内对响应文件进行解密。</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1.3</w:t>
      </w:r>
      <w:r>
        <w:rPr>
          <w:rFonts w:hint="eastAsia" w:ascii="宋体" w:hAnsi="宋体" w:cs="宋体"/>
          <w:sz w:val="24"/>
          <w:szCs w:val="24"/>
          <w:highlight w:val="white"/>
        </w:rPr>
        <w:t xml:space="preserve">在磋商响应文件网上递交截止时间止成功解密的磋商供应商少于三家，则本次采购失败。</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1.4</w:t>
      </w:r>
      <w:r>
        <w:rPr>
          <w:rFonts w:hint="eastAsia" w:ascii="宋体" w:hAnsi="宋体" w:cs="宋体"/>
          <w:sz w:val="24"/>
          <w:szCs w:val="24"/>
          <w:highlight w:val="white"/>
        </w:rPr>
        <w:t xml:space="preserve">由磋商小组审查供应商解密的响应文件。</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1.5</w:t>
      </w:r>
      <w:r>
        <w:rPr>
          <w:rFonts w:hint="eastAsia" w:ascii="宋体" w:hAnsi="宋体" w:cs="宋体"/>
          <w:sz w:val="24"/>
          <w:szCs w:val="24"/>
          <w:highlight w:val="whit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1.6</w:t>
      </w:r>
      <w:r>
        <w:rPr>
          <w:rFonts w:hint="eastAsia" w:ascii="宋体" w:hAnsi="宋体" w:cs="宋体"/>
          <w:sz w:val="24"/>
          <w:szCs w:val="24"/>
          <w:highlight w:val="white"/>
        </w:rPr>
        <w:t xml:space="preserve">.磋商小组要求供应商澄清、说明或者更正响应文件应当以书面形式做出。供应商的澄清、说明或者更正应当由其单位加盖电子公章。</w:t>
      </w:r>
      <w:r>
        <w:rPr>
          <w:highlight w:val="white"/>
        </w:rPr>
      </w:r>
      <w:r/>
    </w:p>
    <w:p>
      <w:pPr>
        <w:ind w:firstLine="480"/>
        <w:spacing w:line="360" w:lineRule="auto"/>
        <w:rPr>
          <w:rFonts w:hint="eastAsia" w:ascii="宋体" w:hAnsi="宋体" w:cs="宋体"/>
          <w:b/>
          <w:bCs/>
          <w:sz w:val="24"/>
          <w:szCs w:val="24"/>
          <w:highlight w:val="white"/>
        </w:rPr>
      </w:pPr>
      <w:r>
        <w:rPr>
          <w:rFonts w:ascii="宋体" w:hAnsi="宋体" w:cs="宋体"/>
          <w:sz w:val="24"/>
          <w:szCs w:val="24"/>
          <w:highlight w:val="white"/>
        </w:rPr>
        <w:t xml:space="preserve">1.6.1</w:t>
      </w:r>
      <w:r>
        <w:rPr>
          <w:rFonts w:hint="eastAsia" w:ascii="宋体" w:hAnsi="宋体" w:cs="宋体"/>
          <w:sz w:val="24"/>
          <w:szCs w:val="24"/>
          <w:highlight w:val="whit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4"/>
          <w:szCs w:val="24"/>
          <w:highlight w:val="white"/>
        </w:rPr>
        <w:t xml:space="preserve">(此处规定时间的计算以系统中的倒计时间为准，供应商应随时保持系统在线，如因供应商自身原因未在规定时间内提交澄清确认资料的，导致的不利后果由供应商自行承担。)</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1.7</w:t>
      </w:r>
      <w:r>
        <w:rPr>
          <w:rFonts w:hint="eastAsia" w:ascii="宋体" w:hAnsi="宋体" w:cs="宋体"/>
          <w:sz w:val="24"/>
          <w:szCs w:val="24"/>
          <w:highlight w:val="whit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1.8</w:t>
      </w:r>
      <w:r>
        <w:rPr>
          <w:rFonts w:hint="eastAsia" w:ascii="宋体" w:hAnsi="宋体" w:cs="宋体"/>
          <w:sz w:val="24"/>
          <w:szCs w:val="24"/>
          <w:highlight w:val="whit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1.9</w:t>
      </w:r>
      <w:r>
        <w:rPr>
          <w:rFonts w:hint="eastAsia" w:ascii="宋体" w:hAnsi="宋体" w:cs="宋体"/>
          <w:sz w:val="24"/>
          <w:szCs w:val="24"/>
          <w:highlight w:val="white"/>
        </w:rPr>
        <w:t xml:space="preserve">磋商结束后，磋商小组将在“苏采云”系统向所有实质性响应的供应商发布“最后报价要求函”及最后报价格式表，要求所有实质性响应的供应商在规定时间内提交最后报价。</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1.10</w:t>
      </w:r>
      <w:r>
        <w:rPr>
          <w:rFonts w:hint="eastAsia" w:ascii="宋体" w:hAnsi="宋体" w:cs="宋体"/>
          <w:sz w:val="24"/>
          <w:szCs w:val="24"/>
          <w:highlight w:val="white"/>
        </w:rPr>
        <w:t xml:space="preserve">最后报价</w:t>
      </w:r>
      <w:r>
        <w:rPr>
          <w:highlight w:val="white"/>
        </w:rPr>
      </w:r>
      <w:r/>
    </w:p>
    <w:p>
      <w:pPr>
        <w:ind w:firstLine="480"/>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1.10.1供应商未在磋商小组规定的时间内在“苏采云”系统中提交最后报价的视为放弃磋商，其响应文件按无效响应处理，最后报价格式表须加盖CA电子公章,否则视为未提交最后报价。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sz w:val="24"/>
          <w:szCs w:val="24"/>
          <w:highlight w:val="white"/>
        </w:rPr>
        <w:t xml:space="preserve">（此处规定时间的计算以系统中的倒计时间为准，系统中的线上最后报价请供应商慎重提交）</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1.10.2</w:t>
      </w:r>
      <w:r>
        <w:rPr>
          <w:rFonts w:hint="eastAsia" w:ascii="宋体" w:hAnsi="宋体" w:cs="宋体"/>
          <w:sz w:val="24"/>
          <w:szCs w:val="24"/>
          <w:highlight w:val="white"/>
        </w:rPr>
        <w:t xml:space="preserve">已提交响应文件的供应商，在提交最后报价之前，可以根据磋商情况退出磋商，并在“苏采云”系统中提交“退出磋商函”并加盖CA电子公章。</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w:t>
      </w:r>
      <w:r>
        <w:rPr>
          <w:rFonts w:hint="eastAsia" w:ascii="宋体" w:hAnsi="宋体" w:cs="宋体"/>
          <w:sz w:val="24"/>
          <w:szCs w:val="24"/>
          <w:highlight w:val="white"/>
        </w:rPr>
        <w:t xml:space="preserve">10.3进入项目评审流程后，建议各供应商法定代表人或授权委托人始终保持通讯顺畅，时刻关注不见面开标大厅，不离开不见面开标大厅。</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w:t>
      </w:r>
      <w:r>
        <w:rPr>
          <w:rFonts w:hint="eastAsia" w:ascii="宋体" w:hAnsi="宋体" w:cs="宋体"/>
          <w:sz w:val="24"/>
          <w:szCs w:val="24"/>
          <w:highlight w:val="white"/>
        </w:rPr>
        <w:t xml:space="preserve">10.4供应商根据磋商情况进行承诺说明并填写承诺函、填写最后报价（未填写单价的，合同单价按最后报价比第一次报价同比例下（上）浮）。</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w:t>
      </w:r>
      <w:r>
        <w:rPr>
          <w:rFonts w:hint="eastAsia" w:ascii="宋体" w:hAnsi="宋体" w:cs="宋体"/>
          <w:sz w:val="24"/>
          <w:szCs w:val="24"/>
          <w:highlight w:val="white"/>
        </w:rPr>
        <w:t xml:space="preserve">10.5最后报价及承诺函是响应供应商响应文件的有效组成部分，且最后报价超采购预算者无成交资格。</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1.11</w:t>
      </w:r>
      <w:r>
        <w:rPr>
          <w:rFonts w:hint="eastAsia" w:ascii="宋体" w:hAnsi="宋体" w:cs="宋体"/>
          <w:sz w:val="24"/>
          <w:szCs w:val="24"/>
          <w:highlight w:val="white"/>
        </w:rPr>
        <w:t xml:space="preserve">经磋商确定最终采购需求和提交最后报价的供应商后，由磋商小组采用综合评分法对提交最后报价的供应商的响应文件和最后报价进行综合评分。</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w:t>
      </w:r>
      <w:r>
        <w:rPr>
          <w:rFonts w:hint="eastAsia" w:ascii="宋体" w:hAnsi="宋体" w:cs="宋体"/>
          <w:sz w:val="24"/>
          <w:szCs w:val="24"/>
          <w:highlight w:val="white"/>
        </w:rPr>
        <w:t xml:space="preserve">.12磋商小组根据磋商成交原则确定成交供应商，并将结果通知所有参加磋商的供应商。</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w:t>
      </w:r>
      <w:r>
        <w:rPr>
          <w:rFonts w:hint="eastAsia" w:ascii="宋体" w:hAnsi="宋体" w:cs="宋体"/>
          <w:sz w:val="24"/>
          <w:szCs w:val="24"/>
          <w:highlight w:val="white"/>
        </w:rPr>
        <w:t xml:space="preserve">.13</w:t>
      </w:r>
      <w:r>
        <w:rPr>
          <w:rFonts w:hint="eastAsia" w:ascii="宋体" w:hAnsi="宋体" w:cs="宋体"/>
          <w:sz w:val="24"/>
          <w:szCs w:val="24"/>
          <w:highlight w:val="white"/>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szCs w:val="24"/>
          <w:highlight w:val="white"/>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rPr>
          <w:highlight w:val="white"/>
        </w:rPr>
      </w:r>
      <w:r/>
    </w:p>
    <w:p>
      <w:pPr>
        <w:ind w:firstLine="480"/>
        <w:spacing w:line="360" w:lineRule="auto"/>
        <w:rPr>
          <w:highlight w:val="white"/>
        </w:rPr>
      </w:pPr>
      <w:r>
        <w:rPr>
          <w:rFonts w:ascii="宋体" w:hAnsi="宋体" w:cs="宋体"/>
          <w:sz w:val="24"/>
          <w:szCs w:val="24"/>
          <w:highlight w:val="white"/>
        </w:rPr>
        <w:t xml:space="preserve">1.14</w:t>
      </w:r>
      <w:r>
        <w:rPr>
          <w:rFonts w:hint="eastAsia" w:ascii="宋体" w:hAnsi="宋体" w:cs="宋体"/>
          <w:sz w:val="24"/>
          <w:szCs w:val="24"/>
          <w:highlight w:val="white"/>
        </w:rPr>
        <w:t xml:space="preserve">如磋商过程中出现本采购文件未尽事宜，由磋商小组根据政府采购有关法律、法规讨论决定。</w:t>
      </w:r>
      <w:r>
        <w:rPr>
          <w:highlight w:val="white"/>
        </w:rPr>
      </w:r>
      <w:r/>
    </w:p>
    <w:p>
      <w:pPr>
        <w:ind w:firstLine="480"/>
        <w:spacing w:line="360" w:lineRule="auto"/>
        <w:rPr>
          <w:rFonts w:hint="eastAsia" w:ascii="宋体" w:hAnsi="宋体" w:cs="宋体"/>
          <w:b/>
          <w:bCs/>
          <w:sz w:val="24"/>
          <w:szCs w:val="24"/>
          <w:highlight w:val="white"/>
        </w:rPr>
      </w:pPr>
      <w:r>
        <w:rPr>
          <w:rFonts w:hint="eastAsia" w:ascii="宋体" w:hAnsi="宋体" w:cs="宋体"/>
          <w:b/>
          <w:bCs/>
          <w:sz w:val="24"/>
          <w:szCs w:val="24"/>
          <w:highlight w:val="white"/>
        </w:rPr>
        <w:t xml:space="preserve">（七）竞争性磋商小组</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1.</w:t>
      </w:r>
      <w:r>
        <w:rPr>
          <w:rFonts w:hint="eastAsia" w:ascii="宋体" w:hAnsi="宋体" w:cs="宋体"/>
          <w:sz w:val="24"/>
          <w:szCs w:val="24"/>
          <w:highlight w:val="white"/>
        </w:rPr>
        <w:t xml:space="preserve">竞争性磋商小组由采购人代表和评审专家共3人以上单数组成，其中评审专家人数不得少于竞争性磋商小组成员总数的2/3。采购人代表不得以评审专家身份参加本部门或本单位采购项目的评审。</w:t>
      </w:r>
      <w:r>
        <w:rPr>
          <w:highlight w:val="white"/>
        </w:rPr>
      </w:r>
      <w:r/>
    </w:p>
    <w:p>
      <w:pPr>
        <w:ind w:firstLine="480"/>
        <w:spacing w:line="360" w:lineRule="auto"/>
        <w:rPr>
          <w:rFonts w:hint="eastAsia" w:ascii="宋体" w:hAnsi="宋体" w:cs="宋体"/>
          <w:sz w:val="24"/>
          <w:szCs w:val="24"/>
          <w:highlight w:val="white"/>
        </w:rPr>
      </w:pPr>
      <w:r>
        <w:rPr>
          <w:rFonts w:ascii="宋体" w:hAnsi="宋体" w:cs="宋体"/>
          <w:sz w:val="24"/>
          <w:szCs w:val="24"/>
          <w:highlight w:val="white"/>
        </w:rPr>
        <w:t xml:space="preserve">2.</w:t>
      </w:r>
      <w:r>
        <w:rPr>
          <w:rFonts w:hint="eastAsia" w:ascii="宋体" w:hAnsi="宋体" w:cs="宋体"/>
          <w:sz w:val="24"/>
          <w:szCs w:val="24"/>
          <w:highlight w:val="white"/>
        </w:rPr>
        <w:t xml:space="preserve">竞争性磋商小组负责具体的磋商事务，并独立履行以下职责：</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2.1确认或者制定磋商文件；</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2.2从符合相应资格条件的磋商响应供应商名单中确定磋商响应供应商参加磋商；</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2.3审查磋商响应供应商的响应文件并作出评价；</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2.4要求磋商响应供应商解释或者澄清其响应文件；</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2.5编写评审报告；</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2.6告知采购人、采购代理机构在评审过程中发现的磋商响应供应商的违法违规行为。</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3.竞争性磋商小组成员应当履行下列义务：</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3.1遵纪守法，客观、公正、廉洁地履行职责；</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3.2按照磋商文件规定的评审办法独立进行评审，对个人的评审意见承担法律责任；</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3.3参与评审报告的起草；</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3.4配合采购人、采购代理机构答复磋商响应供应商提出的质疑；</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3.5配合财政部门的投诉处理和监督检查工作。</w:t>
      </w:r>
      <w:r>
        <w:rPr>
          <w:highlight w:val="white"/>
        </w:rPr>
      </w:r>
      <w:r/>
    </w:p>
    <w:p>
      <w:pPr>
        <w:pStyle w:val="796"/>
        <w:jc w:val="center"/>
        <w:spacing w:beforeAutospacing="0" w:afterAutospacing="0"/>
        <w:widowControl/>
        <w:rPr>
          <w:rStyle w:val="801"/>
          <w:rFonts w:ascii="sans-serif" w:hAnsi="sans-serif" w:eastAsia="sans-serif" w:cs="sans-serif"/>
          <w:b w:val="0"/>
          <w:highlight w:val="white"/>
        </w:rPr>
      </w:pPr>
      <w:r>
        <w:rPr>
          <w:rStyle w:val="801"/>
          <w:rFonts w:hint="eastAsia" w:ascii="宋体" w:hAnsi="宋体" w:cs="宋体"/>
          <w:sz w:val="43"/>
          <w:szCs w:val="43"/>
          <w:highlight w:val="white"/>
        </w:rPr>
        <w:t xml:space="preserve">第三章 评审方法及评分标准</w:t>
      </w:r>
      <w:r>
        <w:rPr>
          <w:highlight w:val="white"/>
        </w:rPr>
      </w:r>
      <w:r/>
    </w:p>
    <w:p>
      <w:pPr>
        <w:spacing w:before="240" w:line="360" w:lineRule="auto"/>
        <w:rPr>
          <w:rFonts w:hint="eastAsia" w:ascii="宋体" w:hAnsi="宋体"/>
          <w:b/>
          <w:bCs/>
          <w:sz w:val="24"/>
          <w:szCs w:val="24"/>
          <w:highlight w:val="white"/>
        </w:rPr>
      </w:pPr>
      <w:r>
        <w:rPr>
          <w:rFonts w:hint="eastAsia" w:ascii="宋体" w:hAnsi="宋体"/>
          <w:b/>
          <w:bCs/>
          <w:sz w:val="24"/>
          <w:szCs w:val="24"/>
          <w:highlight w:val="white"/>
        </w:rPr>
        <w:t xml:space="preserve">一、评审办法</w:t>
      </w:r>
      <w:r>
        <w:rPr>
          <w:highlight w:val="white"/>
        </w:rPr>
      </w:r>
      <w:r/>
    </w:p>
    <w:p>
      <w:pPr>
        <w:ind w:firstLine="480"/>
        <w:spacing w:line="360" w:lineRule="auto"/>
        <w:rPr>
          <w:rFonts w:hint="eastAsia" w:ascii="宋体" w:hAnsi="宋体"/>
          <w:bCs/>
          <w:sz w:val="24"/>
          <w:szCs w:val="24"/>
          <w:highlight w:val="white"/>
        </w:rPr>
      </w:pPr>
      <w:r>
        <w:rPr>
          <w:rFonts w:hint="eastAsia" w:ascii="宋体" w:hAnsi="宋体"/>
          <w:bCs/>
          <w:sz w:val="24"/>
          <w:szCs w:val="24"/>
          <w:highlight w:val="white"/>
        </w:rPr>
        <w:t xml:space="preserve">1.本次磋商采用综合评分法，即在响应文件满足采购文件全部实质性要求且按评审因素的量化指标评审得分最高的供应商为成交候选供应商。采购人书面授权磋商小组直接确定成交供应商。</w:t>
      </w:r>
      <w:r>
        <w:rPr>
          <w:highlight w:val="white"/>
        </w:rPr>
      </w:r>
      <w:r/>
    </w:p>
    <w:p>
      <w:pPr>
        <w:ind w:firstLine="480"/>
        <w:spacing w:line="360" w:lineRule="auto"/>
        <w:rPr>
          <w:highlight w:val="white"/>
        </w:rPr>
      </w:pPr>
      <w:r>
        <w:rPr>
          <w:rFonts w:hint="eastAsia" w:ascii="宋体" w:hAnsi="宋体"/>
          <w:bCs/>
          <w:sz w:val="24"/>
          <w:szCs w:val="24"/>
          <w:highlight w:val="white"/>
        </w:rPr>
        <w:t xml:space="preserve">2.评审小组各成员独立对每个进入打分程序的有效磋商供应商的响应文件技术和资质部分以打分的形式进行评审和评价。 </w:t>
      </w:r>
      <w:r>
        <w:rPr>
          <w:highlight w:val="white"/>
        </w:rPr>
      </w:r>
      <w:r/>
    </w:p>
    <w:p>
      <w:pPr>
        <w:ind w:firstLine="480"/>
        <w:spacing w:line="360" w:lineRule="auto"/>
        <w:rPr>
          <w:rFonts w:hint="eastAsia" w:ascii="宋体" w:hAnsi="宋体"/>
          <w:bCs/>
          <w:sz w:val="24"/>
          <w:szCs w:val="24"/>
          <w:highlight w:val="white"/>
        </w:rPr>
      </w:pPr>
      <w:r>
        <w:rPr>
          <w:rFonts w:hint="eastAsia" w:ascii="宋体" w:hAnsi="宋体"/>
          <w:bCs/>
          <w:sz w:val="24"/>
          <w:szCs w:val="24"/>
          <w:highlight w:val="white"/>
        </w:rPr>
        <w:t xml:space="preserve">3.对评委的评分进行统计汇总，直接算术平均计算得分，计算出每个磋商供应商的得分，加上价格得分即为每个磋商供应商的综合得分。 </w:t>
      </w:r>
      <w:r>
        <w:rPr>
          <w:highlight w:val="white"/>
        </w:rPr>
      </w:r>
      <w:r/>
    </w:p>
    <w:p>
      <w:pPr>
        <w:ind w:firstLine="480"/>
        <w:spacing w:line="360" w:lineRule="auto"/>
        <w:rPr>
          <w:rFonts w:hint="eastAsia" w:ascii="宋体" w:hAnsi="宋体"/>
          <w:bCs/>
          <w:sz w:val="24"/>
          <w:szCs w:val="24"/>
          <w:highlight w:val="white"/>
        </w:rPr>
      </w:pPr>
      <w:r>
        <w:rPr>
          <w:rFonts w:hint="eastAsia" w:ascii="宋体" w:hAnsi="宋体"/>
          <w:bCs/>
          <w:sz w:val="24"/>
          <w:szCs w:val="24"/>
          <w:highlight w:val="white"/>
        </w:rPr>
        <w:t xml:space="preserve">4.如出现评审总得分最高的磋商供应商有两个或两个以上的，以磋商报价较低者优先作为成交候选人，如果磋商报价也相同的，则由采购人组织以抽签方式确定成交候选人。</w:t>
      </w:r>
      <w:r>
        <w:rPr>
          <w:highlight w:val="white"/>
        </w:rPr>
      </w:r>
      <w:r/>
    </w:p>
    <w:p>
      <w:pPr>
        <w:ind w:firstLine="480"/>
        <w:spacing w:line="360" w:lineRule="auto"/>
        <w:rPr>
          <w:rFonts w:hint="eastAsia" w:ascii="宋体" w:hAnsi="宋体"/>
          <w:bCs/>
          <w:sz w:val="24"/>
          <w:szCs w:val="24"/>
          <w:highlight w:val="white"/>
        </w:rPr>
      </w:pPr>
      <w:r>
        <w:rPr>
          <w:rFonts w:hint="eastAsia" w:ascii="宋体" w:hAnsi="宋体"/>
          <w:bCs/>
          <w:sz w:val="24"/>
          <w:szCs w:val="24"/>
          <w:highlight w:val="white"/>
        </w:rPr>
        <w:t xml:space="preserve">5.评审过程中出现下列情形之一的，评审委员会将启动异常低价投标（响应）审查程序：</w:t>
      </w:r>
      <w:r>
        <w:rPr>
          <w:highlight w:val="white"/>
        </w:rPr>
      </w:r>
      <w:r/>
    </w:p>
    <w:p>
      <w:pPr>
        <w:ind w:firstLine="480"/>
        <w:spacing w:line="360" w:lineRule="auto"/>
        <w:rPr>
          <w:rFonts w:hint="eastAsia" w:ascii="宋体" w:hAnsi="宋体"/>
          <w:bCs/>
          <w:sz w:val="24"/>
          <w:szCs w:val="24"/>
          <w:highlight w:val="white"/>
        </w:rPr>
      </w:pPr>
      <w:r>
        <w:rPr>
          <w:rFonts w:hint="eastAsia" w:ascii="宋体" w:hAnsi="宋体"/>
          <w:bCs/>
          <w:sz w:val="24"/>
          <w:szCs w:val="24"/>
          <w:highlight w:val="white"/>
        </w:rPr>
        <w:t xml:space="preserve">（1）投标（响应）报价低于全部通过符合性审查供应商投标（响应）报价平均值50%的，即投标（响应）报价＜全部通过符合性审查供应商投标（响应）报价平均值×50%；</w:t>
      </w:r>
      <w:r>
        <w:rPr>
          <w:highlight w:val="white"/>
        </w:rPr>
      </w:r>
      <w:r/>
    </w:p>
    <w:p>
      <w:pPr>
        <w:ind w:firstLine="480"/>
        <w:spacing w:line="360" w:lineRule="auto"/>
        <w:rPr>
          <w:rFonts w:hint="eastAsia" w:ascii="宋体" w:hAnsi="宋体"/>
          <w:bCs/>
          <w:sz w:val="24"/>
          <w:szCs w:val="24"/>
          <w:highlight w:val="white"/>
        </w:rPr>
      </w:pPr>
      <w:r>
        <w:rPr>
          <w:rFonts w:hint="eastAsia" w:ascii="宋体" w:hAnsi="宋体"/>
          <w:bCs/>
          <w:sz w:val="24"/>
          <w:szCs w:val="24"/>
          <w:highlight w:val="white"/>
        </w:rPr>
        <w:t xml:space="preserve">（2）投标（响应）报价低于通过符合性审查的次低报价供应商投标（响应）报价50%的，即投标（响应）报价＜通过符合性审查的次低报价供应商投标（响应）报价×50%；</w:t>
      </w:r>
      <w:r>
        <w:rPr>
          <w:highlight w:val="white"/>
        </w:rPr>
      </w:r>
      <w:r/>
    </w:p>
    <w:p>
      <w:pPr>
        <w:ind w:firstLine="480"/>
        <w:spacing w:line="360" w:lineRule="auto"/>
        <w:rPr>
          <w:rFonts w:hint="eastAsia" w:ascii="宋体" w:hAnsi="宋体"/>
          <w:bCs/>
          <w:sz w:val="24"/>
          <w:szCs w:val="24"/>
          <w:highlight w:val="white"/>
        </w:rPr>
      </w:pPr>
      <w:r>
        <w:rPr>
          <w:rFonts w:hint="eastAsia" w:ascii="宋体" w:hAnsi="宋体"/>
          <w:bCs/>
          <w:sz w:val="24"/>
          <w:szCs w:val="24"/>
          <w:highlight w:val="white"/>
        </w:rPr>
        <w:t xml:space="preserve">（3）投标（响应）报价低于采购项目最高限价45%的，即投标（响应）报价＜采购项目最高限价×45%；</w:t>
      </w:r>
      <w:r>
        <w:rPr>
          <w:highlight w:val="white"/>
        </w:rPr>
      </w:r>
      <w:r/>
    </w:p>
    <w:p>
      <w:pPr>
        <w:ind w:firstLine="480"/>
        <w:spacing w:line="360" w:lineRule="auto"/>
        <w:rPr>
          <w:rFonts w:hint="eastAsia" w:ascii="宋体" w:hAnsi="宋体"/>
          <w:bCs/>
          <w:sz w:val="24"/>
          <w:szCs w:val="24"/>
          <w:highlight w:val="white"/>
        </w:rPr>
      </w:pPr>
      <w:r>
        <w:rPr>
          <w:rFonts w:hint="eastAsia" w:ascii="宋体" w:hAnsi="宋体"/>
          <w:bCs/>
          <w:sz w:val="24"/>
          <w:szCs w:val="24"/>
          <w:highlight w:val="white"/>
        </w:rPr>
        <w:t xml:space="preserve">6.评审委员会基于专业判断，认为供应商报价过低，有可能影响产品质量或者不能诚信履约的其他情形。</w:t>
      </w:r>
      <w:r>
        <w:rPr>
          <w:highlight w:val="white"/>
        </w:rPr>
      </w:r>
      <w:r/>
    </w:p>
    <w:p>
      <w:pPr>
        <w:ind w:firstLine="480"/>
        <w:spacing w:line="360" w:lineRule="auto"/>
        <w:rPr>
          <w:rFonts w:hint="eastAsia" w:ascii="宋体" w:hAnsi="宋体"/>
          <w:bCs/>
          <w:sz w:val="24"/>
          <w:szCs w:val="24"/>
          <w:highlight w:val="white"/>
        </w:rPr>
      </w:pPr>
      <w:r>
        <w:rPr>
          <w:rFonts w:hint="eastAsia" w:ascii="宋体" w:hAnsi="宋体"/>
          <w:bCs/>
          <w:sz w:val="24"/>
          <w:szCs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bCs/>
          <w:sz w:val="24"/>
          <w:szCs w:val="24"/>
          <w:highlight w:val="white"/>
        </w:rPr>
        <w:t xml:space="preserve">7.评审委员会依据专业经验，参考同类项目中标(成交)价格、类似产品市场价格水平、行业人</w:t>
      </w:r>
      <w:r>
        <w:rPr>
          <w:rFonts w:hint="eastAsia" w:ascii="宋体" w:hAnsi="宋体" w:cs="宋体"/>
          <w:bCs/>
          <w:sz w:val="24"/>
          <w:szCs w:val="24"/>
          <w:highlight w:val="white"/>
        </w:rPr>
        <w:t xml:space="preserve">工费用标准、国家有关部门指</w:t>
      </w:r>
      <w:r>
        <w:rPr>
          <w:rFonts w:hint="eastAsia" w:ascii="宋体" w:hAnsi="宋体" w:cs="宋体"/>
          <w:sz w:val="24"/>
          <w:szCs w:val="24"/>
          <w:highlight w:val="white"/>
        </w:rPr>
        <w:t xml:space="preserve">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r/>
    </w:p>
    <w:p>
      <w:pPr>
        <w:jc w:val="left"/>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pStyle w:val="796"/>
        <w:spacing w:beforeAutospacing="0" w:afterAutospacing="0" w:line="360" w:lineRule="auto"/>
        <w:rPr>
          <w:rFonts w:hint="eastAsia" w:ascii="宋体" w:hAnsi="宋体" w:cs="宋体"/>
          <w:b/>
          <w:bCs/>
          <w:highlight w:val="white"/>
        </w:rPr>
        <w:outlineLvl w:val="1"/>
      </w:pPr>
      <w:r>
        <w:rPr>
          <w:rFonts w:hint="eastAsia" w:ascii="宋体" w:hAnsi="宋体" w:cs="宋体"/>
          <w:b/>
          <w:bCs/>
          <w:highlight w:val="white"/>
        </w:rPr>
        <w:t xml:space="preserve">二、评分标准</w:t>
      </w:r>
      <w:r>
        <w:rPr>
          <w:highlight w:val="white"/>
        </w:rPr>
      </w:r>
      <w:r/>
    </w:p>
    <w:p>
      <w:pPr>
        <w:numPr>
          <w:ilvl w:val="0"/>
          <w:numId w:val="22"/>
        </w:numPr>
        <w:spacing w:line="360" w:lineRule="auto"/>
        <w:rPr>
          <w:rFonts w:hint="eastAsia" w:ascii="宋体" w:hAnsi="宋体" w:cs="宋体"/>
          <w:b/>
          <w:sz w:val="24"/>
          <w:szCs w:val="24"/>
          <w:highlight w:val="white"/>
        </w:rPr>
      </w:pPr>
      <w:r>
        <w:rPr>
          <w:highlight w:val="white"/>
        </w:rPr>
      </w:r>
      <w:bookmarkStart w:id="7" w:name="OLE_LINK2"/>
      <w:r>
        <w:rPr>
          <w:rFonts w:hint="eastAsia" w:ascii="宋体" w:hAnsi="宋体" w:cs="宋体"/>
          <w:b/>
          <w:sz w:val="24"/>
          <w:szCs w:val="24"/>
          <w:highlight w:val="white"/>
        </w:rPr>
        <w:t xml:space="preserve">价格分（10分）</w:t>
      </w:r>
      <w:r>
        <w:rPr>
          <w:highlight w:val="white"/>
        </w:rPr>
      </w:r>
      <w:r/>
    </w:p>
    <w:p>
      <w:pPr>
        <w:numPr>
          <w:ilvl w:val="0"/>
          <w:numId w:val="23"/>
        </w:numPr>
        <w:spacing w:line="360" w:lineRule="auto"/>
        <w:tabs>
          <w:tab w:val="left" w:pos="840" w:leader="none"/>
          <w:tab w:val="left" w:pos="2870" w:leader="none"/>
        </w:tabs>
        <w:rPr>
          <w:rFonts w:hint="eastAsia" w:ascii="宋体" w:hAnsi="宋体" w:cs="宋体"/>
          <w:sz w:val="24"/>
          <w:szCs w:val="24"/>
          <w:highlight w:val="white"/>
        </w:rPr>
      </w:pPr>
      <w:r>
        <w:rPr>
          <w:rFonts w:hint="eastAsia" w:ascii="宋体" w:hAnsi="宋体" w:cs="宋体"/>
          <w:sz w:val="24"/>
          <w:szCs w:val="24"/>
          <w:highlight w:val="white"/>
        </w:rPr>
        <w:t xml:space="preserve">磋商报价在磋商文件规定的范围内为有效报价。超出此范围的报价为无效报价。无效磋商报价的响应文件不进行评审，也不得标。</w:t>
      </w:r>
      <w:r>
        <w:rPr>
          <w:highlight w:val="white"/>
        </w:rPr>
      </w:r>
      <w:r/>
    </w:p>
    <w:p>
      <w:pPr>
        <w:numPr>
          <w:ilvl w:val="0"/>
          <w:numId w:val="23"/>
        </w:numPr>
        <w:spacing w:line="360" w:lineRule="auto"/>
        <w:tabs>
          <w:tab w:val="left" w:pos="840" w:leader="none"/>
          <w:tab w:val="left" w:pos="2870" w:leader="none"/>
        </w:tabs>
        <w:rPr>
          <w:rFonts w:hint="eastAsia" w:ascii="宋体" w:hAnsi="宋体" w:cs="宋体"/>
          <w:sz w:val="24"/>
          <w:szCs w:val="24"/>
          <w:highlight w:val="white"/>
        </w:rPr>
      </w:pPr>
      <w:r>
        <w:rPr>
          <w:rFonts w:hint="eastAsia" w:ascii="宋体" w:hAnsi="宋体" w:cs="宋体"/>
          <w:sz w:val="24"/>
          <w:szCs w:val="24"/>
          <w:highlight w:val="white"/>
        </w:rPr>
        <w:t xml:space="preserve">价格得分计算方法：根据各响应单位通过符合性审查的有效磋商报价中的最低价作为评审基准价，其价格分为满分。</w:t>
      </w:r>
      <w:r>
        <w:rPr>
          <w:highlight w:val="white"/>
        </w:rPr>
      </w:r>
      <w:r/>
    </w:p>
    <w:p>
      <w:pPr>
        <w:numPr>
          <w:ilvl w:val="0"/>
          <w:numId w:val="23"/>
        </w:numPr>
        <w:spacing w:line="360" w:lineRule="auto"/>
        <w:tabs>
          <w:tab w:val="left" w:pos="840" w:leader="none"/>
          <w:tab w:val="left" w:pos="2870" w:leader="none"/>
        </w:tabs>
        <w:rPr>
          <w:rFonts w:hint="eastAsia" w:ascii="宋体" w:hAnsi="宋体" w:cs="宋体"/>
          <w:sz w:val="24"/>
          <w:szCs w:val="24"/>
          <w:highlight w:val="white"/>
        </w:rPr>
      </w:pPr>
      <w:r>
        <w:rPr>
          <w:rFonts w:hint="eastAsia" w:ascii="宋体" w:hAnsi="宋体" w:cs="宋体"/>
          <w:sz w:val="24"/>
          <w:szCs w:val="24"/>
          <w:highlight w:val="white"/>
        </w:rPr>
        <w:t xml:space="preserve">其他响应单位的价格分统一按照下列公式计算：</w:t>
      </w:r>
      <w:r>
        <w:rPr>
          <w:highlight w:val="white"/>
        </w:rPr>
      </w:r>
      <w:r/>
    </w:p>
    <w:p>
      <w:pPr>
        <w:ind w:left="567"/>
        <w:spacing w:line="360" w:lineRule="auto"/>
        <w:tabs>
          <w:tab w:val="left" w:pos="567" w:leader="none"/>
        </w:tabs>
        <w:rPr>
          <w:rFonts w:hint="eastAsia" w:ascii="宋体" w:hAnsi="宋体" w:cs="宋体"/>
          <w:sz w:val="24"/>
          <w:szCs w:val="24"/>
          <w:highlight w:val="white"/>
        </w:rPr>
      </w:pPr>
      <w:r>
        <w:rPr>
          <w:rFonts w:hint="eastAsia" w:ascii="宋体" w:hAnsi="宋体" w:cs="宋体"/>
          <w:sz w:val="24"/>
          <w:szCs w:val="24"/>
          <w:highlight w:val="white"/>
        </w:rPr>
        <w:t xml:space="preserve">磋商报价得分=（评审基准价/磋商报价）×价格权值×100（本次磋商报价权值为10%）（保留小数点后二位）。</w:t>
      </w:r>
      <w:r>
        <w:rPr>
          <w:highlight w:val="white"/>
        </w:rPr>
      </w:r>
      <w:r/>
    </w:p>
    <w:p>
      <w:pPr>
        <w:numPr>
          <w:ilvl w:val="0"/>
          <w:numId w:val="22"/>
        </w:numPr>
        <w:spacing w:line="360" w:lineRule="auto"/>
        <w:rPr>
          <w:rFonts w:hint="eastAsia" w:ascii="宋体" w:hAnsi="宋体" w:cs="宋体"/>
          <w:b/>
          <w:sz w:val="24"/>
          <w:szCs w:val="24"/>
          <w:highlight w:val="white"/>
        </w:rPr>
      </w:pPr>
      <w:r>
        <w:rPr>
          <w:rFonts w:hint="eastAsia" w:ascii="宋体" w:hAnsi="宋体" w:cs="宋体"/>
          <w:b/>
          <w:sz w:val="24"/>
          <w:szCs w:val="24"/>
          <w:highlight w:val="white"/>
        </w:rPr>
        <w:t xml:space="preserve">技术服务方案、水平（68分）</w:t>
      </w:r>
      <w:r>
        <w:rPr>
          <w:highlight w:val="white"/>
        </w:rPr>
      </w:r>
      <w:r/>
    </w:p>
    <w:p>
      <w:pPr>
        <w:numPr>
          <w:ilvl w:val="0"/>
          <w:numId w:val="24"/>
        </w:numPr>
        <w:spacing w:line="360" w:lineRule="auto"/>
        <w:tabs>
          <w:tab w:val="left" w:pos="840" w:leader="none"/>
          <w:tab w:val="left" w:pos="2870" w:leader="none"/>
        </w:tabs>
        <w:rPr>
          <w:rFonts w:hint="eastAsia" w:ascii="宋体" w:hAnsi="宋体" w:cs="宋体"/>
          <w:sz w:val="24"/>
          <w:szCs w:val="24"/>
          <w:highlight w:val="white"/>
        </w:rPr>
      </w:pPr>
      <w:r>
        <w:rPr>
          <w:rFonts w:hint="eastAsia" w:ascii="宋体" w:hAnsi="宋体" w:cs="宋体"/>
          <w:sz w:val="24"/>
          <w:szCs w:val="24"/>
          <w:highlight w:val="white"/>
        </w:rPr>
        <w:t xml:space="preserve">针对本项目的运维实施方案（38分） </w:t>
      </w:r>
      <w:r>
        <w:rPr>
          <w:highlight w:val="white"/>
        </w:rPr>
      </w:r>
      <w:r/>
    </w:p>
    <w:p>
      <w:pPr>
        <w:numPr>
          <w:ilvl w:val="0"/>
          <w:numId w:val="25"/>
        </w:numPr>
        <w:contextualSpacing/>
        <w:jc w:val="left"/>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环境空气监测自动站的日常运行维护方案，方案完整、合理、可行、有针对性，完全匹配本项目监测站点工况、场地环境、监测指标要求，常态化运维频次、巡查点位、操作流程详细、明确，完全贴合采购需求的得10分；方案较合理、较可行、基本有针对性，对于本项目监测站点整体描述较齐全，明确了其中核心的运维流程及常规巡检频次、基础操作内容，符合采购需求的得7分；方案基本合理、基本可行，对于本项目监测站点实际仅有简单描述，日常运维内容阐述较粗糙，基本满足采购需求的得4分；方案不太合理、不太可行得1分；否则不得分。</w:t>
      </w:r>
      <w:r>
        <w:rPr>
          <w:highlight w:val="white"/>
        </w:rPr>
      </w:r>
      <w:r/>
    </w:p>
    <w:p>
      <w:pPr>
        <w:numPr>
          <w:ilvl w:val="0"/>
          <w:numId w:val="25"/>
        </w:numPr>
        <w:contextualSpacing/>
        <w:jc w:val="left"/>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环境空气监测自动站的设备维护及维修方案，覆盖监测站点所有核心设备的维护、检修、故障排查、零部件更换全流程，</w:t>
      </w:r>
      <w:r>
        <w:rPr>
          <w:rFonts w:hint="eastAsia" w:ascii="宋体" w:hAnsi="宋体" w:cs="宋体"/>
          <w:bCs/>
          <w:sz w:val="24"/>
          <w:szCs w:val="24"/>
          <w:highlight w:val="white"/>
        </w:rPr>
        <w:t xml:space="preserve">明确各类设备定期保养细则、故障分类判定标准，细化快速检修流程、故障响应时效、备品备件以及备机的储备清单（包括维护需更换的备件种类、价格以及来源）、零部件更换周期，方案完整、合理、可行、有针对性，完全贴合采购需求的得10分；方案包括了站点大部分主要设备的维护流程并由相应的维护标准，故障处理措施及时效较明确，整体方案内容较合理、较可行、基本有针对性，符合采购需求的得7分；方案仅简单列举部分设备的维护流程内容，表述较笼统，内容基本合理、基本可行，基本满足采购需求的得4分；方案不太合理、不太可行得1分；否则不得分。</w:t>
      </w:r>
      <w:r>
        <w:rPr>
          <w:highlight w:val="white"/>
        </w:rPr>
      </w:r>
      <w:r/>
    </w:p>
    <w:p>
      <w:pPr>
        <w:numPr>
          <w:ilvl w:val="0"/>
          <w:numId w:val="25"/>
        </w:numPr>
        <w:contextualSpacing/>
        <w:jc w:val="left"/>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环境空气监测自动站的系统质量管理方案，方案建立全流程质量管理体系，覆盖运维全环节质量管控，质量管理组织架构及岗位职责清晰，结合运维管理目标，明确各环节操作规范，内容完整、合理、可行、有针对性，完全贴合采购需求的得10分；方案包括主要的质量管理体系，覆盖了主要运维环节，符合行业通用标准，内容较合理、较可行、基本有针对性，符合采购需求的得7分；方案包含基础质量管理内容，仅明确常规校准、</w:t>
      </w:r>
      <w:r>
        <w:rPr>
          <w:rFonts w:hint="eastAsia" w:ascii="宋体" w:hAnsi="宋体" w:cs="宋体"/>
          <w:bCs/>
          <w:sz w:val="24"/>
          <w:szCs w:val="24"/>
          <w:highlight w:val="white"/>
        </w:rPr>
        <w:t xml:space="preserve">核查基础要求；质量管理流程、标准表述笼统，内容基本合理、基本可行，基本满足采购需求的得4分；方案不太合理、不太可行得1分；否则不得分。</w:t>
      </w:r>
      <w:r>
        <w:rPr>
          <w:highlight w:val="white"/>
        </w:rPr>
      </w:r>
      <w:r/>
    </w:p>
    <w:p>
      <w:pPr>
        <w:numPr>
          <w:ilvl w:val="0"/>
          <w:numId w:val="25"/>
        </w:numPr>
        <w:contextualSpacing/>
        <w:jc w:val="left"/>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子站通讯及数据采集系统</w:t>
      </w:r>
      <w:r>
        <w:rPr>
          <w:rFonts w:hint="eastAsia" w:ascii="宋体" w:hAnsi="宋体" w:cs="宋体"/>
          <w:bCs/>
          <w:sz w:val="24"/>
          <w:szCs w:val="24"/>
          <w:highlight w:val="white"/>
        </w:rPr>
        <w:t xml:space="preserve">的维护及维修方案，方案明确主要任务目标，全面覆盖子站网络通讯、数据采集模块、数据对接系统平台的日常维护、故障排查、维修优化；明确各类问题的补救措施、备用通讯方案等，内容完整、合理、可行、有针对性，完全贴合采购需求的得8分；方案包括核心故障处置、数据采集、传输保障措施齐全，基本能够保障项目数据稳定，内容较合理、较可行、基本有针对性，符合采购需求的得5分；方案包含基础通讯、数据采集运维内容，数据采集、传输问题处置流程较简单，基本合理、基本可行，基本满足采购需求的得3分；方案不太合理、不太可行得1分；否则不得分。</w:t>
      </w:r>
      <w:r>
        <w:rPr>
          <w:highlight w:val="white"/>
        </w:rPr>
      </w:r>
      <w:r/>
    </w:p>
    <w:p>
      <w:pPr>
        <w:numPr>
          <w:ilvl w:val="0"/>
          <w:numId w:val="24"/>
        </w:numPr>
        <w:spacing w:line="360" w:lineRule="auto"/>
        <w:tabs>
          <w:tab w:val="left" w:pos="840" w:leader="none"/>
          <w:tab w:val="left" w:pos="2870" w:leader="none"/>
        </w:tabs>
        <w:rPr>
          <w:rFonts w:hint="eastAsia" w:ascii="宋体" w:hAnsi="宋体" w:cs="宋体"/>
          <w:sz w:val="24"/>
          <w:szCs w:val="24"/>
          <w:highlight w:val="white"/>
        </w:rPr>
      </w:pPr>
      <w:r>
        <w:rPr>
          <w:rFonts w:hint="eastAsia" w:ascii="宋体" w:hAnsi="宋体" w:cs="宋体"/>
          <w:sz w:val="24"/>
          <w:szCs w:val="24"/>
          <w:highlight w:val="white"/>
        </w:rPr>
        <w:t xml:space="preserve">针对本项目服务的质控方案（10分）</w:t>
      </w:r>
      <w:r>
        <w:rPr>
          <w:highlight w:val="white"/>
        </w:rPr>
      </w:r>
      <w:r/>
    </w:p>
    <w:p>
      <w:pPr>
        <w:contextualSpacing/>
        <w:ind w:left="567"/>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方案建立了全覆盖、分层级的项目质控体系，涵盖项目各环节的全维度质控，质控标准精细、规范，核心设备作业指导内容齐全，明确，整体内容完整、合理、切实可行，计划全面、详细、有针对性</w:t>
      </w:r>
      <w:r>
        <w:rPr>
          <w:rFonts w:hint="eastAsia" w:ascii="宋体" w:hAnsi="宋体" w:cs="宋体"/>
          <w:bCs/>
          <w:sz w:val="24"/>
          <w:szCs w:val="24"/>
          <w:highlight w:val="white"/>
        </w:rPr>
        <w:t xml:space="preserve">，完全贴合采购需求的</w:t>
      </w:r>
      <w:r>
        <w:rPr>
          <w:rFonts w:hint="eastAsia" w:ascii="宋体" w:hAnsi="宋体" w:cs="宋体"/>
          <w:sz w:val="24"/>
          <w:szCs w:val="24"/>
          <w:highlight w:val="white"/>
        </w:rPr>
        <w:t xml:space="preserve">得10分；方案内容框架完整，质控标准有一定细化、分类，整体内容较合理、较可行，计划基本全面、基本有针对性</w:t>
      </w:r>
      <w:r>
        <w:rPr>
          <w:rFonts w:hint="eastAsia" w:ascii="宋体" w:hAnsi="宋体" w:cs="宋体"/>
          <w:bCs/>
          <w:sz w:val="24"/>
          <w:szCs w:val="24"/>
          <w:highlight w:val="white"/>
        </w:rPr>
        <w:t xml:space="preserve">，符合采购需求的</w:t>
      </w:r>
      <w:r>
        <w:rPr>
          <w:rFonts w:hint="eastAsia" w:ascii="宋体" w:hAnsi="宋体" w:cs="宋体"/>
          <w:sz w:val="24"/>
          <w:szCs w:val="24"/>
          <w:highlight w:val="white"/>
        </w:rPr>
        <w:t xml:space="preserve">得7分；方案仅有基础质控方案，未能各环节展开阐述质控标准，整体内容基本合理、基本可行</w:t>
      </w:r>
      <w:r>
        <w:rPr>
          <w:rFonts w:hint="eastAsia" w:ascii="宋体" w:hAnsi="宋体" w:cs="宋体"/>
          <w:bCs/>
          <w:sz w:val="24"/>
          <w:szCs w:val="24"/>
          <w:highlight w:val="white"/>
        </w:rPr>
        <w:t xml:space="preserve">，基本满足采购需求的</w:t>
      </w:r>
      <w:r>
        <w:rPr>
          <w:rFonts w:hint="eastAsia" w:ascii="宋体" w:hAnsi="宋体" w:cs="宋体"/>
          <w:sz w:val="24"/>
          <w:szCs w:val="24"/>
          <w:highlight w:val="white"/>
        </w:rPr>
        <w:t xml:space="preserve">得4分；方案不太合理、不太可行得1分；否则不得分。</w:t>
      </w:r>
      <w:r>
        <w:rPr>
          <w:highlight w:val="white"/>
        </w:rPr>
      </w:r>
      <w:r/>
    </w:p>
    <w:p>
      <w:pPr>
        <w:numPr>
          <w:ilvl w:val="0"/>
          <w:numId w:val="24"/>
        </w:numPr>
        <w:spacing w:line="360" w:lineRule="auto"/>
        <w:tabs>
          <w:tab w:val="left" w:pos="840" w:leader="none"/>
          <w:tab w:val="left" w:pos="2870" w:leader="none"/>
        </w:tabs>
        <w:rPr>
          <w:rFonts w:hint="eastAsia" w:ascii="宋体" w:hAnsi="宋体" w:cs="宋体"/>
          <w:sz w:val="24"/>
          <w:szCs w:val="24"/>
          <w:highlight w:val="white"/>
        </w:rPr>
      </w:pPr>
      <w:r>
        <w:rPr>
          <w:rFonts w:hint="eastAsia" w:ascii="宋体" w:hAnsi="宋体" w:cs="宋体"/>
          <w:sz w:val="24"/>
          <w:szCs w:val="24"/>
          <w:highlight w:val="white"/>
        </w:rPr>
        <w:t xml:space="preserve">针对本项目服务的应急服务预案（10分）</w:t>
      </w:r>
      <w:r>
        <w:rPr>
          <w:highlight w:val="white"/>
        </w:rPr>
      </w:r>
      <w:r/>
    </w:p>
    <w:p>
      <w:pPr>
        <w:contextualSpacing/>
        <w:ind w:left="567"/>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提供针对一般故障、重大故障、重污染天气应急保障或安全突发事件情况下的应急预案，包括停电断网、仪器故障、站房突发事件</w:t>
      </w:r>
      <w:r>
        <w:rPr>
          <w:rFonts w:hint="eastAsia" w:ascii="宋体" w:hAnsi="宋体" w:cs="宋体"/>
          <w:bCs/>
          <w:sz w:val="24"/>
          <w:szCs w:val="24"/>
          <w:highlight w:val="white"/>
        </w:rPr>
        <w:t xml:space="preserve">、重污染天气保障、节假日、被偷盗破坏等情况的有效预防和应急措施以及备机配置使用、管理的计划安排，明确7×24小时联络机制等。方案措施考虑周全、合理，措施切实可行、有针对性，完全贴合采购需求的得10分；方案包括了常见异常情况的处理应对方法，明确了部分预防及应急处置措施，仅缺少部分小众场景处置细则，内容较合理，措施较可行、有一定针对性，符合采购需求的得7分；方案仅笼统列举了部分应急场景，简单阐述了相关的处理流程，内容基本合理，措施基本可行，基本满足采购需求的得4分；方案措施不太合理、不太可行得1分；否则不得分。</w:t>
      </w:r>
      <w:r>
        <w:rPr>
          <w:highlight w:val="white"/>
        </w:rPr>
      </w:r>
      <w:r/>
    </w:p>
    <w:p>
      <w:pPr>
        <w:numPr>
          <w:ilvl w:val="0"/>
          <w:numId w:val="24"/>
        </w:numPr>
        <w:spacing w:line="360" w:lineRule="auto"/>
        <w:tabs>
          <w:tab w:val="left" w:pos="840" w:leader="none"/>
          <w:tab w:val="left" w:pos="2870" w:leader="none"/>
        </w:tabs>
        <w:rPr>
          <w:rFonts w:hint="eastAsia" w:ascii="宋体" w:hAnsi="宋体" w:cs="宋体"/>
          <w:sz w:val="24"/>
          <w:szCs w:val="24"/>
          <w:highlight w:val="white"/>
        </w:rPr>
      </w:pPr>
      <w:r>
        <w:rPr>
          <w:rFonts w:hint="eastAsia" w:ascii="宋体" w:hAnsi="宋体" w:cs="宋体"/>
          <w:sz w:val="24"/>
          <w:szCs w:val="24"/>
          <w:highlight w:val="white"/>
        </w:rPr>
        <w:t xml:space="preserve">针对本项目的数据异常处理方案（10分）</w:t>
      </w:r>
      <w:r>
        <w:rPr>
          <w:highlight w:val="white"/>
        </w:rPr>
      </w:r>
      <w:r/>
    </w:p>
    <w:p>
      <w:pPr>
        <w:contextualSpacing/>
        <w:ind w:left="567"/>
        <w:spacing w:line="360" w:lineRule="auto"/>
        <w:rPr>
          <w:rFonts w:hint="eastAsia" w:ascii="宋体" w:hAnsi="宋体" w:cs="宋体"/>
          <w:bCs/>
          <w:sz w:val="24"/>
          <w:szCs w:val="24"/>
          <w:highlight w:val="white"/>
        </w:rPr>
      </w:pPr>
      <w:r>
        <w:rPr>
          <w:rFonts w:hint="eastAsia" w:ascii="宋体" w:hAnsi="宋体" w:cs="宋体"/>
          <w:sz w:val="24"/>
          <w:szCs w:val="24"/>
          <w:highlight w:val="white"/>
        </w:rPr>
        <w:t xml:space="preserve">方案具有明确的目标，涵盖全部空气监测数据异常类型，数据异常溯源排查步骤细化、明确，具有异常数据台账、定期统计分析、问题整改、长效预防机制，整体方案</w:t>
      </w:r>
      <w:r>
        <w:rPr>
          <w:rFonts w:hint="eastAsia" w:ascii="宋体" w:hAnsi="宋体" w:cs="宋体"/>
          <w:bCs/>
          <w:sz w:val="24"/>
          <w:szCs w:val="24"/>
          <w:highlight w:val="white"/>
        </w:rPr>
        <w:t xml:space="preserve">完整、合理，分析操作流程科学、规范、切实可行，完全贴合采购需求的得10分；方案包含基础数据异常处理内容，处理方式符合行业标准，内容较</w:t>
      </w:r>
      <w:r>
        <w:rPr>
          <w:rFonts w:hint="eastAsia" w:ascii="宋体" w:hAnsi="宋体" w:cs="宋体"/>
          <w:sz w:val="24"/>
          <w:szCs w:val="24"/>
          <w:highlight w:val="white"/>
        </w:rPr>
        <w:t xml:space="preserve">合理</w:t>
      </w:r>
      <w:r>
        <w:rPr>
          <w:rFonts w:hint="eastAsia" w:ascii="宋体" w:hAnsi="宋体" w:cs="宋体"/>
          <w:bCs/>
          <w:sz w:val="24"/>
          <w:szCs w:val="24"/>
          <w:highlight w:val="white"/>
        </w:rPr>
        <w:t xml:space="preserve">，分析操作流程较规范、</w:t>
      </w:r>
      <w:r>
        <w:rPr>
          <w:rFonts w:hint="eastAsia" w:ascii="宋体" w:hAnsi="宋体" w:cs="宋体"/>
          <w:bCs/>
          <w:sz w:val="24"/>
          <w:szCs w:val="24"/>
          <w:highlight w:val="white"/>
        </w:rPr>
        <w:t xml:space="preserve">较可行、基本有针对性，符合采购需求的得7分；方案总体较简略，核心异常数据识别、处置、溯源流程有部分缺失，内容基本可行，基本满足采购需求的得4分；方案不太合理、不太可行的得1分；否则不得分。</w:t>
      </w:r>
      <w:r>
        <w:rPr>
          <w:highlight w:val="white"/>
        </w:rPr>
      </w:r>
      <w:r/>
    </w:p>
    <w:p>
      <w:pPr>
        <w:numPr>
          <w:ilvl w:val="0"/>
          <w:numId w:val="22"/>
        </w:numPr>
        <w:spacing w:line="360" w:lineRule="auto"/>
        <w:rPr>
          <w:rFonts w:hint="eastAsia" w:ascii="宋体" w:hAnsi="宋体" w:cs="宋体"/>
          <w:b/>
          <w:sz w:val="24"/>
          <w:szCs w:val="24"/>
          <w:highlight w:val="white"/>
        </w:rPr>
      </w:pPr>
      <w:r>
        <w:rPr>
          <w:rFonts w:hint="eastAsia" w:ascii="宋体" w:hAnsi="宋体" w:cs="宋体"/>
          <w:b/>
          <w:sz w:val="24"/>
          <w:szCs w:val="24"/>
          <w:highlight w:val="white"/>
        </w:rPr>
        <w:t xml:space="preserve">针对本项目的技术人员配置（10分）</w:t>
      </w:r>
      <w:r>
        <w:rPr>
          <w:highlight w:val="white"/>
        </w:rPr>
      </w:r>
      <w:r/>
    </w:p>
    <w:p>
      <w:pPr>
        <w:numPr>
          <w:ilvl w:val="0"/>
          <w:numId w:val="26"/>
        </w:numPr>
        <w:spacing w:line="360" w:lineRule="auto"/>
        <w:tabs>
          <w:tab w:val="left" w:pos="840" w:leader="none"/>
          <w:tab w:val="left" w:pos="2870" w:leader="none"/>
        </w:tabs>
        <w:rPr>
          <w:rFonts w:hint="eastAsia" w:ascii="宋体" w:hAnsi="宋体" w:cs="宋体"/>
          <w:sz w:val="24"/>
          <w:szCs w:val="24"/>
          <w:highlight w:val="white"/>
        </w:rPr>
      </w:pPr>
      <w:r>
        <w:rPr>
          <w:rFonts w:hint="eastAsia" w:ascii="宋体" w:hAnsi="宋体" w:cs="宋体"/>
          <w:sz w:val="24"/>
          <w:szCs w:val="24"/>
          <w:highlight w:val="white"/>
        </w:rPr>
        <w:t xml:space="preserve">配置的专业技术人员（10分）</w:t>
      </w:r>
      <w:r>
        <w:rPr>
          <w:highlight w:val="white"/>
        </w:rPr>
      </w:r>
      <w:r/>
    </w:p>
    <w:p>
      <w:pPr>
        <w:contextualSpacing/>
        <w:ind w:left="567"/>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人员组织清晰、任务分工明确、均具有本科及以上学历及类似项目经验的得10分；人员组织较清晰、任务分工较明确、其中2人具有本科及以上学历及类似项目经验的得7分；人员组织基本清晰、任务分工基本明确、其中1人具有本科及以上学历及类似项目经验的得4分；人员组织、分配不太合理得得1分；提供人员相应证书、经验证明及响应单位为其缴纳的最近一期的社保证明复印件，否则不得分。</w:t>
      </w:r>
      <w:r>
        <w:rPr>
          <w:highlight w:val="white"/>
        </w:rPr>
      </w:r>
      <w:r/>
    </w:p>
    <w:p>
      <w:pPr>
        <w:numPr>
          <w:ilvl w:val="0"/>
          <w:numId w:val="22"/>
        </w:numPr>
        <w:spacing w:line="360" w:lineRule="auto"/>
        <w:rPr>
          <w:rFonts w:hint="eastAsia" w:ascii="宋体" w:hAnsi="宋体" w:cs="宋体"/>
          <w:b/>
          <w:sz w:val="24"/>
          <w:szCs w:val="24"/>
          <w:highlight w:val="white"/>
        </w:rPr>
      </w:pPr>
      <w:r>
        <w:rPr>
          <w:rFonts w:hint="eastAsia" w:ascii="宋体" w:hAnsi="宋体" w:cs="宋体"/>
          <w:b/>
          <w:sz w:val="24"/>
          <w:szCs w:val="24"/>
          <w:highlight w:val="white"/>
        </w:rPr>
        <w:t xml:space="preserve">响应单位综合能力（12分）</w:t>
      </w:r>
      <w:r>
        <w:rPr>
          <w:highlight w:val="white"/>
        </w:rPr>
      </w:r>
      <w:r/>
    </w:p>
    <w:p>
      <w:pPr>
        <w:numPr>
          <w:ilvl w:val="0"/>
          <w:numId w:val="27"/>
        </w:numPr>
        <w:spacing w:line="360" w:lineRule="auto"/>
        <w:tabs>
          <w:tab w:val="left" w:pos="840" w:leader="none"/>
          <w:tab w:val="left" w:pos="2870" w:leader="none"/>
        </w:tabs>
        <w:rPr>
          <w:rFonts w:hint="eastAsia" w:ascii="宋体" w:hAnsi="宋体" w:cs="宋体"/>
          <w:sz w:val="24"/>
          <w:szCs w:val="24"/>
          <w:highlight w:val="white"/>
        </w:rPr>
      </w:pPr>
      <w:r>
        <w:rPr>
          <w:rFonts w:hint="eastAsia" w:ascii="宋体" w:hAnsi="宋体" w:cs="宋体"/>
          <w:sz w:val="24"/>
          <w:szCs w:val="24"/>
          <w:highlight w:val="white"/>
        </w:rPr>
        <w:t xml:space="preserve">体系认证(6分)</w:t>
      </w:r>
      <w:r>
        <w:rPr>
          <w:highlight w:val="white"/>
        </w:rPr>
      </w:r>
      <w:r/>
    </w:p>
    <w:p>
      <w:pPr>
        <w:contextualSpacing/>
        <w:ind w:left="567"/>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具有质量管理、环境管理、职业健康安全管理体系认证证书（认证范围须与本项目相关），每个得2分，最高6分；提供证书复印件及国家认监委网站查询证书有效的截图证明，否则不得分。 </w:t>
      </w:r>
      <w:r>
        <w:rPr>
          <w:highlight w:val="white"/>
        </w:rPr>
      </w:r>
      <w:r/>
    </w:p>
    <w:p>
      <w:pPr>
        <w:numPr>
          <w:ilvl w:val="0"/>
          <w:numId w:val="27"/>
        </w:numPr>
        <w:spacing w:line="360" w:lineRule="auto"/>
        <w:tabs>
          <w:tab w:val="left" w:pos="840" w:leader="none"/>
          <w:tab w:val="left" w:pos="2870" w:leader="none"/>
        </w:tabs>
        <w:rPr>
          <w:rFonts w:hint="eastAsia" w:ascii="宋体" w:hAnsi="宋体" w:cs="宋体"/>
          <w:sz w:val="24"/>
          <w:szCs w:val="24"/>
          <w:highlight w:val="white"/>
        </w:rPr>
      </w:pPr>
      <w:r>
        <w:rPr>
          <w:rFonts w:hint="eastAsia" w:ascii="宋体" w:hAnsi="宋体" w:cs="宋体"/>
          <w:sz w:val="24"/>
          <w:szCs w:val="24"/>
          <w:highlight w:val="white"/>
        </w:rPr>
        <w:t xml:space="preserve">类似项目业绩情况(6分)</w:t>
      </w:r>
      <w:r>
        <w:rPr>
          <w:highlight w:val="white"/>
        </w:rPr>
      </w:r>
      <w:r/>
    </w:p>
    <w:p>
      <w:pPr>
        <w:contextualSpacing/>
        <w:ind w:left="567"/>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2023年以来（以合同签订时间为准）承担过类似项目业绩的，每个得2分，最高6分。提供合同及服务期内任意一期发票复印件，否则不得分。</w:t>
      </w:r>
      <w:bookmarkEnd w:id="7"/>
      <w:r>
        <w:rPr>
          <w:highlight w:val="white"/>
        </w:rPr>
      </w:r>
      <w:r/>
    </w:p>
    <w:p>
      <w:pPr>
        <w:contextualSpacing/>
        <w:ind w:left="567"/>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contextualSpacing/>
        <w:ind w:left="567"/>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contextualSpacing/>
        <w:ind w:left="567"/>
        <w:spacing w:line="360" w:lineRule="auto"/>
        <w:rPr>
          <w:rStyle w:val="801"/>
          <w:rFonts w:hint="eastAsia" w:ascii="宋体" w:hAnsi="宋体" w:cs="宋体"/>
          <w:sz w:val="43"/>
          <w:szCs w:val="43"/>
          <w:highlight w:val="white"/>
        </w:rPr>
      </w:pPr>
      <w:r>
        <w:rPr>
          <w:rFonts w:hint="eastAsia" w:ascii="宋体" w:hAnsi="宋体" w:cs="宋体"/>
          <w:sz w:val="24"/>
          <w:szCs w:val="24"/>
          <w:highlight w:val="white"/>
        </w:rPr>
        <w:t xml:space="preserve">注：针对评分标准中评分的每一条，磋商响应单位均应提供相关资料并作出相应说明供评委评判，不提供相关资料的视为不具备该项得分的条件。</w:t>
      </w:r>
      <w:r>
        <w:rPr>
          <w:rStyle w:val="801"/>
          <w:rFonts w:ascii="宋体" w:hAnsi="宋体" w:cs="宋体"/>
          <w:sz w:val="43"/>
          <w:szCs w:val="43"/>
          <w:highlight w:val="white"/>
        </w:rPr>
        <w:br w:type="page" w:clear="all"/>
      </w:r>
      <w:r>
        <w:rPr>
          <w:highlight w:val="white"/>
        </w:rPr>
      </w:r>
      <w:r/>
    </w:p>
    <w:p>
      <w:pPr>
        <w:pStyle w:val="796"/>
        <w:jc w:val="center"/>
        <w:spacing w:before="75" w:beforeAutospacing="0" w:after="75" w:afterAutospacing="0"/>
        <w:widowControl/>
        <w:rPr>
          <w:rStyle w:val="801"/>
          <w:rFonts w:hint="eastAsia" w:ascii="宋体" w:hAnsi="宋体" w:cs="宋体"/>
          <w:sz w:val="43"/>
          <w:szCs w:val="43"/>
          <w:highlight w:val="white"/>
        </w:rPr>
      </w:pPr>
      <w:r>
        <w:rPr>
          <w:rStyle w:val="801"/>
          <w:rFonts w:hint="eastAsia" w:ascii="宋体" w:hAnsi="宋体" w:cs="宋体"/>
          <w:sz w:val="43"/>
          <w:szCs w:val="43"/>
          <w:highlight w:val="white"/>
        </w:rPr>
        <w:t xml:space="preserve">第四章  合同主要条款及格式</w:t>
      </w:r>
      <w:r>
        <w:rPr>
          <w:highlight w:val="white"/>
        </w:rPr>
      </w:r>
      <w:r/>
    </w:p>
    <w:p>
      <w:pPr>
        <w:spacing w:line="360" w:lineRule="auto"/>
        <w:rPr>
          <w:rFonts w:hint="eastAsia" w:ascii="宋体" w:hAnsi="宋体"/>
          <w:sz w:val="24"/>
          <w:szCs w:val="24"/>
          <w:highlight w:val="white"/>
        </w:rPr>
      </w:pPr>
      <w:r>
        <w:rPr>
          <w:rFonts w:hint="eastAsia" w:ascii="宋体" w:hAnsi="宋体"/>
          <w:sz w:val="24"/>
          <w:szCs w:val="24"/>
          <w:highlight w:val="white"/>
        </w:rPr>
      </w:r>
      <w:r>
        <w:rPr>
          <w:highlight w:val="white"/>
        </w:rPr>
      </w:r>
      <w:r/>
    </w:p>
    <w:p>
      <w:pPr>
        <w:jc w:val="left"/>
        <w:spacing w:line="360" w:lineRule="auto"/>
        <w:shd w:val="clear" w:color="auto" w:fill="ffffff"/>
        <w:widowControl/>
        <w:rPr>
          <w:rFonts w:hint="eastAsia" w:ascii="宋体" w:hAnsi="宋体" w:cs="宋体"/>
          <w:sz w:val="24"/>
          <w:szCs w:val="24"/>
          <w:highlight w:val="white"/>
        </w:rPr>
      </w:pPr>
      <w:r>
        <w:rPr>
          <w:rFonts w:hint="eastAsia" w:ascii="宋体" w:hAnsi="宋体" w:cs="宋体"/>
          <w:sz w:val="24"/>
          <w:szCs w:val="24"/>
          <w:highlight w:val="white"/>
        </w:rPr>
        <w:t xml:space="preserve">甲方：苏州国家历史文化名城保护区（姑苏）生态环境局</w:t>
      </w:r>
      <w:r>
        <w:rPr>
          <w:highlight w:val="white"/>
        </w:rPr>
      </w:r>
      <w:r/>
    </w:p>
    <w:p>
      <w:pPr>
        <w:jc w:val="left"/>
        <w:spacing w:line="360" w:lineRule="auto"/>
        <w:shd w:val="clear" w:color="auto" w:fill="ffffff"/>
        <w:widowControl/>
        <w:rPr>
          <w:rFonts w:hint="eastAsia" w:ascii="宋体" w:hAnsi="宋体" w:cs="宋体"/>
          <w:sz w:val="24"/>
          <w:szCs w:val="24"/>
          <w:highlight w:val="white"/>
        </w:rPr>
      </w:pPr>
      <w:r>
        <w:rPr>
          <w:rFonts w:hint="eastAsia" w:ascii="宋体" w:hAnsi="宋体" w:cs="宋体"/>
          <w:sz w:val="24"/>
          <w:szCs w:val="24"/>
          <w:highlight w:val="white"/>
        </w:rPr>
        <w:t xml:space="preserve">联系人： </w:t>
      </w:r>
      <w:r>
        <w:rPr>
          <w:highlight w:val="white"/>
        </w:rPr>
      </w:r>
      <w:r/>
    </w:p>
    <w:p>
      <w:pPr>
        <w:jc w:val="left"/>
        <w:spacing w:line="360" w:lineRule="auto"/>
        <w:shd w:val="clear" w:color="auto" w:fill="ffffff"/>
        <w:widowControl/>
        <w:rPr>
          <w:rFonts w:hint="eastAsia" w:ascii="宋体" w:hAnsi="宋体" w:cs="宋体"/>
          <w:sz w:val="24"/>
          <w:szCs w:val="24"/>
          <w:highlight w:val="white"/>
        </w:rPr>
      </w:pPr>
      <w:r>
        <w:rPr>
          <w:rFonts w:hint="eastAsia" w:ascii="宋体" w:hAnsi="宋体" w:cs="宋体"/>
          <w:sz w:val="24"/>
          <w:szCs w:val="24"/>
          <w:highlight w:val="white"/>
        </w:rPr>
        <w:t xml:space="preserve">联系电话：</w:t>
      </w:r>
      <w:r>
        <w:rPr>
          <w:highlight w:val="white"/>
        </w:rPr>
      </w:r>
      <w:r/>
    </w:p>
    <w:p>
      <w:pPr>
        <w:jc w:val="left"/>
        <w:spacing w:line="360" w:lineRule="auto"/>
        <w:shd w:val="clear" w:color="auto" w:fill="ffffff"/>
        <w:widowControl/>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jc w:val="left"/>
        <w:spacing w:line="360" w:lineRule="auto"/>
        <w:shd w:val="clear" w:color="auto" w:fill="ffffff"/>
        <w:widowControl/>
        <w:rPr>
          <w:rFonts w:hint="eastAsia" w:ascii="宋体" w:hAnsi="宋体" w:cs="宋体"/>
          <w:sz w:val="24"/>
          <w:szCs w:val="24"/>
          <w:highlight w:val="white"/>
        </w:rPr>
      </w:pPr>
      <w:r>
        <w:rPr>
          <w:rFonts w:hint="eastAsia" w:ascii="宋体" w:hAnsi="宋体" w:cs="宋体"/>
          <w:sz w:val="24"/>
          <w:szCs w:val="24"/>
          <w:highlight w:val="white"/>
        </w:rPr>
        <w:t xml:space="preserve">乙方： </w:t>
      </w:r>
      <w:r>
        <w:rPr>
          <w:highlight w:val="white"/>
        </w:rPr>
      </w:r>
      <w:r/>
    </w:p>
    <w:p>
      <w:pPr>
        <w:jc w:val="left"/>
        <w:spacing w:line="360" w:lineRule="auto"/>
        <w:shd w:val="clear" w:color="auto" w:fill="ffffff"/>
        <w:widowControl/>
        <w:rPr>
          <w:rFonts w:hint="eastAsia" w:ascii="宋体" w:hAnsi="宋体" w:cs="宋体"/>
          <w:sz w:val="24"/>
          <w:szCs w:val="24"/>
          <w:highlight w:val="white"/>
        </w:rPr>
      </w:pPr>
      <w:r>
        <w:rPr>
          <w:rFonts w:hint="eastAsia" w:ascii="宋体" w:hAnsi="宋体" w:cs="宋体"/>
          <w:sz w:val="24"/>
          <w:szCs w:val="24"/>
          <w:highlight w:val="white"/>
        </w:rPr>
        <w:t xml:space="preserve">联系人： </w:t>
      </w:r>
      <w:r>
        <w:rPr>
          <w:highlight w:val="white"/>
        </w:rPr>
      </w:r>
      <w:r/>
    </w:p>
    <w:p>
      <w:pPr>
        <w:jc w:val="left"/>
        <w:spacing w:line="360" w:lineRule="auto"/>
        <w:shd w:val="clear" w:color="auto" w:fill="ffffff"/>
        <w:widowControl/>
        <w:rPr>
          <w:rFonts w:hint="eastAsia" w:ascii="宋体" w:hAnsi="宋体" w:cs="宋体"/>
          <w:sz w:val="24"/>
          <w:szCs w:val="24"/>
          <w:highlight w:val="white"/>
        </w:rPr>
      </w:pPr>
      <w:r>
        <w:rPr>
          <w:rFonts w:hint="eastAsia" w:ascii="宋体" w:hAnsi="宋体" w:cs="宋体"/>
          <w:sz w:val="24"/>
          <w:szCs w:val="24"/>
          <w:highlight w:val="white"/>
        </w:rPr>
        <w:t xml:space="preserve">联系电话：</w:t>
      </w:r>
      <w:r>
        <w:rPr>
          <w:highlight w:val="white"/>
        </w:rPr>
      </w:r>
      <w:r/>
    </w:p>
    <w:p>
      <w:pPr>
        <w:pStyle w:val="770"/>
        <w:rPr>
          <w:highlight w:val="white"/>
        </w:rPr>
      </w:pPr>
      <w:r>
        <w:rPr>
          <w:highlight w:val="white"/>
        </w:rPr>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根据苏州市政府采购招标编号</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号招标文件及该文件的响应文件和成交通知书，甲乙双方就此次成交的</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事宜，签订本合同书，以兹共同遵守。</w:t>
      </w:r>
      <w:r>
        <w:rPr>
          <w:highlight w:val="white"/>
        </w:rPr>
      </w:r>
      <w:r/>
    </w:p>
    <w:p>
      <w:pPr>
        <w:spacing w:line="360" w:lineRule="auto"/>
        <w:rPr>
          <w:rFonts w:hint="eastAsia" w:ascii="宋体" w:hAnsi="宋体" w:cs="宋体"/>
          <w:b/>
          <w:bCs/>
          <w:sz w:val="24"/>
          <w:szCs w:val="24"/>
          <w:highlight w:val="white"/>
        </w:rPr>
      </w:pPr>
      <w:r>
        <w:rPr>
          <w:rFonts w:hint="eastAsia" w:ascii="宋体" w:hAnsi="宋体" w:cs="宋体"/>
          <w:b/>
          <w:bCs/>
          <w:sz w:val="24"/>
          <w:szCs w:val="24"/>
          <w:highlight w:val="white"/>
        </w:rPr>
        <w:t xml:space="preserve">一、合同内容</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1、乙方负责完成甲方</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项目的服务工作。</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2、下列文件为本合同不可分割部分：</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①磋商采购文件及其附件；</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②乙方的磋商响应文件；</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③乙方在磋商过程中所作的其它承诺、声明、书面澄清等；</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④成交通知书；</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⑤本合同及其合同附件。</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以上与本合同具有同等法律效力；如上述文件之前内容不一致的，按照上述排列次序优先进行解释，同一序位的，以形成时间在后的为准。</w:t>
      </w:r>
      <w:r>
        <w:rPr>
          <w:highlight w:val="white"/>
        </w:rPr>
      </w:r>
      <w:r/>
    </w:p>
    <w:p>
      <w:pPr>
        <w:spacing w:line="360" w:lineRule="auto"/>
        <w:rPr>
          <w:rFonts w:hint="eastAsia" w:ascii="宋体" w:hAnsi="宋体" w:cs="宋体"/>
          <w:b/>
          <w:sz w:val="24"/>
          <w:szCs w:val="24"/>
          <w:highlight w:val="white"/>
        </w:rPr>
      </w:pPr>
      <w:r>
        <w:rPr>
          <w:rFonts w:hint="eastAsia" w:ascii="宋体" w:hAnsi="宋体" w:cs="宋体"/>
          <w:b/>
          <w:sz w:val="24"/>
          <w:szCs w:val="24"/>
          <w:highlight w:val="white"/>
        </w:rPr>
        <w:t xml:space="preserve">二、合同价款和支付</w:t>
      </w:r>
      <w:r>
        <w:rPr>
          <w:highlight w:val="white"/>
        </w:rPr>
      </w:r>
      <w:r/>
    </w:p>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1、合同价格按此次成交价格执行，合同总金额（含税）为人民币大写：</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元整，小写（￥：</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00元整）。合同价款包括完成本次服务项目所需的人员、仪器设备投入使用、材料、备用仪器设备及备品备件投入、网络通讯费、检测、保险、劳保、管理、验收、各种税费、利润、税金、政策性文件规定及合同包含的所有风险、责任等各项应有费用，甲方不再支付其他任何费用。除甲方要求的特殊情况外，乙方不得再要求追加任何费用。其它临时性杂项应急服务费用包含在合同价款中。根据现行税法对甲方征收的与本合同有关的一切税费均由甲方承担；根据现行税法对乙方征收的与本合同有关的一切税费均由乙方承担。</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2、付款步骤：合同签订生效后一个月内甲方支付合同总价30%的预付款，甲方每月进行考核，根据考核结果扣除考核扣款（如有）后，每半年结算支付一次运维费用。若因乙方原因导致</w:t>
      </w:r>
      <w:r>
        <w:rPr>
          <w:rFonts w:hint="eastAsia" w:ascii="宋体" w:hAnsi="宋体" w:cs="宋体"/>
          <w:sz w:val="24"/>
          <w:szCs w:val="24"/>
          <w:highlight w:val="white"/>
        </w:rPr>
        <w:t xml:space="preserve">合同解除的，乙方应在合同解除后10日内退还剩余预付款（计算公式：剩余预付款 = 已支付预付款-（已服务月数/ 12）×合同总价×30%）；逾期退还的，按每日0.05%支付滞纳金。</w:t>
      </w:r>
      <w:r>
        <w:rPr>
          <w:highlight w:val="white"/>
        </w:rPr>
      </w:r>
      <w:r/>
    </w:p>
    <w:p>
      <w:pPr>
        <w:spacing w:line="360" w:lineRule="auto"/>
        <w:tabs>
          <w:tab w:val="left" w:pos="540" w:leader="none"/>
        </w:tabs>
        <w:rPr>
          <w:rFonts w:hint="eastAsia" w:ascii="宋体" w:hAnsi="宋体" w:cs="宋体"/>
          <w:sz w:val="24"/>
          <w:szCs w:val="24"/>
          <w:highlight w:val="white"/>
        </w:rPr>
      </w:pPr>
      <w:r>
        <w:rPr>
          <w:rFonts w:hint="eastAsia" w:ascii="宋体" w:hAnsi="宋体" w:cs="宋体"/>
          <w:sz w:val="24"/>
          <w:szCs w:val="24"/>
          <w:highlight w:val="white"/>
        </w:rPr>
        <w:t xml:space="preserve">考核采取百分制、单站考核的方式进行，主要包括设备运行率、数据有效率、运行维护3部分内容，其中两率考核占50%，运行维护考核占50%。考核分数≥90时，全额支付运维费用；考核分数80～89时，按应付款的90%支付运维费用；考核分数60～79时，按应付款的80%支付运维费用；考核分数＜60时，扣除乙方该站点考核月度全部运维款项，连续3个月不满足要求，视为乙方不能提供服务，甲方有权解除合同，且甲方解除合同后，已支付的运维费用中，对应不合格月份的费用不予结算，乙方应在15日内退还；未支付的费用，甲方有权不予支付。</w:t>
      </w:r>
      <w:r>
        <w:rPr>
          <w:highlight w:val="white"/>
        </w:rPr>
      </w:r>
      <w:r/>
    </w:p>
    <w:p>
      <w:pPr>
        <w:spacing w:line="360" w:lineRule="auto"/>
        <w:rPr>
          <w:rFonts w:hint="eastAsia" w:ascii="宋体" w:hAnsi="宋体" w:cs="宋体"/>
          <w:bCs/>
          <w:sz w:val="24"/>
          <w:szCs w:val="24"/>
          <w:highlight w:val="white"/>
        </w:rPr>
      </w:pPr>
      <w:r>
        <w:rPr>
          <w:rFonts w:hint="eastAsia" w:ascii="宋体" w:hAnsi="宋体" w:cs="宋体"/>
          <w:sz w:val="24"/>
          <w:szCs w:val="24"/>
          <w:highlight w:val="white"/>
        </w:rPr>
        <w:t xml:space="preserve">3、在签订合同时，乙方明确表示无需预付款或者主动要求降低预付款比例的，甲方可不适用前述关于预付款的规定。</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4、乙方提请甲方付款结算时需提供以下资料：</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（1）合法有效且符合甲方要求的发票，若乙方未按约定提供上述资料的，甲方有权迟延付款且不承担逾期付款的违约责任。</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（2）其他（如有）。</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5、付款方式：数字人民币支付等。</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6、乙方账户信息如下：</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（1）数字人民币账户：</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（2）账户名：</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（3）开户行：</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（4）账  号：</w:t>
      </w:r>
      <w:r>
        <w:rPr>
          <w:highlight w:val="white"/>
        </w:rPr>
      </w:r>
      <w:r/>
    </w:p>
    <w:p>
      <w:pPr>
        <w:jc w:val="left"/>
        <w:spacing w:line="360" w:lineRule="auto"/>
        <w:rPr>
          <w:rFonts w:hint="eastAsia" w:ascii="宋体" w:hAnsi="宋体" w:cs="宋体"/>
          <w:b/>
          <w:bCs/>
          <w:sz w:val="24"/>
          <w:szCs w:val="24"/>
          <w:highlight w:val="white"/>
        </w:rPr>
      </w:pPr>
      <w:r>
        <w:rPr>
          <w:rFonts w:hint="eastAsia" w:ascii="宋体" w:hAnsi="宋体" w:cs="宋体"/>
          <w:b/>
          <w:bCs/>
          <w:sz w:val="24"/>
          <w:szCs w:val="24"/>
          <w:highlight w:val="white"/>
        </w:rPr>
        <w:t xml:space="preserve">三、服务期限、地点</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w:t>
      </w:r>
      <w:r>
        <w:rPr>
          <w:rFonts w:hint="eastAsia" w:ascii="宋体" w:hAnsi="宋体" w:cs="宋体"/>
          <w:sz w:val="24"/>
          <w:szCs w:val="24"/>
          <w:highlight w:val="white"/>
          <w:lang w:val="zh-CN"/>
        </w:rPr>
        <w:t xml:space="preserve">服务时间：</w:t>
      </w:r>
      <w:r>
        <w:rPr>
          <w:rFonts w:hint="eastAsia" w:ascii="宋体" w:hAnsi="宋体" w:cs="宋体"/>
          <w:sz w:val="24"/>
          <w:szCs w:val="24"/>
          <w:highlight w:val="white"/>
        </w:rPr>
        <w:t xml:space="preserve">自移交乙方运维之日起计算12个月。若乙方未能在该时间正式开始维护服务的，顺延至实际开始维护服务之日；逾期超过 15 日的，甲方有权解除合同并追究违约责任。</w:t>
      </w:r>
      <w:r>
        <w:rPr>
          <w:highlight w:val="white"/>
        </w:rPr>
      </w:r>
      <w:r/>
    </w:p>
    <w:p>
      <w:pPr>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2、服务地点：苏州国家历史文化名城保护区（姑苏）生态环境局指定地点。</w:t>
      </w:r>
      <w:r>
        <w:rPr>
          <w:highlight w:val="white"/>
        </w:rPr>
      </w:r>
      <w:r/>
    </w:p>
    <w:p>
      <w:pPr>
        <w:spacing w:line="360" w:lineRule="auto"/>
        <w:rPr>
          <w:rFonts w:hint="eastAsia" w:ascii="宋体" w:hAnsi="宋体" w:cs="宋体"/>
          <w:b/>
          <w:bCs/>
          <w:sz w:val="24"/>
          <w:szCs w:val="24"/>
          <w:highlight w:val="white"/>
        </w:rPr>
      </w:pPr>
      <w:r>
        <w:rPr>
          <w:rFonts w:hint="eastAsia" w:ascii="宋体" w:hAnsi="宋体" w:cs="宋体"/>
          <w:b/>
          <w:bCs/>
          <w:spacing w:val="-3"/>
          <w:sz w:val="24"/>
          <w:szCs w:val="24"/>
          <w:highlight w:val="white"/>
        </w:rPr>
        <w:t xml:space="preserve">四</w:t>
      </w:r>
      <w:r>
        <w:rPr>
          <w:rFonts w:hint="eastAsia" w:ascii="宋体" w:hAnsi="宋体" w:cs="宋体"/>
          <w:b/>
          <w:bCs/>
          <w:spacing w:val="-3"/>
          <w:sz w:val="24"/>
          <w:szCs w:val="24"/>
          <w:highlight w:val="white"/>
          <w:lang w:val="en-AU"/>
        </w:rPr>
        <w:t xml:space="preserve">、</w:t>
      </w:r>
      <w:r>
        <w:rPr>
          <w:rFonts w:hint="eastAsia" w:ascii="宋体" w:hAnsi="宋体" w:cs="宋体"/>
          <w:b/>
          <w:bCs/>
          <w:sz w:val="24"/>
          <w:szCs w:val="24"/>
          <w:highlight w:val="white"/>
        </w:rPr>
        <w:t xml:space="preserve">服务内容及要求：</w:t>
      </w:r>
      <w:r>
        <w:rPr>
          <w:highlight w:val="white"/>
        </w:rPr>
      </w:r>
      <w:r/>
    </w:p>
    <w:p>
      <w:pPr>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本项目是对站点PM</w:t>
      </w:r>
      <w:r>
        <w:rPr>
          <w:rFonts w:hint="eastAsia" w:ascii="宋体" w:hAnsi="宋体" w:cs="宋体"/>
          <w:bCs/>
          <w:sz w:val="24"/>
          <w:szCs w:val="24"/>
          <w:highlight w:val="white"/>
          <w:vertAlign w:val="subscript"/>
        </w:rPr>
        <w:t xml:space="preserve">2.5</w:t>
      </w:r>
      <w:r>
        <w:rPr>
          <w:rFonts w:hint="eastAsia" w:ascii="宋体" w:hAnsi="宋体" w:cs="宋体"/>
          <w:bCs/>
          <w:sz w:val="24"/>
          <w:szCs w:val="24"/>
          <w:highlight w:val="white"/>
        </w:rPr>
        <w:t xml:space="preserve">在线监测仪、PM</w:t>
      </w:r>
      <w:r>
        <w:rPr>
          <w:rFonts w:hint="eastAsia" w:ascii="宋体" w:hAnsi="宋体" w:cs="宋体"/>
          <w:bCs/>
          <w:sz w:val="24"/>
          <w:szCs w:val="24"/>
          <w:highlight w:val="white"/>
          <w:vertAlign w:val="subscript"/>
        </w:rPr>
        <w:t xml:space="preserve">10</w:t>
      </w:r>
      <w:r>
        <w:rPr>
          <w:rFonts w:hint="eastAsia" w:ascii="宋体" w:hAnsi="宋体" w:cs="宋体"/>
          <w:bCs/>
          <w:sz w:val="24"/>
          <w:szCs w:val="24"/>
          <w:highlight w:val="white"/>
        </w:rPr>
        <w:t xml:space="preserve">在线监测仪、O</w:t>
      </w:r>
      <w:r>
        <w:rPr>
          <w:rFonts w:hint="eastAsia" w:ascii="宋体" w:hAnsi="宋体" w:cs="宋体"/>
          <w:bCs/>
          <w:sz w:val="24"/>
          <w:szCs w:val="24"/>
          <w:highlight w:val="white"/>
          <w:vertAlign w:val="subscript"/>
        </w:rPr>
        <w:t xml:space="preserve">3</w:t>
      </w:r>
      <w:r>
        <w:rPr>
          <w:rFonts w:hint="eastAsia" w:ascii="宋体" w:hAnsi="宋体" w:cs="宋体"/>
          <w:bCs/>
          <w:sz w:val="24"/>
          <w:szCs w:val="24"/>
          <w:highlight w:val="white"/>
        </w:rPr>
        <w:t xml:space="preserve">在线监测仪、NO</w:t>
      </w:r>
      <w:r>
        <w:rPr>
          <w:rFonts w:hint="eastAsia" w:ascii="宋体" w:hAnsi="宋体" w:cs="宋体"/>
          <w:bCs/>
          <w:sz w:val="24"/>
          <w:szCs w:val="24"/>
          <w:highlight w:val="white"/>
          <w:vertAlign w:val="subscript"/>
        </w:rPr>
        <w:t xml:space="preserve">2</w:t>
      </w:r>
      <w:r>
        <w:rPr>
          <w:rFonts w:hint="eastAsia" w:ascii="宋体" w:hAnsi="宋体" w:cs="宋体"/>
          <w:bCs/>
          <w:sz w:val="24"/>
          <w:szCs w:val="24"/>
          <w:highlight w:val="white"/>
        </w:rPr>
        <w:t xml:space="preserve">在线监测仪、CO在线监测仪、SO</w:t>
      </w:r>
      <w:r>
        <w:rPr>
          <w:rFonts w:hint="eastAsia" w:ascii="宋体" w:hAnsi="宋体" w:cs="宋体"/>
          <w:bCs/>
          <w:sz w:val="24"/>
          <w:szCs w:val="24"/>
          <w:highlight w:val="white"/>
          <w:vertAlign w:val="subscript"/>
        </w:rPr>
        <w:t xml:space="preserve">2</w:t>
      </w:r>
      <w:r>
        <w:rPr>
          <w:rFonts w:hint="eastAsia" w:ascii="宋体" w:hAnsi="宋体" w:cs="宋体"/>
          <w:bCs/>
          <w:sz w:val="24"/>
          <w:szCs w:val="24"/>
          <w:highlight w:val="white"/>
        </w:rPr>
        <w:t xml:space="preserve">在线监测仪、降尘罐、气象仪（五参数）、采样系统、数据采集系统、质控设备、站房及附属设施、安保摄影系统等进行维护、校准、维修等，项目费用包括更换必要的监测仪器配件费用、耗材费用、网络通讯费用、计量检定费用、水电费、检查维护的交通费等保证站点正常运行的全部费用，项目须确保站点设备及系统连续、稳定、有效运行。</w:t>
      </w:r>
      <w:r>
        <w:rPr>
          <w:highlight w:val="white"/>
        </w:rPr>
      </w:r>
      <w:r/>
    </w:p>
    <w:p>
      <w:pPr>
        <w:spacing w:line="360" w:lineRule="auto"/>
        <w:rPr>
          <w:rFonts w:hint="eastAsia" w:ascii="宋体" w:hAnsi="宋体" w:cs="宋体"/>
          <w:b/>
          <w:bCs/>
          <w:spacing w:val="-3"/>
          <w:sz w:val="24"/>
          <w:szCs w:val="24"/>
          <w:highlight w:val="white"/>
        </w:rPr>
      </w:pPr>
      <w:r>
        <w:rPr>
          <w:rFonts w:hint="eastAsia" w:ascii="宋体" w:hAnsi="宋体" w:cs="宋体"/>
          <w:b/>
          <w:bCs/>
          <w:spacing w:val="-3"/>
          <w:sz w:val="24"/>
          <w:szCs w:val="24"/>
          <w:highlight w:val="white"/>
        </w:rPr>
        <w:t xml:space="preserve">五、甲、乙双方的义务</w:t>
      </w:r>
      <w:r>
        <w:rPr>
          <w:highlight w:val="white"/>
        </w:rPr>
      </w:r>
      <w:r/>
    </w:p>
    <w:p>
      <w:pPr>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1、甲方有义务向乙方及时提供已搜集的开展工作所必需的政策、法律、法规、行政指导性文件及相关资料。</w:t>
      </w:r>
      <w:r>
        <w:rPr>
          <w:highlight w:val="white"/>
        </w:rPr>
      </w:r>
      <w:r/>
    </w:p>
    <w:p>
      <w:pPr>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2、乙方应当认真执行并按时完成服务工作，自觉接受甲方监督，乙方应当坚守工作范围的职责。</w:t>
      </w:r>
      <w:r>
        <w:rPr>
          <w:highlight w:val="white"/>
        </w:rPr>
      </w:r>
      <w:r/>
    </w:p>
    <w:p>
      <w:pPr>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3、乙方在项目实施过程中，未经甲方批准，不得随意更换项目组成员。如果甲方认为技术服务人员不具备本次服务工作所需的技术能力，有权随时要求乙方对该成员进行更换。项目实施人员在服务期间内出现的工伤及其他意外事故，均由乙方自行负责，甲方不承担任何责任。甲方提出人员更换要求后，乙方应在5个工作日内完成更换，并向甲方提交新人员资质证明；逾期未更换的，每逾期1日按合同总价款的 0.1%支付违约金，逾期超过10日的，甲方有权解除合同。</w:t>
      </w:r>
      <w:r>
        <w:rPr>
          <w:highlight w:val="white"/>
        </w:rPr>
      </w:r>
      <w:r/>
    </w:p>
    <w:p>
      <w:pPr>
        <w:spacing w:line="360" w:lineRule="auto"/>
        <w:tabs>
          <w:tab w:val="left" w:pos="540" w:leader="none"/>
        </w:tabs>
        <w:rPr>
          <w:rFonts w:hint="eastAsia" w:ascii="宋体" w:hAnsi="宋体" w:cs="宋体"/>
          <w:sz w:val="24"/>
          <w:szCs w:val="24"/>
          <w:highlight w:val="white"/>
        </w:rPr>
      </w:pPr>
      <w:r>
        <w:rPr>
          <w:rFonts w:hint="eastAsia" w:ascii="宋体" w:hAnsi="宋体" w:cs="宋体"/>
          <w:sz w:val="24"/>
          <w:szCs w:val="24"/>
          <w:highlight w:val="white"/>
        </w:rPr>
        <w:t xml:space="preserve">4、乙方及其项目人员应当遵守保密原则，对因订立和执行本合同过程中所了解或知悉或获取的对方的一切信息、国家秘密、商业秘密和个人隐私以及合同成果予以保密，在本合同服务期内及本合同解除或终止后均不得向甲方以外的第三方提供保密信息，除非得到甲方的同意或者属于法律、行政法规允许的范围。</w:t>
      </w:r>
      <w:r>
        <w:rPr>
          <w:highlight w:val="white"/>
        </w:rPr>
      </w:r>
      <w:r/>
    </w:p>
    <w:p>
      <w:pPr>
        <w:spacing w:line="360" w:lineRule="auto"/>
        <w:tabs>
          <w:tab w:val="left" w:pos="540" w:leader="none"/>
        </w:tabs>
        <w:rPr>
          <w:rFonts w:hint="eastAsia" w:ascii="宋体" w:hAnsi="宋体" w:cs="宋体"/>
          <w:b/>
          <w:bCs/>
          <w:sz w:val="24"/>
          <w:szCs w:val="24"/>
          <w:highlight w:val="white"/>
        </w:rPr>
      </w:pPr>
      <w:r>
        <w:rPr>
          <w:rFonts w:hint="eastAsia" w:ascii="宋体" w:hAnsi="宋体" w:cs="宋体"/>
          <w:sz w:val="24"/>
          <w:szCs w:val="24"/>
          <w:highlight w:val="white"/>
        </w:rPr>
        <w:t xml:space="preserve">5、甲方提交给乙方使用的相关资料，其知识产权仍归甲方所有。除为本合同目的而使用之外，乙方不得复制、使用及提供给第三方。乙方应能保证所提供服务涉及到的知识产权是合法取得，并享有完整的知识产权，不会因为需方的使</w:t>
      </w:r>
      <w:r>
        <w:rPr>
          <w:rFonts w:hint="eastAsia" w:ascii="宋体" w:hAnsi="宋体" w:cs="宋体"/>
          <w:bCs/>
          <w:sz w:val="24"/>
          <w:szCs w:val="24"/>
          <w:highlight w:val="white"/>
        </w:rPr>
        <w:t xml:space="preserve">用而被责令停止使用、追偿或要求赔偿损失，如出现此情况，一切经济和法律责任均由乙方承担。乙方提供的所有服务必须质量符合国际或国家通用标准，如出现质量问题，乙方负责更正，发生的费用由乙方负责，给甲方造成损失的，由乙方进行赔偿。</w:t>
      </w:r>
      <w:r>
        <w:rPr>
          <w:highlight w:val="white"/>
        </w:rPr>
      </w:r>
      <w:r/>
    </w:p>
    <w:p>
      <w:pPr>
        <w:spacing w:line="360" w:lineRule="auto"/>
        <w:rPr>
          <w:rFonts w:hint="eastAsia" w:ascii="宋体" w:hAnsi="宋体" w:cs="宋体"/>
          <w:b/>
          <w:bCs/>
          <w:spacing w:val="-3"/>
          <w:sz w:val="24"/>
          <w:szCs w:val="24"/>
          <w:highlight w:val="white"/>
        </w:rPr>
      </w:pPr>
      <w:r>
        <w:rPr>
          <w:rFonts w:hint="eastAsia" w:ascii="宋体" w:hAnsi="宋体" w:cs="宋体"/>
          <w:b/>
          <w:bCs/>
          <w:spacing w:val="-3"/>
          <w:sz w:val="24"/>
          <w:szCs w:val="24"/>
          <w:highlight w:val="white"/>
        </w:rPr>
        <w:t xml:space="preserve">六、考核验收要求</w:t>
      </w:r>
      <w:r>
        <w:rPr>
          <w:highlight w:val="white"/>
        </w:rPr>
      </w:r>
      <w:r/>
    </w:p>
    <w:p>
      <w:pPr>
        <w:spacing w:line="360" w:lineRule="auto"/>
        <w:tabs>
          <w:tab w:val="left" w:pos="540" w:leader="none"/>
        </w:tabs>
        <w:rPr>
          <w:rFonts w:hint="eastAsia" w:ascii="宋体" w:hAnsi="宋体" w:cs="宋体"/>
          <w:sz w:val="24"/>
          <w:szCs w:val="24"/>
          <w:highlight w:val="white"/>
        </w:rPr>
      </w:pPr>
      <w:r>
        <w:rPr>
          <w:rFonts w:hint="eastAsia" w:ascii="宋体" w:hAnsi="宋体" w:cs="宋体"/>
          <w:sz w:val="24"/>
          <w:szCs w:val="24"/>
          <w:highlight w:val="white"/>
        </w:rPr>
        <w:t xml:space="preserve">1、本项目将根据政府采购法及相关法规，《江苏省政府采购履约验收管理办法》等文件的规定，对供应商进行履约验收，确认验收合格的，将出具《政府采购履约验收书》。《政府采购履约验收书》、合同是申请支付政府采购合同价款的必备资料。</w:t>
      </w:r>
      <w:r>
        <w:rPr>
          <w:highlight w:val="white"/>
        </w:rPr>
      </w:r>
      <w:r/>
    </w:p>
    <w:p>
      <w:pPr>
        <w:spacing w:line="360" w:lineRule="auto"/>
        <w:tabs>
          <w:tab w:val="left" w:pos="540" w:leader="none"/>
        </w:tabs>
        <w:rPr>
          <w:rFonts w:hint="eastAsia" w:ascii="宋体" w:hAnsi="宋体" w:cs="宋体"/>
          <w:sz w:val="24"/>
          <w:szCs w:val="24"/>
          <w:highlight w:val="white"/>
        </w:rPr>
      </w:pPr>
      <w:r>
        <w:rPr>
          <w:rFonts w:hint="eastAsia" w:ascii="宋体" w:hAnsi="宋体" w:cs="宋体"/>
          <w:sz w:val="24"/>
          <w:szCs w:val="24"/>
          <w:highlight w:val="white"/>
        </w:rPr>
        <w:t xml:space="preserve">2、履约验收标准：乙方提供的服务必须符合我国最新颁布的与之相关的技术规范与标准，同时必须满足采购文件中所列技术要求和乙方承诺的其它内容。本项目甲方将根据招投标文件、本合同约定及合同附件《姑苏区空气自动站运维情况考核表》相关内容来进行运维考核验收。甲方每月对乙方开展运维工作考核。</w:t>
      </w:r>
      <w:r>
        <w:rPr>
          <w:highlight w:val="white"/>
        </w:rPr>
      </w:r>
      <w:r/>
    </w:p>
    <w:p>
      <w:pPr>
        <w:spacing w:line="360" w:lineRule="auto"/>
        <w:tabs>
          <w:tab w:val="left" w:pos="540" w:leader="none"/>
        </w:tabs>
        <w:rPr>
          <w:rFonts w:hint="eastAsia" w:ascii="宋体" w:hAnsi="宋体" w:cs="宋体"/>
          <w:sz w:val="24"/>
          <w:szCs w:val="24"/>
          <w:highlight w:val="white"/>
        </w:rPr>
      </w:pPr>
      <w:r>
        <w:rPr>
          <w:rFonts w:hint="eastAsia" w:ascii="宋体" w:hAnsi="宋体" w:cs="宋体"/>
          <w:sz w:val="24"/>
          <w:szCs w:val="24"/>
          <w:highlight w:val="white"/>
        </w:rPr>
        <w:t xml:space="preserve">3、履约验收主体：由甲方进行验收。</w:t>
      </w:r>
      <w:r>
        <w:rPr>
          <w:highlight w:val="white"/>
        </w:rPr>
      </w:r>
      <w:r/>
    </w:p>
    <w:p>
      <w:pPr>
        <w:spacing w:line="360" w:lineRule="auto"/>
        <w:tabs>
          <w:tab w:val="left" w:pos="540" w:leader="none"/>
        </w:tabs>
        <w:rPr>
          <w:rFonts w:hint="eastAsia" w:ascii="宋体" w:hAnsi="宋体" w:cs="宋体"/>
          <w:sz w:val="24"/>
          <w:szCs w:val="24"/>
          <w:highlight w:val="white"/>
        </w:rPr>
      </w:pPr>
      <w:r>
        <w:rPr>
          <w:rFonts w:hint="eastAsia" w:ascii="宋体" w:hAnsi="宋体" w:cs="宋体"/>
          <w:sz w:val="24"/>
          <w:szCs w:val="24"/>
          <w:highlight w:val="white"/>
        </w:rPr>
        <w:t xml:space="preserve">4、履约验收方式：乙方应当按照政府采购合同的约定，配合甲方做好项目考核验收，提供与验收相关的资料，根据实际需要做好技术说明等工作，并对所提供资料和材料的真实性负责。验收结束后，出具验收书，列明各分项标准的验收情况及项目总体评价，由验收双方共同签</w:t>
      </w:r>
      <w:r>
        <w:rPr>
          <w:rFonts w:hint="eastAsia" w:ascii="宋体" w:hAnsi="宋体" w:cs="宋体"/>
          <w:sz w:val="24"/>
          <w:szCs w:val="24"/>
          <w:highlight w:val="white"/>
        </w:rPr>
        <w:t xml:space="preserve">署。</w:t>
      </w:r>
      <w:r>
        <w:rPr>
          <w:highlight w:val="white"/>
        </w:rPr>
      </w:r>
      <w:r/>
    </w:p>
    <w:p>
      <w:pPr>
        <w:spacing w:line="360" w:lineRule="auto"/>
        <w:rPr>
          <w:rFonts w:hint="eastAsia" w:ascii="宋体" w:hAnsi="宋体" w:cs="宋体"/>
          <w:b/>
          <w:bCs/>
          <w:spacing w:val="-3"/>
          <w:sz w:val="24"/>
          <w:szCs w:val="24"/>
          <w:highlight w:val="white"/>
        </w:rPr>
      </w:pPr>
      <w:r>
        <w:rPr>
          <w:rFonts w:hint="eastAsia" w:ascii="宋体" w:hAnsi="宋体" w:cs="宋体"/>
          <w:b/>
          <w:bCs/>
          <w:spacing w:val="-3"/>
          <w:sz w:val="24"/>
          <w:szCs w:val="24"/>
          <w:highlight w:val="white"/>
        </w:rPr>
        <w:t xml:space="preserve">七、安全责任</w:t>
      </w:r>
      <w:r>
        <w:rPr>
          <w:highlight w:val="white"/>
        </w:rPr>
      </w:r>
      <w:r/>
    </w:p>
    <w:p>
      <w:pPr>
        <w:spacing w:line="360" w:lineRule="auto"/>
        <w:tabs>
          <w:tab w:val="left" w:pos="540" w:leader="none"/>
        </w:tabs>
        <w:rPr>
          <w:rFonts w:hint="eastAsia" w:ascii="宋体" w:hAnsi="宋体" w:cs="宋体"/>
          <w:sz w:val="24"/>
          <w:szCs w:val="24"/>
          <w:highlight w:val="white"/>
        </w:rPr>
      </w:pPr>
      <w:r>
        <w:rPr>
          <w:rFonts w:hint="eastAsia" w:ascii="宋体" w:hAnsi="宋体" w:cs="宋体"/>
          <w:sz w:val="24"/>
          <w:szCs w:val="24"/>
          <w:highlight w:val="white"/>
        </w:rPr>
        <w:t xml:space="preserve">乙方在项目实施过程中，服务期内出现的一切安全责任（包括乙方服务人员的人身财产安全及因本项目原因造成的其他安全事故等）由乙方全权负责并承担由此造成的一切损失，甲方无责。乙方承担的损失包括但不限于直接损失（如甲方为补救事故支出的费用）和间接损失（如因设备停运导致的环境监测数据缺失影响环保考核、第三方投诉引发的行政罚款等）。</w:t>
      </w:r>
      <w:r>
        <w:rPr>
          <w:highlight w:val="white"/>
        </w:rPr>
      </w:r>
      <w:r/>
    </w:p>
    <w:p>
      <w:pPr>
        <w:spacing w:line="360" w:lineRule="auto"/>
        <w:rPr>
          <w:rFonts w:hint="eastAsia" w:ascii="宋体" w:hAnsi="宋体" w:cs="宋体"/>
          <w:b/>
          <w:bCs/>
          <w:spacing w:val="-3"/>
          <w:sz w:val="24"/>
          <w:szCs w:val="24"/>
          <w:highlight w:val="white"/>
        </w:rPr>
      </w:pPr>
      <w:r>
        <w:rPr>
          <w:rFonts w:hint="eastAsia" w:ascii="宋体" w:hAnsi="宋体" w:cs="宋体"/>
          <w:b/>
          <w:bCs/>
          <w:spacing w:val="-3"/>
          <w:sz w:val="24"/>
          <w:szCs w:val="24"/>
          <w:highlight w:val="white"/>
        </w:rPr>
        <w:t xml:space="preserve">八、</w:t>
      </w:r>
      <w:r>
        <w:rPr>
          <w:rFonts w:hint="eastAsia" w:ascii="宋体" w:hAnsi="宋体" w:cs="宋体"/>
          <w:b/>
          <w:bCs/>
          <w:spacing w:val="-3"/>
          <w:sz w:val="24"/>
          <w:szCs w:val="24"/>
          <w:highlight w:val="white"/>
          <w:lang w:val="en-AU"/>
        </w:rPr>
        <w:t xml:space="preserve">违约责任</w:t>
      </w:r>
      <w:r>
        <w:rPr>
          <w:highlight w:val="white"/>
        </w:rPr>
      </w:r>
      <w:r/>
    </w:p>
    <w:p>
      <w:pPr>
        <w:ind w:right="-153"/>
        <w:spacing w:line="360" w:lineRule="auto"/>
        <w:tabs>
          <w:tab w:val="left" w:pos="1080" w:leader="none"/>
        </w:tabs>
        <w:rPr>
          <w:rFonts w:hint="eastAsia" w:ascii="宋体" w:hAnsi="宋体" w:cs="宋体"/>
          <w:sz w:val="24"/>
          <w:szCs w:val="24"/>
          <w:highlight w:val="white"/>
        </w:rPr>
      </w:pPr>
      <w:r>
        <w:rPr>
          <w:rFonts w:hint="eastAsia" w:ascii="宋体" w:hAnsi="宋体" w:cs="宋体"/>
          <w:sz w:val="24"/>
          <w:szCs w:val="24"/>
          <w:highlight w:val="white"/>
        </w:rPr>
        <w:t xml:space="preserve">1、乙方不能提供服务的，或服务不合格从而影响甲方按期正常使用的，乙方应向甲方赔偿损失，并向甲方偿付合同总价款20%的违约金，且甲方有权解除合同。</w:t>
      </w:r>
      <w:r>
        <w:rPr>
          <w:highlight w:val="white"/>
        </w:rPr>
      </w:r>
      <w:r/>
    </w:p>
    <w:p>
      <w:pPr>
        <w:ind w:right="-153"/>
        <w:spacing w:line="360" w:lineRule="auto"/>
        <w:tabs>
          <w:tab w:val="left" w:pos="1080" w:leader="none"/>
        </w:tabs>
        <w:rPr>
          <w:rFonts w:hint="eastAsia" w:ascii="宋体" w:hAnsi="宋体" w:cs="宋体"/>
          <w:sz w:val="24"/>
          <w:szCs w:val="24"/>
          <w:highlight w:val="white"/>
        </w:rPr>
      </w:pPr>
      <w:r>
        <w:rPr>
          <w:rFonts w:hint="eastAsia" w:ascii="宋体" w:hAnsi="宋体" w:cs="宋体"/>
          <w:sz w:val="24"/>
          <w:szCs w:val="24"/>
          <w:highlight w:val="white"/>
        </w:rPr>
        <w:t xml:space="preserve">2、乙方逾期提供服务的，应与甲方和管理部门协商，甲方仍需求的，乙方应立即提供服务，并且每天按照合同总价款的万分之四支付逾期违约金，同时承担甲方因此遭致的损失费用。违约金无法弥补损失的，乙方需向甲方赔偿实际损失。 </w:t>
      </w:r>
      <w:r>
        <w:rPr>
          <w:highlight w:val="white"/>
        </w:rPr>
      </w:r>
      <w:r/>
    </w:p>
    <w:p>
      <w:pPr>
        <w:ind w:right="-153"/>
        <w:spacing w:line="360" w:lineRule="auto"/>
        <w:tabs>
          <w:tab w:val="left" w:pos="1080" w:leader="none"/>
        </w:tabs>
        <w:rPr>
          <w:rFonts w:hint="eastAsia" w:ascii="宋体" w:hAnsi="宋体" w:cs="宋体"/>
          <w:sz w:val="24"/>
          <w:szCs w:val="24"/>
          <w:highlight w:val="white"/>
        </w:rPr>
      </w:pPr>
      <w:r>
        <w:rPr>
          <w:rFonts w:hint="eastAsia" w:ascii="宋体" w:hAnsi="宋体" w:cs="宋体"/>
          <w:sz w:val="24"/>
          <w:szCs w:val="24"/>
          <w:highlight w:val="white"/>
        </w:rPr>
        <w:t xml:space="preserve">3、政府采购合同的部分和全部都不得转让、分包，否则乙方应向甲方补偿损失，并向甲方偿付合同总价款20%的违约金，如因此导致甲方产生损失的，乙方还应当另行赔偿，且甲方有权解除合同。</w:t>
      </w:r>
      <w:r>
        <w:rPr>
          <w:highlight w:val="white"/>
        </w:rPr>
      </w:r>
      <w:r/>
    </w:p>
    <w:p>
      <w:pPr>
        <w:ind w:right="-153"/>
        <w:spacing w:line="360" w:lineRule="auto"/>
        <w:tabs>
          <w:tab w:val="left" w:pos="1080" w:leader="none"/>
        </w:tabs>
        <w:rPr>
          <w:rFonts w:hint="eastAsia" w:ascii="宋体" w:hAnsi="宋体" w:cs="宋体"/>
          <w:sz w:val="24"/>
          <w:szCs w:val="24"/>
          <w:highlight w:val="white"/>
        </w:rPr>
      </w:pPr>
      <w:r>
        <w:rPr>
          <w:rFonts w:hint="eastAsia" w:ascii="宋体" w:hAnsi="宋体" w:cs="宋体"/>
          <w:sz w:val="24"/>
          <w:szCs w:val="24"/>
          <w:highlight w:val="white"/>
        </w:rPr>
        <w:t xml:space="preserve">4、若乙方未遵守保密义务，出现泄漏甲方或第三方秘密的情形，甲方有权要求乙方赔偿损失，并追究乙方合同总价款百分之二十的违约金，且甲方有权解除合同。情节严重涉及违法犯罪的，依法移交司法机关处理。</w:t>
      </w:r>
      <w:r>
        <w:rPr>
          <w:highlight w:val="white"/>
        </w:rPr>
      </w:r>
      <w:r/>
    </w:p>
    <w:p>
      <w:pPr>
        <w:ind w:right="-153"/>
        <w:spacing w:line="360" w:lineRule="auto"/>
        <w:tabs>
          <w:tab w:val="left" w:pos="1080" w:leader="none"/>
        </w:tabs>
        <w:rPr>
          <w:rFonts w:hint="eastAsia" w:ascii="宋体" w:hAnsi="宋体" w:cs="宋体"/>
          <w:sz w:val="24"/>
          <w:szCs w:val="24"/>
          <w:highlight w:val="white"/>
        </w:rPr>
      </w:pPr>
      <w:r>
        <w:rPr>
          <w:rFonts w:hint="eastAsia" w:ascii="宋体" w:hAnsi="宋体" w:cs="宋体"/>
          <w:sz w:val="24"/>
          <w:szCs w:val="24"/>
          <w:highlight w:val="white"/>
        </w:rPr>
        <w:t xml:space="preserve">5、若因乙方侵犯第三方知识产权，发生第三方诉讼、社会舆论或甲方信誉受损等情形，甲方有权要求乙方赔偿损失（包括但不限于直接损失、间接损失、以及诉讼费、保全费、公告费、担保函费、执行费、鉴定费、差旅费等），并追究乙方合同总价款20%的违约金，且甲方有权解除合同，情节严重的涉及违法犯罪的，依法移送司法机关处理。</w:t>
      </w:r>
      <w:r>
        <w:rPr>
          <w:highlight w:val="white"/>
        </w:rPr>
      </w:r>
      <w:r/>
    </w:p>
    <w:p>
      <w:pPr>
        <w:ind w:right="-153"/>
        <w:spacing w:line="360" w:lineRule="auto"/>
        <w:tabs>
          <w:tab w:val="left" w:pos="1080" w:leader="none"/>
        </w:tabs>
        <w:rPr>
          <w:rFonts w:hint="eastAsia" w:ascii="宋体" w:hAnsi="宋体" w:cs="宋体"/>
          <w:sz w:val="24"/>
          <w:szCs w:val="24"/>
          <w:highlight w:val="white"/>
        </w:rPr>
      </w:pPr>
      <w:r>
        <w:rPr>
          <w:rFonts w:hint="eastAsia" w:ascii="宋体" w:hAnsi="宋体" w:cs="宋体"/>
          <w:sz w:val="24"/>
          <w:szCs w:val="24"/>
          <w:highlight w:val="white"/>
        </w:rPr>
        <w:t xml:space="preserve">6、采购文件规定的其他违约情形及责任。</w:t>
      </w:r>
      <w:r>
        <w:rPr>
          <w:highlight w:val="white"/>
        </w:rPr>
      </w:r>
      <w:r/>
    </w:p>
    <w:p>
      <w:pPr>
        <w:spacing w:line="360" w:lineRule="auto"/>
        <w:rPr>
          <w:rFonts w:hint="eastAsia" w:ascii="宋体" w:hAnsi="宋体" w:cs="宋体"/>
          <w:b/>
          <w:sz w:val="24"/>
          <w:szCs w:val="24"/>
          <w:highlight w:val="white"/>
        </w:rPr>
      </w:pPr>
      <w:r>
        <w:rPr>
          <w:rFonts w:hint="eastAsia" w:ascii="宋体" w:hAnsi="宋体" w:cs="宋体"/>
          <w:b/>
          <w:sz w:val="24"/>
          <w:szCs w:val="24"/>
          <w:highlight w:val="white"/>
        </w:rPr>
        <w:t xml:space="preserve">九、不可抗力</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1、合同一方因不可抗力（或甲、乙双方不能控制的原因）不能履行合同的，根据不可抗力的影响，部分或者全部免除责任。但合同一方迟延履行后发生不可抗力的，不能免除责任。</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合同一方因不可抗力不能履行合同的，应当自不可抗力发生后3日内通知对方，以减轻可能给对方造成的损失，并应当在发出不可抗力通知后30日内提供书面证明。不可抗力事件消除后，乙方应在3日内制定服务恢复方案，7日内恢复全部运维服务；逾期未恢复的，按本合同违约责任第2条承担逾期违约责任。</w:t>
      </w:r>
      <w:r>
        <w:rPr>
          <w:highlight w:val="white"/>
        </w:rPr>
      </w:r>
      <w:r/>
    </w:p>
    <w:p>
      <w:pPr>
        <w:spacing w:line="360" w:lineRule="auto"/>
        <w:rPr>
          <w:rFonts w:hint="eastAsia" w:ascii="宋体" w:hAnsi="宋体" w:cs="宋体"/>
          <w:b/>
          <w:sz w:val="24"/>
          <w:szCs w:val="24"/>
          <w:highlight w:val="white"/>
        </w:rPr>
      </w:pPr>
      <w:r>
        <w:rPr>
          <w:rFonts w:hint="eastAsia" w:ascii="宋体" w:hAnsi="宋体" w:cs="宋体"/>
          <w:b/>
          <w:sz w:val="24"/>
          <w:szCs w:val="24"/>
          <w:highlight w:val="white"/>
        </w:rPr>
        <w:t xml:space="preserve">十、合同的解除和转让</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1、合同的解除</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（1）甲乙双方协商一致，可以解除本合同。</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（2）有下列情形之一，合同一方可以解除合同：</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①因不可抗力致使不能实现合同目的，未受不可抗力影响的一方有权解除合同；</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②因合同一方违约导致合同不能履行，另一方有权解除合同。</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（3）有权解除合同的一方，应当在违约事实或不可抗力发生之后三十天内书面通知对方以主张解除合同，合同在书面通知到达对方时解除。</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2、合同的转让：未经甲方书面同意，乙方不得转让本合同全部或部分权利与义务。</w:t>
      </w:r>
      <w:r>
        <w:rPr>
          <w:highlight w:val="white"/>
        </w:rPr>
      </w:r>
      <w:r/>
    </w:p>
    <w:p>
      <w:pPr>
        <w:spacing w:line="360" w:lineRule="auto"/>
        <w:rPr>
          <w:rFonts w:hint="eastAsia" w:ascii="宋体" w:hAnsi="宋体" w:cs="宋体"/>
          <w:b/>
          <w:sz w:val="24"/>
          <w:szCs w:val="24"/>
          <w:highlight w:val="white"/>
        </w:rPr>
      </w:pPr>
      <w:r>
        <w:rPr>
          <w:rFonts w:hint="eastAsia" w:ascii="宋体" w:hAnsi="宋体" w:cs="宋体"/>
          <w:b/>
          <w:sz w:val="24"/>
          <w:szCs w:val="24"/>
          <w:highlight w:val="white"/>
        </w:rPr>
        <w:t xml:space="preserve">十一、合同的生效</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本合同经甲乙双方法定代表人或授权代表人签字盖章（公章或合同章）后生效，生效后的合同需进行网上公示。</w:t>
      </w:r>
      <w:r>
        <w:rPr>
          <w:highlight w:val="white"/>
        </w:rPr>
      </w:r>
      <w:r/>
    </w:p>
    <w:p>
      <w:pPr>
        <w:spacing w:line="360" w:lineRule="auto"/>
        <w:rPr>
          <w:rFonts w:hint="eastAsia" w:ascii="宋体" w:hAnsi="宋体" w:cs="宋体"/>
          <w:b/>
          <w:sz w:val="24"/>
          <w:szCs w:val="24"/>
          <w:highlight w:val="white"/>
        </w:rPr>
      </w:pPr>
      <w:r>
        <w:rPr>
          <w:rFonts w:hint="eastAsia" w:ascii="宋体" w:hAnsi="宋体" w:cs="宋体"/>
          <w:b/>
          <w:sz w:val="24"/>
          <w:szCs w:val="24"/>
          <w:highlight w:val="white"/>
        </w:rPr>
        <w:t xml:space="preserve">十二、争议解决</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甲乙双方因履行本合同或与本合同相关的一切事项发生争议，应首先友好协商解决。协商不成的，任何一方有权向甲方所在地人民法院起诉。因乙方违约或乙方追究甲方违约但不成立，甲方为解决纠纷而产生的费用由乙方承担，包括但不限于诉讼费、保全费、律师费、执行费、鉴定费、差旅费等。</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甲方和乙方都不得擅自变更本合同，但合同继续履行将损害国家和社会公共利益的除外。因公共利益或监测需求变化，甲方需变更服务范围的，应提前10日书面通知乙方，双方协商确定变更内容及费用调整方案，签订补充协议后执行；乙方无正当理由拒绝变更的，甲方有权扣减对应比例的服务费用。</w:t>
      </w:r>
      <w:r>
        <w:rPr>
          <w:highlight w:val="white"/>
        </w:rPr>
      </w:r>
      <w:r/>
    </w:p>
    <w:p>
      <w:pPr>
        <w:spacing w:line="360" w:lineRule="auto"/>
        <w:rPr>
          <w:rFonts w:hint="eastAsia" w:ascii="宋体" w:hAnsi="宋体" w:cs="宋体"/>
          <w:b/>
          <w:sz w:val="24"/>
          <w:szCs w:val="24"/>
          <w:highlight w:val="white"/>
        </w:rPr>
      </w:pPr>
      <w:r>
        <w:rPr>
          <w:rFonts w:hint="eastAsia" w:ascii="宋体" w:hAnsi="宋体" w:cs="宋体"/>
          <w:b/>
          <w:sz w:val="24"/>
          <w:szCs w:val="24"/>
          <w:highlight w:val="white"/>
        </w:rPr>
        <w:t xml:space="preserve">十三、其他</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1、合同份数：本合同一式伍份，甲乙双方各执贰份，招标代理机构壹份，具有同等法律效力。</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本合同未尽事宜应按《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法律效力，但须提交招标代理机构壹份备存。</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3、甲乙双方所确认的联系人、联系方式及法律文书送达地址（本合同首部所载明的地址），如发生变更的，应当于变更之日起3日内书面通知另一方，未通知的自行承担送达不能等一切不利后果。</w:t>
      </w:r>
      <w:r>
        <w:rPr>
          <w:highlight w:val="white"/>
        </w:rPr>
      </w:r>
      <w:r/>
    </w:p>
    <w:p>
      <w:pPr>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备注：合同条款内容将根据成交单位承诺的实际服务内容进行调整。</w:t>
      </w:r>
      <w:r>
        <w:rPr>
          <w:highlight w:val="white"/>
        </w:rPr>
      </w:r>
      <w:r/>
    </w:p>
    <w:p>
      <w:pPr>
        <w:ind w:firstLine="480"/>
        <w:spacing w:line="360" w:lineRule="auto"/>
        <w:rPr>
          <w:rFonts w:hint="eastAsia" w:ascii="宋体" w:hAnsi="宋体" w:cs="仿宋_GB2312"/>
          <w:sz w:val="24"/>
          <w:szCs w:val="24"/>
          <w:highlight w:val="white"/>
        </w:rPr>
      </w:pPr>
      <w:r>
        <w:rPr>
          <w:rFonts w:hint="eastAsia" w:ascii="宋体" w:hAnsi="宋体" w:cs="仿宋_GB2312"/>
          <w:sz w:val="24"/>
          <w:szCs w:val="24"/>
          <w:highlight w:val="white"/>
        </w:rPr>
      </w:r>
      <w:r>
        <w:rPr>
          <w:highlight w:val="white"/>
        </w:rPr>
      </w:r>
      <w:r/>
    </w:p>
    <w:p>
      <w:pPr>
        <w:ind w:firstLine="420"/>
        <w:spacing w:line="360" w:lineRule="auto"/>
        <w:rPr>
          <w:rFonts w:hint="eastAsia" w:ascii="宋体" w:hAnsi="宋体" w:cs="宋体"/>
          <w:strike/>
          <w:sz w:val="24"/>
          <w:szCs w:val="24"/>
          <w:highlight w:val="white"/>
        </w:rPr>
      </w:pPr>
      <w:r>
        <w:rPr>
          <w:rFonts w:hint="eastAsia" w:ascii="宋体" w:hAnsi="宋体" w:cs="宋体"/>
          <w:strike/>
          <w:sz w:val="24"/>
          <w:szCs w:val="24"/>
          <w:highlight w:val="white"/>
        </w:rPr>
      </w:r>
      <w:r>
        <w:rPr>
          <w:highlight w:val="white"/>
        </w:rPr>
      </w:r>
      <w:r/>
    </w:p>
    <w:tbl>
      <w:tblPr>
        <w:tblW w:w="8472" w:type="dxa"/>
        <w:tblLayout w:type="fixed"/>
        <w:tblLook w:val="04A0" w:firstRow="1" w:lastRow="0" w:firstColumn="1" w:lastColumn="0" w:noHBand="0" w:noVBand="1"/>
      </w:tblPr>
      <w:tblGrid>
        <w:gridCol w:w="4503"/>
        <w:gridCol w:w="3969"/>
      </w:tblGrid>
      <w:tr>
        <w:trPr/>
        <w:tc>
          <w:tcPr>
            <w:tcW w:w="4503"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lang w:val="zh-TW" w:eastAsia="zh-TW"/>
              </w:rPr>
              <w:t xml:space="preserve">甲方：</w:t>
            </w:r>
            <w:r>
              <w:rPr>
                <w:highlight w:val="white"/>
              </w:rPr>
            </w:r>
            <w:r/>
          </w:p>
        </w:tc>
        <w:tc>
          <w:tcPr>
            <w:tcW w:w="3969"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lang w:val="zh-TW" w:eastAsia="zh-TW"/>
              </w:rPr>
              <w:t xml:space="preserve">乙方：</w:t>
            </w:r>
            <w:r>
              <w:rPr>
                <w:highlight w:val="white"/>
              </w:rPr>
            </w:r>
            <w:r/>
          </w:p>
        </w:tc>
      </w:tr>
      <w:tr>
        <w:trPr/>
        <w:tc>
          <w:tcPr>
            <w:tcW w:w="4503"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lang w:val="zh-TW"/>
              </w:rPr>
              <w:t xml:space="preserve">法定代表人（授权代表）：</w:t>
            </w:r>
            <w:r>
              <w:rPr>
                <w:highlight w:val="white"/>
              </w:rPr>
            </w:r>
            <w:r/>
          </w:p>
        </w:tc>
        <w:tc>
          <w:tcPr>
            <w:tcW w:w="3969"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lang w:val="zh-TW"/>
              </w:rPr>
              <w:t xml:space="preserve">法定代表人（授权代表）：</w:t>
            </w:r>
            <w:r>
              <w:rPr>
                <w:highlight w:val="white"/>
              </w:rPr>
            </w:r>
            <w:r/>
          </w:p>
        </w:tc>
      </w:tr>
      <w:tr>
        <w:trPr/>
        <w:tc>
          <w:tcPr>
            <w:tcW w:w="4503"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lang w:val="zh-TW" w:eastAsia="zh-TW"/>
              </w:rPr>
              <w:t xml:space="preserve">日期：</w:t>
            </w:r>
            <w:r>
              <w:rPr>
                <w:highlight w:val="white"/>
              </w:rPr>
            </w:r>
            <w:r/>
          </w:p>
        </w:tc>
        <w:tc>
          <w:tcPr>
            <w:tcW w:w="3969"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lang w:val="zh-TW" w:eastAsia="zh-TW"/>
              </w:rPr>
              <w:t xml:space="preserve">日期：</w:t>
            </w:r>
            <w:r>
              <w:rPr>
                <w:highlight w:val="white"/>
              </w:rPr>
            </w:r>
            <w:r/>
          </w:p>
        </w:tc>
      </w:tr>
      <w:tr>
        <w:trPr/>
        <w:tc>
          <w:tcPr>
            <w:tcW w:w="4503"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3969"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lang w:val="zh-TW" w:eastAsia="zh-TW"/>
              </w:rPr>
              <w:t xml:space="preserve">开户行：</w:t>
            </w:r>
            <w:r>
              <w:rPr>
                <w:highlight w:val="white"/>
              </w:rPr>
            </w:r>
            <w:r/>
          </w:p>
        </w:tc>
      </w:tr>
      <w:tr>
        <w:trPr/>
        <w:tc>
          <w:tcPr>
            <w:tcW w:w="4503"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3969"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lang w:val="zh-TW" w:eastAsia="zh-TW"/>
              </w:rPr>
              <w:t xml:space="preserve">账户：</w:t>
            </w:r>
            <w:r>
              <w:rPr>
                <w:highlight w:val="white"/>
              </w:rPr>
            </w:r>
            <w:r/>
          </w:p>
        </w:tc>
      </w:tr>
      <w:tr>
        <w:trPr/>
        <w:tc>
          <w:tcPr>
            <w:tcW w:w="4503"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3969"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bl>
    <w:p>
      <w:pPr>
        <w:jc w:val="left"/>
        <w:widowControl/>
        <w:rPr>
          <w:highlight w:val="white"/>
        </w:rPr>
      </w:pPr>
      <w:r>
        <w:rPr>
          <w:highlight w:val="white"/>
        </w:rPr>
      </w:r>
      <w:r>
        <w:rPr>
          <w:highlight w:val="white"/>
        </w:rPr>
      </w:r>
      <w:r/>
    </w:p>
    <w:p>
      <w:pPr>
        <w:rPr>
          <w:highlight w:val="white"/>
        </w:rPr>
      </w:pPr>
      <w:r>
        <w:rPr>
          <w:rFonts w:hint="eastAsia"/>
          <w:highlight w:val="white"/>
        </w:rPr>
        <w:br w:type="page" w:clear="all"/>
      </w:r>
      <w:r>
        <w:rPr>
          <w:highlight w:val="white"/>
        </w:rPr>
      </w:r>
      <w:r/>
    </w:p>
    <w:p>
      <w:pPr>
        <w:jc w:val="left"/>
        <w:widowControl/>
        <w:rPr>
          <w:rFonts w:hint="eastAsia" w:ascii="宋体" w:hAnsi="宋体" w:cs="宋体"/>
          <w:b/>
          <w:bCs/>
          <w:sz w:val="24"/>
          <w:szCs w:val="24"/>
          <w:highlight w:val="white"/>
        </w:rPr>
      </w:pPr>
      <w:r>
        <w:rPr>
          <w:rFonts w:hint="eastAsia" w:ascii="宋体" w:hAnsi="宋体" w:cs="宋体"/>
          <w:b/>
          <w:bCs/>
          <w:sz w:val="24"/>
          <w:szCs w:val="24"/>
          <w:highlight w:val="white"/>
        </w:rPr>
        <w:t xml:space="preserve">合同附件：</w:t>
      </w:r>
      <w:r>
        <w:rPr>
          <w:highlight w:val="white"/>
        </w:rPr>
      </w:r>
      <w:r/>
    </w:p>
    <w:p>
      <w:pPr>
        <w:pStyle w:val="1040"/>
        <w:ind w:firstLine="0"/>
        <w:rPr>
          <w:rFonts w:hint="eastAsia" w:ascii="宋体" w:hAnsi="宋体" w:cs="宋体"/>
          <w:sz w:val="24"/>
          <w:szCs w:val="24"/>
          <w:highlight w:val="white"/>
        </w:rPr>
      </w:pPr>
      <w:r>
        <w:rPr>
          <w:rFonts w:hint="eastAsia" w:ascii="宋体" w:hAnsi="宋体" w:cs="宋体"/>
          <w:sz w:val="24"/>
          <w:szCs w:val="24"/>
          <w:highlight w:val="white"/>
          <w:lang w:val="en-US"/>
        </w:rPr>
      </w:r>
      <w:r>
        <w:rPr>
          <w:highlight w:val="white"/>
        </w:rPr>
      </w:r>
      <w:r/>
    </w:p>
    <w:p>
      <w:pPr>
        <w:pStyle w:val="1040"/>
        <w:ind w:firstLine="0"/>
        <w:rPr>
          <w:rFonts w:hint="eastAsia" w:ascii="宋体" w:hAnsi="宋体" w:cs="宋体"/>
          <w:sz w:val="24"/>
          <w:szCs w:val="24"/>
          <w:highlight w:val="white"/>
        </w:rPr>
      </w:pPr>
      <w:r>
        <w:rPr>
          <w:rFonts w:hint="eastAsia" w:ascii="宋体" w:hAnsi="宋体" w:cs="宋体"/>
          <w:sz w:val="24"/>
          <w:szCs w:val="24"/>
          <w:highlight w:val="white"/>
          <w:lang w:val="en-US"/>
        </w:rPr>
        <w:t xml:space="preserve">1、采购单位每月对成交单位提供的服务进行考核验收。考核验收标准如下：</w:t>
      </w:r>
      <w:r>
        <w:rPr>
          <w:highlight w:val="white"/>
        </w:rPr>
      </w:r>
      <w:r/>
    </w:p>
    <w:p>
      <w:pPr>
        <w:jc w:val="center"/>
        <w:rPr>
          <w:rFonts w:hint="eastAsia" w:ascii="宋体" w:hAnsi="宋体" w:cs="宋体"/>
          <w:b/>
          <w:sz w:val="24"/>
          <w:szCs w:val="24"/>
          <w:highlight w:val="white"/>
        </w:rPr>
      </w:pPr>
      <w:r>
        <w:rPr>
          <w:rFonts w:hint="eastAsia" w:ascii="宋体" w:hAnsi="宋体" w:cs="宋体"/>
          <w:b/>
          <w:sz w:val="24"/>
          <w:szCs w:val="24"/>
          <w:highlight w:val="white"/>
        </w:rPr>
        <w:t xml:space="preserve">姑苏区空气自动站运维情况考核表</w:t>
      </w:r>
      <w:r>
        <w:rPr>
          <w:highlight w:val="white"/>
        </w:rPr>
      </w:r>
      <w:r/>
    </w:p>
    <w:p>
      <w:pPr>
        <w:rPr>
          <w:rFonts w:hint="eastAsia" w:ascii="宋体" w:hAnsi="宋体" w:cs="宋体"/>
          <w:sz w:val="24"/>
          <w:szCs w:val="24"/>
          <w:highlight w:val="white"/>
        </w:rPr>
      </w:pPr>
      <w:r>
        <w:rPr>
          <w:rFonts w:hint="eastAsia" w:ascii="宋体" w:hAnsi="宋体" w:cs="宋体"/>
          <w:sz w:val="24"/>
          <w:szCs w:val="24"/>
          <w:highlight w:val="white"/>
        </w:rPr>
        <w:t xml:space="preserve">考核站点：                                                    考核时间：</w:t>
      </w:r>
      <w:r>
        <w:rPr>
          <w:highlight w:val="white"/>
        </w:rPr>
      </w:r>
      <w:r/>
    </w:p>
    <w:p>
      <w:pPr>
        <w:tabs>
          <w:tab w:val="left" w:pos="5783" w:leader="none"/>
        </w:tabs>
        <w:rPr>
          <w:rFonts w:hint="eastAsia" w:ascii="宋体" w:hAnsi="宋体" w:cs="宋体"/>
          <w:sz w:val="24"/>
          <w:szCs w:val="24"/>
          <w:highlight w:val="white"/>
        </w:rPr>
      </w:pPr>
      <w:r>
        <w:rPr>
          <w:rFonts w:hint="eastAsia" w:ascii="宋体" w:hAnsi="宋体" w:cs="宋体"/>
          <w:sz w:val="24"/>
          <w:szCs w:val="24"/>
          <w:highlight w:val="white"/>
        </w:rPr>
        <w:t xml:space="preserve">运营商：                        </w:t>
      </w:r>
      <w:r>
        <w:rPr>
          <w:rFonts w:hint="eastAsia" w:ascii="宋体" w:hAnsi="宋体" w:cs="宋体"/>
          <w:sz w:val="24"/>
          <w:szCs w:val="24"/>
          <w:highlight w:val="white"/>
        </w:rPr>
        <w:tab/>
      </w:r>
      <w:r>
        <w:rPr>
          <w:highlight w:val="white"/>
        </w:rPr>
      </w:r>
      <w:r/>
    </w:p>
    <w:tbl>
      <w:tblPr>
        <w:tblW w:w="102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3"/>
        <w:gridCol w:w="2926"/>
        <w:gridCol w:w="5500"/>
        <w:gridCol w:w="660"/>
      </w:tblGrid>
      <w:tr>
        <w:trPr>
          <w:trHeight w:val="340"/>
        </w:trPr>
        <w:tc>
          <w:tcPr>
            <w:tcW w:w="1183" w:type="dxa"/>
            <w:vAlign w:val="center"/>
            <w:textDirection w:val="lrTb"/>
            <w:noWrap w:val="false"/>
          </w:tcPr>
          <w:p>
            <w:pPr>
              <w:jc w:val="center"/>
              <w:rPr>
                <w:rFonts w:hint="eastAsia" w:ascii="宋体" w:hAnsi="宋体" w:cs="宋体"/>
                <w:b/>
                <w:bCs/>
                <w:sz w:val="24"/>
                <w:szCs w:val="24"/>
                <w:highlight w:val="white"/>
              </w:rPr>
            </w:pPr>
            <w:r>
              <w:rPr>
                <w:rFonts w:hint="eastAsia" w:ascii="宋体" w:hAnsi="宋体" w:cs="宋体"/>
                <w:b/>
                <w:bCs/>
                <w:sz w:val="24"/>
                <w:szCs w:val="24"/>
                <w:highlight w:val="white"/>
              </w:rPr>
              <w:t xml:space="preserve">考核内容</w:t>
            </w:r>
            <w:r>
              <w:rPr>
                <w:highlight w:val="white"/>
              </w:rPr>
            </w:r>
            <w:r/>
          </w:p>
        </w:tc>
        <w:tc>
          <w:tcPr>
            <w:tcW w:w="2926" w:type="dxa"/>
            <w:vAlign w:val="center"/>
            <w:textDirection w:val="lrTb"/>
            <w:noWrap w:val="false"/>
          </w:tcPr>
          <w:p>
            <w:pPr>
              <w:jc w:val="center"/>
              <w:rPr>
                <w:rFonts w:hint="eastAsia" w:ascii="宋体" w:hAnsi="宋体" w:cs="宋体"/>
                <w:b/>
                <w:bCs/>
                <w:sz w:val="24"/>
                <w:szCs w:val="24"/>
                <w:highlight w:val="white"/>
              </w:rPr>
            </w:pPr>
            <w:r>
              <w:rPr>
                <w:rFonts w:hint="eastAsia" w:ascii="宋体" w:hAnsi="宋体" w:cs="宋体"/>
                <w:b/>
                <w:bCs/>
                <w:sz w:val="24"/>
                <w:szCs w:val="24"/>
                <w:highlight w:val="white"/>
              </w:rPr>
              <w:t xml:space="preserve">考核要求</w:t>
            </w:r>
            <w:r>
              <w:rPr>
                <w:highlight w:val="white"/>
              </w:rPr>
            </w:r>
            <w:r/>
          </w:p>
        </w:tc>
        <w:tc>
          <w:tcPr>
            <w:tcW w:w="5500" w:type="dxa"/>
            <w:vAlign w:val="center"/>
            <w:textDirection w:val="lrTb"/>
            <w:noWrap w:val="false"/>
          </w:tcPr>
          <w:p>
            <w:pPr>
              <w:jc w:val="center"/>
              <w:rPr>
                <w:rFonts w:hint="eastAsia" w:ascii="宋体" w:hAnsi="宋体" w:cs="宋体"/>
                <w:b/>
                <w:bCs/>
                <w:sz w:val="24"/>
                <w:szCs w:val="24"/>
                <w:highlight w:val="white"/>
              </w:rPr>
            </w:pPr>
            <w:r>
              <w:rPr>
                <w:rFonts w:hint="eastAsia" w:ascii="宋体" w:hAnsi="宋体" w:cs="宋体"/>
                <w:b/>
                <w:bCs/>
                <w:sz w:val="24"/>
                <w:szCs w:val="24"/>
                <w:highlight w:val="white"/>
              </w:rPr>
              <w:t xml:space="preserve">评分细则</w:t>
            </w:r>
            <w:r>
              <w:rPr>
                <w:highlight w:val="white"/>
              </w:rPr>
            </w:r>
            <w:r/>
          </w:p>
        </w:tc>
        <w:tc>
          <w:tcPr>
            <w:tcW w:w="660" w:type="dxa"/>
            <w:vAlign w:val="center"/>
            <w:textDirection w:val="lrTb"/>
            <w:noWrap w:val="false"/>
          </w:tcPr>
          <w:p>
            <w:pPr>
              <w:jc w:val="center"/>
              <w:rPr>
                <w:rFonts w:hint="eastAsia" w:ascii="宋体" w:hAnsi="宋体" w:cs="宋体"/>
                <w:b/>
                <w:bCs/>
                <w:sz w:val="24"/>
                <w:szCs w:val="24"/>
                <w:highlight w:val="white"/>
              </w:rPr>
            </w:pPr>
            <w:r>
              <w:rPr>
                <w:rFonts w:hint="eastAsia" w:ascii="宋体" w:hAnsi="宋体" w:cs="宋体"/>
                <w:b/>
                <w:bCs/>
                <w:sz w:val="24"/>
                <w:szCs w:val="24"/>
                <w:highlight w:val="white"/>
              </w:rPr>
              <w:t xml:space="preserve">得分</w:t>
            </w:r>
            <w:r>
              <w:rPr>
                <w:highlight w:val="white"/>
              </w:rPr>
            </w:r>
            <w:r/>
          </w:p>
        </w:tc>
      </w:tr>
      <w:tr>
        <w:trPr>
          <w:trHeight w:val="340"/>
        </w:trPr>
        <w:tc>
          <w:tcPr>
            <w:tcW w:w="118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数据</w:t>
            </w:r>
            <w:r>
              <w:rPr>
                <w:highlight w:val="white"/>
              </w:rPr>
            </w:r>
            <w:r/>
          </w:p>
          <w:p>
            <w:pPr>
              <w:jc w:val="center"/>
              <w:rPr>
                <w:rFonts w:hint="eastAsia" w:ascii="宋体" w:hAnsi="宋体" w:cs="宋体"/>
                <w:sz w:val="24"/>
                <w:szCs w:val="24"/>
                <w:highlight w:val="white"/>
              </w:rPr>
            </w:pPr>
            <w:r>
              <w:rPr>
                <w:rFonts w:hint="eastAsia" w:ascii="宋体" w:hAnsi="宋体" w:cs="宋体"/>
                <w:sz w:val="24"/>
                <w:szCs w:val="24"/>
                <w:highlight w:val="white"/>
              </w:rPr>
              <w:t xml:space="preserve">有效率</w:t>
            </w:r>
            <w:r>
              <w:rPr>
                <w:highlight w:val="white"/>
              </w:rPr>
            </w:r>
            <w:r/>
          </w:p>
          <w:p>
            <w:pPr>
              <w:jc w:val="center"/>
              <w:rPr>
                <w:rFonts w:hint="eastAsia" w:ascii="宋体" w:hAnsi="宋体" w:cs="宋体"/>
                <w:b/>
                <w:bCs/>
                <w:sz w:val="24"/>
                <w:szCs w:val="24"/>
                <w:highlight w:val="white"/>
              </w:rPr>
            </w:pPr>
            <w:r>
              <w:rPr>
                <w:rFonts w:hint="eastAsia" w:ascii="宋体" w:hAnsi="宋体" w:cs="宋体"/>
                <w:sz w:val="24"/>
                <w:szCs w:val="24"/>
                <w:highlight w:val="white"/>
              </w:rPr>
              <w:t xml:space="preserve">（50分）</w:t>
            </w:r>
            <w:r>
              <w:rPr>
                <w:highlight w:val="white"/>
              </w:rPr>
            </w:r>
            <w:r/>
          </w:p>
        </w:tc>
        <w:tc>
          <w:tcPr>
            <w:tcW w:w="2926" w:type="dxa"/>
            <w:vAlign w:val="center"/>
            <w:textDirection w:val="lrTb"/>
            <w:noWrap w:val="false"/>
          </w:tcPr>
          <w:p>
            <w:pPr>
              <w:rPr>
                <w:rFonts w:hint="eastAsia" w:ascii="宋体" w:hAnsi="宋体" w:cs="宋体"/>
                <w:b/>
                <w:bCs/>
                <w:sz w:val="24"/>
                <w:szCs w:val="24"/>
                <w:highlight w:val="white"/>
              </w:rPr>
            </w:pPr>
            <w:r>
              <w:rPr>
                <w:rFonts w:hint="eastAsia" w:ascii="宋体" w:hAnsi="宋体" w:cs="宋体"/>
                <w:sz w:val="24"/>
                <w:szCs w:val="24"/>
                <w:highlight w:val="white"/>
              </w:rPr>
              <w:t xml:space="preserve">数据有效率=质控合格的小时值监测数据量总和/应获得小时值数据量总和×100%（因自然灾害、外部停电或其他不可抗拒的原因外，造成的停止监测数据不参与计算）</w:t>
            </w:r>
            <w:r>
              <w:rPr>
                <w:highlight w:val="white"/>
              </w:rPr>
            </w:r>
            <w:r/>
          </w:p>
        </w:tc>
        <w:tc>
          <w:tcPr>
            <w:tcW w:w="550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有效率≥95%，得满分；</w:t>
            </w:r>
            <w:r>
              <w:rPr>
                <w:highlight w:val="white"/>
              </w:rPr>
            </w:r>
            <w:r/>
          </w:p>
          <w:p>
            <w:pPr>
              <w:rPr>
                <w:rFonts w:hint="eastAsia" w:ascii="宋体" w:hAnsi="宋体" w:cs="宋体"/>
                <w:sz w:val="24"/>
                <w:szCs w:val="24"/>
                <w:highlight w:val="white"/>
              </w:rPr>
            </w:pPr>
            <w:r>
              <w:rPr>
                <w:rFonts w:hint="eastAsia" w:ascii="宋体" w:hAnsi="宋体" w:cs="宋体"/>
                <w:sz w:val="24"/>
                <w:szCs w:val="24"/>
                <w:highlight w:val="white"/>
              </w:rPr>
              <w:t xml:space="preserve">95%＞有效率≥90%，得分=实际有效率×50；</w:t>
            </w:r>
            <w:r>
              <w:rPr>
                <w:highlight w:val="white"/>
              </w:rPr>
            </w:r>
            <w:r/>
          </w:p>
          <w:p>
            <w:pPr>
              <w:rPr>
                <w:rFonts w:hint="eastAsia" w:ascii="宋体" w:hAnsi="宋体" w:cs="宋体"/>
                <w:sz w:val="24"/>
                <w:szCs w:val="24"/>
                <w:highlight w:val="white"/>
              </w:rPr>
            </w:pPr>
            <w:r>
              <w:rPr>
                <w:rFonts w:hint="eastAsia" w:ascii="宋体" w:hAnsi="宋体" w:cs="宋体"/>
                <w:sz w:val="24"/>
                <w:szCs w:val="24"/>
                <w:highlight w:val="white"/>
              </w:rPr>
              <w:t xml:space="preserve">90%＞有效率≥80%，得分=实际有效率×90%×50；</w:t>
            </w:r>
            <w:r>
              <w:rPr>
                <w:highlight w:val="white"/>
              </w:rPr>
            </w:r>
            <w:r/>
          </w:p>
          <w:p>
            <w:pPr>
              <w:rPr>
                <w:rFonts w:hint="eastAsia" w:ascii="宋体" w:hAnsi="宋体" w:cs="宋体"/>
                <w:b/>
                <w:bCs/>
                <w:sz w:val="24"/>
                <w:szCs w:val="24"/>
                <w:highlight w:val="white"/>
              </w:rPr>
            </w:pPr>
            <w:r>
              <w:rPr>
                <w:rFonts w:hint="eastAsia" w:ascii="宋体" w:hAnsi="宋体" w:cs="宋体"/>
                <w:sz w:val="24"/>
                <w:szCs w:val="24"/>
                <w:highlight w:val="white"/>
              </w:rPr>
              <w:t xml:space="preserve">有效率&lt;85%，不得分。</w:t>
            </w:r>
            <w:r>
              <w:rPr>
                <w:highlight w:val="white"/>
              </w:rPr>
            </w:r>
            <w:r/>
          </w:p>
        </w:tc>
        <w:tc>
          <w:tcPr>
            <w:tcW w:w="660" w:type="dxa"/>
            <w:vAlign w:val="center"/>
            <w:textDirection w:val="lrTb"/>
            <w:noWrap w:val="false"/>
          </w:tcPr>
          <w:p>
            <w:pPr>
              <w:rPr>
                <w:rFonts w:hint="eastAsia" w:ascii="宋体" w:hAnsi="宋体" w:cs="宋体"/>
                <w:b/>
                <w:bCs/>
                <w:sz w:val="24"/>
                <w:szCs w:val="24"/>
                <w:highlight w:val="white"/>
              </w:rPr>
            </w:pPr>
            <w:r>
              <w:rPr>
                <w:rFonts w:hint="eastAsia" w:ascii="宋体" w:hAnsi="宋体" w:cs="宋体"/>
                <w:b/>
                <w:bCs/>
                <w:sz w:val="24"/>
                <w:szCs w:val="24"/>
                <w:highlight w:val="white"/>
              </w:rPr>
            </w:r>
            <w:r>
              <w:rPr>
                <w:highlight w:val="white"/>
              </w:rPr>
            </w:r>
            <w:r/>
          </w:p>
        </w:tc>
      </w:tr>
      <w:tr>
        <w:trPr>
          <w:trHeight w:val="340"/>
        </w:trPr>
        <w:tc>
          <w:tcPr>
            <w:tcW w:w="1183"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站点</w:t>
            </w:r>
            <w:r>
              <w:rPr>
                <w:highlight w:val="white"/>
              </w:rPr>
            </w:r>
            <w:r/>
          </w:p>
          <w:p>
            <w:pPr>
              <w:jc w:val="center"/>
              <w:rPr>
                <w:rFonts w:hint="eastAsia" w:ascii="宋体" w:hAnsi="宋体" w:cs="宋体"/>
                <w:sz w:val="24"/>
                <w:szCs w:val="24"/>
                <w:highlight w:val="white"/>
              </w:rPr>
            </w:pPr>
            <w:r>
              <w:rPr>
                <w:rFonts w:hint="eastAsia" w:ascii="宋体" w:hAnsi="宋体" w:cs="宋体"/>
                <w:sz w:val="24"/>
                <w:szCs w:val="24"/>
                <w:highlight w:val="white"/>
              </w:rPr>
              <w:t xml:space="preserve">质控</w:t>
            </w:r>
            <w:r>
              <w:rPr>
                <w:highlight w:val="white"/>
              </w:rPr>
            </w:r>
            <w:r/>
          </w:p>
          <w:p>
            <w:pPr>
              <w:jc w:val="center"/>
              <w:rPr>
                <w:rFonts w:hint="eastAsia" w:ascii="宋体" w:hAnsi="宋体" w:cs="宋体"/>
                <w:sz w:val="24"/>
                <w:szCs w:val="24"/>
                <w:highlight w:val="white"/>
              </w:rPr>
            </w:pPr>
            <w:r>
              <w:rPr>
                <w:rFonts w:hint="eastAsia" w:ascii="宋体" w:hAnsi="宋体" w:cs="宋体"/>
                <w:sz w:val="24"/>
                <w:szCs w:val="24"/>
                <w:highlight w:val="white"/>
              </w:rPr>
              <w:t xml:space="preserve">（12分）</w:t>
            </w:r>
            <w:r>
              <w:rPr>
                <w:highlight w:val="white"/>
              </w:rPr>
            </w:r>
            <w:r/>
          </w:p>
        </w:tc>
        <w:tc>
          <w:tcPr>
            <w:tcW w:w="2926"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站点质控得分=苏州市乡镇（街道）空气自动站质控考核得分/100×20</w:t>
            </w:r>
            <w:r>
              <w:rPr>
                <w:highlight w:val="white"/>
              </w:rPr>
            </w:r>
            <w:r/>
          </w:p>
        </w:tc>
        <w:tc>
          <w:tcPr>
            <w:tcW w:w="550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以苏州市乡镇（街道）空气自动站质控考核得分为准</w:t>
            </w:r>
            <w:r>
              <w:rPr>
                <w:highlight w:val="white"/>
              </w:rPr>
            </w:r>
            <w:r/>
          </w:p>
        </w:tc>
        <w:tc>
          <w:tcPr>
            <w:tcW w:w="66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　</w:t>
            </w:r>
            <w:r>
              <w:rPr>
                <w:highlight w:val="white"/>
              </w:rPr>
            </w:r>
            <w:r/>
          </w:p>
        </w:tc>
      </w:tr>
      <w:tr>
        <w:trPr>
          <w:trHeight w:val="340"/>
        </w:trPr>
        <w:tc>
          <w:tcPr>
            <w:tcW w:w="1183" w:type="dxa"/>
            <w:vAlign w:val="center"/>
            <w:vMerge w:val="restart"/>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运维</w:t>
            </w:r>
            <w:r>
              <w:rPr>
                <w:highlight w:val="white"/>
              </w:rPr>
            </w:r>
            <w:r/>
          </w:p>
          <w:p>
            <w:pPr>
              <w:jc w:val="center"/>
              <w:rPr>
                <w:rFonts w:hint="eastAsia" w:ascii="宋体" w:hAnsi="宋体" w:cs="宋体"/>
                <w:sz w:val="24"/>
                <w:szCs w:val="24"/>
                <w:highlight w:val="white"/>
              </w:rPr>
            </w:pPr>
            <w:r>
              <w:rPr>
                <w:rFonts w:hint="eastAsia" w:ascii="宋体" w:hAnsi="宋体" w:cs="宋体"/>
                <w:sz w:val="24"/>
                <w:szCs w:val="24"/>
                <w:highlight w:val="white"/>
              </w:rPr>
              <w:t xml:space="preserve">内容</w:t>
            </w:r>
            <w:r>
              <w:rPr>
                <w:highlight w:val="white"/>
              </w:rPr>
            </w:r>
            <w:r/>
          </w:p>
          <w:p>
            <w:pPr>
              <w:jc w:val="center"/>
              <w:rPr>
                <w:rFonts w:hint="eastAsia" w:ascii="宋体" w:hAnsi="宋体" w:cs="宋体"/>
                <w:sz w:val="24"/>
                <w:szCs w:val="24"/>
                <w:highlight w:val="white"/>
              </w:rPr>
            </w:pPr>
            <w:r>
              <w:rPr>
                <w:rFonts w:hint="eastAsia" w:ascii="宋体" w:hAnsi="宋体" w:cs="宋体"/>
                <w:sz w:val="24"/>
                <w:szCs w:val="24"/>
                <w:highlight w:val="white"/>
              </w:rPr>
              <w:t xml:space="preserve">（28分）</w:t>
            </w:r>
            <w:r>
              <w:rPr>
                <w:highlight w:val="white"/>
              </w:rPr>
            </w:r>
            <w:r/>
          </w:p>
        </w:tc>
        <w:tc>
          <w:tcPr>
            <w:tcW w:w="2926"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站房（2分）</w:t>
            </w:r>
            <w:r>
              <w:rPr>
                <w:highlight w:val="white"/>
              </w:rPr>
            </w:r>
            <w:r/>
          </w:p>
        </w:tc>
        <w:tc>
          <w:tcPr>
            <w:tcW w:w="550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空调（去湿）、电、灭火器、照明等满足要求，保证自动仪器具有良好的运行环境，站房卫生整洁、物品摆放有序得满分，否则酌情扣分</w:t>
            </w:r>
            <w:r>
              <w:rPr>
                <w:highlight w:val="white"/>
              </w:rPr>
            </w:r>
            <w:r/>
          </w:p>
        </w:tc>
        <w:tc>
          <w:tcPr>
            <w:tcW w:w="66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　</w:t>
            </w:r>
            <w:r>
              <w:rPr>
                <w:highlight w:val="white"/>
              </w:rPr>
            </w:r>
            <w:r/>
          </w:p>
        </w:tc>
      </w:tr>
      <w:tr>
        <w:trPr>
          <w:trHeight w:val="340"/>
        </w:trPr>
        <w:tc>
          <w:tcPr>
            <w:tcW w:w="1183"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926"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维护频次（10分）</w:t>
            </w:r>
            <w:r>
              <w:rPr>
                <w:highlight w:val="white"/>
              </w:rPr>
            </w:r>
            <w:r/>
          </w:p>
        </w:tc>
        <w:tc>
          <w:tcPr>
            <w:tcW w:w="550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运维频次满足每周运维1次，定期进行设备性能检查和管路清洗，到站率不足一周一次不得分</w:t>
            </w:r>
            <w:r>
              <w:rPr>
                <w:highlight w:val="white"/>
              </w:rPr>
            </w:r>
            <w:r/>
          </w:p>
        </w:tc>
        <w:tc>
          <w:tcPr>
            <w:tcW w:w="66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　</w:t>
            </w:r>
            <w:r>
              <w:rPr>
                <w:highlight w:val="white"/>
              </w:rPr>
            </w:r>
            <w:r/>
          </w:p>
        </w:tc>
      </w:tr>
      <w:tr>
        <w:trPr>
          <w:trHeight w:val="340"/>
        </w:trPr>
        <w:tc>
          <w:tcPr>
            <w:tcW w:w="1183"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926"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自动监测仪器（6分）</w:t>
            </w:r>
            <w:r>
              <w:rPr>
                <w:highlight w:val="white"/>
              </w:rPr>
            </w:r>
            <w:r/>
          </w:p>
        </w:tc>
        <w:tc>
          <w:tcPr>
            <w:tcW w:w="550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定期更换易耗品、定期更换纸袋；定期校准仪器；仪器故障及时报修，相应仪器及校正参数在正常范围内得满分，否则酌情扣分</w:t>
            </w:r>
            <w:r>
              <w:rPr>
                <w:highlight w:val="white"/>
              </w:rPr>
            </w:r>
            <w:r/>
          </w:p>
        </w:tc>
        <w:tc>
          <w:tcPr>
            <w:tcW w:w="66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　</w:t>
            </w:r>
            <w:r>
              <w:rPr>
                <w:highlight w:val="white"/>
              </w:rPr>
            </w:r>
            <w:r/>
          </w:p>
        </w:tc>
      </w:tr>
      <w:tr>
        <w:trPr>
          <w:trHeight w:val="340"/>
        </w:trPr>
        <w:tc>
          <w:tcPr>
            <w:tcW w:w="1183"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926"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采样系统的维护（4分）</w:t>
            </w:r>
            <w:r>
              <w:rPr>
                <w:highlight w:val="white"/>
              </w:rPr>
            </w:r>
            <w:r/>
          </w:p>
        </w:tc>
        <w:tc>
          <w:tcPr>
            <w:tcW w:w="550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及时维护采样系统（采样头、切割器、采样管道），保证采样系统无积灰、积水或障碍物，防止管路堵塞或破裂得满分，否则酌情扣分</w:t>
            </w:r>
            <w:r>
              <w:rPr>
                <w:highlight w:val="white"/>
              </w:rPr>
            </w:r>
            <w:r/>
          </w:p>
        </w:tc>
        <w:tc>
          <w:tcPr>
            <w:tcW w:w="66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　</w:t>
            </w:r>
            <w:r>
              <w:rPr>
                <w:highlight w:val="white"/>
              </w:rPr>
            </w:r>
            <w:r/>
          </w:p>
        </w:tc>
      </w:tr>
      <w:tr>
        <w:trPr>
          <w:trHeight w:val="340"/>
        </w:trPr>
        <w:tc>
          <w:tcPr>
            <w:tcW w:w="1183"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926"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数据一致性（2分）</w:t>
            </w:r>
            <w:r>
              <w:rPr>
                <w:highlight w:val="white"/>
              </w:rPr>
            </w:r>
            <w:r/>
          </w:p>
        </w:tc>
        <w:tc>
          <w:tcPr>
            <w:tcW w:w="550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仪器上传数据与工控机数据库获取数据一致得满分，否则不得分</w:t>
            </w:r>
            <w:r>
              <w:rPr>
                <w:highlight w:val="white"/>
              </w:rPr>
            </w:r>
            <w:r/>
          </w:p>
        </w:tc>
        <w:tc>
          <w:tcPr>
            <w:tcW w:w="66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　</w:t>
            </w:r>
            <w:r>
              <w:rPr>
                <w:highlight w:val="white"/>
              </w:rPr>
            </w:r>
            <w:r/>
          </w:p>
        </w:tc>
      </w:tr>
      <w:tr>
        <w:trPr>
          <w:trHeight w:val="340"/>
        </w:trPr>
        <w:tc>
          <w:tcPr>
            <w:tcW w:w="1183"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926"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通讯（1分）</w:t>
            </w:r>
            <w:r>
              <w:rPr>
                <w:highlight w:val="white"/>
              </w:rPr>
            </w:r>
            <w:r/>
          </w:p>
        </w:tc>
        <w:tc>
          <w:tcPr>
            <w:tcW w:w="550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保证无线通讯线路的畅通得满分</w:t>
            </w:r>
            <w:r>
              <w:rPr>
                <w:highlight w:val="white"/>
              </w:rPr>
            </w:r>
            <w:r/>
          </w:p>
        </w:tc>
        <w:tc>
          <w:tcPr>
            <w:tcW w:w="66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　</w:t>
            </w:r>
            <w:r>
              <w:rPr>
                <w:highlight w:val="white"/>
              </w:rPr>
            </w:r>
            <w:r/>
          </w:p>
        </w:tc>
      </w:tr>
      <w:tr>
        <w:trPr>
          <w:trHeight w:val="340"/>
        </w:trPr>
        <w:tc>
          <w:tcPr>
            <w:tcW w:w="1183"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926"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仪器运行记录（3分）</w:t>
            </w:r>
            <w:r>
              <w:rPr>
                <w:highlight w:val="white"/>
              </w:rPr>
            </w:r>
            <w:r/>
          </w:p>
        </w:tc>
        <w:tc>
          <w:tcPr>
            <w:tcW w:w="550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运维记录、质控记录、备品备件更换等记录齐全，档案完整、准确、整洁得满分，否则酌情扣分</w:t>
            </w:r>
            <w:r>
              <w:rPr>
                <w:highlight w:val="white"/>
              </w:rPr>
            </w:r>
            <w:r/>
          </w:p>
        </w:tc>
        <w:tc>
          <w:tcPr>
            <w:tcW w:w="66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　</w:t>
            </w:r>
            <w:r>
              <w:rPr>
                <w:highlight w:val="white"/>
              </w:rPr>
            </w:r>
            <w:r/>
          </w:p>
        </w:tc>
      </w:tr>
      <w:tr>
        <w:trPr>
          <w:trHeight w:val="340"/>
        </w:trPr>
        <w:tc>
          <w:tcPr>
            <w:tcW w:w="1183" w:type="dxa"/>
            <w:vAlign w:val="center"/>
            <w:vMerge w:val="restart"/>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运维</w:t>
            </w:r>
            <w:r>
              <w:rPr>
                <w:highlight w:val="white"/>
              </w:rPr>
            </w:r>
            <w:r/>
          </w:p>
          <w:p>
            <w:pPr>
              <w:jc w:val="center"/>
              <w:rPr>
                <w:rFonts w:hint="eastAsia" w:ascii="宋体" w:hAnsi="宋体" w:cs="宋体"/>
                <w:sz w:val="24"/>
                <w:szCs w:val="24"/>
                <w:highlight w:val="white"/>
              </w:rPr>
            </w:pPr>
            <w:r>
              <w:rPr>
                <w:rFonts w:hint="eastAsia" w:ascii="宋体" w:hAnsi="宋体" w:cs="宋体"/>
                <w:sz w:val="24"/>
                <w:szCs w:val="24"/>
                <w:highlight w:val="white"/>
              </w:rPr>
              <w:t xml:space="preserve">响应（10分）</w:t>
            </w:r>
            <w:r>
              <w:rPr>
                <w:highlight w:val="white"/>
              </w:rPr>
            </w:r>
            <w:r/>
          </w:p>
        </w:tc>
        <w:tc>
          <w:tcPr>
            <w:tcW w:w="2926"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应急响应（4分）</w:t>
            </w:r>
            <w:r>
              <w:rPr>
                <w:highlight w:val="white"/>
              </w:rPr>
            </w:r>
            <w:r/>
          </w:p>
        </w:tc>
        <w:tc>
          <w:tcPr>
            <w:tcW w:w="550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对监测数据异常响应及时，能够及时判断仪器状态得满分，否则酌情扣分</w:t>
            </w:r>
            <w:r>
              <w:rPr>
                <w:highlight w:val="white"/>
              </w:rPr>
            </w:r>
            <w:r/>
          </w:p>
        </w:tc>
        <w:tc>
          <w:tcPr>
            <w:tcW w:w="66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　</w:t>
            </w:r>
            <w:r>
              <w:rPr>
                <w:highlight w:val="white"/>
              </w:rPr>
            </w:r>
            <w:r/>
          </w:p>
        </w:tc>
      </w:tr>
      <w:tr>
        <w:trPr>
          <w:trHeight w:val="340"/>
        </w:trPr>
        <w:tc>
          <w:tcPr>
            <w:tcW w:w="1183"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926"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故障响应（4分）</w:t>
            </w:r>
            <w:r>
              <w:rPr>
                <w:highlight w:val="white"/>
              </w:rPr>
            </w:r>
            <w:r/>
          </w:p>
        </w:tc>
        <w:tc>
          <w:tcPr>
            <w:tcW w:w="550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站点故障时响应迅速，解决及时得满分，否则酌情扣分</w:t>
            </w:r>
            <w:r>
              <w:rPr>
                <w:highlight w:val="white"/>
              </w:rPr>
            </w:r>
            <w:r/>
          </w:p>
        </w:tc>
        <w:tc>
          <w:tcPr>
            <w:tcW w:w="66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　</w:t>
            </w:r>
            <w:r>
              <w:rPr>
                <w:highlight w:val="white"/>
              </w:rPr>
            </w:r>
            <w:r/>
          </w:p>
        </w:tc>
      </w:tr>
      <w:tr>
        <w:trPr>
          <w:trHeight w:val="340"/>
        </w:trPr>
        <w:tc>
          <w:tcPr>
            <w:tcW w:w="1183"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926"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反馈信息（2分）</w:t>
            </w:r>
            <w:r>
              <w:rPr>
                <w:highlight w:val="white"/>
              </w:rPr>
            </w:r>
            <w:r/>
          </w:p>
        </w:tc>
        <w:tc>
          <w:tcPr>
            <w:tcW w:w="550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能够及时反应仪器故障信息得满分，否则酌情扣分</w:t>
            </w:r>
            <w:r>
              <w:rPr>
                <w:highlight w:val="white"/>
              </w:rPr>
            </w:r>
            <w:r/>
          </w:p>
        </w:tc>
        <w:tc>
          <w:tcPr>
            <w:tcW w:w="66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　</w:t>
            </w:r>
            <w:r>
              <w:rPr>
                <w:highlight w:val="white"/>
              </w:rPr>
            </w:r>
            <w:r/>
          </w:p>
        </w:tc>
      </w:tr>
      <w:tr>
        <w:trPr>
          <w:trHeight w:val="340"/>
        </w:trPr>
        <w:tc>
          <w:tcPr>
            <w:gridSpan w:val="3"/>
            <w:tcW w:w="9609"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合计（分）</w:t>
            </w:r>
            <w:r>
              <w:rPr>
                <w:highlight w:val="white"/>
              </w:rPr>
            </w:r>
            <w:r/>
          </w:p>
        </w:tc>
        <w:tc>
          <w:tcPr>
            <w:tcW w:w="660" w:type="dxa"/>
            <w:vAlign w:val="center"/>
            <w:textDirection w:val="lrTb"/>
            <w:noWrap w:val="false"/>
          </w:tcPr>
          <w:p>
            <w:pPr>
              <w:rPr>
                <w:rFonts w:hint="eastAsia" w:ascii="宋体" w:hAnsi="宋体" w:cs="宋体"/>
                <w:sz w:val="24"/>
                <w:szCs w:val="24"/>
                <w:highlight w:val="white"/>
              </w:rPr>
            </w:pPr>
            <w:r>
              <w:rPr>
                <w:rFonts w:hint="eastAsia" w:ascii="宋体" w:hAnsi="宋体" w:cs="宋体"/>
                <w:sz w:val="24"/>
                <w:szCs w:val="24"/>
                <w:highlight w:val="white"/>
              </w:rPr>
              <w:t xml:space="preserve">　</w:t>
            </w:r>
            <w:r>
              <w:rPr>
                <w:highlight w:val="white"/>
              </w:rPr>
            </w:r>
            <w:r/>
          </w:p>
        </w:tc>
      </w:tr>
    </w:tbl>
    <w:p>
      <w:pPr>
        <w:jc w:val="left"/>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jc w:val="left"/>
        <w:rPr>
          <w:rFonts w:hint="eastAsia" w:ascii="宋体" w:hAnsi="宋体" w:cs="宋体"/>
          <w:sz w:val="24"/>
          <w:szCs w:val="24"/>
          <w:highlight w:val="white"/>
        </w:rPr>
      </w:pPr>
      <w:r>
        <w:rPr>
          <w:rFonts w:hint="eastAsia" w:ascii="宋体" w:hAnsi="宋体" w:cs="宋体"/>
          <w:sz w:val="24"/>
          <w:szCs w:val="24"/>
          <w:highlight w:val="white"/>
        </w:rPr>
        <w:t xml:space="preserve">注：1.表中各项按分项进行扣分，分项分数扣完为止，不从总分中扣除</w:t>
      </w:r>
      <w:r>
        <w:rPr>
          <w:rFonts w:hint="eastAsia" w:ascii="宋体" w:hAnsi="宋体" w:cs="宋体"/>
          <w:sz w:val="24"/>
          <w:szCs w:val="24"/>
          <w:highlight w:val="white"/>
          <w:lang w:val="en-GB"/>
        </w:rPr>
        <w:t xml:space="preserve">。</w:t>
      </w:r>
      <w:r>
        <w:rPr>
          <w:highlight w:val="white"/>
        </w:rPr>
      </w:r>
      <w:r/>
    </w:p>
    <w:p>
      <w:pPr>
        <w:ind w:firstLine="480"/>
        <w:jc w:val="left"/>
        <w:rPr>
          <w:rFonts w:hint="eastAsia" w:ascii="宋体" w:hAnsi="宋体" w:cs="宋体"/>
          <w:sz w:val="24"/>
          <w:szCs w:val="24"/>
          <w:highlight w:val="white"/>
        </w:rPr>
      </w:pPr>
      <w:r>
        <w:rPr>
          <w:rFonts w:hint="eastAsia" w:ascii="宋体" w:hAnsi="宋体" w:cs="宋体"/>
          <w:sz w:val="24"/>
          <w:szCs w:val="24"/>
          <w:highlight w:val="white"/>
          <w:lang w:val="en-GB"/>
        </w:rPr>
        <w:t xml:space="preserve">2</w:t>
      </w:r>
      <w:r>
        <w:rPr>
          <w:rFonts w:hint="eastAsia" w:ascii="宋体" w:hAnsi="宋体" w:cs="宋体"/>
          <w:sz w:val="24"/>
          <w:szCs w:val="24"/>
          <w:highlight w:val="white"/>
        </w:rPr>
        <w:t xml:space="preserve">.</w:t>
      </w:r>
      <w:r>
        <w:rPr>
          <w:rFonts w:hint="eastAsia" w:ascii="宋体" w:hAnsi="宋体" w:cs="宋体"/>
          <w:sz w:val="24"/>
          <w:szCs w:val="24"/>
          <w:highlight w:val="white"/>
          <w:lang w:val="en-GB"/>
        </w:rPr>
        <w:t xml:space="preserve">考核结果以甲方认定为准，乙方有异议的可在 3 日内提出书面复核申请。</w:t>
      </w:r>
      <w:r>
        <w:rPr>
          <w:highlight w:val="white"/>
        </w:rPr>
      </w:r>
      <w:r/>
    </w:p>
    <w:p>
      <w:pPr>
        <w:jc w:val="left"/>
        <w:widowControl/>
        <w:rPr>
          <w:szCs w:val="20"/>
          <w:highlight w:val="white"/>
        </w:rPr>
      </w:pPr>
      <w:r>
        <w:rPr>
          <w:highlight w:val="white"/>
        </w:rPr>
        <w:br w:type="page" w:clear="all"/>
      </w:r>
      <w:r>
        <w:rPr>
          <w:highlight w:val="white"/>
        </w:rPr>
      </w:r>
      <w:r/>
    </w:p>
    <w:p>
      <w:pPr>
        <w:pStyle w:val="796"/>
        <w:jc w:val="center"/>
        <w:spacing w:before="75" w:beforeAutospacing="0" w:after="75" w:afterAutospacing="0"/>
        <w:widowControl/>
        <w:rPr>
          <w:rStyle w:val="801"/>
          <w:rFonts w:hint="eastAsia" w:ascii="宋体" w:hAnsi="宋体" w:cs="宋体"/>
          <w:sz w:val="43"/>
          <w:szCs w:val="43"/>
          <w:highlight w:val="white"/>
        </w:rPr>
      </w:pPr>
      <w:r>
        <w:rPr>
          <w:rStyle w:val="801"/>
          <w:rFonts w:hint="eastAsia" w:ascii="宋体" w:hAnsi="宋体" w:cs="宋体"/>
          <w:sz w:val="43"/>
          <w:szCs w:val="43"/>
          <w:highlight w:val="white"/>
        </w:rPr>
        <w:t xml:space="preserve">第五章  磋商响应文件格式</w:t>
      </w:r>
      <w:r>
        <w:rPr>
          <w:highlight w:val="white"/>
        </w:rPr>
      </w:r>
      <w:r/>
    </w:p>
    <w:p>
      <w:pPr>
        <w:pStyle w:val="796"/>
        <w:jc w:val="center"/>
        <w:spacing w:before="75" w:beforeAutospacing="0" w:after="75" w:afterAutospacing="0"/>
        <w:widowControl/>
        <w:rPr>
          <w:rFonts w:ascii="sans-serif" w:hAnsi="sans-serif" w:eastAsia="sans-serif" w:cs="sans-serif"/>
          <w:highlight w:val="white"/>
        </w:rPr>
      </w:pPr>
      <w:r>
        <w:rPr>
          <w:rStyle w:val="801"/>
          <w:rFonts w:hint="eastAsia" w:ascii="宋体" w:hAnsi="宋体" w:cs="宋体"/>
          <w:sz w:val="36"/>
          <w:szCs w:val="36"/>
          <w:highlight w:val="white"/>
        </w:rPr>
        <w:t xml:space="preserve"> </w:t>
      </w:r>
      <w:r>
        <w:rPr>
          <w:highlight w:val="white"/>
        </w:rPr>
      </w:r>
      <w:r/>
    </w:p>
    <w:p>
      <w:pPr>
        <w:pStyle w:val="796"/>
        <w:jc w:val="center"/>
        <w:spacing w:before="75" w:beforeAutospacing="0" w:after="75" w:afterAutospacing="0" w:line="435" w:lineRule="atLeast"/>
        <w:widowControl/>
        <w:rPr>
          <w:rFonts w:ascii="sans-serif" w:hAnsi="sans-serif" w:eastAsia="sans-serif" w:cs="sans-serif"/>
          <w:highlight w:val="white"/>
        </w:rPr>
      </w:pPr>
      <w:r>
        <w:rPr>
          <w:rStyle w:val="801"/>
          <w:rFonts w:hint="eastAsia" w:ascii="宋体" w:hAnsi="宋体" w:cs="宋体"/>
          <w:highlight w:val="white"/>
        </w:rPr>
        <w:t xml:space="preserve">编制说明</w:t>
      </w:r>
      <w:r>
        <w:rPr>
          <w:highlight w:val="white"/>
        </w:rPr>
      </w:r>
      <w:r/>
    </w:p>
    <w:p>
      <w:pPr>
        <w:pStyle w:val="796"/>
        <w:spacing w:before="75" w:beforeAutospacing="0" w:after="75" w:afterAutospacing="0" w:line="435" w:lineRule="atLeast"/>
        <w:widowControl/>
        <w:rPr>
          <w:rFonts w:ascii="sans-serif" w:hAnsi="sans-serif" w:eastAsia="sans-serif" w:cs="sans-serif"/>
          <w:highlight w:val="white"/>
        </w:rPr>
      </w:pPr>
      <w:r>
        <w:rPr>
          <w:rFonts w:hint="eastAsia" w:ascii="宋体" w:hAnsi="宋体" w:cs="宋体"/>
          <w:highlight w:val="white"/>
        </w:rPr>
        <w:t xml:space="preserve">   本附件所有格式为响应文件的组成部分，供采购人或采购代理机构编制磋商文件时参考使用。由于新增政策、行业管理规定或者不同项目实际特点需要,则采购人或采购代理机构可以对有关表格进行必要的补充或修改，以满足实际项目的使用。</w:t>
      </w:r>
      <w:r>
        <w:rPr>
          <w:highlight w:val="white"/>
        </w:rPr>
      </w:r>
      <w:r/>
    </w:p>
    <w:p>
      <w:pPr>
        <w:spacing w:line="360" w:lineRule="auto"/>
        <w:rPr>
          <w:rFonts w:hint="eastAsia" w:ascii="宋体" w:hAnsi="宋体" w:cs="宋体"/>
          <w:spacing w:val="6"/>
          <w:sz w:val="24"/>
          <w:highlight w:val="white"/>
        </w:rPr>
      </w:pPr>
      <w:r>
        <w:rPr>
          <w:rFonts w:hint="eastAsia" w:ascii="宋体" w:hAnsi="宋体" w:cs="宋体"/>
          <w:spacing w:val="6"/>
          <w:sz w:val="24"/>
          <w:highlight w:val="white"/>
        </w:rPr>
      </w:r>
      <w:r>
        <w:rPr>
          <w:highlight w:val="white"/>
        </w:rPr>
      </w:r>
      <w:r/>
    </w:p>
    <w:p>
      <w:pPr>
        <w:spacing w:line="360" w:lineRule="auto"/>
        <w:rPr>
          <w:rFonts w:hint="eastAsia" w:ascii="宋体" w:hAnsi="宋体" w:cs="宋体"/>
          <w:spacing w:val="6"/>
          <w:sz w:val="24"/>
          <w:highlight w:val="white"/>
        </w:rPr>
      </w:pPr>
      <w:r>
        <w:rPr>
          <w:rFonts w:hint="eastAsia" w:ascii="宋体" w:hAnsi="宋体" w:cs="宋体"/>
          <w:spacing w:val="6"/>
          <w:sz w:val="24"/>
          <w:highlight w:val="white"/>
        </w:rPr>
      </w:r>
      <w:r>
        <w:rPr>
          <w:highlight w:val="white"/>
        </w:rPr>
      </w:r>
      <w:r/>
    </w:p>
    <w:p>
      <w:pPr>
        <w:pStyle w:val="796"/>
        <w:jc w:val="center"/>
        <w:spacing w:before="75" w:beforeAutospacing="0" w:after="75" w:afterAutospacing="0"/>
        <w:widowControl/>
        <w:rPr>
          <w:rStyle w:val="801"/>
          <w:rFonts w:hint="eastAsia" w:ascii="宋体" w:hAnsi="宋体" w:cs="宋体"/>
          <w:sz w:val="36"/>
          <w:szCs w:val="36"/>
          <w:highlight w:val="white"/>
        </w:rPr>
      </w:pPr>
      <w:r>
        <w:rPr>
          <w:rStyle w:val="801"/>
          <w:rFonts w:hint="eastAsia" w:ascii="宋体" w:hAnsi="宋体" w:cs="宋体"/>
          <w:sz w:val="36"/>
          <w:szCs w:val="36"/>
          <w:highlight w:val="white"/>
        </w:rPr>
        <w:t xml:space="preserve">苏州市政府采购服务类项目</w:t>
      </w:r>
      <w:r>
        <w:rPr>
          <w:highlight w:val="white"/>
        </w:rPr>
      </w:r>
      <w:r/>
    </w:p>
    <w:p>
      <w:pPr>
        <w:pStyle w:val="796"/>
        <w:jc w:val="center"/>
        <w:spacing w:before="75" w:beforeAutospacing="0" w:after="75" w:afterAutospacing="0"/>
        <w:widowControl/>
        <w:rPr>
          <w:rFonts w:ascii="sans-serif" w:hAnsi="sans-serif" w:eastAsia="sans-serif" w:cs="sans-serif"/>
          <w:highlight w:val="white"/>
        </w:rPr>
      </w:pPr>
      <w:r>
        <w:rPr>
          <w:rStyle w:val="801"/>
          <w:rFonts w:hint="eastAsia" w:ascii="宋体" w:hAnsi="宋体" w:cs="宋体"/>
          <w:sz w:val="36"/>
          <w:szCs w:val="36"/>
          <w:highlight w:val="white"/>
        </w:rPr>
        <w:t xml:space="preserve">竞争性磋商响应文件</w:t>
      </w:r>
      <w:r>
        <w:rPr>
          <w:highlight w:val="white"/>
        </w:rPr>
      </w:r>
      <w:r/>
    </w:p>
    <w:p>
      <w:pPr>
        <w:pStyle w:val="796"/>
        <w:spacing w:before="75" w:beforeAutospacing="0" w:after="75" w:afterAutospacing="0"/>
        <w:widowControl/>
        <w:rPr>
          <w:rFonts w:ascii="sans-serif" w:hAnsi="sans-serif" w:eastAsia="sans-serif" w:cs="sans-serif"/>
          <w:highlight w:val="white"/>
        </w:rPr>
      </w:pPr>
      <w:r>
        <w:rPr>
          <w:rStyle w:val="801"/>
          <w:rFonts w:hint="eastAsia" w:ascii="宋体" w:hAnsi="宋体" w:cs="宋体"/>
          <w:highlight w:val="white"/>
        </w:rPr>
        <w:t xml:space="preserve">                                                </w:t>
      </w:r>
      <w:r>
        <w:rPr>
          <w:highlight w:val="white"/>
        </w:rPr>
      </w:r>
      <w:r/>
    </w:p>
    <w:p>
      <w:pPr>
        <w:pStyle w:val="796"/>
        <w:jc w:val="center"/>
        <w:spacing w:before="75" w:beforeAutospacing="0" w:after="75" w:afterAutospacing="0"/>
        <w:widowControl/>
        <w:rPr>
          <w:rFonts w:ascii="sans-serif" w:hAnsi="sans-serif" w:eastAsia="sans-serif" w:cs="sans-serif"/>
          <w:highlight w:val="white"/>
        </w:rPr>
      </w:pPr>
      <w:r>
        <w:rPr>
          <w:rFonts w:hint="eastAsia" w:ascii="宋体" w:hAnsi="宋体" w:cs="宋体"/>
          <w:sz w:val="30"/>
          <w:szCs w:val="30"/>
          <w:highlight w:val="white"/>
        </w:rPr>
        <w:t xml:space="preserve"> </w:t>
      </w:r>
      <w:r>
        <w:rPr>
          <w:highlight w:val="white"/>
        </w:rPr>
      </w:r>
      <w:r/>
    </w:p>
    <w:p>
      <w:pPr>
        <w:pStyle w:val="796"/>
        <w:ind w:firstLine="723"/>
        <w:spacing w:beforeAutospacing="0" w:afterAutospacing="0" w:line="600" w:lineRule="exact"/>
        <w:widowControl/>
        <w:rPr>
          <w:rFonts w:hint="eastAsia" w:ascii="sans-serif" w:hAnsi="sans-serif" w:cs="sans-serif"/>
          <w:highlight w:val="white"/>
        </w:rPr>
      </w:pPr>
      <w:r>
        <w:rPr>
          <w:rStyle w:val="801"/>
          <w:rFonts w:hint="eastAsia" w:ascii="宋体" w:hAnsi="宋体" w:cs="宋体"/>
          <w:highlight w:val="white"/>
        </w:rPr>
        <w:t xml:space="preserve">采购编号：</w:t>
      </w:r>
      <w:r>
        <w:rPr>
          <w:highlight w:val="white"/>
        </w:rPr>
      </w:r>
      <w:r/>
    </w:p>
    <w:p>
      <w:pPr>
        <w:pStyle w:val="796"/>
        <w:ind w:firstLine="723"/>
        <w:spacing w:beforeAutospacing="0" w:afterAutospacing="0" w:line="600" w:lineRule="exact"/>
        <w:widowControl/>
        <w:rPr>
          <w:rFonts w:hint="eastAsia" w:ascii="sans-serif" w:hAnsi="sans-serif" w:cs="sans-serif"/>
          <w:highlight w:val="white"/>
        </w:rPr>
      </w:pPr>
      <w:r>
        <w:rPr>
          <w:rStyle w:val="801"/>
          <w:rFonts w:hint="eastAsia" w:ascii="宋体" w:hAnsi="宋体" w:cs="宋体"/>
          <w:highlight w:val="white"/>
        </w:rPr>
        <w:t xml:space="preserve">项目名称：</w:t>
      </w:r>
      <w:r>
        <w:rPr>
          <w:highlight w:val="white"/>
        </w:rPr>
      </w:r>
      <w:r/>
    </w:p>
    <w:p>
      <w:pPr>
        <w:pStyle w:val="796"/>
        <w:ind w:firstLine="723"/>
        <w:spacing w:beforeAutospacing="0" w:afterAutospacing="0" w:line="600" w:lineRule="exact"/>
        <w:widowControl/>
        <w:rPr>
          <w:rFonts w:ascii="sans-serif" w:hAnsi="sans-serif" w:eastAsia="sans-serif" w:cs="sans-serif"/>
          <w:highlight w:val="white"/>
        </w:rPr>
      </w:pPr>
      <w:r>
        <w:rPr>
          <w:rStyle w:val="801"/>
          <w:rFonts w:hint="eastAsia" w:ascii="宋体" w:hAnsi="宋体" w:cs="宋体"/>
          <w:highlight w:val="white"/>
        </w:rPr>
        <w:t xml:space="preserve">供应商名称：</w:t>
      </w:r>
      <w:r>
        <w:rPr>
          <w:rStyle w:val="801"/>
          <w:rFonts w:hint="eastAsia" w:ascii="宋体" w:hAnsi="宋体" w:cs="宋体"/>
          <w:highlight w:val="white"/>
          <w:u w:val="single"/>
        </w:rPr>
        <w:t xml:space="preserve">                    </w:t>
      </w:r>
      <w:r>
        <w:rPr>
          <w:highlight w:val="white"/>
        </w:rPr>
      </w:r>
      <w:r/>
    </w:p>
    <w:p>
      <w:pPr>
        <w:pStyle w:val="796"/>
        <w:spacing w:beforeAutospacing="0" w:afterAutospacing="0" w:line="600" w:lineRule="exact"/>
        <w:widowControl/>
        <w:rPr>
          <w:rFonts w:ascii="sans-serif" w:hAnsi="sans-serif" w:eastAsia="sans-serif" w:cs="sans-serif"/>
          <w:highlight w:val="white"/>
        </w:rPr>
      </w:pPr>
      <w:r>
        <w:rPr>
          <w:rStyle w:val="801"/>
          <w:rFonts w:hint="eastAsia" w:ascii="宋体" w:hAnsi="宋体" w:cs="宋体"/>
          <w:sz w:val="36"/>
          <w:szCs w:val="36"/>
          <w:highlight w:val="white"/>
        </w:rPr>
        <w:t xml:space="preserve">  </w:t>
      </w:r>
      <w:r>
        <w:rPr>
          <w:rStyle w:val="801"/>
          <w:rFonts w:hint="eastAsia" w:ascii="宋体" w:hAnsi="宋体" w:cs="宋体"/>
          <w:highlight w:val="white"/>
        </w:rPr>
        <w:t xml:space="preserve">日   期：</w:t>
      </w:r>
      <w:r>
        <w:rPr>
          <w:rStyle w:val="801"/>
          <w:rFonts w:hint="eastAsia" w:ascii="宋体" w:hAnsi="宋体" w:cs="宋体"/>
          <w:highlight w:val="white"/>
          <w:u w:val="single"/>
        </w:rPr>
        <w:t xml:space="preserve">                    </w:t>
      </w:r>
      <w:r>
        <w:rPr>
          <w:highlight w:val="white"/>
        </w:rPr>
      </w:r>
      <w:r/>
    </w:p>
    <w:p>
      <w:pPr>
        <w:pStyle w:val="796"/>
        <w:jc w:val="center"/>
        <w:spacing w:before="75" w:beforeAutospacing="0" w:after="75" w:afterAutospacing="0"/>
        <w:widowControl/>
        <w:rPr>
          <w:rStyle w:val="801"/>
          <w:rFonts w:hint="eastAsia" w:ascii="宋体" w:hAnsi="宋体" w:cs="宋体"/>
          <w:highlight w:val="white"/>
          <w:u w:val="single"/>
        </w:rPr>
      </w:pPr>
      <w:r>
        <w:rPr>
          <w:rFonts w:hint="eastAsia" w:ascii="宋体" w:hAnsi="宋体" w:cs="宋体"/>
          <w:highlight w:val="white"/>
          <w:u w:val="single"/>
        </w:rPr>
      </w:r>
      <w:r>
        <w:rPr>
          <w:highlight w:val="white"/>
        </w:rPr>
      </w:r>
      <w:r/>
    </w:p>
    <w:p>
      <w:pPr>
        <w:pStyle w:val="796"/>
        <w:jc w:val="center"/>
        <w:spacing w:before="75" w:beforeAutospacing="0" w:after="75" w:afterAutospacing="0"/>
        <w:widowControl/>
        <w:rPr>
          <w:rStyle w:val="801"/>
          <w:rFonts w:hint="eastAsia" w:ascii="宋体" w:hAnsi="宋体" w:cs="宋体"/>
          <w:highlight w:val="white"/>
          <w:u w:val="single"/>
        </w:rPr>
      </w:pPr>
      <w:r>
        <w:rPr>
          <w:rFonts w:hint="eastAsia" w:ascii="宋体" w:hAnsi="宋体" w:cs="宋体"/>
          <w:highlight w:val="white"/>
          <w:u w:val="single"/>
        </w:rPr>
      </w:r>
      <w:r>
        <w:rPr>
          <w:highlight w:val="white"/>
        </w:rPr>
      </w:r>
      <w:r/>
    </w:p>
    <w:p>
      <w:pPr>
        <w:pStyle w:val="796"/>
        <w:jc w:val="center"/>
        <w:spacing w:before="75" w:beforeAutospacing="0" w:after="75" w:afterAutospacing="0"/>
        <w:widowControl/>
        <w:rPr>
          <w:rStyle w:val="801"/>
          <w:rFonts w:hint="eastAsia" w:ascii="宋体" w:hAnsi="宋体" w:cs="宋体"/>
          <w:highlight w:val="white"/>
          <w:u w:val="single"/>
        </w:rPr>
      </w:pPr>
      <w:r>
        <w:rPr>
          <w:rFonts w:hint="eastAsia" w:ascii="宋体" w:hAnsi="宋体" w:cs="宋体"/>
          <w:highlight w:val="white"/>
          <w:u w:val="single"/>
        </w:rPr>
      </w:r>
      <w:r>
        <w:rPr>
          <w:highlight w:val="white"/>
        </w:rPr>
      </w:r>
      <w:r/>
    </w:p>
    <w:p>
      <w:pPr>
        <w:pStyle w:val="796"/>
        <w:jc w:val="center"/>
        <w:spacing w:before="75" w:beforeAutospacing="0" w:after="75" w:afterAutospacing="0"/>
        <w:widowControl/>
        <w:rPr>
          <w:rStyle w:val="801"/>
          <w:rFonts w:hint="eastAsia" w:ascii="宋体" w:hAnsi="宋体" w:cs="宋体"/>
          <w:highlight w:val="white"/>
          <w:u w:val="single"/>
        </w:rPr>
      </w:pPr>
      <w:r>
        <w:rPr>
          <w:rFonts w:hint="eastAsia" w:ascii="宋体" w:hAnsi="宋体" w:cs="宋体"/>
          <w:highlight w:val="white"/>
          <w:u w:val="single"/>
        </w:rPr>
      </w:r>
      <w:r>
        <w:rPr>
          <w:highlight w:val="white"/>
        </w:rPr>
      </w:r>
      <w:r/>
    </w:p>
    <w:p>
      <w:pPr>
        <w:pStyle w:val="796"/>
        <w:jc w:val="center"/>
        <w:spacing w:before="75" w:beforeAutospacing="0" w:after="75" w:afterAutospacing="0"/>
        <w:widowControl/>
        <w:rPr>
          <w:rStyle w:val="801"/>
          <w:rFonts w:hint="eastAsia" w:ascii="宋体" w:hAnsi="宋体" w:cs="宋体"/>
          <w:highlight w:val="white"/>
          <w:u w:val="single"/>
        </w:rPr>
      </w:pPr>
      <w:r>
        <w:rPr>
          <w:rFonts w:hint="eastAsia" w:ascii="宋体" w:hAnsi="宋体" w:cs="宋体"/>
          <w:highlight w:val="white"/>
          <w:u w:val="single"/>
        </w:rPr>
      </w:r>
      <w:r>
        <w:rPr>
          <w:highlight w:val="white"/>
        </w:rPr>
      </w:r>
      <w:r/>
    </w:p>
    <w:p>
      <w:pPr>
        <w:pStyle w:val="796"/>
        <w:jc w:val="center"/>
        <w:spacing w:before="75" w:beforeAutospacing="0" w:after="75" w:afterAutospacing="0"/>
        <w:widowControl/>
        <w:rPr>
          <w:rStyle w:val="801"/>
          <w:rFonts w:hint="eastAsia" w:ascii="宋体" w:hAnsi="宋体" w:cs="宋体"/>
          <w:sz w:val="36"/>
          <w:szCs w:val="36"/>
          <w:highlight w:val="white"/>
        </w:rPr>
      </w:pPr>
      <w:r>
        <w:rPr>
          <w:rFonts w:hint="eastAsia" w:ascii="宋体" w:hAnsi="宋体" w:cs="宋体"/>
          <w:sz w:val="36"/>
          <w:szCs w:val="36"/>
          <w:highlight w:val="white"/>
        </w:rPr>
      </w:r>
      <w:r>
        <w:rPr>
          <w:highlight w:val="white"/>
        </w:rPr>
      </w:r>
      <w:r/>
    </w:p>
    <w:p>
      <w:pPr>
        <w:rPr>
          <w:rStyle w:val="801"/>
          <w:rFonts w:hint="eastAsia" w:ascii="宋体" w:hAnsi="宋体" w:cs="宋体"/>
          <w:sz w:val="36"/>
          <w:szCs w:val="36"/>
          <w:highlight w:val="white"/>
        </w:rPr>
      </w:pPr>
      <w:r>
        <w:rPr>
          <w:rStyle w:val="801"/>
          <w:rFonts w:hint="eastAsia" w:ascii="宋体" w:hAnsi="宋体" w:cs="宋体"/>
          <w:sz w:val="36"/>
          <w:szCs w:val="36"/>
          <w:highlight w:val="white"/>
        </w:rPr>
        <w:br w:type="page" w:clear="all"/>
      </w:r>
      <w:r>
        <w:rPr>
          <w:highlight w:val="white"/>
        </w:rPr>
      </w:r>
      <w:r/>
    </w:p>
    <w:p>
      <w:pPr>
        <w:jc w:val="left"/>
        <w:spacing w:line="440" w:lineRule="exact"/>
        <w:rPr>
          <w:rFonts w:hint="eastAsia" w:ascii="宋体" w:hAnsi="宋体"/>
          <w:b/>
          <w:sz w:val="24"/>
          <w:szCs w:val="24"/>
          <w:highlight w:val="white"/>
        </w:rPr>
      </w:pPr>
      <w:r>
        <w:rPr>
          <w:rFonts w:hint="eastAsia" w:ascii="宋体" w:hAnsi="宋体"/>
          <w:b/>
          <w:sz w:val="24"/>
          <w:szCs w:val="24"/>
          <w:highlight w:val="white"/>
        </w:rPr>
        <w:t xml:space="preserve">1、磋商响应函</w:t>
      </w:r>
      <w:r>
        <w:rPr>
          <w:highlight w:val="white"/>
        </w:rPr>
      </w:r>
      <w:r/>
    </w:p>
    <w:p>
      <w:pPr>
        <w:jc w:val="center"/>
        <w:spacing w:line="440" w:lineRule="exact"/>
        <w:rPr>
          <w:rFonts w:hint="eastAsia" w:ascii="宋体" w:hAnsi="宋体"/>
          <w:b/>
          <w:sz w:val="24"/>
          <w:szCs w:val="24"/>
          <w:highlight w:val="white"/>
        </w:rPr>
      </w:pPr>
      <w:r>
        <w:rPr>
          <w:rFonts w:hint="eastAsia" w:ascii="宋体" w:hAnsi="宋体"/>
          <w:b/>
          <w:sz w:val="24"/>
          <w:szCs w:val="24"/>
          <w:highlight w:val="white"/>
        </w:rPr>
        <w:t xml:space="preserve">磋商响应函</w:t>
      </w:r>
      <w:r>
        <w:rPr>
          <w:highlight w:val="white"/>
        </w:rPr>
      </w:r>
      <w:r/>
    </w:p>
    <w:p>
      <w:pPr>
        <w:jc w:val="left"/>
        <w:spacing w:line="44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致：</w:t>
      </w:r>
      <w:r>
        <w:rPr>
          <w:rFonts w:hint="eastAsia" w:ascii="宋体" w:hAnsi="宋体" w:cs="宋体"/>
          <w:sz w:val="24"/>
          <w:szCs w:val="24"/>
          <w:highlight w:val="white"/>
          <w:u w:val="single"/>
          <w:lang w:val="zh-CN"/>
        </w:rPr>
        <w:t xml:space="preserve">             </w:t>
      </w:r>
      <w:r>
        <w:rPr>
          <w:highlight w:val="white"/>
        </w:rPr>
      </w:r>
      <w:r/>
    </w:p>
    <w:p>
      <w:pPr>
        <w:ind w:firstLine="420"/>
        <w:jc w:val="left"/>
        <w:spacing w:line="44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我方收到贵公司</w:t>
      </w:r>
      <w:r>
        <w:rPr>
          <w:rFonts w:hint="eastAsia" w:ascii="宋体" w:hAnsi="宋体" w:cs="宋体"/>
          <w:sz w:val="24"/>
          <w:szCs w:val="24"/>
          <w:highlight w:val="white"/>
          <w:u w:val="single"/>
          <w:lang w:val="zh-CN"/>
        </w:rPr>
        <w:t xml:space="preserve">             </w:t>
      </w:r>
      <w:r>
        <w:rPr>
          <w:rFonts w:hint="eastAsia" w:ascii="宋体" w:hAnsi="宋体" w:cs="宋体"/>
          <w:sz w:val="24"/>
          <w:szCs w:val="24"/>
          <w:highlight w:val="white"/>
          <w:lang w:val="zh-CN"/>
        </w:rPr>
        <w:t xml:space="preserve">（项目编号）采购文件，经仔细阅读和研究，我方决定参加磋商活动，并向贵中心作出如下承诺：</w:t>
      </w:r>
      <w:r>
        <w:rPr>
          <w:highlight w:val="white"/>
        </w:rPr>
      </w:r>
      <w:r/>
    </w:p>
    <w:p>
      <w:pPr>
        <w:ind w:firstLine="420"/>
        <w:jc w:val="left"/>
        <w:spacing w:line="44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1、我方愿意按照采购文件的一切要求，提供本项目的所有内容，我方的报价包括完成本项工作所需的一切应有费用。</w:t>
      </w:r>
      <w:r>
        <w:rPr>
          <w:highlight w:val="white"/>
        </w:rPr>
      </w:r>
      <w:r/>
    </w:p>
    <w:p>
      <w:pPr>
        <w:ind w:firstLine="420"/>
        <w:jc w:val="left"/>
        <w:spacing w:line="44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2、如果我方的磋商响应文件被接受，我方将严格履行采购文件中规定的每一项要求，严格履行合同的责任和义务，保证按期、按质履行合同，完成合同所规定的全部内容。</w:t>
      </w:r>
      <w:r>
        <w:rPr>
          <w:highlight w:val="white"/>
        </w:rPr>
      </w:r>
      <w:r/>
    </w:p>
    <w:p>
      <w:pPr>
        <w:ind w:firstLine="420"/>
        <w:jc w:val="left"/>
        <w:spacing w:line="44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3、我方已详细审查并同意采购文件及更正文件（若有）中的规定。我方完全理解并同意放弃对这方面有不明及误解的权利。</w:t>
      </w:r>
      <w:r>
        <w:rPr>
          <w:highlight w:val="white"/>
        </w:rPr>
      </w:r>
      <w:r/>
    </w:p>
    <w:p>
      <w:pPr>
        <w:ind w:firstLine="420"/>
        <w:jc w:val="left"/>
        <w:spacing w:line="44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4、本磋商响应文件的有效期限为</w:t>
      </w:r>
      <w:r>
        <w:rPr>
          <w:rFonts w:hint="eastAsia" w:ascii="宋体" w:hAnsi="宋体"/>
          <w:sz w:val="24"/>
          <w:szCs w:val="24"/>
          <w:highlight w:val="white"/>
        </w:rPr>
        <w:t xml:space="preserve">响应文件接收</w:t>
      </w:r>
      <w:r>
        <w:rPr>
          <w:rFonts w:hint="eastAsia" w:ascii="宋体" w:hAnsi="宋体" w:cs="宋体"/>
          <w:sz w:val="24"/>
          <w:szCs w:val="24"/>
          <w:highlight w:val="white"/>
          <w:lang w:val="zh-CN"/>
        </w:rPr>
        <w:t xml:space="preserve">截止时间之日起</w:t>
      </w:r>
      <w:r>
        <w:rPr>
          <w:rFonts w:hint="eastAsia" w:ascii="宋体" w:hAnsi="宋体" w:cs="宋体"/>
          <w:sz w:val="24"/>
          <w:szCs w:val="24"/>
          <w:highlight w:val="white"/>
          <w:u w:val="single"/>
          <w:lang w:val="zh-CN"/>
        </w:rPr>
        <w:t xml:space="preserve">60</w:t>
      </w:r>
      <w:r>
        <w:rPr>
          <w:rFonts w:hint="eastAsia" w:ascii="宋体" w:hAnsi="宋体" w:cs="宋体"/>
          <w:sz w:val="24"/>
          <w:szCs w:val="24"/>
          <w:highlight w:val="white"/>
          <w:lang w:val="zh-CN"/>
        </w:rPr>
        <w:t xml:space="preserve">天。</w:t>
      </w:r>
      <w:r>
        <w:rPr>
          <w:highlight w:val="white"/>
        </w:rPr>
      </w:r>
      <w:r/>
    </w:p>
    <w:p>
      <w:pPr>
        <w:ind w:firstLine="420"/>
        <w:jc w:val="left"/>
        <w:spacing w:line="44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5、我方保证所提交的响应文件中所有资料均是真实的、准确的。若与真实情况不符，我方愿意承担由此而产生的一切后果。</w:t>
      </w:r>
      <w:r>
        <w:rPr>
          <w:highlight w:val="white"/>
        </w:rPr>
      </w:r>
      <w:r/>
    </w:p>
    <w:p>
      <w:pPr>
        <w:ind w:firstLine="420"/>
        <w:jc w:val="left"/>
        <w:spacing w:line="44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rPr>
          <w:highlight w:val="white"/>
        </w:rPr>
      </w:r>
      <w:r/>
    </w:p>
    <w:p>
      <w:pPr>
        <w:ind w:firstLine="420"/>
        <w:jc w:val="left"/>
        <w:spacing w:line="44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7、我方承诺磋商响应文件在磋商开始后的全过程中保持有效，不作任何更改和变动。</w:t>
      </w:r>
      <w:r>
        <w:rPr>
          <w:highlight w:val="white"/>
        </w:rPr>
      </w:r>
      <w:r/>
    </w:p>
    <w:p>
      <w:pPr>
        <w:ind w:firstLine="420"/>
        <w:jc w:val="left"/>
        <w:spacing w:line="44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8、我方承诺满足《中华人民共和国政府采购法》第二十二条规定的所有条件。</w:t>
      </w:r>
      <w:r>
        <w:rPr>
          <w:highlight w:val="white"/>
        </w:rPr>
      </w:r>
      <w:r/>
    </w:p>
    <w:p>
      <w:pPr>
        <w:ind w:firstLine="420"/>
        <w:jc w:val="left"/>
        <w:spacing w:line="44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9、与本磋商响应有关的通讯地址：</w:t>
      </w:r>
      <w:r>
        <w:rPr>
          <w:highlight w:val="white"/>
        </w:rPr>
      </w:r>
      <w:r/>
    </w:p>
    <w:p>
      <w:pPr>
        <w:ind w:firstLine="210"/>
        <w:jc w:val="left"/>
        <w:spacing w:line="44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单   位：                                              联 系 人： </w:t>
      </w:r>
      <w:r>
        <w:rPr>
          <w:highlight w:val="white"/>
        </w:rPr>
      </w:r>
      <w:r/>
    </w:p>
    <w:p>
      <w:pPr>
        <w:ind w:firstLine="210"/>
        <w:jc w:val="left"/>
        <w:spacing w:line="44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地   址：                                              邮政编码： </w:t>
      </w:r>
      <w:r>
        <w:rPr>
          <w:highlight w:val="white"/>
        </w:rPr>
      </w:r>
      <w:r/>
    </w:p>
    <w:p>
      <w:pPr>
        <w:ind w:firstLine="210"/>
        <w:jc w:val="left"/>
        <w:spacing w:line="44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联系电话：                                             电子邮箱：</w:t>
      </w:r>
      <w:r>
        <w:rPr>
          <w:highlight w:val="white"/>
        </w:rPr>
      </w:r>
      <w:r/>
    </w:p>
    <w:p>
      <w:pPr>
        <w:ind w:right="840" w:firstLine="210"/>
        <w:jc w:val="center"/>
        <w:spacing w:line="440" w:lineRule="exact"/>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right="-200"/>
        <w:jc w:val="center"/>
        <w:spacing w:line="360" w:lineRule="auto"/>
        <w:rPr>
          <w:rFonts w:hint="eastAsia" w:ascii="宋体" w:hAnsi="宋体" w:cs="宋体"/>
          <w:sz w:val="24"/>
          <w:szCs w:val="24"/>
          <w:highlight w:val="white"/>
        </w:rPr>
      </w:pPr>
      <w:r>
        <w:rPr>
          <w:rFonts w:hint="eastAsia" w:ascii="宋体" w:hAnsi="宋体" w:cs="宋体"/>
          <w:sz w:val="24"/>
          <w:szCs w:val="24"/>
          <w:highlight w:val="white"/>
          <w:lang w:val="zh-CN"/>
        </w:rPr>
        <w:t xml:space="preserve">                                          </w:t>
      </w:r>
      <w:r>
        <w:rPr>
          <w:rFonts w:hint="eastAsia" w:ascii="宋体" w:hAnsi="宋体" w:cs="宋体"/>
          <w:sz w:val="24"/>
          <w:szCs w:val="24"/>
          <w:highlight w:val="white"/>
        </w:rPr>
        <w:t xml:space="preserve">供应商名称</w:t>
      </w:r>
      <w:r>
        <w:rPr>
          <w:rFonts w:hint="eastAsia" w:ascii="宋体" w:hAnsi="宋体"/>
          <w:sz w:val="24"/>
          <w:szCs w:val="24"/>
          <w:highlight w:val="white"/>
        </w:rPr>
        <w:t xml:space="preserve">：（公章）</w:t>
      </w:r>
      <w:r>
        <w:rPr>
          <w:rFonts w:hint="eastAsia" w:ascii="宋体" w:hAnsi="宋体" w:cs="宋体"/>
          <w:sz w:val="24"/>
          <w:szCs w:val="24"/>
          <w:highlight w:val="white"/>
          <w:lang w:val="zh-CN"/>
        </w:rPr>
        <w:t xml:space="preserve"> </w:t>
      </w:r>
      <w:r>
        <w:rPr>
          <w:highlight w:val="white"/>
        </w:rPr>
      </w:r>
      <w:r/>
    </w:p>
    <w:p>
      <w:pPr>
        <w:ind w:firstLine="210"/>
        <w:jc w:val="righ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w:t>
      </w:r>
      <w:r>
        <w:rPr>
          <w:rFonts w:hint="eastAsia" w:ascii="宋体" w:hAnsi="宋体" w:cs="宋体"/>
          <w:sz w:val="24"/>
          <w:szCs w:val="24"/>
          <w:highlight w:val="white"/>
          <w:lang w:val="zh-CN"/>
        </w:rPr>
        <w:t xml:space="preserve">法定代表人或</w:t>
      </w:r>
      <w:r>
        <w:rPr>
          <w:rFonts w:hint="eastAsia" w:ascii="宋体" w:hAnsi="宋体" w:cs="宋体"/>
          <w:sz w:val="24"/>
          <w:szCs w:val="24"/>
          <w:highlight w:val="white"/>
        </w:rPr>
        <w:t xml:space="preserve">被授权</w:t>
      </w:r>
      <w:r>
        <w:rPr>
          <w:rFonts w:hint="eastAsia" w:ascii="宋体" w:hAnsi="宋体" w:cs="宋体"/>
          <w:sz w:val="24"/>
          <w:szCs w:val="24"/>
          <w:highlight w:val="white"/>
          <w:lang w:val="zh-CN"/>
        </w:rPr>
        <w:t xml:space="preserve">人：（签字或盖章）</w:t>
      </w:r>
      <w:r>
        <w:rPr>
          <w:highlight w:val="white"/>
        </w:rPr>
      </w:r>
      <w:r/>
    </w:p>
    <w:p>
      <w:pPr>
        <w:ind w:right="615" w:firstLine="840"/>
        <w:jc w:val="right"/>
        <w:spacing w:line="40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 日    期：     年</w:t>
      </w:r>
      <w:r>
        <w:rPr>
          <w:rFonts w:hint="eastAsia" w:ascii="宋体" w:hAnsi="宋体" w:cs="宋体"/>
          <w:sz w:val="24"/>
          <w:szCs w:val="24"/>
          <w:highlight w:val="white"/>
        </w:rPr>
        <w:t xml:space="preserve">     </w:t>
      </w:r>
      <w:r>
        <w:rPr>
          <w:rFonts w:hint="eastAsia" w:ascii="宋体" w:hAnsi="宋体" w:cs="宋体"/>
          <w:sz w:val="24"/>
          <w:szCs w:val="24"/>
          <w:highlight w:val="white"/>
          <w:lang w:val="zh-CN"/>
        </w:rPr>
        <w:t xml:space="preserve">月   </w:t>
      </w:r>
      <w:r>
        <w:rPr>
          <w:rFonts w:hint="eastAsia" w:ascii="宋体" w:hAnsi="宋体" w:cs="宋体"/>
          <w:sz w:val="24"/>
          <w:szCs w:val="24"/>
          <w:highlight w:val="white"/>
        </w:rPr>
        <w:t xml:space="preserve"> </w:t>
      </w:r>
      <w:r>
        <w:rPr>
          <w:rFonts w:hint="eastAsia" w:ascii="宋体" w:hAnsi="宋体" w:cs="宋体"/>
          <w:sz w:val="24"/>
          <w:szCs w:val="24"/>
          <w:highlight w:val="white"/>
          <w:lang w:val="zh-CN"/>
        </w:rPr>
        <w:t xml:space="preserve">日</w:t>
      </w:r>
      <w:r>
        <w:rPr>
          <w:highlight w:val="white"/>
        </w:rPr>
      </w:r>
      <w:r/>
    </w:p>
    <w:p>
      <w:pPr>
        <w:ind w:left="3825" w:hanging="45"/>
        <w:spacing w:line="380" w:lineRule="exact"/>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rPr>
          <w:rFonts w:hint="eastAsia" w:ascii="宋体" w:hAnsi="宋体" w:cs="宋体"/>
          <w:sz w:val="24"/>
          <w:szCs w:val="24"/>
          <w:highlight w:val="white"/>
        </w:rPr>
      </w:pPr>
      <w:r>
        <w:rPr>
          <w:rFonts w:hint="eastAsia" w:ascii="宋体" w:hAnsi="宋体" w:cs="宋体"/>
          <w:sz w:val="24"/>
          <w:szCs w:val="24"/>
          <w:highlight w:val="white"/>
        </w:rPr>
        <w:br w:type="page" w:clear="all"/>
      </w:r>
      <w:r>
        <w:rPr>
          <w:highlight w:val="white"/>
        </w:rPr>
      </w:r>
      <w:r/>
    </w:p>
    <w:p>
      <w:pPr>
        <w:spacing w:line="380" w:lineRule="exact"/>
        <w:rPr>
          <w:rFonts w:hint="eastAsia" w:ascii="宋体" w:hAnsi="宋体" w:cs="宋体"/>
          <w:b/>
          <w:bCs/>
          <w:sz w:val="24"/>
          <w:szCs w:val="24"/>
          <w:highlight w:val="white"/>
        </w:rPr>
      </w:pPr>
      <w:r>
        <w:rPr>
          <w:rFonts w:hint="eastAsia" w:ascii="宋体" w:hAnsi="宋体" w:cs="宋体"/>
          <w:b/>
          <w:bCs/>
          <w:sz w:val="24"/>
          <w:szCs w:val="24"/>
          <w:highlight w:val="white"/>
        </w:rPr>
        <w:t xml:space="preserve">2.（投标方）法定代表人授权委托书</w:t>
      </w:r>
      <w:r>
        <w:rPr>
          <w:highlight w:val="white"/>
        </w:rPr>
      </w:r>
      <w:r/>
    </w:p>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firstLine="420"/>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firstLine="420"/>
        <w:jc w:val="center"/>
        <w:spacing w:line="360" w:lineRule="auto"/>
        <w:rPr>
          <w:rFonts w:hint="eastAsia" w:ascii="宋体" w:hAnsi="宋体" w:cs="宋体"/>
          <w:sz w:val="24"/>
          <w:szCs w:val="24"/>
          <w:highlight w:val="white"/>
        </w:rPr>
      </w:pPr>
      <w:r>
        <w:rPr>
          <w:rFonts w:hint="eastAsia" w:ascii="宋体" w:hAnsi="宋体" w:cs="宋体"/>
          <w:b/>
          <w:sz w:val="24"/>
          <w:szCs w:val="24"/>
          <w:highlight w:val="white"/>
        </w:rPr>
        <w:t xml:space="preserve">授权委托书</w:t>
      </w:r>
      <w:r>
        <w:rPr>
          <w:highlight w:val="white"/>
        </w:rPr>
      </w:r>
      <w:r/>
    </w:p>
    <w:p>
      <w:pPr>
        <w:ind w:firstLine="420"/>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firstLine="420"/>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firstLine="42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本授权委托书声明：  我</w:t>
      </w:r>
      <w:r>
        <w:rPr>
          <w:rFonts w:hint="eastAsia" w:ascii="宋体" w:hAnsi="宋体" w:cs="宋体"/>
          <w:sz w:val="24"/>
          <w:szCs w:val="24"/>
          <w:highlight w:val="white"/>
          <w:u w:val="single"/>
        </w:rPr>
        <w:t xml:space="preserve"> （姓名）</w:t>
      </w:r>
      <w:r>
        <w:rPr>
          <w:rFonts w:hint="eastAsia" w:ascii="宋体" w:hAnsi="宋体" w:cs="宋体"/>
          <w:sz w:val="24"/>
          <w:szCs w:val="24"/>
          <w:highlight w:val="white"/>
        </w:rPr>
        <w:t xml:space="preserve">系</w:t>
      </w:r>
      <w:r>
        <w:rPr>
          <w:rFonts w:hint="eastAsia" w:ascii="宋体" w:hAnsi="宋体" w:cs="宋体"/>
          <w:sz w:val="24"/>
          <w:szCs w:val="24"/>
          <w:highlight w:val="white"/>
          <w:u w:val="single"/>
        </w:rPr>
        <w:t xml:space="preserve">（投标单位名称）</w:t>
      </w:r>
      <w:r>
        <w:rPr>
          <w:rFonts w:hint="eastAsia" w:ascii="宋体" w:hAnsi="宋体" w:cs="宋体"/>
          <w:sz w:val="24"/>
          <w:szCs w:val="24"/>
          <w:highlight w:val="white"/>
        </w:rPr>
        <w:t xml:space="preserve">的法定代表人，现授权委托</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（单位名称）的</w:t>
      </w:r>
      <w:r>
        <w:rPr>
          <w:rFonts w:hint="eastAsia" w:ascii="宋体" w:hAnsi="宋体" w:cs="宋体"/>
          <w:sz w:val="24"/>
          <w:szCs w:val="24"/>
          <w:highlight w:val="white"/>
          <w:u w:val="single"/>
        </w:rPr>
        <w:t xml:space="preserve">（姓名）</w:t>
      </w:r>
      <w:r>
        <w:rPr>
          <w:rFonts w:hint="eastAsia" w:ascii="宋体" w:hAnsi="宋体" w:cs="宋体"/>
          <w:sz w:val="24"/>
          <w:szCs w:val="24"/>
          <w:highlight w:val="white"/>
        </w:rPr>
        <w:t xml:space="preserve">为我公司代理人，以本公司的名义参加</w:t>
      </w:r>
      <w:r>
        <w:rPr>
          <w:rFonts w:hint="eastAsia" w:ascii="宋体" w:hAnsi="宋体" w:cs="宋体"/>
          <w:sz w:val="24"/>
          <w:szCs w:val="24"/>
          <w:highlight w:val="white"/>
          <w:u w:val="single"/>
        </w:rPr>
        <w:t xml:space="preserve">苏州久诺招投标咨询服务有限公司</w:t>
      </w:r>
      <w:r>
        <w:rPr>
          <w:rFonts w:hint="eastAsia" w:ascii="宋体" w:hAnsi="宋体" w:cs="宋体"/>
          <w:sz w:val="24"/>
          <w:szCs w:val="24"/>
          <w:highlight w:val="white"/>
        </w:rPr>
        <w:t xml:space="preserve">组织实施的编号为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号的磋商活动。代理人在参加磋商活动过程中所签署的一切文件和处理与这有关的一切事务，我均予以承认。</w:t>
      </w:r>
      <w:r>
        <w:rPr>
          <w:highlight w:val="white"/>
        </w:rPr>
      </w:r>
      <w:r/>
    </w:p>
    <w:p>
      <w:pPr>
        <w:ind w:firstLine="42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代理人在授权委托书有效期内签署的所有文件不因授权委托的撤销而失效，除非有撤销授权委托的书面通知，本授权委托书自投标开始至合同履行完毕止。</w:t>
      </w:r>
      <w:r>
        <w:rPr>
          <w:highlight w:val="white"/>
        </w:rPr>
      </w:r>
      <w:r/>
    </w:p>
    <w:p>
      <w:pPr>
        <w:ind w:firstLine="42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代理人无转委托权。特此委托。</w:t>
      </w:r>
      <w:r>
        <w:rPr>
          <w:highlight w:val="white"/>
        </w:rPr>
      </w:r>
      <w:r/>
    </w:p>
    <w:p>
      <w:pPr>
        <w:ind w:firstLine="420"/>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firstLine="42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投标单位：（盖章）</w:t>
      </w:r>
      <w:r>
        <w:rPr>
          <w:highlight w:val="white"/>
        </w:rPr>
      </w:r>
      <w:r/>
    </w:p>
    <w:p>
      <w:pPr>
        <w:ind w:firstLine="42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法定代表人：（签字或盖章）</w:t>
      </w:r>
      <w:r>
        <w:rPr>
          <w:highlight w:val="white"/>
        </w:rPr>
      </w:r>
      <w:r/>
    </w:p>
    <w:p>
      <w:pPr>
        <w:ind w:firstLine="42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代理人：（签字或盖章）</w:t>
      </w:r>
      <w:r>
        <w:rPr>
          <w:highlight w:val="white"/>
        </w:rPr>
      </w:r>
      <w:r/>
    </w:p>
    <w:p>
      <w:pPr>
        <w:ind w:firstLine="420"/>
        <w:jc w:val="righ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firstLine="420"/>
        <w:jc w:val="righ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firstLine="420"/>
        <w:jc w:val="righ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firstLine="420"/>
        <w:jc w:val="righ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firstLine="420"/>
        <w:jc w:val="righ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firstLine="420"/>
        <w:jc w:val="righ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firstLine="420"/>
        <w:jc w:val="righ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firstLine="420"/>
        <w:jc w:val="right"/>
        <w:spacing w:line="360" w:lineRule="auto"/>
        <w:rPr>
          <w:rFonts w:hint="eastAsia" w:ascii="宋体" w:hAnsi="宋体" w:cs="宋体"/>
          <w:sz w:val="24"/>
          <w:szCs w:val="24"/>
          <w:highlight w:val="white"/>
        </w:rPr>
      </w:pPr>
      <w:r>
        <w:rPr>
          <w:rFonts w:ascii="宋体" w:hAnsi="宋体" w:cs="宋体"/>
          <w:sz w:val="24"/>
          <w:szCs w:val="24"/>
          <w:highlight w:val="white"/>
        </w:rPr>
        <w:br w:type="page" w:clear="all"/>
      </w:r>
      <w:r>
        <w:rPr>
          <w:highlight w:val="white"/>
        </w:rPr>
      </w:r>
      <w:r/>
    </w:p>
    <w:p>
      <w:pPr>
        <w:spacing w:line="360" w:lineRule="auto"/>
        <w:rPr>
          <w:rFonts w:hint="eastAsia" w:ascii="宋体" w:hAnsi="宋体" w:cs="宋体"/>
          <w:b/>
          <w:bCs/>
          <w:sz w:val="24"/>
          <w:szCs w:val="24"/>
          <w:highlight w:val="white"/>
        </w:rPr>
      </w:pPr>
      <w:r>
        <w:rPr>
          <w:rFonts w:hint="eastAsia" w:ascii="宋体" w:hAnsi="宋体" w:cs="宋体"/>
          <w:b/>
          <w:bCs/>
          <w:sz w:val="24"/>
          <w:szCs w:val="24"/>
          <w:highlight w:val="white"/>
        </w:rPr>
        <w:t xml:space="preserve">3.开标一览表</w:t>
      </w:r>
      <w:r>
        <w:rPr>
          <w:highlight w:val="white"/>
        </w:rPr>
      </w:r>
      <w:r/>
    </w:p>
    <w:p>
      <w:pPr>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jc w:val="center"/>
        <w:spacing w:line="480" w:lineRule="auto"/>
        <w:rPr>
          <w:rFonts w:hint="eastAsia" w:ascii="宋体" w:hAnsi="宋体" w:cs="宋体"/>
          <w:sz w:val="24"/>
          <w:szCs w:val="24"/>
          <w:highlight w:val="white"/>
        </w:rPr>
      </w:pPr>
      <w:r>
        <w:rPr>
          <w:rFonts w:hint="eastAsia" w:ascii="宋体" w:hAnsi="宋体"/>
          <w:b/>
          <w:sz w:val="24"/>
          <w:szCs w:val="24"/>
          <w:highlight w:val="white"/>
        </w:rPr>
        <w:t xml:space="preserve">开标一览表</w:t>
      </w:r>
      <w:r>
        <w:rPr>
          <w:highlight w:val="white"/>
        </w:rPr>
      </w:r>
      <w:r/>
    </w:p>
    <w:p>
      <w:pPr>
        <w:pStyle w:val="1039"/>
        <w:ind w:firstLine="482"/>
        <w:spacing w:line="480" w:lineRule="auto"/>
        <w:rPr>
          <w:rFonts w:hint="eastAsia" w:hAnsi="宋体" w:eastAsia="宋体"/>
          <w:b/>
          <w:bCs/>
          <w:sz w:val="24"/>
          <w:szCs w:val="24"/>
          <w:highlight w:val="white"/>
        </w:rPr>
      </w:pPr>
      <w:r>
        <w:rPr>
          <w:rFonts w:hint="eastAsia" w:hAnsi="宋体" w:eastAsia="宋体"/>
          <w:b/>
          <w:bCs/>
          <w:sz w:val="24"/>
          <w:szCs w:val="24"/>
          <w:highlight w:val="white"/>
        </w:rPr>
        <w:t xml:space="preserve">注：根据系统内格式统一编制。</w:t>
      </w:r>
      <w:r>
        <w:rPr>
          <w:highlight w:val="white"/>
        </w:rPr>
      </w:r>
      <w:r/>
    </w:p>
    <w:p>
      <w:pPr>
        <w:pStyle w:val="1039"/>
        <w:spacing w:line="480" w:lineRule="auto"/>
        <w:rPr>
          <w:rFonts w:hint="eastAsia" w:hAnsi="宋体" w:eastAsia="宋体"/>
          <w:sz w:val="24"/>
          <w:szCs w:val="24"/>
          <w:highlight w:val="white"/>
        </w:rPr>
      </w:pPr>
      <w:r>
        <w:rPr>
          <w:rFonts w:hint="eastAsia" w:hAnsi="宋体" w:eastAsia="宋体"/>
          <w:sz w:val="24"/>
          <w:szCs w:val="24"/>
          <w:highlight w:val="white"/>
        </w:rPr>
      </w:r>
      <w:r>
        <w:rPr>
          <w:highlight w:val="white"/>
        </w:rPr>
      </w:r>
      <w:r/>
    </w:p>
    <w:p>
      <w:pPr>
        <w:spacing w:line="360" w:lineRule="auto"/>
        <w:rPr>
          <w:rFonts w:hint="eastAsia" w:ascii="宋体" w:hAnsi="宋体" w:cs="宋体"/>
          <w:b/>
          <w:sz w:val="24"/>
          <w:szCs w:val="24"/>
          <w:highlight w:val="white"/>
        </w:rPr>
      </w:pPr>
      <w:r>
        <w:rPr>
          <w:rFonts w:ascii="宋体" w:hAnsi="宋体" w:cs="宋体"/>
          <w:sz w:val="24"/>
          <w:szCs w:val="24"/>
          <w:highlight w:val="white"/>
        </w:rPr>
        <w:t xml:space="preserve">4</w:t>
      </w:r>
      <w:r>
        <w:rPr>
          <w:rFonts w:hint="eastAsia" w:ascii="宋体" w:hAnsi="宋体" w:cs="宋体"/>
          <w:sz w:val="24"/>
          <w:szCs w:val="24"/>
          <w:highlight w:val="white"/>
        </w:rPr>
        <w:t xml:space="preserve">.</w:t>
      </w:r>
      <w:r>
        <w:rPr>
          <w:rFonts w:hint="eastAsia" w:ascii="宋体" w:hAnsi="宋体" w:cs="宋体"/>
          <w:b/>
          <w:bCs/>
          <w:sz w:val="24"/>
          <w:szCs w:val="24"/>
          <w:highlight w:val="white"/>
        </w:rPr>
        <w:t xml:space="preserve"> 磋商分项报价明细表</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jc w:val="center"/>
        <w:spacing w:line="480" w:lineRule="auto"/>
        <w:rPr>
          <w:rFonts w:hint="eastAsia" w:ascii="宋体" w:hAnsi="宋体" w:cs="宋体"/>
          <w:sz w:val="24"/>
          <w:szCs w:val="24"/>
          <w:highlight w:val="white"/>
        </w:rPr>
      </w:pPr>
      <w:r>
        <w:rPr>
          <w:highlight w:val="white"/>
        </w:rPr>
      </w:r>
      <w:bookmarkStart w:id="8" w:name="_Hlk213320203"/>
      <w:r>
        <w:rPr>
          <w:rFonts w:hint="eastAsia" w:ascii="宋体" w:hAnsi="宋体" w:cs="宋体"/>
          <w:b/>
          <w:bCs/>
          <w:sz w:val="24"/>
          <w:szCs w:val="24"/>
          <w:highlight w:val="white"/>
        </w:rPr>
        <w:t xml:space="preserve">磋商分项报价明细表</w:t>
      </w:r>
      <w:bookmarkEnd w:id="8"/>
      <w:r>
        <w:rPr>
          <w:highlight w:val="white"/>
        </w:rPr>
      </w:r>
      <w:r/>
    </w:p>
    <w:p>
      <w:pPr>
        <w:pStyle w:val="1026"/>
        <w:ind w:firstLine="240"/>
        <w:rPr>
          <w:rFonts w:hint="eastAsia" w:hAnsi="宋体" w:eastAsia="宋体"/>
          <w:sz w:val="24"/>
          <w:szCs w:val="24"/>
          <w:highlight w:val="white"/>
        </w:rPr>
      </w:pPr>
      <w:r>
        <w:rPr>
          <w:rFonts w:hint="eastAsia" w:hAnsi="宋体" w:eastAsia="宋体"/>
          <w:sz w:val="24"/>
          <w:szCs w:val="24"/>
          <w:highlight w:val="white"/>
        </w:rPr>
        <w:t xml:space="preserve">采购编号：</w:t>
      </w:r>
      <w:r>
        <w:rPr>
          <w:rFonts w:hAnsi="宋体" w:eastAsia="宋体"/>
          <w:sz w:val="24"/>
          <w:szCs w:val="24"/>
          <w:highlight w:val="white"/>
        </w:rPr>
        <w:t xml:space="preserve"> </w:t>
      </w:r>
      <w:r>
        <w:rPr>
          <w:highlight w:val="white"/>
        </w:rPr>
      </w:r>
      <w:r/>
    </w:p>
    <w:tbl>
      <w:tblPr>
        <w:tblW w:w="96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67"/>
        <w:gridCol w:w="1510"/>
        <w:gridCol w:w="2880"/>
        <w:gridCol w:w="900"/>
        <w:gridCol w:w="1300"/>
        <w:gridCol w:w="1300"/>
        <w:gridCol w:w="1011"/>
      </w:tblGrid>
      <w:tr>
        <w:trPr>
          <w:cantSplit/>
          <w:jc w:val="center"/>
          <w:trHeight w:val="567"/>
        </w:trPr>
        <w:tc>
          <w:tcPr>
            <w:tcW w:w="767"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t xml:space="preserve">序号</w:t>
            </w:r>
            <w:r>
              <w:rPr>
                <w:highlight w:val="white"/>
              </w:rPr>
            </w:r>
            <w:r/>
          </w:p>
        </w:tc>
        <w:tc>
          <w:tcPr>
            <w:tcBorders>
              <w:right w:val="single" w:color="auto" w:sz="4" w:space="0"/>
            </w:tcBorders>
            <w:tcW w:w="151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t xml:space="preserve">服务名称</w:t>
            </w:r>
            <w:r>
              <w:rPr>
                <w:highlight w:val="white"/>
              </w:rPr>
            </w:r>
            <w:r/>
          </w:p>
        </w:tc>
        <w:tc>
          <w:tcPr>
            <w:tcBorders>
              <w:left w:val="single" w:color="auto" w:sz="4" w:space="0"/>
              <w:right w:val="single" w:color="auto" w:sz="4" w:space="0"/>
            </w:tcBorders>
            <w:tcW w:w="288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t xml:space="preserve">服务内容</w:t>
            </w:r>
            <w:r>
              <w:rPr>
                <w:highlight w:val="white"/>
              </w:rPr>
            </w:r>
            <w:r/>
          </w:p>
        </w:tc>
        <w:tc>
          <w:tcPr>
            <w:tcBorders>
              <w:left w:val="single" w:color="auto" w:sz="4" w:space="0"/>
            </w:tcBorders>
            <w:tcW w:w="90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t xml:space="preserve">数量</w:t>
            </w:r>
            <w:r>
              <w:rPr>
                <w:highlight w:val="white"/>
              </w:rPr>
            </w:r>
            <w:r/>
          </w:p>
        </w:tc>
        <w:tc>
          <w:tcPr>
            <w:tcBorders>
              <w:bottom w:val="single" w:color="auto" w:sz="4" w:space="0"/>
              <w:right w:val="single" w:color="auto" w:sz="4" w:space="0"/>
            </w:tcBorders>
            <w:tcW w:w="130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t xml:space="preserve">单价（元）</w:t>
            </w:r>
            <w:r>
              <w:rPr>
                <w:highlight w:val="white"/>
              </w:rPr>
            </w:r>
            <w:r/>
          </w:p>
        </w:tc>
        <w:tc>
          <w:tcPr>
            <w:tcBorders>
              <w:left w:val="single" w:color="auto" w:sz="4" w:space="0"/>
              <w:bottom w:val="single" w:color="auto" w:sz="4" w:space="0"/>
            </w:tcBorders>
            <w:tcW w:w="130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t xml:space="preserve">总价（元）</w:t>
            </w:r>
            <w:r>
              <w:rPr>
                <w:highlight w:val="white"/>
              </w:rPr>
            </w:r>
            <w:r/>
          </w:p>
        </w:tc>
        <w:tc>
          <w:tcPr>
            <w:tcBorders>
              <w:right w:val="single" w:color="auto" w:sz="4" w:space="0"/>
            </w:tcBorders>
            <w:tcW w:w="1011"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t xml:space="preserve">备注</w:t>
            </w:r>
            <w:r>
              <w:rPr>
                <w:highlight w:val="white"/>
              </w:rPr>
            </w:r>
            <w:r/>
          </w:p>
        </w:tc>
      </w:tr>
      <w:tr>
        <w:trPr>
          <w:cantSplit/>
          <w:jc w:val="center"/>
          <w:trHeight w:val="567"/>
        </w:trPr>
        <w:tc>
          <w:tcPr>
            <w:tcW w:w="767"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right w:val="single" w:color="auto" w:sz="4" w:space="0"/>
            </w:tcBorders>
            <w:tcW w:w="151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left w:val="single" w:color="auto" w:sz="4" w:space="0"/>
              <w:right w:val="single" w:color="auto" w:sz="4" w:space="0"/>
            </w:tcBorders>
            <w:tcW w:w="288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left w:val="single" w:color="auto" w:sz="4" w:space="0"/>
            </w:tcBorders>
            <w:tcW w:w="90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top w:val="single" w:color="auto" w:sz="4" w:space="0"/>
              <w:right w:val="single" w:color="auto" w:sz="4" w:space="0"/>
            </w:tcBorders>
            <w:tcW w:w="130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top w:val="single" w:color="auto" w:sz="4" w:space="0"/>
              <w:left w:val="single" w:color="auto" w:sz="4" w:space="0"/>
            </w:tcBorders>
            <w:tcW w:w="130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right w:val="single" w:color="auto" w:sz="4" w:space="0"/>
            </w:tcBorders>
            <w:tcW w:w="1011"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r>
      <w:tr>
        <w:trPr>
          <w:cantSplit/>
          <w:jc w:val="center"/>
          <w:trHeight w:val="567"/>
        </w:trPr>
        <w:tc>
          <w:tcPr>
            <w:tcW w:w="767"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right w:val="single" w:color="auto" w:sz="4" w:space="0"/>
            </w:tcBorders>
            <w:tcW w:w="151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left w:val="single" w:color="auto" w:sz="4" w:space="0"/>
              <w:right w:val="single" w:color="auto" w:sz="4" w:space="0"/>
            </w:tcBorders>
            <w:tcW w:w="288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left w:val="single" w:color="auto" w:sz="4" w:space="0"/>
            </w:tcBorders>
            <w:tcW w:w="90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right w:val="single" w:color="auto" w:sz="4" w:space="0"/>
            </w:tcBorders>
            <w:tcW w:w="130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left w:val="single" w:color="auto" w:sz="4" w:space="0"/>
            </w:tcBorders>
            <w:tcW w:w="130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right w:val="single" w:color="auto" w:sz="4" w:space="0"/>
            </w:tcBorders>
            <w:tcW w:w="1011"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r>
      <w:tr>
        <w:trPr>
          <w:cantSplit/>
          <w:jc w:val="center"/>
          <w:trHeight w:val="567"/>
        </w:trPr>
        <w:tc>
          <w:tcPr>
            <w:tcW w:w="767"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right w:val="single" w:color="auto" w:sz="4" w:space="0"/>
            </w:tcBorders>
            <w:tcW w:w="151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left w:val="single" w:color="auto" w:sz="4" w:space="0"/>
              <w:right w:val="single" w:color="auto" w:sz="4" w:space="0"/>
            </w:tcBorders>
            <w:tcW w:w="288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left w:val="single" w:color="auto" w:sz="4" w:space="0"/>
            </w:tcBorders>
            <w:tcW w:w="90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right w:val="single" w:color="auto" w:sz="4" w:space="0"/>
            </w:tcBorders>
            <w:tcW w:w="130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left w:val="single" w:color="auto" w:sz="4" w:space="0"/>
            </w:tcBorders>
            <w:tcW w:w="130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right w:val="single" w:color="auto" w:sz="4" w:space="0"/>
            </w:tcBorders>
            <w:tcW w:w="1011"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r>
      <w:tr>
        <w:trPr>
          <w:cantSplit/>
          <w:jc w:val="center"/>
          <w:trHeight w:val="567"/>
        </w:trPr>
        <w:tc>
          <w:tcPr>
            <w:tcW w:w="767"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right w:val="single" w:color="auto" w:sz="4" w:space="0"/>
            </w:tcBorders>
            <w:tcW w:w="151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left w:val="single" w:color="auto" w:sz="4" w:space="0"/>
              <w:right w:val="single" w:color="auto" w:sz="4" w:space="0"/>
            </w:tcBorders>
            <w:tcW w:w="288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left w:val="single" w:color="auto" w:sz="4" w:space="0"/>
            </w:tcBorders>
            <w:tcW w:w="90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right w:val="single" w:color="auto" w:sz="4" w:space="0"/>
            </w:tcBorders>
            <w:tcW w:w="130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left w:val="single" w:color="auto" w:sz="4" w:space="0"/>
            </w:tcBorders>
            <w:tcW w:w="1300"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c>
          <w:tcPr>
            <w:tcBorders>
              <w:right w:val="single" w:color="auto" w:sz="4" w:space="0"/>
            </w:tcBorders>
            <w:tcW w:w="1011"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r>
            <w:r>
              <w:rPr>
                <w:highlight w:val="white"/>
              </w:rPr>
            </w:r>
            <w:r/>
          </w:p>
        </w:tc>
      </w:tr>
      <w:tr>
        <w:trPr>
          <w:cantSplit/>
          <w:jc w:val="center"/>
          <w:trHeight w:val="567"/>
        </w:trPr>
        <w:tc>
          <w:tcPr>
            <w:gridSpan w:val="2"/>
            <w:tcBorders>
              <w:bottom w:val="single" w:color="auto" w:sz="6" w:space="0"/>
              <w:right w:val="single" w:color="auto" w:sz="4" w:space="0"/>
            </w:tcBorders>
            <w:tcW w:w="2277"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t xml:space="preserve">磋商总报价（元）</w:t>
            </w:r>
            <w:r>
              <w:rPr>
                <w:highlight w:val="white"/>
              </w:rPr>
            </w:r>
            <w:r/>
          </w:p>
        </w:tc>
        <w:tc>
          <w:tcPr>
            <w:gridSpan w:val="5"/>
            <w:tcBorders>
              <w:left w:val="single" w:color="auto" w:sz="4" w:space="0"/>
              <w:bottom w:val="single" w:color="auto" w:sz="6" w:space="0"/>
              <w:right w:val="single" w:color="auto" w:sz="4" w:space="0"/>
            </w:tcBorders>
            <w:tcW w:w="7391" w:type="dxa"/>
            <w:vAlign w:val="center"/>
            <w:textDirection w:val="lrTb"/>
            <w:noWrap w:val="false"/>
          </w:tcPr>
          <w:p>
            <w:pPr>
              <w:pStyle w:val="1038"/>
              <w:jc w:val="center"/>
              <w:rPr>
                <w:rFonts w:hint="eastAsia" w:hAnsi="宋体"/>
                <w:sz w:val="24"/>
                <w:highlight w:val="white"/>
              </w:rPr>
            </w:pPr>
            <w:r>
              <w:rPr>
                <w:rFonts w:hint="eastAsia" w:hAnsi="宋体"/>
                <w:sz w:val="24"/>
                <w:highlight w:val="white"/>
              </w:rPr>
              <w:t xml:space="preserve">人民币大写：</w:t>
            </w:r>
            <w:r>
              <w:rPr>
                <w:rFonts w:hint="eastAsia" w:hAnsi="宋体"/>
                <w:sz w:val="24"/>
                <w:highlight w:val="white"/>
                <w:u w:val="single"/>
              </w:rPr>
              <w:t xml:space="preserve">                    </w:t>
            </w:r>
            <w:r>
              <w:rPr>
                <w:rFonts w:hint="eastAsia" w:hAnsi="宋体"/>
                <w:sz w:val="24"/>
                <w:highlight w:val="white"/>
              </w:rPr>
              <w:t xml:space="preserve">（小写：</w:t>
            </w:r>
            <w:r>
              <w:rPr>
                <w:rFonts w:hint="eastAsia" w:hAnsi="宋体"/>
                <w:sz w:val="24"/>
                <w:highlight w:val="white"/>
                <w:u w:val="single"/>
              </w:rPr>
              <w:t xml:space="preserve">               </w:t>
            </w:r>
            <w:r>
              <w:rPr>
                <w:rFonts w:hint="eastAsia" w:hAnsi="宋体"/>
                <w:sz w:val="24"/>
                <w:highlight w:val="white"/>
              </w:rPr>
              <w:t xml:space="preserve">）</w:t>
            </w:r>
            <w:r>
              <w:rPr>
                <w:highlight w:val="white"/>
              </w:rPr>
            </w:r>
            <w:r/>
          </w:p>
        </w:tc>
      </w:tr>
    </w:tbl>
    <w:p>
      <w:pPr>
        <w:pStyle w:val="1026"/>
        <w:ind w:firstLine="240"/>
        <w:spacing w:line="480" w:lineRule="auto"/>
        <w:rPr>
          <w:rFonts w:hint="eastAsia" w:hAnsi="宋体" w:eastAsia="宋体"/>
          <w:sz w:val="24"/>
          <w:szCs w:val="24"/>
          <w:highlight w:val="white"/>
        </w:rPr>
      </w:pPr>
      <w:r>
        <w:rPr>
          <w:rFonts w:hint="eastAsia" w:hAnsi="宋体" w:eastAsia="宋体"/>
          <w:sz w:val="24"/>
          <w:szCs w:val="24"/>
          <w:highlight w:val="white"/>
        </w:rPr>
      </w:r>
      <w:r>
        <w:rPr>
          <w:highlight w:val="white"/>
        </w:rPr>
      </w:r>
      <w:r/>
    </w:p>
    <w:p>
      <w:pPr>
        <w:pStyle w:val="1026"/>
        <w:spacing w:line="480" w:lineRule="auto"/>
        <w:rPr>
          <w:rFonts w:hint="eastAsia" w:hAnsi="宋体" w:eastAsia="宋体"/>
          <w:sz w:val="24"/>
          <w:szCs w:val="24"/>
          <w:highlight w:val="white"/>
        </w:rPr>
      </w:pPr>
      <w:r>
        <w:rPr>
          <w:rFonts w:hint="eastAsia" w:hAnsi="宋体" w:eastAsia="宋体"/>
          <w:sz w:val="24"/>
          <w:szCs w:val="24"/>
          <w:highlight w:val="white"/>
        </w:rPr>
      </w:r>
      <w:r>
        <w:rPr>
          <w:highlight w:val="white"/>
        </w:rPr>
      </w:r>
      <w:r/>
    </w:p>
    <w:p>
      <w:pPr>
        <w:pStyle w:val="1026"/>
        <w:ind w:firstLine="600"/>
        <w:spacing w:line="480" w:lineRule="auto"/>
        <w:rPr>
          <w:rFonts w:hint="eastAsia" w:hAnsi="宋体" w:eastAsia="宋体"/>
          <w:sz w:val="24"/>
          <w:szCs w:val="24"/>
          <w:highlight w:val="white"/>
        </w:rPr>
      </w:pPr>
      <w:r>
        <w:rPr>
          <w:rFonts w:hint="eastAsia" w:hAnsi="宋体" w:eastAsia="宋体"/>
          <w:sz w:val="24"/>
          <w:szCs w:val="24"/>
          <w:highlight w:val="white"/>
        </w:rPr>
        <w:t xml:space="preserve">供应商：（公章）</w:t>
      </w:r>
      <w:r>
        <w:rPr>
          <w:highlight w:val="white"/>
        </w:rPr>
      </w:r>
      <w:r/>
    </w:p>
    <w:p>
      <w:pPr>
        <w:pStyle w:val="1026"/>
        <w:ind w:firstLine="600"/>
        <w:spacing w:line="480" w:lineRule="auto"/>
        <w:rPr>
          <w:rFonts w:hint="eastAsia" w:hAnsi="宋体" w:eastAsia="宋体"/>
          <w:sz w:val="24"/>
          <w:szCs w:val="24"/>
          <w:highlight w:val="white"/>
        </w:rPr>
      </w:pPr>
      <w:r>
        <w:rPr>
          <w:rFonts w:hint="eastAsia" w:hAnsi="宋体" w:eastAsia="宋体"/>
          <w:sz w:val="24"/>
          <w:szCs w:val="24"/>
          <w:highlight w:val="white"/>
        </w:rPr>
        <w:t xml:space="preserve">法定代表人或代理人：（签字或盖章）</w:t>
      </w:r>
      <w:r>
        <w:rPr>
          <w:highlight w:val="white"/>
        </w:rPr>
      </w:r>
      <w:r/>
    </w:p>
    <w:p>
      <w:pPr>
        <w:pStyle w:val="1026"/>
        <w:ind w:firstLine="600"/>
        <w:spacing w:line="480" w:lineRule="auto"/>
        <w:rPr>
          <w:rFonts w:hint="eastAsia" w:hAnsi="宋体" w:eastAsia="宋体"/>
          <w:b/>
          <w:sz w:val="24"/>
          <w:szCs w:val="24"/>
          <w:highlight w:val="white"/>
        </w:rPr>
      </w:pPr>
      <w:r>
        <w:rPr>
          <w:rFonts w:hint="eastAsia" w:hAnsi="宋体" w:eastAsia="宋体"/>
          <w:sz w:val="24"/>
          <w:szCs w:val="24"/>
          <w:highlight w:val="white"/>
        </w:rPr>
        <w:t xml:space="preserve">日期：   年   月   日</w:t>
      </w:r>
      <w:r>
        <w:rPr>
          <w:highlight w:val="white"/>
        </w:rPr>
      </w:r>
      <w:r/>
    </w:p>
    <w:p>
      <w:pPr>
        <w:ind w:right="420" w:firstLine="4680"/>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rPr>
          <w:rFonts w:hint="eastAsia" w:ascii="宋体" w:hAnsi="宋体" w:cs="宋体"/>
          <w:sz w:val="24"/>
          <w:szCs w:val="24"/>
          <w:highlight w:val="white"/>
        </w:rPr>
      </w:pPr>
      <w:r>
        <w:rPr>
          <w:rFonts w:ascii="宋体" w:hAnsi="宋体" w:cs="宋体"/>
          <w:b/>
          <w:sz w:val="24"/>
          <w:szCs w:val="24"/>
          <w:highlight w:val="white"/>
        </w:rPr>
        <w:br w:type="page" w:clear="all"/>
      </w:r>
      <w:r>
        <w:rPr>
          <w:highlight w:val="white"/>
        </w:rPr>
      </w:r>
      <w:r/>
    </w:p>
    <w:p>
      <w:pPr>
        <w:ind w:right="825" w:firstLine="1200"/>
        <w:jc w:val="righ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spacing w:line="360" w:lineRule="auto"/>
        <w:rPr>
          <w:rFonts w:hint="eastAsia" w:ascii="宋体" w:hAnsi="宋体" w:cs="宋体"/>
          <w:b/>
          <w:sz w:val="24"/>
          <w:szCs w:val="24"/>
          <w:highlight w:val="white"/>
        </w:rPr>
      </w:pPr>
      <w:r>
        <w:rPr>
          <w:rFonts w:hint="eastAsia" w:ascii="宋体" w:hAnsi="宋体" w:cs="宋体"/>
          <w:b/>
          <w:sz w:val="24"/>
          <w:szCs w:val="24"/>
          <w:highlight w:val="white"/>
        </w:rPr>
        <w:t xml:space="preserve">5、关于资格文件声明函</w:t>
      </w:r>
      <w:r>
        <w:rPr>
          <w:highlight w:val="white"/>
        </w:rPr>
      </w:r>
      <w:r/>
    </w:p>
    <w:p>
      <w:pPr>
        <w:ind w:firstLine="425"/>
        <w:jc w:val="center"/>
        <w:spacing w:line="360" w:lineRule="auto"/>
        <w:rPr>
          <w:rFonts w:hint="eastAsia" w:ascii="宋体" w:hAnsi="宋体" w:cs="宋体"/>
          <w:sz w:val="24"/>
          <w:szCs w:val="24"/>
          <w:highlight w:val="white"/>
        </w:rPr>
      </w:pPr>
      <w:r>
        <w:rPr>
          <w:rFonts w:hint="eastAsia" w:ascii="宋体" w:hAnsi="宋体" w:cs="宋体"/>
          <w:b/>
          <w:sz w:val="24"/>
          <w:szCs w:val="24"/>
          <w:highlight w:val="white"/>
        </w:rPr>
        <w:t xml:space="preserve">关于资格文件的声明函</w:t>
      </w:r>
      <w:r>
        <w:rPr>
          <w:highlight w:val="white"/>
        </w:rPr>
      </w:r>
      <w:r/>
    </w:p>
    <w:p>
      <w:pPr>
        <w:ind w:firstLine="425"/>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lang w:val="zh-CN"/>
        </w:rPr>
        <w:t xml:space="preserve"> </w:t>
      </w:r>
      <w:r>
        <w:rPr>
          <w:rFonts w:hint="eastAsia" w:ascii="宋体" w:hAnsi="宋体" w:cs="宋体"/>
          <w:sz w:val="24"/>
          <w:szCs w:val="24"/>
          <w:highlight w:val="white"/>
          <w:u w:val="single"/>
          <w:lang w:val="zh-CN"/>
        </w:rPr>
        <w:t xml:space="preserve">                                    </w:t>
      </w:r>
      <w:r>
        <w:rPr>
          <w:rFonts w:hint="eastAsia" w:ascii="宋体" w:hAnsi="宋体" w:cs="宋体"/>
          <w:sz w:val="24"/>
          <w:szCs w:val="24"/>
          <w:highlight w:val="white"/>
          <w:lang w:val="zh-CN"/>
        </w:rPr>
        <w:t xml:space="preserve">：</w:t>
      </w:r>
      <w:r>
        <w:rPr>
          <w:highlight w:val="white"/>
        </w:rPr>
      </w:r>
      <w:r/>
    </w:p>
    <w:p>
      <w:pPr>
        <w:ind w:firstLine="660"/>
        <w:spacing w:line="360" w:lineRule="auto"/>
        <w:rPr>
          <w:rFonts w:hint="eastAsia" w:ascii="宋体" w:hAnsi="宋体" w:cs="宋体"/>
          <w:sz w:val="24"/>
          <w:szCs w:val="24"/>
          <w:highlight w:val="white"/>
        </w:rPr>
      </w:pPr>
      <w:r>
        <w:rPr>
          <w:rFonts w:hint="eastAsia" w:ascii="宋体" w:hAnsi="宋体" w:cs="宋体"/>
          <w:sz w:val="24"/>
          <w:szCs w:val="24"/>
          <w:highlight w:val="white"/>
          <w:lang w:val="zh-CN"/>
        </w:rPr>
        <w:t xml:space="preserve">本公司愿就由贵公司组织实施的编号为</w:t>
      </w:r>
      <w:r>
        <w:rPr>
          <w:rFonts w:hint="eastAsia" w:ascii="宋体" w:hAnsi="宋体" w:cs="宋体"/>
          <w:sz w:val="24"/>
          <w:szCs w:val="24"/>
          <w:highlight w:val="white"/>
          <w:u w:val="single"/>
          <w:lang w:val="zh-CN"/>
        </w:rPr>
        <w:t xml:space="preserve">              </w:t>
      </w:r>
      <w:r>
        <w:rPr>
          <w:rFonts w:hint="eastAsia" w:ascii="宋体" w:hAnsi="宋体" w:cs="宋体"/>
          <w:sz w:val="24"/>
          <w:szCs w:val="24"/>
          <w:highlight w:val="white"/>
          <w:lang w:val="zh-CN"/>
        </w:rPr>
        <w:t xml:space="preserve">号的招标活动进行投标。本公司所提交的投标文件中所有关于投标资格的文件、证明和陈述均是真实的、准确的。若与真实情况不符，本公司愿意承担由此而产生的一切后果。</w:t>
      </w:r>
      <w:r>
        <w:rPr>
          <w:highlight w:val="white"/>
        </w:rPr>
      </w:r>
      <w:r/>
    </w:p>
    <w:p>
      <w:pPr>
        <w:ind w:firstLine="425"/>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firstLine="425"/>
        <w:spacing w:line="360" w:lineRule="auto"/>
        <w:rPr>
          <w:rFonts w:hint="eastAsia" w:ascii="宋体" w:hAnsi="宋体" w:cs="宋体"/>
          <w:sz w:val="24"/>
          <w:szCs w:val="24"/>
          <w:highlight w:val="white"/>
        </w:rPr>
      </w:pPr>
      <w:r>
        <w:rPr>
          <w:rFonts w:hint="eastAsia" w:ascii="宋体" w:hAnsi="宋体" w:cs="宋体"/>
          <w:sz w:val="24"/>
          <w:szCs w:val="24"/>
          <w:highlight w:val="white"/>
          <w:lang w:val="zh-CN"/>
        </w:rPr>
        <w:t xml:space="preserve"> </w:t>
      </w:r>
      <w:r>
        <w:rPr>
          <w:rFonts w:hint="eastAsia" w:ascii="宋体" w:hAnsi="宋体" w:cs="宋体"/>
          <w:sz w:val="24"/>
          <w:szCs w:val="24"/>
          <w:highlight w:val="white"/>
          <w:lang w:val="zh-CN"/>
        </w:rPr>
        <w:tab/>
      </w:r>
      <w:r>
        <w:rPr>
          <w:rFonts w:hint="eastAsia" w:ascii="宋体" w:hAnsi="宋体" w:cs="宋体"/>
          <w:sz w:val="24"/>
          <w:szCs w:val="24"/>
          <w:highlight w:val="white"/>
          <w:lang w:val="zh-CN"/>
        </w:rPr>
        <w:tab/>
      </w:r>
      <w:r>
        <w:rPr>
          <w:rFonts w:hint="eastAsia" w:ascii="宋体" w:hAnsi="宋体" w:cs="宋体"/>
          <w:sz w:val="24"/>
          <w:szCs w:val="24"/>
          <w:highlight w:val="white"/>
          <w:lang w:val="zh-CN"/>
        </w:rPr>
        <w:tab/>
      </w:r>
      <w:r>
        <w:rPr>
          <w:rFonts w:hint="eastAsia" w:ascii="宋体" w:hAnsi="宋体" w:cs="宋体"/>
          <w:sz w:val="24"/>
          <w:szCs w:val="24"/>
          <w:highlight w:val="white"/>
          <w:lang w:val="zh-CN"/>
        </w:rPr>
        <w:tab/>
        <w:t xml:space="preserve"> </w:t>
      </w:r>
      <w:r>
        <w:rPr>
          <w:highlight w:val="white"/>
        </w:rPr>
      </w:r>
      <w:r/>
    </w:p>
    <w:tbl>
      <w:tblPr>
        <w:tblStyle w:val="800"/>
        <w:tblW w:w="4586" w:type="dxa"/>
        <w:tblInd w:w="393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4586"/>
      </w:tblGrid>
      <w:tr>
        <w:trPr/>
        <w:tc>
          <w:tcPr>
            <w:tcW w:w="4586" w:type="dxa"/>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lang w:val="zh-CN"/>
              </w:rPr>
              <w:t xml:space="preserve">投标单位法定代表人：（签字或盖章）</w:t>
            </w:r>
            <w:r>
              <w:rPr>
                <w:highlight w:val="white"/>
              </w:rPr>
            </w:r>
            <w:r/>
          </w:p>
        </w:tc>
      </w:tr>
      <w:tr>
        <w:trPr/>
        <w:tc>
          <w:tcPr>
            <w:tcW w:w="4586" w:type="dxa"/>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lang w:val="zh-CN"/>
              </w:rPr>
              <w:t xml:space="preserve">投标单位：（公章）</w:t>
            </w:r>
            <w:r>
              <w:rPr>
                <w:highlight w:val="white"/>
              </w:rPr>
            </w:r>
            <w:r/>
          </w:p>
        </w:tc>
      </w:tr>
      <w:tr>
        <w:trPr/>
        <w:tc>
          <w:tcPr>
            <w:tcW w:w="4586" w:type="dxa"/>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lang w:val="zh-CN"/>
              </w:rPr>
              <w:t xml:space="preserve">日    期：    年</w:t>
            </w:r>
            <w:r>
              <w:rPr>
                <w:rFonts w:hint="eastAsia" w:ascii="宋体" w:hAnsi="宋体" w:cs="宋体"/>
                <w:sz w:val="24"/>
                <w:szCs w:val="24"/>
                <w:highlight w:val="white"/>
              </w:rPr>
              <w:tab/>
            </w:r>
            <w:r>
              <w:rPr>
                <w:rFonts w:hint="eastAsia" w:ascii="宋体" w:hAnsi="宋体" w:cs="宋体"/>
                <w:sz w:val="24"/>
                <w:szCs w:val="24"/>
                <w:highlight w:val="white"/>
                <w:lang w:val="zh-CN"/>
              </w:rPr>
              <w:t xml:space="preserve"> 月 </w:t>
            </w:r>
            <w:r>
              <w:rPr>
                <w:rFonts w:hint="eastAsia" w:ascii="宋体" w:hAnsi="宋体" w:cs="宋体"/>
                <w:sz w:val="24"/>
                <w:szCs w:val="24"/>
                <w:highlight w:val="white"/>
                <w:lang w:val="zh-CN"/>
              </w:rPr>
              <w:tab/>
              <w:t xml:space="preserve">日</w:t>
            </w:r>
            <w:r>
              <w:rPr>
                <w:highlight w:val="white"/>
              </w:rPr>
            </w:r>
            <w:r/>
          </w:p>
        </w:tc>
      </w:tr>
    </w:tbl>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lang w:val="zh-CN"/>
        </w:rPr>
        <w:br w:type="page" w:clear="all"/>
      </w:r>
      <w:r>
        <w:rPr>
          <w:rFonts w:hint="eastAsia" w:ascii="宋体" w:hAnsi="宋体" w:cs="宋体"/>
          <w:sz w:val="24"/>
          <w:szCs w:val="24"/>
          <w:highlight w:val="white"/>
        </w:rPr>
        <w:t xml:space="preserve">6、企业情况表</w:t>
      </w:r>
      <w:r>
        <w:rPr>
          <w:highlight w:val="white"/>
        </w:rPr>
      </w:r>
      <w:r/>
    </w:p>
    <w:p>
      <w:pPr>
        <w:ind w:firstLine="6370"/>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单位名称（盖章）</w:t>
      </w:r>
      <w:r>
        <w:rPr>
          <w:highlight w:val="white"/>
        </w:rPr>
      </w:r>
      <w:r/>
    </w:p>
    <w:tbl>
      <w:tblPr>
        <w:tblW w:w="98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3077"/>
        <w:gridCol w:w="2005"/>
        <w:gridCol w:w="1461"/>
        <w:gridCol w:w="2056"/>
        <w:gridCol w:w="1236"/>
      </w:tblGrid>
      <w:tr>
        <w:trPr>
          <w:cantSplit/>
          <w:jc w:val="center"/>
        </w:trPr>
        <w:tc>
          <w:tcPr>
            <w:tcW w:w="3077"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法定代表人</w:t>
            </w:r>
            <w:r>
              <w:rPr>
                <w:highlight w:val="white"/>
              </w:rPr>
            </w:r>
            <w:r/>
          </w:p>
        </w:tc>
        <w:tc>
          <w:tcPr>
            <w:tcW w:w="2005"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1461"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成立日期</w:t>
            </w:r>
            <w:r>
              <w:rPr>
                <w:highlight w:val="white"/>
              </w:rPr>
            </w:r>
            <w:r/>
          </w:p>
        </w:tc>
        <w:tc>
          <w:tcPr>
            <w:gridSpan w:val="2"/>
            <w:tcW w:w="3292"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r>
        <w:trPr>
          <w:cantSplit/>
          <w:jc w:val="center"/>
        </w:trPr>
        <w:tc>
          <w:tcPr>
            <w:tcW w:w="3077"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企业地址</w:t>
            </w:r>
            <w:r>
              <w:rPr>
                <w:highlight w:val="white"/>
              </w:rPr>
            </w:r>
            <w:r/>
          </w:p>
        </w:tc>
        <w:tc>
          <w:tcPr>
            <w:tcW w:w="2005"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1461"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注册资本</w:t>
            </w:r>
            <w:r>
              <w:rPr>
                <w:highlight w:val="white"/>
              </w:rPr>
            </w:r>
            <w:r/>
          </w:p>
        </w:tc>
        <w:tc>
          <w:tcPr>
            <w:gridSpan w:val="2"/>
            <w:tcW w:w="3292" w:type="dxa"/>
            <w:textDirection w:val="lrTb"/>
            <w:noWrap w:val="false"/>
          </w:tcPr>
          <w:p>
            <w:pPr>
              <w:ind w:firstLine="2160"/>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万元</w:t>
            </w:r>
            <w:r>
              <w:rPr>
                <w:highlight w:val="white"/>
              </w:rPr>
            </w:r>
            <w:r/>
          </w:p>
        </w:tc>
      </w:tr>
      <w:tr>
        <w:trPr>
          <w:cantSplit/>
          <w:jc w:val="center"/>
        </w:trPr>
        <w:tc>
          <w:tcPr>
            <w:tcW w:w="3077"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经营范围</w:t>
            </w:r>
            <w:r>
              <w:rPr>
                <w:highlight w:val="white"/>
              </w:rPr>
            </w:r>
            <w:r/>
          </w:p>
        </w:tc>
        <w:tc>
          <w:tcPr>
            <w:gridSpan w:val="4"/>
            <w:tcW w:w="6758"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r>
        <w:trPr>
          <w:cantSplit/>
          <w:jc w:val="center"/>
        </w:trPr>
        <w:tc>
          <w:tcPr>
            <w:tcW w:w="3077"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职工人数</w:t>
            </w:r>
            <w:r>
              <w:rPr>
                <w:highlight w:val="white"/>
              </w:rPr>
            </w:r>
            <w:r/>
          </w:p>
        </w:tc>
        <w:tc>
          <w:tcPr>
            <w:tcW w:w="2005"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gridSpan w:val="2"/>
            <w:tcW w:w="3517"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其中：有中高级以上职称的人数</w:t>
            </w:r>
            <w:r>
              <w:rPr>
                <w:highlight w:val="white"/>
              </w:rPr>
            </w:r>
            <w:r/>
          </w:p>
        </w:tc>
        <w:tc>
          <w:tcPr>
            <w:tcW w:w="1236"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r>
        <w:trPr>
          <w:cantSplit/>
          <w:jc w:val="center"/>
        </w:trPr>
        <w:tc>
          <w:tcPr>
            <w:tcW w:w="3077"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资产总计</w:t>
            </w:r>
            <w:r>
              <w:rPr>
                <w:highlight w:val="white"/>
              </w:rPr>
            </w:r>
            <w:r/>
          </w:p>
        </w:tc>
        <w:tc>
          <w:tcPr>
            <w:tcW w:w="2005" w:type="dxa"/>
            <w:vAlign w:val="center"/>
            <w:textDirection w:val="lrTb"/>
            <w:noWrap w:val="false"/>
          </w:tcPr>
          <w:p>
            <w:pPr>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万元</w:t>
            </w:r>
            <w:r>
              <w:rPr>
                <w:highlight w:val="white"/>
              </w:rPr>
            </w:r>
            <w:r/>
          </w:p>
        </w:tc>
        <w:tc>
          <w:tcPr>
            <w:tcW w:w="1461"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净资产</w:t>
            </w:r>
            <w:r>
              <w:rPr>
                <w:highlight w:val="white"/>
              </w:rPr>
            </w:r>
            <w:r/>
          </w:p>
        </w:tc>
        <w:tc>
          <w:tcPr>
            <w:gridSpan w:val="2"/>
            <w:tcW w:w="3292" w:type="dxa"/>
            <w:vAlign w:val="center"/>
            <w:textDirection w:val="lrTb"/>
            <w:noWrap w:val="false"/>
          </w:tcPr>
          <w:p>
            <w:pPr>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万元</w:t>
            </w:r>
            <w:r>
              <w:rPr>
                <w:highlight w:val="white"/>
              </w:rPr>
            </w:r>
            <w:r/>
          </w:p>
        </w:tc>
      </w:tr>
      <w:tr>
        <w:trPr>
          <w:cantSplit/>
          <w:jc w:val="center"/>
        </w:trPr>
        <w:tc>
          <w:tcPr>
            <w:tcW w:w="3077"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股东权益</w:t>
            </w:r>
            <w:r>
              <w:rPr>
                <w:highlight w:val="white"/>
              </w:rPr>
            </w:r>
            <w:r/>
          </w:p>
        </w:tc>
        <w:tc>
          <w:tcPr>
            <w:tcW w:w="2005" w:type="dxa"/>
            <w:vAlign w:val="center"/>
            <w:textDirection w:val="lrTb"/>
            <w:noWrap w:val="false"/>
          </w:tcPr>
          <w:p>
            <w:pPr>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万元</w:t>
            </w:r>
            <w:r>
              <w:rPr>
                <w:highlight w:val="white"/>
              </w:rPr>
            </w:r>
            <w:r/>
          </w:p>
        </w:tc>
        <w:tc>
          <w:tcPr>
            <w:tcW w:w="1461"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销售收入</w:t>
            </w:r>
            <w:r>
              <w:rPr>
                <w:highlight w:val="white"/>
              </w:rPr>
            </w:r>
            <w:r/>
          </w:p>
        </w:tc>
        <w:tc>
          <w:tcPr>
            <w:gridSpan w:val="2"/>
            <w:tcW w:w="3292" w:type="dxa"/>
            <w:vAlign w:val="center"/>
            <w:textDirection w:val="lrTb"/>
            <w:noWrap w:val="false"/>
          </w:tcPr>
          <w:p>
            <w:pPr>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202</w:t>
            </w:r>
            <w:r>
              <w:rPr>
                <w:rFonts w:ascii="宋体" w:hAnsi="宋体" w:cs="宋体"/>
                <w:sz w:val="24"/>
                <w:szCs w:val="24"/>
                <w:highlight w:val="white"/>
              </w:rPr>
              <w:t xml:space="preserve">4</w:t>
            </w:r>
            <w:r>
              <w:rPr>
                <w:rFonts w:hint="eastAsia" w:ascii="宋体" w:hAnsi="宋体" w:cs="宋体"/>
                <w:sz w:val="24"/>
                <w:szCs w:val="24"/>
                <w:highlight w:val="white"/>
              </w:rPr>
              <w:t xml:space="preserve">年          万元</w:t>
            </w:r>
            <w:r>
              <w:rPr>
                <w:highlight w:val="white"/>
              </w:rPr>
            </w:r>
            <w:r/>
          </w:p>
        </w:tc>
      </w:tr>
      <w:tr>
        <w:trPr>
          <w:cantSplit/>
          <w:jc w:val="center"/>
        </w:trPr>
        <w:tc>
          <w:tcPr>
            <w:tcW w:w="3077"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实现利润</w:t>
            </w:r>
            <w:r>
              <w:rPr>
                <w:highlight w:val="white"/>
              </w:rPr>
            </w:r>
            <w:r/>
          </w:p>
        </w:tc>
        <w:tc>
          <w:tcPr>
            <w:tcW w:w="2005" w:type="dxa"/>
            <w:textDirection w:val="lrTb"/>
            <w:noWrap w:val="false"/>
          </w:tcPr>
          <w:p>
            <w:pPr>
              <w:ind w:firstLine="480"/>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年   万元</w:t>
            </w:r>
            <w:r>
              <w:rPr>
                <w:highlight w:val="white"/>
              </w:rPr>
            </w:r>
            <w:r/>
          </w:p>
        </w:tc>
        <w:tc>
          <w:tcPr>
            <w:tcW w:w="1461"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gridSpan w:val="2"/>
            <w:tcW w:w="3292"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r>
        <w:trPr>
          <w:cantSplit/>
          <w:jc w:val="center"/>
        </w:trPr>
        <w:tc>
          <w:tcPr>
            <w:tcW w:w="3077"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营业面积（含厂房面积）</w:t>
            </w:r>
            <w:r>
              <w:rPr>
                <w:highlight w:val="white"/>
              </w:rPr>
            </w:r>
            <w:r/>
          </w:p>
        </w:tc>
        <w:tc>
          <w:tcPr>
            <w:tcW w:w="2005" w:type="dxa"/>
            <w:vAlign w:val="center"/>
            <w:textDirection w:val="lrTb"/>
            <w:noWrap w:val="false"/>
          </w:tcPr>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平方米</w:t>
            </w:r>
            <w:r>
              <w:rPr>
                <w:highlight w:val="white"/>
              </w:rPr>
            </w:r>
            <w:r/>
          </w:p>
        </w:tc>
        <w:tc>
          <w:tcPr>
            <w:tcW w:w="1461"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其中：</w:t>
            </w:r>
            <w:r>
              <w:rPr>
                <w:highlight w:val="white"/>
              </w:rPr>
            </w:r>
            <w:r/>
          </w:p>
        </w:tc>
        <w:tc>
          <w:tcPr>
            <w:gridSpan w:val="2"/>
            <w:tcW w:w="3292"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自有面积         平方米</w:t>
            </w:r>
            <w:r>
              <w:rPr>
                <w:highlight w:val="white"/>
              </w:rPr>
            </w:r>
            <w:r/>
          </w:p>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承租面积         平方米</w:t>
            </w:r>
            <w:r>
              <w:rPr>
                <w:highlight w:val="white"/>
              </w:rPr>
            </w:r>
            <w:r/>
          </w:p>
        </w:tc>
      </w:tr>
      <w:tr>
        <w:trPr>
          <w:cantSplit/>
          <w:jc w:val="center"/>
        </w:trPr>
        <w:tc>
          <w:tcPr>
            <w:tcW w:w="3077"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单位简历及内设机构情况</w:t>
            </w:r>
            <w:r>
              <w:rPr>
                <w:highlight w:val="white"/>
              </w:rPr>
            </w:r>
            <w:r/>
          </w:p>
        </w:tc>
        <w:tc>
          <w:tcPr>
            <w:gridSpan w:val="4"/>
            <w:tcW w:w="6758"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r>
        <w:trPr>
          <w:cantSplit/>
          <w:jc w:val="center"/>
        </w:trPr>
        <w:tc>
          <w:tcPr>
            <w:tcW w:w="3077"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单位优势及特长</w:t>
            </w:r>
            <w:r>
              <w:rPr>
                <w:highlight w:val="white"/>
              </w:rPr>
            </w:r>
            <w:r/>
          </w:p>
        </w:tc>
        <w:tc>
          <w:tcPr>
            <w:gridSpan w:val="4"/>
            <w:tcW w:w="6758"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r>
        <w:trPr>
          <w:cantSplit/>
          <w:jc w:val="center"/>
        </w:trPr>
        <w:tc>
          <w:tcPr>
            <w:tcW w:w="3077"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近三年来完成或正在履行的重大合同情况</w:t>
            </w:r>
            <w:r>
              <w:rPr>
                <w:highlight w:val="white"/>
              </w:rPr>
            </w:r>
            <w:r/>
          </w:p>
        </w:tc>
        <w:tc>
          <w:tcPr>
            <w:gridSpan w:val="4"/>
            <w:tcW w:w="6758"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r>
        <w:trPr>
          <w:cantSplit/>
          <w:jc w:val="center"/>
        </w:trPr>
        <w:tc>
          <w:tcPr>
            <w:tcW w:w="3077"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最近2年内在经营过程中受到何种奖励或处分</w:t>
            </w:r>
            <w:r>
              <w:rPr>
                <w:highlight w:val="white"/>
              </w:rPr>
            </w:r>
            <w:r/>
          </w:p>
        </w:tc>
        <w:tc>
          <w:tcPr>
            <w:gridSpan w:val="4"/>
            <w:tcW w:w="6758"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（包括财政、工商、税务、物价、技监部门稽查情况和结果）</w:t>
            </w:r>
            <w:r>
              <w:rPr>
                <w:highlight w:val="white"/>
              </w:rPr>
            </w:r>
            <w:r/>
          </w:p>
        </w:tc>
      </w:tr>
      <w:tr>
        <w:trPr>
          <w:cantSplit/>
          <w:jc w:val="center"/>
        </w:trPr>
        <w:tc>
          <w:tcPr>
            <w:tcW w:w="3077"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最近3年内有无因售假、售劣或是其他原因被消费者投诉或起诉的情况及说明</w:t>
            </w:r>
            <w:r>
              <w:rPr>
                <w:highlight w:val="white"/>
              </w:rPr>
            </w:r>
            <w:r/>
          </w:p>
        </w:tc>
        <w:tc>
          <w:tcPr>
            <w:gridSpan w:val="4"/>
            <w:tcW w:w="6758"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（包括解决方式和结果）</w:t>
            </w:r>
            <w:r>
              <w:rPr>
                <w:highlight w:val="white"/>
              </w:rPr>
            </w:r>
            <w:r/>
          </w:p>
        </w:tc>
      </w:tr>
      <w:tr>
        <w:trPr>
          <w:cantSplit/>
          <w:jc w:val="center"/>
        </w:trPr>
        <w:tc>
          <w:tcPr>
            <w:tcW w:w="3077"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最近3年内主要负责人有无因经济犯罪被司法机关追究的情况及说明</w:t>
            </w:r>
            <w:r>
              <w:rPr>
                <w:highlight w:val="white"/>
              </w:rPr>
            </w:r>
            <w:r/>
          </w:p>
        </w:tc>
        <w:tc>
          <w:tcPr>
            <w:gridSpan w:val="4"/>
            <w:tcW w:w="6758"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r>
        <w:trPr>
          <w:cantSplit/>
          <w:jc w:val="center"/>
        </w:trPr>
        <w:tc>
          <w:tcPr>
            <w:tcW w:w="3077"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获得技术认证的工程师及简介</w:t>
            </w:r>
            <w:r>
              <w:rPr>
                <w:highlight w:val="white"/>
              </w:rPr>
            </w:r>
            <w:r/>
          </w:p>
        </w:tc>
        <w:tc>
          <w:tcPr>
            <w:gridSpan w:val="4"/>
            <w:tcW w:w="6758"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r>
        <w:trPr>
          <w:cantSplit/>
          <w:jc w:val="center"/>
          <w:trHeight w:val="560"/>
        </w:trPr>
        <w:tc>
          <w:tcPr>
            <w:tcW w:w="3077"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其他需要说明的情况</w:t>
            </w:r>
            <w:r>
              <w:rPr>
                <w:highlight w:val="white"/>
              </w:rPr>
            </w:r>
            <w:r/>
          </w:p>
        </w:tc>
        <w:tc>
          <w:tcPr>
            <w:gridSpan w:val="4"/>
            <w:tcW w:w="6758" w:type="dxa"/>
            <w:textDirection w:val="lrTb"/>
            <w:noWrap w:val="false"/>
          </w:tcPr>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bl>
    <w:p>
      <w:pPr>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jc w:val="left"/>
        <w:keepLines/>
        <w:keepNext/>
        <w:spacing w:line="360" w:lineRule="auto"/>
        <w:rPr>
          <w:rFonts w:hint="eastAsia" w:ascii="宋体" w:hAnsi="宋体" w:cs="宋体"/>
          <w:b/>
          <w:sz w:val="24"/>
          <w:szCs w:val="24"/>
          <w:highlight w:val="white"/>
        </w:rPr>
        <w:outlineLvl w:val="1"/>
      </w:pPr>
      <w:r>
        <w:rPr>
          <w:rFonts w:hint="eastAsia" w:ascii="宋体" w:hAnsi="宋体" w:cs="宋体"/>
          <w:b/>
          <w:sz w:val="24"/>
          <w:szCs w:val="24"/>
          <w:highlight w:val="white"/>
        </w:rPr>
        <w:t xml:space="preserve">7、偏离表</w:t>
      </w:r>
      <w:r>
        <w:rPr>
          <w:highlight w:val="white"/>
        </w:rPr>
      </w:r>
      <w:r/>
    </w:p>
    <w:p>
      <w:pPr>
        <w:jc w:val="left"/>
        <w:spacing w:line="360" w:lineRule="auto"/>
        <w:rPr>
          <w:rFonts w:hint="eastAsia" w:ascii="宋体" w:hAnsi="宋体" w:cs="宋体"/>
          <w:b/>
          <w:sz w:val="24"/>
          <w:szCs w:val="24"/>
          <w:highlight w:val="white"/>
        </w:rPr>
      </w:pPr>
      <w:r>
        <w:rPr>
          <w:rFonts w:hint="eastAsia" w:ascii="宋体" w:hAnsi="宋体" w:cs="宋体"/>
          <w:b/>
          <w:sz w:val="24"/>
          <w:szCs w:val="24"/>
          <w:highlight w:val="white"/>
        </w:rPr>
        <w:t xml:space="preserve">7.1服务要求偏离表</w:t>
      </w:r>
      <w:r>
        <w:rPr>
          <w:highlight w:val="white"/>
        </w:rPr>
      </w:r>
      <w:r/>
    </w:p>
    <w:p>
      <w:pPr>
        <w:jc w:val="center"/>
        <w:spacing w:line="360" w:lineRule="auto"/>
        <w:rPr>
          <w:rFonts w:hint="eastAsia" w:ascii="宋体" w:hAnsi="宋体"/>
          <w:b/>
          <w:sz w:val="24"/>
          <w:szCs w:val="24"/>
          <w:highlight w:val="white"/>
        </w:rPr>
      </w:pPr>
      <w:r>
        <w:rPr>
          <w:rFonts w:hint="eastAsia" w:ascii="宋体" w:hAnsi="宋体"/>
          <w:b/>
          <w:sz w:val="24"/>
          <w:szCs w:val="24"/>
          <w:highlight w:val="white"/>
        </w:rPr>
        <w:t xml:space="preserve">服务要求偏离表</w:t>
      </w:r>
      <w:r>
        <w:rPr>
          <w:highlight w:val="white"/>
        </w:rPr>
      </w:r>
      <w:r/>
    </w:p>
    <w:p>
      <w:pPr>
        <w:ind w:firstLine="720"/>
        <w:spacing w:line="380" w:lineRule="exact"/>
        <w:rPr>
          <w:rFonts w:hint="eastAsia" w:ascii="宋体" w:hAnsi="宋体"/>
          <w:b/>
          <w:spacing w:val="20"/>
          <w:sz w:val="24"/>
          <w:szCs w:val="24"/>
          <w:highlight w:val="white"/>
        </w:rPr>
      </w:pPr>
      <w:r>
        <w:rPr>
          <w:rFonts w:hint="eastAsia" w:ascii="宋体" w:hAnsi="宋体"/>
          <w:sz w:val="24"/>
          <w:szCs w:val="24"/>
          <w:highlight w:val="white"/>
        </w:rPr>
        <w:t xml:space="preserve">供应商</w:t>
      </w:r>
      <w:r>
        <w:rPr>
          <w:rFonts w:hint="eastAsia" w:ascii="宋体" w:hAnsi="宋体"/>
          <w:sz w:val="24"/>
          <w:szCs w:val="24"/>
          <w:highlight w:val="white"/>
          <w:lang w:val="zh-CN"/>
        </w:rPr>
        <w:t xml:space="preserve">：               </w:t>
      </w:r>
      <w:r>
        <w:rPr>
          <w:rFonts w:hint="eastAsia" w:ascii="宋体" w:hAnsi="宋体"/>
          <w:sz w:val="24"/>
          <w:szCs w:val="24"/>
          <w:highlight w:val="white"/>
        </w:rPr>
        <w:t xml:space="preserve">                       </w:t>
      </w:r>
      <w:r>
        <w:rPr>
          <w:rFonts w:hint="eastAsia" w:ascii="宋体" w:hAnsi="宋体"/>
          <w:sz w:val="24"/>
          <w:szCs w:val="24"/>
          <w:highlight w:val="white"/>
          <w:lang w:val="zh-CN"/>
        </w:rPr>
        <w:t xml:space="preserve">采购编号</w:t>
      </w:r>
      <w:r>
        <w:rPr>
          <w:rFonts w:hint="eastAsia" w:ascii="宋体" w:hAnsi="宋体" w:cs="宋体"/>
          <w:sz w:val="24"/>
          <w:szCs w:val="24"/>
          <w:highlight w:val="white"/>
          <w:lang w:val="zh-CN"/>
        </w:rPr>
        <w:t xml:space="preserve">∶</w:t>
      </w:r>
      <w:r>
        <w:rPr>
          <w:highlight w:val="white"/>
        </w:rPr>
      </w:r>
      <w:r/>
    </w:p>
    <w:tbl>
      <w:tblPr>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Height w:val="737"/>
        </w:trPr>
        <w:tc>
          <w:tcPr>
            <w:tcW w:w="9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序号</w:t>
            </w:r>
            <w:r>
              <w:rPr>
                <w:highlight w:val="white"/>
              </w:rPr>
            </w:r>
            <w:r/>
          </w:p>
        </w:tc>
        <w:tc>
          <w:tcPr>
            <w:tcW w:w="1683" w:type="dxa"/>
            <w:vAlign w:val="center"/>
            <w:textDirection w:val="lrTb"/>
            <w:noWrap w:val="false"/>
          </w:tcPr>
          <w:p>
            <w:pPr>
              <w:pStyle w:val="773"/>
              <w:ind w:left="54" w:firstLine="0"/>
              <w:jc w:val="center"/>
              <w:rPr>
                <w:rFonts w:hint="eastAsia" w:ascii="宋体" w:hAnsi="宋体"/>
                <w:sz w:val="24"/>
                <w:szCs w:val="24"/>
                <w:highlight w:val="white"/>
              </w:rPr>
            </w:pPr>
            <w:r>
              <w:rPr>
                <w:rFonts w:hint="eastAsia" w:ascii="宋体" w:hAnsi="宋体"/>
                <w:sz w:val="24"/>
                <w:szCs w:val="24"/>
                <w:highlight w:val="white"/>
              </w:rPr>
              <w:t xml:space="preserve">项目</w:t>
            </w:r>
            <w:r>
              <w:rPr>
                <w:highlight w:val="white"/>
              </w:rPr>
            </w:r>
            <w:r/>
          </w:p>
        </w:tc>
        <w:tc>
          <w:tcPr>
            <w:tcW w:w="2051" w:type="dxa"/>
            <w:vAlign w:val="center"/>
            <w:textDirection w:val="lrTb"/>
            <w:noWrap w:val="false"/>
          </w:tcPr>
          <w:p>
            <w:pPr>
              <w:pStyle w:val="773"/>
              <w:ind w:firstLine="0"/>
              <w:jc w:val="center"/>
              <w:rPr>
                <w:rFonts w:hint="eastAsia" w:ascii="宋体" w:hAnsi="宋体"/>
                <w:sz w:val="24"/>
                <w:szCs w:val="24"/>
                <w:highlight w:val="white"/>
              </w:rPr>
            </w:pPr>
            <w:r>
              <w:rPr>
                <w:rFonts w:hint="eastAsia" w:ascii="宋体" w:hAnsi="宋体"/>
                <w:sz w:val="24"/>
                <w:szCs w:val="24"/>
                <w:highlight w:val="white"/>
              </w:rPr>
              <w:t xml:space="preserve">采购</w:t>
            </w:r>
            <w:r>
              <w:rPr>
                <w:rFonts w:ascii="宋体" w:hAnsi="宋体"/>
                <w:sz w:val="24"/>
                <w:szCs w:val="24"/>
                <w:highlight w:val="white"/>
              </w:rPr>
              <w:t xml:space="preserve">要求</w:t>
            </w:r>
            <w:r>
              <w:rPr>
                <w:highlight w:val="white"/>
              </w:rPr>
            </w:r>
            <w:r/>
          </w:p>
        </w:tc>
        <w:tc>
          <w:tcPr>
            <w:tcW w:w="2052" w:type="dxa"/>
            <w:vAlign w:val="center"/>
            <w:textDirection w:val="lrTb"/>
            <w:noWrap w:val="false"/>
          </w:tcPr>
          <w:p>
            <w:pPr>
              <w:pStyle w:val="773"/>
              <w:ind w:firstLine="0"/>
              <w:jc w:val="center"/>
              <w:rPr>
                <w:rFonts w:hint="eastAsia" w:ascii="宋体" w:hAnsi="宋体"/>
                <w:sz w:val="24"/>
                <w:szCs w:val="24"/>
                <w:highlight w:val="white"/>
              </w:rPr>
            </w:pPr>
            <w:r>
              <w:rPr>
                <w:rFonts w:hint="eastAsia" w:ascii="宋体" w:hAnsi="宋体"/>
                <w:sz w:val="24"/>
                <w:szCs w:val="24"/>
                <w:highlight w:val="white"/>
              </w:rPr>
              <w:t xml:space="preserve">响应情况</w:t>
            </w:r>
            <w:r>
              <w:rPr>
                <w:highlight w:val="white"/>
              </w:rPr>
            </w:r>
            <w:r/>
          </w:p>
        </w:tc>
        <w:tc>
          <w:tcPr>
            <w:tcW w:w="2052" w:type="dxa"/>
            <w:vAlign w:val="center"/>
            <w:textDirection w:val="lrTb"/>
            <w:noWrap w:val="false"/>
          </w:tcPr>
          <w:p>
            <w:pPr>
              <w:pStyle w:val="773"/>
              <w:ind w:firstLine="0"/>
              <w:jc w:val="center"/>
              <w:rPr>
                <w:rFonts w:hint="eastAsia" w:ascii="宋体" w:hAnsi="宋体"/>
                <w:sz w:val="24"/>
                <w:szCs w:val="24"/>
                <w:highlight w:val="white"/>
              </w:rPr>
            </w:pPr>
            <w:r>
              <w:rPr>
                <w:rFonts w:ascii="宋体" w:hAnsi="宋体"/>
                <w:sz w:val="24"/>
                <w:szCs w:val="24"/>
                <w:highlight w:val="white"/>
              </w:rPr>
              <w:t xml:space="preserve">偏离说明</w:t>
            </w:r>
            <w:r>
              <w:rPr>
                <w:highlight w:val="white"/>
              </w:rPr>
            </w:r>
            <w:r/>
          </w:p>
        </w:tc>
      </w:tr>
      <w:tr>
        <w:trPr>
          <w:jc w:val="center"/>
          <w:trHeight w:val="737"/>
        </w:trPr>
        <w:tc>
          <w:tcPr>
            <w:tcW w:w="9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1</w:t>
            </w:r>
            <w:r>
              <w:rPr>
                <w:highlight w:val="white"/>
              </w:rPr>
            </w:r>
            <w:r/>
          </w:p>
        </w:tc>
        <w:tc>
          <w:tcPr>
            <w:tcW w:w="1683" w:type="dxa"/>
            <w:vAlign w:val="center"/>
            <w:textDirection w:val="lrTb"/>
            <w:noWrap w:val="false"/>
          </w:tcPr>
          <w:p>
            <w:pPr>
              <w:pStyle w:val="773"/>
              <w:ind w:firstLine="799"/>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051" w:type="dxa"/>
            <w:vAlign w:val="center"/>
            <w:textDirection w:val="lrTb"/>
            <w:noWrap w:val="false"/>
          </w:tcPr>
          <w:p>
            <w:pPr>
              <w:pStyle w:val="773"/>
              <w:ind w:firstLine="799"/>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052" w:type="dxa"/>
            <w:vAlign w:val="center"/>
            <w:textDirection w:val="lrTb"/>
            <w:noWrap w:val="false"/>
          </w:tcPr>
          <w:p>
            <w:pPr>
              <w:pStyle w:val="773"/>
              <w:ind w:firstLine="799"/>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052" w:type="dxa"/>
            <w:vAlign w:val="center"/>
            <w:textDirection w:val="lrTb"/>
            <w:noWrap w:val="false"/>
          </w:tcPr>
          <w:p>
            <w:pPr>
              <w:pStyle w:val="773"/>
              <w:ind w:firstLine="799"/>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jc w:val="center"/>
          <w:trHeight w:val="737"/>
        </w:trPr>
        <w:tc>
          <w:tcPr>
            <w:tcW w:w="9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2</w:t>
            </w:r>
            <w:r>
              <w:rPr>
                <w:highlight w:val="white"/>
              </w:rPr>
            </w:r>
            <w:r/>
          </w:p>
        </w:tc>
        <w:tc>
          <w:tcPr>
            <w:tcW w:w="1683" w:type="dxa"/>
            <w:vAlign w:val="center"/>
            <w:textDirection w:val="lrTb"/>
            <w:noWrap w:val="false"/>
          </w:tcPr>
          <w:p>
            <w:pPr>
              <w:pStyle w:val="773"/>
              <w:ind w:firstLine="799"/>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051" w:type="dxa"/>
            <w:vAlign w:val="center"/>
            <w:textDirection w:val="lrTb"/>
            <w:noWrap w:val="false"/>
          </w:tcPr>
          <w:p>
            <w:pPr>
              <w:pStyle w:val="773"/>
              <w:ind w:firstLine="799"/>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052" w:type="dxa"/>
            <w:vAlign w:val="center"/>
            <w:textDirection w:val="lrTb"/>
            <w:noWrap w:val="false"/>
          </w:tcPr>
          <w:p>
            <w:pPr>
              <w:pStyle w:val="773"/>
              <w:ind w:firstLine="799"/>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052" w:type="dxa"/>
            <w:vAlign w:val="center"/>
            <w:textDirection w:val="lrTb"/>
            <w:noWrap w:val="false"/>
          </w:tcPr>
          <w:p>
            <w:pPr>
              <w:pStyle w:val="773"/>
              <w:ind w:firstLine="799"/>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jc w:val="center"/>
          <w:trHeight w:val="737"/>
        </w:trPr>
        <w:tc>
          <w:tcPr>
            <w:tcW w:w="9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w:t>
            </w:r>
            <w:r>
              <w:rPr>
                <w:highlight w:val="white"/>
              </w:rPr>
            </w:r>
            <w:r/>
          </w:p>
        </w:tc>
        <w:tc>
          <w:tcPr>
            <w:tcW w:w="1683" w:type="dxa"/>
            <w:vAlign w:val="center"/>
            <w:textDirection w:val="lrTb"/>
            <w:noWrap w:val="false"/>
          </w:tcPr>
          <w:p>
            <w:pPr>
              <w:pStyle w:val="773"/>
              <w:ind w:firstLine="799"/>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051" w:type="dxa"/>
            <w:vAlign w:val="center"/>
            <w:textDirection w:val="lrTb"/>
            <w:noWrap w:val="false"/>
          </w:tcPr>
          <w:p>
            <w:pPr>
              <w:pStyle w:val="773"/>
              <w:ind w:firstLine="799"/>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052" w:type="dxa"/>
            <w:vAlign w:val="center"/>
            <w:textDirection w:val="lrTb"/>
            <w:noWrap w:val="false"/>
          </w:tcPr>
          <w:p>
            <w:pPr>
              <w:pStyle w:val="773"/>
              <w:ind w:firstLine="799"/>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052" w:type="dxa"/>
            <w:vAlign w:val="center"/>
            <w:textDirection w:val="lrTb"/>
            <w:noWrap w:val="false"/>
          </w:tcPr>
          <w:p>
            <w:pPr>
              <w:pStyle w:val="773"/>
              <w:ind w:firstLine="799"/>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bl>
    <w:p>
      <w:pPr>
        <w:spacing w:line="360" w:lineRule="auto"/>
        <w:rPr>
          <w:rFonts w:hint="eastAsia" w:ascii="宋体" w:hAnsi="宋体" w:cs="宋体"/>
          <w:bCs/>
          <w:sz w:val="32"/>
          <w:szCs w:val="32"/>
          <w:highlight w:val="white"/>
        </w:rPr>
      </w:pPr>
      <w:r>
        <w:rPr>
          <w:rFonts w:hint="eastAsia" w:ascii="宋体" w:hAnsi="宋体" w:cs="宋体"/>
          <w:bCs/>
          <w:sz w:val="32"/>
          <w:szCs w:val="32"/>
          <w:highlight w:val="white"/>
        </w:rPr>
      </w:r>
      <w:r>
        <w:rPr>
          <w:highlight w:val="white"/>
        </w:rPr>
      </w:r>
      <w:r/>
    </w:p>
    <w:p>
      <w:pPr>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注：1、投标人应对照招标文件技术要求等要求，所投标的物与招标文件的规定有偏离的，应在此表中申明与技术要求条文的偏差和例外。</w:t>
      </w:r>
      <w:r>
        <w:rPr>
          <w:highlight w:val="white"/>
        </w:rPr>
      </w:r>
      <w:r/>
    </w:p>
    <w:p>
      <w:pPr>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    2、未在上表中说明的，如在响应文件其他内容中已有文字说明的，则以已有文字说明为准，否则，将被认为完全响应招标文件的规定。但该表不作为投标人对所投标的物关于技术要求等详细描述和说明的替代。</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投标单位：（单位盖章）</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法定代表人或代理人：（签字或盖章）</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日期：         年         月       日</w:t>
      </w:r>
      <w:r>
        <w:rPr>
          <w:highlight w:val="white"/>
        </w:rPr>
      </w:r>
      <w:r/>
    </w:p>
    <w:p>
      <w:pPr>
        <w:spacing w:line="360" w:lineRule="auto"/>
        <w:rPr>
          <w:rFonts w:hint="eastAsia" w:ascii="宋体" w:hAnsi="宋体" w:cs="宋体"/>
          <w:b/>
          <w:sz w:val="24"/>
          <w:szCs w:val="24"/>
          <w:highlight w:val="white"/>
        </w:rPr>
      </w:pPr>
      <w:r>
        <w:rPr>
          <w:rFonts w:hint="eastAsia" w:ascii="宋体" w:hAnsi="宋体" w:cs="宋体"/>
          <w:sz w:val="24"/>
          <w:szCs w:val="24"/>
          <w:highlight w:val="white"/>
        </w:rPr>
        <w:br w:type="page" w:clear="all"/>
      </w:r>
      <w:r>
        <w:rPr>
          <w:rFonts w:hint="eastAsia" w:ascii="宋体" w:hAnsi="宋体" w:cs="宋体"/>
          <w:b/>
          <w:sz w:val="24"/>
          <w:szCs w:val="24"/>
          <w:highlight w:val="white"/>
        </w:rPr>
        <w:t xml:space="preserve">7.2、商务条款偏离表</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单位名称（盖章）：</w:t>
      </w:r>
      <w:r>
        <w:rPr>
          <w:highlight w:val="white"/>
        </w:rPr>
      </w: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t xml:space="preserve">序号</w:t>
            </w:r>
            <w:r>
              <w:rPr>
                <w:highlight w:val="white"/>
              </w:rPr>
            </w:r>
            <w:r/>
          </w:p>
        </w:tc>
        <w:tc>
          <w:tcPr>
            <w:tcW w:w="1920" w:type="dxa"/>
            <w:textDirection w:val="lrTb"/>
            <w:noWrap w:val="false"/>
          </w:tcPr>
          <w:p>
            <w:pPr>
              <w:jc w:val="cente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t xml:space="preserve">招标文件条目号</w:t>
            </w:r>
            <w:r>
              <w:rPr>
                <w:highlight w:val="white"/>
              </w:rPr>
            </w:r>
            <w:r/>
          </w:p>
        </w:tc>
        <w:tc>
          <w:tcPr>
            <w:tcW w:w="2400" w:type="dxa"/>
            <w:textDirection w:val="lrTb"/>
            <w:noWrap w:val="false"/>
          </w:tcPr>
          <w:p>
            <w:pPr>
              <w:jc w:val="cente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t xml:space="preserve">招标文件的商务条款</w:t>
            </w:r>
            <w:r>
              <w:rPr>
                <w:highlight w:val="white"/>
              </w:rPr>
            </w:r>
            <w:r/>
          </w:p>
        </w:tc>
        <w:tc>
          <w:tcPr>
            <w:tcW w:w="2400" w:type="dxa"/>
            <w:textDirection w:val="lrTb"/>
            <w:noWrap w:val="false"/>
          </w:tcPr>
          <w:p>
            <w:pPr>
              <w:jc w:val="cente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t xml:space="preserve">投标文件的商务条款</w:t>
            </w:r>
            <w:r>
              <w:rPr>
                <w:highlight w:val="white"/>
              </w:rPr>
            </w:r>
            <w:r/>
          </w:p>
        </w:tc>
        <w:tc>
          <w:tcPr>
            <w:tcW w:w="1097" w:type="dxa"/>
            <w:textDirection w:val="lrTb"/>
            <w:noWrap w:val="false"/>
          </w:tcPr>
          <w:p>
            <w:pPr>
              <w:jc w:val="cente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t xml:space="preserve">说明</w:t>
            </w:r>
            <w:r>
              <w:rPr>
                <w:highlight w:val="white"/>
              </w:rPr>
            </w:r>
            <w:r/>
          </w:p>
        </w:tc>
      </w:tr>
      <w:tr>
        <w:trPr>
          <w:jc w:val="center"/>
        </w:trPr>
        <w:tc>
          <w:tcPr>
            <w:tcW w:w="708"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t xml:space="preserve">1</w:t>
            </w:r>
            <w:r>
              <w:rPr>
                <w:highlight w:val="white"/>
              </w:rPr>
            </w:r>
            <w:r/>
          </w:p>
        </w:tc>
        <w:tc>
          <w:tcPr>
            <w:tcW w:w="1920" w:type="dxa"/>
            <w:vAlign w:val="center"/>
            <w:textDirection w:val="lrTb"/>
            <w:noWrap w:val="false"/>
          </w:tcPr>
          <w:p>
            <w:pPr>
              <w:jc w:val="cente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lang w:val="zh-CN"/>
              </w:rPr>
              <w:t xml:space="preserve">服务期限</w:t>
            </w:r>
            <w:r>
              <w:rPr>
                <w:highlight w:val="white"/>
              </w:rPr>
            </w:r>
            <w:r/>
          </w:p>
        </w:tc>
        <w:tc>
          <w:tcPr>
            <w:tcW w:w="2400"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2400"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1097"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r>
        <w:trPr>
          <w:jc w:val="center"/>
        </w:trPr>
        <w:tc>
          <w:tcPr>
            <w:tcW w:w="708"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t xml:space="preserve">2</w:t>
            </w:r>
            <w:r>
              <w:rPr>
                <w:highlight w:val="white"/>
              </w:rPr>
            </w:r>
            <w:r/>
          </w:p>
        </w:tc>
        <w:tc>
          <w:tcPr>
            <w:tcW w:w="1920" w:type="dxa"/>
            <w:vAlign w:val="center"/>
            <w:textDirection w:val="lrTb"/>
            <w:noWrap w:val="false"/>
          </w:tcPr>
          <w:p>
            <w:pPr>
              <w:jc w:val="cente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lang w:val="zh-CN"/>
              </w:rPr>
              <w:t xml:space="preserve">付款方式</w:t>
            </w:r>
            <w:r>
              <w:rPr>
                <w:highlight w:val="white"/>
              </w:rPr>
            </w:r>
            <w:r/>
          </w:p>
        </w:tc>
        <w:tc>
          <w:tcPr>
            <w:tcW w:w="2400"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2400"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1097"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r>
        <w:trPr>
          <w:jc w:val="center"/>
        </w:trPr>
        <w:tc>
          <w:tcPr>
            <w:tcW w:w="708"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t xml:space="preserve">3</w:t>
            </w:r>
            <w:r>
              <w:rPr>
                <w:highlight w:val="white"/>
              </w:rPr>
            </w:r>
            <w:r/>
          </w:p>
        </w:tc>
        <w:tc>
          <w:tcPr>
            <w:tcW w:w="1920" w:type="dxa"/>
            <w:vAlign w:val="center"/>
            <w:textDirection w:val="lrTb"/>
            <w:noWrap w:val="false"/>
          </w:tcPr>
          <w:p>
            <w:pPr>
              <w:jc w:val="cente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t xml:space="preserve">服务地点</w:t>
            </w:r>
            <w:r>
              <w:rPr>
                <w:highlight w:val="white"/>
              </w:rPr>
            </w:r>
            <w:r/>
          </w:p>
        </w:tc>
        <w:tc>
          <w:tcPr>
            <w:tcW w:w="2400"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2400"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1097"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r>
        <w:trPr>
          <w:jc w:val="center"/>
        </w:trPr>
        <w:tc>
          <w:tcPr>
            <w:tcW w:w="708"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1920" w:type="dxa"/>
            <w:vAlign w:val="center"/>
            <w:textDirection w:val="lrTb"/>
            <w:noWrap w:val="false"/>
          </w:tcPr>
          <w:p>
            <w:pPr>
              <w:jc w:val="cente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t xml:space="preserve">……</w:t>
            </w:r>
            <w:r>
              <w:rPr>
                <w:highlight w:val="white"/>
              </w:rPr>
            </w:r>
            <w:r/>
          </w:p>
        </w:tc>
        <w:tc>
          <w:tcPr>
            <w:tcW w:w="2400"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2400"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1097"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r>
        <w:trPr>
          <w:jc w:val="center"/>
        </w:trPr>
        <w:tc>
          <w:tcPr>
            <w:tcW w:w="708"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1920" w:type="dxa"/>
            <w:vAlign w:val="center"/>
            <w:textDirection w:val="lrTb"/>
            <w:noWrap w:val="false"/>
          </w:tcPr>
          <w:p>
            <w:pPr>
              <w:jc w:val="cente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lang w:val="zh-CN"/>
              </w:rPr>
              <w:t xml:space="preserve">其他商务要求</w:t>
            </w:r>
            <w:r>
              <w:rPr>
                <w:highlight w:val="white"/>
              </w:rPr>
            </w:r>
            <w:r/>
          </w:p>
        </w:tc>
        <w:tc>
          <w:tcPr>
            <w:tcW w:w="2400"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2400"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c>
          <w:tcPr>
            <w:tcW w:w="1097" w:type="dxa"/>
            <w:textDirection w:val="lrTb"/>
            <w:noWrap w:val="false"/>
          </w:tcPr>
          <w:p>
            <w:pPr>
              <w:spacing w:before="240" w:after="240"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tc>
      </w:tr>
    </w:tbl>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投标单位：（单位盖章）</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法定代表人或代理人：（签字或盖章）</w:t>
      </w:r>
      <w:r>
        <w:rPr>
          <w:highlight w:val="white"/>
        </w:rPr>
      </w:r>
      <w:r/>
    </w:p>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日期：         年         月       日</w:t>
      </w:r>
      <w:r>
        <w:rPr>
          <w:highlight w:val="white"/>
        </w:rPr>
      </w:r>
      <w:r/>
    </w:p>
    <w:p>
      <w:pPr>
        <w:spacing w:line="360" w:lineRule="auto"/>
        <w:rPr>
          <w:rFonts w:hint="eastAsia" w:ascii="宋体" w:hAnsi="宋体" w:cs="宋体"/>
          <w:b/>
          <w:sz w:val="24"/>
          <w:szCs w:val="24"/>
          <w:highlight w:val="white"/>
        </w:rPr>
      </w:pPr>
      <w:r>
        <w:rPr>
          <w:rFonts w:hint="eastAsia" w:ascii="宋体" w:hAnsi="宋体" w:cs="宋体"/>
          <w:b/>
          <w:sz w:val="24"/>
          <w:szCs w:val="24"/>
          <w:highlight w:val="white"/>
        </w:rPr>
      </w:r>
      <w:r>
        <w:rPr>
          <w:highlight w:val="white"/>
        </w:rPr>
      </w:r>
      <w:r/>
    </w:p>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spacing w:line="360" w:lineRule="auto"/>
        <w:rPr>
          <w:rFonts w:hint="eastAsia" w:ascii="宋体" w:hAnsi="宋体" w:cs="宋体"/>
          <w:b/>
          <w:sz w:val="24"/>
          <w:szCs w:val="24"/>
          <w:highlight w:val="white"/>
        </w:rPr>
      </w:pPr>
      <w:r>
        <w:rPr>
          <w:rFonts w:hint="eastAsia" w:ascii="宋体" w:hAnsi="宋体" w:cs="宋体"/>
          <w:b/>
          <w:sz w:val="24"/>
          <w:szCs w:val="24"/>
          <w:highlight w:val="white"/>
        </w:rPr>
        <w:br w:type="page" w:clear="all"/>
      </w:r>
      <w:r>
        <w:rPr>
          <w:rFonts w:hint="eastAsia" w:ascii="宋体" w:hAnsi="宋体" w:cs="宋体"/>
          <w:b/>
          <w:sz w:val="24"/>
          <w:szCs w:val="24"/>
          <w:highlight w:val="white"/>
        </w:rPr>
        <w:t xml:space="preserve">8、项目服务人员配置表</w:t>
      </w:r>
      <w:r>
        <w:rPr>
          <w:highlight w:val="white"/>
        </w:rPr>
      </w:r>
      <w:r/>
    </w:p>
    <w:p>
      <w:pPr>
        <w:jc w:val="center"/>
        <w:rPr>
          <w:rFonts w:hint="eastAsia" w:ascii="宋体" w:hAnsi="宋体"/>
          <w:b/>
          <w:bCs/>
          <w:sz w:val="24"/>
          <w:szCs w:val="24"/>
          <w:highlight w:val="white"/>
        </w:rPr>
      </w:pPr>
      <w:r>
        <w:rPr>
          <w:rFonts w:hint="eastAsia" w:ascii="宋体" w:hAnsi="宋体"/>
          <w:b/>
          <w:bCs/>
          <w:sz w:val="24"/>
          <w:szCs w:val="24"/>
          <w:highlight w:val="white"/>
        </w:rPr>
        <w:t xml:space="preserve">项目服务人员配置表</w:t>
      </w:r>
      <w:r>
        <w:rPr>
          <w:highlight w:val="white"/>
        </w:rPr>
      </w:r>
      <w:r/>
    </w:p>
    <w:p>
      <w:pPr>
        <w:pStyle w:val="799"/>
        <w:ind w:left="400"/>
        <w:rPr>
          <w:highlight w:val="white"/>
        </w:rPr>
      </w:pPr>
      <w:r>
        <w:rPr>
          <w:highlight w:val="white"/>
        </w:rPr>
      </w:r>
      <w:r>
        <w:rPr>
          <w:highlight w:val="white"/>
        </w:rPr>
      </w:r>
      <w:r/>
    </w:p>
    <w:tbl>
      <w:tblPr>
        <w:tblW w:w="9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5"/>
        <w:gridCol w:w="2079"/>
        <w:gridCol w:w="1558"/>
        <w:gridCol w:w="1133"/>
        <w:gridCol w:w="1133"/>
        <w:gridCol w:w="1275"/>
        <w:gridCol w:w="991"/>
        <w:gridCol w:w="991"/>
      </w:tblGrid>
      <w:tr>
        <w:trPr>
          <w:jc w:val="center"/>
          <w:trHeight w:val="760"/>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szCs w:val="21"/>
                <w:highlight w:val="white"/>
              </w:rPr>
            </w:pPr>
            <w:r>
              <w:rPr>
                <w:rFonts w:hint="eastAsia" w:ascii="宋体" w:hAnsi="宋体" w:cs="宋体"/>
                <w:szCs w:val="21"/>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rPr>
                <w:rFonts w:hint="eastAsia" w:ascii="宋体" w:hAnsi="宋体" w:cs="宋体"/>
                <w:szCs w:val="21"/>
                <w:highlight w:val="white"/>
              </w:rPr>
            </w:pPr>
            <w:r>
              <w:rPr>
                <w:rFonts w:hint="eastAsia" w:ascii="宋体" w:hAnsi="宋体" w:cs="宋体"/>
                <w:szCs w:val="21"/>
                <w:highlight w:val="white"/>
              </w:rPr>
              <w:t xml:space="preserve">岗位</w:t>
            </w:r>
            <w:r>
              <w:rPr>
                <w:highlight w:val="whit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hint="eastAsia" w:ascii="宋体" w:hAnsi="宋体" w:cs="宋体"/>
                <w:szCs w:val="21"/>
                <w:highlight w:val="white"/>
              </w:rPr>
            </w:pPr>
            <w:r>
              <w:rPr>
                <w:rFonts w:hint="eastAsia" w:ascii="宋体" w:hAnsi="宋体" w:cs="宋体"/>
                <w:szCs w:val="21"/>
                <w:highlight w:val="white"/>
              </w:rPr>
              <w:t xml:space="preserve">姓名</w:t>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cs="宋体"/>
                <w:szCs w:val="21"/>
                <w:highlight w:val="white"/>
              </w:rPr>
            </w:pPr>
            <w:r>
              <w:rPr>
                <w:rFonts w:hint="eastAsia" w:ascii="宋体" w:hAnsi="宋体" w:cs="宋体"/>
                <w:szCs w:val="21"/>
                <w:highlight w:val="white"/>
              </w:rPr>
              <w:t xml:space="preserve">性别</w:t>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cs="宋体"/>
                <w:szCs w:val="21"/>
                <w:highlight w:val="white"/>
              </w:rPr>
            </w:pPr>
            <w:r>
              <w:rPr>
                <w:rFonts w:hint="eastAsia" w:ascii="宋体" w:hAnsi="宋体" w:cs="宋体"/>
                <w:szCs w:val="21"/>
                <w:highlight w:val="white"/>
              </w:rPr>
              <w:t xml:space="preserve">年龄</w:t>
            </w:r>
            <w:r>
              <w:rPr>
                <w:highlight w:val="whit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hint="eastAsia" w:ascii="宋体" w:hAnsi="宋体" w:cs="宋体"/>
                <w:szCs w:val="21"/>
                <w:highlight w:val="white"/>
              </w:rPr>
            </w:pPr>
            <w:r>
              <w:rPr>
                <w:rFonts w:hint="eastAsia" w:ascii="宋体" w:hAnsi="宋体" w:cs="宋体"/>
                <w:szCs w:val="21"/>
                <w:highlight w:val="white"/>
              </w:rPr>
              <w:t xml:space="preserve">学历</w:t>
            </w:r>
            <w:r>
              <w:rPr>
                <w:highlight w:val="whit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hint="eastAsia" w:ascii="宋体" w:hAnsi="宋体" w:cs="宋体"/>
                <w:szCs w:val="21"/>
                <w:highlight w:val="white"/>
              </w:rPr>
            </w:pPr>
            <w:r>
              <w:rPr>
                <w:rFonts w:hint="eastAsia" w:ascii="宋体" w:hAnsi="宋体" w:cs="宋体"/>
                <w:szCs w:val="21"/>
                <w:highlight w:val="white"/>
              </w:rPr>
              <w:t xml:space="preserve">职称</w:t>
            </w:r>
            <w:r>
              <w:rPr>
                <w:highlight w:val="whit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hint="eastAsia" w:ascii="宋体" w:hAnsi="宋体" w:cs="宋体"/>
                <w:szCs w:val="21"/>
                <w:highlight w:val="white"/>
              </w:rPr>
            </w:pPr>
            <w:r>
              <w:rPr>
                <w:rFonts w:hint="eastAsia" w:ascii="宋体" w:hAnsi="宋体" w:cs="宋体"/>
                <w:szCs w:val="21"/>
                <w:highlight w:val="white"/>
              </w:rPr>
              <w:t xml:space="preserve">备注</w:t>
            </w:r>
            <w:r>
              <w:rPr>
                <w:highlight w:val="whit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t xml:space="preserve">1</w:t>
            </w:r>
            <w:r>
              <w:rPr>
                <w:highlight w:val="whit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t xml:space="preserve">2</w:t>
            </w:r>
            <w:r>
              <w:rPr>
                <w:highlight w:val="whit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t xml:space="preserve">3</w:t>
            </w:r>
            <w:r>
              <w:rPr>
                <w:highlight w:val="whit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t xml:space="preserve">4</w:t>
            </w:r>
            <w:r>
              <w:rPr>
                <w:highlight w:val="whit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t xml:space="preserve">5</w:t>
            </w:r>
            <w:r>
              <w:rPr>
                <w:highlight w:val="whit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t xml:space="preserve">6</w:t>
            </w:r>
            <w:r>
              <w:rPr>
                <w:highlight w:val="whit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t xml:space="preserve">7</w:t>
            </w:r>
            <w:r>
              <w:rPr>
                <w:highlight w:val="whit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r>
    </w:tbl>
    <w:p>
      <w:pPr>
        <w:jc w:val="left"/>
        <w:spacing w:line="360" w:lineRule="auto"/>
        <w:rPr>
          <w:rFonts w:ascii="Times New Roman" w:hAnsi="Times New Roman"/>
          <w:sz w:val="24"/>
          <w:szCs w:val="24"/>
          <w:highlight w:val="white"/>
        </w:rPr>
      </w:pPr>
      <w:r>
        <w:rPr>
          <w:rFonts w:hint="eastAsia" w:ascii="宋体" w:hAnsi="宋体"/>
          <w:sz w:val="24"/>
          <w:szCs w:val="24"/>
          <w:highlight w:val="white"/>
        </w:rPr>
        <w:t xml:space="preserve">注：</w:t>
      </w:r>
      <w:r>
        <w:rPr>
          <w:rFonts w:hint="eastAsia" w:ascii="Times New Roman" w:hAnsi="Times New Roman"/>
          <w:sz w:val="24"/>
          <w:szCs w:val="24"/>
          <w:highlight w:val="white"/>
        </w:rPr>
        <w:t xml:space="preserve">若事项较多，供应商可根据实际情况另纸说明。</w:t>
      </w:r>
      <w:r>
        <w:rPr>
          <w:highlight w:val="white"/>
        </w:rPr>
      </w:r>
      <w:r/>
    </w:p>
    <w:p>
      <w:pPr>
        <w:ind w:firstLine="480"/>
        <w:jc w:val="left"/>
        <w:spacing w:line="360" w:lineRule="auto"/>
        <w:rPr>
          <w:rFonts w:hint="eastAsia" w:ascii="Times New Roman" w:hAnsi="宋体"/>
          <w:sz w:val="24"/>
          <w:szCs w:val="24"/>
          <w:highlight w:val="white"/>
        </w:rPr>
      </w:pPr>
      <w:r>
        <w:rPr>
          <w:rFonts w:hint="eastAsia" w:ascii="Times New Roman" w:hAnsi="宋体"/>
          <w:sz w:val="24"/>
          <w:szCs w:val="24"/>
          <w:highlight w:val="white"/>
        </w:rPr>
      </w:r>
      <w:r>
        <w:rPr>
          <w:highlight w:val="white"/>
        </w:rPr>
      </w:r>
      <w:r/>
    </w:p>
    <w:p>
      <w:pPr>
        <w:ind w:right="-200"/>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供应商名称</w:t>
      </w:r>
      <w:r>
        <w:rPr>
          <w:rFonts w:hint="eastAsia" w:ascii="宋体" w:hAnsi="宋体"/>
          <w:sz w:val="24"/>
          <w:szCs w:val="24"/>
          <w:highlight w:val="white"/>
        </w:rPr>
        <w:t xml:space="preserve">：（公章）</w:t>
      </w:r>
      <w:r>
        <w:rPr>
          <w:rFonts w:hint="eastAsia" w:ascii="宋体" w:hAnsi="宋体" w:cs="宋体"/>
          <w:sz w:val="24"/>
          <w:szCs w:val="24"/>
          <w:highlight w:val="white"/>
          <w:lang w:val="zh-CN"/>
        </w:rPr>
        <w:t xml:space="preserve"> </w:t>
      </w:r>
      <w:r>
        <w:rPr>
          <w:highlight w:val="white"/>
        </w:rPr>
      </w:r>
      <w:r/>
    </w:p>
    <w:p>
      <w:pPr>
        <w:ind w:firstLine="210"/>
        <w:jc w:val="righ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w:t>
      </w:r>
      <w:r>
        <w:rPr>
          <w:rFonts w:hint="eastAsia" w:ascii="宋体" w:hAnsi="宋体" w:cs="宋体"/>
          <w:sz w:val="24"/>
          <w:szCs w:val="24"/>
          <w:highlight w:val="white"/>
          <w:lang w:val="zh-CN"/>
        </w:rPr>
        <w:t xml:space="preserve">法定代表人或</w:t>
      </w:r>
      <w:r>
        <w:rPr>
          <w:rFonts w:hint="eastAsia" w:ascii="宋体" w:hAnsi="宋体" w:cs="宋体"/>
          <w:sz w:val="24"/>
          <w:szCs w:val="24"/>
          <w:highlight w:val="white"/>
        </w:rPr>
        <w:t xml:space="preserve">被授权</w:t>
      </w:r>
      <w:r>
        <w:rPr>
          <w:rFonts w:hint="eastAsia" w:ascii="宋体" w:hAnsi="宋体" w:cs="宋体"/>
          <w:sz w:val="24"/>
          <w:szCs w:val="24"/>
          <w:highlight w:val="white"/>
          <w:lang w:val="zh-CN"/>
        </w:rPr>
        <w:t xml:space="preserve">人：（签字或盖章）</w:t>
      </w:r>
      <w:r>
        <w:rPr>
          <w:highlight w:val="white"/>
        </w:rPr>
      </w:r>
      <w:r/>
    </w:p>
    <w:p>
      <w:pPr>
        <w:ind w:right="615" w:firstLine="840"/>
        <w:jc w:val="right"/>
        <w:spacing w:line="40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 日    期：     年</w:t>
      </w:r>
      <w:r>
        <w:rPr>
          <w:rFonts w:hint="eastAsia" w:ascii="宋体" w:hAnsi="宋体" w:cs="宋体"/>
          <w:sz w:val="24"/>
          <w:szCs w:val="24"/>
          <w:highlight w:val="white"/>
        </w:rPr>
        <w:t xml:space="preserve">     </w:t>
      </w:r>
      <w:r>
        <w:rPr>
          <w:rFonts w:hint="eastAsia" w:ascii="宋体" w:hAnsi="宋体" w:cs="宋体"/>
          <w:sz w:val="24"/>
          <w:szCs w:val="24"/>
          <w:highlight w:val="white"/>
          <w:lang w:val="zh-CN"/>
        </w:rPr>
        <w:t xml:space="preserve">月   </w:t>
      </w:r>
      <w:r>
        <w:rPr>
          <w:rFonts w:hint="eastAsia" w:ascii="宋体" w:hAnsi="宋体" w:cs="宋体"/>
          <w:sz w:val="24"/>
          <w:szCs w:val="24"/>
          <w:highlight w:val="white"/>
        </w:rPr>
        <w:t xml:space="preserve"> </w:t>
      </w:r>
      <w:r>
        <w:rPr>
          <w:rFonts w:hint="eastAsia" w:ascii="宋体" w:hAnsi="宋体" w:cs="宋体"/>
          <w:sz w:val="24"/>
          <w:szCs w:val="24"/>
          <w:highlight w:val="white"/>
          <w:lang w:val="zh-CN"/>
        </w:rPr>
        <w:t xml:space="preserve">日</w:t>
      </w:r>
      <w:r>
        <w:rPr>
          <w:highlight w:val="white"/>
        </w:rPr>
      </w:r>
      <w:r/>
    </w:p>
    <w:p>
      <w:pPr>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spacing w:line="360" w:lineRule="auto"/>
        <w:rPr>
          <w:rFonts w:hint="eastAsia" w:ascii="宋体" w:hAnsi="宋体" w:cs="宋体"/>
          <w:b/>
          <w:sz w:val="24"/>
          <w:szCs w:val="24"/>
          <w:highlight w:val="white"/>
        </w:rPr>
      </w:pPr>
      <w:r>
        <w:rPr>
          <w:rFonts w:hint="eastAsia" w:ascii="宋体" w:hAnsi="宋体" w:cs="宋体"/>
          <w:b/>
          <w:sz w:val="24"/>
          <w:szCs w:val="24"/>
          <w:highlight w:val="white"/>
        </w:rPr>
      </w:r>
      <w:r>
        <w:rPr>
          <w:highlight w:val="white"/>
        </w:rPr>
      </w:r>
      <w:r/>
    </w:p>
    <w:p>
      <w:pPr>
        <w:spacing w:line="360" w:lineRule="auto"/>
        <w:rPr>
          <w:rFonts w:hint="eastAsia" w:ascii="宋体" w:hAnsi="宋体" w:cs="宋体"/>
          <w:b/>
          <w:sz w:val="24"/>
          <w:szCs w:val="24"/>
          <w:highlight w:val="white"/>
        </w:rPr>
      </w:pPr>
      <w:r>
        <w:rPr>
          <w:rFonts w:hint="eastAsia" w:ascii="宋体" w:hAnsi="宋体" w:cs="宋体"/>
          <w:b/>
          <w:sz w:val="24"/>
          <w:szCs w:val="24"/>
          <w:highlight w:val="white"/>
        </w:rPr>
      </w:r>
      <w:r>
        <w:rPr>
          <w:highlight w:val="white"/>
        </w:rPr>
      </w:r>
      <w:r/>
    </w:p>
    <w:p>
      <w:pPr>
        <w:jc w:val="left"/>
        <w:widowControl/>
        <w:rPr>
          <w:rFonts w:hint="eastAsia" w:ascii="宋体" w:hAnsi="宋体" w:cs="宋体"/>
          <w:b/>
          <w:sz w:val="24"/>
          <w:szCs w:val="24"/>
          <w:highlight w:val="white"/>
        </w:rPr>
      </w:pPr>
      <w:r>
        <w:rPr>
          <w:rFonts w:ascii="宋体" w:hAnsi="宋体" w:cs="宋体"/>
          <w:b/>
          <w:sz w:val="24"/>
          <w:szCs w:val="24"/>
          <w:highlight w:val="white"/>
        </w:rPr>
        <w:br w:type="page" w:clear="all"/>
      </w:r>
      <w:r>
        <w:rPr>
          <w:highlight w:val="white"/>
        </w:rPr>
      </w:r>
      <w:r/>
    </w:p>
    <w:p>
      <w:pPr>
        <w:spacing w:line="360" w:lineRule="auto"/>
        <w:rPr>
          <w:rFonts w:hint="eastAsia" w:ascii="宋体" w:hAnsi="宋体" w:cs="宋体"/>
          <w:sz w:val="24"/>
          <w:szCs w:val="24"/>
          <w:highlight w:val="white"/>
        </w:rPr>
      </w:pPr>
      <w:r>
        <w:rPr>
          <w:rFonts w:ascii="宋体" w:hAnsi="宋体" w:cs="宋体"/>
          <w:b/>
          <w:sz w:val="24"/>
          <w:szCs w:val="24"/>
          <w:highlight w:val="white"/>
        </w:rPr>
        <w:t xml:space="preserve">9</w:t>
      </w:r>
      <w:r>
        <w:rPr>
          <w:rFonts w:hint="eastAsia" w:ascii="宋体" w:hAnsi="宋体" w:cs="宋体"/>
          <w:b/>
          <w:sz w:val="24"/>
          <w:szCs w:val="24"/>
          <w:highlight w:val="white"/>
        </w:rPr>
        <w:t xml:space="preserve">、相关业绩一览表</w:t>
      </w:r>
      <w:r>
        <w:rPr>
          <w:highlight w:val="white"/>
        </w:rPr>
      </w:r>
      <w:r/>
    </w:p>
    <w:p>
      <w:pPr>
        <w:jc w:val="center"/>
        <w:rPr>
          <w:rFonts w:hint="eastAsia" w:asciiTheme="minorEastAsia" w:hAnsiTheme="minorEastAsia" w:eastAsiaTheme="minorEastAsia"/>
          <w:b/>
          <w:bCs/>
          <w:sz w:val="24"/>
          <w:szCs w:val="24"/>
          <w:highlight w:val="white"/>
        </w:rPr>
      </w:pPr>
      <w:r>
        <w:rPr>
          <w:rFonts w:hint="eastAsia" w:asciiTheme="minorEastAsia" w:hAnsiTheme="minorEastAsia" w:eastAsiaTheme="minorEastAsia"/>
          <w:b/>
          <w:bCs/>
          <w:sz w:val="24"/>
          <w:szCs w:val="24"/>
          <w:highlight w:val="white"/>
        </w:rPr>
        <w:t xml:space="preserve">相关业绩一览表</w:t>
      </w:r>
      <w:r>
        <w:rPr>
          <w:highlight w:val="white"/>
        </w:rPr>
      </w:r>
      <w:r/>
    </w:p>
    <w:p>
      <w:pPr>
        <w:jc w:val="center"/>
        <w:rPr>
          <w:rFonts w:hint="eastAsia" w:asciiTheme="minorEastAsia" w:hAnsiTheme="minorEastAsia" w:eastAsiaTheme="minorEastAsia"/>
          <w:b/>
          <w:bCs/>
          <w:sz w:val="24"/>
          <w:szCs w:val="24"/>
          <w:highlight w:val="white"/>
        </w:rPr>
      </w:pPr>
      <w:r>
        <w:rPr>
          <w:rFonts w:hint="eastAsia" w:asciiTheme="minorEastAsia" w:hAnsiTheme="minorEastAsia" w:eastAsiaTheme="minorEastAsia"/>
          <w:b/>
          <w:bCs/>
          <w:sz w:val="24"/>
          <w:szCs w:val="24"/>
          <w:highlight w:val="white"/>
        </w:rPr>
      </w:r>
      <w:r>
        <w:rPr>
          <w:highlight w:val="white"/>
        </w:rPr>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序号</w:t>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项目名称</w:t>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合同期</w:t>
            </w:r>
            <w:r>
              <w:rPr>
                <w:highlight w:val="whit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合同金额</w:t>
            </w:r>
            <w:r>
              <w:rPr>
                <w:highlight w:val="whit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备注</w:t>
            </w:r>
            <w:r>
              <w:rPr>
                <w:highlight w:val="whit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1</w:t>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2</w:t>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3</w:t>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4</w:t>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5</w:t>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tc>
      </w:tr>
    </w:tbl>
    <w:p>
      <w:pPr>
        <w:jc w:val="left"/>
        <w:spacing w:line="360" w:lineRule="auto"/>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注：若事项较多，供应商可根据实际情况另纸说明。</w:t>
      </w:r>
      <w:r>
        <w:rPr>
          <w:highlight w:val="white"/>
        </w:rPr>
      </w:r>
      <w:r/>
    </w:p>
    <w:p>
      <w:pPr>
        <w:ind w:firstLine="420"/>
        <w:jc w:val="left"/>
        <w:spacing w:line="360" w:lineRule="auto"/>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 </w:t>
      </w:r>
      <w:r>
        <w:rPr>
          <w:highlight w:val="white"/>
        </w:rPr>
      </w:r>
      <w:r/>
    </w:p>
    <w:p>
      <w:pPr>
        <w:jc w:val="left"/>
        <w:spacing w:line="360" w:lineRule="auto"/>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p>
      <w:pPr>
        <w:ind w:right="-200"/>
        <w:jc w:val="center"/>
        <w:spacing w:line="360" w:lineRule="auto"/>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                                          供应商名称</w:t>
      </w:r>
      <w:r>
        <w:rPr>
          <w:rFonts w:hint="eastAsia" w:asciiTheme="minorEastAsia" w:hAnsiTheme="minorEastAsia" w:eastAsiaTheme="minorEastAsia"/>
          <w:sz w:val="24"/>
          <w:szCs w:val="24"/>
          <w:highlight w:val="white"/>
        </w:rPr>
        <w:t xml:space="preserve">：（公章）</w:t>
      </w:r>
      <w:r>
        <w:rPr>
          <w:rFonts w:hint="eastAsia" w:cs="宋体" w:asciiTheme="minorEastAsia" w:hAnsiTheme="minorEastAsia" w:eastAsiaTheme="minorEastAsia"/>
          <w:sz w:val="24"/>
          <w:szCs w:val="24"/>
          <w:highlight w:val="white"/>
          <w:lang w:val="zh-CN"/>
        </w:rPr>
        <w:t xml:space="preserve"> </w:t>
      </w:r>
      <w:r>
        <w:rPr>
          <w:highlight w:val="white"/>
        </w:rPr>
      </w:r>
      <w:r/>
    </w:p>
    <w:p>
      <w:pPr>
        <w:ind w:firstLine="210"/>
        <w:jc w:val="right"/>
        <w:spacing w:line="360" w:lineRule="auto"/>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  </w:t>
      </w:r>
      <w:r>
        <w:rPr>
          <w:rFonts w:hint="eastAsia" w:cs="宋体" w:asciiTheme="minorEastAsia" w:hAnsiTheme="minorEastAsia" w:eastAsiaTheme="minorEastAsia"/>
          <w:sz w:val="24"/>
          <w:szCs w:val="24"/>
          <w:highlight w:val="white"/>
          <w:lang w:val="zh-CN"/>
        </w:rPr>
        <w:t xml:space="preserve">法定代表人或</w:t>
      </w:r>
      <w:r>
        <w:rPr>
          <w:rFonts w:hint="eastAsia" w:cs="宋体" w:asciiTheme="minorEastAsia" w:hAnsiTheme="minorEastAsia" w:eastAsiaTheme="minorEastAsia"/>
          <w:sz w:val="24"/>
          <w:szCs w:val="24"/>
          <w:highlight w:val="white"/>
        </w:rPr>
        <w:t xml:space="preserve">被授权</w:t>
      </w:r>
      <w:r>
        <w:rPr>
          <w:rFonts w:hint="eastAsia" w:cs="宋体" w:asciiTheme="minorEastAsia" w:hAnsiTheme="minorEastAsia" w:eastAsiaTheme="minorEastAsia"/>
          <w:sz w:val="24"/>
          <w:szCs w:val="24"/>
          <w:highlight w:val="white"/>
          <w:lang w:val="zh-CN"/>
        </w:rPr>
        <w:t xml:space="preserve">人：（签字或盖章）</w:t>
      </w:r>
      <w:r>
        <w:rPr>
          <w:highlight w:val="white"/>
        </w:rPr>
      </w:r>
      <w:r/>
    </w:p>
    <w:p>
      <w:pPr>
        <w:jc w:val="left"/>
        <w:spacing w:line="360" w:lineRule="auto"/>
        <w:rPr>
          <w:rFonts w:hint="eastAsia" w:asciiTheme="minorEastAsia" w:hAnsiTheme="minorEastAsia" w:eastAsiaTheme="minorEastAsia"/>
          <w:b/>
          <w:sz w:val="24"/>
          <w:szCs w:val="24"/>
          <w:highlight w:val="white"/>
        </w:rPr>
        <w:outlineLvl w:val="1"/>
      </w:pPr>
      <w:r>
        <w:rPr>
          <w:rFonts w:hint="eastAsia" w:cs="宋体" w:asciiTheme="minorEastAsia" w:hAnsiTheme="minorEastAsia" w:eastAsiaTheme="minorEastAsia"/>
          <w:sz w:val="24"/>
          <w:szCs w:val="24"/>
          <w:highlight w:val="white"/>
          <w:lang w:val="zh-CN"/>
        </w:rPr>
        <w:t xml:space="preserve"> 日    期：     年</w:t>
      </w:r>
      <w:r>
        <w:rPr>
          <w:rFonts w:hint="eastAsia" w:cs="宋体" w:asciiTheme="minorEastAsia" w:hAnsiTheme="minorEastAsia" w:eastAsiaTheme="minorEastAsia"/>
          <w:sz w:val="24"/>
          <w:szCs w:val="24"/>
          <w:highlight w:val="white"/>
        </w:rPr>
        <w:t xml:space="preserve">     </w:t>
      </w:r>
      <w:r>
        <w:rPr>
          <w:rFonts w:hint="eastAsia" w:cs="宋体" w:asciiTheme="minorEastAsia" w:hAnsiTheme="minorEastAsia" w:eastAsiaTheme="minorEastAsia"/>
          <w:sz w:val="24"/>
          <w:szCs w:val="24"/>
          <w:highlight w:val="white"/>
          <w:lang w:val="zh-CN"/>
        </w:rPr>
        <w:t xml:space="preserve">月   </w:t>
      </w:r>
      <w:r>
        <w:rPr>
          <w:rFonts w:hint="eastAsia" w:cs="宋体" w:asciiTheme="minorEastAsia" w:hAnsiTheme="minorEastAsia" w:eastAsiaTheme="minorEastAsia"/>
          <w:sz w:val="24"/>
          <w:szCs w:val="24"/>
          <w:highlight w:val="white"/>
        </w:rPr>
        <w:t xml:space="preserve"> </w:t>
      </w:r>
      <w:r>
        <w:rPr>
          <w:rFonts w:hint="eastAsia" w:cs="宋体" w:asciiTheme="minorEastAsia" w:hAnsiTheme="minorEastAsia" w:eastAsiaTheme="minorEastAsia"/>
          <w:sz w:val="24"/>
          <w:szCs w:val="24"/>
          <w:highlight w:val="white"/>
          <w:lang w:val="zh-CN"/>
        </w:rPr>
        <w:t xml:space="preserve">日</w:t>
      </w:r>
      <w:r>
        <w:rPr>
          <w:highlight w:val="white"/>
        </w:rPr>
      </w:r>
      <w:r/>
    </w:p>
    <w:p>
      <w:pPr>
        <w:jc w:val="left"/>
        <w:spacing w:line="360" w:lineRule="auto"/>
        <w:rPr>
          <w:rFonts w:hint="eastAsia" w:asciiTheme="minorEastAsia" w:hAnsiTheme="minorEastAsia" w:eastAsiaTheme="minorEastAsia"/>
          <w:b/>
          <w:sz w:val="24"/>
          <w:szCs w:val="24"/>
          <w:highlight w:val="white"/>
        </w:rPr>
        <w:outlineLvl w:val="1"/>
      </w:pPr>
      <w:r>
        <w:rPr>
          <w:rFonts w:hint="eastAsia" w:asciiTheme="minorEastAsia" w:hAnsiTheme="minorEastAsia" w:eastAsiaTheme="minorEastAsia"/>
          <w:b/>
          <w:sz w:val="24"/>
          <w:szCs w:val="24"/>
          <w:highlight w:val="white"/>
        </w:rPr>
      </w:r>
      <w:r>
        <w:rPr>
          <w:highlight w:val="white"/>
        </w:rPr>
      </w:r>
      <w:r/>
    </w:p>
    <w:p>
      <w:pPr>
        <w:jc w:val="left"/>
        <w:spacing w:line="360" w:lineRule="auto"/>
        <w:rPr>
          <w:rFonts w:hint="eastAsia" w:ascii="宋体" w:hAnsi="宋体"/>
          <w:b/>
          <w:sz w:val="24"/>
          <w:szCs w:val="24"/>
          <w:highlight w:val="white"/>
        </w:rPr>
        <w:outlineLvl w:val="1"/>
      </w:pPr>
      <w:r>
        <w:rPr>
          <w:rFonts w:hint="eastAsia" w:ascii="宋体" w:hAnsi="宋体"/>
          <w:b/>
          <w:sz w:val="24"/>
          <w:szCs w:val="24"/>
          <w:highlight w:val="white"/>
        </w:rPr>
      </w:r>
      <w:r>
        <w:rPr>
          <w:highlight w:val="white"/>
        </w:rPr>
      </w:r>
      <w:r/>
    </w:p>
    <w:p>
      <w:pPr>
        <w:jc w:val="left"/>
        <w:spacing w:line="360" w:lineRule="auto"/>
        <w:rPr>
          <w:rFonts w:hint="eastAsia" w:ascii="宋体" w:hAnsi="宋体"/>
          <w:b/>
          <w:sz w:val="24"/>
          <w:szCs w:val="24"/>
          <w:highlight w:val="white"/>
        </w:rPr>
        <w:outlineLvl w:val="1"/>
      </w:pPr>
      <w:r>
        <w:rPr>
          <w:rFonts w:hint="eastAsia" w:ascii="宋体" w:hAnsi="宋体"/>
          <w:b/>
          <w:sz w:val="24"/>
          <w:szCs w:val="24"/>
          <w:highlight w:val="white"/>
        </w:rPr>
      </w:r>
      <w:r>
        <w:rPr>
          <w:highlight w:val="white"/>
        </w:rPr>
      </w:r>
      <w:r/>
    </w:p>
    <w:p>
      <w:pPr>
        <w:jc w:val="left"/>
        <w:spacing w:line="360" w:lineRule="auto"/>
        <w:rPr>
          <w:rFonts w:hint="eastAsia" w:ascii="宋体" w:hAnsi="宋体"/>
          <w:b/>
          <w:sz w:val="24"/>
          <w:szCs w:val="24"/>
          <w:highlight w:val="white"/>
        </w:rPr>
        <w:outlineLvl w:val="1"/>
      </w:pPr>
      <w:r>
        <w:rPr>
          <w:rFonts w:hint="eastAsia" w:ascii="宋体" w:hAnsi="宋体"/>
          <w:b/>
          <w:sz w:val="24"/>
          <w:szCs w:val="24"/>
          <w:highlight w:val="white"/>
        </w:rPr>
      </w:r>
      <w:r>
        <w:rPr>
          <w:highlight w:val="white"/>
        </w:rPr>
      </w:r>
      <w:r/>
    </w:p>
    <w:p>
      <w:pPr>
        <w:jc w:val="left"/>
        <w:spacing w:line="360" w:lineRule="auto"/>
        <w:rPr>
          <w:rFonts w:hint="eastAsia" w:ascii="宋体" w:hAnsi="宋体"/>
          <w:b/>
          <w:sz w:val="24"/>
          <w:szCs w:val="24"/>
          <w:highlight w:val="white"/>
        </w:rPr>
        <w:outlineLvl w:val="1"/>
      </w:pPr>
      <w:r>
        <w:rPr>
          <w:rFonts w:hint="eastAsia" w:ascii="宋体" w:hAnsi="宋体"/>
          <w:b/>
          <w:sz w:val="24"/>
          <w:szCs w:val="24"/>
          <w:highlight w:val="white"/>
        </w:rPr>
      </w:r>
      <w:r>
        <w:rPr>
          <w:highlight w:val="white"/>
        </w:rPr>
      </w:r>
      <w:r/>
    </w:p>
    <w:p>
      <w:pPr>
        <w:jc w:val="left"/>
        <w:spacing w:line="360" w:lineRule="auto"/>
        <w:rPr>
          <w:rFonts w:hint="eastAsia" w:ascii="宋体" w:hAnsi="宋体"/>
          <w:b/>
          <w:sz w:val="24"/>
          <w:szCs w:val="24"/>
          <w:highlight w:val="white"/>
        </w:rPr>
        <w:outlineLvl w:val="1"/>
      </w:pPr>
      <w:r>
        <w:rPr>
          <w:rFonts w:hint="eastAsia" w:ascii="宋体" w:hAnsi="宋体"/>
          <w:b/>
          <w:sz w:val="24"/>
          <w:szCs w:val="24"/>
          <w:highlight w:val="white"/>
        </w:rPr>
      </w:r>
      <w:r>
        <w:rPr>
          <w:highlight w:val="white"/>
        </w:rPr>
      </w:r>
      <w:r/>
    </w:p>
    <w:p>
      <w:pPr>
        <w:jc w:val="left"/>
        <w:spacing w:line="360" w:lineRule="auto"/>
        <w:rPr>
          <w:rFonts w:hint="eastAsia" w:ascii="宋体" w:hAnsi="宋体" w:cs="宋体"/>
          <w:sz w:val="24"/>
          <w:szCs w:val="24"/>
          <w:highlight w:val="white"/>
        </w:rPr>
      </w:pPr>
      <w:r>
        <w:rPr>
          <w:rFonts w:ascii="宋体" w:hAnsi="宋体" w:cs="宋体"/>
          <w:b/>
          <w:sz w:val="24"/>
          <w:szCs w:val="24"/>
          <w:highlight w:val="white"/>
        </w:rPr>
        <w:br w:type="page" w:clear="all"/>
      </w:r>
      <w:r>
        <w:rPr>
          <w:highlight w:val="white"/>
        </w:rPr>
      </w:r>
      <w:r/>
    </w:p>
    <w:p>
      <w:pPr>
        <w:spacing w:line="360" w:lineRule="auto"/>
        <w:rPr>
          <w:rFonts w:hint="eastAsia" w:ascii="宋体" w:hAnsi="宋体"/>
          <w:b/>
          <w:spacing w:val="20"/>
          <w:sz w:val="24"/>
          <w:szCs w:val="24"/>
          <w:highlight w:val="white"/>
        </w:rPr>
      </w:pPr>
      <w:r>
        <w:rPr>
          <w:rFonts w:hint="eastAsia" w:ascii="宋体" w:hAnsi="宋体" w:cs="宋体"/>
          <w:b/>
          <w:sz w:val="24"/>
          <w:szCs w:val="24"/>
          <w:highlight w:val="white"/>
        </w:rPr>
        <w:t xml:space="preserve">10、中小企业声明函</w:t>
      </w:r>
      <w:r>
        <w:rPr>
          <w:highlight w:val="white"/>
        </w:rPr>
      </w:r>
      <w:r/>
    </w:p>
    <w:p>
      <w:pPr>
        <w:jc w:val="center"/>
        <w:spacing w:before="100" w:beforeAutospacing="1" w:after="100" w:afterAutospacing="1" w:line="360" w:lineRule="auto"/>
        <w:rPr>
          <w:rFonts w:hint="eastAsia" w:ascii="宋体" w:hAnsi="宋体" w:cs="宋体"/>
          <w:b/>
          <w:sz w:val="24"/>
          <w:szCs w:val="24"/>
          <w:highlight w:val="white"/>
        </w:rPr>
      </w:pPr>
      <w:r>
        <w:rPr>
          <w:rFonts w:hint="eastAsia" w:ascii="宋体" w:hAnsi="宋体" w:cs="宋体"/>
          <w:b/>
          <w:sz w:val="24"/>
          <w:szCs w:val="24"/>
          <w:highlight w:val="white"/>
        </w:rPr>
        <w:t xml:space="preserve">中小企业声明函</w:t>
      </w:r>
      <w:r>
        <w:rPr>
          <w:highlight w:val="white"/>
        </w:rPr>
      </w:r>
      <w:r/>
    </w:p>
    <w:p>
      <w:pPr>
        <w:ind w:firstLine="480"/>
        <w:spacing w:line="480" w:lineRule="auto"/>
        <w:rPr>
          <w:rFonts w:hint="eastAsia" w:ascii="宋体" w:hAnsi="宋体" w:cs="宋体"/>
          <w:bCs/>
          <w:sz w:val="24"/>
          <w:szCs w:val="24"/>
          <w:highlight w:val="white"/>
        </w:rPr>
      </w:pPr>
      <w:r>
        <w:rPr>
          <w:rFonts w:hint="eastAsia" w:ascii="宋体" w:hAnsi="宋体" w:cs="宋体"/>
          <w:bCs/>
          <w:sz w:val="24"/>
          <w:szCs w:val="24"/>
          <w:highlight w:val="white"/>
        </w:rPr>
        <w:t xml:space="preserve">本公司郑重声明，根据《政府采购促进中小企业发展管理办法》（财库﹝2020﹞46号）的规定，本公司参加</w:t>
      </w:r>
      <w:r>
        <w:rPr>
          <w:rFonts w:hint="eastAsia" w:ascii="宋体" w:hAnsi="宋体" w:cs="宋体"/>
          <w:bCs/>
          <w:sz w:val="24"/>
          <w:szCs w:val="24"/>
          <w:highlight w:val="white"/>
          <w:u w:val="single"/>
        </w:rPr>
        <w:t xml:space="preserve">（单位名称）</w:t>
      </w:r>
      <w:r>
        <w:rPr>
          <w:rFonts w:hint="eastAsia" w:ascii="宋体" w:hAnsi="宋体" w:cs="宋体"/>
          <w:bCs/>
          <w:sz w:val="24"/>
          <w:szCs w:val="24"/>
          <w:highlight w:val="white"/>
        </w:rPr>
        <w:t xml:space="preserve">的</w:t>
      </w:r>
      <w:r>
        <w:rPr>
          <w:rFonts w:hint="eastAsia" w:ascii="宋体" w:hAnsi="宋体" w:cs="宋体"/>
          <w:bCs/>
          <w:sz w:val="24"/>
          <w:szCs w:val="24"/>
          <w:highlight w:val="white"/>
          <w:u w:val="single"/>
        </w:rPr>
        <w:t xml:space="preserve">（项目名称）</w:t>
      </w:r>
      <w:r>
        <w:rPr>
          <w:rFonts w:hint="eastAsia" w:ascii="宋体" w:hAnsi="宋体" w:cs="宋体"/>
          <w:bCs/>
          <w:sz w:val="24"/>
          <w:szCs w:val="24"/>
          <w:highlight w:val="white"/>
        </w:rPr>
        <w:t xml:space="preserve">采购活动，服务全部由符合政策要求的中小企业承接。企业的具体情况如下： </w:t>
      </w:r>
      <w:r>
        <w:rPr>
          <w:highlight w:val="white"/>
        </w:rPr>
      </w:r>
      <w:r/>
    </w:p>
    <w:p>
      <w:pPr>
        <w:ind w:firstLine="480"/>
        <w:spacing w:line="480" w:lineRule="auto"/>
        <w:rPr>
          <w:rFonts w:hint="eastAsia" w:ascii="宋体" w:hAnsi="宋体" w:cs="宋体"/>
          <w:bCs/>
          <w:sz w:val="24"/>
          <w:szCs w:val="24"/>
          <w:highlight w:val="white"/>
        </w:rPr>
      </w:pPr>
      <w:r>
        <w:rPr>
          <w:rFonts w:hint="eastAsia" w:ascii="宋体" w:hAnsi="宋体" w:cs="宋体"/>
          <w:bCs/>
          <w:sz w:val="24"/>
          <w:szCs w:val="24"/>
          <w:highlight w:val="white"/>
          <w:u w:val="single"/>
        </w:rPr>
        <w:t xml:space="preserve">（标的名称）</w:t>
      </w:r>
      <w:r>
        <w:rPr>
          <w:rFonts w:hint="eastAsia" w:ascii="宋体" w:hAnsi="宋体" w:cs="宋体"/>
          <w:bCs/>
          <w:sz w:val="24"/>
          <w:szCs w:val="24"/>
          <w:highlight w:val="white"/>
        </w:rPr>
        <w:t xml:space="preserve">，属于</w:t>
      </w:r>
      <w:r>
        <w:rPr>
          <w:rFonts w:hint="eastAsia" w:ascii="宋体" w:hAnsi="宋体" w:cs="宋体"/>
          <w:bCs/>
          <w:sz w:val="24"/>
          <w:szCs w:val="24"/>
          <w:highlight w:val="white"/>
          <w:u w:val="single"/>
        </w:rPr>
        <w:t xml:space="preserve">其他未列明行业</w:t>
      </w:r>
      <w:r>
        <w:rPr>
          <w:rFonts w:hint="eastAsia" w:ascii="宋体" w:hAnsi="宋体" w:cs="宋体"/>
          <w:bCs/>
          <w:sz w:val="24"/>
          <w:szCs w:val="24"/>
          <w:highlight w:val="white"/>
        </w:rPr>
        <w:t xml:space="preserve">；承接企业为</w:t>
      </w:r>
      <w:r>
        <w:rPr>
          <w:rFonts w:hint="eastAsia" w:ascii="宋体" w:hAnsi="宋体" w:cs="宋体"/>
          <w:bCs/>
          <w:sz w:val="24"/>
          <w:szCs w:val="24"/>
          <w:highlight w:val="white"/>
          <w:u w:val="single"/>
        </w:rPr>
        <w:t xml:space="preserve">（企业名称）</w:t>
      </w:r>
      <w:r>
        <w:rPr>
          <w:rFonts w:hint="eastAsia" w:ascii="宋体" w:hAnsi="宋体" w:cs="宋体"/>
          <w:bCs/>
          <w:sz w:val="24"/>
          <w:szCs w:val="24"/>
          <w:highlight w:val="white"/>
        </w:rPr>
        <w:t xml:space="preserve">，从业人员人，营业收入为万元，资产总额为万元，属于</w:t>
      </w:r>
      <w:r>
        <w:rPr>
          <w:rFonts w:hint="eastAsia" w:ascii="宋体" w:hAnsi="宋体" w:cs="宋体"/>
          <w:bCs/>
          <w:sz w:val="24"/>
          <w:szCs w:val="24"/>
          <w:highlight w:val="white"/>
          <w:u w:val="single"/>
        </w:rPr>
        <w:t xml:space="preserve">（中型企业、小型企业、微型企业）（选择一类填写）</w:t>
      </w:r>
      <w:r>
        <w:rPr>
          <w:rFonts w:hint="eastAsia" w:ascii="宋体" w:hAnsi="宋体" w:cs="宋体"/>
          <w:bCs/>
          <w:sz w:val="24"/>
          <w:szCs w:val="24"/>
          <w:highlight w:val="white"/>
        </w:rPr>
        <w:t xml:space="preserve">； </w:t>
      </w:r>
      <w:r>
        <w:rPr>
          <w:highlight w:val="white"/>
        </w:rPr>
      </w:r>
      <w:r/>
    </w:p>
    <w:p>
      <w:pPr>
        <w:ind w:firstLine="480"/>
        <w:spacing w:line="480" w:lineRule="auto"/>
        <w:rPr>
          <w:rFonts w:hint="eastAsia" w:ascii="宋体" w:hAnsi="宋体" w:cs="宋体"/>
          <w:bCs/>
          <w:sz w:val="24"/>
          <w:szCs w:val="24"/>
          <w:highlight w:val="white"/>
        </w:rPr>
      </w:pPr>
      <w:r>
        <w:rPr>
          <w:rFonts w:hint="eastAsia" w:ascii="宋体" w:hAnsi="宋体" w:cs="宋体"/>
          <w:bCs/>
          <w:sz w:val="24"/>
          <w:szCs w:val="24"/>
          <w:highlight w:val="white"/>
        </w:rPr>
        <w:t xml:space="preserve">以上企业，不属于大企业的分支机构，不存在控股股东为大企业的情形，也不存在与大企业的负责人为同一人的情形。 本企业对上述声明内容的真实性负责。如有虚假，将依法承担相应责任。</w:t>
      </w:r>
      <w:r>
        <w:rPr>
          <w:highlight w:val="white"/>
        </w:rPr>
      </w:r>
      <w:r/>
    </w:p>
    <w:p>
      <w:pPr>
        <w:spacing w:line="480" w:lineRule="auto"/>
        <w:rPr>
          <w:rFonts w:hint="eastAsia" w:ascii="宋体" w:hAnsi="宋体" w:cs="宋体"/>
          <w:bCs/>
          <w:sz w:val="24"/>
          <w:szCs w:val="24"/>
          <w:highlight w:val="white"/>
        </w:rPr>
      </w:pPr>
      <w:r>
        <w:rPr>
          <w:rFonts w:hint="eastAsia" w:ascii="宋体" w:hAnsi="宋体" w:cs="宋体"/>
          <w:bCs/>
          <w:sz w:val="24"/>
          <w:szCs w:val="24"/>
          <w:highlight w:val="white"/>
        </w:rPr>
        <w:t xml:space="preserve">                                                          企业名称（盖章）： </w:t>
      </w:r>
      <w:r>
        <w:rPr>
          <w:highlight w:val="white"/>
        </w:rPr>
      </w:r>
      <w:r/>
    </w:p>
    <w:p>
      <w:pPr>
        <w:spacing w:line="480" w:lineRule="auto"/>
        <w:rPr>
          <w:rFonts w:hint="eastAsia" w:ascii="宋体" w:hAnsi="宋体" w:cs="宋体"/>
          <w:bCs/>
          <w:sz w:val="24"/>
          <w:szCs w:val="24"/>
          <w:highlight w:val="white"/>
        </w:rPr>
      </w:pPr>
      <w:r>
        <w:rPr>
          <w:rFonts w:hint="eastAsia" w:ascii="宋体" w:hAnsi="宋体" w:cs="宋体"/>
          <w:bCs/>
          <w:sz w:val="24"/>
          <w:szCs w:val="24"/>
          <w:highlight w:val="white"/>
        </w:rPr>
        <w:t xml:space="preserve">                                                            日 期：</w:t>
      </w:r>
      <w:r>
        <w:rPr>
          <w:highlight w:val="white"/>
        </w:rPr>
      </w:r>
      <w:r/>
    </w:p>
    <w:p>
      <w:pPr>
        <w:ind w:firstLine="420"/>
        <w:spacing w:line="360" w:lineRule="auto"/>
        <w:rPr>
          <w:rFonts w:hint="eastAsia" w:ascii="宋体" w:hAnsi="宋体"/>
          <w:szCs w:val="21"/>
          <w:highlight w:val="white"/>
        </w:rPr>
      </w:pPr>
      <w:r>
        <w:rPr>
          <w:rFonts w:hint="eastAsia" w:ascii="宋体" w:hAnsi="宋体"/>
          <w:szCs w:val="21"/>
          <w:highlight w:val="white"/>
        </w:rPr>
      </w:r>
      <w:r>
        <w:rPr>
          <w:highlight w:val="white"/>
        </w:rPr>
      </w:r>
      <w:r/>
    </w:p>
    <w:p>
      <w:pPr>
        <w:spacing w:line="360" w:lineRule="auto"/>
        <w:rPr>
          <w:rFonts w:hint="eastAsia" w:ascii="宋体" w:hAnsi="宋体" w:cs="TimesNewRomanPSMT"/>
          <w:sz w:val="24"/>
          <w:szCs w:val="24"/>
          <w:highlight w:val="white"/>
        </w:rPr>
      </w:pPr>
      <w:r>
        <w:rPr>
          <w:rFonts w:hint="eastAsia" w:ascii="宋体" w:hAnsi="宋体" w:cs="TimesNewRomanPSMT"/>
          <w:sz w:val="24"/>
          <w:szCs w:val="24"/>
          <w:highlight w:val="white"/>
        </w:rPr>
        <w:t xml:space="preserve">注：从业人员、营业收入、资产总额填报上一年度数据，无上一年度数据的新成立企业可不填报。</w:t>
      </w:r>
      <w:r>
        <w:rPr>
          <w:highlight w:val="white"/>
        </w:rPr>
      </w:r>
      <w:r/>
    </w:p>
    <w:p>
      <w:pPr>
        <w:jc w:val="left"/>
        <w:widowControl/>
        <w:rPr>
          <w:rFonts w:hint="eastAsia" w:ascii="宋体" w:hAnsi="宋体" w:cs="宋体"/>
          <w:sz w:val="24"/>
          <w:szCs w:val="24"/>
          <w:highlight w:val="white"/>
        </w:rPr>
      </w:pPr>
      <w:r>
        <w:rPr>
          <w:rFonts w:ascii="宋体" w:hAnsi="宋体" w:cs="宋体"/>
          <w:sz w:val="24"/>
          <w:szCs w:val="24"/>
          <w:highlight w:val="white"/>
        </w:rPr>
        <w:br w:type="page" w:clear="all"/>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rPr>
          <w:rFonts w:hint="eastAsia" w:ascii="宋体" w:hAnsi="宋体" w:cs="宋体"/>
          <w:b/>
          <w:sz w:val="24"/>
          <w:szCs w:val="24"/>
          <w:highlight w:val="white"/>
        </w:rPr>
      </w:pPr>
      <w:r>
        <w:rPr>
          <w:rFonts w:hint="eastAsia" w:ascii="宋体" w:hAnsi="宋体" w:cs="宋体"/>
          <w:b/>
          <w:sz w:val="24"/>
          <w:szCs w:val="24"/>
          <w:highlight w:val="white"/>
        </w:rPr>
        <w:t xml:space="preserve">附：中小企业划型标准规定</w:t>
      </w:r>
      <w:r>
        <w:rPr>
          <w:highlight w:val="white"/>
        </w:rPr>
      </w:r>
      <w:r/>
    </w:p>
    <w:p>
      <w:pPr>
        <w:ind w:firstLine="480"/>
        <w:spacing w:line="280" w:lineRule="exact"/>
        <w:rPr>
          <w:rFonts w:hint="eastAsia" w:ascii="宋体" w:hAnsi="宋体" w:cs="宋体"/>
          <w:sz w:val="24"/>
          <w:szCs w:val="24"/>
          <w:highlight w:val="white"/>
        </w:rPr>
      </w:pPr>
      <w:r>
        <w:rPr>
          <w:rFonts w:hint="eastAsia" w:ascii="宋体" w:hAnsi="宋体" w:cs="宋体"/>
          <w:b/>
          <w:sz w:val="24"/>
          <w:szCs w:val="24"/>
          <w:highlight w:val="white"/>
        </w:rPr>
        <w:t xml:space="preserve">（一）农、林、牧、渔业。</w:t>
      </w:r>
      <w:r>
        <w:rPr>
          <w:rFonts w:hint="eastAsia" w:ascii="宋体" w:hAnsi="宋体" w:cs="宋体"/>
          <w:sz w:val="24"/>
          <w:szCs w:val="24"/>
          <w:highlight w:val="white"/>
        </w:rPr>
        <w:t xml:space="preserve">营业收入20000万元以下的为中小微型企业。其中，营业收入500万元及以上的为中型企业，营业收入50万元及以上的为小型企业，营业收入50万元以下的为微型企业。</w:t>
      </w:r>
      <w:r>
        <w:rPr>
          <w:highlight w:val="white"/>
        </w:rPr>
      </w:r>
      <w:r/>
    </w:p>
    <w:p>
      <w:pPr>
        <w:ind w:firstLine="480"/>
        <w:spacing w:line="280" w:lineRule="exact"/>
        <w:rPr>
          <w:rFonts w:hint="eastAsia" w:ascii="宋体" w:hAnsi="宋体" w:cs="宋体"/>
          <w:sz w:val="24"/>
          <w:szCs w:val="24"/>
          <w:highlight w:val="white"/>
        </w:rPr>
      </w:pPr>
      <w:r>
        <w:rPr>
          <w:rFonts w:hint="eastAsia" w:ascii="宋体" w:hAnsi="宋体" w:cs="宋体"/>
          <w:b/>
          <w:sz w:val="24"/>
          <w:szCs w:val="24"/>
          <w:highlight w:val="white"/>
        </w:rPr>
        <w:t xml:space="preserve">（二）工业。</w:t>
      </w:r>
      <w:r>
        <w:rPr>
          <w:rFonts w:hint="eastAsia" w:ascii="宋体" w:hAnsi="宋体" w:cs="宋体"/>
          <w:sz w:val="24"/>
          <w:szCs w:val="24"/>
          <w:highlight w:val="whit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white"/>
        </w:rPr>
      </w:r>
      <w:r/>
    </w:p>
    <w:p>
      <w:pPr>
        <w:ind w:firstLine="480"/>
        <w:spacing w:line="280" w:lineRule="exact"/>
        <w:rPr>
          <w:rFonts w:hint="eastAsia" w:ascii="宋体" w:hAnsi="宋体" w:cs="宋体"/>
          <w:sz w:val="24"/>
          <w:szCs w:val="24"/>
          <w:highlight w:val="white"/>
        </w:rPr>
      </w:pPr>
      <w:r>
        <w:rPr>
          <w:rFonts w:hint="eastAsia" w:ascii="宋体" w:hAnsi="宋体" w:cs="宋体"/>
          <w:b/>
          <w:sz w:val="24"/>
          <w:szCs w:val="24"/>
          <w:highlight w:val="white"/>
        </w:rPr>
        <w:t xml:space="preserve">（三）建筑业。</w:t>
      </w:r>
      <w:r>
        <w:rPr>
          <w:rFonts w:hint="eastAsia" w:ascii="宋体" w:hAnsi="宋体" w:cs="宋体"/>
          <w:sz w:val="24"/>
          <w:szCs w:val="24"/>
          <w:highlight w:val="whit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white"/>
        </w:rPr>
      </w:r>
      <w:r/>
    </w:p>
    <w:p>
      <w:pPr>
        <w:ind w:firstLine="480"/>
        <w:spacing w:line="280" w:lineRule="exact"/>
        <w:rPr>
          <w:rFonts w:hint="eastAsia" w:ascii="宋体" w:hAnsi="宋体" w:cs="宋体"/>
          <w:sz w:val="24"/>
          <w:szCs w:val="24"/>
          <w:highlight w:val="white"/>
        </w:rPr>
      </w:pPr>
      <w:r>
        <w:rPr>
          <w:rFonts w:hint="eastAsia" w:ascii="宋体" w:hAnsi="宋体" w:cs="宋体"/>
          <w:b/>
          <w:sz w:val="24"/>
          <w:szCs w:val="24"/>
          <w:highlight w:val="white"/>
        </w:rPr>
        <w:t xml:space="preserve">（四）批发业。</w:t>
      </w:r>
      <w:r>
        <w:rPr>
          <w:rFonts w:hint="eastAsia" w:ascii="宋体" w:hAnsi="宋体" w:cs="宋体"/>
          <w:sz w:val="24"/>
          <w:szCs w:val="24"/>
          <w:highlight w:val="whit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white"/>
        </w:rPr>
      </w:r>
      <w:r/>
    </w:p>
    <w:p>
      <w:pPr>
        <w:ind w:firstLine="480"/>
        <w:spacing w:line="280" w:lineRule="exact"/>
        <w:rPr>
          <w:rFonts w:hint="eastAsia" w:ascii="宋体" w:hAnsi="宋体" w:cs="宋体"/>
          <w:sz w:val="24"/>
          <w:szCs w:val="24"/>
          <w:highlight w:val="white"/>
        </w:rPr>
      </w:pPr>
      <w:r>
        <w:rPr>
          <w:rFonts w:hint="eastAsia" w:ascii="宋体" w:hAnsi="宋体" w:cs="宋体"/>
          <w:b/>
          <w:sz w:val="24"/>
          <w:szCs w:val="24"/>
          <w:highlight w:val="white"/>
        </w:rPr>
        <w:t xml:space="preserve">（五）零售业。</w:t>
      </w:r>
      <w:r>
        <w:rPr>
          <w:rFonts w:hint="eastAsia" w:ascii="宋体" w:hAnsi="宋体" w:cs="宋体"/>
          <w:sz w:val="24"/>
          <w:szCs w:val="24"/>
          <w:highlight w:val="whit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white"/>
        </w:rPr>
      </w:r>
      <w:r/>
    </w:p>
    <w:p>
      <w:pPr>
        <w:ind w:firstLine="480"/>
        <w:spacing w:line="280" w:lineRule="exact"/>
        <w:rPr>
          <w:rFonts w:hint="eastAsia" w:ascii="宋体" w:hAnsi="宋体" w:cs="宋体"/>
          <w:sz w:val="24"/>
          <w:szCs w:val="24"/>
          <w:highlight w:val="white"/>
        </w:rPr>
      </w:pPr>
      <w:r>
        <w:rPr>
          <w:rFonts w:hint="eastAsia" w:ascii="宋体" w:hAnsi="宋体" w:cs="宋体"/>
          <w:b/>
          <w:sz w:val="24"/>
          <w:szCs w:val="24"/>
          <w:highlight w:val="white"/>
        </w:rPr>
        <w:t xml:space="preserve">（六）交通运输业。</w:t>
      </w:r>
      <w:r>
        <w:rPr>
          <w:rFonts w:hint="eastAsia" w:ascii="宋体" w:hAnsi="宋体" w:cs="宋体"/>
          <w:sz w:val="24"/>
          <w:szCs w:val="24"/>
          <w:highlight w:val="whit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white"/>
        </w:rPr>
      </w:r>
      <w:r/>
    </w:p>
    <w:p>
      <w:pPr>
        <w:ind w:firstLine="480"/>
        <w:spacing w:line="280" w:lineRule="exact"/>
        <w:rPr>
          <w:rFonts w:hint="eastAsia" w:ascii="宋体" w:hAnsi="宋体" w:cs="宋体"/>
          <w:sz w:val="24"/>
          <w:szCs w:val="24"/>
          <w:highlight w:val="white"/>
        </w:rPr>
      </w:pPr>
      <w:r>
        <w:rPr>
          <w:rFonts w:hint="eastAsia" w:ascii="宋体" w:hAnsi="宋体" w:cs="宋体"/>
          <w:b/>
          <w:sz w:val="24"/>
          <w:szCs w:val="24"/>
          <w:highlight w:val="white"/>
        </w:rPr>
        <w:t xml:space="preserve">（七）仓储业。</w:t>
      </w:r>
      <w:r>
        <w:rPr>
          <w:rFonts w:hint="eastAsia" w:ascii="宋体" w:hAnsi="宋体" w:cs="宋体"/>
          <w:sz w:val="24"/>
          <w:szCs w:val="24"/>
          <w:highlight w:val="whit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white"/>
        </w:rPr>
      </w:r>
      <w:r/>
    </w:p>
    <w:p>
      <w:pPr>
        <w:ind w:firstLine="480"/>
        <w:spacing w:line="280" w:lineRule="exact"/>
        <w:rPr>
          <w:rFonts w:hint="eastAsia" w:ascii="宋体" w:hAnsi="宋体" w:cs="宋体"/>
          <w:sz w:val="24"/>
          <w:szCs w:val="24"/>
          <w:highlight w:val="white"/>
        </w:rPr>
      </w:pPr>
      <w:r>
        <w:rPr>
          <w:rFonts w:hint="eastAsia" w:ascii="宋体" w:hAnsi="宋体" w:cs="宋体"/>
          <w:b/>
          <w:sz w:val="24"/>
          <w:szCs w:val="24"/>
          <w:highlight w:val="white"/>
        </w:rPr>
        <w:t xml:space="preserve">（八）邮政业。</w:t>
      </w:r>
      <w:r>
        <w:rPr>
          <w:rFonts w:hint="eastAsia" w:ascii="宋体" w:hAnsi="宋体" w:cs="宋体"/>
          <w:sz w:val="24"/>
          <w:szCs w:val="24"/>
          <w:highlight w:val="whit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white"/>
        </w:rPr>
      </w:r>
      <w:r/>
    </w:p>
    <w:p>
      <w:pPr>
        <w:ind w:firstLine="480"/>
        <w:spacing w:line="280" w:lineRule="exact"/>
        <w:rPr>
          <w:rFonts w:hint="eastAsia" w:ascii="宋体" w:hAnsi="宋体" w:cs="宋体"/>
          <w:sz w:val="24"/>
          <w:szCs w:val="24"/>
          <w:highlight w:val="white"/>
        </w:rPr>
      </w:pPr>
      <w:r>
        <w:rPr>
          <w:rFonts w:hint="eastAsia" w:ascii="宋体" w:hAnsi="宋体" w:cs="宋体"/>
          <w:b/>
          <w:sz w:val="24"/>
          <w:szCs w:val="24"/>
          <w:highlight w:val="white"/>
        </w:rPr>
        <w:t xml:space="preserve">（九）住宿业。</w:t>
      </w:r>
      <w:r>
        <w:rPr>
          <w:rFonts w:hint="eastAsia" w:ascii="宋体" w:hAnsi="宋体" w:cs="宋体"/>
          <w:sz w:val="24"/>
          <w:szCs w:val="24"/>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r/>
    </w:p>
    <w:p>
      <w:pPr>
        <w:ind w:firstLine="480"/>
        <w:spacing w:line="280" w:lineRule="exact"/>
        <w:rPr>
          <w:rFonts w:hint="eastAsia" w:ascii="宋体" w:hAnsi="宋体" w:cs="宋体"/>
          <w:sz w:val="24"/>
          <w:szCs w:val="24"/>
          <w:highlight w:val="white"/>
        </w:rPr>
      </w:pPr>
      <w:r>
        <w:rPr>
          <w:rFonts w:hint="eastAsia" w:ascii="宋体" w:hAnsi="宋体" w:cs="宋体"/>
          <w:b/>
          <w:sz w:val="24"/>
          <w:szCs w:val="24"/>
          <w:highlight w:val="white"/>
        </w:rPr>
        <w:t xml:space="preserve">（十）餐饮业。</w:t>
      </w:r>
      <w:r>
        <w:rPr>
          <w:rFonts w:hint="eastAsia" w:ascii="宋体" w:hAnsi="宋体" w:cs="宋体"/>
          <w:sz w:val="24"/>
          <w:szCs w:val="24"/>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r/>
    </w:p>
    <w:p>
      <w:pPr>
        <w:ind w:firstLine="480"/>
        <w:spacing w:line="280" w:lineRule="exact"/>
        <w:rPr>
          <w:rFonts w:hint="eastAsia" w:ascii="宋体" w:hAnsi="宋体" w:cs="宋体"/>
          <w:sz w:val="24"/>
          <w:szCs w:val="24"/>
          <w:highlight w:val="white"/>
        </w:rPr>
      </w:pPr>
      <w:r>
        <w:rPr>
          <w:rFonts w:hint="eastAsia" w:ascii="宋体" w:hAnsi="宋体" w:cs="宋体"/>
          <w:b/>
          <w:sz w:val="24"/>
          <w:szCs w:val="24"/>
          <w:highlight w:val="white"/>
        </w:rPr>
        <w:t xml:space="preserve">（十一）信息传输业。</w:t>
      </w:r>
      <w:r>
        <w:rPr>
          <w:rFonts w:hint="eastAsia" w:ascii="宋体" w:hAnsi="宋体" w:cs="宋体"/>
          <w:sz w:val="24"/>
          <w:szCs w:val="24"/>
          <w:highlight w:val="whit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white"/>
        </w:rPr>
      </w:r>
      <w:r/>
    </w:p>
    <w:p>
      <w:pPr>
        <w:ind w:firstLine="480"/>
        <w:spacing w:line="280" w:lineRule="exact"/>
        <w:rPr>
          <w:rFonts w:hint="eastAsia" w:ascii="宋体" w:hAnsi="宋体" w:cs="宋体"/>
          <w:sz w:val="24"/>
          <w:szCs w:val="24"/>
          <w:highlight w:val="white"/>
        </w:rPr>
      </w:pPr>
      <w:r>
        <w:rPr>
          <w:rFonts w:hint="eastAsia" w:ascii="宋体" w:hAnsi="宋体" w:cs="宋体"/>
          <w:b/>
          <w:sz w:val="24"/>
          <w:szCs w:val="24"/>
          <w:highlight w:val="white"/>
        </w:rPr>
        <w:t xml:space="preserve">（十二）软件和信息技术服务业。</w:t>
      </w:r>
      <w:r>
        <w:rPr>
          <w:rFonts w:hint="eastAsia" w:ascii="宋体" w:hAnsi="宋体" w:cs="宋体"/>
          <w:sz w:val="24"/>
          <w:szCs w:val="24"/>
          <w:highlight w:val="whit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white"/>
        </w:rPr>
      </w:r>
      <w:r/>
    </w:p>
    <w:p>
      <w:pPr>
        <w:ind w:firstLine="480"/>
        <w:spacing w:line="280" w:lineRule="exact"/>
        <w:rPr>
          <w:rFonts w:hint="eastAsia" w:ascii="宋体" w:hAnsi="宋体" w:cs="宋体"/>
          <w:sz w:val="24"/>
          <w:szCs w:val="24"/>
          <w:highlight w:val="white"/>
        </w:rPr>
      </w:pPr>
      <w:r>
        <w:rPr>
          <w:rFonts w:hint="eastAsia" w:ascii="宋体" w:hAnsi="宋体" w:cs="宋体"/>
          <w:b/>
          <w:sz w:val="24"/>
          <w:szCs w:val="24"/>
          <w:highlight w:val="white"/>
        </w:rPr>
        <w:t xml:space="preserve">（十三）房地产开发经营。</w:t>
      </w:r>
      <w:r>
        <w:rPr>
          <w:rFonts w:hint="eastAsia" w:ascii="宋体" w:hAnsi="宋体" w:cs="宋体"/>
          <w:sz w:val="24"/>
          <w:szCs w:val="24"/>
          <w:highlight w:val="whit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w:t>
      </w:r>
      <w:r>
        <w:rPr>
          <w:rFonts w:hint="eastAsia" w:ascii="宋体" w:hAnsi="宋体" w:cs="宋体"/>
          <w:sz w:val="24"/>
          <w:szCs w:val="24"/>
          <w:highlight w:val="white"/>
        </w:rPr>
        <w:t xml:space="preserve">下或资产总额2000万元以下的为微型企业。</w:t>
      </w:r>
      <w:r>
        <w:rPr>
          <w:highlight w:val="white"/>
        </w:rPr>
      </w:r>
      <w:r/>
    </w:p>
    <w:p>
      <w:pPr>
        <w:ind w:firstLine="480"/>
        <w:spacing w:line="280" w:lineRule="exact"/>
        <w:rPr>
          <w:rFonts w:hint="eastAsia" w:ascii="宋体" w:hAnsi="宋体" w:cs="宋体"/>
          <w:sz w:val="24"/>
          <w:szCs w:val="24"/>
          <w:highlight w:val="white"/>
        </w:rPr>
      </w:pPr>
      <w:r>
        <w:rPr>
          <w:rFonts w:hint="eastAsia" w:ascii="宋体" w:hAnsi="宋体" w:cs="宋体"/>
          <w:b/>
          <w:sz w:val="24"/>
          <w:szCs w:val="24"/>
          <w:highlight w:val="white"/>
        </w:rPr>
        <w:t xml:space="preserve">（十四）物业管理。</w:t>
      </w:r>
      <w:r>
        <w:rPr>
          <w:rFonts w:hint="eastAsia" w:ascii="宋体" w:hAnsi="宋体" w:cs="宋体"/>
          <w:sz w:val="24"/>
          <w:szCs w:val="24"/>
          <w:highlight w:val="white"/>
        </w:rPr>
        <w:t xml:space="preserve">从业人员1000人以下或营业收入5000万元以下的为中小微型企业。其中，从业人员</w:t>
      </w:r>
      <w:r>
        <w:rPr>
          <w:highlight w:val="white"/>
        </w:rPr>
      </w:r>
      <w:r/>
    </w:p>
    <w:p>
      <w:pPr>
        <w:spacing w:line="280" w:lineRule="exact"/>
        <w:rPr>
          <w:rFonts w:hint="eastAsia" w:ascii="宋体" w:hAnsi="宋体" w:cs="宋体"/>
          <w:sz w:val="24"/>
          <w:szCs w:val="24"/>
          <w:highlight w:val="white"/>
        </w:rPr>
      </w:pPr>
      <w:r>
        <w:rPr>
          <w:rFonts w:hint="eastAsia" w:ascii="宋体" w:hAnsi="宋体" w:cs="宋体"/>
          <w:sz w:val="24"/>
          <w:szCs w:val="24"/>
          <w:highlight w:val="white"/>
        </w:rPr>
        <w:t xml:space="preserve">300人及以上，且营业收入1000万元及以上的为中型企业；从业人员100人及以上，且营业收入500万元及以上的为小型企业；从业人员100人以下或营业收入500万元以下的为微型企业。</w:t>
      </w:r>
      <w:r>
        <w:rPr>
          <w:highlight w:val="white"/>
        </w:rPr>
      </w:r>
      <w:r/>
    </w:p>
    <w:p>
      <w:pPr>
        <w:ind w:firstLine="480"/>
        <w:spacing w:line="280" w:lineRule="exact"/>
        <w:rPr>
          <w:rFonts w:hint="eastAsia" w:ascii="宋体" w:hAnsi="宋体" w:cs="宋体"/>
          <w:sz w:val="24"/>
          <w:szCs w:val="24"/>
          <w:highlight w:val="white"/>
        </w:rPr>
      </w:pPr>
      <w:r>
        <w:rPr>
          <w:rFonts w:hint="eastAsia" w:ascii="宋体" w:hAnsi="宋体" w:cs="宋体"/>
          <w:b/>
          <w:sz w:val="24"/>
          <w:szCs w:val="24"/>
          <w:highlight w:val="white"/>
        </w:rPr>
        <w:t xml:space="preserve">（十五）租赁和商务服务业。</w:t>
      </w:r>
      <w:r>
        <w:rPr>
          <w:rFonts w:hint="eastAsia" w:ascii="宋体" w:hAnsi="宋体" w:cs="宋体"/>
          <w:sz w:val="24"/>
          <w:szCs w:val="24"/>
          <w:highlight w:val="whit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white"/>
        </w:rPr>
      </w:r>
      <w:r/>
    </w:p>
    <w:p>
      <w:pPr>
        <w:ind w:firstLine="480"/>
        <w:spacing w:line="280" w:lineRule="exact"/>
        <w:rPr>
          <w:rFonts w:hint="eastAsia" w:ascii="宋体" w:hAnsi="宋体" w:cs="宋体"/>
          <w:sz w:val="24"/>
          <w:szCs w:val="24"/>
          <w:highlight w:val="white"/>
        </w:rPr>
      </w:pPr>
      <w:r>
        <w:rPr>
          <w:rFonts w:hint="eastAsia" w:ascii="宋体" w:hAnsi="宋体" w:cs="宋体"/>
          <w:b/>
          <w:sz w:val="24"/>
          <w:szCs w:val="24"/>
          <w:highlight w:val="white"/>
        </w:rPr>
        <w:t xml:space="preserve">（十六）其他未列明行业。</w:t>
      </w:r>
      <w:r>
        <w:rPr>
          <w:rFonts w:hint="eastAsia" w:ascii="宋体" w:hAnsi="宋体" w:cs="宋体"/>
          <w:sz w:val="24"/>
          <w:szCs w:val="24"/>
          <w:highlight w:val="white"/>
        </w:rPr>
        <w:t xml:space="preserve">从业人员300人以下的为中小微型企业。其中，从业人员100人及以上的为中型企业；从业人员10人及以上的为小型企业；从业人员10人以下的为微型企业。</w:t>
      </w:r>
      <w:r>
        <w:rPr>
          <w:highlight w:val="white"/>
        </w:rPr>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r>
      <w:r>
        <w:rPr>
          <w:highlight w:val="white"/>
        </w:rPr>
      </w:r>
      <w:r/>
    </w:p>
    <w:p>
      <w:pPr>
        <w:ind w:firstLine="420"/>
        <w:spacing w:line="360" w:lineRule="auto"/>
        <w:rPr>
          <w:rFonts w:hint="eastAsia" w:ascii="宋体" w:hAnsi="宋体"/>
          <w:sz w:val="24"/>
          <w:szCs w:val="24"/>
          <w:highlight w:val="white"/>
        </w:rPr>
      </w:pPr>
      <w:r>
        <w:rPr>
          <w:rFonts w:hint="eastAsia" w:ascii="宋体" w:hAnsi="宋体"/>
          <w:sz w:val="24"/>
          <w:szCs w:val="24"/>
          <w:highlight w:val="white"/>
        </w:rPr>
      </w:r>
      <w:r>
        <w:rPr>
          <w:highlight w:val="white"/>
        </w:rPr>
      </w:r>
      <w:r/>
    </w:p>
    <w:p>
      <w:pPr>
        <w:ind w:firstLine="420"/>
        <w:spacing w:line="360" w:lineRule="auto"/>
        <w:rPr>
          <w:rFonts w:hint="eastAsia" w:ascii="宋体" w:hAnsi="宋体"/>
          <w:sz w:val="24"/>
          <w:szCs w:val="24"/>
          <w:highlight w:val="white"/>
        </w:rPr>
      </w:pPr>
      <w:r>
        <w:rPr>
          <w:rFonts w:hint="eastAsia" w:ascii="宋体" w:hAnsi="宋体"/>
          <w:sz w:val="24"/>
          <w:szCs w:val="24"/>
          <w:highlight w:val="white"/>
        </w:rPr>
      </w:r>
      <w:r>
        <w:rPr>
          <w:highlight w:val="white"/>
        </w:rPr>
      </w:r>
      <w:r/>
    </w:p>
    <w:p>
      <w:pPr>
        <w:ind w:firstLine="420"/>
        <w:rPr>
          <w:rFonts w:hint="eastAsia" w:ascii="宋体" w:hAnsi="宋体"/>
          <w:sz w:val="24"/>
          <w:szCs w:val="24"/>
          <w:highlight w:val="white"/>
        </w:rPr>
      </w:pPr>
      <w:r>
        <w:rPr>
          <w:rFonts w:hint="eastAsia" w:ascii="宋体" w:hAnsi="宋体"/>
          <w:sz w:val="24"/>
          <w:szCs w:val="24"/>
          <w:highlight w:val="white"/>
        </w:rPr>
      </w:r>
      <w:r>
        <w:rPr>
          <w:highlight w:val="white"/>
        </w:rPr>
      </w:r>
      <w:r/>
    </w:p>
    <w:p>
      <w:pPr>
        <w:ind w:firstLine="420"/>
        <w:rPr>
          <w:rFonts w:hint="eastAsia" w:ascii="宋体" w:hAnsi="宋体"/>
          <w:sz w:val="24"/>
          <w:szCs w:val="24"/>
          <w:highlight w:val="white"/>
        </w:rPr>
      </w:pPr>
      <w:r>
        <w:rPr>
          <w:rFonts w:hint="eastAsia" w:ascii="宋体" w:hAnsi="宋体"/>
          <w:sz w:val="24"/>
          <w:szCs w:val="24"/>
          <w:highlight w:val="white"/>
        </w:rPr>
      </w:r>
      <w:r>
        <w:rPr>
          <w:highlight w:val="white"/>
        </w:rPr>
      </w:r>
      <w:r/>
    </w:p>
    <w:p>
      <w:pPr>
        <w:spacing w:line="360" w:lineRule="auto"/>
        <w:rPr>
          <w:rFonts w:hint="eastAsia" w:ascii="宋体" w:hAnsi="宋体" w:cs="宋体"/>
          <w:sz w:val="24"/>
          <w:szCs w:val="24"/>
          <w:highlight w:val="white"/>
        </w:rPr>
      </w:pPr>
      <w:r>
        <w:rPr>
          <w:rFonts w:hint="eastAsia" w:ascii="宋体" w:hAnsi="宋体" w:cs="宋体"/>
          <w:b/>
          <w:bCs/>
          <w:sz w:val="24"/>
          <w:szCs w:val="24"/>
          <w:highlight w:val="white"/>
        </w:rPr>
        <w:t xml:space="preserve">11、</w:t>
      </w:r>
      <w:r>
        <w:rPr>
          <w:rFonts w:hint="eastAsia" w:ascii="宋体" w:hAnsi="宋体" w:cs="宋体"/>
          <w:sz w:val="24"/>
          <w:szCs w:val="24"/>
          <w:highlight w:val="white"/>
        </w:rPr>
        <w:t xml:space="preserve">残疾人福利性单位声明函（如有）</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本单位对上述声明的真实性负责。如有虚假，将依法承担相应责任。</w:t>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ind w:right="1560" w:firstLine="480"/>
        <w:jc w:val="center"/>
        <w:spacing w:line="360" w:lineRule="auto"/>
        <w:tabs>
          <w:tab w:val="left" w:pos="4860" w:leader="none"/>
        </w:tabs>
        <w:rPr>
          <w:rFonts w:hint="eastAsia" w:ascii="宋体" w:hAnsi="宋体" w:cs="宋体"/>
          <w:sz w:val="24"/>
          <w:szCs w:val="24"/>
          <w:highlight w:val="white"/>
        </w:rPr>
      </w:pPr>
      <w:r>
        <w:rPr>
          <w:rFonts w:hint="eastAsia" w:ascii="宋体" w:hAnsi="宋体" w:cs="宋体"/>
          <w:sz w:val="24"/>
          <w:szCs w:val="24"/>
          <w:highlight w:val="white"/>
        </w:rPr>
        <w:t xml:space="preserve">                         单位名称（盖章）：</w:t>
      </w:r>
      <w:r>
        <w:rPr>
          <w:highlight w:val="white"/>
        </w:rPr>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日  期：</w:t>
      </w:r>
      <w:r>
        <w:rPr>
          <w:highlight w:val="white"/>
        </w:rPr>
      </w:r>
      <w:r/>
    </w:p>
    <w:p>
      <w:pPr>
        <w:pStyle w:val="799"/>
        <w:rPr>
          <w:highlight w:val="white"/>
        </w:rPr>
      </w:pPr>
      <w:r>
        <w:rPr>
          <w:highlight w:val="white"/>
        </w:rPr>
        <w:br w:type="page" w:clear="all"/>
      </w:r>
      <w:r>
        <w:rPr>
          <w:highlight w:val="white"/>
        </w:rPr>
      </w:r>
      <w:r/>
    </w:p>
    <w:p>
      <w:pPr>
        <w:spacing w:line="360" w:lineRule="auto"/>
        <w:rPr>
          <w:rFonts w:hint="eastAsia" w:asciiTheme="minorEastAsia" w:hAnsiTheme="minorEastAsia" w:eastAsiaTheme="minorEastAsia"/>
          <w:b/>
          <w:bCs/>
          <w:sz w:val="24"/>
          <w:szCs w:val="24"/>
          <w:highlight w:val="white"/>
        </w:rPr>
      </w:pPr>
      <w:r>
        <w:rPr>
          <w:rFonts w:hint="eastAsia" w:asciiTheme="minorEastAsia" w:hAnsiTheme="minorEastAsia" w:eastAsiaTheme="minorEastAsia"/>
          <w:b/>
          <w:spacing w:val="6"/>
          <w:sz w:val="24"/>
          <w:szCs w:val="24"/>
          <w:highlight w:val="white"/>
        </w:rPr>
        <w:t xml:space="preserve">1</w:t>
      </w:r>
      <w:r>
        <w:rPr>
          <w:rFonts w:asciiTheme="minorEastAsia" w:hAnsiTheme="minorEastAsia" w:eastAsiaTheme="minorEastAsia"/>
          <w:b/>
          <w:spacing w:val="6"/>
          <w:sz w:val="24"/>
          <w:szCs w:val="24"/>
          <w:highlight w:val="white"/>
        </w:rPr>
        <w:t xml:space="preserve">2</w:t>
      </w:r>
      <w:r>
        <w:rPr>
          <w:rFonts w:hint="eastAsia" w:asciiTheme="minorEastAsia" w:hAnsiTheme="minorEastAsia" w:eastAsiaTheme="minorEastAsia"/>
          <w:b/>
          <w:spacing w:val="6"/>
          <w:sz w:val="24"/>
          <w:szCs w:val="24"/>
          <w:highlight w:val="white"/>
        </w:rPr>
        <w:t xml:space="preserve">、</w:t>
      </w:r>
      <w:r>
        <w:rPr>
          <w:rFonts w:hint="eastAsia" w:asciiTheme="minorEastAsia" w:hAnsiTheme="minorEastAsia" w:eastAsiaTheme="minorEastAsia"/>
          <w:b/>
          <w:bCs/>
          <w:sz w:val="24"/>
          <w:szCs w:val="24"/>
          <w:highlight w:val="white"/>
        </w:rPr>
        <w:t xml:space="preserve">投标（响应）保证承诺书</w:t>
      </w:r>
      <w:r>
        <w:rPr>
          <w:highlight w:val="white"/>
        </w:rPr>
      </w:r>
      <w:r/>
    </w:p>
    <w:p>
      <w:pPr>
        <w:jc w:val="center"/>
        <w:spacing w:line="400" w:lineRule="exact"/>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t xml:space="preserve">投标（响应）保证承诺书</w:t>
      </w:r>
      <w:r>
        <w:rPr>
          <w:highlight w:val="white"/>
        </w:rPr>
      </w:r>
      <w:r/>
    </w:p>
    <w:p>
      <w:pPr>
        <w:jc w:val="left"/>
        <w:spacing w:line="360" w:lineRule="auto"/>
        <w:widowControl/>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r>
      <w:r>
        <w:rPr>
          <w:highlight w:val="white"/>
        </w:rPr>
      </w:r>
      <w:r/>
    </w:p>
    <w:p>
      <w:pPr>
        <w:jc w:val="left"/>
        <w:spacing w:line="520" w:lineRule="exact"/>
        <w:widowControl/>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致：</w:t>
      </w:r>
      <w:r>
        <w:rPr>
          <w:rFonts w:hint="eastAsia" w:cs="宋体" w:asciiTheme="minorEastAsia" w:hAnsiTheme="minorEastAsia" w:eastAsiaTheme="minorEastAsia"/>
          <w:sz w:val="24"/>
          <w:szCs w:val="24"/>
          <w:highlight w:val="white"/>
          <w:u w:val="single"/>
        </w:rPr>
        <w:t xml:space="preserve">         （采购代理机构名称）</w:t>
      </w:r>
      <w:r>
        <w:rPr>
          <w:highlight w:val="white"/>
        </w:rPr>
      </w:r>
      <w:r/>
    </w:p>
    <w:p>
      <w:pPr>
        <w:ind w:firstLine="480"/>
        <w:jc w:val="left"/>
        <w:spacing w:line="520" w:lineRule="exact"/>
        <w:widowControl/>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我（单位/本人，以下统称我单位）自愿参加</w:t>
      </w:r>
      <w:r>
        <w:rPr>
          <w:rFonts w:hint="eastAsia" w:cs="宋体" w:asciiTheme="minorEastAsia" w:hAnsiTheme="minorEastAsia" w:eastAsiaTheme="minorEastAsia"/>
          <w:sz w:val="24"/>
          <w:szCs w:val="24"/>
          <w:highlight w:val="white"/>
          <w:u w:val="single"/>
        </w:rPr>
        <w:t xml:space="preserve">              （项目名称和采购编号）</w:t>
      </w:r>
      <w:r>
        <w:rPr>
          <w:rFonts w:hint="eastAsia" w:cs="宋体" w:asciiTheme="minorEastAsia" w:hAnsiTheme="minorEastAsia" w:eastAsiaTheme="minorEastAsia"/>
          <w:sz w:val="24"/>
          <w:szCs w:val="24"/>
          <w:highlight w:val="white"/>
        </w:rPr>
        <w:t xml:space="preserve">的投标（响应）,并做出如下承诺：</w:t>
      </w:r>
      <w:r>
        <w:rPr>
          <w:highlight w:val="white"/>
        </w:rPr>
      </w:r>
      <w:r/>
    </w:p>
    <w:p>
      <w:pPr>
        <w:numPr>
          <w:ilvl w:val="0"/>
          <w:numId w:val="28"/>
        </w:numPr>
        <w:ind w:left="431" w:hanging="431"/>
        <w:jc w:val="left"/>
        <w:spacing w:line="520" w:lineRule="exact"/>
        <w:widowControl/>
        <w:tabs>
          <w:tab w:val="left" w:pos="426" w:leader="none"/>
        </w:tabs>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除不可抗力外，我单位如果发生以下行为，将在行为发生的10个工作日内，向贵方</w:t>
      </w:r>
      <w:r>
        <w:rPr>
          <w:rFonts w:hint="eastAsia" w:cs="宋体" w:asciiTheme="minorEastAsia" w:hAnsiTheme="minorEastAsia" w:eastAsiaTheme="minorEastAsia"/>
          <w:sz w:val="24"/>
          <w:szCs w:val="24"/>
          <w:highlight w:val="white"/>
          <w:u w:val="single"/>
        </w:rPr>
        <w:t xml:space="preserve">（或采购人）</w:t>
      </w:r>
      <w:r>
        <w:rPr>
          <w:rFonts w:hint="eastAsia" w:cs="宋体" w:asciiTheme="minorEastAsia" w:hAnsiTheme="minorEastAsia" w:eastAsiaTheme="minorEastAsia"/>
          <w:sz w:val="24"/>
          <w:szCs w:val="24"/>
          <w:highlight w:val="white"/>
        </w:rPr>
        <w:t xml:space="preserve">支付本采购文件公布的预算金额（或最高限价）的2%作为违约赔偿金（数量不确定的单价采购须约定具体金额）。</w:t>
      </w:r>
      <w:r>
        <w:rPr>
          <w:highlight w:val="white"/>
        </w:rPr>
      </w:r>
      <w:r/>
    </w:p>
    <w:p>
      <w:pPr>
        <w:numPr>
          <w:ilvl w:val="0"/>
          <w:numId w:val="29"/>
        </w:numPr>
        <w:jc w:val="left"/>
        <w:spacing w:line="520" w:lineRule="exact"/>
        <w:widowControl/>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自投标（响应）截止时间至本项目发布中标（成交）公告为止，撤销投标（响应）；</w:t>
      </w:r>
      <w:r>
        <w:rPr>
          <w:highlight w:val="white"/>
        </w:rPr>
      </w:r>
      <w:r/>
    </w:p>
    <w:p>
      <w:pPr>
        <w:numPr>
          <w:ilvl w:val="0"/>
          <w:numId w:val="29"/>
        </w:numPr>
        <w:jc w:val="left"/>
        <w:spacing w:line="520" w:lineRule="exact"/>
        <w:widowControl/>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中标（成交）后不依法与采购人签订合同；</w:t>
      </w:r>
      <w:r>
        <w:rPr>
          <w:highlight w:val="white"/>
        </w:rPr>
      </w:r>
      <w:r/>
    </w:p>
    <w:p>
      <w:pPr>
        <w:numPr>
          <w:ilvl w:val="0"/>
          <w:numId w:val="29"/>
        </w:numPr>
        <w:jc w:val="left"/>
        <w:spacing w:line="520" w:lineRule="exact"/>
        <w:widowControl/>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中标（成交）后不按本采购文件规定向采购人提交履约保证金</w:t>
      </w:r>
      <w:r>
        <w:rPr>
          <w:rFonts w:hint="eastAsia" w:cs="宋体" w:asciiTheme="minorEastAsia" w:hAnsiTheme="minorEastAsia" w:eastAsiaTheme="minorEastAsia"/>
          <w:sz w:val="24"/>
          <w:szCs w:val="24"/>
          <w:highlight w:val="white"/>
        </w:rPr>
        <w:t xml:space="preserve">。</w:t>
      </w:r>
      <w:r>
        <w:rPr>
          <w:rFonts w:hint="eastAsia" w:cs="宋体" w:asciiTheme="minorEastAsia" w:hAnsiTheme="minorEastAsia" w:eastAsiaTheme="minorEastAsia"/>
          <w:sz w:val="24"/>
          <w:szCs w:val="24"/>
          <w:highlight w:val="none"/>
        </w:rPr>
      </w:r>
      <w:r/>
      <w:r>
        <w:rPr>
          <w:highlight w:val="white"/>
        </w:rPr>
      </w:r>
      <w:r/>
      <w:r>
        <w:rPr>
          <w:rFonts w:hint="eastAsia" w:cs="宋体" w:asciiTheme="minorEastAsia" w:hAnsiTheme="minorEastAsia" w:eastAsiaTheme="minorEastAsia"/>
          <w:sz w:val="24"/>
          <w:szCs w:val="24"/>
          <w:highlight w:val="white"/>
        </w:rPr>
      </w:r>
    </w:p>
    <w:p>
      <w:pPr>
        <w:numPr>
          <w:ilvl w:val="0"/>
          <w:numId w:val="28"/>
        </w:numPr>
        <w:ind w:left="431" w:hanging="431"/>
        <w:jc w:val="left"/>
        <w:spacing w:line="520" w:lineRule="exact"/>
        <w:widowControl/>
        <w:tabs>
          <w:tab w:val="left" w:pos="426" w:leader="none"/>
        </w:tabs>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我单位知晓上述行为的法律后果，承认本承诺书作为贵方（或采购人）要求我单位履行违约赔偿义务的依据作用。</w:t>
      </w:r>
      <w:r>
        <w:rPr>
          <w:highlight w:val="white"/>
        </w:rPr>
      </w:r>
      <w:r/>
    </w:p>
    <w:p>
      <w:pPr>
        <w:jc w:val="left"/>
        <w:spacing w:line="520" w:lineRule="exact"/>
        <w:widowControl/>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 </w:t>
      </w:r>
      <w:r>
        <w:rPr>
          <w:highlight w:val="white"/>
        </w:rPr>
      </w:r>
      <w:r/>
    </w:p>
    <w:p>
      <w:pPr>
        <w:ind w:firstLine="485"/>
        <w:jc w:val="left"/>
        <w:spacing w:line="520" w:lineRule="exact"/>
        <w:widowControl/>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投标（响应）人：（盖公章）</w:t>
      </w:r>
      <w:r>
        <w:rPr>
          <w:highlight w:val="white"/>
        </w:rPr>
      </w:r>
      <w:r/>
    </w:p>
    <w:p>
      <w:pPr>
        <w:ind w:firstLine="485"/>
        <w:jc w:val="left"/>
        <w:spacing w:line="520" w:lineRule="exact"/>
        <w:widowControl/>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地址：</w:t>
      </w:r>
      <w:r>
        <w:rPr>
          <w:rFonts w:hint="eastAsia" w:cs="宋体" w:asciiTheme="minorEastAsia" w:hAnsiTheme="minorEastAsia" w:eastAsiaTheme="minorEastAsia"/>
          <w:sz w:val="24"/>
          <w:szCs w:val="24"/>
          <w:highlight w:val="white"/>
          <w:u w:val="single"/>
        </w:rPr>
        <w:t xml:space="preserve">                                   </w:t>
      </w:r>
      <w:r>
        <w:rPr>
          <w:highlight w:val="white"/>
        </w:rPr>
      </w:r>
      <w:r/>
    </w:p>
    <w:p>
      <w:pPr>
        <w:ind w:firstLine="485"/>
        <w:jc w:val="left"/>
        <w:spacing w:line="520" w:lineRule="exact"/>
        <w:widowControl/>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电话：</w:t>
      </w:r>
      <w:r>
        <w:rPr>
          <w:rFonts w:hint="eastAsia" w:cs="宋体" w:asciiTheme="minorEastAsia" w:hAnsiTheme="minorEastAsia" w:eastAsiaTheme="minorEastAsia"/>
          <w:sz w:val="24"/>
          <w:szCs w:val="24"/>
          <w:highlight w:val="white"/>
          <w:u w:val="single"/>
        </w:rPr>
        <w:t xml:space="preserve">                          </w:t>
      </w:r>
      <w:r>
        <w:rPr>
          <w:highlight w:val="white"/>
        </w:rPr>
      </w:r>
      <w:r/>
    </w:p>
    <w:p>
      <w:pPr>
        <w:ind w:firstLine="485"/>
        <w:jc w:val="left"/>
        <w:spacing w:line="520" w:lineRule="exact"/>
        <w:widowControl/>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传真：</w:t>
      </w:r>
      <w:r>
        <w:rPr>
          <w:rFonts w:hint="eastAsia" w:cs="宋体" w:asciiTheme="minorEastAsia" w:hAnsiTheme="minorEastAsia" w:eastAsiaTheme="minorEastAsia"/>
          <w:sz w:val="24"/>
          <w:szCs w:val="24"/>
          <w:highlight w:val="white"/>
          <w:u w:val="single"/>
        </w:rPr>
        <w:t xml:space="preserve">                          </w:t>
      </w:r>
      <w:r>
        <w:rPr>
          <w:highlight w:val="white"/>
        </w:rPr>
      </w:r>
      <w:r/>
    </w:p>
    <w:p>
      <w:pPr>
        <w:ind w:firstLine="485"/>
        <w:jc w:val="left"/>
        <w:spacing w:line="520" w:lineRule="exact"/>
        <w:widowControl/>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电子邮件：</w:t>
      </w:r>
      <w:r>
        <w:rPr>
          <w:rFonts w:hint="eastAsia" w:cs="宋体" w:asciiTheme="minorEastAsia" w:hAnsiTheme="minorEastAsia" w:eastAsiaTheme="minorEastAsia"/>
          <w:sz w:val="24"/>
          <w:szCs w:val="24"/>
          <w:highlight w:val="white"/>
          <w:u w:val="single"/>
        </w:rPr>
        <w:t xml:space="preserve">                                     </w:t>
      </w:r>
      <w:r>
        <w:rPr>
          <w:highlight w:val="white"/>
        </w:rPr>
      </w:r>
      <w:r/>
    </w:p>
    <w:p>
      <w:pPr>
        <w:ind w:firstLine="485"/>
        <w:jc w:val="left"/>
        <w:spacing w:line="520" w:lineRule="exact"/>
        <w:widowControl/>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邮编：</w:t>
      </w:r>
      <w:r>
        <w:rPr>
          <w:rFonts w:hint="eastAsia" w:cs="宋体" w:asciiTheme="minorEastAsia" w:hAnsiTheme="minorEastAsia" w:eastAsiaTheme="minorEastAsia"/>
          <w:sz w:val="24"/>
          <w:szCs w:val="24"/>
          <w:highlight w:val="white"/>
          <w:u w:val="single"/>
        </w:rPr>
        <w:t xml:space="preserve">                                      </w:t>
      </w:r>
      <w:r>
        <w:rPr>
          <w:highlight w:val="white"/>
        </w:rPr>
      </w:r>
      <w:r/>
    </w:p>
    <w:p>
      <w:pPr>
        <w:ind w:firstLine="485"/>
        <w:jc w:val="left"/>
        <w:spacing w:line="520" w:lineRule="exact"/>
        <w:widowControl/>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法定代表人或委托代理人(签字或签章)：</w:t>
      </w:r>
      <w:r>
        <w:rPr>
          <w:highlight w:val="white"/>
        </w:rPr>
      </w:r>
      <w:r/>
    </w:p>
    <w:p>
      <w:pPr>
        <w:ind w:firstLine="485"/>
        <w:jc w:val="left"/>
        <w:spacing w:line="520" w:lineRule="exact"/>
        <w:widowControl/>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t xml:space="preserve">日期：</w:t>
      </w:r>
      <w:r>
        <w:rPr>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rPr>
          <w:highlight w:val="white"/>
        </w:rPr>
      </w:r>
      <w:r/>
    </w:p>
    <w:p>
      <w:pPr>
        <w:rPr>
          <w:rFonts w:hint="eastAsia"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rPr>
        <w:br w:type="page" w:clear="all"/>
      </w:r>
      <w:r>
        <w:rPr>
          <w:highlight w:val="white"/>
        </w:rPr>
      </w:r>
      <w:r/>
    </w:p>
    <w:p>
      <w:pPr>
        <w:spacing w:line="360" w:lineRule="auto"/>
        <w:widowControl/>
        <w:rPr>
          <w:rFonts w:hint="eastAsia" w:asciiTheme="minorEastAsia" w:hAnsiTheme="minorEastAsia" w:eastAsiaTheme="minorEastAsia"/>
          <w:b/>
          <w:sz w:val="24"/>
          <w:szCs w:val="24"/>
          <w:highlight w:val="white"/>
          <w:shd w:val="clear" w:color="auto" w:fill="ffffff"/>
        </w:rPr>
      </w:pPr>
      <w:r>
        <w:rPr>
          <w:rFonts w:hint="eastAsia" w:asciiTheme="minorEastAsia" w:hAnsiTheme="minorEastAsia" w:eastAsiaTheme="minorEastAsia"/>
          <w:b/>
          <w:spacing w:val="6"/>
          <w:sz w:val="24"/>
          <w:szCs w:val="24"/>
          <w:highlight w:val="white"/>
        </w:rPr>
        <w:t xml:space="preserve">1</w:t>
      </w:r>
      <w:r>
        <w:rPr>
          <w:rFonts w:asciiTheme="minorEastAsia" w:hAnsiTheme="minorEastAsia" w:eastAsiaTheme="minorEastAsia"/>
          <w:b/>
          <w:spacing w:val="6"/>
          <w:sz w:val="24"/>
          <w:szCs w:val="24"/>
          <w:highlight w:val="white"/>
        </w:rPr>
        <w:t xml:space="preserve">3</w:t>
      </w:r>
      <w:r>
        <w:rPr>
          <w:rFonts w:hint="eastAsia" w:asciiTheme="minorEastAsia" w:hAnsiTheme="minorEastAsia" w:eastAsiaTheme="minorEastAsia"/>
          <w:b/>
          <w:spacing w:val="6"/>
          <w:sz w:val="24"/>
          <w:szCs w:val="24"/>
          <w:highlight w:val="white"/>
        </w:rPr>
        <w:t xml:space="preserve">、</w:t>
      </w:r>
      <w:r>
        <w:rPr>
          <w:highlight w:val="white"/>
        </w:rPr>
      </w:r>
      <w:r/>
    </w:p>
    <w:p>
      <w:pPr>
        <w:jc w:val="center"/>
        <w:spacing w:line="360" w:lineRule="auto"/>
        <w:widowControl/>
        <w:rPr>
          <w:rFonts w:hint="eastAsia" w:asciiTheme="minorEastAsia" w:hAnsiTheme="minorEastAsia" w:eastAsiaTheme="minorEastAsia"/>
          <w:b/>
          <w:sz w:val="24"/>
          <w:szCs w:val="24"/>
          <w:highlight w:val="white"/>
          <w:shd w:val="clear" w:color="auto" w:fill="ffffff"/>
        </w:rPr>
      </w:pPr>
      <w:r>
        <w:rPr>
          <w:highlight w:val="white"/>
        </w:rPr>
      </w:r>
      <w:bookmarkStart w:id="9" w:name="_Hlk180139451"/>
      <w:r>
        <w:rPr>
          <w:rFonts w:hint="eastAsia" w:asciiTheme="minorEastAsia" w:hAnsiTheme="minorEastAsia" w:eastAsiaTheme="minorEastAsia"/>
          <w:b/>
          <w:sz w:val="24"/>
          <w:szCs w:val="24"/>
          <w:highlight w:val="white"/>
          <w:shd w:val="clear" w:color="auto" w:fill="ffffff"/>
        </w:rPr>
        <w:t xml:space="preserve">响应单位与其他单位存在控股、管理关系情况表</w:t>
      </w:r>
      <w:bookmarkEnd w:id="9"/>
      <w:r>
        <w:rPr>
          <w:highlight w:val="white"/>
        </w:rPr>
      </w:r>
      <w:r/>
    </w:p>
    <w:tbl>
      <w:tblPr>
        <w:tblW w:w="10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3"/>
        <w:gridCol w:w="1704"/>
        <w:gridCol w:w="1506"/>
        <w:gridCol w:w="1580"/>
        <w:gridCol w:w="1084"/>
        <w:gridCol w:w="1711"/>
        <w:gridCol w:w="1268"/>
      </w:tblGrid>
      <w:tr>
        <w:trPr>
          <w:jc w:val="center"/>
          <w:trHeight w:val="766"/>
        </w:trPr>
        <w:tc>
          <w:tcPr>
            <w:gridSpan w:val="4"/>
            <w:tcW w:w="6343"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t xml:space="preserve">与</w:t>
            </w:r>
            <w:r>
              <w:rPr>
                <w:rFonts w:hint="eastAsia" w:asciiTheme="minorEastAsia" w:hAnsiTheme="minorEastAsia" w:eastAsiaTheme="minorEastAsia"/>
                <w:b/>
                <w:sz w:val="24"/>
                <w:szCs w:val="24"/>
                <w:highlight w:val="white"/>
                <w:shd w:val="clear" w:color="auto" w:fill="ffffff"/>
              </w:rPr>
              <w:t xml:space="preserve">响应单位</w:t>
            </w:r>
            <w:r>
              <w:rPr>
                <w:rFonts w:hint="eastAsia" w:asciiTheme="minorEastAsia" w:hAnsiTheme="minorEastAsia" w:eastAsiaTheme="minorEastAsia"/>
                <w:b/>
                <w:sz w:val="24"/>
                <w:szCs w:val="24"/>
                <w:highlight w:val="white"/>
              </w:rPr>
              <w:t xml:space="preserve">存在直接股权关系</w:t>
            </w:r>
            <w:r>
              <w:rPr>
                <w:highlight w:val="white"/>
              </w:rPr>
            </w:r>
            <w:r/>
          </w:p>
        </w:tc>
        <w:tc>
          <w:tcPr>
            <w:gridSpan w:val="3"/>
            <w:tcW w:w="4063"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t xml:space="preserve">与</w:t>
            </w:r>
            <w:r>
              <w:rPr>
                <w:rFonts w:hint="eastAsia" w:asciiTheme="minorEastAsia" w:hAnsiTheme="minorEastAsia" w:eastAsiaTheme="minorEastAsia"/>
                <w:b/>
                <w:sz w:val="24"/>
                <w:szCs w:val="24"/>
                <w:highlight w:val="white"/>
                <w:shd w:val="clear" w:color="auto" w:fill="ffffff"/>
              </w:rPr>
              <w:t xml:space="preserve">响应单位</w:t>
            </w:r>
            <w:r>
              <w:rPr>
                <w:rFonts w:hint="eastAsia" w:asciiTheme="minorEastAsia" w:hAnsiTheme="minorEastAsia" w:eastAsiaTheme="minorEastAsia"/>
                <w:b/>
                <w:sz w:val="24"/>
                <w:szCs w:val="24"/>
                <w:highlight w:val="white"/>
              </w:rPr>
              <w:t xml:space="preserve">存在直接管理关系</w:t>
            </w:r>
            <w:r>
              <w:rPr>
                <w:highlight w:val="white"/>
              </w:rPr>
            </w:r>
            <w:r/>
          </w:p>
        </w:tc>
      </w:tr>
      <w:tr>
        <w:trPr>
          <w:jc w:val="center"/>
          <w:trHeight w:val="768"/>
        </w:trPr>
        <w:tc>
          <w:tcPr>
            <w:tcW w:w="1553"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t xml:space="preserve">单位名称</w:t>
            </w:r>
            <w:r>
              <w:rPr>
                <w:highlight w:val="white"/>
              </w:rPr>
            </w:r>
            <w:r/>
          </w:p>
        </w:tc>
        <w:tc>
          <w:tcPr>
            <w:tcW w:w="1704"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t xml:space="preserve">是否为大型企业</w:t>
            </w:r>
            <w:r>
              <w:rPr>
                <w:highlight w:val="white"/>
              </w:rPr>
            </w:r>
            <w:r/>
          </w:p>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t xml:space="preserve">（填写“是”或 “否”）</w:t>
            </w:r>
            <w:r>
              <w:rPr>
                <w:highlight w:val="white"/>
              </w:rPr>
            </w:r>
            <w:r/>
          </w:p>
        </w:tc>
        <w:tc>
          <w:tcPr>
            <w:tcW w:w="1506" w:type="dxa"/>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t xml:space="preserve">是否直接控股</w:t>
            </w:r>
            <w:r>
              <w:rPr>
                <w:highlight w:val="white"/>
              </w:rPr>
            </w:r>
            <w:r/>
          </w:p>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t xml:space="preserve">（填写“是”或 “否”）</w:t>
            </w:r>
            <w:r>
              <w:rPr>
                <w:highlight w:val="white"/>
              </w:rPr>
            </w:r>
            <w:r/>
          </w:p>
        </w:tc>
        <w:tc>
          <w:tcPr>
            <w:tcW w:w="1580"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t xml:space="preserve">直接控股关系情况说明（持股比例等）</w:t>
            </w:r>
            <w:r>
              <w:rPr>
                <w:highlight w:val="white"/>
              </w:rPr>
            </w:r>
            <w:r/>
          </w:p>
        </w:tc>
        <w:tc>
          <w:tcPr>
            <w:tcW w:w="1084"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t xml:space="preserve">单位名称</w:t>
            </w:r>
            <w:r>
              <w:rPr>
                <w:highlight w:val="white"/>
              </w:rPr>
            </w:r>
            <w:r/>
          </w:p>
        </w:tc>
        <w:tc>
          <w:tcPr>
            <w:tcW w:w="1711"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t xml:space="preserve">是否为大型企业</w:t>
            </w:r>
            <w:r>
              <w:rPr>
                <w:highlight w:val="white"/>
              </w:rPr>
            </w:r>
            <w:r/>
          </w:p>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t xml:space="preserve">（填写“是”或 “否”）</w:t>
            </w:r>
            <w:r>
              <w:rPr>
                <w:highlight w:val="white"/>
              </w:rPr>
            </w:r>
            <w:r/>
          </w:p>
        </w:tc>
        <w:tc>
          <w:tcPr>
            <w:tcW w:w="1268"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t xml:space="preserve">直接管理关系情况说明</w:t>
            </w:r>
            <w:r>
              <w:rPr>
                <w:highlight w:val="white"/>
              </w:rPr>
            </w:r>
            <w:r/>
          </w:p>
        </w:tc>
      </w:tr>
      <w:tr>
        <w:trPr>
          <w:jc w:val="center"/>
          <w:trHeight w:val="850"/>
        </w:trPr>
        <w:tc>
          <w:tcPr>
            <w:tcW w:w="1553"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704"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506"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580"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084"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711"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268"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r>
      <w:tr>
        <w:trPr>
          <w:jc w:val="center"/>
          <w:trHeight w:val="850"/>
        </w:trPr>
        <w:tc>
          <w:tcPr>
            <w:tcW w:w="1553"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704"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506"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580"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084"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711"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268"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r>
      <w:tr>
        <w:trPr>
          <w:jc w:val="center"/>
          <w:trHeight w:val="850"/>
        </w:trPr>
        <w:tc>
          <w:tcPr>
            <w:tcW w:w="1553"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704"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506"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580"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084"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711"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268"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r>
      <w:tr>
        <w:trPr>
          <w:jc w:val="center"/>
          <w:trHeight w:val="850"/>
        </w:trPr>
        <w:tc>
          <w:tcPr>
            <w:tcW w:w="1553"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704"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506"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580"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084"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711"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268"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r>
      <w:tr>
        <w:trPr>
          <w:jc w:val="center"/>
          <w:trHeight w:val="850"/>
        </w:trPr>
        <w:tc>
          <w:tcPr>
            <w:tcW w:w="1553"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704"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506"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580"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084"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711"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268"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r>
      <w:tr>
        <w:trPr>
          <w:jc w:val="center"/>
          <w:trHeight w:val="850"/>
        </w:trPr>
        <w:tc>
          <w:tcPr>
            <w:tcW w:w="1553"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704"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506"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580"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084"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711"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c>
          <w:tcPr>
            <w:tcW w:w="1268" w:type="dxa"/>
            <w:vAlign w:val="center"/>
            <w:textDirection w:val="lrTb"/>
            <w:noWrap w:val="false"/>
          </w:tcPr>
          <w:p>
            <w:pPr>
              <w:jc w:val="center"/>
              <w:widowControl/>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tc>
      </w:tr>
    </w:tbl>
    <w:p>
      <w:pPr>
        <w:ind w:firstLine="566"/>
        <w:spacing w:line="360" w:lineRule="auto"/>
        <w:rPr>
          <w:rFonts w:hint="eastAsia" w:asciiTheme="minorEastAsia" w:hAnsiTheme="minorEastAsia" w:eastAsiaTheme="minorEastAsia"/>
          <w:b/>
          <w:sz w:val="24"/>
          <w:szCs w:val="24"/>
          <w:highlight w:val="white"/>
        </w:rPr>
        <w:outlineLvl w:val="1"/>
      </w:pPr>
      <w:r>
        <w:rPr>
          <w:rFonts w:hint="eastAsia" w:asciiTheme="minorEastAsia" w:hAnsiTheme="minorEastAsia" w:eastAsiaTheme="minorEastAsia"/>
          <w:b/>
          <w:sz w:val="24"/>
          <w:szCs w:val="24"/>
          <w:highlight w:val="white"/>
        </w:rPr>
        <w:t xml:space="preserve">注：1、本表仅须填写与投标人存在直接股权、管理关系的企业情况。投标人应按上表要求据实填写，如填写“无”或不填写，均视为投标人声明不存在有关情形。</w:t>
      </w:r>
      <w:r>
        <w:rPr>
          <w:highlight w:val="white"/>
        </w:rPr>
      </w:r>
      <w:r/>
    </w:p>
    <w:p>
      <w:pPr>
        <w:ind w:firstLine="566"/>
        <w:spacing w:after="120" w:line="360" w:lineRule="auto"/>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t xml:space="preserve">2、其中“直接控股”是指投标人与大型企业之间存在直接投资并控股（非普通持股）的关系。</w:t>
      </w:r>
      <w:r>
        <w:rPr>
          <w:highlight w:val="white"/>
        </w:rPr>
      </w:r>
      <w:r/>
    </w:p>
    <w:p>
      <w:pPr>
        <w:rPr>
          <w:rFonts w:hint="eastAsia" w:asciiTheme="minorEastAsia" w:hAnsiTheme="minorEastAsia" w:eastAsiaTheme="minorEastAsia"/>
          <w:b/>
          <w:sz w:val="24"/>
          <w:szCs w:val="24"/>
          <w:highlight w:val="white"/>
        </w:rPr>
      </w:pPr>
      <w:r>
        <w:rPr>
          <w:rFonts w:hint="eastAsia" w:asciiTheme="minorEastAsia" w:hAnsiTheme="minorEastAsia" w:eastAsiaTheme="minorEastAsia"/>
          <w:b/>
          <w:sz w:val="24"/>
          <w:szCs w:val="24"/>
          <w:highlight w:val="white"/>
        </w:rPr>
      </w:r>
      <w:r>
        <w:rPr>
          <w:highlight w:val="white"/>
        </w:rPr>
      </w:r>
      <w:r/>
    </w:p>
    <w:p>
      <w:pPr>
        <w:pStyle w:val="773"/>
        <w:ind w:firstLine="0"/>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供应商：（公章）</w:t>
      </w:r>
      <w:r>
        <w:rPr>
          <w:highlight w:val="white"/>
        </w:rPr>
      </w:r>
      <w:r/>
    </w:p>
    <w:p>
      <w:pPr>
        <w:pStyle w:val="773"/>
        <w:ind w:firstLine="0"/>
        <w:spacing w:line="400" w:lineRule="exact"/>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法定代表人或代理人（签字或盖章）</w:t>
      </w:r>
      <w:r>
        <w:rPr>
          <w:rFonts w:hint="eastAsia" w:asciiTheme="minorEastAsia" w:hAnsiTheme="minorEastAsia" w:eastAsiaTheme="minorEastAsia"/>
          <w:bCs/>
          <w:sz w:val="24"/>
          <w:szCs w:val="24"/>
          <w:highlight w:val="white"/>
        </w:rPr>
        <w:t xml:space="preserve">：</w:t>
      </w:r>
      <w:r>
        <w:rPr>
          <w:highlight w:val="white"/>
        </w:rPr>
      </w:r>
      <w:r/>
    </w:p>
    <w:p>
      <w:pPr>
        <w:pStyle w:val="773"/>
        <w:ind w:firstLine="0"/>
        <w:spacing w:line="400" w:lineRule="exact"/>
        <w:rPr>
          <w:rFonts w:hint="eastAsia" w:asciiTheme="minorEastAsia" w:hAnsiTheme="minorEastAsia" w:eastAsiaTheme="minorEastAsia"/>
          <w:b/>
          <w:sz w:val="24"/>
          <w:szCs w:val="24"/>
          <w:highlight w:val="white"/>
        </w:rPr>
      </w:pPr>
      <w:r>
        <w:rPr>
          <w:rFonts w:hint="eastAsia" w:asciiTheme="minorEastAsia" w:hAnsiTheme="minorEastAsia" w:eastAsiaTheme="minorEastAsia"/>
          <w:bCs/>
          <w:sz w:val="24"/>
          <w:szCs w:val="24"/>
          <w:highlight w:val="white"/>
        </w:rPr>
        <w:t xml:space="preserve">日期</w:t>
      </w:r>
      <w:r>
        <w:rPr>
          <w:rFonts w:asciiTheme="minorEastAsia" w:hAnsiTheme="minorEastAsia" w:eastAsiaTheme="minorEastAsia"/>
          <w:bCs/>
          <w:sz w:val="24"/>
          <w:szCs w:val="24"/>
          <w:highlight w:val="white"/>
        </w:rPr>
        <w:t xml:space="preserve">:</w:t>
      </w:r>
      <w:r>
        <w:rPr>
          <w:highlight w:val="white"/>
        </w:rPr>
      </w:r>
      <w:r/>
    </w:p>
    <w:p>
      <w:pPr>
        <w:pStyle w:val="796"/>
        <w:spacing w:before="75" w:beforeAutospacing="0" w:after="75" w:afterAutospacing="0"/>
        <w:widowControl/>
        <w:rPr>
          <w:highlight w:val="white"/>
        </w:rPr>
      </w:pPr>
      <w:r>
        <w:rPr>
          <w:highlight w:val="white"/>
        </w:rPr>
      </w:r>
      <w:r>
        <w:rPr>
          <w:highlight w:val="white"/>
        </w:rPr>
      </w:r>
      <w:r/>
    </w:p>
    <w:sectPr>
      <w:headerReference w:type="default" r:id="rId9"/>
      <w:headerReference w:type="first" r:id="rId10"/>
      <w:footerReference w:type="default" r:id="rId11"/>
      <w:footnotePr/>
      <w:endnotePr/>
      <w:type w:val="nextPage"/>
      <w:pgSz w:w="11906" w:h="16838" w:orient="portrait"/>
      <w:pgMar w:top="720" w:right="1077" w:bottom="720" w:left="1077" w:header="567" w:footer="56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ans-serif">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803"/>
      </w:rPr>
      <w:framePr w:wrap="around" w:vAnchor="text" w:hAnchor="margin" w:xAlign="center" w:y="1"/>
    </w:pPr>
    <w:r>
      <w:rPr>
        <w:rStyle w:val="803"/>
      </w:rPr>
      <w:fldChar w:fldCharType="begin"/>
    </w:r>
    <w:r>
      <w:rPr>
        <w:rStyle w:val="803"/>
      </w:rPr>
      <w:instrText xml:space="preserve">PAGE  </w:instrText>
    </w:r>
    <w:r>
      <w:rPr>
        <w:rStyle w:val="803"/>
      </w:rPr>
      <w:fldChar w:fldCharType="separate"/>
    </w:r>
    <w:r>
      <w:rPr>
        <w:rStyle w:val="803"/>
      </w:rPr>
      <w:t xml:space="preserve">2</w:t>
    </w:r>
    <w:r>
      <w:rPr>
        <w:rStyle w:val="803"/>
      </w:rPr>
      <w:fldChar w:fldCharType="end"/>
    </w:r>
    <w:r/>
  </w:p>
  <w:p>
    <w:pPr>
      <w:pStyle w:val="896"/>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left"/>
    </w:pPr>
    <w:r>
      <w:rPr>
        <w:rFonts w:hint="eastAsia"/>
      </w:rPr>
      <w:t xml:space="preserve">竞争性磋商文件</w:t>
    </w:r>
    <w:r>
      <w:rPr>
        <w:rFonts w:hint="eastAsia"/>
      </w:rPr>
      <w:t xml:space="preserve">                                                           </w:t>
    </w:r>
    <w:r>
      <w:rPr>
        <w:rFonts w:hint="eastAsia"/>
      </w:rPr>
      <w:t xml:space="preserve">项目编号：</w:t>
    </w:r>
    <w:r>
      <w:t xml:space="preserve">JSZC-320508-SZJN-C2026-0005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5">
    <w:multiLevelType w:val="hybridMultilevel"/>
    <w:lvl w:ilvl="0">
      <w:start w:val="1"/>
      <w:numFmt w:val="chineseCountingThousand"/>
      <w:isLgl w:val="false"/>
      <w:suff w:val="tab"/>
      <w:lvlText w:val="(%1)"/>
      <w:lvlJc w:val="left"/>
      <w:pPr>
        <w:ind w:left="1130" w:hanging="420"/>
      </w:pPr>
      <w:rPr>
        <w:b/>
      </w:rPr>
    </w:lvl>
    <w:lvl w:ilvl="1">
      <w:start w:val="1"/>
      <w:numFmt w:val="lowerLetter"/>
      <w:isLgl w:val="false"/>
      <w:suff w:val="tab"/>
      <w:lvlText w:val="%2)"/>
      <w:lvlJc w:val="left"/>
      <w:pPr>
        <w:ind w:left="1260" w:hanging="420"/>
      </w:pPr>
    </w:lvl>
    <w:lvl w:ilvl="2">
      <w:start w:val="1"/>
      <w:numFmt w:val="japaneseCounting"/>
      <w:isLgl w:val="false"/>
      <w:suff w:val="tab"/>
      <w:lvlText w:val="%3、"/>
      <w:lvlJc w:val="left"/>
      <w:pPr>
        <w:ind w:left="1710" w:hanging="450"/>
      </w:pPr>
      <w:rPr>
        <w:rFonts w:cs="宋体"/>
        <w:b/>
      </w:r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9">
    <w:multiLevelType w:val="hybridMultilevel"/>
    <w:lvl w:ilvl="0">
      <w:start w:val="1"/>
      <w:numFmt w:val="decimal"/>
      <w:isLgl w:val="false"/>
      <w:suff w:val="tab"/>
      <w:lvlText w:val="(%1)"/>
      <w:lvlJc w:val="left"/>
      <w:pPr>
        <w:ind w:left="454" w:hanging="454"/>
        <w:tabs>
          <w:tab w:val="left" w:pos="454"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Thousand"/>
      <w:isLgl w:val="false"/>
      <w:suff w:val="tab"/>
      <w:lvlText w:val="(%1)"/>
      <w:lvlJc w:val="left"/>
      <w:pPr>
        <w:ind w:left="567" w:hanging="567"/>
        <w:tabs>
          <w:tab w:val="left" w:pos="0" w:leader="none"/>
        </w:tabs>
      </w:pPr>
      <w:rPr>
        <w:rFonts w:hint="eastAsia"/>
      </w:rPr>
    </w:lvl>
    <w:lvl w:ilvl="1">
      <w:start w:val="1"/>
      <w:numFmt w:val="lowerLetter"/>
      <w:isLgl w:val="false"/>
      <w:suff w:val="tab"/>
      <w:lvlText w:val="%2)"/>
      <w:lvlJc w:val="left"/>
      <w:pPr>
        <w:ind w:left="1193" w:hanging="420"/>
        <w:tabs>
          <w:tab w:val="left" w:pos="0" w:leader="none"/>
        </w:tabs>
      </w:pPr>
      <w:rPr>
        <w:rFonts w:hint="eastAsia"/>
      </w:rPr>
    </w:lvl>
    <w:lvl w:ilvl="2">
      <w:start w:val="1"/>
      <w:numFmt w:val="lowerRoman"/>
      <w:isLgl w:val="false"/>
      <w:suff w:val="tab"/>
      <w:lvlText w:val="%3."/>
      <w:lvlJc w:val="right"/>
      <w:pPr>
        <w:ind w:left="1613" w:hanging="420"/>
        <w:tabs>
          <w:tab w:val="left" w:pos="0" w:leader="none"/>
        </w:tabs>
      </w:pPr>
      <w:rPr>
        <w:rFonts w:hint="eastAsia"/>
      </w:rPr>
    </w:lvl>
    <w:lvl w:ilvl="3">
      <w:start w:val="1"/>
      <w:numFmt w:val="decimal"/>
      <w:isLgl w:val="false"/>
      <w:suff w:val="tab"/>
      <w:lvlText w:val="%4."/>
      <w:lvlJc w:val="left"/>
      <w:pPr>
        <w:ind w:left="2033" w:hanging="420"/>
        <w:tabs>
          <w:tab w:val="left" w:pos="0" w:leader="none"/>
        </w:tabs>
      </w:pPr>
      <w:rPr>
        <w:rFonts w:hint="eastAsia"/>
      </w:rPr>
    </w:lvl>
    <w:lvl w:ilvl="4">
      <w:start w:val="1"/>
      <w:numFmt w:val="lowerLetter"/>
      <w:isLgl w:val="false"/>
      <w:suff w:val="tab"/>
      <w:lvlText w:val="%5)"/>
      <w:lvlJc w:val="left"/>
      <w:pPr>
        <w:ind w:left="2453" w:hanging="420"/>
        <w:tabs>
          <w:tab w:val="left" w:pos="0" w:leader="none"/>
        </w:tabs>
      </w:pPr>
      <w:rPr>
        <w:rFonts w:hint="eastAsia"/>
      </w:rPr>
    </w:lvl>
    <w:lvl w:ilvl="5">
      <w:start w:val="1"/>
      <w:numFmt w:val="lowerRoman"/>
      <w:isLgl w:val="false"/>
      <w:suff w:val="tab"/>
      <w:lvlText w:val="%6."/>
      <w:lvlJc w:val="right"/>
      <w:pPr>
        <w:ind w:left="2873" w:hanging="420"/>
        <w:tabs>
          <w:tab w:val="left" w:pos="0" w:leader="none"/>
        </w:tabs>
      </w:pPr>
      <w:rPr>
        <w:rFonts w:hint="eastAsia"/>
      </w:rPr>
    </w:lvl>
    <w:lvl w:ilvl="6">
      <w:start w:val="1"/>
      <w:numFmt w:val="decimal"/>
      <w:isLgl w:val="false"/>
      <w:suff w:val="tab"/>
      <w:lvlText w:val="%7."/>
      <w:lvlJc w:val="left"/>
      <w:pPr>
        <w:ind w:left="3293" w:hanging="420"/>
        <w:tabs>
          <w:tab w:val="left" w:pos="0" w:leader="none"/>
        </w:tabs>
      </w:pPr>
      <w:rPr>
        <w:rFonts w:hint="eastAsia"/>
      </w:rPr>
    </w:lvl>
    <w:lvl w:ilvl="7">
      <w:start w:val="1"/>
      <w:numFmt w:val="lowerLetter"/>
      <w:isLgl w:val="false"/>
      <w:suff w:val="tab"/>
      <w:lvlText w:val="%8)"/>
      <w:lvlJc w:val="left"/>
      <w:pPr>
        <w:ind w:left="3713" w:hanging="420"/>
        <w:tabs>
          <w:tab w:val="left" w:pos="0" w:leader="none"/>
        </w:tabs>
      </w:pPr>
      <w:rPr>
        <w:rFonts w:hint="eastAsia"/>
      </w:rPr>
    </w:lvl>
    <w:lvl w:ilvl="8">
      <w:start w:val="1"/>
      <w:numFmt w:val="lowerRoman"/>
      <w:isLgl w:val="false"/>
      <w:suff w:val="tab"/>
      <w:lvlText w:val="%9."/>
      <w:lvlJc w:val="right"/>
      <w:pPr>
        <w:ind w:left="4133" w:hanging="420"/>
        <w:tabs>
          <w:tab w:val="left" w:pos="0" w:leader="none"/>
        </w:tabs>
      </w:pPr>
      <w:rPr>
        <w:rFonts w:hint="eastAsia"/>
      </w:rPr>
    </w:lvl>
  </w:abstractNum>
  <w:abstractNum w:abstractNumId="2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
      <w:isLgl w:val="false"/>
      <w:suff w:val="tab"/>
      <w:lvlText w:val="(%1)"/>
      <w:lvlJc w:val="left"/>
      <w:pPr>
        <w:ind w:left="567" w:hanging="567"/>
        <w:tabs>
          <w:tab w:val="left" w:pos="567"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8">
    <w:multiLevelType w:val="hybridMultilevel"/>
    <w:lvl w:ilvl="0">
      <w:start w:val="1"/>
      <w:numFmt w:val="decimal"/>
      <w:isLgl w:val="false"/>
      <w:suff w:val="tab"/>
      <w:lvlText w:val="%1."/>
      <w:lvlJc w:val="left"/>
      <w:pPr>
        <w:ind w:left="845" w:hanging="425"/>
      </w:p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num w:numId="1">
    <w:abstractNumId w:val="26"/>
  </w:num>
  <w:num w:numId="2">
    <w:abstractNumId w:val="24"/>
  </w:num>
  <w:num w:numId="3">
    <w:abstractNumId w:val="22"/>
  </w:num>
  <w:num w:numId="4">
    <w:abstractNumId w:val="19"/>
  </w:num>
  <w:num w:numId="5">
    <w:abstractNumId w:val="16"/>
  </w:num>
  <w:num w:numId="6">
    <w:abstractNumId w:val="17"/>
  </w:num>
  <w:num w:numId="7">
    <w:abstractNumId w:val="14"/>
  </w:num>
  <w:num w:numId="8">
    <w:abstractNumId w:val="1"/>
  </w:num>
  <w:num w:numId="9">
    <w:abstractNumId w:val="8"/>
  </w:num>
  <w:num w:numId="10">
    <w:abstractNumId w:val="11"/>
  </w:num>
  <w:num w:numId="11">
    <w:abstractNumId w:val="2"/>
  </w:num>
  <w:num w:numId="12">
    <w:abstractNumId w:val="25"/>
  </w:num>
  <w:num w:numId="13">
    <w:abstractNumId w:val="6"/>
  </w:num>
  <w:num w:numId="14">
    <w:abstractNumId w:val="3"/>
  </w:num>
  <w:num w:numId="15">
    <w:abstractNumId w:val="15"/>
  </w:num>
  <w:num w:numId="16">
    <w:abstractNumId w:val="20"/>
  </w:num>
  <w:num w:numId="17">
    <w:abstractNumId w:val="13"/>
  </w:num>
  <w:num w:numId="18">
    <w:abstractNumId w:val="5"/>
  </w:num>
  <w:num w:numId="19">
    <w:abstractNumId w:val="28"/>
  </w:num>
  <w:num w:numId="20">
    <w:abstractNumId w:val="27"/>
  </w:num>
  <w:num w:numId="21">
    <w:abstractNumId w:val="7"/>
  </w:num>
  <w:num w:numId="22">
    <w:abstractNumId w:val="23"/>
  </w:num>
  <w:num w:numId="23">
    <w:abstractNumId w:val="12"/>
  </w:num>
  <w:num w:numId="24">
    <w:abstractNumId w:val="4"/>
  </w:num>
  <w:num w:numId="25">
    <w:abstractNumId w:val="9"/>
  </w:num>
  <w:num w:numId="26">
    <w:abstractNumId w:val="0"/>
  </w:num>
  <w:num w:numId="27">
    <w:abstractNumId w:val="21"/>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7">
    <w:name w:val="Plain Table 1"/>
    <w:basedOn w:val="7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7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7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2"/>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3"/>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7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5 Dark"/>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6 Colorful"/>
    <w:basedOn w:val="7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7 Colorful"/>
    <w:basedOn w:val="7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List Table 1 Light"/>
    <w:basedOn w:val="7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name w:val="List Table 2"/>
    <w:basedOn w:val="7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1">
    <w:name w:val="List Table 3"/>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5 Dark"/>
    <w:basedOn w:val="7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6 Colorful"/>
    <w:basedOn w:val="7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5">
    <w:name w:val="List Table 7 Colorful"/>
    <w:basedOn w:val="7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6">
    <w:name w:val="TOC Heading"/>
    <w:uiPriority w:val="39"/>
    <w:unhideWhenUsed/>
  </w:style>
  <w:style w:type="paragraph" w:styleId="757" w:default="1">
    <w:name w:val="Normal"/>
    <w:next w:val="770"/>
    <w:qFormat/>
    <w:pPr>
      <w:jc w:val="both"/>
      <w:widowControl w:val="off"/>
    </w:pPr>
    <w:rPr>
      <w:rFonts w:ascii="Calibri" w:hAnsi="Calibri"/>
      <w:sz w:val="21"/>
      <w:szCs w:val="22"/>
    </w:rPr>
  </w:style>
  <w:style w:type="paragraph" w:styleId="758">
    <w:name w:val="Heading 1"/>
    <w:basedOn w:val="757"/>
    <w:next w:val="757"/>
    <w:link w:val="827"/>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57"/>
    <w:link w:val="828"/>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57"/>
    <w:link w:val="829"/>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link w:val="830"/>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831"/>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832"/>
    <w:uiPriority w:val="9"/>
    <w:unhideWhenUsed/>
    <w:qFormat/>
    <w:pPr>
      <w:keepLines/>
      <w:keepNext/>
      <w:spacing w:before="320" w:after="200"/>
      <w:outlineLvl w:val="5"/>
    </w:pPr>
    <w:rPr>
      <w:rFonts w:ascii="Arial" w:hAnsi="Arial" w:eastAsia="Arial" w:cs="Arial"/>
      <w:b/>
      <w:bCs/>
      <w:sz w:val="22"/>
    </w:rPr>
  </w:style>
  <w:style w:type="paragraph" w:styleId="764">
    <w:name w:val="Heading 7"/>
    <w:basedOn w:val="757"/>
    <w:next w:val="757"/>
    <w:link w:val="833"/>
    <w:uiPriority w:val="9"/>
    <w:unhideWhenUsed/>
    <w:qFormat/>
    <w:pPr>
      <w:keepLines/>
      <w:keepNext/>
      <w:spacing w:before="320" w:after="200"/>
      <w:outlineLvl w:val="6"/>
    </w:pPr>
    <w:rPr>
      <w:rFonts w:ascii="Arial" w:hAnsi="Arial" w:eastAsia="Arial" w:cs="Arial"/>
      <w:b/>
      <w:bCs/>
      <w:i/>
      <w:iCs/>
      <w:sz w:val="22"/>
    </w:rPr>
  </w:style>
  <w:style w:type="paragraph" w:styleId="765">
    <w:name w:val="Heading 8"/>
    <w:basedOn w:val="757"/>
    <w:next w:val="757"/>
    <w:link w:val="834"/>
    <w:uiPriority w:val="9"/>
    <w:unhideWhenUsed/>
    <w:qFormat/>
    <w:pPr>
      <w:keepLines/>
      <w:keepNext/>
      <w:spacing w:before="320" w:after="200"/>
      <w:outlineLvl w:val="7"/>
    </w:pPr>
    <w:rPr>
      <w:rFonts w:ascii="Arial" w:hAnsi="Arial" w:eastAsia="Arial" w:cs="Arial"/>
      <w:i/>
      <w:iCs/>
      <w:sz w:val="22"/>
    </w:rPr>
  </w:style>
  <w:style w:type="paragraph" w:styleId="766">
    <w:name w:val="Heading 9"/>
    <w:basedOn w:val="757"/>
    <w:next w:val="757"/>
    <w:link w:val="835"/>
    <w:uiPriority w:val="9"/>
    <w:unhideWhenUsed/>
    <w:qFormat/>
    <w:pPr>
      <w:keepLines/>
      <w:keepNext/>
      <w:spacing w:before="320" w:after="200"/>
      <w:outlineLvl w:val="8"/>
    </w:pPr>
    <w:rPr>
      <w:rFonts w:ascii="Arial" w:hAnsi="Arial" w:eastAsia="Arial" w:cs="Arial"/>
      <w:i/>
      <w:iCs/>
      <w:szCs w:val="21"/>
    </w:rPr>
  </w:style>
  <w:style w:type="character" w:styleId="767" w:default="1">
    <w:name w:val="Default Paragraph Font"/>
    <w:uiPriority w:val="1"/>
    <w:semiHidden/>
    <w:unhideWhenUsed/>
  </w:style>
  <w:style w:type="table" w:styleId="768" w:default="1">
    <w:name w:val="Normal Table"/>
    <w:uiPriority w:val="99"/>
    <w:semiHidden/>
    <w:unhideWhenUsed/>
    <w:tblPr>
      <w:tblInd w:w="0" w:type="dxa"/>
      <w:tblCellMar>
        <w:left w:w="108" w:type="dxa"/>
        <w:top w:w="0" w:type="dxa"/>
        <w:right w:w="108" w:type="dxa"/>
        <w:bottom w:w="0" w:type="dxa"/>
      </w:tblCellMar>
    </w:tblPr>
  </w:style>
  <w:style w:type="numbering" w:styleId="769" w:default="1">
    <w:name w:val="No List"/>
    <w:uiPriority w:val="99"/>
    <w:semiHidden/>
    <w:unhideWhenUsed/>
  </w:style>
  <w:style w:type="paragraph" w:styleId="770">
    <w:name w:val="Body Text Indent"/>
    <w:basedOn w:val="757"/>
    <w:next w:val="771"/>
    <w:link w:val="1041"/>
    <w:unhideWhenUsed/>
    <w:qFormat/>
    <w:pPr>
      <w:ind w:left="420"/>
      <w:spacing w:after="120"/>
    </w:pPr>
    <w:rPr>
      <w:rFonts w:eastAsia="楷体_GB2312"/>
      <w:sz w:val="26"/>
      <w:szCs w:val="20"/>
    </w:rPr>
  </w:style>
  <w:style w:type="paragraph" w:styleId="771">
    <w:name w:val="envelope return"/>
    <w:basedOn w:val="757"/>
    <w:qFormat/>
    <w:rPr>
      <w:sz w:val="26"/>
    </w:rPr>
  </w:style>
  <w:style w:type="paragraph" w:styleId="772">
    <w:name w:val="toc 7"/>
    <w:basedOn w:val="757"/>
    <w:next w:val="757"/>
    <w:uiPriority w:val="39"/>
    <w:unhideWhenUsed/>
    <w:qFormat/>
    <w:pPr>
      <w:ind w:left="1701"/>
      <w:spacing w:after="57"/>
    </w:pPr>
  </w:style>
  <w:style w:type="paragraph" w:styleId="773">
    <w:name w:val="Normal Indent"/>
    <w:basedOn w:val="757"/>
    <w:link w:val="889"/>
    <w:unhideWhenUsed/>
    <w:qFormat/>
    <w:pPr>
      <w:ind w:firstLine="420"/>
    </w:pPr>
  </w:style>
  <w:style w:type="paragraph" w:styleId="774">
    <w:name w:val="Caption"/>
    <w:basedOn w:val="757"/>
    <w:next w:val="757"/>
    <w:uiPriority w:val="35"/>
    <w:semiHidden/>
    <w:unhideWhenUsed/>
    <w:qFormat/>
    <w:pPr>
      <w:spacing w:line="276" w:lineRule="auto"/>
    </w:pPr>
    <w:rPr>
      <w:b/>
      <w:bCs/>
      <w:color w:val="4f81bd" w:themeColor="accent1"/>
      <w:sz w:val="18"/>
      <w:szCs w:val="18"/>
    </w:rPr>
  </w:style>
  <w:style w:type="paragraph" w:styleId="775">
    <w:name w:val="annotation text"/>
    <w:basedOn w:val="757"/>
    <w:link w:val="891"/>
    <w:uiPriority w:val="99"/>
    <w:unhideWhenUsed/>
    <w:qFormat/>
    <w:pPr>
      <w:jc w:val="left"/>
    </w:pPr>
  </w:style>
  <w:style w:type="paragraph" w:styleId="776">
    <w:name w:val="Body Text"/>
    <w:basedOn w:val="757"/>
    <w:next w:val="773"/>
    <w:link w:val="892"/>
    <w:unhideWhenUsed/>
    <w:qFormat/>
    <w:pPr>
      <w:spacing w:after="120"/>
    </w:pPr>
    <w:rPr>
      <w:rFonts w:ascii="Times New Roman" w:hAnsi="Times New Roman"/>
      <w:szCs w:val="24"/>
    </w:rPr>
  </w:style>
  <w:style w:type="paragraph" w:styleId="777">
    <w:name w:val="Block Text"/>
    <w:basedOn w:val="757"/>
    <w:qFormat/>
    <w:pPr>
      <w:ind w:left="630" w:right="-609" w:firstLine="420"/>
      <w:spacing w:line="360" w:lineRule="auto"/>
    </w:pPr>
    <w:rPr>
      <w:rFonts w:hint="eastAsia" w:ascii="仿宋_GB2312" w:hAnsi="Times New Roman" w:eastAsia="仿宋_GB2312"/>
      <w:szCs w:val="20"/>
    </w:rPr>
  </w:style>
  <w:style w:type="paragraph" w:styleId="778">
    <w:name w:val="toc 5"/>
    <w:basedOn w:val="757"/>
    <w:next w:val="757"/>
    <w:uiPriority w:val="39"/>
    <w:unhideWhenUsed/>
    <w:qFormat/>
    <w:pPr>
      <w:ind w:left="1134"/>
      <w:spacing w:after="57"/>
    </w:pPr>
  </w:style>
  <w:style w:type="paragraph" w:styleId="779">
    <w:name w:val="toc 3"/>
    <w:basedOn w:val="757"/>
    <w:next w:val="757"/>
    <w:uiPriority w:val="39"/>
    <w:unhideWhenUsed/>
    <w:qFormat/>
    <w:pPr>
      <w:ind w:left="567"/>
      <w:spacing w:after="57"/>
    </w:pPr>
  </w:style>
  <w:style w:type="paragraph" w:styleId="780">
    <w:name w:val="Plain Text"/>
    <w:basedOn w:val="757"/>
    <w:link w:val="893"/>
    <w:qFormat/>
    <w:pPr>
      <w:jc w:val="left"/>
      <w:widowControl/>
    </w:pPr>
    <w:rPr>
      <w:rFonts w:ascii="宋体" w:hAnsi="Courier New" w:eastAsia="楷体_GB2312"/>
      <w:sz w:val="26"/>
      <w:szCs w:val="24"/>
    </w:rPr>
  </w:style>
  <w:style w:type="paragraph" w:styleId="781">
    <w:name w:val="toc 8"/>
    <w:basedOn w:val="757"/>
    <w:next w:val="757"/>
    <w:uiPriority w:val="39"/>
    <w:unhideWhenUsed/>
    <w:qFormat/>
    <w:pPr>
      <w:ind w:left="1984"/>
      <w:spacing w:after="57"/>
    </w:pPr>
  </w:style>
  <w:style w:type="paragraph" w:styleId="782">
    <w:name w:val="Date"/>
    <w:basedOn w:val="757"/>
    <w:next w:val="757"/>
    <w:link w:val="1042"/>
    <w:pPr>
      <w:ind w:left="100"/>
    </w:pPr>
    <w:rPr>
      <w:rFonts w:ascii="Times New Roman" w:hAnsi="Times New Roman"/>
      <w:sz w:val="28"/>
      <w:szCs w:val="20"/>
    </w:rPr>
  </w:style>
  <w:style w:type="paragraph" w:styleId="783">
    <w:name w:val="Body Text Indent 2"/>
    <w:basedOn w:val="757"/>
    <w:link w:val="1043"/>
    <w:pPr>
      <w:ind w:firstLine="420"/>
      <w:spacing w:line="560" w:lineRule="exact"/>
    </w:pPr>
    <w:rPr>
      <w:rFonts w:ascii="Times New Roman" w:hAnsi="Times New Roman"/>
      <w:sz w:val="28"/>
      <w:szCs w:val="20"/>
    </w:rPr>
  </w:style>
  <w:style w:type="paragraph" w:styleId="784">
    <w:name w:val="endnote text"/>
    <w:basedOn w:val="757"/>
    <w:link w:val="894"/>
    <w:uiPriority w:val="99"/>
    <w:semiHidden/>
    <w:unhideWhenUsed/>
    <w:qFormat/>
    <w:rPr>
      <w:sz w:val="20"/>
    </w:rPr>
  </w:style>
  <w:style w:type="paragraph" w:styleId="785">
    <w:name w:val="Balloon Text"/>
    <w:basedOn w:val="757"/>
    <w:link w:val="895"/>
    <w:unhideWhenUsed/>
    <w:qFormat/>
    <w:rPr>
      <w:sz w:val="18"/>
      <w:szCs w:val="18"/>
    </w:rPr>
  </w:style>
  <w:style w:type="paragraph" w:styleId="786">
    <w:name w:val="Footer"/>
    <w:basedOn w:val="757"/>
    <w:link w:val="1035"/>
    <w:unhideWhenUsed/>
    <w:qFormat/>
    <w:pPr>
      <w:jc w:val="left"/>
      <w:tabs>
        <w:tab w:val="center" w:pos="4153" w:leader="none"/>
        <w:tab w:val="right" w:pos="8306" w:leader="none"/>
      </w:tabs>
    </w:pPr>
    <w:rPr>
      <w:sz w:val="18"/>
      <w:szCs w:val="18"/>
    </w:rPr>
  </w:style>
  <w:style w:type="paragraph" w:styleId="787">
    <w:name w:val="Header"/>
    <w:basedOn w:val="757"/>
    <w:link w:val="1034"/>
    <w:unhideWhenUsed/>
    <w:qFormat/>
    <w:pPr>
      <w:jc w:val="center"/>
      <w:tabs>
        <w:tab w:val="center" w:pos="4153" w:leader="none"/>
        <w:tab w:val="right" w:pos="8306" w:leader="none"/>
      </w:tabs>
      <w:pBdr>
        <w:bottom w:val="single" w:color="auto" w:sz="6" w:space="1"/>
      </w:pBdr>
    </w:pPr>
    <w:rPr>
      <w:sz w:val="18"/>
      <w:szCs w:val="18"/>
    </w:rPr>
  </w:style>
  <w:style w:type="paragraph" w:styleId="788">
    <w:name w:val="toc 1"/>
    <w:basedOn w:val="757"/>
    <w:next w:val="757"/>
    <w:qFormat/>
    <w:pPr>
      <w:jc w:val="left"/>
    </w:pPr>
    <w:rPr>
      <w:rFonts w:ascii="宋体" w:hAnsi="宋体" w:eastAsia="楷体_GB2312"/>
      <w:sz w:val="24"/>
      <w:szCs w:val="21"/>
    </w:rPr>
  </w:style>
  <w:style w:type="paragraph" w:styleId="789">
    <w:name w:val="toc 4"/>
    <w:basedOn w:val="757"/>
    <w:next w:val="757"/>
    <w:uiPriority w:val="39"/>
    <w:unhideWhenUsed/>
    <w:qFormat/>
    <w:pPr>
      <w:ind w:left="850"/>
      <w:spacing w:after="57"/>
    </w:pPr>
  </w:style>
  <w:style w:type="paragraph" w:styleId="790">
    <w:name w:val="Subtitle"/>
    <w:basedOn w:val="757"/>
    <w:next w:val="757"/>
    <w:link w:val="900"/>
    <w:uiPriority w:val="11"/>
    <w:qFormat/>
    <w:pPr>
      <w:spacing w:before="200" w:after="200"/>
    </w:pPr>
    <w:rPr>
      <w:sz w:val="24"/>
      <w:szCs w:val="24"/>
    </w:rPr>
  </w:style>
  <w:style w:type="paragraph" w:styleId="791">
    <w:name w:val="footnote text"/>
    <w:basedOn w:val="757"/>
    <w:link w:val="901"/>
    <w:uiPriority w:val="99"/>
    <w:semiHidden/>
    <w:unhideWhenUsed/>
    <w:qFormat/>
    <w:pPr>
      <w:spacing w:after="40"/>
    </w:pPr>
    <w:rPr>
      <w:sz w:val="18"/>
    </w:rPr>
  </w:style>
  <w:style w:type="paragraph" w:styleId="792">
    <w:name w:val="toc 6"/>
    <w:basedOn w:val="757"/>
    <w:next w:val="757"/>
    <w:uiPriority w:val="39"/>
    <w:unhideWhenUsed/>
    <w:qFormat/>
    <w:pPr>
      <w:ind w:left="1417"/>
      <w:spacing w:after="57"/>
    </w:pPr>
  </w:style>
  <w:style w:type="paragraph" w:styleId="793">
    <w:name w:val="table of figures"/>
    <w:basedOn w:val="757"/>
    <w:next w:val="757"/>
    <w:uiPriority w:val="99"/>
    <w:unhideWhenUsed/>
    <w:qFormat/>
  </w:style>
  <w:style w:type="paragraph" w:styleId="794">
    <w:name w:val="toc 2"/>
    <w:basedOn w:val="757"/>
    <w:next w:val="757"/>
    <w:uiPriority w:val="39"/>
    <w:unhideWhenUsed/>
    <w:qFormat/>
    <w:pPr>
      <w:ind w:left="283"/>
      <w:spacing w:after="57"/>
    </w:pPr>
  </w:style>
  <w:style w:type="paragraph" w:styleId="795">
    <w:name w:val="toc 9"/>
    <w:basedOn w:val="757"/>
    <w:next w:val="757"/>
    <w:uiPriority w:val="39"/>
    <w:unhideWhenUsed/>
    <w:qFormat/>
    <w:pPr>
      <w:ind w:left="2268"/>
      <w:spacing w:after="57"/>
    </w:pPr>
  </w:style>
  <w:style w:type="paragraph" w:styleId="796">
    <w:name w:val="Normal (Web)"/>
    <w:basedOn w:val="757"/>
    <w:uiPriority w:val="99"/>
    <w:qFormat/>
    <w:pPr>
      <w:jc w:val="left"/>
      <w:spacing w:beforeAutospacing="1" w:afterAutospacing="1"/>
    </w:pPr>
    <w:rPr>
      <w:sz w:val="24"/>
      <w:szCs w:val="24"/>
    </w:rPr>
  </w:style>
  <w:style w:type="paragraph" w:styleId="797">
    <w:name w:val="Title"/>
    <w:basedOn w:val="757"/>
    <w:next w:val="757"/>
    <w:link w:val="902"/>
    <w:uiPriority w:val="10"/>
    <w:qFormat/>
    <w:pPr>
      <w:contextualSpacing/>
      <w:spacing w:before="300" w:after="200"/>
    </w:pPr>
    <w:rPr>
      <w:sz w:val="48"/>
      <w:szCs w:val="48"/>
    </w:rPr>
  </w:style>
  <w:style w:type="paragraph" w:styleId="798">
    <w:name w:val="annotation subject"/>
    <w:basedOn w:val="775"/>
    <w:next w:val="775"/>
    <w:link w:val="903"/>
    <w:uiPriority w:val="99"/>
    <w:unhideWhenUsed/>
    <w:qFormat/>
    <w:rPr>
      <w:b/>
      <w:bCs/>
    </w:rPr>
  </w:style>
  <w:style w:type="paragraph" w:styleId="799">
    <w:name w:val="Body Text First Indent 2"/>
    <w:uiPriority w:val="99"/>
    <w:unhideWhenUsed/>
    <w:qFormat/>
    <w:pPr>
      <w:ind w:left="420" w:firstLine="420"/>
      <w:jc w:val="both"/>
      <w:spacing w:after="120"/>
      <w:widowControl w:val="off"/>
    </w:pPr>
    <w:rPr>
      <w:rFonts w:ascii="Calibri" w:hAnsi="Calibri"/>
      <w:sz w:val="21"/>
    </w:rPr>
  </w:style>
  <w:style w:type="table" w:styleId="8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qFormat/>
    <w:rPr>
      <w:b/>
    </w:rPr>
  </w:style>
  <w:style w:type="character" w:styleId="802">
    <w:name w:val="endnote reference"/>
    <w:uiPriority w:val="99"/>
    <w:semiHidden/>
    <w:unhideWhenUsed/>
    <w:rPr>
      <w:vertAlign w:val="superscript"/>
    </w:rPr>
  </w:style>
  <w:style w:type="character" w:styleId="803">
    <w:name w:val="page number"/>
    <w:unhideWhenUsed/>
    <w:qFormat/>
  </w:style>
  <w:style w:type="character" w:styleId="804">
    <w:name w:val="FollowedHyperlink"/>
    <w:basedOn w:val="767"/>
    <w:uiPriority w:val="99"/>
    <w:unhideWhenUsed/>
    <w:rPr>
      <w:color w:val="800080"/>
      <w:u w:val="none"/>
    </w:rPr>
  </w:style>
  <w:style w:type="character" w:styleId="805">
    <w:name w:val="Hyperlink"/>
    <w:uiPriority w:val="99"/>
    <w:unhideWhenUsed/>
    <w:qFormat/>
    <w:rPr>
      <w:color w:val="0000ff"/>
      <w:u w:val="single"/>
    </w:rPr>
  </w:style>
  <w:style w:type="character" w:styleId="806">
    <w:name w:val="annotation reference"/>
    <w:uiPriority w:val="99"/>
    <w:unhideWhenUsed/>
    <w:qFormat/>
    <w:rPr>
      <w:sz w:val="21"/>
      <w:szCs w:val="21"/>
    </w:rPr>
  </w:style>
  <w:style w:type="character" w:styleId="807">
    <w:name w:val="footnote reference"/>
    <w:uiPriority w:val="99"/>
    <w:unhideWhenUsed/>
    <w:qFormat/>
    <w:rPr>
      <w:vertAlign w:val="superscript"/>
    </w:rPr>
  </w:style>
  <w:style w:type="table" w:styleId="808" w:customStyle="1">
    <w:name w:val="无格式表格 11"/>
    <w:basedOn w:val="76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6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68"/>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68"/>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4" w:customStyle="1">
    <w:name w:val="网格表 21"/>
    <w:basedOn w:val="768"/>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5" w:customStyle="1">
    <w:name w:val="网格表 31"/>
    <w:basedOn w:val="768"/>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768"/>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网格表 5 深色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网格表 6 彩色1"/>
    <w:basedOn w:val="76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9" w:customStyle="1">
    <w:name w:val="网格表 7 彩色1"/>
    <w:basedOn w:val="768"/>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0" w:customStyle="1">
    <w:name w:val="清单表 1 浅色1"/>
    <w:basedOn w:val="76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清单表 21"/>
    <w:basedOn w:val="76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清单表 31"/>
    <w:basedOn w:val="76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41"/>
    <w:basedOn w:val="76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清单表 5 深色1"/>
    <w:basedOn w:val="76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5" w:customStyle="1">
    <w:name w:val="清单表 6 彩色1"/>
    <w:basedOn w:val="76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6" w:customStyle="1">
    <w:name w:val="清单表 7 彩色1"/>
    <w:basedOn w:val="768"/>
    <w:uiPriority w:val="99"/>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7" w:customStyle="1">
    <w:name w:val="标题 1 字符1"/>
    <w:basedOn w:val="767"/>
    <w:link w:val="758"/>
    <w:qFormat/>
    <w:rPr>
      <w:rFonts w:ascii="Arial" w:hAnsi="Arial" w:eastAsia="Arial" w:cs="Arial"/>
      <w:sz w:val="40"/>
      <w:szCs w:val="40"/>
    </w:rPr>
  </w:style>
  <w:style w:type="character" w:styleId="828" w:customStyle="1">
    <w:name w:val="标题 2 字符1"/>
    <w:basedOn w:val="767"/>
    <w:link w:val="759"/>
    <w:uiPriority w:val="9"/>
    <w:rPr>
      <w:rFonts w:ascii="Arial" w:hAnsi="Arial" w:eastAsia="Arial" w:cs="Arial"/>
      <w:sz w:val="34"/>
      <w:szCs w:val="22"/>
    </w:rPr>
  </w:style>
  <w:style w:type="character" w:styleId="829" w:customStyle="1">
    <w:name w:val="标题 3 字符1"/>
    <w:basedOn w:val="767"/>
    <w:link w:val="760"/>
    <w:uiPriority w:val="9"/>
    <w:rPr>
      <w:rFonts w:ascii="Arial" w:hAnsi="Arial" w:eastAsia="Arial" w:cs="Arial"/>
      <w:sz w:val="30"/>
      <w:szCs w:val="30"/>
    </w:rPr>
  </w:style>
  <w:style w:type="character" w:styleId="830" w:customStyle="1">
    <w:name w:val="标题 4 字符1"/>
    <w:basedOn w:val="767"/>
    <w:link w:val="761"/>
    <w:uiPriority w:val="9"/>
    <w:rPr>
      <w:rFonts w:ascii="Arial" w:hAnsi="Arial" w:eastAsia="Arial" w:cs="Arial"/>
      <w:b/>
      <w:bCs/>
      <w:sz w:val="26"/>
      <w:szCs w:val="26"/>
    </w:rPr>
  </w:style>
  <w:style w:type="character" w:styleId="831" w:customStyle="1">
    <w:name w:val="标题 5 字符1"/>
    <w:basedOn w:val="767"/>
    <w:link w:val="762"/>
    <w:uiPriority w:val="9"/>
    <w:rPr>
      <w:rFonts w:ascii="Arial" w:hAnsi="Arial" w:eastAsia="Arial" w:cs="Arial"/>
      <w:b/>
      <w:bCs/>
      <w:sz w:val="24"/>
      <w:szCs w:val="24"/>
    </w:rPr>
  </w:style>
  <w:style w:type="character" w:styleId="832" w:customStyle="1">
    <w:name w:val="标题 6 字符1"/>
    <w:basedOn w:val="767"/>
    <w:link w:val="763"/>
    <w:uiPriority w:val="9"/>
    <w:rPr>
      <w:rFonts w:ascii="Arial" w:hAnsi="Arial" w:eastAsia="Arial" w:cs="Arial"/>
      <w:b/>
      <w:bCs/>
      <w:sz w:val="22"/>
      <w:szCs w:val="22"/>
    </w:rPr>
  </w:style>
  <w:style w:type="character" w:styleId="833" w:customStyle="1">
    <w:name w:val="标题 7 字符1"/>
    <w:basedOn w:val="767"/>
    <w:link w:val="764"/>
    <w:uiPriority w:val="9"/>
    <w:rPr>
      <w:rFonts w:ascii="Arial" w:hAnsi="Arial" w:eastAsia="Arial" w:cs="Arial"/>
      <w:b/>
      <w:bCs/>
      <w:i/>
      <w:iCs/>
      <w:sz w:val="22"/>
      <w:szCs w:val="22"/>
    </w:rPr>
  </w:style>
  <w:style w:type="character" w:styleId="834" w:customStyle="1">
    <w:name w:val="标题 8 字符1"/>
    <w:basedOn w:val="767"/>
    <w:link w:val="765"/>
    <w:uiPriority w:val="9"/>
    <w:rPr>
      <w:rFonts w:ascii="Arial" w:hAnsi="Arial" w:eastAsia="Arial" w:cs="Arial"/>
      <w:i/>
      <w:iCs/>
      <w:sz w:val="22"/>
      <w:szCs w:val="22"/>
    </w:rPr>
  </w:style>
  <w:style w:type="character" w:styleId="835" w:customStyle="1">
    <w:name w:val="标题 9 字符1"/>
    <w:basedOn w:val="767"/>
    <w:link w:val="766"/>
    <w:uiPriority w:val="9"/>
    <w:rPr>
      <w:rFonts w:ascii="Arial" w:hAnsi="Arial" w:eastAsia="Arial" w:cs="Arial"/>
      <w:i/>
      <w:iCs/>
      <w:sz w:val="21"/>
      <w:szCs w:val="21"/>
    </w:rPr>
  </w:style>
  <w:style w:type="character" w:styleId="836" w:customStyle="1">
    <w:name w:val="Heading 1 Char"/>
    <w:basedOn w:val="767"/>
    <w:uiPriority w:val="9"/>
    <w:rPr>
      <w:rFonts w:ascii="Arial" w:hAnsi="Arial" w:eastAsia="Arial" w:cs="Arial"/>
      <w:sz w:val="40"/>
      <w:szCs w:val="40"/>
    </w:rPr>
  </w:style>
  <w:style w:type="character" w:styleId="837" w:customStyle="1">
    <w:name w:val="Heading 2 Char"/>
    <w:basedOn w:val="767"/>
    <w:uiPriority w:val="9"/>
    <w:rPr>
      <w:rFonts w:ascii="Arial" w:hAnsi="Arial" w:eastAsia="Arial" w:cs="Arial"/>
      <w:sz w:val="34"/>
    </w:rPr>
  </w:style>
  <w:style w:type="character" w:styleId="838" w:customStyle="1">
    <w:name w:val="Heading 3 Char"/>
    <w:basedOn w:val="767"/>
    <w:uiPriority w:val="9"/>
    <w:qFormat/>
    <w:rPr>
      <w:rFonts w:ascii="Arial" w:hAnsi="Arial" w:eastAsia="Arial" w:cs="Arial"/>
      <w:sz w:val="30"/>
      <w:szCs w:val="30"/>
    </w:rPr>
  </w:style>
  <w:style w:type="character" w:styleId="839" w:customStyle="1">
    <w:name w:val="Heading 4 Char"/>
    <w:basedOn w:val="767"/>
    <w:uiPriority w:val="9"/>
    <w:rPr>
      <w:rFonts w:ascii="Arial" w:hAnsi="Arial" w:eastAsia="Arial" w:cs="Arial"/>
      <w:b/>
      <w:bCs/>
      <w:sz w:val="26"/>
      <w:szCs w:val="26"/>
    </w:rPr>
  </w:style>
  <w:style w:type="character" w:styleId="840" w:customStyle="1">
    <w:name w:val="Heading 5 Char"/>
    <w:basedOn w:val="767"/>
    <w:uiPriority w:val="9"/>
    <w:rPr>
      <w:rFonts w:ascii="Arial" w:hAnsi="Arial" w:eastAsia="Arial" w:cs="Arial"/>
      <w:b/>
      <w:bCs/>
      <w:sz w:val="24"/>
      <w:szCs w:val="24"/>
    </w:rPr>
  </w:style>
  <w:style w:type="character" w:styleId="841" w:customStyle="1">
    <w:name w:val="Heading 6 Char"/>
    <w:basedOn w:val="767"/>
    <w:uiPriority w:val="9"/>
    <w:rPr>
      <w:rFonts w:ascii="Arial" w:hAnsi="Arial" w:eastAsia="Arial" w:cs="Arial"/>
      <w:b/>
      <w:bCs/>
      <w:sz w:val="22"/>
      <w:szCs w:val="22"/>
    </w:rPr>
  </w:style>
  <w:style w:type="character" w:styleId="842" w:customStyle="1">
    <w:name w:val="Heading 7 Char"/>
    <w:basedOn w:val="767"/>
    <w:uiPriority w:val="9"/>
    <w:rPr>
      <w:rFonts w:ascii="Arial" w:hAnsi="Arial" w:eastAsia="Arial" w:cs="Arial"/>
      <w:b/>
      <w:bCs/>
      <w:i/>
      <w:iCs/>
      <w:sz w:val="22"/>
      <w:szCs w:val="22"/>
    </w:rPr>
  </w:style>
  <w:style w:type="character" w:styleId="843" w:customStyle="1">
    <w:name w:val="Heading 8 Char"/>
    <w:basedOn w:val="767"/>
    <w:uiPriority w:val="9"/>
    <w:rPr>
      <w:rFonts w:ascii="Arial" w:hAnsi="Arial" w:eastAsia="Arial" w:cs="Arial"/>
      <w:i/>
      <w:iCs/>
      <w:sz w:val="22"/>
      <w:szCs w:val="22"/>
    </w:rPr>
  </w:style>
  <w:style w:type="character" w:styleId="844" w:customStyle="1">
    <w:name w:val="Heading 9 Char"/>
    <w:basedOn w:val="767"/>
    <w:uiPriority w:val="9"/>
    <w:qFormat/>
    <w:rPr>
      <w:rFonts w:ascii="Arial" w:hAnsi="Arial" w:eastAsia="Arial" w:cs="Arial"/>
      <w:i/>
      <w:iCs/>
      <w:sz w:val="21"/>
      <w:szCs w:val="21"/>
    </w:rPr>
  </w:style>
  <w:style w:type="character" w:styleId="845" w:customStyle="1">
    <w:name w:val="Title Char"/>
    <w:basedOn w:val="767"/>
    <w:uiPriority w:val="10"/>
    <w:rPr>
      <w:sz w:val="48"/>
      <w:szCs w:val="48"/>
    </w:rPr>
  </w:style>
  <w:style w:type="character" w:styleId="846" w:customStyle="1">
    <w:name w:val="Subtitle Char"/>
    <w:basedOn w:val="767"/>
    <w:uiPriority w:val="11"/>
    <w:rPr>
      <w:sz w:val="24"/>
      <w:szCs w:val="24"/>
    </w:rPr>
  </w:style>
  <w:style w:type="character" w:styleId="847" w:customStyle="1">
    <w:name w:val="Quote Char"/>
    <w:uiPriority w:val="29"/>
    <w:rPr>
      <w:i/>
    </w:rPr>
  </w:style>
  <w:style w:type="character" w:styleId="848" w:customStyle="1">
    <w:name w:val="Intense Quote Char"/>
    <w:uiPriority w:val="30"/>
    <w:rPr>
      <w:i/>
    </w:rPr>
  </w:style>
  <w:style w:type="table" w:styleId="849" w:customStyle="1">
    <w:name w:val="无格式表格 11"/>
    <w:basedOn w:val="76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7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768"/>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768"/>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768"/>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76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76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6" w:customStyle="1">
    <w:name w:val="网格表 31"/>
    <w:basedOn w:val="76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basedOn w:val="76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网格表 5 深色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网格表 6 彩色1"/>
    <w:basedOn w:val="76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0" w:customStyle="1">
    <w:name w:val="网格表 7 彩色1"/>
    <w:basedOn w:val="76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1" w:customStyle="1">
    <w:name w:val="清单表 1 浅色1"/>
    <w:basedOn w:val="768"/>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清单表 21"/>
    <w:basedOn w:val="76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3" w:customStyle="1">
    <w:name w:val="清单表 3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4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5 深色1"/>
    <w:basedOn w:val="76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6" w:customStyle="1">
    <w:name w:val="清单表 6 彩色1"/>
    <w:basedOn w:val="768"/>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7" w:customStyle="1">
    <w:name w:val="清单表 7 彩色1"/>
    <w:basedOn w:val="768"/>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68" w:customStyle="1">
    <w:name w:val="Footnote Text Char"/>
    <w:uiPriority w:val="99"/>
    <w:rPr>
      <w:sz w:val="18"/>
    </w:rPr>
  </w:style>
  <w:style w:type="character" w:styleId="869" w:customStyle="1">
    <w:name w:val="Endnote Text Char"/>
    <w:uiPriority w:val="99"/>
    <w:rPr>
      <w:sz w:val="20"/>
    </w:rPr>
  </w:style>
  <w:style w:type="paragraph" w:styleId="870" w:customStyle="1">
    <w:name w:val="TOC 标题1"/>
    <w:uiPriority w:val="39"/>
    <w:unhideWhenUsed/>
    <w:qFormat/>
    <w:rPr>
      <w:rFonts w:ascii="Calibri" w:hAnsi="Calibri"/>
    </w:rPr>
  </w:style>
  <w:style w:type="paragraph" w:styleId="871" w:customStyle="1">
    <w:name w:val="标题 11"/>
    <w:basedOn w:val="757"/>
    <w:next w:val="757"/>
    <w:link w:val="872"/>
    <w:uiPriority w:val="9"/>
    <w:qFormat/>
    <w:pPr>
      <w:keepLines/>
      <w:keepNext/>
      <w:spacing w:before="480" w:after="200"/>
      <w:outlineLvl w:val="0"/>
    </w:pPr>
    <w:rPr>
      <w:rFonts w:ascii="Arial" w:hAnsi="Arial" w:eastAsia="Arial" w:cs="Arial"/>
      <w:sz w:val="40"/>
      <w:szCs w:val="40"/>
    </w:rPr>
  </w:style>
  <w:style w:type="character" w:styleId="872" w:customStyle="1">
    <w:name w:val="标题 1 字符"/>
    <w:link w:val="871"/>
    <w:uiPriority w:val="9"/>
    <w:qFormat/>
    <w:rPr>
      <w:rFonts w:ascii="Arial" w:hAnsi="Arial" w:eastAsia="Arial" w:cs="Arial"/>
      <w:sz w:val="40"/>
      <w:szCs w:val="40"/>
    </w:rPr>
  </w:style>
  <w:style w:type="paragraph" w:styleId="873" w:customStyle="1">
    <w:name w:val="标题 21"/>
    <w:basedOn w:val="757"/>
    <w:next w:val="757"/>
    <w:link w:val="874"/>
    <w:uiPriority w:val="9"/>
    <w:unhideWhenUsed/>
    <w:qFormat/>
    <w:pPr>
      <w:keepLines/>
      <w:keepNext/>
      <w:spacing w:before="360" w:after="200"/>
      <w:outlineLvl w:val="1"/>
    </w:pPr>
    <w:rPr>
      <w:rFonts w:ascii="Arial" w:hAnsi="Arial" w:eastAsia="Arial" w:cs="Arial"/>
      <w:sz w:val="34"/>
    </w:rPr>
  </w:style>
  <w:style w:type="character" w:styleId="874" w:customStyle="1">
    <w:name w:val="标题 2 字符"/>
    <w:link w:val="873"/>
    <w:uiPriority w:val="9"/>
    <w:qFormat/>
    <w:rPr>
      <w:rFonts w:ascii="Arial" w:hAnsi="Arial" w:eastAsia="Arial" w:cs="Arial"/>
      <w:sz w:val="34"/>
    </w:rPr>
  </w:style>
  <w:style w:type="paragraph" w:styleId="875" w:customStyle="1">
    <w:name w:val="标题 31"/>
    <w:basedOn w:val="757"/>
    <w:next w:val="757"/>
    <w:link w:val="876"/>
    <w:uiPriority w:val="9"/>
    <w:unhideWhenUsed/>
    <w:qFormat/>
    <w:pPr>
      <w:keepLines/>
      <w:keepNext/>
      <w:spacing w:before="320" w:after="200"/>
      <w:outlineLvl w:val="2"/>
    </w:pPr>
    <w:rPr>
      <w:rFonts w:ascii="Arial" w:hAnsi="Arial" w:eastAsia="Arial" w:cs="Arial"/>
      <w:sz w:val="30"/>
      <w:szCs w:val="30"/>
    </w:rPr>
  </w:style>
  <w:style w:type="character" w:styleId="876" w:customStyle="1">
    <w:name w:val="标题 3 字符"/>
    <w:link w:val="875"/>
    <w:uiPriority w:val="9"/>
    <w:qFormat/>
    <w:rPr>
      <w:rFonts w:ascii="Arial" w:hAnsi="Arial" w:eastAsia="Arial" w:cs="Arial"/>
      <w:sz w:val="30"/>
      <w:szCs w:val="30"/>
    </w:rPr>
  </w:style>
  <w:style w:type="paragraph" w:styleId="877" w:customStyle="1">
    <w:name w:val="标题 41"/>
    <w:basedOn w:val="757"/>
    <w:next w:val="757"/>
    <w:link w:val="878"/>
    <w:uiPriority w:val="9"/>
    <w:unhideWhenUsed/>
    <w:qFormat/>
    <w:pPr>
      <w:keepLines/>
      <w:keepNext/>
      <w:spacing w:before="320" w:after="200"/>
      <w:outlineLvl w:val="3"/>
    </w:pPr>
    <w:rPr>
      <w:rFonts w:ascii="Arial" w:hAnsi="Arial" w:eastAsia="Arial" w:cs="Arial"/>
      <w:b/>
      <w:bCs/>
      <w:sz w:val="26"/>
      <w:szCs w:val="26"/>
    </w:rPr>
  </w:style>
  <w:style w:type="character" w:styleId="878" w:customStyle="1">
    <w:name w:val="标题 4 字符"/>
    <w:link w:val="877"/>
    <w:uiPriority w:val="9"/>
    <w:qFormat/>
    <w:rPr>
      <w:rFonts w:ascii="Arial" w:hAnsi="Arial" w:eastAsia="Arial" w:cs="Arial"/>
      <w:b/>
      <w:bCs/>
      <w:sz w:val="26"/>
      <w:szCs w:val="26"/>
    </w:rPr>
  </w:style>
  <w:style w:type="paragraph" w:styleId="879" w:customStyle="1">
    <w:name w:val="标题 51"/>
    <w:basedOn w:val="757"/>
    <w:next w:val="757"/>
    <w:link w:val="880"/>
    <w:uiPriority w:val="9"/>
    <w:unhideWhenUsed/>
    <w:qFormat/>
    <w:pPr>
      <w:keepLines/>
      <w:keepNext/>
      <w:spacing w:before="320" w:after="200"/>
      <w:outlineLvl w:val="4"/>
    </w:pPr>
    <w:rPr>
      <w:rFonts w:ascii="Arial" w:hAnsi="Arial" w:eastAsia="Arial" w:cs="Arial"/>
      <w:b/>
      <w:bCs/>
      <w:sz w:val="24"/>
      <w:szCs w:val="24"/>
    </w:rPr>
  </w:style>
  <w:style w:type="character" w:styleId="880" w:customStyle="1">
    <w:name w:val="标题 5 字符"/>
    <w:link w:val="879"/>
    <w:uiPriority w:val="9"/>
    <w:qFormat/>
    <w:rPr>
      <w:rFonts w:ascii="Arial" w:hAnsi="Arial" w:eastAsia="Arial" w:cs="Arial"/>
      <w:b/>
      <w:bCs/>
      <w:sz w:val="24"/>
      <w:szCs w:val="24"/>
    </w:rPr>
  </w:style>
  <w:style w:type="paragraph" w:styleId="881" w:customStyle="1">
    <w:name w:val="标题 61"/>
    <w:basedOn w:val="757"/>
    <w:next w:val="757"/>
    <w:link w:val="882"/>
    <w:uiPriority w:val="9"/>
    <w:unhideWhenUsed/>
    <w:qFormat/>
    <w:pPr>
      <w:keepLines/>
      <w:keepNext/>
      <w:spacing w:before="320" w:after="200"/>
      <w:outlineLvl w:val="5"/>
    </w:pPr>
    <w:rPr>
      <w:rFonts w:ascii="Arial" w:hAnsi="Arial" w:eastAsia="Arial" w:cs="Arial"/>
      <w:b/>
      <w:bCs/>
      <w:sz w:val="22"/>
    </w:rPr>
  </w:style>
  <w:style w:type="character" w:styleId="882" w:customStyle="1">
    <w:name w:val="标题 6 字符"/>
    <w:link w:val="881"/>
    <w:uiPriority w:val="9"/>
    <w:qFormat/>
    <w:rPr>
      <w:rFonts w:ascii="Arial" w:hAnsi="Arial" w:eastAsia="Arial" w:cs="Arial"/>
      <w:b/>
      <w:bCs/>
      <w:sz w:val="22"/>
      <w:szCs w:val="22"/>
    </w:rPr>
  </w:style>
  <w:style w:type="paragraph" w:styleId="883" w:customStyle="1">
    <w:name w:val="标题 71"/>
    <w:basedOn w:val="757"/>
    <w:next w:val="757"/>
    <w:link w:val="884"/>
    <w:uiPriority w:val="9"/>
    <w:unhideWhenUsed/>
    <w:qFormat/>
    <w:pPr>
      <w:keepLines/>
      <w:keepNext/>
      <w:spacing w:before="320" w:after="200"/>
      <w:outlineLvl w:val="6"/>
    </w:pPr>
    <w:rPr>
      <w:rFonts w:ascii="Arial" w:hAnsi="Arial" w:eastAsia="Arial" w:cs="Arial"/>
      <w:b/>
      <w:bCs/>
      <w:i/>
      <w:iCs/>
      <w:sz w:val="22"/>
    </w:rPr>
  </w:style>
  <w:style w:type="character" w:styleId="884" w:customStyle="1">
    <w:name w:val="标题 7 字符"/>
    <w:link w:val="883"/>
    <w:uiPriority w:val="9"/>
    <w:qFormat/>
    <w:rPr>
      <w:rFonts w:ascii="Arial" w:hAnsi="Arial" w:eastAsia="Arial" w:cs="Arial"/>
      <w:b/>
      <w:bCs/>
      <w:i/>
      <w:iCs/>
      <w:sz w:val="22"/>
      <w:szCs w:val="22"/>
    </w:rPr>
  </w:style>
  <w:style w:type="paragraph" w:styleId="885" w:customStyle="1">
    <w:name w:val="标题 81"/>
    <w:basedOn w:val="757"/>
    <w:next w:val="757"/>
    <w:link w:val="886"/>
    <w:uiPriority w:val="9"/>
    <w:unhideWhenUsed/>
    <w:qFormat/>
    <w:pPr>
      <w:keepLines/>
      <w:keepNext/>
      <w:spacing w:before="320" w:after="200"/>
      <w:outlineLvl w:val="7"/>
    </w:pPr>
    <w:rPr>
      <w:rFonts w:ascii="Arial" w:hAnsi="Arial" w:eastAsia="Arial" w:cs="Arial"/>
      <w:i/>
      <w:iCs/>
      <w:sz w:val="22"/>
    </w:rPr>
  </w:style>
  <w:style w:type="character" w:styleId="886" w:customStyle="1">
    <w:name w:val="标题 8 字符"/>
    <w:link w:val="885"/>
    <w:uiPriority w:val="9"/>
    <w:qFormat/>
    <w:rPr>
      <w:rFonts w:ascii="Arial" w:hAnsi="Arial" w:eastAsia="Arial" w:cs="Arial"/>
      <w:i/>
      <w:iCs/>
      <w:sz w:val="22"/>
      <w:szCs w:val="22"/>
    </w:rPr>
  </w:style>
  <w:style w:type="paragraph" w:styleId="887" w:customStyle="1">
    <w:name w:val="标题 91"/>
    <w:basedOn w:val="757"/>
    <w:next w:val="757"/>
    <w:link w:val="888"/>
    <w:uiPriority w:val="9"/>
    <w:unhideWhenUsed/>
    <w:qFormat/>
    <w:pPr>
      <w:keepLines/>
      <w:keepNext/>
      <w:spacing w:before="320" w:after="200"/>
      <w:outlineLvl w:val="8"/>
    </w:pPr>
    <w:rPr>
      <w:rFonts w:ascii="Arial" w:hAnsi="Arial" w:eastAsia="Arial" w:cs="Arial"/>
      <w:i/>
      <w:iCs/>
      <w:szCs w:val="21"/>
    </w:rPr>
  </w:style>
  <w:style w:type="character" w:styleId="888" w:customStyle="1">
    <w:name w:val="标题 9 字符"/>
    <w:link w:val="887"/>
    <w:uiPriority w:val="9"/>
    <w:qFormat/>
    <w:rPr>
      <w:rFonts w:ascii="Arial" w:hAnsi="Arial" w:eastAsia="Arial" w:cs="Arial"/>
      <w:i/>
      <w:iCs/>
      <w:sz w:val="21"/>
      <w:szCs w:val="21"/>
    </w:rPr>
  </w:style>
  <w:style w:type="character" w:styleId="889" w:customStyle="1">
    <w:name w:val="正文缩进 字符"/>
    <w:link w:val="773"/>
    <w:qFormat/>
    <w:rPr>
      <w:sz w:val="21"/>
      <w:szCs w:val="22"/>
    </w:rPr>
  </w:style>
  <w:style w:type="paragraph" w:styleId="890" w:customStyle="1">
    <w:name w:val="题注1"/>
    <w:basedOn w:val="757"/>
    <w:next w:val="757"/>
    <w:uiPriority w:val="35"/>
    <w:semiHidden/>
    <w:unhideWhenUsed/>
    <w:qFormat/>
    <w:pPr>
      <w:spacing w:line="276" w:lineRule="auto"/>
    </w:pPr>
    <w:rPr>
      <w:b/>
      <w:bCs/>
      <w:color w:val="4f81bd" w:themeColor="accent1"/>
      <w:sz w:val="18"/>
      <w:szCs w:val="18"/>
    </w:rPr>
  </w:style>
  <w:style w:type="character" w:styleId="891" w:customStyle="1">
    <w:name w:val="批注文字 字符"/>
    <w:link w:val="775"/>
    <w:uiPriority w:val="99"/>
    <w:qFormat/>
    <w:rPr>
      <w:sz w:val="21"/>
      <w:szCs w:val="22"/>
    </w:rPr>
  </w:style>
  <w:style w:type="character" w:styleId="892" w:customStyle="1">
    <w:name w:val="正文文本 字符"/>
    <w:link w:val="776"/>
    <w:qFormat/>
    <w:rPr>
      <w:rFonts w:ascii="Times New Roman" w:hAnsi="Times New Roman"/>
      <w:sz w:val="21"/>
      <w:szCs w:val="24"/>
    </w:rPr>
  </w:style>
  <w:style w:type="character" w:styleId="893" w:customStyle="1">
    <w:name w:val="纯文本 字符1"/>
    <w:link w:val="780"/>
    <w:qFormat/>
    <w:rPr>
      <w:rFonts w:ascii="宋体" w:hAnsi="Courier New" w:eastAsia="楷体_GB2312"/>
      <w:sz w:val="26"/>
      <w:szCs w:val="24"/>
    </w:rPr>
  </w:style>
  <w:style w:type="character" w:styleId="894" w:customStyle="1">
    <w:name w:val="尾注文本 字符"/>
    <w:link w:val="784"/>
    <w:uiPriority w:val="99"/>
    <w:qFormat/>
    <w:rPr>
      <w:sz w:val="20"/>
    </w:rPr>
  </w:style>
  <w:style w:type="character" w:styleId="895" w:customStyle="1">
    <w:name w:val="批注框文本 字符1"/>
    <w:link w:val="785"/>
    <w:uiPriority w:val="99"/>
    <w:semiHidden/>
    <w:qFormat/>
    <w:rPr>
      <w:sz w:val="18"/>
      <w:szCs w:val="18"/>
    </w:rPr>
  </w:style>
  <w:style w:type="paragraph" w:styleId="896" w:customStyle="1">
    <w:name w:val="页脚1"/>
    <w:basedOn w:val="757"/>
    <w:link w:val="897"/>
    <w:uiPriority w:val="99"/>
    <w:qFormat/>
    <w:pPr>
      <w:jc w:val="left"/>
      <w:tabs>
        <w:tab w:val="center" w:pos="4153" w:leader="none"/>
        <w:tab w:val="right" w:pos="8306" w:leader="none"/>
      </w:tabs>
    </w:pPr>
    <w:rPr>
      <w:sz w:val="18"/>
      <w:szCs w:val="18"/>
    </w:rPr>
  </w:style>
  <w:style w:type="character" w:styleId="897" w:customStyle="1">
    <w:name w:val="页脚 字符1"/>
    <w:link w:val="896"/>
    <w:uiPriority w:val="99"/>
    <w:qFormat/>
    <w:rPr>
      <w:rFonts w:ascii="Calibri" w:hAnsi="Calibri" w:eastAsia="宋体" w:cs="Times New Roman"/>
      <w:sz w:val="18"/>
      <w:szCs w:val="18"/>
    </w:rPr>
  </w:style>
  <w:style w:type="paragraph" w:styleId="898" w:customStyle="1">
    <w:name w:val="页眉1"/>
    <w:basedOn w:val="757"/>
    <w:link w:val="899"/>
    <w:uiPriority w:val="99"/>
    <w:unhideWhenUsed/>
    <w:qFormat/>
    <w:pPr>
      <w:jc w:val="center"/>
      <w:tabs>
        <w:tab w:val="center" w:pos="4153" w:leader="none"/>
        <w:tab w:val="right" w:pos="8306" w:leader="none"/>
      </w:tabs>
    </w:pPr>
    <w:rPr>
      <w:sz w:val="18"/>
      <w:szCs w:val="18"/>
    </w:rPr>
  </w:style>
  <w:style w:type="character" w:styleId="899" w:customStyle="1">
    <w:name w:val="页眉 字符1"/>
    <w:link w:val="898"/>
    <w:uiPriority w:val="99"/>
    <w:qFormat/>
    <w:rPr>
      <w:sz w:val="18"/>
      <w:szCs w:val="18"/>
    </w:rPr>
  </w:style>
  <w:style w:type="character" w:styleId="900" w:customStyle="1">
    <w:name w:val="副标题 字符"/>
    <w:link w:val="790"/>
    <w:uiPriority w:val="11"/>
    <w:qFormat/>
    <w:rPr>
      <w:sz w:val="24"/>
      <w:szCs w:val="24"/>
    </w:rPr>
  </w:style>
  <w:style w:type="character" w:styleId="901" w:customStyle="1">
    <w:name w:val="脚注文本 字符"/>
    <w:link w:val="791"/>
    <w:uiPriority w:val="99"/>
    <w:qFormat/>
    <w:rPr>
      <w:sz w:val="18"/>
    </w:rPr>
  </w:style>
  <w:style w:type="character" w:styleId="902" w:customStyle="1">
    <w:name w:val="标题 字符"/>
    <w:link w:val="797"/>
    <w:uiPriority w:val="10"/>
    <w:qFormat/>
    <w:rPr>
      <w:sz w:val="48"/>
      <w:szCs w:val="48"/>
    </w:rPr>
  </w:style>
  <w:style w:type="character" w:styleId="903" w:customStyle="1">
    <w:name w:val="批注主题 字符"/>
    <w:link w:val="798"/>
    <w:uiPriority w:val="99"/>
    <w:semiHidden/>
    <w:qFormat/>
    <w:rPr>
      <w:b/>
      <w:bCs/>
      <w:sz w:val="21"/>
      <w:szCs w:val="22"/>
    </w:rPr>
  </w:style>
  <w:style w:type="paragraph" w:styleId="904">
    <w:name w:val="List Paragraph"/>
    <w:basedOn w:val="757"/>
    <w:uiPriority w:val="99"/>
    <w:qFormat/>
    <w:pPr>
      <w:ind w:firstLine="420"/>
      <w:jc w:val="left"/>
      <w:widowControl/>
    </w:pPr>
    <w:rPr>
      <w:rFonts w:ascii="宋体" w:hAnsi="宋体"/>
      <w:sz w:val="24"/>
      <w:szCs w:val="24"/>
    </w:rPr>
  </w:style>
  <w:style w:type="paragraph" w:styleId="905">
    <w:name w:val="No Spacing"/>
    <w:uiPriority w:val="1"/>
    <w:qFormat/>
    <w:rPr>
      <w:rFonts w:ascii="Calibri" w:hAnsi="Calibri"/>
    </w:rPr>
  </w:style>
  <w:style w:type="paragraph" w:styleId="906">
    <w:name w:val="Quote"/>
    <w:basedOn w:val="757"/>
    <w:next w:val="757"/>
    <w:link w:val="907"/>
    <w:uiPriority w:val="29"/>
    <w:qFormat/>
    <w:pPr>
      <w:ind w:left="720" w:right="720"/>
    </w:pPr>
    <w:rPr>
      <w:i/>
    </w:rPr>
  </w:style>
  <w:style w:type="character" w:styleId="907" w:customStyle="1">
    <w:name w:val="引用 字符"/>
    <w:link w:val="906"/>
    <w:uiPriority w:val="29"/>
    <w:qFormat/>
    <w:rPr>
      <w:i/>
    </w:rPr>
  </w:style>
  <w:style w:type="paragraph" w:styleId="908">
    <w:name w:val="Intense Quote"/>
    <w:basedOn w:val="757"/>
    <w:next w:val="757"/>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字符"/>
    <w:link w:val="908"/>
    <w:uiPriority w:val="30"/>
    <w:qFormat/>
    <w:rPr>
      <w:i/>
    </w:rPr>
  </w:style>
  <w:style w:type="character" w:styleId="910" w:customStyle="1">
    <w:name w:val="Header Char"/>
    <w:uiPriority w:val="99"/>
    <w:qFormat/>
  </w:style>
  <w:style w:type="character" w:styleId="911" w:customStyle="1">
    <w:name w:val="Footer Char"/>
    <w:uiPriority w:val="99"/>
    <w:qFormat/>
  </w:style>
  <w:style w:type="character" w:styleId="912" w:customStyle="1">
    <w:name w:val="Caption Char"/>
    <w:uiPriority w:val="99"/>
    <w:qFormat/>
  </w:style>
  <w:style w:type="table" w:styleId="91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1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4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8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8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8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9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9"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6"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0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19" w:customStyle="1">
    <w:name w:val="TOC 标题1"/>
    <w:uiPriority w:val="39"/>
    <w:unhideWhenUsed/>
    <w:qFormat/>
    <w:rPr>
      <w:rFonts w:ascii="Calibri" w:hAnsi="Calibri"/>
    </w:rPr>
  </w:style>
  <w:style w:type="paragraph" w:styleId="1020" w:customStyle="1">
    <w:name w:val="修订1"/>
    <w:uiPriority w:val="99"/>
    <w:semiHidden/>
    <w:qFormat/>
    <w:rPr>
      <w:rFonts w:ascii="Calibri" w:hAnsi="Calibri"/>
      <w:sz w:val="21"/>
      <w:szCs w:val="22"/>
    </w:rPr>
  </w:style>
  <w:style w:type="paragraph" w:styleId="1021" w:customStyle="1">
    <w:name w:val="_正文段落"/>
    <w:basedOn w:val="757"/>
    <w:qFormat/>
    <w:pPr>
      <w:ind w:firstLine="200"/>
      <w:jc w:val="left"/>
      <w:spacing w:line="360" w:lineRule="auto"/>
    </w:pPr>
    <w:rPr>
      <w:rFonts w:ascii="宋体" w:hAnsi="宋体"/>
      <w:sz w:val="24"/>
      <w:szCs w:val="24"/>
    </w:rPr>
  </w:style>
  <w:style w:type="paragraph" w:styleId="1022" w:customStyle="1">
    <w:name w:val="纯文本11"/>
    <w:basedOn w:val="757"/>
    <w:uiPriority w:val="99"/>
    <w:qFormat/>
    <w:rPr>
      <w:rFonts w:ascii="宋体" w:hAnsi="Courier New" w:eastAsia="楷体_GB2312"/>
      <w:sz w:val="26"/>
      <w:szCs w:val="24"/>
    </w:rPr>
  </w:style>
  <w:style w:type="character" w:styleId="1023" w:customStyle="1">
    <w:name w:val="页脚 字符"/>
    <w:qFormat/>
    <w:rPr>
      <w:rFonts w:ascii="Calibri" w:hAnsi="Calibri" w:eastAsia="宋体"/>
      <w:sz w:val="18"/>
      <w:szCs w:val="18"/>
    </w:rPr>
  </w:style>
  <w:style w:type="character" w:styleId="1024" w:customStyle="1">
    <w:name w:val="纯文本 字符"/>
    <w:uiPriority w:val="99"/>
    <w:semiHidden/>
    <w:qFormat/>
    <w:rPr>
      <w:rFonts w:ascii="宋体" w:hAnsi="Courier New" w:eastAsia="宋体" w:cs="Courier New"/>
      <w:sz w:val="21"/>
      <w:szCs w:val="21"/>
    </w:rPr>
  </w:style>
  <w:style w:type="character" w:styleId="1025" w:customStyle="1">
    <w:name w:val="Plain Text Char Char"/>
    <w:link w:val="1026"/>
    <w:qFormat/>
    <w:rPr>
      <w:rFonts w:ascii="宋体" w:hAnsi="Courier New" w:eastAsia="楷体_GB2312"/>
      <w:sz w:val="28"/>
    </w:rPr>
  </w:style>
  <w:style w:type="paragraph" w:styleId="1026" w:customStyle="1">
    <w:name w:val="纯文本1"/>
    <w:basedOn w:val="757"/>
    <w:link w:val="1025"/>
    <w:qFormat/>
    <w:rPr>
      <w:rFonts w:ascii="宋体" w:hAnsi="Courier New" w:eastAsia="楷体_GB2312"/>
      <w:sz w:val="28"/>
      <w:szCs w:val="20"/>
    </w:rPr>
  </w:style>
  <w:style w:type="paragraph" w:styleId="1027" w:customStyle="1">
    <w:name w:val="段"/>
    <w:next w:val="757"/>
    <w:qFormat/>
    <w:pPr>
      <w:ind w:firstLine="200"/>
      <w:jc w:val="both"/>
    </w:pPr>
    <w:rPr>
      <w:rFonts w:ascii="宋体" w:hAnsi="宋体"/>
      <w:sz w:val="21"/>
      <w:szCs w:val="21"/>
    </w:rPr>
  </w:style>
  <w:style w:type="character" w:styleId="1028" w:customStyle="1">
    <w:name w:val="页眉 字符"/>
    <w:qFormat/>
    <w:rPr>
      <w:sz w:val="18"/>
      <w:szCs w:val="18"/>
    </w:rPr>
  </w:style>
  <w:style w:type="character" w:styleId="1029" w:customStyle="1">
    <w:name w:val="批注框文本 字符"/>
    <w:qFormat/>
    <w:rPr>
      <w:sz w:val="18"/>
      <w:szCs w:val="18"/>
    </w:rPr>
  </w:style>
  <w:style w:type="paragraph" w:styleId="1030" w:customStyle="1">
    <w:name w:val="彩色列表 - 强调文字颜色 11"/>
    <w:basedOn w:val="757"/>
    <w:qFormat/>
    <w:pPr>
      <w:ind w:firstLine="420"/>
    </w:pPr>
    <w:rPr>
      <w:rFonts w:ascii="Times New Roman" w:hAnsi="Times New Roman"/>
      <w:sz w:val="26"/>
      <w:szCs w:val="24"/>
    </w:rPr>
  </w:style>
  <w:style w:type="paragraph" w:styleId="1031" w:customStyle="1">
    <w:name w:val="正文首行缩进 21"/>
    <w:basedOn w:val="757"/>
    <w:next w:val="757"/>
    <w:qFormat/>
    <w:pPr>
      <w:ind w:left="420" w:firstLine="420"/>
      <w:spacing w:after="120"/>
    </w:pPr>
    <w:rPr>
      <w:sz w:val="20"/>
      <w:szCs w:val="20"/>
    </w:rPr>
  </w:style>
  <w:style w:type="character" w:styleId="1032" w:customStyle="1">
    <w:name w:val="正文缩进 Char"/>
    <w:qFormat/>
    <w:rPr>
      <w:rFonts w:eastAsia="楷体_GB2312"/>
      <w:sz w:val="24"/>
    </w:rPr>
  </w:style>
  <w:style w:type="character" w:styleId="1033" w:customStyle="1">
    <w:name w:val="纯文本 Char"/>
    <w:qFormat/>
    <w:rPr>
      <w:rFonts w:ascii="宋体" w:hAnsi="Courier New" w:eastAsia="楷体_GB2312" w:cs="Times New Roman"/>
      <w:sz w:val="28"/>
    </w:rPr>
  </w:style>
  <w:style w:type="character" w:styleId="1034" w:customStyle="1">
    <w:name w:val="页眉 字符2"/>
    <w:basedOn w:val="767"/>
    <w:link w:val="787"/>
    <w:uiPriority w:val="99"/>
    <w:qFormat/>
    <w:rPr>
      <w:sz w:val="18"/>
      <w:szCs w:val="18"/>
    </w:rPr>
  </w:style>
  <w:style w:type="character" w:styleId="1035" w:customStyle="1">
    <w:name w:val="页脚 字符2"/>
    <w:basedOn w:val="767"/>
    <w:link w:val="786"/>
    <w:uiPriority w:val="99"/>
    <w:rPr>
      <w:sz w:val="18"/>
      <w:szCs w:val="18"/>
    </w:rPr>
  </w:style>
  <w:style w:type="paragraph" w:styleId="1036" w:customStyle="1">
    <w:name w:val="修订2"/>
    <w:hidden/>
    <w:uiPriority w:val="99"/>
    <w:semiHidden/>
    <w:rPr>
      <w:rFonts w:ascii="Calibri" w:hAnsi="Calibri"/>
      <w:sz w:val="21"/>
      <w:szCs w:val="22"/>
    </w:rPr>
  </w:style>
  <w:style w:type="paragraph" w:styleId="1037" w:customStyle="1">
    <w:name w:val="text"/>
    <w:basedOn w:val="757"/>
    <w:pPr>
      <w:jc w:val="left"/>
      <w:spacing w:before="100" w:beforeAutospacing="1" w:after="100" w:afterAutospacing="1"/>
      <w:widowControl/>
    </w:pPr>
    <w:rPr>
      <w:rFonts w:ascii="宋体" w:hAnsi="宋体" w:cs="宋体"/>
      <w:sz w:val="24"/>
      <w:szCs w:val="24"/>
    </w:rPr>
  </w:style>
  <w:style w:type="paragraph" w:styleId="1038" w:customStyle="1">
    <w:name w:val="纯文本2"/>
    <w:basedOn w:val="757"/>
    <w:qFormat/>
    <w:rPr>
      <w:rFonts w:ascii="宋体" w:hAnsi="Courier New"/>
      <w:szCs w:val="24"/>
    </w:rPr>
  </w:style>
  <w:style w:type="paragraph" w:styleId="1039" w:customStyle="1">
    <w:name w:val="纯文本4"/>
    <w:basedOn w:val="757"/>
    <w:qFormat/>
    <w:rPr>
      <w:rFonts w:ascii="宋体" w:hAnsi="Courier New" w:eastAsia="楷体_GB2312"/>
      <w:sz w:val="26"/>
      <w:szCs w:val="20"/>
    </w:rPr>
  </w:style>
  <w:style w:type="paragraph" w:styleId="1040" w:customStyle="1">
    <w:name w:val="首行缩进"/>
    <w:basedOn w:val="757"/>
    <w:qFormat/>
    <w:pPr>
      <w:ind w:firstLine="480"/>
    </w:pPr>
    <w:rPr>
      <w:rFonts w:ascii="Times New Roman" w:hAnsi="Times New Roman"/>
      <w:szCs w:val="20"/>
      <w:lang w:val="zh-CN"/>
    </w:rPr>
  </w:style>
  <w:style w:type="character" w:styleId="1041" w:customStyle="1">
    <w:name w:val="正文文本缩进 字符"/>
    <w:basedOn w:val="767"/>
    <w:link w:val="770"/>
    <w:rPr>
      <w:rFonts w:eastAsia="楷体_GB2312"/>
      <w:sz w:val="26"/>
    </w:rPr>
  </w:style>
  <w:style w:type="character" w:styleId="1042" w:customStyle="1">
    <w:name w:val="日期 字符"/>
    <w:basedOn w:val="767"/>
    <w:link w:val="782"/>
    <w:qFormat/>
    <w:rPr>
      <w:rFonts w:ascii="Times New Roman" w:hAnsi="Times New Roman"/>
      <w:sz w:val="28"/>
    </w:rPr>
  </w:style>
  <w:style w:type="character" w:styleId="1043" w:customStyle="1">
    <w:name w:val="正文文本缩进 2 字符"/>
    <w:basedOn w:val="767"/>
    <w:link w:val="783"/>
    <w:rPr>
      <w:rFonts w:ascii="Times New Roman" w:hAnsi="Times New Roman"/>
      <w:sz w:val="28"/>
    </w:rPr>
  </w:style>
  <w:style w:type="character" w:styleId="1044" w:customStyle="1">
    <w:name w:val="font01"/>
    <w:basedOn w:val="767"/>
    <w:rPr>
      <w:rFonts w:hint="eastAsia" w:ascii="宋体" w:hAnsi="宋体" w:eastAsia="宋体" w:cs="宋体"/>
      <w:color w:val="ff0000"/>
      <w:sz w:val="22"/>
      <w:szCs w:val="22"/>
      <w:u w:val="none"/>
    </w:rPr>
  </w:style>
  <w:style w:type="character" w:styleId="1045" w:customStyle="1">
    <w:name w:val="font21"/>
    <w:basedOn w:val="767"/>
    <w:rPr>
      <w:rFonts w:hint="eastAsia" w:ascii="宋体" w:hAnsi="宋体" w:eastAsia="宋体" w:cs="宋体"/>
      <w:b/>
      <w:color w:val="000000"/>
      <w:sz w:val="22"/>
      <w:szCs w:val="22"/>
      <w:u w:val="none"/>
    </w:rPr>
  </w:style>
  <w:style w:type="character" w:styleId="1046" w:customStyle="1">
    <w:name w:val="font61"/>
    <w:basedOn w:val="767"/>
    <w:rPr>
      <w:rFonts w:hint="eastAsia" w:ascii="宋体" w:hAnsi="宋体" w:eastAsia="宋体" w:cs="宋体"/>
      <w:color w:val="000000"/>
      <w:sz w:val="16"/>
      <w:szCs w:val="16"/>
      <w:u w:val="none"/>
    </w:rPr>
  </w:style>
  <w:style w:type="character" w:styleId="1047" w:customStyle="1">
    <w:name w:val="font41"/>
    <w:basedOn w:val="767"/>
    <w:rPr>
      <w:rFonts w:hint="eastAsia" w:ascii="宋体" w:hAnsi="宋体" w:eastAsia="宋体" w:cs="宋体"/>
      <w:color w:val="000000"/>
      <w:sz w:val="24"/>
      <w:szCs w:val="24"/>
      <w:u w:val="none"/>
    </w:rPr>
  </w:style>
  <w:style w:type="character" w:styleId="1048" w:customStyle="1">
    <w:name w:val="font71"/>
    <w:basedOn w:val="767"/>
    <w:rPr>
      <w:rFonts w:hint="eastAsia" w:ascii="宋体" w:hAnsi="宋体" w:eastAsia="宋体" w:cs="宋体"/>
      <w:color w:val="000000"/>
      <w:sz w:val="16"/>
      <w:szCs w:val="16"/>
      <w:u w:val="none"/>
    </w:rPr>
  </w:style>
  <w:style w:type="character" w:styleId="1049" w:customStyle="1">
    <w:name w:val="font51"/>
    <w:basedOn w:val="767"/>
    <w:rPr>
      <w:rFonts w:hint="eastAsia" w:ascii="宋体" w:hAnsi="宋体" w:eastAsia="宋体" w:cs="宋体"/>
      <w:color w:val="000000"/>
      <w:sz w:val="16"/>
      <w:szCs w:val="16"/>
      <w:u w:val="none"/>
    </w:rPr>
  </w:style>
  <w:style w:type="character" w:styleId="1050" w:customStyle="1">
    <w:name w:val="ui-pg-cp"/>
    <w:basedOn w:val="767"/>
    <w:rPr>
      <w:color w:val="ff0000"/>
    </w:rPr>
  </w:style>
  <w:style w:type="paragraph" w:styleId="1051" w:customStyle="1">
    <w:name w:val="2222"/>
    <w:basedOn w:val="757"/>
    <w:qFormat/>
    <w:pPr>
      <w:spacing w:line="360" w:lineRule="auto"/>
    </w:pPr>
    <w:rPr>
      <w:rFonts w:ascii="宋体" w:hAnsi="宋体"/>
      <w:sz w:val="24"/>
      <w:szCs w:val="24"/>
    </w:rPr>
  </w:style>
  <w:style w:type="character" w:styleId="1052" w:customStyle="1">
    <w:name w:val="apple-style-span"/>
    <w:basedOn w:val="767"/>
  </w:style>
  <w:style w:type="character" w:styleId="1053" w:customStyle="1">
    <w:name w:val="font11"/>
    <w:basedOn w:val="767"/>
    <w:rPr>
      <w:rFonts w:hint="eastAsia" w:ascii="宋体" w:hAnsi="宋体" w:eastAsia="宋体" w:cs="宋体"/>
      <w:b/>
      <w:bCs/>
      <w:color w:val="000000"/>
      <w:sz w:val="20"/>
      <w:szCs w:val="20"/>
      <w:u w:val="none"/>
    </w:rPr>
  </w:style>
  <w:style w:type="character" w:styleId="1054" w:customStyle="1">
    <w:name w:val="font31"/>
    <w:basedOn w:val="767"/>
    <w:rPr>
      <w:rFonts w:hint="eastAsia" w:ascii="宋体" w:hAnsi="宋体" w:eastAsia="宋体" w:cs="宋体"/>
      <w:color w:val="000000"/>
      <w:sz w:val="20"/>
      <w:szCs w:val="20"/>
      <w:u w:val="none"/>
    </w:rPr>
  </w:style>
  <w:style w:type="paragraph" w:styleId="1055" w:customStyle="1">
    <w:name w:val="目录 51"/>
    <w:next w:val="757"/>
    <w:qFormat/>
    <w:pPr>
      <w:ind w:left="1275"/>
      <w:jc w:val="both"/>
    </w:pPr>
    <w:rPr>
      <w:sz w:val="21"/>
    </w:rPr>
  </w:style>
  <w:style w:type="table" w:styleId="1056" w:customStyle="1">
    <w:name w:val="List Table 3 - Accent 51"/>
    <w:uiPriority w:val="99"/>
    <w:tblPr>
      <w:tblBorders>
        <w:top w:val="single" w:color="9BC2E5" w:sz="4" w:space="0"/>
        <w:left w:val="single" w:color="9BC2E5" w:sz="4" w:space="0"/>
        <w:bottom w:val="single" w:color="9BC2E5" w:sz="4" w:space="0"/>
        <w:right w:val="single" w:color="9BC2E5"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sz="4" w:space="0"/>
          <w:bottom w:val="single" w:color="9BC2E5" w:sz="4" w:space="0"/>
        </w:tcBorders>
      </w:tcPr>
    </w:tblStylePr>
    <w:tblStylePr w:type="band1Vert">
      <w:rPr>
        <w:rFonts w:ascii="Arial" w:hAnsi="Arial"/>
        <w:color w:val="404040"/>
        <w:sz w:val="22"/>
      </w:rPr>
      <w:tcPr>
        <w:tcBorders>
          <w:left w:val="single" w:color="9BC2E5" w:sz="4" w:space="0"/>
          <w:right w:val="single" w:color="9BC2E5" w:sz="4" w:space="0"/>
        </w:tcBorders>
      </w:tcPr>
    </w:tblStylePr>
    <w:tblStylePr w:type="firstCol">
      <w:rPr>
        <w:b/>
        <w:color w:val="404040"/>
      </w:rPr>
    </w:tblStylePr>
    <w:tblStylePr w:type="firstRow">
      <w:rPr>
        <w:rFonts w:ascii="Arial" w:hAnsi="Arial"/>
        <w:b/>
        <w:color w:val="ffffff"/>
        <w:sz w:val="22"/>
      </w:rPr>
      <w:tcPr>
        <w:shd w:val="clear" w:color="9bc2e5" w:fill="9bc2e5"/>
      </w:tcPr>
    </w:tblStylePr>
    <w:tblStylePr w:type="lastCol">
      <w:rPr>
        <w:b/>
        <w:color w:val="404040"/>
      </w:rPr>
    </w:tblStylePr>
    <w:tblStylePr w:type="lastRow">
      <w:rPr>
        <w:b/>
        <w:color w:val="404040"/>
      </w:rPr>
    </w:tblStylePr>
  </w:style>
  <w:style w:type="table" w:styleId="1057" w:customStyle="1">
    <w:name w:val="Grid Table 1 Light - Accent 2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1058"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059" w:customStyle="1">
    <w:name w:val="Bordered - Accent 31"/>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060" w:customStyle="1">
    <w:name w:val="Grid Table 6 Colorful - Accent 41"/>
    <w:uiPriority w:val="99"/>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CellMar>
        <w:left w:w="0" w:type="dxa"/>
        <w:top w:w="0" w:type="dxa"/>
        <w:right w:w="0" w:type="dxa"/>
        <w:bottom w:w="0" w:type="dxa"/>
      </w:tblCellMar>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12" w:space="0"/>
        </w:tcBorders>
      </w:tcPr>
    </w:tblStylePr>
    <w:tblStylePr w:type="lastCol">
      <w:rPr>
        <w:b/>
        <w:color w:val="ffd865"/>
      </w:rPr>
    </w:tblStylePr>
    <w:tblStylePr w:type="lastRow">
      <w:rPr>
        <w:b/>
        <w:color w:val="ffd865"/>
      </w:rPr>
    </w:tblStylePr>
  </w:style>
  <w:style w:type="table" w:styleId="1061" w:customStyle="1">
    <w:name w:val="无格式表格 12"/>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2" w:customStyle="1">
    <w:name w:val="List Table 6 Colorful - Accent 41"/>
    <w:uiPriority w:val="99"/>
    <w:tblPr>
      <w:tblBorders>
        <w:top w:val="single" w:color="FFD865" w:sz="4" w:space="0"/>
        <w:bottom w:val="single" w:color="FFD865" w:sz="4" w:space="0"/>
      </w:tblBorders>
      <w:tblCellMar>
        <w:left w:w="0" w:type="dxa"/>
        <w:top w:w="0" w:type="dxa"/>
        <w:right w:w="0" w:type="dxa"/>
        <w:bottom w:w="0" w:type="dxa"/>
      </w:tblCellMar>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4" w:space="0"/>
        </w:tcBorders>
      </w:tcPr>
    </w:tblStylePr>
    <w:tblStylePr w:type="lastCol">
      <w:rPr>
        <w:b/>
        <w:color w:val="ffd865"/>
      </w:rPr>
    </w:tblStylePr>
    <w:tblStylePr w:type="lastRow">
      <w:rPr>
        <w:b/>
        <w:color w:val="ffd865"/>
      </w:rPr>
      <w:tcPr>
        <w:tcBorders>
          <w:top w:val="single" w:color="FFD865" w:sz="4" w:space="0"/>
        </w:tcBorders>
      </w:tcPr>
    </w:tblStylePr>
  </w:style>
  <w:style w:type="table" w:styleId="1063" w:customStyle="1">
    <w:name w:val="Grid Table 1 Light - Accent 61"/>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1064" w:customStyle="1">
    <w:name w:val="Grid Table 3 - Accent 41"/>
    <w:uiPriority w:val="99"/>
    <w:tblPr>
      <w:tblBorders>
        <w:bottom w:val="single" w:color="FFD865" w:sz="4" w:space="0"/>
        <w:insideH w:val="single" w:color="FFD865" w:sz="4" w:space="0"/>
        <w:insideV w:val="single" w:color="FFD865" w:sz="4" w:space="0"/>
      </w:tblBorders>
      <w:tblCellMar>
        <w:left w:w="0" w:type="dxa"/>
        <w:top w:w="0" w:type="dxa"/>
        <w:right w:w="0"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7 Colorful - Accent 21"/>
    <w:uiPriority w:val="99"/>
    <w:tblPr>
      <w:tblBorders>
        <w:bottom w:val="single" w:color="F4B184" w:sz="4" w:space="0"/>
        <w:right w:val="single" w:color="F4B184" w:sz="4" w:space="0"/>
        <w:insideH w:val="single" w:color="F4B184" w:sz="4" w:space="0"/>
        <w:insideV w:val="single" w:color="F4B184" w:sz="4" w:space="0"/>
      </w:tblBorders>
      <w:tblCellMar>
        <w:left w:w="0" w:type="dxa"/>
        <w:top w:w="0" w:type="dxa"/>
        <w:right w:w="0" w:type="dxa"/>
        <w:bottom w:w="0" w:type="dxa"/>
      </w:tblCellMar>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066" w:customStyle="1">
    <w:name w:val="Grid Table 4 - Accent 11"/>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0" w:type="dxa"/>
        <w:top w:w="0" w:type="dxa"/>
        <w:right w:w="0" w:type="dxa"/>
        <w:bottom w:w="0" w:type="dxa"/>
      </w:tblCellMar>
    </w:tblPr>
    <w:tblStylePr w:type="band1Horz">
      <w:rPr>
        <w:rFonts w:ascii="Arial" w:hAnsi="Arial"/>
        <w:color w:val="404040"/>
        <w:sz w:val="22"/>
      </w:rPr>
      <w:tcPr>
        <w:shd w:val="clear" w:color="dae3f3" w:fill="dae3f3"/>
      </w:tcPr>
    </w:tblStylePr>
    <w:tblStylePr w:type="band1Vert">
      <w:rPr>
        <w:rFonts w:ascii="Arial" w:hAnsi="Arial"/>
        <w:color w:val="404040"/>
        <w:sz w:val="22"/>
      </w:rPr>
      <w:tcPr>
        <w:shd w:val="clear" w:color="dae3f3" w:fill="dae3f3"/>
      </w:tcPr>
    </w:tblStylePr>
    <w:tblStylePr w:type="firstCol">
      <w:rPr>
        <w:b/>
        <w:color w:val="404040"/>
      </w:rPr>
    </w:tblStylePr>
    <w:tblStylePr w:type="firstRow">
      <w:rPr>
        <w:rFonts w:ascii="Arial" w:hAnsi="Arial"/>
        <w:b/>
        <w:color w:val="ffffff"/>
        <w:sz w:val="22"/>
      </w:rPr>
      <w:tcPr>
        <w:shd w:val="clear" w:color="537dc8" w:fill="537dc8"/>
        <w:tcBorders>
          <w:top w:val="single" w:color="537DC8" w:sz="4" w:space="0"/>
          <w:left w:val="single" w:color="537DC8" w:sz="4" w:space="0"/>
          <w:bottom w:val="single" w:color="537DC8" w:sz="4" w:space="0"/>
          <w:right w:val="single" w:color="537DC8" w:sz="4" w:space="0"/>
        </w:tcBorders>
      </w:tcPr>
    </w:tblStylePr>
    <w:tblStylePr w:type="lastCol">
      <w:rPr>
        <w:b/>
        <w:color w:val="404040"/>
      </w:rPr>
    </w:tblStylePr>
    <w:tblStylePr w:type="lastRow">
      <w:rPr>
        <w:b/>
        <w:color w:val="404040"/>
      </w:rPr>
      <w:tcPr>
        <w:tcBorders>
          <w:top w:val="single" w:color="537DC8" w:sz="4" w:space="0"/>
        </w:tcBorders>
      </w:tcPr>
    </w:tblStylePr>
  </w:style>
  <w:style w:type="table" w:styleId="1067" w:customStyle="1">
    <w:name w:val="Bordered - Accent 21"/>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068" w:customStyle="1">
    <w:name w:val="无格式表格 52"/>
    <w:uiPriority w:val="99"/>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9" w:customStyle="1">
    <w:name w:val="Grid Table 3 - Accent 11"/>
    <w:uiPriority w:val="99"/>
    <w:tblPr>
      <w:tblBorders>
        <w:bottom w:val="single" w:color="537DC8" w:sz="4" w:space="0"/>
        <w:insideH w:val="single" w:color="537DC8" w:sz="4" w:space="0"/>
        <w:insideV w:val="single" w:color="537DC8" w:sz="4" w:space="0"/>
      </w:tblBorders>
      <w:tblCellMar>
        <w:left w:w="0" w:type="dxa"/>
        <w:top w:w="0" w:type="dxa"/>
        <w:right w:w="0"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List Table 2 - Accent 51"/>
    <w:uiPriority w:val="99"/>
    <w:tblPr>
      <w:tblBorders>
        <w:top w:val="single" w:color="A2C6E7" w:sz="4" w:space="0"/>
        <w:bottom w:val="single" w:color="A2C6E7" w:sz="4" w:space="0"/>
        <w:insideH w:val="single" w:color="A2C6E7" w:sz="4" w:space="0"/>
      </w:tblBorders>
      <w:tblCellMar>
        <w:left w:w="0" w:type="dxa"/>
        <w:top w:w="0" w:type="dxa"/>
        <w:right w:w="0"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071" w:customStyle="1">
    <w:name w:val="List Table 6 Colorful - Accent 51"/>
    <w:uiPriority w:val="99"/>
    <w:tblPr>
      <w:tblBorders>
        <w:top w:val="single" w:color="9BC2E5" w:sz="4" w:space="0"/>
        <w:bottom w:val="single" w:color="9BC2E5" w:sz="4" w:space="0"/>
      </w:tblBorders>
      <w:tblCellMar>
        <w:left w:w="0" w:type="dxa"/>
        <w:top w:w="0" w:type="dxa"/>
        <w:right w:w="0" w:type="dxa"/>
        <w:bottom w:w="0" w:type="dxa"/>
      </w:tblCellMar>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b/>
        <w:color w:val="9bc2e5"/>
      </w:rPr>
    </w:tblStylePr>
    <w:tblStylePr w:type="firstRow">
      <w:rPr>
        <w:b/>
        <w:color w:val="9bc2e5"/>
      </w:rPr>
      <w:tcPr>
        <w:tcBorders>
          <w:bottom w:val="single" w:color="9BC2E5" w:sz="4" w:space="0"/>
        </w:tcBorders>
      </w:tcPr>
    </w:tblStylePr>
    <w:tblStylePr w:type="lastCol">
      <w:rPr>
        <w:b/>
        <w:color w:val="9bc2e5"/>
      </w:rPr>
    </w:tblStylePr>
    <w:tblStylePr w:type="lastRow">
      <w:rPr>
        <w:b/>
        <w:color w:val="9bc2e5"/>
      </w:rPr>
      <w:tcPr>
        <w:tcBorders>
          <w:top w:val="single" w:color="9BC2E5" w:sz="4" w:space="0"/>
        </w:tcBorders>
      </w:tcPr>
    </w:tblStylePr>
  </w:style>
  <w:style w:type="table" w:styleId="1072" w:customStyle="1">
    <w:name w:val="Bordered - Accent 41"/>
    <w:uiPriority w:val="99"/>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073" w:customStyle="1">
    <w:name w:val="Grid Table 4 - Accent 51"/>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0" w:type="dxa"/>
        <w:top w:w="0" w:type="dxa"/>
        <w:right w:w="0"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rFonts w:ascii="Arial" w:hAnsi="Arial"/>
        <w:b/>
        <w:color w:val="ffffff"/>
        <w:sz w:val="22"/>
      </w:rPr>
      <w:tcPr>
        <w:shd w:val="clear" w:color="5b9bd5" w:fill="5b9bd5"/>
        <w:tcBorders>
          <w:top w:val="single" w:color="5B9BD5" w:sz="4" w:space="0"/>
          <w:left w:val="single" w:color="5B9BD5" w:sz="4" w:space="0"/>
          <w:bottom w:val="single" w:color="5B9BD5" w:sz="4" w:space="0"/>
          <w:right w:val="single" w:color="5B9BD5" w:sz="4" w:space="0"/>
        </w:tcBorders>
      </w:tcPr>
    </w:tblStylePr>
    <w:tblStylePr w:type="lastCol">
      <w:rPr>
        <w:b/>
        <w:color w:val="404040"/>
      </w:rPr>
    </w:tblStylePr>
    <w:tblStylePr w:type="lastRow">
      <w:rPr>
        <w:b/>
        <w:color w:val="404040"/>
      </w:rPr>
      <w:tcPr>
        <w:tcBorders>
          <w:top w:val="single" w:color="5B9BD5" w:sz="4" w:space="0"/>
        </w:tcBorders>
      </w:tcPr>
    </w:tblStylePr>
  </w:style>
  <w:style w:type="table" w:styleId="1074" w:customStyle="1">
    <w:name w:val="List Table 5 Dark - Accent 41"/>
    <w:uiPriority w:val="99"/>
    <w:tblPr>
      <w:tblBorders>
        <w:top w:val="single" w:color="FFD865" w:sz="32" w:space="0"/>
        <w:left w:val="single" w:color="FFD865" w:sz="32" w:space="0"/>
        <w:bottom w:val="single" w:color="FFD865" w:sz="32" w:space="0"/>
        <w:right w:val="single" w:color="FFD865" w:sz="32" w:space="0"/>
      </w:tblBorders>
      <w:tblCellMar>
        <w:left w:w="0" w:type="dxa"/>
        <w:top w:w="0" w:type="dxa"/>
        <w:right w:w="0" w:type="dxa"/>
        <w:bottom w:w="0" w:type="dxa"/>
      </w:tblCellMar>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075" w:customStyle="1">
    <w:name w:val="List Table 3 - Accent 41"/>
    <w:uiPriority w:val="99"/>
    <w:tblPr>
      <w:tblBorders>
        <w:top w:val="single" w:color="FFD865" w:sz="4" w:space="0"/>
        <w:left w:val="single" w:color="FFD865" w:sz="4" w:space="0"/>
        <w:bottom w:val="single" w:color="FFD865" w:sz="4" w:space="0"/>
        <w:right w:val="single" w:color="FFD865" w:sz="4" w:space="0"/>
      </w:tblBorders>
      <w:tblCellMar>
        <w:left w:w="0" w:type="dxa"/>
        <w:top w:w="0" w:type="dxa"/>
        <w:right w:w="0" w:type="dxa"/>
        <w:bottom w:w="0" w:type="dxa"/>
      </w:tblCellMar>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076" w:customStyle="1">
    <w:name w:val="Bordered - Accent 51"/>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sz="12" w:space="0"/>
        </w:tcBorders>
      </w:tcPr>
    </w:tblStylePr>
    <w:tblStylePr w:type="lastCol">
      <w:rPr>
        <w:rFonts w:ascii="Arial" w:hAnsi="Arial"/>
        <w:color w:val="404040"/>
        <w:sz w:val="22"/>
      </w:rPr>
      <w:tcPr>
        <w:tcBorders>
          <w:left w:val="single" w:color="9BC2E5" w:sz="12" w:space="0"/>
        </w:tcBorders>
      </w:tcPr>
    </w:tblStylePr>
    <w:tblStylePr w:type="lastRow">
      <w:rPr>
        <w:rFonts w:ascii="Arial" w:hAnsi="Arial"/>
        <w:color w:val="404040"/>
        <w:sz w:val="22"/>
      </w:rPr>
      <w:tcPr>
        <w:tcBorders>
          <w:top w:val="single" w:color="9BC2E5" w:sz="12" w:space="0"/>
        </w:tcBorders>
      </w:tcPr>
    </w:tblStylePr>
  </w:style>
  <w:style w:type="table" w:styleId="1077" w:customStyle="1">
    <w:name w:val="Bordered &amp; Lined - Accent 11"/>
    <w:uiPriority w:val="99"/>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1078" w:customStyle="1">
    <w:name w:val="Grid Table 1 Light - Accent 31"/>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1079" w:customStyle="1">
    <w:name w:val="Lined - Accent 5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1080" w:customStyle="1">
    <w:name w:val="Bordered &amp; Lined - Accent 21"/>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081" w:customStyle="1">
    <w:name w:val="Lined - Accent 2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082" w:customStyle="1">
    <w:name w:val="Lined - Accent 3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83" w:customStyle="1">
    <w:name w:val="Grid Table 7 Colorful - Accent 31"/>
    <w:uiPriority w:val="99"/>
    <w:tblPr>
      <w:tblBorders>
        <w:bottom w:val="single" w:color="A5A5A5" w:sz="4" w:space="0"/>
        <w:right w:val="single" w:color="A5A5A5" w:sz="4" w:space="0"/>
        <w:insideH w:val="single" w:color="A5A5A5" w:sz="4" w:space="0"/>
        <w:insideV w:val="single" w:color="A5A5A5" w:sz="4" w:space="0"/>
      </w:tblBorders>
      <w:tblCellMar>
        <w:left w:w="0" w:type="dxa"/>
        <w:top w:w="0" w:type="dxa"/>
        <w:right w:w="0"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084" w:customStyle="1">
    <w:name w:val="List Table 7 Colorful - Accent 21"/>
    <w:uiPriority w:val="99"/>
    <w:tblPr>
      <w:tblBorders>
        <w:right w:val="single" w:color="F4B184" w:sz="4" w:space="0"/>
      </w:tblBorders>
      <w:tblCellMar>
        <w:left w:w="0" w:type="dxa"/>
        <w:top w:w="0" w:type="dxa"/>
        <w:right w:w="0" w:type="dxa"/>
        <w:bottom w:w="0" w:type="dxa"/>
      </w:tblCellMar>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085" w:customStyle="1">
    <w:name w:val="网格表 6 彩色2"/>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86" w:customStyle="1">
    <w:name w:val="List Table 1 Light - Accent 11"/>
    <w:uiPriority w:val="99"/>
    <w:tblPr>
      <w:tblCellMar>
        <w:left w:w="0" w:type="dxa"/>
        <w:top w:w="0" w:type="dxa"/>
        <w:right w:w="0" w:type="dxa"/>
        <w:bottom w:w="0" w:type="dxa"/>
      </w:tblCellMar>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087" w:customStyle="1">
    <w:name w:val="Grid Table 2 - Accent 11"/>
    <w:uiPriority w:val="99"/>
    <w:tblPr>
      <w:tblBorders>
        <w:bottom w:val="single" w:color="537DC8" w:sz="4" w:space="0"/>
        <w:insideH w:val="single" w:color="537DC8" w:sz="4" w:space="0"/>
        <w:insideV w:val="single" w:color="537DC8" w:sz="4" w:space="0"/>
      </w:tblBorders>
      <w:tblCellMar>
        <w:left w:w="0" w:type="dxa"/>
        <w:top w:w="0" w:type="dxa"/>
        <w:right w:w="0"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sz="4" w:space="0"/>
          <w:left w:val="none" w:color="000000" w:sz="4" w:space="0"/>
          <w:bottom w:val="none" w:color="000000" w:sz="4" w:space="0"/>
          <w:right w:val="none" w:color="000000" w:sz="4" w:space="0"/>
        </w:tcBorders>
      </w:tcPr>
    </w:tblStylePr>
  </w:style>
  <w:style w:type="table" w:styleId="1088" w:customStyle="1">
    <w:name w:val="Grid Table 2 - Accent 51"/>
    <w:uiPriority w:val="99"/>
    <w:tblPr>
      <w:tblBorders>
        <w:bottom w:val="single" w:color="5B9BD5" w:sz="4" w:space="0"/>
        <w:insideH w:val="single" w:color="5B9BD5" w:sz="4" w:space="0"/>
        <w:insideV w:val="single" w:color="5B9BD5" w:sz="4" w:space="0"/>
      </w:tblBorders>
      <w:tblCellMar>
        <w:left w:w="0" w:type="dxa"/>
        <w:top w:w="0" w:type="dxa"/>
        <w:right w:w="0"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sz="4" w:space="0"/>
          <w:left w:val="none" w:color="000000" w:sz="4" w:space="0"/>
          <w:bottom w:val="none" w:color="000000" w:sz="4" w:space="0"/>
          <w:right w:val="none" w:color="000000" w:sz="4" w:space="0"/>
        </w:tcBorders>
      </w:tcPr>
    </w:tblStylePr>
  </w:style>
  <w:style w:type="table" w:styleId="1089" w:customStyle="1">
    <w:name w:val="网格表 32"/>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List Table 3 - Accent 61"/>
    <w:uiPriority w:val="99"/>
    <w:tblPr>
      <w:tblBorders>
        <w:top w:val="single" w:color="A9D08E" w:sz="4" w:space="0"/>
        <w:left w:val="single" w:color="A9D08E" w:sz="4" w:space="0"/>
        <w:bottom w:val="single" w:color="A9D08E" w:sz="4" w:space="0"/>
        <w:right w:val="single" w:color="A9D08E"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091" w:customStyle="1">
    <w:name w:val="Lined - Accent 1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1092" w:customStyle="1">
    <w:name w:val="Grid Table 2 - Accent 21"/>
    <w:uiPriority w:val="99"/>
    <w:tblPr>
      <w:tblBorders>
        <w:bottom w:val="single" w:color="F4B184" w:sz="4" w:space="0"/>
        <w:insideH w:val="single" w:color="F4B184" w:sz="4" w:space="0"/>
        <w:insideV w:val="single" w:color="F4B184" w:sz="4" w:space="0"/>
      </w:tblBorders>
      <w:tblCellMar>
        <w:left w:w="0" w:type="dxa"/>
        <w:top w:w="0" w:type="dxa"/>
        <w:right w:w="0"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1093" w:customStyle="1">
    <w:name w:val="Grid Table 7 Colorful - Accent 41"/>
    <w:uiPriority w:val="99"/>
    <w:tblPr>
      <w:tblBorders>
        <w:bottom w:val="single" w:color="FFD865" w:sz="4" w:space="0"/>
        <w:right w:val="single" w:color="FFD865" w:sz="4" w:space="0"/>
        <w:insideH w:val="single" w:color="FFD865" w:sz="4" w:space="0"/>
        <w:insideV w:val="single" w:color="FFD865" w:sz="4" w:space="0"/>
      </w:tblBorders>
      <w:tblCellMar>
        <w:left w:w="0" w:type="dxa"/>
        <w:top w:w="0" w:type="dxa"/>
        <w:right w:w="0" w:type="dxa"/>
        <w:bottom w:w="0" w:type="dxa"/>
      </w:tblCellMar>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094" w:customStyle="1">
    <w:name w:val="Grid Table 3 - Accent 61"/>
    <w:uiPriority w:val="99"/>
    <w:tblPr>
      <w:tblBorders>
        <w:bottom w:val="single" w:color="70AD47" w:sz="4" w:space="0"/>
        <w:insideH w:val="single" w:color="70AD47" w:sz="4" w:space="0"/>
        <w:insideV w:val="single" w:color="70AD47" w:sz="4" w:space="0"/>
      </w:tblBorders>
      <w:tblCellMar>
        <w:left w:w="0" w:type="dxa"/>
        <w:top w:w="0" w:type="dxa"/>
        <w:right w:w="0"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List Table 5 Dark - Accent 61"/>
    <w:uiPriority w:val="99"/>
    <w:qFormat/>
    <w:tblPr>
      <w:tblBorders>
        <w:top w:val="single" w:color="A9D08E" w:sz="32" w:space="0"/>
        <w:left w:val="single" w:color="A9D08E" w:sz="32" w:space="0"/>
        <w:bottom w:val="single" w:color="A9D08E" w:sz="32" w:space="0"/>
        <w:right w:val="single" w:color="A9D08E" w:sz="32" w:space="0"/>
      </w:tblBorders>
      <w:tblCellMar>
        <w:left w:w="0" w:type="dxa"/>
        <w:top w:w="0" w:type="dxa"/>
        <w:right w:w="0" w:type="dxa"/>
        <w:bottom w:w="0" w:type="dxa"/>
      </w:tblCellMar>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096" w:customStyle="1">
    <w:name w:val="List Table 5 Dark - Accent 21"/>
    <w:uiPriority w:val="99"/>
    <w:qFormat/>
    <w:tblPr>
      <w:tblBorders>
        <w:top w:val="single" w:color="F4B184" w:sz="32" w:space="0"/>
        <w:left w:val="single" w:color="F4B184" w:sz="32" w:space="0"/>
        <w:bottom w:val="single" w:color="F4B184" w:sz="32" w:space="0"/>
        <w:right w:val="single" w:color="F4B184" w:sz="32" w:space="0"/>
      </w:tblBorders>
      <w:tblCellMar>
        <w:left w:w="0" w:type="dxa"/>
        <w:top w:w="0" w:type="dxa"/>
        <w:right w:w="0" w:type="dxa"/>
        <w:bottom w:w="0" w:type="dxa"/>
      </w:tblCellMar>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097" w:customStyle="1">
    <w:name w:val="List Table 2 - Accent 41"/>
    <w:uiPriority w:val="99"/>
    <w:qFormat/>
    <w:tblPr>
      <w:tblBorders>
        <w:top w:val="single" w:color="FFDB6F" w:sz="4" w:space="0"/>
        <w:bottom w:val="single" w:color="FFDB6F" w:sz="4" w:space="0"/>
        <w:insideH w:val="single" w:color="FFDB6F" w:sz="4" w:space="0"/>
      </w:tblBorders>
      <w:tblCellMar>
        <w:left w:w="0" w:type="dxa"/>
        <w:top w:w="0" w:type="dxa"/>
        <w:right w:w="0" w:type="dxa"/>
        <w:bottom w:w="0" w:type="dxa"/>
      </w:tblCellMar>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1098" w:customStyle="1">
    <w:name w:val="Grid Table 3 - Accent 51"/>
    <w:uiPriority w:val="99"/>
    <w:qFormat/>
    <w:tblPr>
      <w:tblBorders>
        <w:bottom w:val="single" w:color="5B9BD5" w:sz="4" w:space="0"/>
        <w:insideH w:val="single" w:color="5B9BD5" w:sz="4" w:space="0"/>
        <w:insideV w:val="single" w:color="5B9BD5" w:sz="4" w:space="0"/>
      </w:tblBorders>
      <w:tblCellMar>
        <w:left w:w="0" w:type="dxa"/>
        <w:top w:w="0" w:type="dxa"/>
        <w:right w:w="0"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网格表 2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00" w:customStyle="1">
    <w:name w:val="网格表 4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01" w:customStyle="1">
    <w:name w:val="无格式表格 4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2" w:customStyle="1">
    <w:name w:val="List Table 2 - Accent 31"/>
    <w:uiPriority w:val="99"/>
    <w:qFormat/>
    <w:tblPr>
      <w:tblBorders>
        <w:top w:val="single" w:color="CCCCCC" w:sz="4" w:space="0"/>
        <w:bottom w:val="single" w:color="CCCCCC" w:sz="4" w:space="0"/>
        <w:insideH w:val="single" w:color="CCCCCC" w:sz="4" w:space="0"/>
      </w:tblBorders>
      <w:tblCellMar>
        <w:left w:w="0" w:type="dxa"/>
        <w:top w:w="0" w:type="dxa"/>
        <w:right w:w="0"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103" w:customStyle="1">
    <w:name w:val="List Table 6 Colorful - Accent 21"/>
    <w:uiPriority w:val="99"/>
    <w:qFormat/>
    <w:tblPr>
      <w:tblBorders>
        <w:top w:val="single" w:color="F4B184" w:sz="4" w:space="0"/>
        <w:bottom w:val="single" w:color="F4B184" w:sz="4" w:space="0"/>
      </w:tblBorders>
      <w:tblCellMar>
        <w:left w:w="0" w:type="dxa"/>
        <w:top w:w="0" w:type="dxa"/>
        <w:right w:w="0" w:type="dxa"/>
        <w:bottom w:w="0" w:type="dxa"/>
      </w:tblCellMar>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4" w:space="0"/>
        </w:tcBorders>
      </w:tcPr>
    </w:tblStylePr>
    <w:tblStylePr w:type="lastCol">
      <w:rPr>
        <w:b/>
        <w:color w:val="f4b184"/>
      </w:rPr>
    </w:tblStylePr>
    <w:tblStylePr w:type="lastRow">
      <w:rPr>
        <w:b/>
        <w:color w:val="f4b184"/>
      </w:rPr>
      <w:tcPr>
        <w:tcBorders>
          <w:top w:val="single" w:color="F4B184" w:sz="4" w:space="0"/>
        </w:tcBorders>
      </w:tcPr>
    </w:tblStylePr>
  </w:style>
  <w:style w:type="table" w:styleId="1104" w:customStyle="1">
    <w:name w:val="List Table 3 - Accent 11"/>
    <w:uiPriority w:val="99"/>
    <w:qFormat/>
    <w:tblPr>
      <w:tblBorders>
        <w:top w:val="single" w:color="4472C4" w:sz="4" w:space="0"/>
        <w:left w:val="single" w:color="4472C4" w:sz="4" w:space="0"/>
        <w:bottom w:val="single" w:color="4472C4" w:sz="4" w:space="0"/>
        <w:right w:val="single" w:color="4472C4"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sz="4" w:space="0"/>
          <w:bottom w:val="single" w:color="4472C4" w:sz="4" w:space="0"/>
        </w:tcBorders>
      </w:tcPr>
    </w:tblStylePr>
    <w:tblStylePr w:type="band1Vert">
      <w:rPr>
        <w:rFonts w:ascii="Arial" w:hAnsi="Arial"/>
        <w:color w:val="404040"/>
        <w:sz w:val="22"/>
      </w:rPr>
      <w:tcPr>
        <w:tcBorders>
          <w:left w:val="single" w:color="4472C4" w:sz="4" w:space="0"/>
          <w:right w:val="single" w:color="4472C4" w:sz="4" w:space="0"/>
        </w:tcBorders>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105" w:customStyle="1">
    <w:name w:val="List Table 4 - Accent 31"/>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CellMar>
        <w:left w:w="0" w:type="dxa"/>
        <w:top w:w="0" w:type="dxa"/>
        <w:right w:w="0"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106" w:customStyle="1">
    <w:name w:val="网格表 7 彩色2"/>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07" w:customStyle="1">
    <w:name w:val="Bordered &amp; Lined - Accent 31"/>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108" w:customStyle="1">
    <w:name w:val="List Table 1 Light - Accent 61"/>
    <w:uiPriority w:val="99"/>
    <w:qFormat/>
    <w:tblPr>
      <w:tblCellMar>
        <w:left w:w="0" w:type="dxa"/>
        <w:top w:w="0" w:type="dxa"/>
        <w:right w:w="0"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109" w:customStyle="1">
    <w:name w:val="List Table 6 Colorful - Accent 11"/>
    <w:uiPriority w:val="99"/>
    <w:qFormat/>
    <w:tblPr>
      <w:tblBorders>
        <w:top w:val="single" w:color="4472C4" w:sz="4" w:space="0"/>
        <w:bottom w:val="single" w:color="4472C4" w:sz="4" w:space="0"/>
      </w:tblBorders>
      <w:tblCellMar>
        <w:left w:w="0" w:type="dxa"/>
        <w:top w:w="0" w:type="dxa"/>
        <w:right w:w="0" w:type="dxa"/>
        <w:bottom w:w="0" w:type="dxa"/>
      </w:tblCellMar>
    </w:tblPr>
    <w:tblStylePr w:type="band1Horz">
      <w:rPr>
        <w:rFonts w:ascii="Arial" w:hAnsi="Arial"/>
        <w:color w:val="254175"/>
        <w:sz w:val="22"/>
      </w:rPr>
      <w:tcPr>
        <w:shd w:val="clear" w:color="cfdbf0" w:fill="cfdbf0"/>
      </w:tcPr>
    </w:tblStylePr>
    <w:tblStylePr w:type="band1Vert">
      <w:tcPr>
        <w:shd w:val="clear" w:color="cfdbf0" w:fill="cfdbf0"/>
      </w:tcPr>
    </w:tblStylePr>
    <w:tblStylePr w:type="band2Horz">
      <w:rPr>
        <w:rFonts w:ascii="Arial" w:hAnsi="Arial"/>
        <w:color w:val="254175"/>
        <w:sz w:val="22"/>
      </w:rPr>
    </w:tblStylePr>
    <w:tblStylePr w:type="firstCol">
      <w:rPr>
        <w:b/>
        <w:color w:val="254175"/>
      </w:rPr>
    </w:tblStylePr>
    <w:tblStylePr w:type="firstRow">
      <w:rPr>
        <w:b/>
        <w:color w:val="254175"/>
      </w:rPr>
      <w:tcPr>
        <w:tcBorders>
          <w:bottom w:val="single" w:color="4472C4" w:sz="4" w:space="0"/>
        </w:tcBorders>
      </w:tcPr>
    </w:tblStylePr>
    <w:tblStylePr w:type="lastCol">
      <w:rPr>
        <w:b/>
        <w:color w:val="254175"/>
      </w:rPr>
    </w:tblStylePr>
    <w:tblStylePr w:type="lastRow">
      <w:rPr>
        <w:b/>
        <w:color w:val="254175"/>
      </w:rPr>
      <w:tcPr>
        <w:tcBorders>
          <w:top w:val="single" w:color="4472C4" w:sz="4" w:space="0"/>
        </w:tcBorders>
      </w:tcPr>
    </w:tblStylePr>
  </w:style>
  <w:style w:type="table" w:styleId="1110" w:customStyle="1">
    <w:name w:val="List Table 4 - Accent 61"/>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CellMar>
        <w:left w:w="0" w:type="dxa"/>
        <w:top w:w="0" w:type="dxa"/>
        <w:right w:w="0"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111" w:customStyle="1">
    <w:name w:val="List Table 7 Colorful - Accent 11"/>
    <w:uiPriority w:val="99"/>
    <w:tblPr>
      <w:tblBorders>
        <w:right w:val="single" w:color="4472C4" w:sz="4" w:space="0"/>
      </w:tblBorders>
      <w:tblCellMar>
        <w:left w:w="0" w:type="dxa"/>
        <w:top w:w="0" w:type="dxa"/>
        <w:right w:w="0" w:type="dxa"/>
        <w:bottom w:w="0" w:type="dxa"/>
      </w:tblCellMar>
    </w:tblPr>
    <w:tblStylePr w:type="band1Horz">
      <w:rPr>
        <w:rFonts w:ascii="Arial" w:hAnsi="Arial"/>
        <w:color w:val="254175"/>
        <w:sz w:val="22"/>
      </w:rPr>
      <w:tcPr>
        <w:shd w:val="clear" w:color="cfdbf0" w:fill="cfdbf0"/>
      </w:tcPr>
    </w:tblStylePr>
    <w:tblStylePr w:type="band1Vert">
      <w:tcPr>
        <w:shd w:val="clear" w:color="cfdbf0" w:fill="cfdbf0"/>
      </w:tcPr>
    </w:tblStylePr>
    <w:tblStylePr w:type="band2Horz">
      <w:rPr>
        <w:rFonts w:ascii="Arial" w:hAnsi="Arial"/>
        <w:color w:val="254175"/>
        <w:sz w:val="22"/>
      </w:rPr>
    </w:tblStylePr>
    <w:tblStylePr w:type="firstCol">
      <w:rPr>
        <w:rFonts w:ascii="Arial" w:hAnsi="Arial"/>
        <w:i/>
        <w:color w:val="254175"/>
        <w:sz w:val="22"/>
      </w:rPr>
      <w:pPr>
        <w:jc w:val="right"/>
      </w:pPr>
      <w:tcPr>
        <w:shd w:val="clear" w:color="ffffff" w:fill="auto"/>
        <w:tcBorders>
          <w:top w:val="none" w:color="000000" w:sz="4" w:space="0"/>
          <w:left w:val="none" w:color="000000" w:sz="4" w:space="0"/>
          <w:bottom w:val="none" w:color="000000" w:sz="4" w:space="0"/>
          <w:right w:val="single" w:color="4472C4" w:sz="4" w:space="0"/>
        </w:tcBorders>
      </w:tcPr>
    </w:tblStylePr>
    <w:tblStylePr w:type="firstRow">
      <w:rPr>
        <w:rFonts w:ascii="Arial" w:hAnsi="Arial"/>
        <w:i/>
        <w:color w:val="254175"/>
        <w:sz w:val="22"/>
      </w:rPr>
      <w:tcPr>
        <w:shd w:val="clear" w:color="ffffff" w:fill="ffffff"/>
        <w:tcBorders>
          <w:top w:val="none" w:color="000000" w:sz="4" w:space="0"/>
          <w:left w:val="none" w:color="000000" w:sz="4" w:space="0"/>
          <w:bottom w:val="single" w:color="4472C4" w:sz="4" w:space="0"/>
          <w:right w:val="none" w:color="000000" w:sz="4" w:space="0"/>
        </w:tcBorders>
      </w:tcPr>
    </w:tblStylePr>
    <w:tblStylePr w:type="lastCol">
      <w:rPr>
        <w:rFonts w:ascii="Arial" w:hAnsi="Arial"/>
        <w:i/>
        <w:color w:val="254175"/>
        <w:sz w:val="22"/>
      </w:rPr>
      <w:tcPr>
        <w:shd w:val="clear" w:color="ffffff" w:fill="auto"/>
        <w:tcBorders>
          <w:top w:val="none" w:color="000000" w:sz="4" w:space="0"/>
          <w:left w:val="single" w:color="4472C4" w:sz="4" w:space="0"/>
          <w:bottom w:val="none" w:color="000000" w:sz="4" w:space="0"/>
          <w:right w:val="none" w:color="000000" w:sz="4" w:space="0"/>
        </w:tcBorders>
      </w:tcPr>
    </w:tblStylePr>
    <w:tblStylePr w:type="lastRow">
      <w:rPr>
        <w:rFonts w:ascii="Arial" w:hAnsi="Arial"/>
        <w:i/>
        <w:color w:val="254175"/>
        <w:sz w:val="22"/>
      </w:rPr>
      <w:tcPr>
        <w:shd w:val="clear" w:color="ffffff" w:fill="ffffff"/>
        <w:tcBorders>
          <w:top w:val="single" w:color="4472C4" w:sz="4" w:space="0"/>
          <w:left w:val="none" w:color="000000" w:sz="4" w:space="0"/>
          <w:bottom w:val="none" w:color="000000" w:sz="4" w:space="0"/>
          <w:right w:val="none" w:color="000000" w:sz="4" w:space="0"/>
        </w:tcBorders>
      </w:tcPr>
    </w:tblStylePr>
  </w:style>
  <w:style w:type="table" w:styleId="1112" w:customStyle="1">
    <w:name w:val="Bordered &amp; Lined - Accent 51"/>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1113" w:customStyle="1">
    <w:name w:val="Grid Table 4 - Accent 31"/>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0" w:type="dxa"/>
        <w:top w:w="0" w:type="dxa"/>
        <w:right w:w="0"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1114" w:customStyle="1">
    <w:name w:val="清单表 1 浅色2"/>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15" w:customStyle="1">
    <w:name w:val="List Table 5 Dark - Accent 51"/>
    <w:uiPriority w:val="99"/>
    <w:qFormat/>
    <w:tblPr>
      <w:tblBorders>
        <w:top w:val="single" w:color="9BC2E5" w:sz="32" w:space="0"/>
        <w:left w:val="single" w:color="9BC2E5" w:sz="32" w:space="0"/>
        <w:bottom w:val="single" w:color="9BC2E5" w:sz="32" w:space="0"/>
        <w:right w:val="single" w:color="9BC2E5" w:sz="32" w:space="0"/>
      </w:tblBorders>
      <w:tblCellMar>
        <w:left w:w="0" w:type="dxa"/>
        <w:top w:w="0" w:type="dxa"/>
        <w:right w:w="0" w:type="dxa"/>
        <w:bottom w:w="0" w:type="dxa"/>
      </w:tblCellMar>
    </w:tblPr>
    <w:tblStylePr w:type="band1Horz">
      <w:tcPr>
        <w:shd w:val="clear" w:color="9bc2e5" w:fill="9bc2e5"/>
        <w:tcBorders>
          <w:top w:val="single" w:color="FFFFFF" w:sz="4" w:space="0"/>
          <w:bottom w:val="single" w:color="FFFFFF" w:sz="4" w:space="0"/>
        </w:tcBorders>
      </w:tcPr>
    </w:tblStylePr>
    <w:tblStylePr w:type="band1Vert">
      <w:tcPr>
        <w:shd w:val="clear" w:color="9bc2e5" w:fill="9bc2e5"/>
        <w:tcBorders>
          <w:left w:val="single" w:color="FFFFFF" w:sz="4" w:space="0"/>
          <w:right w:val="single" w:color="FFFFFF" w:sz="4" w:space="0"/>
        </w:tcBorders>
      </w:tcPr>
    </w:tblStylePr>
    <w:tblStylePr w:type="band2Horz">
      <w:tcPr>
        <w:shd w:val="clear" w:color="9bc2e5" w:fill="9bc2e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BC2E5" w:sz="32" w:space="0"/>
          <w:right w:val="single" w:color="FFFFFF" w:sz="4" w:space="0"/>
        </w:tcBorders>
      </w:tcPr>
    </w:tblStylePr>
    <w:tblStylePr w:type="firstRow">
      <w:rPr>
        <w:rFonts w:ascii="Arial" w:hAnsi="Arial"/>
        <w:b/>
        <w:color w:val="ffffff"/>
        <w:sz w:val="22"/>
      </w:rPr>
      <w:tcPr>
        <w:shd w:val="clear" w:color="9bc2e5" w:fill="9bc2e5"/>
        <w:tcBorders>
          <w:top w:val="single" w:color="9BC2E5" w:sz="32" w:space="0"/>
          <w:bottom w:val="single" w:color="FFFFFF" w:sz="12" w:space="0"/>
        </w:tcBorders>
      </w:tcPr>
    </w:tblStylePr>
    <w:tblStylePr w:type="lastCol">
      <w:tcPr>
        <w:tcBorders>
          <w:left w:val="single" w:color="FFFFFF" w:sz="4" w:space="0"/>
          <w:right w:val="single" w:color="9BC2E5" w:sz="32" w:space="0"/>
        </w:tcBorders>
      </w:tcPr>
    </w:tblStylePr>
    <w:tblStylePr w:type="lastRow">
      <w:rPr>
        <w:rFonts w:ascii="Arial" w:hAnsi="Arial"/>
        <w:b/>
        <w:color w:val="ffffff"/>
        <w:sz w:val="22"/>
      </w:rPr>
    </w:tblStylePr>
  </w:style>
  <w:style w:type="table" w:styleId="1116" w:customStyle="1">
    <w:name w:val="清单表 7 彩色2"/>
    <w:uiPriority w:val="99"/>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17" w:customStyle="1">
    <w:name w:val="List Table 4 - Accent 11"/>
    <w:uiPriority w:val="99"/>
    <w:tblPr>
      <w:tblBorders>
        <w:top w:val="single" w:color="95AFDD" w:sz="4" w:space="0"/>
        <w:left w:val="single" w:color="95AFDD" w:sz="4" w:space="0"/>
        <w:bottom w:val="single" w:color="95AFDD" w:sz="4" w:space="0"/>
        <w:right w:val="single" w:color="95AFDD" w:sz="4" w:space="0"/>
        <w:insideH w:val="single" w:color="95AFDD" w:sz="4" w:space="0"/>
      </w:tblBorders>
      <w:tblCellMar>
        <w:left w:w="0" w:type="dxa"/>
        <w:top w:w="0" w:type="dxa"/>
        <w:right w:w="0" w:type="dxa"/>
        <w:bottom w:w="0" w:type="dxa"/>
      </w:tblCellMar>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118" w:customStyle="1">
    <w:name w:val="Grid Table 4 - Accent 41"/>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CellMar>
        <w:left w:w="0" w:type="dxa"/>
        <w:top w:w="0" w:type="dxa"/>
        <w:right w:w="0"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1119"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1120" w:customStyle="1">
    <w:name w:val="Grid Table 4 - Accent 61"/>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0" w:type="dxa"/>
        <w:top w:w="0" w:type="dxa"/>
        <w:right w:w="0"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1121"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22" w:customStyle="1">
    <w:name w:val="Lined - Accent 6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123" w:customStyle="1">
    <w:name w:val="List Table 1 Light - Accent 31"/>
    <w:uiPriority w:val="99"/>
    <w:tblPr>
      <w:tblCellMar>
        <w:left w:w="0" w:type="dxa"/>
        <w:top w:w="0" w:type="dxa"/>
        <w:right w:w="0"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124" w:customStyle="1">
    <w:name w:val="Bordered - Accent 6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table" w:styleId="1125" w:customStyle="1">
    <w:name w:val="Bordered &amp; Lined - Accent 41"/>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126" w:customStyle="1">
    <w:name w:val="List Table 4 - Accent 41"/>
    <w:uiPriority w:val="99"/>
    <w:tblPr>
      <w:tblBorders>
        <w:top w:val="single" w:color="FFDB6F" w:sz="4" w:space="0"/>
        <w:left w:val="single" w:color="FFDB6F" w:sz="4" w:space="0"/>
        <w:bottom w:val="single" w:color="FFDB6F" w:sz="4" w:space="0"/>
        <w:right w:val="single" w:color="FFDB6F" w:sz="4" w:space="0"/>
        <w:insideH w:val="single" w:color="FFDB6F" w:sz="4" w:space="0"/>
      </w:tblBorders>
      <w:tblCellMar>
        <w:left w:w="0" w:type="dxa"/>
        <w:top w:w="0" w:type="dxa"/>
        <w:right w:w="0" w:type="dxa"/>
        <w:bottom w:w="0" w:type="dxa"/>
      </w:tblCellMar>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127" w:customStyle="1">
    <w:name w:val="List Table 7 Colorful - Accent 41"/>
    <w:uiPriority w:val="99"/>
    <w:tblPr>
      <w:tblBorders>
        <w:right w:val="single" w:color="FFD865" w:sz="4" w:space="0"/>
      </w:tblBorders>
      <w:tblCellMar>
        <w:left w:w="0" w:type="dxa"/>
        <w:top w:w="0" w:type="dxa"/>
        <w:right w:w="0" w:type="dxa"/>
        <w:bottom w:w="0" w:type="dxa"/>
      </w:tblCellMar>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128" w:customStyle="1">
    <w:name w:val="Grid Table 6 Colorful - Accent 31"/>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0" w:type="dxa"/>
        <w:top w:w="0" w:type="dxa"/>
        <w:right w:w="0"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129" w:customStyle="1">
    <w:name w:val="无格式表格 22"/>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0" w:customStyle="1">
    <w:name w:val="清单表 5 深色2"/>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31" w:customStyle="1">
    <w:name w:val="Grid Table 7 Colorful - Accent 11"/>
    <w:uiPriority w:val="99"/>
    <w:tblPr>
      <w:tblBorders>
        <w:bottom w:val="single" w:color="A0B7E1" w:sz="4" w:space="0"/>
        <w:right w:val="single" w:color="A0B7E1" w:sz="4" w:space="0"/>
        <w:insideH w:val="single" w:color="A0B7E1" w:sz="4" w:space="0"/>
        <w:insideV w:val="single" w:color="A0B7E1" w:sz="4" w:space="0"/>
      </w:tblBorders>
      <w:tblCellMar>
        <w:left w:w="0" w:type="dxa"/>
        <w:top w:w="0" w:type="dxa"/>
        <w:right w:w="0" w:type="dxa"/>
        <w:bottom w:w="0" w:type="dxa"/>
      </w:tblCellMar>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rFonts w:ascii="Arial" w:hAnsi="Arial"/>
        <w:i/>
        <w:color w:val="a0b7e1"/>
        <w:sz w:val="22"/>
      </w:rPr>
      <w:pPr>
        <w:jc w:val="right"/>
      </w:pPr>
      <w:tcPr>
        <w:shd w:val="clear" w:color="ffffff" w:fill="auto"/>
        <w:tcBorders>
          <w:top w:val="none" w:color="000000" w:sz="4" w:space="0"/>
          <w:left w:val="none" w:color="000000" w:sz="4" w:space="0"/>
          <w:bottom w:val="none" w:color="000000" w:sz="4" w:space="0"/>
          <w:right w:val="single" w:color="A0B7E1" w:sz="4" w:space="0"/>
        </w:tcBorders>
      </w:tcPr>
    </w:tblStylePr>
    <w:tblStylePr w:type="firstRow">
      <w:rPr>
        <w:rFonts w:ascii="Arial" w:hAnsi="Arial"/>
        <w:b/>
        <w:color w:val="a0b7e1"/>
        <w:sz w:val="22"/>
      </w:rPr>
      <w:tcPr>
        <w:shd w:val="clear" w:color="ffffff" w:fill="ffffff"/>
        <w:tcBorders>
          <w:top w:val="none" w:color="000000" w:sz="4" w:space="0"/>
          <w:left w:val="none" w:color="000000" w:sz="4" w:space="0"/>
          <w:bottom w:val="single" w:color="A0B7E1" w:sz="4" w:space="0"/>
          <w:right w:val="none" w:color="000000" w:sz="4" w:space="0"/>
        </w:tcBorders>
      </w:tcPr>
    </w:tblStylePr>
    <w:tblStylePr w:type="lastCol">
      <w:rPr>
        <w:rFonts w:ascii="Arial" w:hAnsi="Arial"/>
        <w:i/>
        <w:color w:val="a0b7e1"/>
        <w:sz w:val="22"/>
      </w:rPr>
      <w:tcPr>
        <w:shd w:val="clear" w:color="ffffff" w:fill="auto"/>
        <w:tcBorders>
          <w:top w:val="none" w:color="000000" w:sz="4" w:space="0"/>
          <w:left w:val="single" w:color="A0B7E1" w:sz="4" w:space="0"/>
          <w:bottom w:val="none" w:color="000000" w:sz="4" w:space="0"/>
          <w:right w:val="none" w:color="000000" w:sz="4" w:space="0"/>
        </w:tcBorders>
      </w:tcPr>
    </w:tblStylePr>
    <w:tblStylePr w:type="lastRow">
      <w:rPr>
        <w:rFonts w:ascii="Arial" w:hAnsi="Arial"/>
        <w:b/>
        <w:color w:val="a0b7e1"/>
        <w:sz w:val="22"/>
      </w:rPr>
      <w:tcPr>
        <w:shd w:val="clear" w:color="ffffff" w:fill="ffffff"/>
        <w:tcBorders>
          <w:top w:val="single" w:color="A0B7E1" w:sz="4" w:space="0"/>
          <w:left w:val="none" w:color="000000" w:sz="4" w:space="0"/>
          <w:bottom w:val="none" w:color="000000" w:sz="4" w:space="0"/>
          <w:right w:val="none" w:color="000000" w:sz="4" w:space="0"/>
        </w:tcBorders>
      </w:tcPr>
    </w:tblStylePr>
  </w:style>
  <w:style w:type="table" w:styleId="1132" w:customStyle="1">
    <w:name w:val="Grid Table 5 Dark - Accent 2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1133" w:customStyle="1">
    <w:name w:val="Grid Table 2 - Accent 31"/>
    <w:uiPriority w:val="99"/>
    <w:tblPr>
      <w:tblBorders>
        <w:bottom w:val="single" w:color="A5A5A5" w:sz="4" w:space="0"/>
        <w:insideH w:val="single" w:color="A5A5A5" w:sz="4" w:space="0"/>
        <w:insideV w:val="single" w:color="A5A5A5" w:sz="4" w:space="0"/>
      </w:tblBorders>
      <w:tblCellMar>
        <w:left w:w="0" w:type="dxa"/>
        <w:top w:w="0" w:type="dxa"/>
        <w:right w:w="0"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1134" w:customStyle="1">
    <w:name w:val="Grid Table 1 Light - Accent 11"/>
    <w:uiPriority w:val="99"/>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1135" w:customStyle="1">
    <w:name w:val="网格表 1 浅色2"/>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36" w:customStyle="1">
    <w:name w:val="List Table 1 Light - Accent 41"/>
    <w:uiPriority w:val="99"/>
    <w:tblPr>
      <w:tblCellMar>
        <w:left w:w="0" w:type="dxa"/>
        <w:top w:w="0" w:type="dxa"/>
        <w:right w:w="0" w:type="dxa"/>
        <w:bottom w:w="0" w:type="dxa"/>
      </w:tblCellMar>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137" w:customStyle="1">
    <w:name w:val="Grid Table 7 Colorful - Accent 51"/>
    <w:uiPriority w:val="99"/>
    <w:tblPr>
      <w:tblBorders>
        <w:bottom w:val="single" w:color="A2C6E7" w:sz="4" w:space="0"/>
        <w:right w:val="single" w:color="A2C6E7" w:sz="4" w:space="0"/>
        <w:insideH w:val="single" w:color="A2C6E7" w:sz="4" w:space="0"/>
        <w:insideV w:val="single" w:color="A2C6E7" w:sz="4" w:space="0"/>
      </w:tblBorders>
      <w:tblCellMar>
        <w:left w:w="0" w:type="dxa"/>
        <w:top w:w="0" w:type="dxa"/>
        <w:right w:w="0" w:type="dxa"/>
        <w:bottom w:w="0" w:type="dxa"/>
      </w:tblCellMar>
    </w:tblPr>
    <w:tblStylePr w:type="band1Horz">
      <w:rPr>
        <w:rFonts w:ascii="Arial" w:hAnsi="Arial"/>
        <w:color w:val="245a8d"/>
        <w:sz w:val="22"/>
      </w:rPr>
      <w:tcPr>
        <w:shd w:val="clear" w:color="ddeaf6" w:fill="ddeaf6"/>
      </w:tcPr>
    </w:tblStylePr>
    <w:tblStylePr w:type="band1Vert">
      <w:tcPr>
        <w:shd w:val="clear" w:color="ddeaf6" w:fill="ddeaf6"/>
      </w:tcPr>
    </w:tblStylePr>
    <w:tblStylePr w:type="band2Horz">
      <w:rPr>
        <w:rFonts w:ascii="Arial" w:hAnsi="Arial"/>
        <w:color w:val="245a8d"/>
        <w:sz w:val="22"/>
      </w:rPr>
    </w:tblStylePr>
    <w:tblStylePr w:type="firstCol">
      <w:rPr>
        <w:rFonts w:ascii="Arial" w:hAnsi="Arial"/>
        <w:i/>
        <w:color w:val="245a8d"/>
        <w:sz w:val="22"/>
      </w:rPr>
      <w:pPr>
        <w:jc w:val="right"/>
      </w:pPr>
      <w:tcPr>
        <w:shd w:val="clear" w:color="ffffff" w:fill="auto"/>
        <w:tcBorders>
          <w:top w:val="none" w:color="000000" w:sz="4" w:space="0"/>
          <w:left w:val="none" w:color="000000" w:sz="4" w:space="0"/>
          <w:bottom w:val="none" w:color="000000" w:sz="4" w:space="0"/>
          <w:right w:val="single" w:color="A2C6E7" w:sz="4" w:space="0"/>
        </w:tcBorders>
      </w:tcPr>
    </w:tblStylePr>
    <w:tblStylePr w:type="firstRow">
      <w:rPr>
        <w:rFonts w:ascii="Arial" w:hAnsi="Arial"/>
        <w:b/>
        <w:color w:val="245a8d"/>
        <w:sz w:val="22"/>
      </w:rPr>
      <w:tcPr>
        <w:shd w:val="clear" w:color="ffffff" w:fill="ffffff"/>
        <w:tcBorders>
          <w:top w:val="none" w:color="000000" w:sz="4" w:space="0"/>
          <w:left w:val="none" w:color="000000" w:sz="4" w:space="0"/>
          <w:bottom w:val="single" w:color="A2C6E7" w:sz="4" w:space="0"/>
          <w:right w:val="none" w:color="000000" w:sz="4" w:space="0"/>
        </w:tcBorders>
      </w:tcPr>
    </w:tblStylePr>
    <w:tblStylePr w:type="lastCol">
      <w:rPr>
        <w:rFonts w:ascii="Arial" w:hAnsi="Arial"/>
        <w:i/>
        <w:color w:val="245a8d"/>
        <w:sz w:val="22"/>
      </w:rPr>
      <w:tcPr>
        <w:shd w:val="clear" w:color="ffffff" w:fill="auto"/>
        <w:tcBorders>
          <w:top w:val="none" w:color="000000" w:sz="4" w:space="0"/>
          <w:left w:val="single" w:color="A2C6E7" w:sz="4" w:space="0"/>
          <w:bottom w:val="none" w:color="000000" w:sz="4" w:space="0"/>
          <w:right w:val="none" w:color="000000" w:sz="4" w:space="0"/>
        </w:tcBorders>
      </w:tcPr>
    </w:tblStylePr>
    <w:tblStylePr w:type="lastRow">
      <w:rPr>
        <w:rFonts w:ascii="Arial" w:hAnsi="Arial"/>
        <w:b/>
        <w:color w:val="245a8d"/>
        <w:sz w:val="22"/>
      </w:rPr>
      <w:tcPr>
        <w:shd w:val="clear" w:color="ffffff" w:fill="ffffff"/>
        <w:tcBorders>
          <w:top w:val="single" w:color="A2C6E7" w:sz="4" w:space="0"/>
          <w:left w:val="none" w:color="000000" w:sz="4" w:space="0"/>
          <w:bottom w:val="none" w:color="000000" w:sz="4" w:space="0"/>
          <w:right w:val="none" w:color="000000" w:sz="4" w:space="0"/>
        </w:tcBorders>
      </w:tcPr>
    </w:tblStylePr>
  </w:style>
  <w:style w:type="table" w:styleId="1138" w:customStyle="1">
    <w:name w:val="Bordered - Accent 11"/>
    <w:uiPriority w:val="99"/>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sz="12" w:space="0"/>
        </w:tcBorders>
      </w:tcPr>
    </w:tblStylePr>
    <w:tblStylePr w:type="lastCol">
      <w:rPr>
        <w:rFonts w:ascii="Arial" w:hAnsi="Arial"/>
        <w:color w:val="404040"/>
        <w:sz w:val="22"/>
      </w:rPr>
      <w:tcPr>
        <w:tcBorders>
          <w:left w:val="single" w:color="4472C4" w:sz="12" w:space="0"/>
        </w:tcBorders>
      </w:tcPr>
    </w:tblStylePr>
    <w:tblStylePr w:type="lastRow">
      <w:rPr>
        <w:rFonts w:ascii="Arial" w:hAnsi="Arial"/>
        <w:color w:val="404040"/>
        <w:sz w:val="22"/>
      </w:rPr>
      <w:tcPr>
        <w:tcBorders>
          <w:top w:val="single" w:color="4472C4" w:sz="12" w:space="0"/>
        </w:tcBorders>
      </w:tcPr>
    </w:tblStylePr>
  </w:style>
  <w:style w:type="paragraph" w:styleId="1139" w:customStyle="1">
    <w:name w:val="题注2"/>
    <w:basedOn w:val="757"/>
    <w:next w:val="757"/>
    <w:uiPriority w:val="35"/>
    <w:semiHidden/>
    <w:unhideWhenUsed/>
    <w:qFormat/>
    <w:pPr>
      <w:spacing w:line="276" w:lineRule="auto"/>
    </w:pPr>
    <w:rPr>
      <w:b/>
      <w:bCs/>
      <w:color w:val="4472c4"/>
      <w:sz w:val="18"/>
      <w:szCs w:val="18"/>
    </w:rPr>
  </w:style>
  <w:style w:type="table" w:styleId="1140" w:customStyle="1">
    <w:name w:val="List Table 6 Colorful - Accent 31"/>
    <w:uiPriority w:val="99"/>
    <w:tblPr>
      <w:tblBorders>
        <w:top w:val="single" w:color="C9C9C9" w:sz="4" w:space="0"/>
        <w:bottom w:val="single" w:color="C9C9C9" w:sz="4" w:space="0"/>
      </w:tblBorders>
      <w:tblCellMar>
        <w:left w:w="0" w:type="dxa"/>
        <w:top w:w="0" w:type="dxa"/>
        <w:right w:w="0"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141" w:customStyle="1">
    <w:name w:val="Grid Table 6 Colorful - Accent 61"/>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0" w:type="dxa"/>
        <w:top w:w="0" w:type="dxa"/>
        <w:right w:w="0" w:type="dxa"/>
        <w:bottom w:w="0" w:type="dxa"/>
      </w:tblCellMar>
    </w:tblPr>
    <w:tblStylePr w:type="band1Horz">
      <w:rPr>
        <w:rFonts w:ascii="Arial" w:hAnsi="Arial"/>
        <w:color w:val="245a8d"/>
        <w:sz w:val="22"/>
      </w:rPr>
      <w:tcPr>
        <w:shd w:val="clear" w:color="e1efd8" w:fill="e1efd8"/>
      </w:tcPr>
    </w:tblStylePr>
    <w:tblStylePr w:type="band1Vert">
      <w:tcPr>
        <w:shd w:val="clear" w:color="e1efd8" w:fill="e1efd8"/>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70AD47" w:sz="12" w:space="0"/>
        </w:tcBorders>
      </w:tcPr>
    </w:tblStylePr>
    <w:tblStylePr w:type="lastCol">
      <w:rPr>
        <w:b/>
        <w:color w:val="245a8d"/>
      </w:rPr>
    </w:tblStylePr>
    <w:tblStylePr w:type="lastRow">
      <w:rPr>
        <w:b/>
        <w:color w:val="245a8d"/>
      </w:rPr>
    </w:tblStylePr>
  </w:style>
  <w:style w:type="table" w:styleId="1142" w:customStyle="1">
    <w:name w:val="List Table 1 Light - Accent 51"/>
    <w:uiPriority w:val="99"/>
    <w:tblPr>
      <w:tblCellMar>
        <w:left w:w="0" w:type="dxa"/>
        <w:top w:w="0" w:type="dxa"/>
        <w:right w:w="0"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143" w:customStyle="1">
    <w:name w:val="List Table 5 Dark - Accent 11"/>
    <w:uiPriority w:val="99"/>
    <w:tblPr>
      <w:tblBorders>
        <w:top w:val="single" w:color="4472C4" w:sz="32" w:space="0"/>
        <w:left w:val="single" w:color="4472C4" w:sz="32" w:space="0"/>
        <w:bottom w:val="single" w:color="4472C4" w:sz="32" w:space="0"/>
        <w:right w:val="single" w:color="4472C4" w:sz="32" w:space="0"/>
      </w:tblBorders>
      <w:tblCellMar>
        <w:left w:w="0" w:type="dxa"/>
        <w:top w:w="0" w:type="dxa"/>
        <w:right w:w="0" w:type="dxa"/>
        <w:bottom w:w="0" w:type="dxa"/>
      </w:tblCellMar>
    </w:tblPr>
    <w:tblStylePr w:type="band1Horz">
      <w:tcPr>
        <w:shd w:val="clear" w:color="4472c4" w:fill="4472c4"/>
        <w:tcBorders>
          <w:top w:val="single" w:color="FFFFFF" w:sz="4" w:space="0"/>
          <w:bottom w:val="single" w:color="FFFFFF" w:sz="4" w:space="0"/>
        </w:tcBorders>
      </w:tcPr>
    </w:tblStylePr>
    <w:tblStylePr w:type="band1Vert">
      <w:tcPr>
        <w:shd w:val="clear" w:color="4472c4" w:fill="4472c4"/>
        <w:tcBorders>
          <w:left w:val="single" w:color="FFFFFF" w:sz="4" w:space="0"/>
          <w:right w:val="single" w:color="FFFFFF" w:sz="4" w:space="0"/>
        </w:tcBorders>
      </w:tcPr>
    </w:tblStylePr>
    <w:tblStylePr w:type="band2Horz">
      <w:tcPr>
        <w:shd w:val="clear" w:color="4472c4" w:fill="4472c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472C4" w:sz="32" w:space="0"/>
          <w:right w:val="single" w:color="FFFFFF" w:sz="4" w:space="0"/>
        </w:tcBorders>
      </w:tcPr>
    </w:tblStylePr>
    <w:tblStylePr w:type="firstRow">
      <w:rPr>
        <w:rFonts w:ascii="Arial" w:hAnsi="Arial"/>
        <w:b/>
        <w:color w:val="ffffff"/>
        <w:sz w:val="22"/>
      </w:rPr>
      <w:tcPr>
        <w:shd w:val="clear" w:color="4472c4" w:fill="4472c4"/>
        <w:tcBorders>
          <w:top w:val="single" w:color="4472C4" w:sz="32" w:space="0"/>
          <w:bottom w:val="single" w:color="FFFFFF" w:sz="12" w:space="0"/>
        </w:tcBorders>
      </w:tcPr>
    </w:tblStylePr>
    <w:tblStylePr w:type="lastCol">
      <w:tcPr>
        <w:tcBorders>
          <w:left w:val="single" w:color="FFFFFF" w:sz="4" w:space="0"/>
          <w:right w:val="single" w:color="4472C4" w:sz="32" w:space="0"/>
        </w:tcBorders>
      </w:tcPr>
    </w:tblStylePr>
    <w:tblStylePr w:type="lastRow">
      <w:rPr>
        <w:rFonts w:ascii="Arial" w:hAnsi="Arial"/>
        <w:b/>
        <w:color w:val="ffffff"/>
        <w:sz w:val="22"/>
      </w:rPr>
    </w:tblStylePr>
  </w:style>
  <w:style w:type="table" w:styleId="1144" w:customStyle="1">
    <w:name w:val="Grid Table 5 Dark - Accent 3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1145" w:customStyle="1">
    <w:name w:val="List Table 2 - Accent 11"/>
    <w:uiPriority w:val="99"/>
    <w:tblPr>
      <w:tblBorders>
        <w:top w:val="single" w:color="95AFDD" w:sz="4" w:space="0"/>
        <w:bottom w:val="single" w:color="95AFDD" w:sz="4" w:space="0"/>
        <w:insideH w:val="single" w:color="95AFDD" w:sz="4" w:space="0"/>
      </w:tblBorders>
      <w:tblCellMar>
        <w:left w:w="0" w:type="dxa"/>
        <w:top w:w="0" w:type="dxa"/>
        <w:right w:w="0" w:type="dxa"/>
        <w:bottom w:w="0" w:type="dxa"/>
      </w:tblCellMar>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146" w:customStyle="1">
    <w:name w:val="List Table 6 Colorful - Accent 61"/>
    <w:uiPriority w:val="99"/>
    <w:tblPr>
      <w:tblBorders>
        <w:top w:val="single" w:color="A9D08E" w:sz="4" w:space="0"/>
        <w:bottom w:val="single" w:color="A9D08E" w:sz="4" w:space="0"/>
      </w:tblBorders>
      <w:tblCellMar>
        <w:left w:w="0" w:type="dxa"/>
        <w:top w:w="0" w:type="dxa"/>
        <w:right w:w="0" w:type="dxa"/>
        <w:bottom w:w="0" w:type="dxa"/>
      </w:tblCellMar>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b/>
        <w:color w:val="a9d08e"/>
      </w:rPr>
    </w:tblStylePr>
    <w:tblStylePr w:type="firstRow">
      <w:rPr>
        <w:b/>
        <w:color w:val="a9d08e"/>
      </w:rPr>
      <w:tcPr>
        <w:tcBorders>
          <w:bottom w:val="single" w:color="A9D08E" w:sz="4" w:space="0"/>
        </w:tcBorders>
      </w:tcPr>
    </w:tblStylePr>
    <w:tblStylePr w:type="lastCol">
      <w:rPr>
        <w:b/>
        <w:color w:val="a9d08e"/>
      </w:rPr>
    </w:tblStylePr>
    <w:tblStylePr w:type="lastRow">
      <w:rPr>
        <w:b/>
        <w:color w:val="a9d08e"/>
      </w:rPr>
      <w:tcPr>
        <w:tcBorders>
          <w:top w:val="single" w:color="A9D08E" w:sz="4" w:space="0"/>
        </w:tcBorders>
      </w:tcPr>
    </w:tblStylePr>
  </w:style>
  <w:style w:type="table" w:styleId="1147" w:customStyle="1">
    <w:name w:val="List Table 4 - Accent 21"/>
    <w:uiPriority w:val="99"/>
    <w:tblPr>
      <w:tblBorders>
        <w:top w:val="single" w:color="F4B58A" w:sz="4" w:space="0"/>
        <w:left w:val="single" w:color="F4B58A" w:sz="4" w:space="0"/>
        <w:bottom w:val="single" w:color="F4B58A" w:sz="4" w:space="0"/>
        <w:right w:val="single" w:color="F4B58A" w:sz="4" w:space="0"/>
        <w:insideH w:val="single" w:color="F4B58A" w:sz="4" w:space="0"/>
      </w:tblBorders>
      <w:tblCellMar>
        <w:left w:w="0" w:type="dxa"/>
        <w:top w:w="0" w:type="dxa"/>
        <w:right w:w="0"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148" w:customStyle="1">
    <w:name w:val="List Table 3 - Accent 21"/>
    <w:uiPriority w:val="99"/>
    <w:tblPr>
      <w:tblBorders>
        <w:top w:val="single" w:color="F4B184" w:sz="4" w:space="0"/>
        <w:left w:val="single" w:color="F4B184" w:sz="4" w:space="0"/>
        <w:bottom w:val="single" w:color="F4B184" w:sz="4" w:space="0"/>
        <w:right w:val="single" w:color="F4B184" w:sz="4" w:space="0"/>
      </w:tblBorders>
      <w:tblCellMar>
        <w:left w:w="0" w:type="dxa"/>
        <w:top w:w="0" w:type="dxa"/>
        <w:right w:w="0" w:type="dxa"/>
        <w:bottom w:w="0" w:type="dxa"/>
      </w:tblCellMar>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149" w:customStyle="1">
    <w:name w:val="Grid Table 1 Light - Accent 41"/>
    <w:uiPriority w:val="99"/>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1150" w:customStyle="1">
    <w:name w:val="Lined - Accent 4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151" w:customStyle="1">
    <w:name w:val="清单表 22"/>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52" w:customStyle="1">
    <w:name w:val="Grid Table 6 Colorful - Accent 21"/>
    <w:uiPriority w:val="99"/>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CellMar>
        <w:left w:w="0" w:type="dxa"/>
        <w:top w:w="0" w:type="dxa"/>
        <w:right w:w="0" w:type="dxa"/>
        <w:bottom w:w="0" w:type="dxa"/>
      </w:tblCellMar>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12" w:space="0"/>
        </w:tcBorders>
      </w:tcPr>
    </w:tblStylePr>
    <w:tblStylePr w:type="lastCol">
      <w:rPr>
        <w:b/>
        <w:color w:val="f4b184"/>
      </w:rPr>
    </w:tblStylePr>
    <w:tblStylePr w:type="lastRow">
      <w:rPr>
        <w:b/>
        <w:color w:val="f4b184"/>
      </w:rPr>
    </w:tblStylePr>
  </w:style>
  <w:style w:type="table" w:styleId="1153" w:customStyle="1">
    <w:name w:val="Grid Table 5 Dark - Accent 5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1154" w:customStyle="1">
    <w:name w:val="Grid Table 4 - Accent 21"/>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0" w:type="dxa"/>
        <w:top w:w="0" w:type="dxa"/>
        <w:right w:w="0"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1155" w:customStyle="1">
    <w:name w:val="Grid Table 2 - Accent 41"/>
    <w:uiPriority w:val="99"/>
    <w:tblPr>
      <w:tblBorders>
        <w:bottom w:val="single" w:color="FFD865" w:sz="4" w:space="0"/>
        <w:insideH w:val="single" w:color="FFD865" w:sz="4" w:space="0"/>
        <w:insideV w:val="single" w:color="FFD865" w:sz="4" w:space="0"/>
      </w:tblBorders>
      <w:tblCellMar>
        <w:left w:w="0" w:type="dxa"/>
        <w:top w:w="0" w:type="dxa"/>
        <w:right w:w="0"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1156" w:customStyle="1">
    <w:name w:val="List Table 1 Light - Accent 21"/>
    <w:uiPriority w:val="99"/>
    <w:tblPr>
      <w:tblCellMar>
        <w:left w:w="0" w:type="dxa"/>
        <w:top w:w="0" w:type="dxa"/>
        <w:right w:w="0"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157" w:customStyle="1">
    <w:name w:val="List Table 3 - Accent 31"/>
    <w:uiPriority w:val="99"/>
    <w:tblPr>
      <w:tblBorders>
        <w:top w:val="single" w:color="C9C9C9" w:sz="4" w:space="0"/>
        <w:left w:val="single" w:color="C9C9C9" w:sz="4" w:space="0"/>
        <w:bottom w:val="single" w:color="C9C9C9" w:sz="4" w:space="0"/>
        <w:right w:val="single" w:color="C9C9C9"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158" w:customStyle="1">
    <w:name w:val="Grid Table 7 Colorful - Accent 61"/>
    <w:uiPriority w:val="99"/>
    <w:tblPr>
      <w:tblBorders>
        <w:bottom w:val="single" w:color="ADD394" w:sz="4" w:space="0"/>
        <w:right w:val="single" w:color="ADD394" w:sz="4" w:space="0"/>
        <w:insideH w:val="single" w:color="ADD394" w:sz="4" w:space="0"/>
        <w:insideV w:val="single" w:color="ADD394" w:sz="4" w:space="0"/>
      </w:tblBorders>
      <w:tblCellMar>
        <w:left w:w="0" w:type="dxa"/>
        <w:top w:w="0" w:type="dxa"/>
        <w:right w:w="0" w:type="dxa"/>
        <w:bottom w:w="0" w:type="dxa"/>
      </w:tblCellMar>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159" w:customStyle="1">
    <w:name w:val="网格表 5 深色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60" w:customStyle="1">
    <w:name w:val="清单表 6 彩色2"/>
    <w:uiPriority w:val="99"/>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61" w:customStyle="1">
    <w:name w:val="清单表 42"/>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62" w:customStyle="1">
    <w:name w:val="List Table 2 - Accent 21"/>
    <w:uiPriority w:val="99"/>
    <w:tblPr>
      <w:tblBorders>
        <w:top w:val="single" w:color="F4B58A" w:sz="4" w:space="0"/>
        <w:bottom w:val="single" w:color="F4B58A" w:sz="4" w:space="0"/>
        <w:insideH w:val="single" w:color="F4B58A" w:sz="4" w:space="0"/>
      </w:tblBorders>
      <w:tblCellMar>
        <w:left w:w="0" w:type="dxa"/>
        <w:top w:w="0" w:type="dxa"/>
        <w:right w:w="0"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163" w:customStyle="1">
    <w:name w:val="Grid Table 6 Colorful - Accent 51"/>
    <w:uiPriority w:val="99"/>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CellMar>
        <w:left w:w="0" w:type="dxa"/>
        <w:top w:w="0" w:type="dxa"/>
        <w:right w:w="0" w:type="dxa"/>
        <w:bottom w:w="0" w:type="dxa"/>
      </w:tblCellMar>
    </w:tblPr>
    <w:tblStylePr w:type="band1Horz">
      <w:rPr>
        <w:rFonts w:ascii="Arial" w:hAnsi="Arial"/>
        <w:color w:val="245a8d"/>
        <w:sz w:val="22"/>
      </w:rPr>
      <w:tcPr>
        <w:shd w:val="clear" w:color="ddeaf6" w:fill="ddeaf6"/>
      </w:tcPr>
    </w:tblStylePr>
    <w:tblStylePr w:type="band1Vert">
      <w:tcPr>
        <w:shd w:val="clear" w:color="ddeaf6" w:fill="ddeaf6"/>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5B9BD5" w:sz="12" w:space="0"/>
        </w:tcBorders>
      </w:tcPr>
    </w:tblStylePr>
    <w:tblStylePr w:type="lastCol">
      <w:rPr>
        <w:b/>
        <w:color w:val="245a8d"/>
      </w:rPr>
    </w:tblStylePr>
    <w:tblStylePr w:type="lastRow">
      <w:rPr>
        <w:b/>
        <w:color w:val="245a8d"/>
      </w:rPr>
    </w:tblStylePr>
  </w:style>
  <w:style w:type="table" w:styleId="1164" w:customStyle="1">
    <w:name w:val="List Table 4 - Accent 51"/>
    <w:uiPriority w:val="99"/>
    <w:tblPr>
      <w:tblBorders>
        <w:top w:val="single" w:color="A2C6E7" w:sz="4" w:space="0"/>
        <w:left w:val="single" w:color="A2C6E7" w:sz="4" w:space="0"/>
        <w:bottom w:val="single" w:color="A2C6E7" w:sz="4" w:space="0"/>
        <w:right w:val="single" w:color="A2C6E7" w:sz="4" w:space="0"/>
        <w:insideH w:val="single" w:color="A2C6E7" w:sz="4" w:space="0"/>
      </w:tblBorders>
      <w:tblCellMar>
        <w:left w:w="0" w:type="dxa"/>
        <w:top w:w="0" w:type="dxa"/>
        <w:right w:w="0"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165" w:customStyle="1">
    <w:name w:val="List Table 7 Colorful - Accent 31"/>
    <w:uiPriority w:val="99"/>
    <w:tblPr>
      <w:tblBorders>
        <w:right w:val="single" w:color="C9C9C9" w:sz="4" w:space="0"/>
      </w:tblBorders>
      <w:tblCellMar>
        <w:left w:w="0" w:type="dxa"/>
        <w:top w:w="0" w:type="dxa"/>
        <w:right w:w="0"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166" w:customStyle="1">
    <w:name w:val="Grid Table 6 Colorful - Accent 11"/>
    <w:uiPriority w:val="99"/>
    <w:tblPr>
      <w:tblBorders>
        <w:top w:val="single" w:color="A0B7E1" w:sz="4" w:space="0"/>
        <w:left w:val="single" w:color="A0B7E1" w:sz="4" w:space="0"/>
        <w:bottom w:val="single" w:color="A0B7E1" w:sz="4" w:space="0"/>
        <w:right w:val="single" w:color="A0B7E1" w:sz="4" w:space="0"/>
        <w:insideH w:val="single" w:color="A0B7E1" w:sz="4" w:space="0"/>
        <w:insideV w:val="single" w:color="A0B7E1" w:sz="4" w:space="0"/>
      </w:tblBorders>
      <w:tblCellMar>
        <w:left w:w="0" w:type="dxa"/>
        <w:top w:w="0" w:type="dxa"/>
        <w:right w:w="0" w:type="dxa"/>
        <w:bottom w:w="0" w:type="dxa"/>
      </w:tblCellMar>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b/>
        <w:color w:val="a0b7e1"/>
      </w:rPr>
    </w:tblStylePr>
    <w:tblStylePr w:type="firstRow">
      <w:rPr>
        <w:b/>
        <w:color w:val="a0b7e1"/>
      </w:rPr>
      <w:tcPr>
        <w:tcBorders>
          <w:bottom w:val="single" w:color="A0B7E1" w:sz="12" w:space="0"/>
        </w:tcBorders>
      </w:tcPr>
    </w:tblStylePr>
    <w:tblStylePr w:type="lastCol">
      <w:rPr>
        <w:b/>
        <w:color w:val="a0b7e1"/>
      </w:rPr>
    </w:tblStylePr>
    <w:tblStylePr w:type="lastRow">
      <w:rPr>
        <w:b/>
        <w:color w:val="a0b7e1"/>
      </w:rPr>
    </w:tblStylePr>
  </w:style>
  <w:style w:type="table" w:styleId="1167" w:customStyle="1">
    <w:name w:val="List Table 7 Colorful - Accent 61"/>
    <w:uiPriority w:val="99"/>
    <w:tblPr>
      <w:tblBorders>
        <w:right w:val="single" w:color="A9D08E" w:sz="4" w:space="0"/>
      </w:tblBorders>
      <w:tblCellMar>
        <w:left w:w="0" w:type="dxa"/>
        <w:top w:w="0" w:type="dxa"/>
        <w:right w:w="0" w:type="dxa"/>
        <w:bottom w:w="0" w:type="dxa"/>
      </w:tblCellMar>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rFonts w:ascii="Arial" w:hAnsi="Arial"/>
        <w:i/>
        <w:color w:val="a9d08e"/>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9d08e"/>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9d08e"/>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9d08e"/>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168" w:customStyle="1">
    <w:name w:val="List Table 2 - Accent 61"/>
    <w:uiPriority w:val="99"/>
    <w:tblPr>
      <w:tblBorders>
        <w:top w:val="single" w:color="ADD394" w:sz="4" w:space="0"/>
        <w:bottom w:val="single" w:color="ADD394" w:sz="4" w:space="0"/>
        <w:insideH w:val="single" w:color="ADD394" w:sz="4" w:space="0"/>
      </w:tblBorders>
      <w:tblCellMar>
        <w:left w:w="0" w:type="dxa"/>
        <w:top w:w="0" w:type="dxa"/>
        <w:right w:w="0"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169" w:customStyle="1">
    <w:name w:val="List Table 5 Dark - Accent 31"/>
    <w:uiPriority w:val="99"/>
    <w:tblPr>
      <w:tblBorders>
        <w:top w:val="single" w:color="C9C9C9" w:sz="32" w:space="0"/>
        <w:left w:val="single" w:color="C9C9C9" w:sz="32" w:space="0"/>
        <w:bottom w:val="single" w:color="C9C9C9" w:sz="32" w:space="0"/>
        <w:right w:val="single" w:color="C9C9C9" w:sz="32" w:space="0"/>
      </w:tblBorders>
      <w:tblCellMar>
        <w:left w:w="0" w:type="dxa"/>
        <w:top w:w="0" w:type="dxa"/>
        <w:right w:w="0" w:type="dxa"/>
        <w:bottom w:w="0" w:type="dxa"/>
      </w:tblCellMar>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170" w:customStyle="1">
    <w:name w:val="Grid Table 2 - Accent 61"/>
    <w:uiPriority w:val="99"/>
    <w:tblPr>
      <w:tblBorders>
        <w:bottom w:val="single" w:color="70AD47" w:sz="4" w:space="0"/>
        <w:insideH w:val="single" w:color="70AD47" w:sz="4" w:space="0"/>
        <w:insideV w:val="single" w:color="70AD47" w:sz="4" w:space="0"/>
      </w:tblBorders>
      <w:tblCellMar>
        <w:left w:w="0" w:type="dxa"/>
        <w:top w:w="0" w:type="dxa"/>
        <w:right w:w="0"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1171" w:customStyle="1">
    <w:name w:val="无格式表格 32"/>
    <w:uiPriority w:val="99"/>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2" w:customStyle="1">
    <w:name w:val="Grid Table 1 Light - Accent 51"/>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1173" w:customStyle="1">
    <w:name w:val="清单表 32"/>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74" w:customStyle="1">
    <w:name w:val="Grid Table 5 Dark- Accent 4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1175" w:customStyle="1">
    <w:name w:val="Bordered &amp; Lined - Accent 61"/>
    <w:uiPriority w:val="99"/>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176" w:customStyle="1">
    <w:name w:val="Grid Table 3 - Accent 31"/>
    <w:uiPriority w:val="99"/>
    <w:tblPr>
      <w:tblBorders>
        <w:bottom w:val="single" w:color="A5A5A5" w:sz="4" w:space="0"/>
        <w:insideH w:val="single" w:color="A5A5A5" w:sz="4" w:space="0"/>
        <w:insideV w:val="single" w:color="A5A5A5" w:sz="4" w:space="0"/>
      </w:tblBorders>
      <w:tblCellMar>
        <w:left w:w="0" w:type="dxa"/>
        <w:top w:w="0" w:type="dxa"/>
        <w:right w:w="0"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7" w:customStyle="1">
    <w:name w:val="Grid Table 3 - Accent 21"/>
    <w:uiPriority w:val="99"/>
    <w:tblPr>
      <w:tblBorders>
        <w:bottom w:val="single" w:color="F4B184" w:sz="4" w:space="0"/>
        <w:insideH w:val="single" w:color="F4B184" w:sz="4" w:space="0"/>
        <w:insideV w:val="single" w:color="F4B184" w:sz="4" w:space="0"/>
      </w:tblBorders>
      <w:tblCellMar>
        <w:left w:w="0" w:type="dxa"/>
        <w:top w:w="0" w:type="dxa"/>
        <w:right w:w="0"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8" w:customStyle="1">
    <w:name w:val="List Table 7 Colorful - Accent 51"/>
    <w:uiPriority w:val="99"/>
    <w:tblPr>
      <w:tblBorders>
        <w:right w:val="single" w:color="9BC2E5" w:sz="4" w:space="0"/>
      </w:tblBorders>
      <w:tblCellMar>
        <w:left w:w="0" w:type="dxa"/>
        <w:top w:w="0" w:type="dxa"/>
        <w:right w:w="0" w:type="dxa"/>
        <w:bottom w:w="0" w:type="dxa"/>
      </w:tblCellMar>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rFonts w:ascii="Arial" w:hAnsi="Arial"/>
        <w:i/>
        <w:color w:val="9bc2e5"/>
        <w:sz w:val="22"/>
      </w:rPr>
      <w:pPr>
        <w:jc w:val="right"/>
      </w:pPr>
      <w:tcPr>
        <w:shd w:val="clear" w:color="ffffff" w:fill="auto"/>
        <w:tcBorders>
          <w:top w:val="none" w:color="000000" w:sz="4" w:space="0"/>
          <w:left w:val="none" w:color="000000" w:sz="4" w:space="0"/>
          <w:bottom w:val="none" w:color="000000" w:sz="4" w:space="0"/>
          <w:right w:val="single" w:color="9BC2E5" w:sz="4" w:space="0"/>
        </w:tcBorders>
      </w:tcPr>
    </w:tblStylePr>
    <w:tblStylePr w:type="firstRow">
      <w:rPr>
        <w:rFonts w:ascii="Arial" w:hAnsi="Arial"/>
        <w:i/>
        <w:color w:val="9bc2e5"/>
        <w:sz w:val="22"/>
      </w:rPr>
      <w:tcPr>
        <w:shd w:val="clear" w:color="ffffff" w:fill="ffffff"/>
        <w:tcBorders>
          <w:top w:val="none" w:color="000000" w:sz="4" w:space="0"/>
          <w:left w:val="none" w:color="000000" w:sz="4" w:space="0"/>
          <w:bottom w:val="single" w:color="9BC2E5" w:sz="4" w:space="0"/>
          <w:right w:val="none" w:color="000000" w:sz="4" w:space="0"/>
        </w:tcBorders>
      </w:tcPr>
    </w:tblStylePr>
    <w:tblStylePr w:type="lastCol">
      <w:rPr>
        <w:rFonts w:ascii="Arial" w:hAnsi="Arial"/>
        <w:i/>
        <w:color w:val="9bc2e5"/>
        <w:sz w:val="22"/>
      </w:rPr>
      <w:tcPr>
        <w:shd w:val="clear" w:color="ffffff" w:fill="auto"/>
        <w:tcBorders>
          <w:top w:val="none" w:color="000000" w:sz="4" w:space="0"/>
          <w:left w:val="single" w:color="9BC2E5" w:sz="4" w:space="0"/>
          <w:bottom w:val="none" w:color="000000" w:sz="4" w:space="0"/>
          <w:right w:val="none" w:color="000000" w:sz="4" w:space="0"/>
        </w:tcBorders>
      </w:tcPr>
    </w:tblStylePr>
    <w:tblStylePr w:type="lastRow">
      <w:rPr>
        <w:rFonts w:ascii="Arial" w:hAnsi="Arial"/>
        <w:i/>
        <w:color w:val="9bc2e5"/>
        <w:sz w:val="22"/>
      </w:rPr>
      <w:tcPr>
        <w:shd w:val="clear" w:color="ffffff" w:fill="ffffff"/>
        <w:tcBorders>
          <w:top w:val="single" w:color="9BC2E5" w:sz="4" w:space="0"/>
          <w:left w:val="none" w:color="000000" w:sz="4" w:space="0"/>
          <w:bottom w:val="none" w:color="000000" w:sz="4" w:space="0"/>
          <w:right w:val="none" w:color="000000" w:sz="4" w:space="0"/>
        </w:tcBorders>
      </w:tcPr>
    </w:tblStylePr>
  </w:style>
  <w:style w:type="character" w:styleId="1179" w:customStyle="1">
    <w:name w:val="正文缩进 字符1"/>
    <w:qFormat/>
    <w:rPr>
      <w:rFonts w:eastAsia="楷体_GB2312"/>
      <w:sz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一把飞快的钝刀</dc:creator>
  <cp:lastModifiedBy>张伟</cp:lastModifiedBy>
  <cp:revision>6</cp:revision>
  <dcterms:created xsi:type="dcterms:W3CDTF">2026-08-28T03:29:00Z</dcterms:created>
  <dcterms:modified xsi:type="dcterms:W3CDTF">2026-08-28T08:11:00Z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3729E0455E9943FF96345B7A63126979_13</vt:lpwstr>
  </property>
  <property fmtid="{D5CDD505-2E9C-101B-9397-08002B2CF9AE}" pid="4" name="KSOTemplateDocerSaveRecord">
    <vt:lpwstr>eyJoZGlkIjoiZDllOTA1YzUxMGRlYjg4MGMxNWUzMzM1YzFjNThjYjAiLCJ1c2VySWQiOiI3NDYwNDk5NDAifQ==</vt:lpwstr>
  </property>
</Properties>
</file>