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江苏省特种设备安全监督检验研究院</w:t>
      </w:r>
      <w:r/>
    </w:p>
    <w:p>
      <w:pPr>
        <w:ind w:firstLine="0"/>
        <w:jc w:val="center"/>
        <w:rPr>
          <w:rFonts w:hint="eastAsia" w:eastAsia="宋体"/>
          <w:b/>
          <w:bCs/>
          <w:color w:val="000000" w:themeColor="text1"/>
          <w:sz w:val="44"/>
          <w:szCs w:val="44"/>
          <w:lang w:eastAsia="zh-CN"/>
          <w14:textFill>
            <w14:solidFill>
              <w14:schemeClr w14:val="tx1"/>
            </w14:solidFill>
          </w14:textFill>
        </w:rPr>
      </w:pPr>
      <w:r>
        <w:rPr>
          <w:rFonts w:hint="eastAsia"/>
          <w:b/>
          <w:bCs/>
          <w:color w:val="000000" w:themeColor="text1"/>
          <w:sz w:val="44"/>
          <w:szCs w:val="44"/>
          <w:lang w:eastAsia="zh-CN"/>
          <w14:textFill>
            <w14:solidFill>
              <w14:schemeClr w14:val="tx1"/>
            </w14:solidFill>
          </w14:textFill>
        </w:rPr>
        <w:t xml:space="preserve">压力管道元件（金属阀门、燃气用聚乙烯管）型式试验能力提升设备采购</w:t>
      </w:r>
      <w:r/>
    </w:p>
    <w:p>
      <w:pPr>
        <w:ind w:firstLine="0"/>
        <w:jc w:val="center"/>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r>
      <w:r/>
    </w:p>
    <w:p>
      <w:pPr>
        <w:ind w:firstLine="0"/>
        <w:jc w:val="center"/>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r>
      <w:r/>
    </w:p>
    <w:p>
      <w:pPr>
        <w:ind w:firstLine="0"/>
        <w:jc w:val="center"/>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444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7"/>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7" o:title=""/>
              </v:shape>
            </w:pict>
          </mc:Fallback>
        </mc:AlternateContent>
      </w:r>
      <w:r/>
    </w:p>
    <w:p>
      <w:pPr>
        <w:ind w:firstLine="0"/>
        <w:jc w:val="center"/>
        <w:rPr>
          <w:b/>
          <w:bCs/>
          <w:color w:val="000000" w:themeColor="text1"/>
          <w:sz w:val="72"/>
          <w:szCs w:val="72"/>
          <w14:textFill>
            <w14:solidFill>
              <w14:schemeClr w14:val="tx1"/>
            </w14:solidFill>
          </w14:textFill>
        </w:rPr>
      </w:pPr>
      <w:r>
        <w:rPr>
          <w:rFonts w:hint="eastAsia"/>
          <w:b/>
          <w:bCs/>
          <w:color w:val="000000" w:themeColor="text1"/>
          <w:sz w:val="72"/>
          <w:szCs w:val="72"/>
          <w14:textFill>
            <w14:solidFill>
              <w14:schemeClr w14:val="tx1"/>
            </w14:solidFill>
          </w14:textFill>
        </w:rPr>
        <w:t xml:space="preserve">招 标 文 件</w:t>
      </w:r>
      <w:r/>
    </w:p>
    <w:p>
      <w:pPr>
        <w:ind w:firstLine="0"/>
        <w:jc w:val="center"/>
        <w:rPr>
          <w:rFonts w:hint="eastAsia" w:eastAsia="宋体"/>
          <w:color w:val="000000" w:themeColor="text1"/>
          <w:sz w:val="36"/>
          <w:szCs w:val="36"/>
          <w:lang w:eastAsia="zh-CN"/>
          <w14:textFill>
            <w14:solidFill>
              <w14:schemeClr w14:val="tx1"/>
            </w14:solidFill>
          </w14:textFill>
        </w:rPr>
      </w:pPr>
      <w:r>
        <w:rPr>
          <w:rFonts w:hint="eastAsia"/>
          <w:color w:val="000000" w:themeColor="text1"/>
          <w:sz w:val="36"/>
          <w:szCs w:val="36"/>
          <w14:textFill>
            <w14:solidFill>
              <w14:schemeClr w14:val="tx1"/>
            </w14:solidFill>
          </w14:textFill>
        </w:rPr>
        <w:t xml:space="preserve">项目编号：</w:t>
      </w:r>
      <w:r>
        <w:rPr>
          <w:rFonts w:hint="eastAsia"/>
          <w:color w:val="000000" w:themeColor="text1"/>
          <w:sz w:val="36"/>
          <w:szCs w:val="36"/>
          <w:lang w:eastAsia="zh-CN"/>
          <w14:textFill>
            <w14:solidFill>
              <w14:schemeClr w14:val="tx1"/>
            </w14:solidFill>
          </w14:textFill>
        </w:rPr>
        <w:t xml:space="preserve">JSZC-320000-SNZX-G2026-0132</w:t>
      </w:r>
      <w:r/>
    </w:p>
    <w:p>
      <w:pPr>
        <w:ind w:firstLine="0"/>
        <w:jc w:val="center"/>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r>
      <w:r/>
    </w:p>
    <w:p>
      <w:pPr>
        <w:ind w:firstLine="0"/>
        <w:jc w:val="center"/>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r>
      <w:r/>
    </w:p>
    <w:p>
      <w:pPr>
        <w:ind w:firstLine="0"/>
        <w:rPr>
          <w:b/>
          <w:bCs/>
          <w:color w:val="000000" w:themeColor="text1"/>
          <w:sz w:val="36"/>
          <w:szCs w:val="36"/>
          <w14:textFill>
            <w14:solidFill>
              <w14:schemeClr w14:val="tx1"/>
            </w14:solidFill>
          </w14:textFill>
        </w:rPr>
      </w:pPr>
      <w:r>
        <w:rPr>
          <w:rFonts w:hint="eastAsia"/>
          <w:b/>
          <w:bCs/>
          <w:color w:val="000000" w:themeColor="text1"/>
          <w:sz w:val="36"/>
          <w:szCs w:val="36"/>
          <w14:textFill>
            <w14:solidFill>
              <w14:schemeClr w14:val="tx1"/>
            </w14:solidFill>
          </w14:textFill>
        </w:rPr>
        <w:t xml:space="preserve">采购人：江苏省特种设备安全监督检验研究院</w:t>
      </w:r>
      <w:r/>
    </w:p>
    <w:p>
      <w:pPr>
        <w:ind w:firstLine="0"/>
        <w:rPr>
          <w:b/>
          <w:bCs/>
          <w:color w:val="000000" w:themeColor="text1"/>
          <w:sz w:val="36"/>
          <w:szCs w:val="36"/>
          <w14:textFill>
            <w14:solidFill>
              <w14:schemeClr w14:val="tx1"/>
            </w14:solidFill>
          </w14:textFill>
        </w:rPr>
      </w:pPr>
      <w:r>
        <w:rPr>
          <w:rFonts w:hint="eastAsia"/>
          <w:b/>
          <w:bCs/>
          <w:color w:val="000000" w:themeColor="text1"/>
          <w:sz w:val="36"/>
          <w:szCs w:val="36"/>
          <w14:textFill>
            <w14:solidFill>
              <w14:schemeClr w14:val="tx1"/>
            </w14:solidFill>
          </w14:textFill>
        </w:rPr>
        <w:t xml:space="preserve">采购代理机构：南京苏宁工程咨询有限公司</w:t>
      </w:r>
      <w:r/>
    </w:p>
    <w:p>
      <w:pPr>
        <w:ind w:firstLine="0"/>
        <w:rPr>
          <w:b/>
          <w:bCs/>
          <w:color w:val="000000" w:themeColor="text1"/>
          <w:sz w:val="36"/>
          <w:szCs w:val="36"/>
          <w14:textFill>
            <w14:solidFill>
              <w14:schemeClr w14:val="tx1"/>
            </w14:solidFill>
          </w14:textFill>
        </w:rPr>
      </w:pPr>
      <w:r>
        <w:rPr>
          <w:rFonts w:hint="eastAsia"/>
          <w:b/>
          <w:bCs/>
          <w:color w:val="000000" w:themeColor="text1"/>
          <w:sz w:val="36"/>
          <w:szCs w:val="36"/>
          <w14:textFill>
            <w14:solidFill>
              <w14:schemeClr w14:val="tx1"/>
            </w14:solidFill>
          </w14:textFill>
        </w:rPr>
        <w:t xml:space="preserve">日期：二〇二六年</w:t>
      </w:r>
      <w:r>
        <w:rPr>
          <w:rFonts w:hint="eastAsia"/>
          <w:b/>
          <w:bCs/>
          <w:color w:val="000000" w:themeColor="text1"/>
          <w:sz w:val="36"/>
          <w:szCs w:val="36"/>
          <w:lang w:val="en-US" w:eastAsia="zh-CN"/>
          <w14:textFill>
            <w14:solidFill>
              <w14:schemeClr w14:val="tx1"/>
            </w14:solidFill>
          </w14:textFill>
        </w:rPr>
        <w:t xml:space="preserve">九</w:t>
      </w:r>
      <w:r>
        <w:rPr>
          <w:rFonts w:hint="eastAsia"/>
          <w:b/>
          <w:bCs/>
          <w:color w:val="000000" w:themeColor="text1"/>
          <w:sz w:val="36"/>
          <w:szCs w:val="36"/>
          <w14:textFill>
            <w14:solidFill>
              <w14:schemeClr w14:val="tx1"/>
            </w14:solidFill>
          </w14:textFill>
        </w:rPr>
        <w:t xml:space="preserve">月</w:t>
      </w:r>
      <w:bookmarkStart w:id="10" w:name="_GoBack"/>
      <w:r/>
      <w:bookmarkEnd w:id="10"/>
      <w:r>
        <w:rPr>
          <w:rFonts w:hint="eastAsia"/>
          <w:b/>
          <w:bCs/>
          <w:color w:val="000000" w:themeColor="text1"/>
          <w:sz w:val="36"/>
          <w:szCs w:val="36"/>
          <w14:textFill>
            <w14:solidFill>
              <w14:schemeClr w14:val="tx1"/>
            </w14:solidFill>
          </w14:textFill>
        </w:rPr>
        <w:br w:type="page" w:clear="all"/>
      </w:r>
      <w:r>
        <w:rPr>
          <w:b/>
          <w:bCs/>
          <w:color w:val="000000" w:themeColor="text1"/>
          <w:sz w:val="36"/>
          <w:szCs w:val="36"/>
          <w14:textFill>
            <w14:solidFill>
              <w14:schemeClr w14:val="tx1"/>
            </w14:solidFill>
          </w14:textFill>
        </w:rPr>
      </w:r>
      <w:r/>
    </w:p>
    <w:p>
      <w:pPr>
        <w:pStyle w:val="915"/>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第一章  投标邀请</w:t>
      </w:r>
      <w:r/>
    </w:p>
    <w:tbl>
      <w:tblPr>
        <w:tblStyle w:val="9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ind w:firstLine="48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项目概况</w:t>
            </w:r>
            <w:r/>
          </w:p>
          <w:p>
            <w:pPr>
              <w:ind w:firstLine="480"/>
              <w:jc w:val="both"/>
              <w:rPr>
                <w:color w:val="000000" w:themeColor="text1"/>
                <w14:textFill>
                  <w14:solidFill>
                    <w14:schemeClr w14:val="tx1"/>
                  </w14:solidFill>
                </w14:textFill>
              </w:rPr>
            </w:pPr>
            <w:r>
              <w:rPr>
                <w:rFonts w:hint="eastAsia"/>
                <w:color w:val="000000" w:themeColor="text1"/>
                <w:u w:val="single"/>
                <w14:textFill>
                  <w14:solidFill>
                    <w14:schemeClr w14:val="tx1"/>
                  </w14:solidFill>
                </w14:textFill>
              </w:rPr>
            </w:r>
            <w:r>
              <w:rPr>
                <w:rFonts w:hint="eastAsia"/>
                <w:color w:val="000000" w:themeColor="text1"/>
                <w:u w:val="single"/>
                <w:lang w:eastAsia="zh-CN"/>
                <w14:textFill>
                  <w14:solidFill>
                    <w14:schemeClr w14:val="tx1"/>
                  </w14:solidFill>
                </w14:textFill>
              </w:rPr>
              <w:t xml:space="preserve">压力管道元件（金属阀门、燃气用聚乙烯管）型式试验能力提升设备采购</w:t>
            </w:r>
            <w:r>
              <w:rPr>
                <w:rFonts w:hint="eastAsia"/>
                <w:color w:val="000000" w:themeColor="text1"/>
                <w14:textFill>
                  <w14:solidFill>
                    <w14:schemeClr w14:val="tx1"/>
                  </w14:solidFill>
                </w14:textFill>
              </w:rPr>
              <w:t xml:space="preserve">招标项目的潜在投标人应在</w:t>
            </w:r>
            <w:r>
              <w:rPr>
                <w:rFonts w:hint="eastAsia"/>
                <w:color w:val="000000" w:themeColor="text1"/>
                <w:u w:val="single"/>
                <w14:textFill>
                  <w14:solidFill>
                    <w14:schemeClr w14:val="tx1"/>
                  </w14:solidFill>
                </w14:textFill>
              </w:rPr>
              <w:t xml:space="preserve">江苏政府采购网</w:t>
            </w:r>
            <w:r>
              <w:rPr>
                <w:rFonts w:hint="eastAsia"/>
                <w:color w:val="000000" w:themeColor="text1"/>
                <w14:textFill>
                  <w14:solidFill>
                    <w14:schemeClr w14:val="tx1"/>
                  </w14:solidFill>
                </w14:textFill>
              </w:rPr>
              <w:t xml:space="preserve">获取招标文件，并于</w:t>
            </w:r>
            <w:r>
              <w:rPr>
                <w:rFonts w:hint="eastAsia"/>
                <w:color w:val="000000" w:themeColor="text1"/>
                <w:u w:val="single"/>
                <w14:textFill>
                  <w14:solidFill>
                    <w14:schemeClr w14:val="tx1"/>
                  </w14:solidFill>
                </w14:textFill>
              </w:rPr>
              <w:t xml:space="preserve">2026年</w:t>
            </w:r>
            <w:r>
              <w:rPr>
                <w:rFonts w:hint="eastAsia"/>
                <w:color w:val="000000" w:themeColor="text1"/>
                <w:u w:val="single"/>
                <w:lang w:val="en-US" w:eastAsia="zh-CN"/>
                <w14:textFill>
                  <w14:solidFill>
                    <w14:schemeClr w14:val="tx1"/>
                  </w14:solidFill>
                </w14:textFill>
              </w:rPr>
              <w:t xml:space="preserve">9</w:t>
            </w:r>
            <w:r>
              <w:rPr>
                <w:rFonts w:hint="eastAsia"/>
                <w:color w:val="000000" w:themeColor="text1"/>
                <w:u w:val="single"/>
                <w14:textFill>
                  <w14:solidFill>
                    <w14:schemeClr w14:val="tx1"/>
                  </w14:solidFill>
                </w14:textFill>
              </w:rPr>
              <w:t xml:space="preserve">月</w:t>
            </w:r>
            <w:r>
              <w:rPr>
                <w:rFonts w:hint="eastAsia"/>
                <w:color w:val="000000" w:themeColor="text1"/>
                <w:u w:val="single"/>
                <w:lang w:val="en-US" w:eastAsia="zh-CN"/>
                <w14:textFill>
                  <w14:solidFill>
                    <w14:schemeClr w14:val="tx1"/>
                  </w14:solidFill>
                </w14:textFill>
              </w:rPr>
              <w:t xml:space="preserve">29</w:t>
            </w:r>
            <w:r>
              <w:rPr>
                <w:rFonts w:hint="eastAsia"/>
                <w:color w:val="000000" w:themeColor="text1"/>
                <w:u w:val="single"/>
                <w14:textFill>
                  <w14:solidFill>
                    <w14:schemeClr w14:val="tx1"/>
                  </w14:solidFill>
                </w14:textFill>
              </w:rPr>
              <w:t xml:space="preserve">日</w:t>
            </w:r>
            <w:r>
              <w:rPr>
                <w:rFonts w:hint="eastAsia"/>
                <w:color w:val="000000" w:themeColor="text1"/>
                <w:u w:val="single"/>
                <w:lang w:val="en-US" w:eastAsia="zh-CN"/>
                <w14:textFill>
                  <w14:solidFill>
                    <w14:schemeClr w14:val="tx1"/>
                  </w14:solidFill>
                </w14:textFill>
              </w:rPr>
              <w:t xml:space="preserve">9</w:t>
            </w:r>
            <w:r>
              <w:rPr>
                <w:rFonts w:hint="eastAsia"/>
                <w:color w:val="000000" w:themeColor="text1"/>
                <w:u w:val="single"/>
                <w14:textFill>
                  <w14:solidFill>
                    <w14:schemeClr w14:val="tx1"/>
                  </w14:solidFill>
                </w14:textFill>
              </w:rPr>
              <w:t xml:space="preserve">点</w:t>
            </w:r>
            <w:r>
              <w:rPr>
                <w:rFonts w:hint="eastAsia"/>
                <w:color w:val="000000" w:themeColor="text1"/>
                <w:u w:val="single"/>
                <w:lang w:val="en-US" w:eastAsia="zh-CN"/>
                <w14:textFill>
                  <w14:solidFill>
                    <w14:schemeClr w14:val="tx1"/>
                  </w14:solidFill>
                </w14:textFill>
              </w:rPr>
              <w:t xml:space="preserve">00</w:t>
            </w:r>
            <w:r>
              <w:rPr>
                <w:rFonts w:hint="eastAsia"/>
                <w:color w:val="000000" w:themeColor="text1"/>
                <w:u w:val="single"/>
                <w14:textFill>
                  <w14:solidFill>
                    <w14:schemeClr w14:val="tx1"/>
                  </w14:solidFill>
                </w14:textFill>
              </w:rPr>
              <w:t xml:space="preserve">分</w:t>
            </w:r>
            <w:r>
              <w:rPr>
                <w:rFonts w:hint="eastAsia"/>
                <w:color w:val="000000" w:themeColor="text1"/>
                <w14:textFill>
                  <w14:solidFill>
                    <w14:schemeClr w14:val="tx1"/>
                  </w14:solidFill>
                </w14:textFill>
              </w:rPr>
              <w:t xml:space="preserve">（北京时间）前递交投标文件。</w:t>
            </w:r>
            <w:r/>
          </w:p>
        </w:tc>
      </w:tr>
    </w:tbl>
    <w:p>
      <w:pPr>
        <w:pStyle w:val="91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一、项目基本情况</w:t>
      </w:r>
      <w:r/>
    </w:p>
    <w:p>
      <w:pPr>
        <w:ind w:firstLine="480"/>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 xml:space="preserve">项目编号：</w:t>
      </w:r>
      <w:r>
        <w:rPr>
          <w:rFonts w:hint="eastAsia"/>
          <w:color w:val="000000" w:themeColor="text1"/>
          <w:lang w:eastAsia="zh-CN"/>
          <w14:textFill>
            <w14:solidFill>
              <w14:schemeClr w14:val="tx1"/>
            </w14:solidFill>
          </w14:textFill>
        </w:rPr>
        <w:t xml:space="preserve">JSZC-320000-SNZX-G2026-0132</w:t>
      </w:r>
      <w:r/>
    </w:p>
    <w:p>
      <w:pPr>
        <w:ind w:firstLine="480"/>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 xml:space="preserve">项目名称：</w:t>
      </w:r>
      <w:r>
        <w:rPr>
          <w:rFonts w:hint="eastAsia"/>
          <w:color w:val="000000" w:themeColor="text1"/>
          <w:lang w:eastAsia="zh-CN"/>
          <w14:textFill>
            <w14:solidFill>
              <w14:schemeClr w14:val="tx1"/>
            </w14:solidFill>
          </w14:textFill>
        </w:rPr>
        <w:t xml:space="preserve">压力管道元件（金属阀门、燃气用聚乙烯管）型式试验能力提升设备采购</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预算金额：687.85万元（采购包1：395万元；采购包2：148万元；采购包3：144.85万元）</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最高限价：采购包1：395万元；采购包2：148万元；采购包3：144.85万元</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采购需求：本项目共分为3个采购包，技术要求详见招标文件第四章采购需求。</w:t>
      </w:r>
      <w:r/>
    </w:p>
    <w:tbl>
      <w:tblPr>
        <w:tblStyle w:val="92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843"/>
        <w:gridCol w:w="2850"/>
        <w:gridCol w:w="985"/>
        <w:gridCol w:w="1568"/>
        <w:gridCol w:w="959"/>
        <w:gridCol w:w="1211"/>
      </w:tblGrid>
      <w:tr>
        <w:trPr>
          <w:trHeight w:val="567"/>
        </w:trPr>
        <w:tc>
          <w:tcPr>
            <w:tcW w:w="466"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采购包号</w:t>
            </w:r>
            <w:r/>
          </w:p>
        </w:tc>
        <w:tc>
          <w:tcPr>
            <w:tcW w:w="454"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品目</w:t>
            </w:r>
            <w:r/>
          </w:p>
        </w:tc>
        <w:tc>
          <w:tcPr>
            <w:tcW w:w="1534"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设备名称</w:t>
            </w:r>
            <w:r/>
          </w:p>
        </w:tc>
        <w:tc>
          <w:tcPr>
            <w:tcW w:w="530"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数量</w:t>
            </w:r>
            <w:r/>
          </w:p>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（台/套）</w:t>
            </w:r>
            <w:r/>
          </w:p>
        </w:tc>
        <w:tc>
          <w:tcPr>
            <w:tcW w:w="844"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项目预算金额/最高限价</w:t>
            </w:r>
            <w:r/>
          </w:p>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（万元）</w:t>
            </w:r>
            <w:r/>
          </w:p>
        </w:tc>
        <w:tc>
          <w:tcPr>
            <w:tcW w:w="516"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是否接受进口设备投标</w:t>
            </w:r>
            <w:r/>
          </w:p>
        </w:tc>
        <w:tc>
          <w:tcPr>
            <w:tcW w:w="652"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备注</w:t>
            </w:r>
            <w:r/>
          </w:p>
        </w:tc>
      </w:tr>
      <w:tr>
        <w:trPr>
          <w:trHeight w:val="567"/>
        </w:trPr>
        <w:tc>
          <w:tcPr>
            <w:tcW w:w="466"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bookmarkStart w:id="0" w:name="_Hlk237968480"/>
            <w:r>
              <w:rPr>
                <w:rFonts w:hint="eastAsia" w:ascii="宋体" w:hAnsi="宋体" w:cs="宋体"/>
                <w:color w:val="000000" w:themeColor="text1"/>
                <w14:textFill>
                  <w14:solidFill>
                    <w14:schemeClr w14:val="tx1"/>
                  </w14:solidFill>
                </w14:textFill>
              </w:rPr>
              <w:t xml:space="preserve">1</w:t>
            </w:r>
            <w:r/>
          </w:p>
        </w:tc>
        <w:tc>
          <w:tcPr>
            <w:tcW w:w="45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一</w:t>
            </w:r>
            <w:r/>
          </w:p>
        </w:tc>
        <w:tc>
          <w:tcPr>
            <w:tcW w:w="1534"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bookmarkStart w:id="1" w:name="_Toc53472202"/>
            <w:r/>
            <w:bookmarkEnd w:id="1"/>
            <w:r/>
            <w:bookmarkStart w:id="2" w:name="_Toc34665475"/>
            <w:r/>
            <w:bookmarkEnd w:id="2"/>
            <w:r/>
            <w:bookmarkStart w:id="3" w:name="_Toc35421028"/>
            <w:r/>
            <w:bookmarkEnd w:id="3"/>
            <w:r/>
            <w:bookmarkStart w:id="4" w:name="_Toc35071109"/>
            <w:r/>
            <w:bookmarkEnd w:id="4"/>
            <w:r>
              <w:rPr>
                <w:rFonts w:hint="eastAsia" w:ascii="宋体" w:hAnsi="宋体" w:cs="宋体"/>
                <w:color w:val="000000" w:themeColor="text1"/>
                <w14:textFill>
                  <w14:solidFill>
                    <w14:schemeClr w14:val="tx1"/>
                  </w14:solidFill>
                </w14:textFill>
              </w:rPr>
              <w:t xml:space="preserve">阀门流量流阻试验装置</w:t>
            </w:r>
            <w:r/>
          </w:p>
        </w:tc>
        <w:tc>
          <w:tcPr>
            <w:tcW w:w="53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84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395</w:t>
            </w:r>
            <w:r/>
          </w:p>
        </w:tc>
        <w:tc>
          <w:tcPr>
            <w:tcW w:w="516" w:type="pct"/>
            <w:vAlign w:val="center"/>
            <w:vMerge w:val="restart"/>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否</w:t>
            </w:r>
            <w:r/>
          </w:p>
        </w:tc>
        <w:tc>
          <w:tcPr>
            <w:tcW w:w="652"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567"/>
        </w:trPr>
        <w:tc>
          <w:tcPr>
            <w:tcW w:w="466" w:type="pct"/>
            <w:vAlign w:val="center"/>
            <w:vMerge w:val="restart"/>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45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一</w:t>
            </w:r>
            <w:r/>
          </w:p>
        </w:tc>
        <w:tc>
          <w:tcPr>
            <w:tcW w:w="153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阀门寿命测试机</w:t>
            </w:r>
            <w:r/>
          </w:p>
        </w:tc>
        <w:tc>
          <w:tcPr>
            <w:tcW w:w="53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84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69</w:t>
            </w:r>
            <w:r/>
          </w:p>
        </w:tc>
        <w:tc>
          <w:tcPr>
            <w:tcW w:w="516"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52"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核心产品</w:t>
            </w:r>
            <w:r/>
          </w:p>
        </w:tc>
      </w:tr>
      <w:tr>
        <w:trPr>
          <w:trHeight w:val="567"/>
        </w:trPr>
        <w:tc>
          <w:tcPr>
            <w:tcW w:w="466"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45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二</w:t>
            </w:r>
            <w:r/>
          </w:p>
        </w:tc>
        <w:tc>
          <w:tcPr>
            <w:tcW w:w="153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阀门测试机</w:t>
            </w:r>
            <w:r/>
          </w:p>
        </w:tc>
        <w:tc>
          <w:tcPr>
            <w:tcW w:w="53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84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w:t>
            </w:r>
            <w:r/>
          </w:p>
        </w:tc>
        <w:tc>
          <w:tcPr>
            <w:tcW w:w="516"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52"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567"/>
        </w:trPr>
        <w:tc>
          <w:tcPr>
            <w:tcW w:w="466"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45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三</w:t>
            </w:r>
            <w:r/>
          </w:p>
        </w:tc>
        <w:tc>
          <w:tcPr>
            <w:tcW w:w="153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应变硬化试验机</w:t>
            </w:r>
            <w:r/>
          </w:p>
        </w:tc>
        <w:tc>
          <w:tcPr>
            <w:tcW w:w="53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84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50</w:t>
            </w:r>
            <w:r/>
          </w:p>
        </w:tc>
        <w:tc>
          <w:tcPr>
            <w:tcW w:w="516"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52"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567"/>
        </w:trPr>
        <w:tc>
          <w:tcPr>
            <w:tcW w:w="466" w:type="pct"/>
            <w:vAlign w:val="center"/>
            <w:vMerge w:val="restart"/>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45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一</w:t>
            </w:r>
            <w:r/>
          </w:p>
        </w:tc>
        <w:tc>
          <w:tcPr>
            <w:tcW w:w="153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加工中心</w:t>
            </w:r>
            <w:r/>
          </w:p>
        </w:tc>
        <w:tc>
          <w:tcPr>
            <w:tcW w:w="53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84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41.8</w:t>
            </w:r>
            <w:r/>
          </w:p>
        </w:tc>
        <w:tc>
          <w:tcPr>
            <w:tcW w:w="516"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52"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核心产品</w:t>
            </w:r>
            <w:r/>
          </w:p>
        </w:tc>
      </w:tr>
      <w:tr>
        <w:trPr>
          <w:trHeight w:val="567"/>
        </w:trPr>
        <w:tc>
          <w:tcPr>
            <w:tcW w:w="466"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45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二</w:t>
            </w:r>
            <w:r/>
          </w:p>
        </w:tc>
        <w:tc>
          <w:tcPr>
            <w:tcW w:w="153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数控车床</w:t>
            </w:r>
            <w:r/>
          </w:p>
        </w:tc>
        <w:tc>
          <w:tcPr>
            <w:tcW w:w="53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84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31.6</w:t>
            </w:r>
            <w:r/>
          </w:p>
        </w:tc>
        <w:tc>
          <w:tcPr>
            <w:tcW w:w="516"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52"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567"/>
        </w:trPr>
        <w:tc>
          <w:tcPr>
            <w:tcW w:w="466"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45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三</w:t>
            </w:r>
            <w:r/>
          </w:p>
        </w:tc>
        <w:tc>
          <w:tcPr>
            <w:tcW w:w="153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平面磨床</w:t>
            </w:r>
            <w:r/>
          </w:p>
        </w:tc>
        <w:tc>
          <w:tcPr>
            <w:tcW w:w="53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84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20.8</w:t>
            </w:r>
            <w:r/>
          </w:p>
        </w:tc>
        <w:tc>
          <w:tcPr>
            <w:tcW w:w="516"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52"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567"/>
        </w:trPr>
        <w:tc>
          <w:tcPr>
            <w:tcW w:w="466"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45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四</w:t>
            </w:r>
            <w:r/>
          </w:p>
        </w:tc>
        <w:tc>
          <w:tcPr>
            <w:tcW w:w="153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线切割机床</w:t>
            </w:r>
            <w:r/>
          </w:p>
        </w:tc>
        <w:tc>
          <w:tcPr>
            <w:tcW w:w="53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84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34</w:t>
            </w:r>
            <w:r/>
          </w:p>
        </w:tc>
        <w:tc>
          <w:tcPr>
            <w:tcW w:w="516"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52"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567"/>
        </w:trPr>
        <w:tc>
          <w:tcPr>
            <w:tcW w:w="466"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45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五</w:t>
            </w:r>
            <w:r/>
          </w:p>
        </w:tc>
        <w:tc>
          <w:tcPr>
            <w:tcW w:w="153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锯床</w:t>
            </w:r>
            <w:r/>
          </w:p>
        </w:tc>
        <w:tc>
          <w:tcPr>
            <w:tcW w:w="53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84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8.8</w:t>
            </w:r>
            <w:r/>
          </w:p>
        </w:tc>
        <w:tc>
          <w:tcPr>
            <w:tcW w:w="516"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52"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567"/>
        </w:trPr>
        <w:tc>
          <w:tcPr>
            <w:tcW w:w="466"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45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六</w:t>
            </w:r>
            <w:r/>
          </w:p>
        </w:tc>
        <w:tc>
          <w:tcPr>
            <w:tcW w:w="153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炮塔铣</w:t>
            </w:r>
            <w:r/>
          </w:p>
        </w:tc>
        <w:tc>
          <w:tcPr>
            <w:tcW w:w="53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84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7.85</w:t>
            </w:r>
            <w:r/>
          </w:p>
        </w:tc>
        <w:tc>
          <w:tcPr>
            <w:tcW w:w="516"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52"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bookmarkEnd w:id="0"/>
            <w:r/>
            <w:r/>
          </w:p>
        </w:tc>
      </w:tr>
    </w:tbl>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注：投标人所投报价不得超过每个品目所对应的预算金额，否则作无效投标处理。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合同履行期限：</w:t>
      </w:r>
      <w:r>
        <w:rPr>
          <w:rFonts w:hint="eastAsia"/>
          <w:color w:val="000000" w:themeColor="text1"/>
          <w14:textFill>
            <w14:solidFill>
              <w14:schemeClr w14:val="tx1"/>
            </w14:solidFill>
          </w14:textFill>
        </w:rPr>
        <w:t xml:space="preserve">合同签订后</w:t>
      </w:r>
      <w:r>
        <w:rPr>
          <w:rFonts w:hint="eastAsia"/>
          <w:color w:val="000000" w:themeColor="text1"/>
          <w:lang w:val="en-US" w:eastAsia="zh-CN"/>
          <w14:textFill>
            <w14:solidFill>
              <w14:schemeClr w14:val="tx1"/>
            </w14:solidFill>
          </w14:textFill>
        </w:rPr>
        <w:t xml:space="preserve">90</w:t>
      </w:r>
      <w:r>
        <w:rPr>
          <w:rFonts w:hint="eastAsia"/>
          <w:color w:val="000000" w:themeColor="text1"/>
          <w14:textFill>
            <w14:solidFill>
              <w14:schemeClr w14:val="tx1"/>
            </w14:solidFill>
          </w14:textFill>
        </w:rPr>
        <w:t xml:space="preserve">日历天内供齐所有货物及服务，完成安装、调试及初步验收。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本项目（是/否）接受联合体投标：否。</w:t>
      </w:r>
      <w:r/>
    </w:p>
    <w:p>
      <w:pPr>
        <w:pStyle w:val="91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二、申请人的资格要求：</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1.满足《中华人民共和国政府采购法》第二十二条规定；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（1）具有独立承担民事责任的能力（提供法人或者其他组织的营业执照，自然人的身份证明）；</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（2）具有良好的商业信誉和健全的财务会计制度（提供以下三种材料的任意一种，扫描件加盖公章）：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①上一年度的经第三方会计师事务所审计的财务报告扫描件（包括报告及报表等内容，并由注册会计师签名、盖章以及会计师事务所盖章）；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②提交投标文件截止日前六个月内基本开户银行出具的资信证明；</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③提交投标文件截止时间前六个月内任意一个月的财务状况记录（至少包括资产负债表和损益表，并加盖公章）。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（3）具有履行合同所必需的设备和专业技术能力（根据项目需求提供履行合同所必需的设备和专业技术能力的声明或证明材料）；</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（6）法律、行政法规规定的其他条件。</w:t>
      </w:r>
      <w:r/>
    </w:p>
    <w:p>
      <w:pPr>
        <w:ind w:firstLine="480"/>
        <w:rPr>
          <w:rFonts w:hint="eastAsia" w:asciiTheme="minorEastAsia" w:hAnsiTheme="minorEastAsia" w:eastAsiaTheme="minorEastAsia" w:cstheme="minor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2.落实政府采购政策需满足的资格要求：</w:t>
      </w:r>
      <w:r>
        <w:rPr>
          <w:rFonts w:hint="eastAsia" w:asciiTheme="minorEastAsia" w:hAnsiTheme="minorEastAsia" w:eastAsiaTheme="minorEastAsia" w:cstheme="minorEastAsia"/>
          <w:color w:val="000000" w:themeColor="text1"/>
          <w14:textFill>
            <w14:solidFill>
              <w14:schemeClr w14:val="tx1"/>
            </w14:solidFill>
          </w14:textFill>
        </w:rPr>
        <w:t xml:space="preserve">无（本项目非专门面向中小企业采购）。</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3.本项目的特定资格要求：无。</w:t>
      </w:r>
      <w:r/>
    </w:p>
    <w:p>
      <w:pPr>
        <w:pStyle w:val="91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三、获取招标文件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时间：自招标文件公告发布之日起5个工作日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地点：</w:t>
      </w:r>
      <w:r>
        <w:rPr>
          <w:rFonts w:hint="eastAsia" w:ascii="宋体" w:hAnsi="宋体" w:cs="宋体"/>
          <w:color w:val="000000" w:themeColor="text1"/>
          <w14:textFill>
            <w14:solidFill>
              <w14:schemeClr w14:val="tx1"/>
            </w14:solidFill>
          </w14:textFill>
        </w:rPr>
        <w:t xml:space="preserve">江苏政府采购网</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售价：0元</w:t>
      </w:r>
      <w:r/>
    </w:p>
    <w:p>
      <w:pPr>
        <w:pStyle w:val="91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四、提交投标文件截止时间、开标时间和地点</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提交投标文件截止时间、开标时间：</w:t>
      </w:r>
      <w:r>
        <w:rPr>
          <w:rFonts w:hint="eastAsia"/>
          <w:color w:val="000000" w:themeColor="text1"/>
          <w:u w:val="single"/>
          <w14:textFill>
            <w14:solidFill>
              <w14:schemeClr w14:val="tx1"/>
            </w14:solidFill>
          </w14:textFill>
        </w:rPr>
        <w:t xml:space="preserve">2026年</w:t>
      </w:r>
      <w:r>
        <w:rPr>
          <w:rFonts w:hint="eastAsia"/>
          <w:color w:val="000000" w:themeColor="text1"/>
          <w:u w:val="single"/>
          <w:lang w:val="en-US" w:eastAsia="zh-CN"/>
          <w14:textFill>
            <w14:solidFill>
              <w14:schemeClr w14:val="tx1"/>
            </w14:solidFill>
          </w14:textFill>
        </w:rPr>
        <w:t xml:space="preserve">9</w:t>
      </w:r>
      <w:r>
        <w:rPr>
          <w:rFonts w:hint="eastAsia"/>
          <w:color w:val="000000" w:themeColor="text1"/>
          <w:u w:val="single"/>
          <w14:textFill>
            <w14:solidFill>
              <w14:schemeClr w14:val="tx1"/>
            </w14:solidFill>
          </w14:textFill>
        </w:rPr>
        <w:t xml:space="preserve">月</w:t>
      </w:r>
      <w:r>
        <w:rPr>
          <w:rFonts w:hint="eastAsia"/>
          <w:color w:val="000000" w:themeColor="text1"/>
          <w:u w:val="single"/>
          <w:lang w:val="en-US" w:eastAsia="zh-CN"/>
          <w14:textFill>
            <w14:solidFill>
              <w14:schemeClr w14:val="tx1"/>
            </w14:solidFill>
          </w14:textFill>
        </w:rPr>
        <w:t xml:space="preserve">29</w:t>
      </w:r>
      <w:r>
        <w:rPr>
          <w:rFonts w:hint="eastAsia"/>
          <w:color w:val="000000" w:themeColor="text1"/>
          <w:u w:val="single"/>
          <w14:textFill>
            <w14:solidFill>
              <w14:schemeClr w14:val="tx1"/>
            </w14:solidFill>
          </w14:textFill>
        </w:rPr>
        <w:t xml:space="preserve">日</w:t>
      </w:r>
      <w:r>
        <w:rPr>
          <w:rFonts w:hint="eastAsia"/>
          <w:color w:val="000000" w:themeColor="text1"/>
          <w:u w:val="single"/>
          <w:lang w:val="en-US" w:eastAsia="zh-CN"/>
          <w14:textFill>
            <w14:solidFill>
              <w14:schemeClr w14:val="tx1"/>
            </w14:solidFill>
          </w14:textFill>
        </w:rPr>
        <w:t xml:space="preserve">9</w:t>
      </w:r>
      <w:r>
        <w:rPr>
          <w:rFonts w:hint="eastAsia"/>
          <w:color w:val="000000" w:themeColor="text1"/>
          <w:u w:val="single"/>
          <w14:textFill>
            <w14:solidFill>
              <w14:schemeClr w14:val="tx1"/>
            </w14:solidFill>
          </w14:textFill>
        </w:rPr>
        <w:t xml:space="preserve">点</w:t>
      </w:r>
      <w:r>
        <w:rPr>
          <w:rFonts w:hint="eastAsia"/>
          <w:color w:val="000000" w:themeColor="text1"/>
          <w:u w:val="single"/>
          <w:lang w:val="en-US" w:eastAsia="zh-CN"/>
          <w14:textFill>
            <w14:solidFill>
              <w14:schemeClr w14:val="tx1"/>
            </w14:solidFill>
          </w14:textFill>
        </w:rPr>
        <w:t xml:space="preserve">00</w:t>
      </w:r>
      <w:r>
        <w:rPr>
          <w:rFonts w:hint="eastAsia"/>
          <w:color w:val="000000" w:themeColor="text1"/>
          <w:u w:val="single"/>
          <w14:textFill>
            <w14:solidFill>
              <w14:schemeClr w14:val="tx1"/>
            </w14:solidFill>
          </w14:textFill>
        </w:rPr>
        <w:t xml:space="preserve">分</w:t>
      </w:r>
      <w:r>
        <w:rPr>
          <w:rFonts w:hint="eastAsia"/>
          <w:color w:val="000000" w:themeColor="text1"/>
          <w14:textFill>
            <w14:solidFill>
              <w14:schemeClr w14:val="tx1"/>
            </w14:solidFill>
          </w14:textFill>
        </w:rPr>
        <w:t xml:space="preserve">（北京时间）</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地点：</w:t>
      </w:r>
      <w:r>
        <w:rPr>
          <w:rFonts w:hint="eastAsia" w:ascii="宋体" w:hAnsi="宋体" w:cs="宋体"/>
          <w:color w:val="000000" w:themeColor="text1"/>
          <w:u w:val="single"/>
          <w14:textFill>
            <w14:solidFill>
              <w14:schemeClr w14:val="tx1"/>
            </w14:solidFill>
          </w14:textFill>
        </w:rPr>
        <w:t xml:space="preserve">江苏省政府采购交易系统（以下简称“苏采云系统”）网上开标大厅</w:t>
      </w:r>
      <w:r/>
    </w:p>
    <w:p>
      <w:pPr>
        <w:pStyle w:val="91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五、公告期限</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自本公告发布之日起5个工作日。</w:t>
      </w:r>
      <w:r/>
    </w:p>
    <w:p>
      <w:pPr>
        <w:pStyle w:val="91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六、其他补充事宜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1.本项目标的所属行业：工业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2.本项目不接受联合体投标，不接受转包、分包。</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3.本项目不接受进口产品投标（注：本文件所称进口产品是指通过中国海关报关验放进入中国境内且产自关境外的产品）。</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4.拒绝下述投标人参加本次采购活动：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（1）投标人单位负责人为同一人或者存在直接控股、管理关系的不同投标人，不得参加同一合同项下的采购活动。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（2）凡为采购项目提供整体设计、规范编制或者项目管理、监理、检测等服务的投标人，不得再参加本项目的采购活动。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（3）拒绝列入失信被执行人、重大税收违法失信主体、政府采购严重违法失信行为记录名单中的投标人参加本项目的采购活动。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5.集中考察或答疑：采购人不组织。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6.公告媒体</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（1）本公告在江苏政府采购网（http://www.ccgp-jiangsu.gov.cn/）发布，敬请各投标人关注；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（2）若有关本次采购存在变动或修改，敬请各投标人及时关注江苏政府采购网（http://www.ccgp-jiangsu.gov.cn/）发布的关于本项目的信息更正公告。</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8.本项目共分为3个采购包，投标人可参加任意包或全部包的投标，投标人多包投标的需按采购包分别制作投标文件。采购包评审顺序以采购包序号顺序进行，投标人可以同时中标多个采购包。</w:t>
      </w:r>
      <w:r/>
    </w:p>
    <w:p>
      <w:pPr>
        <w:pStyle w:val="91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七、对本次招标提出询问，请按以下方式联系。</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1.采购人信息</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名称：江苏省特种设备安全监督检验研究院</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地址：南京市鼓楼区草场门大街150号龙江大厦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联系方式：李风华025-89621099</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2.采购代理机构信息</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名称：南京苏宁工程咨询有限公司</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地址：南京市鼓楼区中山路99号12楼1212室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联系方式：张薇025-84207240、025-83616261</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3.项目联系方式</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项目联系人：张薇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电话：025-84207240、025-83616261</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5"/>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第二章  投标人须知</w:t>
      </w:r>
      <w:r/>
    </w:p>
    <w:p>
      <w:pPr>
        <w:pStyle w:val="91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一、总则</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1.适用法律</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2.定义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2.1“采购人”是指江苏省特种设备安全监督检验研究院</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2.2“采购代理机构”是指南京苏宁工程咨询有限公司</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2.3“供应商”“投标人”是指向采购人提供货物、工程或者服务的法人、其他组织或者自然人。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2.4“货物”是指各种形态和种类的物品，包括原材料、燃料、设备、产品等。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2.5“工程”是指建设工程，包括建筑物和构筑物的新建、改建、扩建、装修、拆除、修缮等。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2.6“服务”是指除货物和工程以外的其他政府采购对象。</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3.政策功能</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 政府采购促进中小企业发展，在政府采购活动中，投标人提供的货物、工程或者服务，符合下列情形的，享受中小企业扶持政策：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（1）在货物采购项目中，货物由中小企业制造，即货物由中小企业生产且使用该中小企业商号或者注册商标；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（2）在工程采购项目中，工程由中小企业承建，即工程施工单位为中小企业；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在货物采购项目中，投标人提供的货物既有中小企业制造货物，也有大型企业制造货物的，不享受中小企业扶持政策。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3.4 脱贫攻坚支持政策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3.6 提供的产品属于信息安全产品的，投标人应当选择经国家认证的信息安全产品投标，并提供由中国信息安全认证中心按国家标准认证颁发的有效认证证书扫描件。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3.7 提供的产品属于政府强制采购节能产品的，投标人应当选择依据国家标准中二级能效（水效）指标认证的节能产品投标，并提供有效的节能产品认证证书扫描件。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3.8 提供的产品属于环境标志产品的，投标人应当选择依据相关标准的最新版本认证的环境标志产品投标，并提供有效的环境标志产品认证证书扫描件。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3.9实施本国产品标准及相关政策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3.9.2本国产品应当符合以下条件：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（1）在中国境内生产</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（2）在中国境内生产的组件成本占比达到规定比例</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（3）特定产品的关键组件、关键工序符合相关要求</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3.9.3本国产品标准的适用范围</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3.9.4对本国产品的支持政策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本项目如既有本国产品又有非本国产品参与竞争，依法对本国产品给予价格评审优惠，具体详见第三章。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3.9.5政策执行要求</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3.10 未按要求提供相关材料的，不享受相关政策。</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4.招标文件的约束力</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4.1 投标人一旦参加本项目采购活动，即被认为接受了本招标文件的规定和约束。</w:t>
      </w:r>
      <w:r/>
    </w:p>
    <w:p>
      <w:pPr>
        <w:pStyle w:val="91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二、招标文件</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5.招标文件组成</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5.1 招标文件组成：投标邀请、投标人须知、评标方法与评标标准、采购需求、合同主要条款及格式、投标文件格式及附件等。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5.2 招标的最小单位是采购包。招标货物数量及技术要求中未划分采购包的，投标人对要求提供的货物不得部分投标；招标货物数量及技术要求中已经分包的，应当以采购包为单位投标。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5.3 招标文件如果要求投标人提交备选投标方案的，投标人可以提交备选方案，否则，不接受备选方案。</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6.招标文件的澄清修改</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6.2 代理机构在招标文件要求提交投标文件截止时间前，有权决定延长投标截止时间和开标时间，并在原采购信息发布媒体上发布变更公告。</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6.3 投标人应在投标截止时间前关注原采购信息发布媒体上有关本招标项目有无更正公告。</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三、投标</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7.投标文件的语言、计量单位、货币、技术标准和编制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7.2 投标人所使用的计量单位应为国家法定计量单位。</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7.3 投标人应用人民币报价。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7.4 投标文件应字迹清楚、内容齐全、不得涂改。如有修改，修改处须有法定代表人签字或盖章，或授权委托人签字或加盖投标人公章。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7.5 如标书制作工具中格式和内容与“江苏政府采购网”发布的招标文件不一致，以“江苏政府采购网”发布的招标文件为准。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7.6 投标人应在投标文件中写清相应的项目编号、项目名称、投标人全称、地址、电话、传真等。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7.7 投标人所使用的技术标准应遵循国家最新标准及规范。</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8.联合体及分包：本项目不接受联合体投标，不接受分包、转包。</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8.1 采购项目如接受联合体投标的，两个以上的自然人、法人或者其他组织可以组成一个联合体，以一个投标人的身份共同参加投标。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8.3 政府采购合同分包履行的，中标人就采购项目和分包项目向采购人负责，分包项目投标人就分包项目承担责任，中标人与分包投标人之间应该签订分包意向协议。</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8.4 享受中小企业扶持政策获得政府采购合同的，小微企业不得将合同分包给大中型企业，中型企业不得将合同分包给大型企业。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9.投标费用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9.1 投标人应承担所有与准备和参加投标有关的费用，无论采购结果如何，代理机构和采购人在任何情况下均无义务和责任承担这些费用。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9.2 招标代理服务费：因项目预算中已包含招标代理服务费用，故本次项目服务费由中标供应商直接向招标代理机构支付。本次招标，中标人参照《招标代理服务收费管理暂行办法》（国家发展计划委员会计价格〔2002〕1980号）代理收费基准费率80%计算，在领取中标通知书前向招标代理机构支付招标服务费。该项费用请供应商综合考虑在投标报价中（无须在报价表中单列此费用），后期采购人不单独列支，必须在领取中标通知书前向招标代理机构支付招标服务费。</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10.投标文件组成</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10.3 投标文件由商务部分、技术部分、价格部分，以及其他部分组成，格式见第六章。</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11.投标文件的商务部分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11.1 商务部分是证明投标人有资格参加投标和中标后有能力履行合同的文件，这些文件应能满足招标的要求，包括但不限于下列文件，其中加“★”项目不得有缺失或无效：</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（1）★投标函；</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（2）★法定代表人授权委托书、授权委托人的身份证扫描件及投标人或分支机构为其缴纳的社保证明（有授权委托的），或法定代表人身份证扫描件（无授权委托的）；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（3）★第一章投标邀请中“二、申请人的资格要求”规定的证明文件；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（4）《商务条款偏离表》；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（5）投标人认为需要提供的其他资格证明文件和商务资料。</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12.投标文件的技术部分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12.1 技术部分是证明投标人提供的货物及相关服务是合格的、并符合招标文件要求的证明文件，以及对提供的货物及相关服务的详细说明，这些文件可以是文字资料、图纸和数据等。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12.2 若技术性能无特殊说明，则按国家有关部门最新颁布的标准及规范为准。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12.3 提供的货物及相关服务的技术指标如与招标文件要求有不符之处，应说明其差别之所在，并在《技术条款偏离表》中逐条予以说明。</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13.投标文件的价格部分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13.1所有投标均以人民币报价，应包括国家规定的税金。</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13.2投标文件的价格部分是对采购标的价格构成的说明，招标文件如无特别说明，每项货物、服务或工程等只允许有一个报价，任何有选择的报价将不予接受，将作为无效投标处理。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14.投标文件的其他部分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14.1 投标人编制投标文件需要提供的其他相关文件。</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15.投标保证金：无</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16.投标有效期</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 自开标之日起</w:t>
      </w:r>
      <w:r>
        <w:rPr>
          <w:rFonts w:hint="eastAsia"/>
          <w:color w:val="000000" w:themeColor="text1"/>
          <w:u w:val="single"/>
          <w14:textFill>
            <w14:solidFill>
              <w14:schemeClr w14:val="tx1"/>
            </w14:solidFill>
          </w14:textFill>
        </w:rPr>
        <w:t xml:space="preserve">九十日</w:t>
      </w:r>
      <w:r>
        <w:rPr>
          <w:rFonts w:hint="eastAsia"/>
          <w:color w:val="000000" w:themeColor="text1"/>
          <w14:textFill>
            <w14:solidFill>
              <w14:schemeClr w14:val="tx1"/>
            </w14:solidFill>
          </w14:textFill>
        </w:rPr>
        <w:t xml:space="preserve">内投标有效。</w:t>
      </w:r>
      <w:r>
        <w:rPr>
          <w:rFonts w:hint="eastAsia"/>
          <w:b/>
          <w:bCs/>
          <w:color w:val="000000" w:themeColor="text1"/>
          <w14:textFill>
            <w14:solidFill>
              <w14:schemeClr w14:val="tx1"/>
            </w14:solidFill>
          </w14:textFill>
        </w:rPr>
        <w:t xml:space="preserve">投标有效期未达到规定期限的，按无效投标处理。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17.投标文件的签署</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17.1 投标文件须经法定代表人或经正式授权并对投标人有约束力的授权委托人签字（可采用电子签名）和加盖投标人电子公章。本招标文件所表述（指定）的公章是指法定名称章，不包括合同专用章、业务专用章等印章。</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18.投标文件的递交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18.1 投标人应当按照《操作手册》规定，在招标公告规定的投标截止时间前制作并上传电子投标文件。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18.2 投标人应充分考虑网络环境、网络带宽等因素可能对投标产生的影响，如因投标人自身原因造成的电子投标文件上传不成功的，按做无效投标处理。</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19.有下列情形之一的投标文件将被拒收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19.1 投标截止时间后上传的任何投标文件将被拒绝。</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20.投标文件的修改和撤回</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20.1 投标文件的撤回</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20.1.1 投标人可在投标截止时间前撤回其电子投标文件，具体操作方法见《操作手册》。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20.1.2 投标人撤回电子投标文件，则认为其不再参与本项目投标活动。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20.2 投标文件的修改</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20.2.1 投标人可在投标截止时间前对其电子投标文件进行修改，具体操作方法见《操作手册》。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20.2.2 投标截止时间之后，投标人不得对其电子投标文件作任何修改。</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20.3 在投标截止时间至招标文件中规定的投标有效期满之间的这段时间内，投标人不得撤回其投标。</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四、开标、评标与确定中标人</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21.开标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21.2 投标人在开标过程中涉及到的投标文件解密、开标结果确认等工作，应按照《操作手册》规定执行。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21.3 投标人如果对开标过程和开标结果有疑义，应当根据《操作手册》规定提出，苏采云系统中《开标记录表》公布后5分钟内未提出的，视同认可开标结果。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21.4 如出现投标截止时间结束后参加投标的投标人不足三家的情况，不得开标。</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22.评标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22.1 评标组织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22.1.1 评标工作由代理机构组织，具体评标事务由依法组建的评标委员会负责，并独立履行下列职责：</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（1）审查、评价投标文件是否符合招标文件的商务、技术等实质性要求；</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（2）要求投标人对投标文件有关事项作出澄清或者说明；</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（3）对投标文件进行比较和评价；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（4）推荐中标候选人或根据采购人委托直接确定中标人；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（5）向采购人、采购代理机构或者有关部门报告评标中发现的违法行为。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22.1.2 评标委员会由采购人代表（如有）和有关技术、经济等方面的专家组成，独立开展评审工作。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 评标程序</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22.2.1 投标文件的资格审查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22.2.1.1 采购人代表依法对投标人的资格进行审查。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22.2.1.2 采购人代表依据法律法规和招标文件的规定，对投标文件中的资格证明文件等进行审查，以确定投标人是否具备投标资格。</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22.2.1.4 投标文件有下列情况之一的，在资格性审查时按照无效投标处理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（1）不具备招标文件规定资格条件的；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 投标文件的符合性审查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22.2.2.1 评标委员会将依据法律法规和招标文件的规定，对投标文件的有效性、完整性和对招标文件的响应程度进行审查，以确定是否对招标文件的实质性要求作出响应。</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22.2.2.2 实质性要求是指本招标文件中带“★”的要求。</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22.2.2.3 如果投标文件实质上没有响应招标文件的要求，评标委员会将予以拒绝，投标人不得通过修改或撤销不符合要求的偏离而使其投标成为实质性响应的投标。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22.2.2.4 算术错误的修正</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22.2.2.4.1 评标委员会将对确定为实质性响应的投标进行进一步审核，看其是否有计算上或累加上的算术错误，修正错误的原则如下：</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（1）投标文件中开标一览表内容与投标文件中相应内容不一致的，以开标一览表为准。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（2）大写金额和小写金额不一致的，以大写金额为准。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（3）单价金额小数点或者百分比有明显错位的，以开标一览表的总价为准，并修改单价。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（4）总价金额与按单价汇总金额不一致的，以单价金额计算结果为准。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同时出现两种以上错误的，按照前款规定的顺序修正。</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22.2.2.4.2 评标委员会将按上述修正错误的方法调整投标文件中的投标报价，并通过苏采云系统告知投标人。经投标人确认后产生约束力，投标人不确认的，其投标无效。</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22.2.2.5 相同品牌产品投标的处理方法</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（3）非单一产品采购项目，根据采购项目技术构成、产品价格比重等合理确定核心产品，核心产品见招标文件规定。多家投标人提供的核心产品品牌相同的，按前两款规定处理。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22.2.2.6 异常低价审查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22.2.2.6.1 评标过程中出现下列情形之一的，评标委员会应当启动异常低价投标审查程序：</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（1）投标报价低于全部通过符合性审查投标人投标报价平均值65%的，即投标报价&lt;全部通过符合性审查投标人投标报价平均值×65%；</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（2）投标报价低于通过符合性审查的次低报价投标人投标报价65%的，即投标报价&lt;通过符合性审查的次低报价投标人投标报价×65%；</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（3）投标报价低于采购项目最高限价65%的，即投标报价&lt;采购项目最高限价×65%；</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（4）评标委员会基于专业判断，认为投标人报价过低，有可能影响产品质量或者不能诚信履约的其他情形。</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22.2.2.6.2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22.2.2.7 投标文件有下列情况之一的，在符合性审查时按照无效投标处理：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（1）投标人在苏采云系统规定的时间内未成功解密电子投标文件；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（2）投标人未按照招标文件要求上传电子投标文件；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（3）报价超过招标文件中规定的预算金额或者最高限价的；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（4）不同投标人的投标文件由同一单位或者个人编制；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（5）不同投标人委托同一单位或者个人办理投标事宜；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（6）不同投标人的投标文件载明的项目管理成员或者联系人员为同一人；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（7）不同投标人的投标文件异常一致或者投标报价呈规律性差异；</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（8）不同投标人的投标文件相互混装；</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（9）不同投标人的负责人为同一人或者存在控股、管理关系的；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（10）不同投标人的授权委托人（或法定代表人、项目经理、项目总监、项目负责人等）在招标文件发布日上月至投标截止日当月在同一单位缴纳社会保险的；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（11）未实质性响应招标文件要求的；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（12）属于投标邀请中拒绝参加本次采购活动投标人的；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（13）投标文件含有采购人不能接受的附加条件的；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（14）评标委员会启动异常低价投标审查程序后，投标人不能提供书面说明、证明材料，或者提供的书面说明、证明材料不能证明其报价合理性的；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（15）投标文件未按照招标文件要求加盖电子公章；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（16）不符合法律法规和招标文件规定的其他无效情形。</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22.2.2.8 有下列情形之一的予以废标，同时将废标理由通知所有投标人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（1）符合资格条件的投标人或者对招标文件作实质性响应的投标人不足三家的；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（2）出现影响采购公正的违法、违规行为的；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（3）投标人的报价均超过了采购预算或最高限价，采购人不能支付的；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（4）因重大变故，采购任务取消的；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（5）评标委员会认为招标文件存在歧义、重大缺陷，或者招标文件内容违反国家有关强制性规定的；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（6）预留份额的采购项目或采购包，通过发布公告方式邀请投标人后，符合资格条件的中小企业数量不足3家的；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（7）因苏采云系统故障造成开标不成功。</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如出现（1）或（4）情形，招标活动失败，评审委员会应对招标文件是否存在不合理条款进行论证，并在评审报告中写明论证意见。</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22.2.2.9 投标截止时间结束参加投标的投标人不足三家的处理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22.2.2.10 未通过资格审查或符合性审查的投标人，采购代理机构将通过苏采云系统告知其具体原因，评标结束后不再接受有关询问。</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22.2.2.11 </w:t>
      </w:r>
      <w:r>
        <w:rPr>
          <w:color w:val="000000" w:themeColor="text1"/>
          <w14:textFill>
            <w14:solidFill>
              <w14:schemeClr w14:val="tx1"/>
            </w14:solidFill>
          </w14:textFill>
        </w:rPr>
        <w:t xml:space="preserve">投标人在开、评标全过程中应保持通讯畅通，及时登录苏采云系统查阅、答复相关信息，并安排专人与交易中心及评委会联系。</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22.2.3 投标文件的进一步评审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22.2.3.1 评标委员会将允许修正投标文件中不构成重大偏离的、微小的、非正规的、不一致的或不规则的地方，但这些修改不能影响任何投标人相应的名次排列。</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22.2.3.2 澄清有关问题。</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22.2.3.2.1 对于投标文件中含义不明确、同类问题表述不一致或者有明显文字和计算错误的内容，评标委员会</w:t>
      </w:r>
      <w:r>
        <w:rPr>
          <w:rFonts w:hint="eastAsia" w:ascii="宋体" w:hAnsi="宋体" w:cs="Times New Roman"/>
          <w:color w:val="000000" w:themeColor="text1"/>
          <w:lang w:val="zh-CN"/>
          <w14:textFill>
            <w14:solidFill>
              <w14:schemeClr w14:val="tx1"/>
            </w14:solidFill>
          </w14:textFill>
        </w:rPr>
        <w:t xml:space="preserve">将通过苏采云系统向</w:t>
      </w:r>
      <w:r>
        <w:rPr>
          <w:rFonts w:hint="eastAsia" w:ascii="宋体" w:hAnsi="宋体" w:cs="Times New Roman"/>
          <w:color w:val="000000" w:themeColor="text1"/>
          <w14:textFill>
            <w14:solidFill>
              <w14:schemeClr w14:val="tx1"/>
            </w14:solidFill>
          </w14:textFill>
        </w:rPr>
        <w:t xml:space="preserve">投标人</w:t>
      </w:r>
      <w:r>
        <w:rPr>
          <w:rFonts w:hint="eastAsia" w:ascii="宋体" w:hAnsi="宋体" w:cs="Times New Roman"/>
          <w:color w:val="000000" w:themeColor="text1"/>
          <w:lang w:val="zh-CN"/>
          <w14:textFill>
            <w14:solidFill>
              <w14:schemeClr w14:val="tx1"/>
            </w14:solidFill>
          </w14:textFill>
        </w:rPr>
        <w:t xml:space="preserve">发出《澄清要求函》，接到《澄清要求函》的</w:t>
      </w:r>
      <w:r>
        <w:rPr>
          <w:rFonts w:hint="eastAsia" w:ascii="宋体" w:hAnsi="宋体" w:cs="Times New Roman"/>
          <w:color w:val="000000" w:themeColor="text1"/>
          <w14:textFill>
            <w14:solidFill>
              <w14:schemeClr w14:val="tx1"/>
            </w14:solidFill>
          </w14:textFill>
        </w:rPr>
        <w:t xml:space="preserve">投标人</w:t>
      </w:r>
      <w:r>
        <w:rPr>
          <w:rFonts w:hint="eastAsia" w:ascii="宋体" w:hAnsi="宋体" w:cs="Times New Roman"/>
          <w:color w:val="000000" w:themeColor="text1"/>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22.2.3.2.2 接到评标委员会澄清、说明和补正要求的，投标人如未按规定作出澄清、说明和补正，其风险由投标人自行承担。</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22.2.3.3 比较与评价。评标委员会应当按照招标文件中规定的评标方法和标准，对符合性审查合格的投标文件进行商务和技术评估，综合比较与评价。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22.3 评标方法和标准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22.3.1 采用综合评分法，是指投标文件满足招标文件全部实质性要求，且按照评审因素的量化指标评审得分最高的投标人为中标候选人的评标方法。</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22.3.2 评审因素和评审标准详见招标文件第三章。</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23.确定中标人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23.2 按以下第（2）种方式确定中标人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（1）采购人授权评标委员会直接确定排名第一的中标候选人为中标人。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（2）采购人在评标委员会推荐的中标候选人中按顺序确定中标人。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按第（2）种方式确定中标人的，代理机构自评审结束之日起2个工作日内将评审报告送交采购人，采购人应当自收到评审报告之日起5个工作日内在评审报告推荐的中标候选人中按顺序确定中标人。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中标候选人并列的，由采购人或者采购人委托评标委员会按照技术指标优劣的方式确定中标人，技术指标优劣相同的，采取随机抽取的方式确定。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23.3 中标人确定之日起2个工作日内，将在财政部门指定的政府采购信息发布媒体上公告，在公告中标结果的同时，采购人或者采购代理机构应当向中标人发出《中标通知书》。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23.4 《中标通知书》对采购人和中标人具有同等法律效力。</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23.5 《中标通知书》发出后，中标人无正当理由不与采购人签订合同的，应当依法承担法律责任。</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23.6 代理机构和评标委员会对未中标的投标人不作未中标原因的解释。</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23.7 所有投标文件不论中标与否均不退回。</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24.编写评审报告</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评标委员会根据全体评标成员签字的原始评标记录和评标结果编写评审报告。</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25.评标过程的保密与公正</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25.1 代理机构将采取必要措施，保证评标在严格保密的情况下进行。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25.2 任何单位和个人不得非法干预、影响评标办法的确定，以及评标过程和结果。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25.3 公开开标后，直至向中标人授予合同时止，凡是与审查、澄清、评价和比较投标的有关资料以及授标建议等，采购人、评委、采购代理机构均不得向投标人或与评标无关的其他人员透露。</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25.4 在评标过程中，投标人不得以任何行为影响评标过程，否则其投标文件将被作为无效投标文件。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25.5 采购代理机构和评标委员会不得向未中标的投标人解释未中标原因，也不公布评标过程中的相关细节。</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五、签订合同</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26.签订合同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26.1 采购人应当自《中标通知书》发出之日起三十日内，按照招标文件和中标人投标文件与中标人签订书面合同。所签订的合同不得对招标文件确定事项和中标人投标文件作实质性修改。</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26.2 采购人不得向中标人提出任何不合理的要求作为签订合同的条件，不得与中标人私下订立背离合同实质性内容的协议。</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六、询问、质疑、投诉和诚实信用</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27.询问</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27.1 投标人对招标活动事项有疑问的，可以向代理机构或采购人提出询问，代理机构或采购人将在两个工作日内作出答复，但答复的内容不涉及商业秘密。</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28.质疑</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28.1 投标人认为招标文件、采购过程和中标结果使自己的合法权益受到损害的，可以在知道或者应当知道其权益受到损害之日起七个工作日内，将质疑文件原件以书面形式送达代理机构。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28.2 质疑供应商的质疑行为应符合财政部94号令相关规定，未参加采购活动的投标人或在采购活动中自身权益未受到损害的投标人所提出的质疑不予受理。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28.3 上述应知其权益受到损害之日是指：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（1）对招标文件提出质疑的，为获取招标文件之日或招标文件公告期限届满之日起计算；</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（2）对招标过程提出质疑的，自招标程序环节结束之日起计算；</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（3）对中标结果提出质疑的，自中标结果公告期限届满之日起计算。</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28.4 质疑供应商在法定质疑期内应当一次性提出针对同一招标环节的质疑事项。</w:t>
      </w:r>
      <w:r>
        <w:rPr>
          <w:rFonts w:hint="eastAsia" w:ascii="宋体" w:hAnsi="宋体" w:cs="Times New Roman"/>
          <w:color w:val="000000" w:themeColor="text1"/>
          <w14:textFill>
            <w14:solidFill>
              <w14:schemeClr w14:val="tx1"/>
            </w14:solidFill>
          </w14:textFill>
        </w:rPr>
        <w:t xml:space="preserve">质疑供应商</w:t>
      </w:r>
      <w:r>
        <w:rPr>
          <w:rFonts w:hint="eastAsia" w:ascii="宋体" w:hAnsi="宋体" w:cs="Times New Roman"/>
          <w:color w:val="000000" w:themeColor="text1"/>
          <w:lang w:val="zh-CN"/>
          <w14:textFill>
            <w14:solidFill>
              <w14:schemeClr w14:val="tx1"/>
            </w14:solidFill>
          </w14:textFill>
        </w:rPr>
        <w:t xml:space="preserve">如在法定期限内对同一采购程序环节提出多次质疑的，</w:t>
      </w:r>
      <w:r>
        <w:rPr>
          <w:rFonts w:hint="eastAsia" w:ascii="宋体" w:hAnsi="宋体" w:cs="Times New Roman"/>
          <w:color w:val="000000" w:themeColor="text1"/>
          <w14:textFill>
            <w14:solidFill>
              <w14:schemeClr w14:val="tx1"/>
            </w14:solidFill>
          </w14:textFill>
        </w:rPr>
        <w:t xml:space="preserve">采购代理机构或采购人</w:t>
      </w:r>
      <w:r>
        <w:rPr>
          <w:rFonts w:hint="eastAsia" w:ascii="宋体" w:hAnsi="宋体" w:cs="Times New Roman"/>
          <w:color w:val="000000" w:themeColor="text1"/>
          <w:lang w:val="zh-CN"/>
          <w14:textFill>
            <w14:solidFill>
              <w14:schemeClr w14:val="tx1"/>
            </w14:solidFill>
          </w14:textFill>
        </w:rPr>
        <w:t xml:space="preserve">将只对</w:t>
      </w:r>
      <w:r>
        <w:rPr>
          <w:rFonts w:hint="eastAsia" w:ascii="宋体" w:hAnsi="宋体" w:cs="Times New Roman"/>
          <w:color w:val="000000" w:themeColor="text1"/>
          <w14:textFill>
            <w14:solidFill>
              <w14:schemeClr w14:val="tx1"/>
            </w14:solidFill>
          </w14:textFill>
        </w:rPr>
        <w:t xml:space="preserve">质疑供应商</w:t>
      </w:r>
      <w:r>
        <w:rPr>
          <w:rFonts w:hint="eastAsia" w:ascii="宋体" w:hAnsi="宋体" w:cs="Times New Roman"/>
          <w:color w:val="000000" w:themeColor="text1"/>
          <w:lang w:val="zh-CN"/>
          <w14:textFill>
            <w14:solidFill>
              <w14:schemeClr w14:val="tx1"/>
            </w14:solidFill>
          </w14:textFill>
        </w:rPr>
        <w:t xml:space="preserve">第一次质疑作出答复。</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28.5 代理机构在收到投标人的质疑后将及时组织调查核实，在七个工作日内作出答复，答复的内容不涉及商业秘密。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28.6 代理机构遵循“谁过错谁负担”的原则，有过错的一方承担调查论证费用。</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29.投诉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29.1 质疑供应商对代理机构的答复不满意，或代理机构未在规定的时间内作出答复的，可以在答复期满后十五个工作日内向采购项目同级财政部门投诉。</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30.诚实信用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30.1 投标人之间不得相互串通投标报价，不得妨碍其他投标人的公平竞争，不得损害采购人和其他投标人的合法权益。</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30.4 投标人不得虚假承诺，否则，按照提供虚假材料谋取中标处理。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30.5 投标人应自觉遵守开标、评标纪律，扰乱开标评标现场秩序的，属于失信行为，采购人或采购代理机构有权上报相关部门，并由相关部门按有关规定进行处理。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5"/>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第三章  评标方法与评标标准</w:t>
      </w:r>
      <w:r/>
    </w:p>
    <w:p>
      <w:pPr>
        <w:pStyle w:val="91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一、评标方法与定标原则</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1.评标方法：</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评委会将对确定为实质性响应招标文件要求的投标文件进行评价和比较，评标采用综合评分法。</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2.定标原则：</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采购人在评标委员会推荐的中标候选人中按顺序确定中标人。中标候选人并列的，由采购人按照技术指标优劣的方式确定中标人，技术指标优劣相同的，采取随机抽取的方式确定。</w:t>
      </w:r>
      <w:r/>
    </w:p>
    <w:p>
      <w:pPr>
        <w:pStyle w:val="91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二、综合评分标准</w:t>
      </w:r>
      <w:r/>
    </w:p>
    <w:p>
      <w:pPr>
        <w:ind w:firstLine="48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评标委员会将按下列评分具体办法和标准进行打分，总分值为100分。具体评分因素及评分明细如下：</w:t>
      </w:r>
      <w:r/>
    </w:p>
    <w:p>
      <w:pPr>
        <w:ind w:firstLine="480"/>
        <w:rPr>
          <w:rFonts w:hint="default" w:eastAsia="宋体"/>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采购包1：</w:t>
      </w:r>
      <w:r/>
    </w:p>
    <w:tbl>
      <w:tblPr>
        <w:tblStyle w:val="91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198"/>
        <w:gridCol w:w="6548"/>
        <w:gridCol w:w="743"/>
      </w:tblGrid>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序号</w:t>
            </w:r>
            <w:r/>
          </w:p>
        </w:tc>
        <w:tc>
          <w:tcPr>
            <w:tcW w:w="645"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评分</w:t>
            </w:r>
            <w:r/>
          </w:p>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因素</w:t>
            </w:r>
            <w:r/>
          </w:p>
        </w:tc>
        <w:tc>
          <w:tcPr>
            <w:tcW w:w="3526"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评分明细</w:t>
            </w:r>
            <w:r/>
          </w:p>
        </w:tc>
        <w:tc>
          <w:tcPr>
            <w:tcW w:w="400"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分值</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价格</w:t>
            </w:r>
            <w:r/>
          </w:p>
        </w:tc>
        <w:tc>
          <w:tcPr>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采用低价优先法计算，即满足招标文件要求且投标价格最低的报价为评审基准价，其价格分为满分。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其他投标供应商的价格分统一按照下列公式计算：报价得分=（评审基准价/投标报价）×30。（小数点后保留两位）</w:t>
            </w:r>
            <w:r/>
          </w:p>
        </w:tc>
        <w:tc>
          <w:tcPr>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30</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技术指标响应情况</w:t>
            </w:r>
            <w:r/>
          </w:p>
        </w:tc>
        <w:tc>
          <w:tcPr>
            <w:tcBorders>
              <w:bottom w:val="single" w:color="auto" w:sz="4" w:space="0"/>
            </w:tcBorders>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根据招标文件《第四章采购需求》的“技术指标明细”，对投标人所投产品技术指标满足程度进行评审：</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完全满足招标文件“技术指标明细”要求的得30分；在此基础上，招标文件中标注“★”的内容为实质性要求，有一项不符合的，作无效投标处理；标注“▲”负偏离的，则每项扣</w:t>
            </w:r>
            <w:r>
              <w:rPr>
                <w:rFonts w:hint="eastAsia" w:ascii="宋体" w:hAnsi="宋体" w:cs="宋体"/>
                <w:color w:val="000000" w:themeColor="text1"/>
                <w:lang w:val="en-US" w:eastAsia="zh-CN"/>
                <w14:textFill>
                  <w14:solidFill>
                    <w14:schemeClr w14:val="tx1"/>
                  </w14:solidFill>
                </w14:textFill>
              </w:rPr>
              <w:t xml:space="preserve">3.6</w:t>
            </w:r>
            <w:r>
              <w:rPr>
                <w:rFonts w:hint="eastAsia" w:ascii="宋体" w:hAnsi="宋体" w:cs="宋体"/>
                <w:color w:val="000000" w:themeColor="text1"/>
                <w14:textFill>
                  <w14:solidFill>
                    <w14:schemeClr w14:val="tx1"/>
                  </w14:solidFill>
                </w14:textFill>
              </w:rPr>
              <w:t xml:space="preserve">分；其他非重要参数和商务条款负偏离的，则每项扣</w:t>
            </w:r>
            <w:r>
              <w:rPr>
                <w:rFonts w:hint="eastAsia" w:ascii="宋体" w:hAnsi="宋体" w:cs="宋体"/>
                <w:color w:val="000000" w:themeColor="text1"/>
                <w:lang w:val="en-US" w:eastAsia="zh-CN"/>
                <w14:textFill>
                  <w14:solidFill>
                    <w14:schemeClr w14:val="tx1"/>
                  </w14:solidFill>
                </w14:textFill>
              </w:rPr>
              <w:t xml:space="preserve">1.5</w:t>
            </w:r>
            <w:r>
              <w:rPr>
                <w:rFonts w:hint="eastAsia" w:ascii="宋体" w:hAnsi="宋体" w:cs="宋体"/>
                <w:color w:val="000000" w:themeColor="text1"/>
                <w14:textFill>
                  <w14:solidFill>
                    <w14:schemeClr w14:val="tx1"/>
                  </w14:solidFill>
                </w14:textFill>
              </w:rPr>
              <w:t xml:space="preserve">分，扣完为止。正偏离不加分，缺项漏项视为负偏离。</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投标人须提供《技术条款偏离表》针对“技术指标明细”的内容逐条响应，并说明所投产品的技术指标性能。如招标文件中要求提供支撑材料的，必须按要求提供支撑材料佐证，否则视为负偏离。</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注：为方便评审，可详细标明证明材料在投标文件中页码和位置；证明材料内的技术参数可用箭头、标红或下划线等进行明显标注。</w:t>
            </w:r>
            <w:r/>
          </w:p>
        </w:tc>
        <w:tc>
          <w:tcPr>
            <w:tcBorders>
              <w:bottom w:val="single" w:color="auto" w:sz="4" w:space="0"/>
            </w:tcBorders>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30</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整体实施方案</w:t>
            </w:r>
            <w:r/>
          </w:p>
        </w:tc>
        <w:tc>
          <w:tcPr>
            <w:tcBorders>
              <w:bottom w:val="single" w:color="auto" w:sz="4" w:space="0"/>
            </w:tcBorders>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投标人应根据招标要求及项目实际，提供整体实施方案（包含人员安排、安装、调试、验收等），评委对投标人的整体实施方案进行评价。</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方案贴合项目需求，完整全面、合理可行、针对性强的得6分；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方案完整性、合理性、针对性一般的得4分；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方案仅满足基本要求的得2分；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不符合要求或未提供不得分。</w:t>
            </w:r>
            <w:r/>
          </w:p>
        </w:tc>
        <w:tc>
          <w:tcPr>
            <w:tcBorders>
              <w:bottom w:val="single" w:color="auto" w:sz="4" w:space="0"/>
            </w:tcBorders>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r>
      <w:tr>
        <w:trPr>
          <w:cantSplit/>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4</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进度计划及保证措施</w:t>
            </w:r>
            <w:r/>
          </w:p>
        </w:tc>
        <w:tc>
          <w:tcPr>
            <w:tcW w:w="3526" w:type="pct"/>
            <w:vAlign w:val="center"/>
            <w:textDirection w:val="lrTb"/>
            <w:noWrap w:val="false"/>
          </w:tcPr>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投标人应根据本项目情况，提供供货、安装进度计划及保证措施方案，评委对投标人的安装进度计划及保证措施进行评价。</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计划及措施完整全面、描述详细、科学可行、针对性强的得6分；</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计划及措施完整性一般、描述一般、可行性一般、针对性一般的得4分；</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安装进度计划及保证措施仅能满足项目基本要求的得2分；</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5</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突发情况应急处理措施</w:t>
            </w:r>
            <w:r/>
          </w:p>
        </w:tc>
        <w:tc>
          <w:tcPr>
            <w:tcW w:w="3526" w:type="pct"/>
            <w:vAlign w:val="center"/>
            <w:textDirection w:val="lrTb"/>
            <w:noWrap w:val="false"/>
          </w:tcPr>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投标人应根据本项目情况，提供的突发情况应急处理方案，评委对投标人的突发情况应急处理措施进行评价。</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措施详细、考虑周全、对突发事件能迅速应对并能及时解决的得6分；</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措施详细程度一般、对突发事件应对速度及解决时效性一般的得4分；</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突发情况应急处理措施仅能满足项目基本要求的得2分；</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产品质保售后服务方案</w:t>
            </w:r>
            <w:r/>
          </w:p>
        </w:tc>
        <w:tc>
          <w:tcPr>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投标人针对本项目需求提供完整的产品质保售后服务方案（包括响应时间、人员配置、保障措施方案等方面），评委根据产品质保售后服务方案进行评价。</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产品质保售后服务完整全面、考虑周到、合理可行、优于招标文件要求的得6分；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产品质保售后服务方案完整性一般、合理性一般、满足招标文件要求的得4分；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产品质保售后服务方案仅能满足项目基本要求的得2分；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用户培训方案</w:t>
            </w:r>
            <w:r/>
          </w:p>
        </w:tc>
        <w:tc>
          <w:tcPr>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投标人应根据本项目情况，提供完善的项目培训计划和培训方案（包括人员安排、培训内容（含培训材料）及时间安排等方面），评委根据用户培训方案进行评价。</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培训方案全面，服务响应及时，可操作性强的得</w:t>
            </w:r>
            <w:r>
              <w:rPr>
                <w:rFonts w:ascii="宋体" w:hAnsi="宋体" w:cs="宋体"/>
                <w:color w:val="000000" w:themeColor="text1"/>
                <w14:textFill>
                  <w14:solidFill>
                    <w14:schemeClr w14:val="tx1"/>
                  </w14:solidFill>
                </w14:textFill>
              </w:rPr>
              <w:t xml:space="preserve">6</w:t>
            </w:r>
            <w:r>
              <w:rPr>
                <w:rFonts w:hint="eastAsia" w:ascii="宋体" w:hAnsi="宋体" w:cs="宋体"/>
                <w:color w:val="000000" w:themeColor="text1"/>
                <w14:textFill>
                  <w14:solidFill>
                    <w14:schemeClr w14:val="tx1"/>
                  </w14:solidFill>
                </w14:textFill>
              </w:rPr>
              <w:t xml:space="preserve">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培训方案可行，服务响应较及时，具有可操作性的得</w:t>
            </w:r>
            <w:r>
              <w:rPr>
                <w:rFonts w:ascii="宋体" w:hAnsi="宋体" w:cs="宋体"/>
                <w:color w:val="000000" w:themeColor="text1"/>
                <w14:textFill>
                  <w14:solidFill>
                    <w14:schemeClr w14:val="tx1"/>
                  </w14:solidFill>
                </w14:textFill>
              </w:rPr>
              <w:t xml:space="preserve">4</w:t>
            </w:r>
            <w:r>
              <w:rPr>
                <w:rFonts w:hint="eastAsia" w:ascii="宋体" w:hAnsi="宋体" w:cs="宋体"/>
                <w:color w:val="000000" w:themeColor="text1"/>
                <w14:textFill>
                  <w14:solidFill>
                    <w14:schemeClr w14:val="tx1"/>
                  </w14:solidFill>
                </w14:textFill>
              </w:rPr>
              <w:t xml:space="preserve">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培训方案一般，服务响应及时性一般，可操作性一般的得</w:t>
            </w:r>
            <w:r>
              <w:rPr>
                <w:rFonts w:ascii="宋体" w:hAnsi="宋体" w:cs="宋体"/>
                <w:color w:val="000000" w:themeColor="text1"/>
                <w14:textFill>
                  <w14:solidFill>
                    <w14:schemeClr w14:val="tx1"/>
                  </w14:solidFill>
                </w14:textFill>
              </w:rPr>
              <w:t xml:space="preserve">2</w:t>
            </w:r>
            <w:r>
              <w:rPr>
                <w:rFonts w:hint="eastAsia" w:ascii="宋体" w:hAnsi="宋体" w:cs="宋体"/>
                <w:color w:val="000000" w:themeColor="text1"/>
                <w14:textFill>
                  <w14:solidFill>
                    <w14:schemeClr w14:val="tx1"/>
                  </w14:solidFill>
                </w14:textFill>
              </w:rPr>
              <w:t xml:space="preserve">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业绩</w:t>
            </w:r>
            <w:r/>
          </w:p>
        </w:tc>
        <w:tc>
          <w:tcPr>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自2023年</w:t>
            </w:r>
            <w:r>
              <w:rPr>
                <w:rFonts w:hint="eastAsia" w:ascii="宋体" w:hAnsi="宋体" w:cs="宋体"/>
                <w:color w:val="000000" w:themeColor="text1"/>
                <w:lang w:val="en-US" w:eastAsia="zh-CN"/>
                <w14:textFill>
                  <w14:solidFill>
                    <w14:schemeClr w14:val="tx1"/>
                  </w14:solidFill>
                </w14:textFill>
              </w:rPr>
              <w:t xml:space="preserve">8</w:t>
            </w:r>
            <w:r>
              <w:rPr>
                <w:rFonts w:hint="eastAsia" w:ascii="宋体" w:hAnsi="宋体" w:cs="宋体"/>
                <w:color w:val="000000" w:themeColor="text1"/>
                <w14:textFill>
                  <w14:solidFill>
                    <w14:schemeClr w14:val="tx1"/>
                  </w14:solidFill>
                </w14:textFill>
              </w:rPr>
              <w:t xml:space="preserve">月1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p>
        </w:tc>
        <w:tc>
          <w:tcPr>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免费质保</w:t>
            </w:r>
            <w:r/>
          </w:p>
        </w:tc>
        <w:tc>
          <w:tcPr>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投标人所投所有产品均满足招标文件基本要求的，不得分；在此基础上，投标人所投所有产品均每增加1年免费质保得2分，最多得4分。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（若投标文件中出现质保年限前后不一致或多个产品质保年限不统一的情况，以最低免费质保期作为评分依据）</w:t>
            </w:r>
            <w:r/>
          </w:p>
        </w:tc>
        <w:tc>
          <w:tcPr>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r>
      <w:tr>
        <w:trPr>
          <w:jc w:val="center"/>
          <w:trHeight w:val="162"/>
        </w:trPr>
        <w:tc>
          <w:tcPr>
            <w:gridSpan w:val="3"/>
            <w:tcW w:w="459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合计</w:t>
            </w:r>
            <w:r/>
          </w:p>
        </w:tc>
        <w:tc>
          <w:tcPr>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100</w:t>
            </w:r>
            <w:r/>
          </w:p>
        </w:tc>
      </w:tr>
    </w:tbl>
    <w:p>
      <w:pPr>
        <w:ind w:firstLine="480"/>
        <w:rPr>
          <w:rFonts w:hint="default" w:eastAsia="宋体"/>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采购包2：</w:t>
      </w:r>
      <w:r/>
    </w:p>
    <w:tbl>
      <w:tblPr>
        <w:tblStyle w:val="91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198"/>
        <w:gridCol w:w="6548"/>
        <w:gridCol w:w="743"/>
      </w:tblGrid>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序号</w:t>
            </w:r>
            <w:r/>
          </w:p>
        </w:tc>
        <w:tc>
          <w:tcPr>
            <w:tcW w:w="645"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评分</w:t>
            </w:r>
            <w:r/>
          </w:p>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因素</w:t>
            </w:r>
            <w:r/>
          </w:p>
        </w:tc>
        <w:tc>
          <w:tcPr>
            <w:tcW w:w="3526"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评分明细</w:t>
            </w:r>
            <w:r/>
          </w:p>
        </w:tc>
        <w:tc>
          <w:tcPr>
            <w:tcW w:w="400"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分值</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价格</w:t>
            </w:r>
            <w:r/>
          </w:p>
        </w:tc>
        <w:tc>
          <w:tcPr>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采用低价优先法计算，即满足招标文件要求且投标价格最低的报价为评审基准价，其价格分为满分。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其他投标供应商的价格分统一按照下列公式计算：报价得分=（评审基准价/投标报价）×30。（小数点后保留两位）</w:t>
            </w:r>
            <w:r/>
          </w:p>
        </w:tc>
        <w:tc>
          <w:tcPr>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30</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技术指标响应情况</w:t>
            </w:r>
            <w:r/>
          </w:p>
        </w:tc>
        <w:tc>
          <w:tcPr>
            <w:tcBorders>
              <w:bottom w:val="single" w:color="auto" w:sz="4" w:space="0"/>
            </w:tcBorders>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根据招标文件《第四章采购需求》的“技术指标明细”，对投标人所投产品技术指标满足程度进行评审：</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完全满足招标文件“技术指标明细”要求的得30分；在此基础上，招标文件中标注“★”的内容为实质性要求，有一项不符合的，作无效投标处理；标注“▲”负偏离的，则每项扣</w:t>
            </w:r>
            <w:r>
              <w:rPr>
                <w:rFonts w:hint="eastAsia" w:ascii="宋体" w:hAnsi="宋体" w:cs="宋体"/>
                <w:color w:val="000000" w:themeColor="text1"/>
                <w:lang w:val="en-US" w:eastAsia="zh-CN"/>
                <w14:textFill>
                  <w14:solidFill>
                    <w14:schemeClr w14:val="tx1"/>
                  </w14:solidFill>
                </w14:textFill>
              </w:rPr>
              <w:t xml:space="preserve">0.55</w:t>
            </w:r>
            <w:r>
              <w:rPr>
                <w:rFonts w:hint="eastAsia" w:ascii="宋体" w:hAnsi="宋体" w:cs="宋体"/>
                <w:color w:val="000000" w:themeColor="text1"/>
                <w14:textFill>
                  <w14:solidFill>
                    <w14:schemeClr w14:val="tx1"/>
                  </w14:solidFill>
                </w14:textFill>
              </w:rPr>
              <w:t xml:space="preserve">分；其他非重要参数和商务条款负偏离的，则每项扣</w:t>
            </w:r>
            <w:r>
              <w:rPr>
                <w:rFonts w:hint="eastAsia" w:ascii="宋体" w:hAnsi="宋体" w:cs="宋体"/>
                <w:color w:val="000000" w:themeColor="text1"/>
                <w:lang w:val="en-US" w:eastAsia="zh-CN"/>
                <w14:textFill>
                  <w14:solidFill>
                    <w14:schemeClr w14:val="tx1"/>
                  </w14:solidFill>
                </w14:textFill>
              </w:rPr>
              <w:t xml:space="preserve">0.25</w:t>
            </w:r>
            <w:r>
              <w:rPr>
                <w:rFonts w:hint="eastAsia" w:ascii="宋体" w:hAnsi="宋体" w:cs="宋体"/>
                <w:color w:val="000000" w:themeColor="text1"/>
                <w14:textFill>
                  <w14:solidFill>
                    <w14:schemeClr w14:val="tx1"/>
                  </w14:solidFill>
                </w14:textFill>
              </w:rPr>
              <w:t xml:space="preserve">分，扣完为止。正偏离不加分，缺项漏项视为负偏离。</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投标人须提供《技术条款偏离表》针对“技术指标明细”的内容逐条响应，并说明所投产品的技术指标性能。如招标文件中要求提供支撑材料的，必须按要求提供支撑材料佐证，否则视为负偏离。</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注：为方便评审，可详细标明证明材料在投标文件中页码和位置；证明材料内的技术参数可用箭头、标红或下划线等进行明显标注。</w:t>
            </w:r>
            <w:r/>
          </w:p>
        </w:tc>
        <w:tc>
          <w:tcPr>
            <w:tcBorders>
              <w:bottom w:val="single" w:color="auto" w:sz="4" w:space="0"/>
            </w:tcBorders>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30</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整体实施方案</w:t>
            </w:r>
            <w:r/>
          </w:p>
        </w:tc>
        <w:tc>
          <w:tcPr>
            <w:tcBorders>
              <w:bottom w:val="single" w:color="auto" w:sz="4" w:space="0"/>
            </w:tcBorders>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投标人应根据招标要求及项目实际，提供整体实施方案（包含人员安排、安装、调试、验收等），评委对投标人的整体实施方案进行评价。</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方案贴合项目需求，完整全面、合理可行、针对性强的得6分；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方案完整性、合理性、针对性一般的得4分；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方案仅满足基本要求的得2分；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不符合要求或未提供不得分。</w:t>
            </w:r>
            <w:r/>
          </w:p>
        </w:tc>
        <w:tc>
          <w:tcPr>
            <w:tcBorders>
              <w:bottom w:val="single" w:color="auto" w:sz="4" w:space="0"/>
            </w:tcBorders>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r>
      <w:tr>
        <w:trPr>
          <w:cantSplit/>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4</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进度计划及保证措施</w:t>
            </w:r>
            <w:r/>
          </w:p>
        </w:tc>
        <w:tc>
          <w:tcPr>
            <w:tcW w:w="3526" w:type="pct"/>
            <w:vAlign w:val="center"/>
            <w:textDirection w:val="lrTb"/>
            <w:noWrap w:val="false"/>
          </w:tcPr>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投标人应根据本项目情况，提供供货、安装进度计划及保证措施方案，评委对投标人的安装进度计划及保证措施进行评价。</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计划及措施完整全面、描述详细、科学可行、针对性强的得6分；</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计划及措施完整性一般、描述一般、可行性一般、针对性一般的得4分；</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安装进度计划及保证措施仅能满足项目基本要求的得2分；</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5</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突发情况应急处理措施</w:t>
            </w:r>
            <w:r/>
          </w:p>
        </w:tc>
        <w:tc>
          <w:tcPr>
            <w:tcW w:w="3526" w:type="pct"/>
            <w:vAlign w:val="center"/>
            <w:textDirection w:val="lrTb"/>
            <w:noWrap w:val="false"/>
          </w:tcPr>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投标人应根据本项目情况，提供的突发情况应急处理方案，评委对投标人的突发情况应急处理措施进行评价。</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措施详细、考虑周全、对突发事件能迅速应对并能及时解决的得6分；</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措施详细程度一般、对突发事件应对速度及解决时效性一般的得4分；</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突发情况应急处理措施仅能满足项目基本要求的得2分；</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产品质保售后服务方案</w:t>
            </w:r>
            <w:r/>
          </w:p>
        </w:tc>
        <w:tc>
          <w:tcPr>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投标人针对本项目需求提供完整的产品质保售后服务方案（包括响应时间、人员配置、保障措施方案等方面），评委根据产品质保售后服务方案进行评价。</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产品质保售后服务完整全面、考虑周到、合理可行、优于招标文件要求的得6分；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产品质保售后服务方案完整性一般、合理性一般、满足招标文件要求的得4分；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产品质保售后服务方案仅能满足项目基本要求的得2分；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用户培训方案</w:t>
            </w:r>
            <w:r/>
          </w:p>
        </w:tc>
        <w:tc>
          <w:tcPr>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投标人应根据本项目情况，提供完善的项目培训计划和培训方案（包括人员安排、培训内容（含培训材料）及时间安排等方面），评委根据用户培训方案进行评价。</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培训方案全面，服务响应及时，可操作性强的得</w:t>
            </w:r>
            <w:r>
              <w:rPr>
                <w:rFonts w:ascii="宋体" w:hAnsi="宋体" w:cs="宋体"/>
                <w:color w:val="000000" w:themeColor="text1"/>
                <w14:textFill>
                  <w14:solidFill>
                    <w14:schemeClr w14:val="tx1"/>
                  </w14:solidFill>
                </w14:textFill>
              </w:rPr>
              <w:t xml:space="preserve">6</w:t>
            </w:r>
            <w:r>
              <w:rPr>
                <w:rFonts w:hint="eastAsia" w:ascii="宋体" w:hAnsi="宋体" w:cs="宋体"/>
                <w:color w:val="000000" w:themeColor="text1"/>
                <w14:textFill>
                  <w14:solidFill>
                    <w14:schemeClr w14:val="tx1"/>
                  </w14:solidFill>
                </w14:textFill>
              </w:rPr>
              <w:t xml:space="preserve">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培训方案可行，服务响应较及时，具有可操作性的得</w:t>
            </w:r>
            <w:r>
              <w:rPr>
                <w:rFonts w:ascii="宋体" w:hAnsi="宋体" w:cs="宋体"/>
                <w:color w:val="000000" w:themeColor="text1"/>
                <w14:textFill>
                  <w14:solidFill>
                    <w14:schemeClr w14:val="tx1"/>
                  </w14:solidFill>
                </w14:textFill>
              </w:rPr>
              <w:t xml:space="preserve">4</w:t>
            </w:r>
            <w:r>
              <w:rPr>
                <w:rFonts w:hint="eastAsia" w:ascii="宋体" w:hAnsi="宋体" w:cs="宋体"/>
                <w:color w:val="000000" w:themeColor="text1"/>
                <w14:textFill>
                  <w14:solidFill>
                    <w14:schemeClr w14:val="tx1"/>
                  </w14:solidFill>
                </w14:textFill>
              </w:rPr>
              <w:t xml:space="preserve">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培训方案一般，服务响应及时性一般，可操作性一般的得</w:t>
            </w:r>
            <w:r>
              <w:rPr>
                <w:rFonts w:ascii="宋体" w:hAnsi="宋体" w:cs="宋体"/>
                <w:color w:val="000000" w:themeColor="text1"/>
                <w14:textFill>
                  <w14:solidFill>
                    <w14:schemeClr w14:val="tx1"/>
                  </w14:solidFill>
                </w14:textFill>
              </w:rPr>
              <w:t xml:space="preserve">2</w:t>
            </w:r>
            <w:r>
              <w:rPr>
                <w:rFonts w:hint="eastAsia" w:ascii="宋体" w:hAnsi="宋体" w:cs="宋体"/>
                <w:color w:val="000000" w:themeColor="text1"/>
                <w14:textFill>
                  <w14:solidFill>
                    <w14:schemeClr w14:val="tx1"/>
                  </w14:solidFill>
                </w14:textFill>
              </w:rPr>
              <w:t xml:space="preserve">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业绩</w:t>
            </w:r>
            <w:r/>
          </w:p>
        </w:tc>
        <w:tc>
          <w:tcPr>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自2023年</w:t>
            </w:r>
            <w:r>
              <w:rPr>
                <w:rFonts w:hint="eastAsia" w:ascii="宋体" w:hAnsi="宋体" w:cs="宋体"/>
                <w:color w:val="000000" w:themeColor="text1"/>
                <w:lang w:val="en-US" w:eastAsia="zh-CN"/>
                <w14:textFill>
                  <w14:solidFill>
                    <w14:schemeClr w14:val="tx1"/>
                  </w14:solidFill>
                </w14:textFill>
              </w:rPr>
              <w:t xml:space="preserve">8</w:t>
            </w:r>
            <w:r>
              <w:rPr>
                <w:rFonts w:hint="eastAsia" w:ascii="宋体" w:hAnsi="宋体" w:cs="宋体"/>
                <w:color w:val="000000" w:themeColor="text1"/>
                <w14:textFill>
                  <w14:solidFill>
                    <w14:schemeClr w14:val="tx1"/>
                  </w14:solidFill>
                </w14:textFill>
              </w:rPr>
              <w:t xml:space="preserve">月1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p>
        </w:tc>
        <w:tc>
          <w:tcPr>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免费质保</w:t>
            </w:r>
            <w:r/>
          </w:p>
        </w:tc>
        <w:tc>
          <w:tcPr>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投标人所投所有产品均满足招标文件基本要求的，不得分；在此基础上，投标人所投所有产品均每增加1年免费质保得2分，最多得4分。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（若投标文件中出现质保年限前后不一致或多个产品质保年限不统一的情况，以最低免费质保期作为评分依据）</w:t>
            </w:r>
            <w:r/>
          </w:p>
        </w:tc>
        <w:tc>
          <w:tcPr>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r>
      <w:tr>
        <w:trPr>
          <w:jc w:val="center"/>
          <w:trHeight w:val="162"/>
        </w:trPr>
        <w:tc>
          <w:tcPr>
            <w:gridSpan w:val="3"/>
            <w:tcW w:w="459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合计</w:t>
            </w:r>
            <w:r/>
          </w:p>
        </w:tc>
        <w:tc>
          <w:tcPr>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100</w:t>
            </w:r>
            <w:r/>
          </w:p>
        </w:tc>
      </w:tr>
    </w:tbl>
    <w:p>
      <w:pPr>
        <w:ind w:firstLine="480"/>
        <w:rPr>
          <w:rFonts w:hint="default" w:eastAsia="宋体"/>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采购包3：</w:t>
      </w:r>
      <w:r/>
    </w:p>
    <w:tbl>
      <w:tblPr>
        <w:tblStyle w:val="91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198"/>
        <w:gridCol w:w="6548"/>
        <w:gridCol w:w="743"/>
      </w:tblGrid>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序号</w:t>
            </w:r>
            <w:r/>
          </w:p>
        </w:tc>
        <w:tc>
          <w:tcPr>
            <w:tcW w:w="645"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评分</w:t>
            </w:r>
            <w:r/>
          </w:p>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因素</w:t>
            </w:r>
            <w:r/>
          </w:p>
        </w:tc>
        <w:tc>
          <w:tcPr>
            <w:tcW w:w="3526"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评分明细</w:t>
            </w:r>
            <w:r/>
          </w:p>
        </w:tc>
        <w:tc>
          <w:tcPr>
            <w:tcW w:w="400"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分值</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价格</w:t>
            </w:r>
            <w:r/>
          </w:p>
        </w:tc>
        <w:tc>
          <w:tcPr>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采用低价优先法计算，即满足招标文件要求且投标价格最低的报价为评审基准价，其价格分为满分。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其他投标供应商的价格分统一按照下列公式计算：报价得分=（评审基准价/投标报价）×30。（小数点后保留两位）</w:t>
            </w:r>
            <w:r/>
          </w:p>
        </w:tc>
        <w:tc>
          <w:tcPr>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30</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技术指标响应情况</w:t>
            </w:r>
            <w:r/>
          </w:p>
        </w:tc>
        <w:tc>
          <w:tcPr>
            <w:tcBorders>
              <w:bottom w:val="single" w:color="auto" w:sz="4" w:space="0"/>
            </w:tcBorders>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根据招标文件《第四章采购需求》的“技术指标明细”，对投标人所投产品技术指标满足程度进行评审：</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完全满足招标文件“技术指标明细”要求的得3</w:t>
            </w:r>
            <w:r>
              <w:rPr>
                <w:rFonts w:hint="eastAsia" w:ascii="宋体" w:hAnsi="宋体" w:cs="宋体"/>
                <w:color w:val="000000" w:themeColor="text1"/>
                <w:lang w:val="en-US" w:eastAsia="zh-CN"/>
                <w14:textFill>
                  <w14:solidFill>
                    <w14:schemeClr w14:val="tx1"/>
                  </w14:solidFill>
                </w14:textFill>
              </w:rPr>
              <w:t xml:space="preserve">5</w:t>
            </w:r>
            <w:r>
              <w:rPr>
                <w:rFonts w:hint="eastAsia" w:ascii="宋体" w:hAnsi="宋体" w:cs="宋体"/>
                <w:color w:val="000000" w:themeColor="text1"/>
                <w14:textFill>
                  <w14:solidFill>
                    <w14:schemeClr w14:val="tx1"/>
                  </w14:solidFill>
                </w14:textFill>
              </w:rPr>
              <w:t xml:space="preserve">分；在此基础上，招标文件中标注“★”的内容为实质性要求，有一项不符合的，作无效投标处理；标注“▲”负偏离的，则每项扣</w:t>
            </w:r>
            <w:r>
              <w:rPr>
                <w:rFonts w:hint="eastAsia" w:ascii="宋体" w:hAnsi="宋体" w:cs="宋体"/>
                <w:color w:val="000000" w:themeColor="text1"/>
                <w:lang w:val="en-US" w:eastAsia="zh-CN"/>
                <w14:textFill>
                  <w14:solidFill>
                    <w14:schemeClr w14:val="tx1"/>
                  </w14:solidFill>
                </w14:textFill>
              </w:rPr>
              <w:t xml:space="preserve">0.5</w:t>
            </w:r>
            <w:r>
              <w:rPr>
                <w:rFonts w:hint="eastAsia" w:ascii="宋体" w:hAnsi="宋体" w:cs="宋体"/>
                <w:color w:val="000000" w:themeColor="text1"/>
                <w14:textFill>
                  <w14:solidFill>
                    <w14:schemeClr w14:val="tx1"/>
                  </w14:solidFill>
                </w14:textFill>
              </w:rPr>
              <w:t xml:space="preserve">分；其他非重要参数和商务条款负偏离的，则每项扣</w:t>
            </w:r>
            <w:r>
              <w:rPr>
                <w:rFonts w:hint="eastAsia" w:ascii="宋体" w:hAnsi="宋体" w:cs="宋体"/>
                <w:color w:val="000000" w:themeColor="text1"/>
                <w:lang w:val="en-US" w:eastAsia="zh-CN"/>
                <w14:textFill>
                  <w14:solidFill>
                    <w14:schemeClr w14:val="tx1"/>
                  </w14:solidFill>
                </w14:textFill>
              </w:rPr>
              <w:t xml:space="preserve">0.2</w:t>
            </w:r>
            <w:r>
              <w:rPr>
                <w:rFonts w:hint="eastAsia" w:ascii="宋体" w:hAnsi="宋体" w:cs="宋体"/>
                <w:color w:val="000000" w:themeColor="text1"/>
                <w14:textFill>
                  <w14:solidFill>
                    <w14:schemeClr w14:val="tx1"/>
                  </w14:solidFill>
                </w14:textFill>
              </w:rPr>
              <w:t xml:space="preserve">分，扣完为止。正偏离不加分，缺项漏项视为负偏离。</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投标人须提供《技术条款偏离表》针对“技术指标明细”的内容逐条响应，并说明所投产品的技术指标性能。如招标文件中要求提供支撑材料的，必须按要求提供支撑材料佐证，否则视为负偏离。</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注：为方便评审，可详细标明证明材料在投标文件中页码和位置；证明材料内的技术参数可用箭头、标红或下划线等进行明显标注。</w:t>
            </w:r>
            <w:r/>
          </w:p>
        </w:tc>
        <w:tc>
          <w:tcPr>
            <w:tcBorders>
              <w:bottom w:val="single" w:color="auto" w:sz="4" w:space="0"/>
            </w:tcBorders>
            <w:tcW w:w="400" w:type="pct"/>
            <w:vAlign w:val="center"/>
            <w:textDirection w:val="lrTb"/>
            <w:noWrap w:val="false"/>
          </w:tcPr>
          <w:p>
            <w:pPr>
              <w:ind w:firstLine="0"/>
              <w:jc w:val="center"/>
              <w:spacing w:line="24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rPr>
                <w:rFonts w:hint="eastAsia" w:ascii="宋体" w:hAnsi="宋体" w:cs="宋体"/>
                <w:color w:val="000000" w:themeColor="text1"/>
                <w:lang w:val="en-US" w:eastAsia="zh-CN"/>
                <w14:textFill>
                  <w14:solidFill>
                    <w14:schemeClr w14:val="tx1"/>
                  </w14:solidFill>
                </w14:textFill>
              </w:rPr>
              <w:t xml:space="preserve">5</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整体实施方案</w:t>
            </w:r>
            <w:r/>
          </w:p>
        </w:tc>
        <w:tc>
          <w:tcPr>
            <w:tcBorders>
              <w:bottom w:val="single" w:color="auto" w:sz="4" w:space="0"/>
            </w:tcBorders>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投标人应根据招标要求及项目实际，提供整体实施方案（包含人员安排、安装、调试、验收等），评委对投标人的整体实施方案进行评价。</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方案贴合项目需求，完整全面、合理可行、针对性强的得</w:t>
            </w:r>
            <w:r>
              <w:rPr>
                <w:rFonts w:hint="eastAsia" w:ascii="宋体" w:hAnsi="宋体" w:cs="宋体"/>
                <w:color w:val="000000" w:themeColor="text1"/>
                <w:lang w:val="en-US" w:eastAsia="zh-CN"/>
                <w14:textFill>
                  <w14:solidFill>
                    <w14:schemeClr w14:val="tx1"/>
                  </w14:solidFill>
                </w14:textFill>
              </w:rPr>
              <w:t xml:space="preserve">5</w:t>
            </w:r>
            <w:r>
              <w:rPr>
                <w:rFonts w:hint="eastAsia" w:ascii="宋体" w:hAnsi="宋体" w:cs="宋体"/>
                <w:color w:val="000000" w:themeColor="text1"/>
                <w14:textFill>
                  <w14:solidFill>
                    <w14:schemeClr w14:val="tx1"/>
                  </w14:solidFill>
                </w14:textFill>
              </w:rPr>
              <w:t xml:space="preserve">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方案完整性、合理性、针对性一般的得</w:t>
            </w:r>
            <w:r>
              <w:rPr>
                <w:rFonts w:hint="eastAsia" w:ascii="宋体" w:hAnsi="宋体" w:cs="宋体"/>
                <w:color w:val="000000" w:themeColor="text1"/>
                <w:lang w:val="en-US" w:eastAsia="zh-CN"/>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方案仅满足基本要求的得</w:t>
            </w:r>
            <w:r>
              <w:rPr>
                <w:rFonts w:hint="eastAsia" w:ascii="宋体" w:hAnsi="宋体" w:cs="宋体"/>
                <w:color w:val="000000" w:themeColor="text1"/>
                <w:lang w:val="en-US" w:eastAsia="zh-CN"/>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不符合要求或未提供不得分。</w:t>
            </w:r>
            <w:r/>
          </w:p>
        </w:tc>
        <w:tc>
          <w:tcPr>
            <w:tcBorders>
              <w:bottom w:val="single" w:color="auto" w:sz="4" w:space="0"/>
            </w:tcBorders>
            <w:tcW w:w="400" w:type="pct"/>
            <w:vAlign w:val="center"/>
            <w:textDirection w:val="lrTb"/>
            <w:noWrap w:val="false"/>
          </w:tcPr>
          <w:p>
            <w:pPr>
              <w:ind w:firstLine="0"/>
              <w:jc w:val="center"/>
              <w:spacing w:line="24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5</w:t>
            </w:r>
            <w:r/>
          </w:p>
        </w:tc>
      </w:tr>
      <w:tr>
        <w:trPr>
          <w:cantSplit/>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4</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进度计划及保证措施</w:t>
            </w:r>
            <w:r/>
          </w:p>
        </w:tc>
        <w:tc>
          <w:tcPr>
            <w:tcW w:w="3526" w:type="pct"/>
            <w:vAlign w:val="center"/>
            <w:textDirection w:val="lrTb"/>
            <w:noWrap w:val="false"/>
          </w:tcPr>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投标人应根据本项目情况，提供供货、安装进度计划及保证措施方案，评委对投标人的安装进度计划及保证措施进行评价。</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计划及措施完整全面、描述详细、科学可行、针对性强的得</w:t>
            </w:r>
            <w:r>
              <w:rPr>
                <w:rFonts w:hint="eastAsia" w:ascii="宋体" w:hAnsi="宋体" w:cs="宋体"/>
                <w:color w:val="000000" w:themeColor="text1"/>
                <w:lang w:val="en-US" w:eastAsia="zh-CN"/>
                <w14:textFill>
                  <w14:solidFill>
                    <w14:schemeClr w14:val="tx1"/>
                  </w14:solidFill>
                </w14:textFill>
              </w:rPr>
              <w:t xml:space="preserve">5</w:t>
            </w:r>
            <w:r>
              <w:rPr>
                <w:rFonts w:hint="eastAsia" w:ascii="宋体" w:hAnsi="宋体" w:cs="宋体"/>
                <w:color w:val="000000" w:themeColor="text1"/>
                <w14:textFill>
                  <w14:solidFill>
                    <w14:schemeClr w14:val="tx1"/>
                  </w14:solidFill>
                </w14:textFill>
              </w:rPr>
              <w:t xml:space="preserve">分；</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计划及措施完整性一般、描述一般、可行性一般、针对性一般的得</w:t>
            </w:r>
            <w:r>
              <w:rPr>
                <w:rFonts w:hint="eastAsia" w:ascii="宋体" w:hAnsi="宋体" w:cs="宋体"/>
                <w:color w:val="000000" w:themeColor="text1"/>
                <w:lang w:val="en-US" w:eastAsia="zh-CN"/>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分；</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安装进度计划及保证措施仅能满足项目基本要求的得</w:t>
            </w:r>
            <w:r>
              <w:rPr>
                <w:rFonts w:hint="eastAsia" w:ascii="宋体" w:hAnsi="宋体" w:cs="宋体"/>
                <w:color w:val="000000" w:themeColor="text1"/>
                <w:lang w:val="en-US" w:eastAsia="zh-CN"/>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分；</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spacing w:line="24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5</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5</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突发情况应急处理措施</w:t>
            </w:r>
            <w:r/>
          </w:p>
        </w:tc>
        <w:tc>
          <w:tcPr>
            <w:tcW w:w="3526" w:type="pct"/>
            <w:vAlign w:val="center"/>
            <w:textDirection w:val="lrTb"/>
            <w:noWrap w:val="false"/>
          </w:tcPr>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投标人应根据本项目情况，提供的突发情况应急处理方案，评委对投标人的突发情况应急处理措施进行评价。</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措施详细、考虑周全、对突发事件能迅速应对并能及时解决的得</w:t>
            </w:r>
            <w:r>
              <w:rPr>
                <w:rFonts w:hint="eastAsia" w:ascii="宋体" w:hAnsi="宋体" w:cs="宋体"/>
                <w:color w:val="000000" w:themeColor="text1"/>
                <w:lang w:val="en-US" w:eastAsia="zh-CN"/>
                <w14:textFill>
                  <w14:solidFill>
                    <w14:schemeClr w14:val="tx1"/>
                  </w14:solidFill>
                </w14:textFill>
              </w:rPr>
              <w:t xml:space="preserve">5</w:t>
            </w:r>
            <w:r>
              <w:rPr>
                <w:rFonts w:hint="eastAsia" w:ascii="宋体" w:hAnsi="宋体" w:cs="宋体"/>
                <w:color w:val="000000" w:themeColor="text1"/>
                <w14:textFill>
                  <w14:solidFill>
                    <w14:schemeClr w14:val="tx1"/>
                  </w14:solidFill>
                </w14:textFill>
              </w:rPr>
              <w:t xml:space="preserve">分；</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措施详细程度一般、对突发事件应对速度及解决时效性一般的得</w:t>
            </w:r>
            <w:r>
              <w:rPr>
                <w:rFonts w:hint="eastAsia" w:ascii="宋体" w:hAnsi="宋体" w:cs="宋体"/>
                <w:color w:val="000000" w:themeColor="text1"/>
                <w:lang w:val="en-US" w:eastAsia="zh-CN"/>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分；</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突发情况应急处理措施仅能满足项目基本要求的得</w:t>
            </w:r>
            <w:r>
              <w:rPr>
                <w:rFonts w:hint="eastAsia" w:ascii="宋体" w:hAnsi="宋体" w:cs="宋体"/>
                <w:color w:val="000000" w:themeColor="text1"/>
                <w:lang w:val="en-US" w:eastAsia="zh-CN"/>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分；</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spacing w:line="24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5</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产品质保售后服务方案</w:t>
            </w:r>
            <w:r/>
          </w:p>
        </w:tc>
        <w:tc>
          <w:tcPr>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投标人针对本项目需求提供完整的产品质保售后服务方案（包括响应时间、人员配置、保障措施方案等方面），评委根据产品质保售后服务方案进行评价。</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产品质保售后服务完整全面、考虑周到、合理可行、优于招标文件要求的得</w:t>
            </w:r>
            <w:r>
              <w:rPr>
                <w:rFonts w:hint="eastAsia" w:ascii="宋体" w:hAnsi="宋体" w:cs="宋体"/>
                <w:color w:val="000000" w:themeColor="text1"/>
                <w:lang w:val="en-US" w:eastAsia="zh-CN"/>
                <w14:textFill>
                  <w14:solidFill>
                    <w14:schemeClr w14:val="tx1"/>
                  </w14:solidFill>
                </w14:textFill>
              </w:rPr>
              <w:t xml:space="preserve">5</w:t>
            </w:r>
            <w:r>
              <w:rPr>
                <w:rFonts w:hint="eastAsia" w:ascii="宋体" w:hAnsi="宋体" w:cs="宋体"/>
                <w:color w:val="000000" w:themeColor="text1"/>
                <w14:textFill>
                  <w14:solidFill>
                    <w14:schemeClr w14:val="tx1"/>
                  </w14:solidFill>
                </w14:textFill>
              </w:rPr>
              <w:t xml:space="preserve">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产品质保售后服务方案完整性一般、合理性一般、满足招标文件要求的得</w:t>
            </w:r>
            <w:r>
              <w:rPr>
                <w:rFonts w:hint="eastAsia" w:ascii="宋体" w:hAnsi="宋体" w:cs="宋体"/>
                <w:color w:val="000000" w:themeColor="text1"/>
                <w:lang w:val="en-US" w:eastAsia="zh-CN"/>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产品质保售后服务方案仅能满足项目基本要求的得</w:t>
            </w:r>
            <w:r>
              <w:rPr>
                <w:rFonts w:hint="eastAsia" w:ascii="宋体" w:hAnsi="宋体" w:cs="宋体"/>
                <w:color w:val="000000" w:themeColor="text1"/>
                <w:lang w:val="en-US" w:eastAsia="zh-CN"/>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spacing w:line="24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5</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用户培训方案</w:t>
            </w:r>
            <w:r/>
          </w:p>
        </w:tc>
        <w:tc>
          <w:tcPr>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投标人应根据本项目情况，提供完善的项目培训计划和培训方案（包括人员安排、培训内容（含培训材料）及时间安排等方面），评委根据用户培训方案进行评价。</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培训方案全面，服务响应及时，可操作性强的得</w:t>
            </w:r>
            <w:r>
              <w:rPr>
                <w:rFonts w:hint="eastAsia" w:ascii="宋体" w:hAnsi="宋体" w:cs="宋体"/>
                <w:color w:val="000000" w:themeColor="text1"/>
                <w:lang w:val="en-US" w:eastAsia="zh-CN"/>
                <w14:textFill>
                  <w14:solidFill>
                    <w14:schemeClr w14:val="tx1"/>
                  </w14:solidFill>
                </w14:textFill>
              </w:rPr>
              <w:t xml:space="preserve">5</w:t>
            </w:r>
            <w:r>
              <w:rPr>
                <w:rFonts w:hint="eastAsia" w:ascii="宋体" w:hAnsi="宋体" w:cs="宋体"/>
                <w:color w:val="000000" w:themeColor="text1"/>
                <w14:textFill>
                  <w14:solidFill>
                    <w14:schemeClr w14:val="tx1"/>
                  </w14:solidFill>
                </w14:textFill>
              </w:rPr>
              <w:t xml:space="preserve">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培训方案可行，服务响应较及时，具有可操作性的得</w:t>
            </w:r>
            <w:r>
              <w:rPr>
                <w:rFonts w:hint="eastAsia" w:ascii="宋体" w:hAnsi="宋体" w:cs="宋体"/>
                <w:color w:val="000000" w:themeColor="text1"/>
                <w:lang w:val="en-US" w:eastAsia="zh-CN"/>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培训方案一般，服务响应及时性一般，可操作性一般的得</w:t>
            </w:r>
            <w:r>
              <w:rPr>
                <w:rFonts w:hint="eastAsia" w:ascii="宋体" w:hAnsi="宋体" w:cs="宋体"/>
                <w:color w:val="000000" w:themeColor="text1"/>
                <w:lang w:val="en-US" w:eastAsia="zh-CN"/>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spacing w:line="24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5</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业绩</w:t>
            </w:r>
            <w:r/>
          </w:p>
        </w:tc>
        <w:tc>
          <w:tcPr>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自2023年</w:t>
            </w:r>
            <w:r>
              <w:rPr>
                <w:rFonts w:hint="eastAsia" w:ascii="宋体" w:hAnsi="宋体" w:cs="宋体"/>
                <w:color w:val="000000" w:themeColor="text1"/>
                <w:lang w:val="en-US" w:eastAsia="zh-CN"/>
                <w14:textFill>
                  <w14:solidFill>
                    <w14:schemeClr w14:val="tx1"/>
                  </w14:solidFill>
                </w14:textFill>
              </w:rPr>
              <w:t xml:space="preserve">8</w:t>
            </w:r>
            <w:r>
              <w:rPr>
                <w:rFonts w:hint="eastAsia" w:ascii="宋体" w:hAnsi="宋体" w:cs="宋体"/>
                <w:color w:val="000000" w:themeColor="text1"/>
                <w14:textFill>
                  <w14:solidFill>
                    <w14:schemeClr w14:val="tx1"/>
                  </w14:solidFill>
                </w14:textFill>
              </w:rPr>
              <w:t xml:space="preserve">月1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p>
        </w:tc>
        <w:tc>
          <w:tcPr>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免费质保</w:t>
            </w:r>
            <w:r/>
          </w:p>
        </w:tc>
        <w:tc>
          <w:tcPr>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投标人所投所有产品均满足招标文件基本要求的，不得分；在此基础上，投标人所投所有产品均每增加1年免费质保得2分，最多得4分。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（若投标文件中出现质保年限前后不一致或多个产品质保年限不统一的情况，以最低免费质保期作为评分依据）</w:t>
            </w:r>
            <w:r/>
          </w:p>
        </w:tc>
        <w:tc>
          <w:tcPr>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r>
      <w:tr>
        <w:trPr>
          <w:jc w:val="center"/>
          <w:trHeight w:val="162"/>
        </w:trPr>
        <w:tc>
          <w:tcPr>
            <w:gridSpan w:val="3"/>
            <w:tcW w:w="459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合计</w:t>
            </w:r>
            <w:r/>
          </w:p>
        </w:tc>
        <w:tc>
          <w:tcPr>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100</w:t>
            </w:r>
            <w:r/>
          </w:p>
        </w:tc>
      </w:tr>
    </w:tbl>
    <w:p>
      <w:pPr>
        <w:ind w:firstLine="482"/>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政府采购政策功能落实：</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1.小微型企业价格扣除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（1）本项目对小型和微型企业产品给予10%的扣除价格，用扣除后的价格参与评审。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（2）投标人需按照招标文件的要求提供相应的《中小微企业声明函》。</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2.残疾人福利单位价格扣除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（1）本项目对残疾人福利性单位视同小型、微型企业，给予10%的价格扣除，用扣除后的价格参与评审。货物采购项目中产品制造商须为残疾人福利性单位。</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（2）残疾人福利单位需按照招标文件的要求提供《残疾人福利性单位声明函》。</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（3）残疾人福利单位标准请参照《关于促进残疾人就业政府采购政策的通知》（财库〔2017〕141号）。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3.监狱和戒毒企业价格扣除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（1）本项目对监狱和戒毒企业（简称监狱企业）视同小型、微型企业，给予10%的价格扣除，用扣除后的价格参与评审。货物采购项目中产品制造商须为监狱企业。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（3）监狱企业标准请参照《关于政府采购支持监狱企业发展有关问题的通知》（财库〔2014〕68号）。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4.残疾人福利单位、监狱企业属于小型、微型企业的，不重复享受政策。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6.联合体各方均为小型、微型企业（残疾人福利单位、监狱企业）的，联合体享受10%价格扣除，用扣除后的价格参与评审。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7.采购本国产品的支持政策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（1）本项目政府采购活动中既有本国产品又有非本国产品参与竞争的，依法对本国产品给予价格评审优惠，对本国产品的报价给予20%的价格扣除，用扣除后的价格参与评审。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（2）当采购项目或者采购包中含有多种产品，投标人为该采购项目或者采购包提供的符合本国产品标准的产品成本之和占该供应商提供的全部产品成本之和的比例达到80%以上时</w:t>
      </w:r>
      <w:r>
        <w:rPr>
          <w:rFonts w:hint="eastAsia"/>
          <w:b/>
          <w:bCs/>
          <w:color w:val="000000" w:themeColor="text1"/>
          <w14:textFill>
            <w14:solidFill>
              <w14:schemeClr w14:val="tx1"/>
            </w14:solidFill>
          </w14:textFill>
        </w:rPr>
        <w:t xml:space="preserve">（投标人需在“第六章 投标文件格式及附件”的“分项报价表”中填写比例数值）</w:t>
      </w:r>
      <w:r>
        <w:rPr>
          <w:rFonts w:hint="eastAsia"/>
          <w:color w:val="000000" w:themeColor="text1"/>
          <w14:textFill>
            <w14:solidFill>
              <w14:schemeClr w14:val="tx1"/>
            </w14:solidFill>
          </w14:textFill>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③投标人需按照招标文件的要求提供《关于符合本国产品标准的声明函》（以下简称《声明函》），如不提供将不享受本国产品价格评审优惠。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5"/>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第四章  采购需求</w:t>
      </w:r>
      <w:r/>
    </w:p>
    <w:p>
      <w:pPr>
        <w:pStyle w:val="922"/>
        <w:ind w:firstLine="482"/>
        <w:tabs>
          <w:tab w:val="left" w:pos="960" w:leader="none"/>
        </w:tabs>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szCs w:val="22"/>
          <w:lang w:val="zh-CN" w:bidi="zh-CN"/>
          <w14:textFill>
            <w14:solidFill>
              <w14:schemeClr w14:val="tx1"/>
            </w14:solidFill>
          </w14:textFill>
        </w:rPr>
        <w:t xml:space="preserve">一、</w:t>
      </w:r>
      <w:r>
        <w:rPr>
          <w:rFonts w:hint="eastAsia" w:ascii="宋体" w:hAnsi="宋体" w:cs="宋体"/>
          <w:b/>
          <w:bCs/>
          <w:color w:val="000000" w:themeColor="text1"/>
          <w14:textFill>
            <w14:solidFill>
              <w14:schemeClr w14:val="tx1"/>
            </w14:solidFill>
          </w14:textFill>
        </w:rPr>
        <w:t xml:space="preserve">采购清单</w:t>
      </w:r>
      <w:r/>
    </w:p>
    <w:tbl>
      <w:tblPr>
        <w:tblStyle w:val="92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760"/>
        <w:gridCol w:w="2730"/>
        <w:gridCol w:w="1148"/>
        <w:gridCol w:w="1408"/>
        <w:gridCol w:w="1114"/>
        <w:gridCol w:w="1261"/>
      </w:tblGrid>
      <w:tr>
        <w:trPr>
          <w:trHeight w:val="567"/>
        </w:trPr>
        <w:tc>
          <w:tcPr>
            <w:tcW w:w="463"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采购包号</w:t>
            </w:r>
            <w:r/>
          </w:p>
        </w:tc>
        <w:tc>
          <w:tcPr>
            <w:tcW w:w="409"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品目</w:t>
            </w:r>
            <w:r/>
          </w:p>
        </w:tc>
        <w:tc>
          <w:tcPr>
            <w:tcW w:w="1470"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设备名称</w:t>
            </w:r>
            <w:r/>
          </w:p>
        </w:tc>
        <w:tc>
          <w:tcPr>
            <w:tcW w:w="618"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数量</w:t>
            </w:r>
            <w:r/>
          </w:p>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（台/套）</w:t>
            </w:r>
            <w:r/>
          </w:p>
        </w:tc>
        <w:tc>
          <w:tcPr>
            <w:tcW w:w="758"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项目预算金额/最高限价</w:t>
            </w:r>
            <w:r/>
          </w:p>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（万元）</w:t>
            </w:r>
            <w:r/>
          </w:p>
        </w:tc>
        <w:tc>
          <w:tcPr>
            <w:tcW w:w="600"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是否接受进口设备投标</w:t>
            </w:r>
            <w:r/>
          </w:p>
        </w:tc>
        <w:tc>
          <w:tcPr>
            <w:tcW w:w="679"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备注</w:t>
            </w:r>
            <w:r/>
          </w:p>
        </w:tc>
      </w:tr>
      <w:tr>
        <w:trPr>
          <w:trHeight w:val="567"/>
        </w:trPr>
        <w:tc>
          <w:tcPr>
            <w:tcW w:w="463"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40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一</w:t>
            </w:r>
            <w:r/>
          </w:p>
        </w:tc>
        <w:tc>
          <w:tcPr>
            <w:tcW w:w="1470"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阀门流量流阻试验装置</w:t>
            </w:r>
            <w:r/>
          </w:p>
        </w:tc>
        <w:tc>
          <w:tcPr>
            <w:tcW w:w="61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75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395</w:t>
            </w:r>
            <w:r/>
          </w:p>
        </w:tc>
        <w:tc>
          <w:tcPr>
            <w:tcW w:w="600" w:type="pct"/>
            <w:vAlign w:val="center"/>
            <w:vMerge w:val="restart"/>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否</w:t>
            </w:r>
            <w:r/>
          </w:p>
        </w:tc>
        <w:tc>
          <w:tcPr>
            <w:tcW w:w="67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567"/>
        </w:trPr>
        <w:tc>
          <w:tcPr>
            <w:tcW w:w="463" w:type="pct"/>
            <w:vAlign w:val="center"/>
            <w:vMerge w:val="restart"/>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40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一</w:t>
            </w:r>
            <w:r/>
          </w:p>
        </w:tc>
        <w:tc>
          <w:tcPr>
            <w:tcW w:w="147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阀门寿命测试机</w:t>
            </w:r>
            <w:r/>
          </w:p>
        </w:tc>
        <w:tc>
          <w:tcPr>
            <w:tcW w:w="61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75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69</w:t>
            </w:r>
            <w:r/>
          </w:p>
        </w:tc>
        <w:tc>
          <w:tcPr>
            <w:tcW w:w="600"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7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核心产品</w:t>
            </w:r>
            <w:r/>
          </w:p>
        </w:tc>
      </w:tr>
      <w:tr>
        <w:trPr>
          <w:trHeight w:val="567"/>
        </w:trPr>
        <w:tc>
          <w:tcPr>
            <w:tcW w:w="463"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40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二</w:t>
            </w:r>
            <w:r/>
          </w:p>
        </w:tc>
        <w:tc>
          <w:tcPr>
            <w:tcW w:w="147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阀门测试机</w:t>
            </w:r>
            <w:r/>
          </w:p>
        </w:tc>
        <w:tc>
          <w:tcPr>
            <w:tcW w:w="61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75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w:t>
            </w:r>
            <w:r/>
          </w:p>
        </w:tc>
        <w:tc>
          <w:tcPr>
            <w:tcW w:w="600"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7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567"/>
        </w:trPr>
        <w:tc>
          <w:tcPr>
            <w:tcW w:w="463"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40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三</w:t>
            </w:r>
            <w:r/>
          </w:p>
        </w:tc>
        <w:tc>
          <w:tcPr>
            <w:tcW w:w="147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应变硬化试验机</w:t>
            </w:r>
            <w:r/>
          </w:p>
        </w:tc>
        <w:tc>
          <w:tcPr>
            <w:tcW w:w="61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75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50</w:t>
            </w:r>
            <w:r/>
          </w:p>
        </w:tc>
        <w:tc>
          <w:tcPr>
            <w:tcW w:w="600"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7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567"/>
        </w:trPr>
        <w:tc>
          <w:tcPr>
            <w:tcW w:w="463" w:type="pct"/>
            <w:vAlign w:val="center"/>
            <w:vMerge w:val="restart"/>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40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一</w:t>
            </w:r>
            <w:r/>
          </w:p>
        </w:tc>
        <w:tc>
          <w:tcPr>
            <w:tcW w:w="147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加工中心</w:t>
            </w:r>
            <w:r/>
          </w:p>
        </w:tc>
        <w:tc>
          <w:tcPr>
            <w:tcW w:w="61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75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41.8</w:t>
            </w:r>
            <w:r/>
          </w:p>
        </w:tc>
        <w:tc>
          <w:tcPr>
            <w:tcW w:w="600"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7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核心产品</w:t>
            </w:r>
            <w:r/>
          </w:p>
        </w:tc>
      </w:tr>
      <w:tr>
        <w:trPr>
          <w:trHeight w:val="567"/>
        </w:trPr>
        <w:tc>
          <w:tcPr>
            <w:tcW w:w="463"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40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二</w:t>
            </w:r>
            <w:r/>
          </w:p>
        </w:tc>
        <w:tc>
          <w:tcPr>
            <w:tcW w:w="147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数控车床</w:t>
            </w:r>
            <w:r/>
          </w:p>
        </w:tc>
        <w:tc>
          <w:tcPr>
            <w:tcW w:w="61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75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31.6</w:t>
            </w:r>
            <w:r/>
          </w:p>
        </w:tc>
        <w:tc>
          <w:tcPr>
            <w:tcW w:w="600"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7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567"/>
        </w:trPr>
        <w:tc>
          <w:tcPr>
            <w:tcW w:w="463"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40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三</w:t>
            </w:r>
            <w:r/>
          </w:p>
        </w:tc>
        <w:tc>
          <w:tcPr>
            <w:tcW w:w="147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平面磨床</w:t>
            </w:r>
            <w:r/>
          </w:p>
        </w:tc>
        <w:tc>
          <w:tcPr>
            <w:tcW w:w="61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75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20.8</w:t>
            </w:r>
            <w:r/>
          </w:p>
        </w:tc>
        <w:tc>
          <w:tcPr>
            <w:tcW w:w="600"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7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567"/>
        </w:trPr>
        <w:tc>
          <w:tcPr>
            <w:tcW w:w="463"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40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四</w:t>
            </w:r>
            <w:r/>
          </w:p>
        </w:tc>
        <w:tc>
          <w:tcPr>
            <w:tcW w:w="147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线切割机床</w:t>
            </w:r>
            <w:r/>
          </w:p>
        </w:tc>
        <w:tc>
          <w:tcPr>
            <w:tcW w:w="61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75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34</w:t>
            </w:r>
            <w:r/>
          </w:p>
        </w:tc>
        <w:tc>
          <w:tcPr>
            <w:tcW w:w="600"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7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567"/>
        </w:trPr>
        <w:tc>
          <w:tcPr>
            <w:tcW w:w="463"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40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五</w:t>
            </w:r>
            <w:r/>
          </w:p>
        </w:tc>
        <w:tc>
          <w:tcPr>
            <w:tcW w:w="147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锯床</w:t>
            </w:r>
            <w:r/>
          </w:p>
        </w:tc>
        <w:tc>
          <w:tcPr>
            <w:tcW w:w="61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75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8.8</w:t>
            </w:r>
            <w:r/>
          </w:p>
        </w:tc>
        <w:tc>
          <w:tcPr>
            <w:tcW w:w="600"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7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567"/>
        </w:trPr>
        <w:tc>
          <w:tcPr>
            <w:tcW w:w="463"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40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六</w:t>
            </w:r>
            <w:r/>
          </w:p>
        </w:tc>
        <w:tc>
          <w:tcPr>
            <w:tcW w:w="147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炮塔铣</w:t>
            </w:r>
            <w:r/>
          </w:p>
        </w:tc>
        <w:tc>
          <w:tcPr>
            <w:tcW w:w="61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75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7.85</w:t>
            </w:r>
            <w:r/>
          </w:p>
        </w:tc>
        <w:tc>
          <w:tcPr>
            <w:tcW w:w="600"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7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bl>
    <w:p>
      <w:pPr>
        <w:pStyle w:val="922"/>
        <w:ind w:firstLine="482"/>
        <w:tabs>
          <w:tab w:val="left" w:pos="960" w:leader="none"/>
        </w:tabs>
        <w:rPr>
          <w:rFonts w:hint="eastAsia" w:ascii="宋体" w:hAnsi="宋体" w:cs="宋体"/>
          <w:b/>
          <w:color w:val="000000" w:themeColor="text1"/>
          <w:szCs w:val="22"/>
          <w:lang w:val="zh-CN" w:bidi="zh-CN"/>
          <w14:textFill>
            <w14:solidFill>
              <w14:schemeClr w14:val="tx1"/>
            </w14:solidFill>
          </w14:textFill>
        </w:rPr>
      </w:pPr>
      <w:r>
        <w:rPr>
          <w:rFonts w:hint="eastAsia" w:ascii="宋体" w:hAnsi="宋体" w:cs="宋体"/>
          <w:b/>
          <w:color w:val="000000" w:themeColor="text1"/>
          <w:szCs w:val="22"/>
          <w:lang w:bidi="zh-CN"/>
          <w14:textFill>
            <w14:solidFill>
              <w14:schemeClr w14:val="tx1"/>
            </w14:solidFill>
          </w14:textFill>
        </w:rPr>
        <w:t xml:space="preserve">注：</w:t>
      </w:r>
      <w:r>
        <w:rPr>
          <w:rFonts w:hint="eastAsia" w:ascii="宋体" w:hAnsi="宋体" w:cs="宋体"/>
          <w:b/>
          <w:color w:val="000000" w:themeColor="text1"/>
          <w:szCs w:val="22"/>
          <w:lang w:val="zh-CN" w:bidi="zh-CN"/>
          <w14:textFill>
            <w14:solidFill>
              <w14:schemeClr w14:val="tx1"/>
            </w14:solidFill>
          </w14:textFill>
        </w:rPr>
        <w:t xml:space="preserve">1.</w:t>
      </w:r>
      <w:r>
        <w:rPr>
          <w:rFonts w:hint="eastAsia" w:ascii="宋体" w:hAnsi="宋体" w:cs="宋体"/>
          <w:b/>
          <w:color w:val="000000" w:themeColor="text1"/>
          <w:szCs w:val="22"/>
          <w:lang w:bidi="zh-CN"/>
          <w14:textFill>
            <w14:solidFill>
              <w14:schemeClr w14:val="tx1"/>
            </w14:solidFill>
          </w14:textFill>
        </w:rPr>
        <w:t xml:space="preserve">投标人在《投标分项报价表》中填列的</w:t>
      </w:r>
      <w:r>
        <w:rPr>
          <w:rFonts w:hint="eastAsia" w:ascii="宋体" w:hAnsi="宋体" w:cs="宋体"/>
          <w:b/>
          <w:color w:val="000000" w:themeColor="text1"/>
          <w:szCs w:val="22"/>
          <w:lang w:val="zh-CN" w:bidi="zh-CN"/>
          <w14:textFill>
            <w14:solidFill>
              <w14:schemeClr w14:val="tx1"/>
            </w14:solidFill>
          </w14:textFill>
        </w:rPr>
        <w:t xml:space="preserve">数量不接受负偏离，否则按无效投标处理。</w:t>
      </w:r>
      <w:r/>
    </w:p>
    <w:p>
      <w:pPr>
        <w:pStyle w:val="922"/>
        <w:ind w:firstLine="482"/>
        <w:tabs>
          <w:tab w:val="left" w:pos="960" w:leader="none"/>
        </w:tabs>
        <w:rPr>
          <w:rFonts w:hint="eastAsia" w:ascii="宋体" w:hAnsi="宋体" w:cs="宋体"/>
          <w:b/>
          <w:color w:val="000000" w:themeColor="text1"/>
          <w:szCs w:val="22"/>
          <w:lang w:val="zh-CN" w:bidi="zh-CN"/>
          <w14:textFill>
            <w14:solidFill>
              <w14:schemeClr w14:val="tx1"/>
            </w14:solidFill>
          </w14:textFill>
        </w:rPr>
      </w:pPr>
      <w:r>
        <w:rPr>
          <w:rFonts w:hint="eastAsia" w:ascii="宋体" w:hAnsi="宋体" w:cs="宋体"/>
          <w:b/>
          <w:color w:val="000000" w:themeColor="text1"/>
          <w:szCs w:val="22"/>
          <w:lang w:val="zh-CN" w:bidi="zh-CN"/>
          <w14:textFill>
            <w14:solidFill>
              <w14:schemeClr w14:val="tx1"/>
            </w14:solidFill>
          </w14:textFill>
        </w:rPr>
        <w:t xml:space="preserve">2.</w:t>
      </w:r>
      <w:r>
        <w:rPr>
          <w:rFonts w:hint="eastAsia"/>
          <w:b/>
          <w:bCs/>
          <w:color w:val="000000" w:themeColor="text1"/>
          <w14:textFill>
            <w14:solidFill>
              <w14:schemeClr w14:val="tx1"/>
            </w14:solidFill>
          </w14:textFill>
        </w:rPr>
        <w:t xml:space="preserve">投标人所投报价不得超过每个品目所对应的预算金额，否则作无效投标处理。</w:t>
      </w:r>
      <w:r/>
    </w:p>
    <w:p>
      <w:pPr>
        <w:pStyle w:val="922"/>
        <w:ind w:firstLine="482"/>
        <w:tabs>
          <w:tab w:val="left" w:pos="960" w:leader="none"/>
        </w:tabs>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szCs w:val="22"/>
          <w:lang w:val="zh-CN" w:bidi="zh-CN"/>
          <w14:textFill>
            <w14:solidFill>
              <w14:schemeClr w14:val="tx1"/>
            </w14:solidFill>
          </w14:textFill>
        </w:rPr>
        <w:t xml:space="preserve">二、</w:t>
      </w:r>
      <w:r>
        <w:rPr>
          <w:rFonts w:hint="eastAsia" w:ascii="宋体" w:hAnsi="宋体" w:cs="宋体"/>
          <w:b/>
          <w:color w:val="000000" w:themeColor="text1"/>
          <w14:textFill>
            <w14:solidFill>
              <w14:schemeClr w14:val="tx1"/>
            </w14:solidFill>
          </w14:textFill>
        </w:rPr>
        <w:t xml:space="preserve">技术指标明细</w:t>
      </w:r>
      <w:r/>
    </w:p>
    <w:p>
      <w:pPr>
        <w:pStyle w:val="922"/>
        <w:ind w:firstLine="0"/>
        <w:tabs>
          <w:tab w:val="left" w:pos="960" w:leader="none"/>
        </w:tabs>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注:本技术要求提出的是最低限度的技术条件。投标人应注意在技术要求中如果出现了参考品牌或规格型号，其目的是为了方便投标人直观和准确地把握相应材料和产品的技术标准，不具指定或唯一的意思表示，投标人应当参考所列品牌的材料和产品，采购相当于或高于所列品牌技术标准的材料和产品。</w:t>
      </w:r>
      <w:r/>
    </w:p>
    <w:p>
      <w:pPr>
        <w:pStyle w:val="922"/>
        <w:ind w:firstLine="0"/>
        <w:tabs>
          <w:tab w:val="left" w:pos="960" w:leader="none"/>
        </w:tabs>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采购包1：</w:t>
      </w:r>
      <w:r/>
    </w:p>
    <w:tbl>
      <w:tblPr>
        <w:tblStyle w:val="9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457"/>
        <w:gridCol w:w="8374"/>
      </w:tblGrid>
      <w:tr>
        <w:trPr>
          <w:trHeight w:val="170"/>
        </w:trPr>
        <w:tc>
          <w:tcPr>
            <w:tcW w:w="246"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序号</w:t>
            </w:r>
            <w:r/>
          </w:p>
        </w:tc>
        <w:tc>
          <w:tcPr>
            <w:tcW w:w="246"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名称</w:t>
            </w:r>
            <w:r/>
          </w:p>
        </w:tc>
        <w:tc>
          <w:tcPr>
            <w:tcW w:w="4507"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技术要求</w:t>
            </w:r>
            <w:r/>
          </w:p>
        </w:tc>
      </w:tr>
      <w:tr>
        <w:trPr>
          <w:trHeight w:val="90"/>
        </w:trPr>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阀门流量流阻试验装置</w:t>
            </w:r>
            <w:r/>
          </w:p>
        </w:tc>
        <w:tc>
          <w:tcPr>
            <w:tcW w:w="4507"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1.主要技术参数</w:t>
            </w:r>
            <w:r/>
          </w:p>
          <w:p>
            <w:pPr>
              <w:ind w:firstLine="0"/>
              <w:spacing w:line="24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（1）试验系统可测试的产品：调节阀、通用阀门、减压阀及水力控制阀等阀门的流量系数和流阻系数；调节阀的流量特性曲线测试等。</w:t>
            </w:r>
            <w:r/>
          </w:p>
          <w:p>
            <w:pPr>
              <w:ind w:firstLine="0"/>
              <w:spacing w:line="24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（2）试验系统可测试阀门的尺寸：DN15～DN300</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▲（3）试验压差范围：0～0.3MPa</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▲（4）阀门连接方式：法兰连接</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（5）试验系统介质：清洁水</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（6）试验系统储水系统：地下水池（甲方建设）</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（7）试验系统基本功能：</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①阀门压差-流量特性曲线；</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②阀门开度-流量特性曲线；</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③阀门流量系数；</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④阀门流阻系数；</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⑤调节阀的额定流量系数；</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（8）主要技术指标：流量误差为±2%；压差误差为±2%；温度精度为±1℃。</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▲2.设计及制造要求</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（1）系统设计要求</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①试验装置按照GB/T 30832《阀门 流量系数和流阻系数试验方法》设计建造。</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②试验装置由机械循环部分、测控硬件部分、计算机测控软件部分组成，循环水源采用地下水池。</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③整套装置配有视频监控系统，可监控被试阀、水泵和整个装置运行状况。</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④控制系统包括现场控制柜、动力控制柜、以及试验控制台。</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（2）控制系统要求</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①</w:t>
            </w:r>
            <w:r>
              <w:rPr>
                <w:rFonts w:ascii="宋体" w:hAnsi="宋体" w:cs="宋体"/>
                <w:color w:val="000000" w:themeColor="text1"/>
                <w14:textFill>
                  <w14:solidFill>
                    <w14:schemeClr w14:val="tx1"/>
                  </w14:solidFill>
                </w14:textFill>
              </w:rPr>
              <w:t xml:space="preserve">依托组态软件开发上位程序，既可模拟流体流动状态，也可完成流体控制元件性能测试；能够实时采集各测点与试验设备运行数据，自动生成报表和趋势曲线。</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②控制系统后期需提供</w:t>
            </w:r>
            <w:r>
              <w:rPr>
                <w:rFonts w:ascii="宋体" w:hAnsi="宋体" w:cs="宋体"/>
                <w:color w:val="000000" w:themeColor="text1"/>
                <w14:textFill>
                  <w14:solidFill>
                    <w14:schemeClr w14:val="tx1"/>
                  </w14:solidFill>
                </w14:textFill>
              </w:rPr>
              <w:t xml:space="preserve">提供</w:t>
            </w:r>
            <w:r>
              <w:rPr>
                <w:rFonts w:hint="eastAsia" w:ascii="宋体" w:hAnsi="宋体" w:cs="宋体"/>
                <w:color w:val="000000" w:themeColor="text1"/>
                <w14:textFill>
                  <w14:solidFill>
                    <w14:schemeClr w14:val="tx1"/>
                  </w14:solidFill>
                </w14:textFill>
              </w:rPr>
              <w:t xml:space="preserve">不低于</w:t>
            </w:r>
            <w:r>
              <w:rPr>
                <w:rFonts w:ascii="宋体" w:hAnsi="宋体" w:cs="宋体"/>
                <w:color w:val="000000" w:themeColor="text1"/>
                <w14:textFill>
                  <w14:solidFill>
                    <w14:schemeClr w14:val="tx1"/>
                  </w14:solidFill>
                </w14:textFill>
              </w:rPr>
              <w:t xml:space="preserve">3年的免费升级服务</w:t>
            </w:r>
            <w:r>
              <w:rPr>
                <w:rFonts w:hint="eastAsia" w:ascii="宋体" w:hAnsi="宋体" w:cs="宋体"/>
                <w:color w:val="000000" w:themeColor="text1"/>
                <w14:textFill>
                  <w14:solidFill>
                    <w14:schemeClr w14:val="tx1"/>
                  </w14:solidFill>
                </w14:textFill>
              </w:rPr>
              <w:t xml:space="preserve">，满足测试技术发展的要求。</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（3）硬件设备要求</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①测控硬件由水泵、试验管道、稳压罐、阀门、流量变送器、压力变送器、压差变送器、温度变送器、数据采集器、通讯串口、计算机、变频控制柜等组成。</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②动力系统为四台泵并联，为试验提供介质循环，满足试验要求的流量和压差。每台水泵均配备变频器，实现泵的变频启动和调节。</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③测试管路和稳压罐等均采用304不锈钢（06Cr19Ni10）材质。</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④现场截断阀、调节阀等阀门均采用电动阀，实现集控室集中控制方式。阀门必须开关灵活。</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⑤试验装置最少设置五个规格的试验管道，可测验DN15-DN300全部规格的阀门。</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⑥各试验道路均安装有气动伸缩装置，保证不同结构长度的阀门都可安装测试。</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⑦现场控制柜设有接线快插接头，为不同电源要求的电动被试阀提供电源和信号接入。满足各种电源要求的被试阀现场就地接线，基本覆盖目前阀门行业电动阀门产品的全部电源要求。</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⑧试验装置选择的测量仪表精度不低于：流量计准确度等级1.0级；压力、压差传感器0.5级；温度传感器±1℃；压力表1.5级。</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▲3.设备安全系统技术要求</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（1）电控系统设有安全联锁保护装置及声光报警装置。</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（2）对于可能会出现危险的位置，设置安全警示。</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（3）控制台有紧急停机按钮，确保在紧急和危险的情况下，能使设备立即停止运行。</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▲5.产品配置清单</w:t>
            </w:r>
            <w:r/>
          </w:p>
          <w:tbl>
            <w:tblPr>
              <w:tblStyle w:val="9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1532"/>
              <w:gridCol w:w="3430"/>
              <w:gridCol w:w="1206"/>
              <w:gridCol w:w="1112"/>
            </w:tblGrid>
            <w:tr>
              <w:trPr>
                <w:jc w:val="center"/>
                <w:trHeight w:val="70"/>
              </w:trPr>
              <w:tc>
                <w:tcPr>
                  <w:tcW w:w="531" w:type="pct"/>
                  <w:vAlign w:val="center"/>
                  <w:textDirection w:val="lrTb"/>
                  <w:noWrap w:val="false"/>
                </w:tcPr>
                <w:p>
                  <w:pPr>
                    <w:ind w:firstLine="0"/>
                    <w:jc w:val="center"/>
                    <w:spacing w:line="240" w:lineRule="auto"/>
                    <w:rPr>
                      <w:rFonts w:hint="eastAsia" w:ascii="宋体" w:hAnsi="宋体" w:cs="宋体"/>
                      <w:b/>
                      <w:bCs/>
                    </w:rPr>
                  </w:pPr>
                  <w:r>
                    <w:rPr>
                      <w:rFonts w:hint="eastAsia" w:ascii="宋体" w:hAnsi="宋体" w:cs="宋体"/>
                      <w:b/>
                      <w:bCs/>
                    </w:rPr>
                    <w:t xml:space="preserve">序号</w:t>
                  </w:r>
                  <w:r/>
                </w:p>
              </w:tc>
              <w:tc>
                <w:tcPr>
                  <w:tcW w:w="940" w:type="pct"/>
                  <w:vAlign w:val="center"/>
                  <w:textDirection w:val="lrTb"/>
                  <w:noWrap w:val="false"/>
                </w:tcPr>
                <w:p>
                  <w:pPr>
                    <w:ind w:firstLine="0"/>
                    <w:jc w:val="center"/>
                    <w:spacing w:line="240" w:lineRule="auto"/>
                    <w:rPr>
                      <w:rFonts w:hint="eastAsia" w:ascii="宋体" w:hAnsi="宋体" w:cs="宋体"/>
                      <w:b/>
                      <w:bCs/>
                    </w:rPr>
                  </w:pPr>
                  <w:r>
                    <w:rPr>
                      <w:rFonts w:hint="eastAsia" w:ascii="宋体" w:hAnsi="宋体" w:cs="宋体"/>
                      <w:b/>
                      <w:bCs/>
                    </w:rPr>
                    <w:t xml:space="preserve">名称</w:t>
                  </w:r>
                  <w:r/>
                </w:p>
              </w:tc>
              <w:tc>
                <w:tcPr>
                  <w:tcW w:w="2105" w:type="pct"/>
                  <w:vAlign w:val="center"/>
                  <w:textDirection w:val="lrTb"/>
                  <w:noWrap w:val="false"/>
                </w:tcPr>
                <w:p>
                  <w:pPr>
                    <w:ind w:firstLine="0"/>
                    <w:jc w:val="center"/>
                    <w:spacing w:line="240" w:lineRule="auto"/>
                    <w:rPr>
                      <w:rFonts w:hint="eastAsia" w:ascii="宋体" w:hAnsi="宋体" w:cs="宋体"/>
                      <w:b/>
                      <w:bCs/>
                    </w:rPr>
                  </w:pPr>
                  <w:r>
                    <w:rPr>
                      <w:rFonts w:hint="eastAsia" w:ascii="宋体" w:hAnsi="宋体" w:cs="宋体"/>
                      <w:b/>
                      <w:bCs/>
                    </w:rPr>
                    <w:t xml:space="preserve">内容</w:t>
                  </w:r>
                  <w:r/>
                </w:p>
              </w:tc>
              <w:tc>
                <w:tcPr>
                  <w:tcW w:w="740" w:type="pct"/>
                  <w:vAlign w:val="center"/>
                  <w:textDirection w:val="lrTb"/>
                  <w:noWrap w:val="false"/>
                </w:tcPr>
                <w:p>
                  <w:pPr>
                    <w:ind w:firstLine="0"/>
                    <w:jc w:val="center"/>
                    <w:spacing w:line="240" w:lineRule="auto"/>
                    <w:rPr>
                      <w:rFonts w:hint="eastAsia" w:ascii="宋体" w:hAnsi="宋体" w:cs="宋体"/>
                      <w:b/>
                      <w:bCs/>
                    </w:rPr>
                  </w:pPr>
                  <w:r>
                    <w:rPr>
                      <w:rFonts w:hint="eastAsia" w:ascii="宋体" w:hAnsi="宋体" w:cs="宋体"/>
                      <w:b/>
                      <w:bCs/>
                    </w:rPr>
                    <w:t xml:space="preserve">数量</w:t>
                  </w:r>
                  <w:r/>
                </w:p>
              </w:tc>
              <w:tc>
                <w:tcPr>
                  <w:tcW w:w="682" w:type="pct"/>
                  <w:vAlign w:val="center"/>
                  <w:textDirection w:val="lrTb"/>
                  <w:noWrap w:val="false"/>
                </w:tcPr>
                <w:p>
                  <w:pPr>
                    <w:ind w:firstLine="0"/>
                    <w:jc w:val="center"/>
                    <w:spacing w:line="240" w:lineRule="auto"/>
                    <w:rPr>
                      <w:rFonts w:hint="eastAsia" w:ascii="宋体" w:hAnsi="宋体" w:cs="宋体"/>
                      <w:b/>
                      <w:bCs/>
                    </w:rPr>
                  </w:pPr>
                  <w:r>
                    <w:rPr>
                      <w:rFonts w:hint="eastAsia" w:ascii="宋体" w:hAnsi="宋体" w:cs="宋体"/>
                      <w:b/>
                      <w:bCs/>
                    </w:rPr>
                    <w:t xml:space="preserve">备注</w:t>
                  </w:r>
                  <w:r/>
                </w:p>
              </w:tc>
            </w:tr>
            <w:tr>
              <w:trPr>
                <w:jc w:val="center"/>
                <w:trHeight w:val="70"/>
              </w:trPr>
              <w:tc>
                <w:tcPr>
                  <w:tcW w:w="531"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1</w:t>
                  </w:r>
                  <w:r/>
                </w:p>
              </w:tc>
              <w:tc>
                <w:tcPr>
                  <w:tcW w:w="940"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离心水泵组</w:t>
                  </w:r>
                  <w:r/>
                </w:p>
              </w:tc>
              <w:tc>
                <w:tcPr>
                  <w:tcW w:w="2105"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w:t>
                  </w:r>
                  <w:r/>
                </w:p>
              </w:tc>
              <w:tc>
                <w:tcPr>
                  <w:tcW w:w="740"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4</w:t>
                  </w:r>
                  <w:r/>
                </w:p>
              </w:tc>
              <w:tc>
                <w:tcPr>
                  <w:tcW w:w="682"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r>
                  <w:r/>
                </w:p>
              </w:tc>
            </w:tr>
            <w:tr>
              <w:trPr>
                <w:jc w:val="center"/>
                <w:trHeight w:val="70"/>
              </w:trPr>
              <w:tc>
                <w:tcPr>
                  <w:tcW w:w="531"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2</w:t>
                  </w:r>
                  <w:r/>
                </w:p>
              </w:tc>
              <w:tc>
                <w:tcPr>
                  <w:tcW w:w="940"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稳压系统</w:t>
                  </w:r>
                  <w:r/>
                </w:p>
              </w:tc>
              <w:tc>
                <w:tcPr>
                  <w:tcW w:w="2105"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稳压罐、集分水器等</w:t>
                  </w:r>
                  <w:r/>
                </w:p>
              </w:tc>
              <w:tc>
                <w:tcPr>
                  <w:tcW w:w="740"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w:t>
                  </w:r>
                  <w:r/>
                </w:p>
              </w:tc>
              <w:tc>
                <w:tcPr>
                  <w:tcW w:w="682"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不锈钢</w:t>
                  </w:r>
                  <w:r/>
                </w:p>
              </w:tc>
            </w:tr>
            <w:tr>
              <w:trPr>
                <w:jc w:val="center"/>
                <w:trHeight w:val="70"/>
              </w:trPr>
              <w:tc>
                <w:tcPr>
                  <w:tcW w:w="531"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3</w:t>
                  </w:r>
                  <w:r/>
                </w:p>
              </w:tc>
              <w:tc>
                <w:tcPr>
                  <w:tcW w:w="940"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管路部件及附件</w:t>
                  </w:r>
                  <w:r/>
                </w:p>
              </w:tc>
              <w:tc>
                <w:tcPr>
                  <w:tcW w:w="2105"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管路部件、气动伸缩器、托架、变径管、法兰等</w:t>
                  </w:r>
                  <w:r/>
                </w:p>
              </w:tc>
              <w:tc>
                <w:tcPr>
                  <w:tcW w:w="740"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w:t>
                  </w:r>
                  <w:r/>
                </w:p>
              </w:tc>
              <w:tc>
                <w:tcPr>
                  <w:tcW w:w="682"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不锈钢</w:t>
                  </w:r>
                  <w:r/>
                </w:p>
              </w:tc>
            </w:tr>
            <w:tr>
              <w:trPr>
                <w:jc w:val="center"/>
                <w:trHeight w:val="70"/>
              </w:trPr>
              <w:tc>
                <w:tcPr>
                  <w:tcW w:w="531"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4</w:t>
                  </w:r>
                  <w:r/>
                </w:p>
              </w:tc>
              <w:tc>
                <w:tcPr>
                  <w:tcW w:w="940"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管路阀门</w:t>
                  </w:r>
                  <w:r/>
                </w:p>
              </w:tc>
              <w:tc>
                <w:tcPr>
                  <w:tcW w:w="2105"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调节阀、开关阀等</w:t>
                  </w:r>
                  <w:r/>
                </w:p>
              </w:tc>
              <w:tc>
                <w:tcPr>
                  <w:tcW w:w="740"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w:t>
                  </w:r>
                  <w:r/>
                </w:p>
              </w:tc>
              <w:tc>
                <w:tcPr>
                  <w:tcW w:w="682"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电动</w:t>
                  </w:r>
                  <w:r/>
                </w:p>
              </w:tc>
            </w:tr>
            <w:tr>
              <w:trPr>
                <w:jc w:val="center"/>
                <w:trHeight w:val="70"/>
              </w:trPr>
              <w:tc>
                <w:tcPr>
                  <w:tcW w:w="531"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5</w:t>
                  </w:r>
                  <w:r/>
                </w:p>
              </w:tc>
              <w:tc>
                <w:tcPr>
                  <w:tcW w:w="940"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测试仪器仪表</w:t>
                  </w:r>
                  <w:r/>
                </w:p>
              </w:tc>
              <w:tc>
                <w:tcPr>
                  <w:tcW w:w="2105"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流量、压力、压差、温度变送器、变频器、工控机、数据采集器、PLC、监控等 </w:t>
                  </w:r>
                  <w:r/>
                </w:p>
              </w:tc>
              <w:tc>
                <w:tcPr>
                  <w:tcW w:w="740"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w:t>
                  </w:r>
                  <w:r/>
                </w:p>
              </w:tc>
              <w:tc>
                <w:tcPr>
                  <w:tcW w:w="682"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r>
                  <w:r/>
                </w:p>
              </w:tc>
            </w:tr>
            <w:tr>
              <w:trPr>
                <w:jc w:val="center"/>
                <w:trHeight w:val="70"/>
              </w:trPr>
              <w:tc>
                <w:tcPr>
                  <w:tcW w:w="531"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6</w:t>
                  </w:r>
                  <w:r/>
                </w:p>
              </w:tc>
              <w:tc>
                <w:tcPr>
                  <w:tcW w:w="940"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控制柜</w:t>
                  </w:r>
                  <w:r/>
                </w:p>
              </w:tc>
              <w:tc>
                <w:tcPr>
                  <w:tcW w:w="2105"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动力柜、试验控制柜、调节表等</w:t>
                  </w:r>
                  <w:r/>
                </w:p>
              </w:tc>
              <w:tc>
                <w:tcPr>
                  <w:tcW w:w="740"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w:t>
                  </w:r>
                  <w:r/>
                </w:p>
              </w:tc>
              <w:tc>
                <w:tcPr>
                  <w:tcW w:w="682" w:type="pct"/>
                  <w:vAlign w:val="center"/>
                  <w:textDirection w:val="lrTb"/>
                  <w:noWrap w:val="false"/>
                </w:tcPr>
                <w:p>
                  <w:pPr>
                    <w:ind w:firstLine="0"/>
                    <w:jc w:val="center"/>
                    <w:spacing w:line="240" w:lineRule="auto"/>
                    <w:rPr>
                      <w:rFonts w:hint="eastAsia" w:ascii="宋体" w:hAnsi="宋体" w:cs="宋体"/>
                    </w:rPr>
                  </w:pPr>
                  <w:r>
                    <w:rPr>
                      <w:rFonts w:hint="eastAsia" w:ascii="宋体" w:hAnsi="宋体" w:cs="宋体"/>
                    </w:rPr>
                  </w:r>
                  <w:r/>
                </w:p>
              </w:tc>
            </w:tr>
          </w:tbl>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bl>
    <w:p>
      <w:pPr>
        <w:pStyle w:val="922"/>
        <w:ind w:firstLine="0"/>
        <w:tabs>
          <w:tab w:val="left" w:pos="960" w:leader="none"/>
        </w:tabs>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采购包2：</w:t>
      </w:r>
      <w:r/>
    </w:p>
    <w:tbl>
      <w:tblPr>
        <w:tblStyle w:val="9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457"/>
        <w:gridCol w:w="8374"/>
      </w:tblGrid>
      <w:tr>
        <w:trPr>
          <w:trHeight w:val="170"/>
        </w:trPr>
        <w:tc>
          <w:tcPr>
            <w:tcW w:w="246"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序号</w:t>
            </w:r>
            <w:r/>
          </w:p>
        </w:tc>
        <w:tc>
          <w:tcPr>
            <w:tcW w:w="246"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名称</w:t>
            </w:r>
            <w:r/>
          </w:p>
        </w:tc>
        <w:tc>
          <w:tcPr>
            <w:tcW w:w="4507"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技术要求</w:t>
            </w:r>
            <w:r/>
          </w:p>
        </w:tc>
      </w:tr>
      <w:tr>
        <w:trPr>
          <w:trHeight w:val="170"/>
        </w:trPr>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阀门寿命测试机</w:t>
            </w:r>
            <w:r/>
          </w:p>
        </w:tc>
        <w:tc>
          <w:tcPr>
            <w:tcW w:w="4507" w:type="pct"/>
            <w:vAlign w:val="center"/>
            <w:textDirection w:val="lrTb"/>
            <w:noWrap w:val="false"/>
          </w:tcPr>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1.DN100~DN400 最大试验压力：≥30Mpa，具有寿命试验通能：能够实时显示压力——时间曲线的动态数据采集系统。</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2.结构与功能</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▲（1）抱压式阀门试压机有左、右两个工作位，左工作位可以前后移动以适应不同规格长度的被测阀门。</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▲（2）每个工作位上装有3只夹紧油缸，组成一套可移动的压爪抱紧机构，可根据阀门的法兰大小来同步调整压爪的位置。</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▲（3）左工作位可翻转≥90°。</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（4）密封方式：端面O型圈密封。</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（5）底架设有集水盘，装储试验用水，以及收集做完试验后阀门里面的水。</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（6）设备带阀门开关扭矩控制。</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▲（7）设备具备阀门寿命试验功能。</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3.技术参数要求</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▲（1）设备的水系统为循环系统，试压时低压水泵以较大的流量向阀门腔内注满水，低压水注满后，设备自动启动高压泵将阀门腔内的水加压到设定的压力值，并自动进入保压状态。</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设备具有带压保护功能：夹紧油缸的放松，与被测阀门腔体内试验介质的压力之间，有安全锁定控制，当被测阀门腔体内的试验介质有压力时，夹紧油缸将无法放松，当且仅当被测阀门腔体内试验介质的压力泄放后，夹紧油缸才能放松。</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▲（3）水系统的增压由高压增压泵实现，高压增压泵最高输出压力≥70MPa。</w:t>
            </w:r>
            <w:r>
              <w:rPr>
                <w:color w:val="000000" w:themeColor="text1"/>
                <w14:textFill>
                  <w14:solidFill>
                    <w14:schemeClr w14:val="tx1"/>
                  </w14:solidFill>
                </w14:textFill>
              </w:rPr>
              <w:t xml:space="preserve">配置高压气泵，最高输出压力</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50MPa。</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（4）压力采集以压力变送器为主，预留机械压力表取压接口，压力表径向连接。</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（5）预留外接压力输出接口。</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（6）试验介质通过左、右盲板中心孔进入被测阀门，可以双边进水或低压气。</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（7）电气控制安装剩余电流动作断路器对电气系统的漏电、短路、过载进行保护。</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（8）电气系统使用PLC可编辑控制器，方便布线与控制。</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▲（9）试验压力范围：口径压力：DN100：PN100-PN250；DN125：PN50-PN250；DN150：PN16-PN250；DN200：PN16-PN200；DN250：PN16-P150；DN300：PN16-PN100；DN350：PN16-PN64；DN400：PN16-PN50。</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（10）盲板间距：250-1220mm。</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（12）阀门法兰直径：φ275-φ650mm。</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（13）夹爪到盲板的距离：15-110mm。</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（14）夹紧油缸：左右各3只，缸径φ180mm。</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（15）扭矩传感器量程：≥6000Nm。</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4.配置要求</w:t>
            </w:r>
            <w:r/>
          </w:p>
          <w:p>
            <w:pPr>
              <w:ind w:left="425" w:hanging="425"/>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）试验数据记录系统：数量1套，</w:t>
            </w:r>
            <w:r/>
          </w:p>
          <w:p>
            <w:pPr>
              <w:ind w:left="425" w:hanging="425"/>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）工业电脑：数量1台，配置：≥15寸平板/CPU:I7/内存: 32G/硬盘:1T </w:t>
            </w:r>
            <w:r/>
          </w:p>
          <w:p>
            <w:pPr>
              <w:ind w:left="425" w:hanging="425"/>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）压力变送器，数量2个，</w:t>
            </w:r>
            <w:r/>
          </w:p>
          <w:p>
            <w:pPr>
              <w:ind w:left="425" w:hanging="425"/>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）电器元件，数量1套，</w:t>
            </w:r>
            <w:r/>
          </w:p>
          <w:p>
            <w:pPr>
              <w:ind w:left="425" w:hanging="425"/>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）PLC数量1套，</w:t>
            </w:r>
            <w:r/>
          </w:p>
          <w:p>
            <w:pPr>
              <w:ind w:left="425" w:hanging="425"/>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6</w:t>
            </w:r>
            <w:r>
              <w:rPr>
                <w:rFonts w:hint="eastAsia"/>
                <w:color w:val="000000" w:themeColor="text1"/>
                <w14:textFill>
                  <w14:solidFill>
                    <w14:schemeClr w14:val="tx1"/>
                  </w14:solidFill>
                </w14:textFill>
              </w:rPr>
              <w:t xml:space="preserve">）气动电磁阀，数量≥7个，</w:t>
            </w:r>
            <w:r/>
          </w:p>
          <w:p>
            <w:pPr>
              <w:ind w:left="425" w:hanging="425"/>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7</w:t>
            </w:r>
            <w:r>
              <w:rPr>
                <w:rFonts w:hint="eastAsia"/>
                <w:color w:val="000000" w:themeColor="text1"/>
                <w14:textFill>
                  <w14:solidFill>
                    <w14:schemeClr w14:val="tx1"/>
                  </w14:solidFill>
                </w14:textFill>
              </w:rPr>
              <w:t xml:space="preserve">）液压电磁阀，数量≥15个</w:t>
            </w:r>
            <w:r/>
          </w:p>
          <w:p>
            <w:pPr>
              <w:ind w:left="425" w:hanging="425"/>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8</w:t>
            </w:r>
            <w:r>
              <w:rPr>
                <w:rFonts w:hint="eastAsia"/>
                <w:color w:val="000000" w:themeColor="text1"/>
                <w14:textFill>
                  <w14:solidFill>
                    <w14:schemeClr w14:val="tx1"/>
                  </w14:solidFill>
                </w14:textFill>
              </w:rPr>
              <w:t xml:space="preserve">）低压水泵：数量1台，</w:t>
            </w:r>
            <w:r/>
          </w:p>
          <w:p>
            <w:pPr>
              <w:ind w:left="425" w:hanging="425"/>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9</w:t>
            </w:r>
            <w:r>
              <w:rPr>
                <w:rFonts w:hint="eastAsia"/>
                <w:color w:val="000000" w:themeColor="text1"/>
                <w14:textFill>
                  <w14:solidFill>
                    <w14:schemeClr w14:val="tx1"/>
                  </w14:solidFill>
                </w14:textFill>
              </w:rPr>
              <w:t xml:space="preserve">）高压气驱泵：数量2台，</w:t>
            </w:r>
            <w:r/>
          </w:p>
          <w:p>
            <w:pPr>
              <w:ind w:left="425" w:hanging="425"/>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0）操作手册：数量1本，纸版</w:t>
            </w:r>
            <w:r/>
          </w:p>
          <w:p>
            <w:pPr>
              <w:ind w:left="425" w:hanging="425"/>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（11）合格证：一套</w:t>
            </w:r>
            <w:r/>
          </w:p>
          <w:p>
            <w:pPr>
              <w:ind w:left="425" w:hanging="425"/>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（12）电气原理图、水气管路图、液压原理图：各一份</w:t>
            </w:r>
            <w:r/>
          </w:p>
          <w:p>
            <w:pPr>
              <w:ind w:left="425" w:hanging="425"/>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（13）易损件清单：一份</w:t>
            </w:r>
            <w:r/>
          </w:p>
          <w:p>
            <w:pPr>
              <w:ind w:left="425" w:hanging="425"/>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（14）设备密封圈清单：一份</w:t>
            </w:r>
            <w:r/>
          </w:p>
          <w:p>
            <w:pPr>
              <w:ind w:left="425" w:hanging="425"/>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（15）密封盘图纸：一套</w:t>
            </w:r>
            <w:r/>
          </w:p>
        </w:tc>
      </w:tr>
      <w:tr>
        <w:trPr>
          <w:trHeight w:val="170"/>
        </w:trPr>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p>
        </w:tc>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阀门测试机</w:t>
            </w:r>
            <w:r/>
          </w:p>
        </w:tc>
        <w:tc>
          <w:tcPr>
            <w:tcW w:w="4507" w:type="pct"/>
            <w:vAlign w:val="center"/>
            <w:textDirection w:val="lrTb"/>
            <w:noWrap w:val="false"/>
          </w:tcPr>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1.DN300～DN1000 用于蝶阀的高压水壳体、密封试验，以及低压气密封试验。最大试验压力：≥22.5Mpa，具有能够实时显示压力——时间曲线的动态数据采集系统。</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2.结构与功能</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▲（1）双工位分体结构，左边为小口径工位，右边为大口径工位，控制柜放置在中间。</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▲（2）可根据适用阀门法兰大小同步收拢、张开、上升、下降的夹爪抱紧机构。夹紧油缸轴向运动采用精密液压同步马达控制，实现同步上升和下降。</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▲（3）夹紧方式为被测阀门整体抱压式。</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（4）工作盘下面设有集水盘，装储试验用水，以及收集做完试验后阀门里面的水。</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（5）预留一路外接压力输出接口，螺纹M22X1.5,平面O型圈密封。</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（6）测试项目：高压水试验、低压气试验（0.6～0.8MPa）。</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3.技术参数要求</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▲（1）双工位共用液压系统和水系统。可以只使用一个工位或多工位同时试压（必须试验相同的压力）。</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设备的水系统为循环系统，试压时低压水泵以较大的流量向阀门腔内注满水，低压水注满后，设备自动启动高压泵将阀门腔内的水加压到设定的压力值，并自动进入保压状态，保压时间到达设定的值后，保压结束，指示灯点亮。</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设备具有带压保护功能：夹紧油缸的放松，与被测阀门腔体内试验介质的压力之间，有安全锁定控制，当被测阀门腔体内的试验介质有压力时，夹紧油缸将无法放松，当且仅当被测阀门腔体内试验介质的压力泄放后，夹紧油缸才能放松。</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▲（4）水系统的增压由高压增压泵实现，高压增压泵最高输出压力≥50MPa。</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▲（5）试验介质的压力由压力传感器采集。压力传感器精度0.5级，采集的压力在数显表上显示。左右工位各预留一个压力表快速接口（接口所使用的压力表由客户自备）</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（6）试验介质管路为不锈钢管路，控制阀为气控阀。</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（7）试验介质通过下方工作盘中心孔进入被测阀门。</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（8）电气控制安装剩余电流动作断路器对电气系统的漏电、短路、过载 进行保护。</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▲（9）电气系统使用PLC可编辑控制器，方便布线与控制。</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▲（10）试验压力范围：</w:t>
            </w:r>
            <w:r/>
          </w:p>
          <w:tbl>
            <w:tblPr>
              <w:tblStyle w:val="9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04"/>
              <w:gridCol w:w="2007"/>
              <w:gridCol w:w="2259"/>
              <w:gridCol w:w="1878"/>
            </w:tblGrid>
            <w:tr>
              <w:trPr/>
              <w:tc>
                <w:tcPr>
                  <w:gridSpan w:val="2"/>
                  <w:tcW w:w="2461" w:type="pct"/>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左工位</w:t>
                  </w:r>
                  <w:r/>
                </w:p>
              </w:tc>
              <w:tc>
                <w:tcPr>
                  <w:gridSpan w:val="2"/>
                  <w:tcW w:w="2538" w:type="pct"/>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右工位</w:t>
                  </w:r>
                  <w:r/>
                </w:p>
              </w:tc>
            </w:tr>
            <w:tr>
              <w:trPr/>
              <w:tc>
                <w:tcPr>
                  <w:tcW w:w="1230" w:type="pct"/>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DN300-DN350</w:t>
                  </w:r>
                  <w:r/>
                </w:p>
              </w:tc>
              <w:tc>
                <w:tcPr>
                  <w:tcW w:w="1230" w:type="pct"/>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PN10-PN64</w:t>
                  </w:r>
                  <w:r/>
                </w:p>
              </w:tc>
              <w:tc>
                <w:tcPr>
                  <w:tcW w:w="1386" w:type="pct"/>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DN350</w:t>
                  </w:r>
                  <w:r/>
                </w:p>
              </w:tc>
              <w:tc>
                <w:tcPr>
                  <w:tcW w:w="1152" w:type="pct"/>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PN150</w:t>
                  </w:r>
                  <w:r/>
                </w:p>
              </w:tc>
            </w:tr>
            <w:tr>
              <w:trPr/>
              <w:tc>
                <w:tcPr>
                  <w:tcW w:w="1230" w:type="pct"/>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DN400</w:t>
                  </w:r>
                  <w:r/>
                </w:p>
              </w:tc>
              <w:tc>
                <w:tcPr>
                  <w:tcW w:w="1230" w:type="pct"/>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PN10-PN40</w:t>
                  </w:r>
                  <w:r/>
                </w:p>
              </w:tc>
              <w:tc>
                <w:tcPr>
                  <w:tcW w:w="1386" w:type="pct"/>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DN400</w:t>
                  </w:r>
                  <w:r/>
                </w:p>
              </w:tc>
              <w:tc>
                <w:tcPr>
                  <w:tcW w:w="1152" w:type="pct"/>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PN50-PN150</w:t>
                  </w:r>
                  <w:r/>
                </w:p>
              </w:tc>
            </w:tr>
            <w:tr>
              <w:trPr/>
              <w:tc>
                <w:tcPr>
                  <w:tcW w:w="1230" w:type="pct"/>
                  <w:vMerge w:val="restart"/>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DN450-DN500</w:t>
                  </w:r>
                  <w:r/>
                </w:p>
              </w:tc>
              <w:tc>
                <w:tcPr>
                  <w:tcW w:w="1230" w:type="pct"/>
                  <w:vMerge w:val="restart"/>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PN10-PN25</w:t>
                  </w:r>
                  <w:r/>
                </w:p>
              </w:tc>
              <w:tc>
                <w:tcPr>
                  <w:tcW w:w="1386" w:type="pct"/>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DN500</w:t>
                  </w:r>
                  <w:r/>
                </w:p>
              </w:tc>
              <w:tc>
                <w:tcPr>
                  <w:tcW w:w="1152" w:type="pct"/>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PN10-PN100</w:t>
                  </w:r>
                  <w:r/>
                </w:p>
              </w:tc>
            </w:tr>
            <w:tr>
              <w:trPr/>
              <w:tc>
                <w:tcPr>
                  <w:tcW w:w="1230" w:type="pct"/>
                  <w:vMerge w:val="continue"/>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r>
                  <w:r/>
                </w:p>
              </w:tc>
              <w:tc>
                <w:tcPr>
                  <w:tcW w:w="1230" w:type="pct"/>
                  <w:vMerge w:val="continue"/>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r>
                  <w:r/>
                </w:p>
              </w:tc>
              <w:tc>
                <w:tcPr>
                  <w:tcW w:w="1386" w:type="pct"/>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DN600</w:t>
                  </w:r>
                  <w:r/>
                </w:p>
              </w:tc>
              <w:tc>
                <w:tcPr>
                  <w:tcW w:w="1152" w:type="pct"/>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PN10-PN64</w:t>
                  </w:r>
                  <w:r/>
                </w:p>
              </w:tc>
            </w:tr>
            <w:tr>
              <w:trPr/>
              <w:tc>
                <w:tcPr>
                  <w:tcW w:w="1230" w:type="pct"/>
                  <w:vMerge w:val="continue"/>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r>
                  <w:r/>
                </w:p>
              </w:tc>
              <w:tc>
                <w:tcPr>
                  <w:tcW w:w="1230" w:type="pct"/>
                  <w:vMerge w:val="continue"/>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r>
                  <w:r/>
                </w:p>
              </w:tc>
              <w:tc>
                <w:tcPr>
                  <w:tcW w:w="1386" w:type="pct"/>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DN700</w:t>
                  </w:r>
                  <w:r/>
                </w:p>
              </w:tc>
              <w:tc>
                <w:tcPr>
                  <w:tcW w:w="1152" w:type="pct"/>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PN10-PN50</w:t>
                  </w:r>
                  <w:r/>
                </w:p>
              </w:tc>
            </w:tr>
            <w:tr>
              <w:trPr/>
              <w:tc>
                <w:tcPr>
                  <w:tcW w:w="1230" w:type="pct"/>
                  <w:vMerge w:val="continue"/>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r>
                  <w:r/>
                </w:p>
              </w:tc>
              <w:tc>
                <w:tcPr>
                  <w:tcW w:w="1230" w:type="pct"/>
                  <w:vMerge w:val="continue"/>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r>
                  <w:r/>
                </w:p>
              </w:tc>
              <w:tc>
                <w:tcPr>
                  <w:tcW w:w="1386" w:type="pct"/>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DN800</w:t>
                  </w:r>
                  <w:r/>
                </w:p>
              </w:tc>
              <w:tc>
                <w:tcPr>
                  <w:tcW w:w="1152" w:type="pct"/>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PN10-PN40</w:t>
                  </w:r>
                  <w:r/>
                </w:p>
              </w:tc>
            </w:tr>
            <w:tr>
              <w:trPr/>
              <w:tc>
                <w:tcPr>
                  <w:tcW w:w="1230" w:type="pct"/>
                  <w:vMerge w:val="continue"/>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r>
                  <w:r/>
                </w:p>
              </w:tc>
              <w:tc>
                <w:tcPr>
                  <w:tcW w:w="1230" w:type="pct"/>
                  <w:vMerge w:val="continue"/>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r>
                  <w:r/>
                </w:p>
              </w:tc>
              <w:tc>
                <w:tcPr>
                  <w:tcW w:w="1386" w:type="pct"/>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DN900-DN1000</w:t>
                  </w:r>
                  <w:r/>
                </w:p>
              </w:tc>
              <w:tc>
                <w:tcPr>
                  <w:tcW w:w="1152" w:type="pct"/>
                  <w:textDirection w:val="lrTb"/>
                  <w:noWrap w:val="false"/>
                </w:tcPr>
                <w:p>
                  <w:pPr>
                    <w:pStyle w:val="922"/>
                    <w:ind w:firstLine="0"/>
                    <w:jc w:val="center"/>
                    <w:spacing w:before="0" w:after="0" w:line="240" w:lineRule="auto"/>
                    <w:rPr>
                      <w:rFonts w:hint="eastAsia"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PN10-PN25</w:t>
                  </w:r>
                  <w:r/>
                </w:p>
              </w:tc>
            </w:tr>
          </w:tbl>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（11）夹爪到工作盘距离：左工位：300-600mm  右工位：500-1100mm。</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（12）阀门法兰直径：左工位：445-730mm  右工位：670-1320mm。</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（13）夹紧油缸：左工位4只，缸径φ140mm  右工位4只，缸径φ250mm。</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4.配置要求</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）试验数据记录系统：数量1套</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）工业电脑：数量1台，不低于15存平板电脑/CPU:I7/内存: 32G/硬盘:1T </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）压力变送器，数量3个</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）电器元件，数量1套</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）PLC数量1套</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6</w:t>
            </w:r>
            <w:r>
              <w:rPr>
                <w:rFonts w:hint="eastAsia"/>
                <w:color w:val="000000" w:themeColor="text1"/>
                <w14:textFill>
                  <w14:solidFill>
                    <w14:schemeClr w14:val="tx1"/>
                  </w14:solidFill>
                </w14:textFill>
              </w:rPr>
              <w:t xml:space="preserve">）气动电磁阀，数量≥6个</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7</w:t>
            </w:r>
            <w:r>
              <w:rPr>
                <w:rFonts w:hint="eastAsia"/>
                <w:color w:val="000000" w:themeColor="text1"/>
                <w14:textFill>
                  <w14:solidFill>
                    <w14:schemeClr w14:val="tx1"/>
                  </w14:solidFill>
                </w14:textFill>
              </w:rPr>
              <w:t xml:space="preserve">）液压电磁阀，数量≥6个</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8</w:t>
            </w:r>
            <w:r>
              <w:rPr>
                <w:rFonts w:hint="eastAsia"/>
                <w:color w:val="000000" w:themeColor="text1"/>
                <w14:textFill>
                  <w14:solidFill>
                    <w14:schemeClr w14:val="tx1"/>
                  </w14:solidFill>
                </w14:textFill>
              </w:rPr>
              <w:t xml:space="preserve">）低压水泵：数量1台</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9</w:t>
            </w:r>
            <w:r>
              <w:rPr>
                <w:rFonts w:hint="eastAsia"/>
                <w:color w:val="000000" w:themeColor="text1"/>
                <w14:textFill>
                  <w14:solidFill>
                    <w14:schemeClr w14:val="tx1"/>
                  </w14:solidFill>
                </w14:textFill>
              </w:rPr>
              <w:t xml:space="preserve">）高压气驱泵：数量2台</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0）操作手册：数量1本，纸版</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（11）合格证：一套</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（12）电气原理图、水气管路图、液压原理图：各一份</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（13）易损件清单：一份</w:t>
            </w:r>
            <w:r/>
          </w:p>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（14）设备密封圈清单：一份</w:t>
            </w:r>
            <w:r/>
          </w:p>
        </w:tc>
      </w:tr>
      <w:tr>
        <w:trPr>
          <w:trHeight w:val="90"/>
        </w:trPr>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p>
        </w:tc>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应变硬化试验机</w:t>
            </w:r>
            <w:r/>
          </w:p>
        </w:tc>
        <w:tc>
          <w:tcPr>
            <w:tcW w:w="4507"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1.符合标准：试验方法符合GB/T 40919-2021《管道系统用聚乙烯材料与慢速裂纹增长相关的应变硬化模量的测定》标准。</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2.主机参数：</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）最大试验力：≥10kN</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）试验机级别：</w:t>
            </w:r>
            <w:r>
              <w:rPr>
                <w:rFonts w:hint="eastAsia"/>
                <w:color w:val="000000" w:themeColor="text1"/>
                <w:lang w:val="en"/>
                <w14:textFill>
                  <w14:solidFill>
                    <w14:schemeClr w14:val="tx1"/>
                  </w14:solidFill>
                </w14:textFill>
              </w:rPr>
              <w:t xml:space="preserve">≤</w:t>
            </w:r>
            <w:r>
              <w:rPr>
                <w:rFonts w:hint="eastAsia"/>
                <w:color w:val="000000" w:themeColor="text1"/>
                <w14:textFill>
                  <w14:solidFill>
                    <w14:schemeClr w14:val="tx1"/>
                  </w14:solidFill>
                </w14:textFill>
              </w:rPr>
              <w:t xml:space="preserve">0.5级</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）试验力测量范围：0.4%～100%FS</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）试验力示值相对误差：±0.5%以内</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）试验力分辨力：</w:t>
            </w:r>
            <w:r>
              <w:rPr>
                <w:rFonts w:hint="eastAsia"/>
                <w:color w:val="000000" w:themeColor="text1"/>
                <w:lang w:val="en"/>
                <w14:textFill>
                  <w14:solidFill>
                    <w14:schemeClr w14:val="tx1"/>
                  </w14:solidFill>
                </w14:textFill>
              </w:rPr>
              <w:t xml:space="preserve">≤</w:t>
            </w:r>
            <w:r>
              <w:rPr>
                <w:rFonts w:hint="eastAsia"/>
                <w:color w:val="000000" w:themeColor="text1"/>
                <w14:textFill>
                  <w14:solidFill>
                    <w14:schemeClr w14:val="tx1"/>
                  </w14:solidFill>
                </w14:textFill>
              </w:rPr>
              <w:t xml:space="preserve">1/300000FS</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6</w:t>
            </w:r>
            <w:r>
              <w:rPr>
                <w:rFonts w:hint="eastAsia"/>
                <w:color w:val="000000" w:themeColor="text1"/>
                <w14:textFill>
                  <w14:solidFill>
                    <w14:schemeClr w14:val="tx1"/>
                  </w14:solidFill>
                </w14:textFill>
              </w:rPr>
              <w:t xml:space="preserve">）横梁位移示值相对误差：±0.50%以内</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7</w:t>
            </w:r>
            <w:r>
              <w:rPr>
                <w:rFonts w:hint="eastAsia"/>
                <w:color w:val="000000" w:themeColor="text1"/>
                <w14:textFill>
                  <w14:solidFill>
                    <w14:schemeClr w14:val="tx1"/>
                  </w14:solidFill>
                </w14:textFill>
              </w:rPr>
              <w:t xml:space="preserve">）位移分辨力：</w:t>
            </w:r>
            <w:r>
              <w:rPr>
                <w:rFonts w:hint="eastAsia"/>
                <w:color w:val="000000" w:themeColor="text1"/>
                <w:lang w:val="en"/>
                <w14:textFill>
                  <w14:solidFill>
                    <w14:schemeClr w14:val="tx1"/>
                  </w14:solidFill>
                </w14:textFill>
              </w:rPr>
              <w:t xml:space="preserve">≤</w:t>
            </w:r>
            <w:r>
              <w:rPr>
                <w:rFonts w:hint="eastAsia"/>
                <w:color w:val="000000" w:themeColor="text1"/>
                <w14:textFill>
                  <w14:solidFill>
                    <w14:schemeClr w14:val="tx1"/>
                  </w14:solidFill>
                </w14:textFill>
              </w:rPr>
              <w:t xml:space="preserve">0.03µm； </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8</w:t>
            </w:r>
            <w:r>
              <w:rPr>
                <w:rFonts w:hint="eastAsia"/>
                <w:color w:val="000000" w:themeColor="text1"/>
                <w14:textFill>
                  <w14:solidFill>
                    <w14:schemeClr w14:val="tx1"/>
                  </w14:solidFill>
                </w14:textFill>
              </w:rPr>
              <w:t xml:space="preserve">）横梁速度调节范围：0.001～500mm/min</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9</w:t>
            </w:r>
            <w:r>
              <w:rPr>
                <w:rFonts w:hint="eastAsia"/>
                <w:color w:val="000000" w:themeColor="text1"/>
                <w14:textFill>
                  <w14:solidFill>
                    <w14:schemeClr w14:val="tx1"/>
                  </w14:solidFill>
                </w14:textFill>
              </w:rPr>
              <w:t xml:space="preserve">）横梁速度相对误差：</w:t>
            </w:r>
            <w:r>
              <w:rPr>
                <w:rFonts w:hint="eastAsia"/>
                <w:color w:val="000000" w:themeColor="text1"/>
                <w:lang w:val="en"/>
                <w14:textFill>
                  <w14:solidFill>
                    <w14:schemeClr w14:val="tx1"/>
                  </w14:solidFill>
                </w14:textFill>
              </w:rPr>
              <w:t xml:space="preserve">≤</w:t>
            </w:r>
            <w:r>
              <w:rPr>
                <w:rFonts w:hint="eastAsia"/>
                <w:color w:val="000000" w:themeColor="text1"/>
                <w14:textFill>
                  <w14:solidFill>
                    <w14:schemeClr w14:val="tx1"/>
                  </w14:solidFill>
                </w14:textFill>
              </w:rPr>
              <w:t xml:space="preserve">设定值的±0.5%以内</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10</w:t>
            </w:r>
            <w:r>
              <w:rPr>
                <w:rFonts w:hint="eastAsia"/>
                <w:color w:val="000000" w:themeColor="text1"/>
                <w14:textFill>
                  <w14:solidFill>
                    <w14:schemeClr w14:val="tx1"/>
                  </w14:solidFill>
                </w14:textFill>
              </w:rPr>
              <w:t xml:space="preserve">）有效试验宽度：≥400mm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11</w:t>
            </w:r>
            <w:r>
              <w:rPr>
                <w:rFonts w:hint="eastAsia"/>
                <w:color w:val="000000" w:themeColor="text1"/>
                <w14:textFill>
                  <w14:solidFill>
                    <w14:schemeClr w14:val="tx1"/>
                  </w14:solidFill>
                </w14:textFill>
              </w:rPr>
              <w:t xml:space="preserve">）横梁最大行程（无夹具）：≥1150mm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12</w:t>
            </w:r>
            <w:r>
              <w:rPr>
                <w:rFonts w:hint="eastAsia"/>
                <w:color w:val="000000" w:themeColor="text1"/>
                <w14:textFill>
                  <w14:solidFill>
                    <w14:schemeClr w14:val="tx1"/>
                  </w14:solidFill>
                </w14:textFill>
              </w:rPr>
              <w:t xml:space="preserve">）横梁最大行程（有夹具）：≥850mm）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13</w:t>
            </w:r>
            <w:r>
              <w:rPr>
                <w:rFonts w:hint="eastAsia"/>
                <w:color w:val="000000" w:themeColor="text1"/>
                <w14:textFill>
                  <w14:solidFill>
                    <w14:schemeClr w14:val="tx1"/>
                  </w14:solidFill>
                </w14:textFill>
              </w:rPr>
              <w:t xml:space="preserve">）宽度：≥700mm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14</w:t>
            </w:r>
            <w:r>
              <w:rPr>
                <w:rFonts w:hint="eastAsia"/>
                <w:color w:val="000000" w:themeColor="text1"/>
                <w14:textFill>
                  <w14:solidFill>
                    <w14:schemeClr w14:val="tx1"/>
                  </w14:solidFill>
                </w14:textFill>
              </w:rPr>
              <w:t xml:space="preserve">）深度：≥510mm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15</w:t>
            </w:r>
            <w:r>
              <w:rPr>
                <w:rFonts w:hint="eastAsia"/>
                <w:color w:val="000000" w:themeColor="text1"/>
                <w14:textFill>
                  <w14:solidFill>
                    <w14:schemeClr w14:val="tx1"/>
                  </w14:solidFill>
                </w14:textFill>
              </w:rPr>
              <w:t xml:space="preserve">）高度：≥1940mm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16</w:t>
            </w:r>
            <w:r>
              <w:rPr>
                <w:rFonts w:hint="eastAsia"/>
                <w:color w:val="000000" w:themeColor="text1"/>
                <w14:textFill>
                  <w14:solidFill>
                    <w14:schemeClr w14:val="tx1"/>
                  </w14:solidFill>
                </w14:textFill>
              </w:rPr>
              <w:t xml:space="preserve">）电源：220V±10%；≥750W</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3、主要配置</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）拉力机1台；</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）气动全温对夹拉伸夹具1套；空压机1台</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）环境箱1套：采用平衡调温控制系统（BTC），以P.I.D.方式控制SSR。</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）视频引伸计1套：分辨力</w:t>
            </w:r>
            <w:r>
              <w:rPr>
                <w:rFonts w:hint="eastAsia"/>
                <w:color w:val="000000" w:themeColor="text1"/>
                <w:lang w:val="en"/>
                <w14:textFill>
                  <w14:solidFill>
                    <w14:schemeClr w14:val="tx1"/>
                  </w14:solidFill>
                </w14:textFill>
              </w:rPr>
              <w:t xml:space="preserve">≤</w:t>
            </w:r>
            <w:r>
              <w:rPr>
                <w:rFonts w:hint="eastAsia"/>
                <w:color w:val="000000" w:themeColor="text1"/>
                <w14:textFill>
                  <w14:solidFill>
                    <w14:schemeClr w14:val="tx1"/>
                  </w14:solidFill>
                </w14:textFill>
              </w:rPr>
              <w:t xml:space="preserve">0.5μm，测试视野</w:t>
            </w:r>
            <w:r>
              <w:rPr>
                <w:rFonts w:hint="eastAsia"/>
                <w:color w:val="000000" w:themeColor="text1"/>
                <w:lang w:val="en"/>
                <w14:textFill>
                  <w14:solidFill>
                    <w14:schemeClr w14:val="tx1"/>
                  </w14:solidFill>
                </w14:textFill>
              </w:rPr>
              <w:t xml:space="preserve">≤</w:t>
            </w:r>
            <w:r>
              <w:rPr>
                <w:rFonts w:hint="eastAsia"/>
                <w:color w:val="000000" w:themeColor="text1"/>
                <w14:textFill>
                  <w14:solidFill>
                    <w14:schemeClr w14:val="tx1"/>
                  </w14:solidFill>
                </w14:textFill>
              </w:rPr>
              <w:t xml:space="preserve">80mm，实时采样帧率</w:t>
            </w:r>
            <w:r>
              <w:rPr>
                <w:rFonts w:hint="eastAsia"/>
                <w:color w:val="000000" w:themeColor="text1"/>
                <w:lang w:val="en"/>
                <w14:textFill>
                  <w14:solidFill>
                    <w14:schemeClr w14:val="tx1"/>
                  </w14:solidFill>
                </w14:textFill>
              </w:rPr>
              <w:t xml:space="preserve">≤</w:t>
            </w:r>
            <w:r>
              <w:rPr>
                <w:rFonts w:hint="eastAsia"/>
                <w:color w:val="000000" w:themeColor="text1"/>
                <w14:textFill>
                  <w14:solidFill>
                    <w14:schemeClr w14:val="tx1"/>
                  </w14:solidFill>
                </w14:textFill>
              </w:rPr>
              <w:t xml:space="preserve">50fps；精度等级</w:t>
            </w:r>
            <w:r>
              <w:rPr>
                <w:color w:val="000000" w:themeColor="text1"/>
                <w:lang w:val="en"/>
                <w14:textFill>
                  <w14:solidFill>
                    <w14:schemeClr w14:val="tx1"/>
                  </w14:solidFill>
                </w14:textFill>
              </w:rPr>
              <w:t xml:space="preserve">≤</w:t>
            </w:r>
            <w:r>
              <w:rPr>
                <w:rFonts w:hint="eastAsia"/>
                <w:color w:val="000000" w:themeColor="text1"/>
                <w14:textFill>
                  <w14:solidFill>
                    <w14:schemeClr w14:val="tx1"/>
                  </w14:solidFill>
                </w14:textFill>
              </w:rPr>
              <w:t xml:space="preserve">0.5级；</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）应变硬化试验测试软件1套；具备实时控制、记录、分析计算、数据导出等功能；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6</w:t>
            </w:r>
            <w:r>
              <w:rPr>
                <w:rFonts w:hint="eastAsia"/>
                <w:color w:val="000000" w:themeColor="text1"/>
                <w14:textFill>
                  <w14:solidFill>
                    <w14:schemeClr w14:val="tx1"/>
                  </w14:solidFill>
                </w14:textFill>
              </w:rPr>
              <w:t xml:space="preserve">）工业</w:t>
            </w:r>
            <w:r>
              <w:rPr>
                <w:rFonts w:hint="eastAsia"/>
                <w:color w:val="000000" w:themeColor="text1"/>
                <w:lang w:val="en-US" w:eastAsia="zh-CN"/>
                <w14:textFill>
                  <w14:solidFill>
                    <w14:schemeClr w14:val="tx1"/>
                  </w14:solidFill>
                </w14:textFill>
              </w:rPr>
              <w:t xml:space="preserve">操作系统</w:t>
            </w:r>
            <w:r>
              <w:rPr>
                <w:rFonts w:hint="eastAsia"/>
                <w:color w:val="000000" w:themeColor="text1"/>
                <w14:textFill>
                  <w14:solidFill>
                    <w14:schemeClr w14:val="tx1"/>
                  </w14:solidFill>
                </w14:textFill>
              </w:rPr>
              <w:t xml:space="preserve">1台</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7</w:t>
            </w:r>
            <w:r>
              <w:rPr>
                <w:rFonts w:hint="eastAsia"/>
                <w:color w:val="000000" w:themeColor="text1"/>
                <w14:textFill>
                  <w14:solidFill>
                    <w14:schemeClr w14:val="tx1"/>
                  </w14:solidFill>
                </w14:textFill>
              </w:rPr>
              <w:t xml:space="preserve">）应变硬化试样压塑制样机：1台</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8</w:t>
            </w:r>
            <w:r>
              <w:rPr>
                <w:rFonts w:hint="eastAsia"/>
                <w:color w:val="000000" w:themeColor="text1"/>
                <w14:textFill>
                  <w14:solidFill>
                    <w14:schemeClr w14:val="tx1"/>
                  </w14:solidFill>
                </w14:textFill>
              </w:rPr>
              <w:t xml:space="preserve">）应变硬化试样冲裁机：1台</w:t>
            </w:r>
            <w:r/>
          </w:p>
        </w:tc>
      </w:tr>
    </w:tbl>
    <w:p>
      <w:pPr>
        <w:pStyle w:val="922"/>
        <w:ind w:firstLine="0"/>
        <w:tabs>
          <w:tab w:val="left" w:pos="960" w:leader="none"/>
        </w:tabs>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采购包3：</w:t>
      </w:r>
      <w:r/>
    </w:p>
    <w:tbl>
      <w:tblPr>
        <w:tblStyle w:val="9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457"/>
        <w:gridCol w:w="8374"/>
      </w:tblGrid>
      <w:tr>
        <w:trPr>
          <w:trHeight w:val="170"/>
        </w:trPr>
        <w:tc>
          <w:tcPr>
            <w:tcW w:w="246"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序号</w:t>
            </w:r>
            <w:r/>
          </w:p>
        </w:tc>
        <w:tc>
          <w:tcPr>
            <w:tcW w:w="246"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名称</w:t>
            </w:r>
            <w:r/>
          </w:p>
        </w:tc>
        <w:tc>
          <w:tcPr>
            <w:tcW w:w="4507"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技术要求</w:t>
            </w:r>
            <w:r/>
          </w:p>
        </w:tc>
      </w:tr>
      <w:tr>
        <w:trPr>
          <w:trHeight w:val="170"/>
        </w:trPr>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加工中心</w:t>
            </w:r>
            <w:r/>
          </w:p>
        </w:tc>
        <w:tc>
          <w:tcPr>
            <w:tcW w:w="4507"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一、技术特点</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立式加工中心三轴采用滚柱线性直线导轨，机床应具有高刚性、高速度、高精度、高可靠性等特点。机床加工精度可达IT6级。在设计上应采用模块化设计理念，使得设备结构更加紧凑，维护便捷。设备外观应简洁大气、线条流畅。以加工各种中小型复杂零件为对象，应具有高速、高精度、高刚性、环保等特点；该设备广泛应用于汽车零部件、阀门、工程机械、IT设备、光学设备、医疗设备等行业。可进行中、小型箱体类、板类、盘类、壳体类等复杂零件的多品种加工，实现工件一次装夹完成铣、钻、镗、扩、铰、锪、攻丝等多种工序的加工。</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二、主要技术参数要求</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1.工作台</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外形尺寸（W×L）</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650×1200mm×mm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T型槽</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5-18mm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T型槽间距</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110mm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最大承重</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800kg</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2.主轴</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）主轴锥孔：BT40</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）主轴功率：≥11/15kW</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）主轴转速：≥8000r/min</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ascii="宋体" w:hAnsi="宋体" w:cs="宋体"/>
              </w:rPr>
              <w:t xml:space="preserve">行程</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）左右行程（X向）：≥1100mm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）前后行程（Y向）：≥650mm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）上下行程（Z向）：≥700mm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ascii="宋体" w:hAnsi="宋体" w:cs="宋体"/>
              </w:rPr>
              <w:t xml:space="preserve">加工范围</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）主轴中心至立柱导轨距离：≥715mm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）主轴端面至工作台面距离：≥95-795mm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ascii="宋体" w:hAnsi="宋体" w:cs="宋体"/>
              </w:rPr>
              <w:t xml:space="preserve">进给（直联）</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）最高进给速度（X/Y/Z）：≥10000mm/min</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）快速移动速度（X/Y/Z）：≥36/36/32m/min</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）X、Y、Z轴电机功率：≥3kW</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6.刀库</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）刀库容量：≤24把圆盘刀库</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）最大刀具重量：≤8kg</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）最大刀具尺寸：≤Φ80×300mm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7.其他</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电源</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26kVA</w:t>
            </w:r>
            <w:r>
              <w:rPr>
                <w:rFonts w:hint="eastAsia"/>
                <w:color w:val="000000" w:themeColor="text1"/>
                <w:lang w:eastAsia="zh-CN"/>
                <w14:textFill>
                  <w14:solidFill>
                    <w14:schemeClr w14:val="tx1"/>
                  </w14:solidFill>
                </w14:textFill>
              </w:rPr>
              <w:t xml:space="preserve">；</w:t>
            </w:r>
            <w:r>
              <w:rPr>
                <w:color w:val="000000" w:themeColor="text1"/>
                <w14:textFill>
                  <w14:solidFill>
                    <w14:schemeClr w14:val="tx1"/>
                  </w14:solidFill>
                </w14:textFill>
              </w:rPr>
              <w:t xml:space="preserve">源流量</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350L/min</w:t>
            </w:r>
            <w:r>
              <w:rPr>
                <w:rFonts w:hint="eastAsia"/>
                <w:color w:val="000000" w:themeColor="text1"/>
                <w:lang w:eastAsia="zh-CN"/>
                <w14:textFill>
                  <w14:solidFill>
                    <w14:schemeClr w14:val="tx1"/>
                  </w14:solidFill>
                </w14:textFill>
              </w:rPr>
              <w:t xml:space="preserve">；</w:t>
            </w:r>
            <w:r>
              <w:rPr>
                <w:color w:val="000000" w:themeColor="text1"/>
                <w14:textFill>
                  <w14:solidFill>
                    <w14:schemeClr w14:val="tx1"/>
                  </w14:solidFill>
                </w14:textFill>
              </w:rPr>
              <w:t xml:space="preserve">气压</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0.6-0.8MPa</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▲三、验收执行标准</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1、GB/T18400.2《加工中心检验条件第2部分：立式或带垂直主回转轴的万能主轴头机床几何精度检验（垂直Z轴）》</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2、GB/T18400.4《加工中心检验条件第4部分：线性和回转轴线的定位精度和重复定位精度检验》</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3、GB/T18400.6《加工中心检验条件第6部分：进给率、速度和插补精度检验》</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4、GB/T18400.7《加工中心检验条件第7部分：精加工试件精度检验》</w:t>
            </w:r>
            <w:r/>
          </w:p>
        </w:tc>
      </w:tr>
      <w:tr>
        <w:trPr>
          <w:trHeight w:val="170"/>
        </w:trPr>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p>
        </w:tc>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数控车床</w:t>
            </w:r>
            <w:r/>
          </w:p>
        </w:tc>
        <w:tc>
          <w:tcPr>
            <w:tcW w:w="4507"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一、技术功能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1.应具有宽矩形淬硬导轨实用经济型数控车床，可进行车削各种内外圆柱面、圆锥面、圆弧曲面、公英制螺纹等加工。特别适合汽车、电机、轴承、液压等行业对旋转体类零件进行高效、大批量加工时采用。</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二、主要技术参数要求</w:t>
            </w:r>
            <w:r/>
          </w:p>
          <w:p>
            <w:pPr>
              <w:ind w:firstLine="0"/>
              <w:jc w:val="both"/>
              <w:spacing w:line="240" w:lineRule="auto"/>
              <w:rPr>
                <w:color w:val="000000" w:themeColor="text1"/>
                <w14:textFill>
                  <w14:solidFill>
                    <w14:schemeClr w14:val="tx1"/>
                  </w14:solidFill>
                </w14:textFill>
              </w:rPr>
            </w:pPr>
            <w:r>
              <w:rPr>
                <w:rFonts w:hint="eastAsia" w:ascii="宋体" w:hAnsi="宋体" w:cs="宋体"/>
              </w:rPr>
              <w:t xml:space="preserve">1.加工范围</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）床身上最大回转直径：≤Φ400mm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）床鞍上最大回转直径：≤Φ260mm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）推荐车削直径/长度：≤Φ165/1000mm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）最大车削直径：≤Φ285mm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）最大棒料直径：≤Φ42mm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ascii="宋体" w:hAnsi="宋体" w:cs="宋体"/>
              </w:rPr>
              <w:t xml:space="preserve">主轴</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）液压卡盘直径：≤Φ200mm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）主轴头型式：A2-5（GB/T5900.1）</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）主轴锥孔规格：MT No6</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）主轴通孔直径：Φ57mm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）主轴轴承直径（前/后）：Φ90/Φ80mm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6</w:t>
            </w:r>
            <w:r>
              <w:rPr>
                <w:rFonts w:hint="eastAsia"/>
                <w:color w:val="000000" w:themeColor="text1"/>
                <w14:textFill>
                  <w14:solidFill>
                    <w14:schemeClr w14:val="tx1"/>
                  </w14:solidFill>
                </w14:textFill>
              </w:rPr>
              <w:t xml:space="preserve">）主轴转速：70-3000r/min</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7</w:t>
            </w:r>
            <w:r>
              <w:rPr>
                <w:rFonts w:hint="eastAsia"/>
                <w:color w:val="000000" w:themeColor="text1"/>
                <w14:textFill>
                  <w14:solidFill>
                    <w14:schemeClr w14:val="tx1"/>
                  </w14:solidFill>
                </w14:textFill>
              </w:rPr>
              <w:t xml:space="preserve">）主电机功率（连续/30分钟）：7.5/11kW</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3.尾座</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）套筒直径/行程：Φ70/80mm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）标准结构顶尖锥度：MT No.4</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ascii="宋体" w:hAnsi="宋体" w:cs="宋体"/>
              </w:rPr>
              <w:t xml:space="preserve">床鞍</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）倾斜角度及导轨：DEG45°整体式硬轨斜床身</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）移动距离X/Z：165/1030mm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）快速移动速度X/Z：12/16m/min</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）伺服电机扭矩X/Z：11/20Nm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）滚珠丝杠直径X/Z：Φ28/Φ40mm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ascii="宋体" w:hAnsi="宋体" w:cs="宋体"/>
              </w:rPr>
              <w:t xml:space="preserve">刀架</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）刀位数：≥12</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）刀具尺寸（车削/镗孔）：20×20/Φ32mm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rPr>
                <w:rFonts w:hint="eastAsia" w:ascii="宋体" w:hAnsi="宋体" w:cs="宋体"/>
              </w:rPr>
              <w:t xml:space="preserve">其它</w:t>
            </w:r>
            <w:r/>
          </w:p>
          <w:p>
            <w:pPr>
              <w:ind w:left="0" w:firstLine="0"/>
              <w:jc w:val="left"/>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（1）电源：25kVA</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体积（长×宽×高）不含排屑器：≤3200×1700×1970mm</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总重量：≤4500kg</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最大工件重量（两端装卡）：≤360（6˝卡盘）kg</w:t>
            </w:r>
            <w:r/>
          </w:p>
        </w:tc>
      </w:tr>
      <w:tr>
        <w:trPr>
          <w:trHeight w:val="170"/>
        </w:trPr>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p>
        </w:tc>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平面磨床</w:t>
            </w:r>
            <w:r/>
          </w:p>
        </w:tc>
        <w:tc>
          <w:tcPr>
            <w:tcW w:w="4507"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一、技术特点：</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1.两轴程控平面磨床，具备批量工件自动磨削循环功能，设定加工起始点后，砂轮轴会依相同加工起始点进行磨削作业。</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二、技术参数要求</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1.机床规格：</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）最大磨削工件尺寸（长×宽×高）：≤1000×300×400mm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）工作台面尺寸（长×宽）：≤1000×300mm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）工作台T型槽（宽度×槽数）：18mm×3</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）磨头主轴中心线到台面的最大距离：≤575mm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2.工作台驱动参数：</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）工作台纵向移动速度：液压无级调速3~25m/min</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）工作台最大行程：≤1100mm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3.磨头垂直控制参数：</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）伺服电机功率：1.5Kw</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）小进给量：≤0.005mm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）垂直最大速度：≤400mm/min</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4.磨头横向控制参数：</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）伺服电机功率：1.2Kw</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）最小进给量：≤0.025mm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）横向进给速度：≤0.5～2m/min</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5.主轴，驱动，砂轮参数</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）磨头电机功率：4.5KW</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）砂轮尺寸（外径×厚度×内径）：≤350×40×127mm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）主轴跳动：轴向≤0.01mm，径向≤0.01mm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）砂轮转速：1440r/min</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6.冷却装置参数</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）冷却液流量：25L/min</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7.电机总容量参数</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）电机总功率（约）：11KW</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电压：380V</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频率：50HZ</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8.机床标准工作精度</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）加工表面对于基面的等厚度：300:0.008mm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）粗糙度：Ra0.63µm</w:t>
            </w:r>
            <w:r/>
          </w:p>
        </w:tc>
      </w:tr>
      <w:tr>
        <w:trPr>
          <w:trHeight w:val="170"/>
        </w:trPr>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p>
        </w:tc>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线切割机床</w:t>
            </w:r>
            <w:r/>
          </w:p>
        </w:tc>
        <w:tc>
          <w:tcPr>
            <w:tcW w:w="4507"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一、技术参数要求</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工作台行程：≤500mm×400mm；最大切割厚度≤300mm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工作台尺寸：≤750mm×500mm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工作台承载：≤500kg</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最大切割效率：≤160mm2/min； </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最小钼丝耗：20-30万平方损耗0.01mm；（Cr12 40-50mm厚时）</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6.</w:t>
            </w:r>
            <w:r>
              <w:rPr>
                <w:rFonts w:hint="eastAsia"/>
                <w:color w:val="000000" w:themeColor="text1"/>
                <w14:textFill>
                  <w14:solidFill>
                    <w14:schemeClr w14:val="tx1"/>
                  </w14:solidFill>
                </w14:textFill>
              </w:rPr>
              <w:t xml:space="preserve">最大峰值电流：6A；</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7.</w:t>
            </w:r>
            <w:r>
              <w:rPr>
                <w:rFonts w:hint="eastAsia"/>
                <w:color w:val="000000" w:themeColor="text1"/>
                <w14:textFill>
                  <w14:solidFill>
                    <w14:schemeClr w14:val="tx1"/>
                  </w14:solidFill>
                </w14:textFill>
              </w:rPr>
              <w:t xml:space="preserve">最大切割锥度：≤6°（100mm厚内）</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8.</w:t>
            </w:r>
            <w:r>
              <w:rPr>
                <w:rFonts w:hint="eastAsia"/>
                <w:color w:val="000000" w:themeColor="text1"/>
                <w14:textFill>
                  <w14:solidFill>
                    <w14:schemeClr w14:val="tx1"/>
                  </w14:solidFill>
                </w14:textFill>
              </w:rPr>
              <w:t xml:space="preserve">粗糙度：加工20mm厚的Cr12 （10×10直升）粗糙度多刀切割：Ra≤1.2μm；</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9.</w:t>
            </w:r>
            <w:r>
              <w:rPr>
                <w:rFonts w:hint="eastAsia"/>
                <w:color w:val="000000" w:themeColor="text1"/>
                <w14:textFill>
                  <w14:solidFill>
                    <w14:schemeClr w14:val="tx1"/>
                  </w14:solidFill>
                </w14:textFill>
              </w:rPr>
              <w:t xml:space="preserve">加工精度/直径：≤0.012（Φ10mm40mm厚）；</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10.</w:t>
            </w:r>
            <w:r>
              <w:rPr>
                <w:rFonts w:hint="eastAsia"/>
                <w:color w:val="000000" w:themeColor="text1"/>
                <w14:textFill>
                  <w14:solidFill>
                    <w14:schemeClr w14:val="tx1"/>
                  </w14:solidFill>
                </w14:textFill>
              </w:rPr>
              <w:t xml:space="preserve">机床消耗功率：3kw；</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11.</w:t>
            </w:r>
            <w:r>
              <w:rPr>
                <w:rFonts w:hint="eastAsia"/>
                <w:color w:val="000000" w:themeColor="text1"/>
                <w14:textFill>
                  <w14:solidFill>
                    <w14:schemeClr w14:val="tx1"/>
                  </w14:solidFill>
                </w14:textFill>
              </w:rPr>
              <w:t xml:space="preserve">电极丝使用直径范围：Φ0.15～Φ0.20mm；</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12.</w:t>
            </w:r>
            <w:r>
              <w:rPr>
                <w:rFonts w:hint="eastAsia"/>
                <w:color w:val="000000" w:themeColor="text1"/>
                <w14:textFill>
                  <w14:solidFill>
                    <w14:schemeClr w14:val="tx1"/>
                  </w14:solidFill>
                </w14:textFill>
              </w:rPr>
              <w:t xml:space="preserve">走丝速度：≤4～11m/s；（变频器控制，无极调速）</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13.</w:t>
            </w:r>
            <w:r>
              <w:rPr>
                <w:rFonts w:hint="eastAsia"/>
                <w:color w:val="000000" w:themeColor="text1"/>
                <w14:textFill>
                  <w14:solidFill>
                    <w14:schemeClr w14:val="tx1"/>
                  </w14:solidFill>
                </w14:textFill>
              </w:rPr>
              <w:t xml:space="preserve">整机重量：≤1800kg。</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14.</w:t>
            </w:r>
            <w:r>
              <w:rPr>
                <w:rFonts w:hint="eastAsia"/>
                <w:color w:val="000000" w:themeColor="text1"/>
                <w14:textFill>
                  <w14:solidFill>
                    <w14:schemeClr w14:val="tx1"/>
                  </w14:solidFill>
                </w14:textFill>
              </w:rPr>
              <w:t xml:space="preserve">机床外形尺寸：≤1780*1300*1900mm </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二、机床的性能：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床身应采用高强度铸铁成型的基座，为机床的承重部件。C型结构，T型床身（慢走丝机身结构），铸件体都应采用树脂砂铸造技术铸造（慢走丝铸件就采用此技术），两次高温退火处理，在同类型机床中自重也大，确保机械精度的恒久不变。</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标配二轴光栅数显</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二、主要性能指标和技术要求</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1.编程软件的基本功能：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（1）坐标系：增量坐标（相对坐标）；</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（2）图形坐标变换、缩放、旋转功能，图形跟踪显示功能；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（3）直线、圆弧插补功能；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（4）斜度加工功能；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（5）上下异面加工功能；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（6）短路、断丝处理功能；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（7）停电记忆功能，加工结束自动停机功能；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（8）自动对端面、对中心功能；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（9）反向加工功能；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（10）菜单技术、自动编程功能；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（11）数据传输；</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（12）多刀切割功能；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2.CNC系统的配置组成功能及其技术性能: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（1）CNC的硬件组成：工控PC机：≥P4以上；≥4G内存；≥30GB电子硬盘；USB接口、网络接口；≥17″液晶彩显；键盘及鼠标；</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（2）CNC的软件组成及操作平台：CNC软件由自动编程系统功能模块组成；</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（3）CNC系统的技术性能：≥4轴联动；斜度加工；</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（4）CNC系统运行环境：温度：5～40℃；相对湿度：40%～80%。</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3.机床精度：</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）X轴的定位精度：≤0.02mm；X轴的单向重复定位精度：≤0.005mm；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）Y轴的定位精度：≤0.02mm；Y轴的单向重复定位精度：≤0.005mm；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3</w:t>
            </w:r>
            <w:r>
              <w:rPr>
                <w:rFonts w:hint="eastAsia"/>
                <w:color w:val="000000" w:themeColor="text1"/>
                <w14:textFill>
                  <w14:solidFill>
                    <w14:schemeClr w14:val="tx1"/>
                  </w14:solidFill>
                </w14:textFill>
              </w:rPr>
              <w:t xml:space="preserve">）丝与工作台的垂直度：可调整到≤0.01mm；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）储丝筒径向跳动≤0.02mm；储丝筒钼丝储丝量为≥300m</w:t>
            </w:r>
            <w:r/>
          </w:p>
        </w:tc>
      </w:tr>
      <w:tr>
        <w:trPr>
          <w:trHeight w:val="170"/>
        </w:trPr>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p>
        </w:tc>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锯床</w:t>
            </w:r>
            <w:r/>
          </w:p>
        </w:tc>
        <w:tc>
          <w:tcPr>
            <w:tcW w:w="4507"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一、主要特点和功能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机床通过机械、电气、液压的配合，应具有自动夹紧、自动进刀、切割完毕锯架自动快速退刀的功能。应配置大功率齿轮减速机，动力强劲、可靠性高，能满足长时间运转。锯切进给应采用液压控制，配合智能调速系统，实现智能锯切。应采用设计简洁电路板以及电器箱优异的空间，确保机器低故障率且方便维修并节省空间。应采用液压夹紧工件。应采用精磨圆柱导向，运动精度高、耐磨性好。触摸屏和按钮双控系统操作。</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二、主要技术参数</w:t>
            </w:r>
            <w:r>
              <w:rPr>
                <w:rFonts w:hint="eastAsia"/>
              </w:rPr>
              <w:t xml:space="preserve">要求</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▲1.最大切削范围：≤430×430mm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2.带锯条规格：≤41×1.3×5080mm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3.带锯条线速：≤18-80m/min</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4.带锯条进给速度：≤0-300mm/min</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5.机床输入电源：A.C380V、50Hz</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6.主电机功率：≤7.5kW</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液压电机功率：≤1.5kW</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泵功率：≤0.135kW</w:t>
            </w:r>
            <w:r/>
          </w:p>
          <w:p>
            <w:pPr>
              <w:ind w:firstLine="0"/>
              <w:jc w:val="both"/>
              <w:spacing w:line="240" w:lineRule="auto"/>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7</w:t>
            </w:r>
            <w:r>
              <w:rPr>
                <w:rFonts w:hint="eastAsia"/>
                <w:color w:val="000000" w:themeColor="text1"/>
                <w14:textFill>
                  <w14:solidFill>
                    <w14:schemeClr w14:val="tx1"/>
                  </w14:solidFill>
                </w14:textFill>
              </w:rPr>
              <w:t xml:space="preserve">.工作台高度：≤770mm</w:t>
            </w:r>
            <w:r/>
          </w:p>
          <w:p>
            <w:pPr>
              <w:ind w:firstLine="0"/>
              <w:jc w:val="both"/>
              <w:spacing w:line="240" w:lineRule="auto"/>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8</w:t>
            </w:r>
            <w:r>
              <w:rPr>
                <w:rFonts w:hint="eastAsia"/>
                <w:color w:val="000000" w:themeColor="text1"/>
                <w14:textFill>
                  <w14:solidFill>
                    <w14:schemeClr w14:val="tx1"/>
                  </w14:solidFill>
                </w14:textFill>
              </w:rPr>
              <w:t xml:space="preserve">.最小夹持尺寸：≤10mm</w:t>
            </w:r>
            <w:r/>
          </w:p>
          <w:p>
            <w:pPr>
              <w:ind w:firstLine="0"/>
              <w:jc w:val="both"/>
              <w:spacing w:line="240" w:lineRule="auto"/>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9</w:t>
            </w:r>
            <w:r>
              <w:rPr>
                <w:rFonts w:hint="eastAsia"/>
                <w:color w:val="000000" w:themeColor="text1"/>
                <w14:textFill>
                  <w14:solidFill>
                    <w14:schemeClr w14:val="tx1"/>
                  </w14:solidFill>
                </w14:textFill>
              </w:rPr>
              <w:t xml:space="preserve">.端面垂直度：0.2/100mm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en-US" w:eastAsia="zh-CN"/>
                <w14:textFill>
                  <w14:solidFill>
                    <w14:schemeClr w14:val="tx1"/>
                  </w14:solidFill>
                </w14:textFill>
              </w:rPr>
              <w:t xml:space="preserve">0</w:t>
            </w:r>
            <w:r>
              <w:rPr>
                <w:rFonts w:hint="eastAsia"/>
                <w:color w:val="000000" w:themeColor="text1"/>
                <w14:textFill>
                  <w14:solidFill>
                    <w14:schemeClr w14:val="tx1"/>
                  </w14:solidFill>
                </w14:textFill>
              </w:rPr>
              <w:t xml:space="preserve">.液压箱容积：60L</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冷却箱容积：60L</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t xml:space="preserve">.送料方式：液压夹紧送料</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.单次最大送料油缸行程：≤500mm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en-US" w:eastAsia="zh-CN"/>
                <w14:textFill>
                  <w14:solidFill>
                    <w14:schemeClr w14:val="tx1"/>
                  </w14:solidFill>
                </w14:textFill>
              </w:rPr>
              <w:t xml:space="preserve">3</w:t>
            </w:r>
            <w:r>
              <w:rPr>
                <w:rFonts w:hint="eastAsia"/>
                <w:color w:val="000000" w:themeColor="text1"/>
                <w14:textFill>
                  <w14:solidFill>
                    <w14:schemeClr w14:val="tx1"/>
                  </w14:solidFill>
                </w14:textFill>
              </w:rPr>
              <w:t xml:space="preserve">.重复送料精度：≤±0.2mm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.最小尾料长度：≤单根：245mm，成捆：290mm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en-US" w:eastAsia="zh-CN"/>
                <w14:textFill>
                  <w14:solidFill>
                    <w14:schemeClr w14:val="tx1"/>
                  </w14:solidFill>
                </w14:textFill>
              </w:rPr>
              <w:t xml:space="preserve">5</w:t>
            </w:r>
            <w:r>
              <w:rPr>
                <w:rFonts w:hint="eastAsia"/>
                <w:color w:val="000000" w:themeColor="text1"/>
                <w14:textFill>
                  <w14:solidFill>
                    <w14:schemeClr w14:val="tx1"/>
                  </w14:solidFill>
                </w14:textFill>
              </w:rPr>
              <w:t xml:space="preserve">.主传动方式：齿轮传动</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en-US" w:eastAsia="zh-CN"/>
                <w14:textFill>
                  <w14:solidFill>
                    <w14:schemeClr w14:val="tx1"/>
                  </w14:solidFill>
                </w14:textFill>
              </w:rPr>
              <w:t xml:space="preserve">6</w:t>
            </w:r>
            <w:r>
              <w:rPr>
                <w:rFonts w:hint="eastAsia"/>
                <w:color w:val="000000" w:themeColor="text1"/>
                <w14:textFill>
                  <w14:solidFill>
                    <w14:schemeClr w14:val="tx1"/>
                  </w14:solidFill>
                </w14:textFill>
              </w:rPr>
              <w:t xml:space="preserve">.夹紧方式：液压夹紧</w:t>
            </w:r>
            <w:r/>
          </w:p>
          <w:p>
            <w:pPr>
              <w:ind w:firstLine="0"/>
              <w:jc w:val="both"/>
              <w:spacing w:line="240" w:lineRule="auto"/>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17</w:t>
            </w:r>
            <w:r>
              <w:rPr>
                <w:rFonts w:hint="eastAsia"/>
                <w:color w:val="000000" w:themeColor="text1"/>
                <w14:textFill>
                  <w14:solidFill>
                    <w14:schemeClr w14:val="tx1"/>
                  </w14:solidFill>
                </w14:textFill>
              </w:rPr>
              <w:t xml:space="preserve">.锯带张紧方式：液压张紧</w:t>
            </w:r>
            <w:r/>
          </w:p>
          <w:p>
            <w:pPr>
              <w:ind w:firstLine="0"/>
              <w:jc w:val="both"/>
              <w:spacing w:line="240" w:lineRule="auto"/>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18</w:t>
            </w:r>
            <w:r>
              <w:rPr>
                <w:rFonts w:hint="eastAsia"/>
                <w:color w:val="000000" w:themeColor="text1"/>
                <w14:textFill>
                  <w14:solidFill>
                    <w14:schemeClr w14:val="tx1"/>
                  </w14:solidFill>
                </w14:textFill>
              </w:rPr>
              <w:t xml:space="preserve">.锯屑清理方式：电动钢丝刷</w:t>
            </w:r>
            <w:r/>
          </w:p>
          <w:p>
            <w:pPr>
              <w:ind w:firstLine="0"/>
              <w:jc w:val="both"/>
              <w:spacing w:line="240" w:lineRule="auto"/>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19</w:t>
            </w:r>
            <w:r>
              <w:rPr>
                <w:rFonts w:hint="eastAsia"/>
                <w:color w:val="000000" w:themeColor="text1"/>
                <w14:textFill>
                  <w14:solidFill>
                    <w14:schemeClr w14:val="tx1"/>
                  </w14:solidFill>
                </w14:textFill>
              </w:rPr>
              <w:t xml:space="preserve">.油箱形式：外置独立</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en-US" w:eastAsia="zh-CN"/>
                <w14:textFill>
                  <w14:solidFill>
                    <w14:schemeClr w14:val="tx1"/>
                  </w14:solidFill>
                </w14:textFill>
              </w:rPr>
              <w:t xml:space="preserve">0</w:t>
            </w:r>
            <w:r>
              <w:rPr>
                <w:rFonts w:hint="eastAsia"/>
                <w:color w:val="000000" w:themeColor="text1"/>
                <w14:textFill>
                  <w14:solidFill>
                    <w14:schemeClr w14:val="tx1"/>
                  </w14:solidFill>
                </w14:textFill>
              </w:rPr>
              <w:t xml:space="preserve">.控制方式：PLC控制+触摸屏、按钮操作</w:t>
            </w:r>
            <w:r/>
          </w:p>
        </w:tc>
      </w:tr>
      <w:tr>
        <w:trPr>
          <w:trHeight w:val="170"/>
        </w:trPr>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p>
        </w:tc>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炮塔铣</w:t>
            </w:r>
            <w:r/>
          </w:p>
        </w:tc>
        <w:tc>
          <w:tcPr>
            <w:tcW w:w="4507"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一、机床特点：</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1.铸件应采用米汉纳铸造工艺，床身一体铸造而成。特殊的双壁加强筋式床身、刚性和减震性强。</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二、技术参数要求</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工作台面积：≤1372×330mm</w:t>
            </w:r>
            <w:r/>
          </w:p>
          <w:p>
            <w:pPr>
              <w:ind w:left="425" w:hanging="425"/>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纵向行程（X）：≤1020mm</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横向行程（Y）：≤400mm</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垂向行程（Z）：≤380mm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主轴端面到工作台距离：≤470mm</w:t>
            </w:r>
            <w:r/>
          </w:p>
          <w:p>
            <w:pPr>
              <w:ind w:left="425" w:hanging="425"/>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6.</w:t>
            </w:r>
            <w:r>
              <w:rPr>
                <w:rFonts w:hint="eastAsia"/>
                <w:color w:val="000000" w:themeColor="text1"/>
                <w14:textFill>
                  <w14:solidFill>
                    <w14:schemeClr w14:val="tx1"/>
                  </w14:solidFill>
                </w14:textFill>
              </w:rPr>
              <w:t xml:space="preserve">主轴电机功率：5HP</w:t>
            </w:r>
            <w:r/>
          </w:p>
          <w:p>
            <w:pPr>
              <w:ind w:left="425" w:hanging="425"/>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7.</w:t>
            </w:r>
            <w:r>
              <w:rPr>
                <w:rFonts w:hint="eastAsia"/>
                <w:color w:val="000000" w:themeColor="text1"/>
                <w14:textFill>
                  <w14:solidFill>
                    <w14:schemeClr w14:val="tx1"/>
                  </w14:solidFill>
                </w14:textFill>
              </w:rPr>
              <w:t xml:space="preserve">电压：三相 380V（或 220V 、415V 、440V）</w:t>
            </w:r>
            <w:r/>
          </w:p>
          <w:p>
            <w:pPr>
              <w:ind w:left="425" w:hanging="425"/>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8.</w:t>
            </w:r>
            <w:r>
              <w:rPr>
                <w:rFonts w:hint="eastAsia"/>
                <w:color w:val="000000" w:themeColor="text1"/>
                <w14:textFill>
                  <w14:solidFill>
                    <w14:schemeClr w14:val="tx1"/>
                  </w14:solidFill>
                </w14:textFill>
              </w:rPr>
              <w:t xml:space="preserve">频率（H）：50/60</w:t>
            </w:r>
            <w:r/>
          </w:p>
          <w:p>
            <w:pPr>
              <w:ind w:left="425" w:hanging="425"/>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9.</w:t>
            </w:r>
            <w:r>
              <w:rPr>
                <w:rFonts w:hint="eastAsia"/>
                <w:color w:val="000000" w:themeColor="text1"/>
                <w14:textFill>
                  <w14:solidFill>
                    <w14:schemeClr w14:val="tx1"/>
                  </w14:solidFill>
                </w14:textFill>
              </w:rPr>
              <w:t xml:space="preserve">主轴锥孔：NT40</w:t>
            </w:r>
            <w:r/>
          </w:p>
          <w:p>
            <w:pPr>
              <w:ind w:left="425" w:hanging="425"/>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10.</w:t>
            </w:r>
            <w:r>
              <w:rPr>
                <w:rFonts w:hint="eastAsia"/>
                <w:color w:val="000000" w:themeColor="text1"/>
                <w14:textFill>
                  <w14:solidFill>
                    <w14:schemeClr w14:val="tx1"/>
                  </w14:solidFill>
                </w14:textFill>
              </w:rPr>
              <w:t xml:space="preserve">主轴级速：16steps</w:t>
            </w:r>
            <w:r/>
          </w:p>
          <w:p>
            <w:pPr>
              <w:ind w:left="425" w:hanging="425"/>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11.</w:t>
            </w:r>
            <w:r>
              <w:rPr>
                <w:rFonts w:hint="eastAsia"/>
                <w:color w:val="000000" w:themeColor="text1"/>
                <w14:textFill>
                  <w14:solidFill>
                    <w14:schemeClr w14:val="tx1"/>
                  </w14:solidFill>
                </w14:textFill>
              </w:rPr>
              <w:t xml:space="preserve">低速：≤70、110、180、270、600、975、1540、2310rpm</w:t>
            </w:r>
            <w:r/>
          </w:p>
          <w:p>
            <w:pPr>
              <w:ind w:left="425" w:hanging="425"/>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12.</w:t>
            </w:r>
            <w:r>
              <w:rPr>
                <w:rFonts w:hint="eastAsia"/>
                <w:color w:val="000000" w:themeColor="text1"/>
                <w14:textFill>
                  <w14:solidFill>
                    <w14:schemeClr w14:val="tx1"/>
                  </w14:solidFill>
                </w14:textFill>
              </w:rPr>
              <w:t xml:space="preserve">高速：≤140、220、360、540、1200、1950、3080、5440rpm</w:t>
            </w:r>
            <w:r/>
          </w:p>
          <w:p>
            <w:pPr>
              <w:ind w:left="425" w:hanging="425"/>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13.</w:t>
            </w:r>
            <w:r>
              <w:rPr>
                <w:rFonts w:hint="eastAsia"/>
                <w:color w:val="000000" w:themeColor="text1"/>
                <w14:textFill>
                  <w14:solidFill>
                    <w14:schemeClr w14:val="tx1"/>
                  </w14:solidFill>
                </w14:textFill>
              </w:rPr>
              <w:t xml:space="preserve">主轴行程：≤120mm</w:t>
            </w:r>
            <w:r/>
          </w:p>
          <w:p>
            <w:pPr>
              <w:ind w:left="425" w:hanging="425"/>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套筒进给速度/套筒外径：0.04、0.08、0.15/85.725mm</w:t>
            </w:r>
            <w:r/>
          </w:p>
          <w:p>
            <w:pPr>
              <w:ind w:left="425" w:hanging="425"/>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T型槽：3×16×65mm</w:t>
            </w:r>
            <w:r/>
          </w:p>
          <w:p>
            <w:pPr>
              <w:ind w:left="425" w:hanging="425"/>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滑枕伸出臂行程：≤600mm</w:t>
            </w:r>
            <w:r/>
          </w:p>
        </w:tc>
      </w:tr>
    </w:tbl>
    <w:p>
      <w:pPr>
        <w:contextualSpacing/>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contextualSpacing/>
        <w:ind w:firstLine="480"/>
        <w:rPr>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w:t>
      </w:r>
      <w:r>
        <w:rPr>
          <w:rFonts w:hint="eastAsia"/>
          <w:b/>
          <w:color w:val="000000" w:themeColor="text1"/>
          <w14:textFill>
            <w14:solidFill>
              <w14:schemeClr w14:val="tx1"/>
            </w14:solidFill>
          </w14:textFill>
        </w:rPr>
        <w:t xml:space="preserve">商务要求：</w:t>
      </w:r>
      <w:r/>
    </w:p>
    <w:p>
      <w:pPr>
        <w:pStyle w:val="922"/>
        <w:ind w:firstLine="482"/>
        <w:spacing w:before="0" w:after="0" w:line="360" w:lineRule="auto"/>
        <w:tabs>
          <w:tab w:val="left" w:pos="1204" w:leader="none"/>
        </w:tabs>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szCs w:val="22"/>
          <w:lang w:val="zh-CN" w:bidi="zh-CN"/>
          <w14:textFill>
            <w14:solidFill>
              <w14:schemeClr w14:val="tx1"/>
            </w14:solidFill>
          </w14:textFill>
        </w:rPr>
        <w:t xml:space="preserve">（一）</w:t>
      </w:r>
      <w:r>
        <w:rPr>
          <w:rFonts w:hint="eastAsia" w:ascii="宋体" w:hAnsi="宋体" w:cs="宋体"/>
          <w:b/>
          <w:color w:val="000000" w:themeColor="text1"/>
          <w14:textFill>
            <w14:solidFill>
              <w14:schemeClr w14:val="tx1"/>
            </w14:solidFill>
          </w14:textFill>
        </w:rPr>
        <w:t xml:space="preserve">服务要求：</w:t>
      </w:r>
      <w:r/>
    </w:p>
    <w:p>
      <w:pPr>
        <w:pStyle w:val="922"/>
        <w:ind w:firstLine="480"/>
        <w:spacing w:before="0" w:after="0" w:line="360" w:lineRule="auto"/>
        <w:tabs>
          <w:tab w:val="left" w:pos="783" w:leader="none"/>
        </w:tabs>
        <w:rPr>
          <w:rFonts w:hint="eastAsia" w:ascii="宋体" w:hAnsi="宋体" w:cs="宋体"/>
          <w:b/>
          <w:color w:val="000000" w:themeColor="text1"/>
          <w14:textFill>
            <w14:solidFill>
              <w14:schemeClr w14:val="tx1"/>
            </w14:solidFill>
          </w14:textFill>
        </w:rPr>
      </w:pPr>
      <w:r>
        <w:rPr>
          <w:rFonts w:ascii="宋体" w:hAnsi="宋体" w:cs="宋体"/>
          <w:bCs/>
          <w:color w:val="000000" w:themeColor="text1"/>
          <w:szCs w:val="22"/>
          <w:lang w:val="zh-CN" w:bidi="zh-CN"/>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交付使用时间</w:t>
      </w:r>
      <w:r>
        <w:rPr>
          <w:rFonts w:hint="eastAsia" w:ascii="宋体" w:hAnsi="宋体" w:cs="宋体"/>
          <w:bCs/>
          <w:color w:val="000000" w:themeColor="text1"/>
          <w14:textFill>
            <w14:solidFill>
              <w14:schemeClr w14:val="tx1"/>
            </w14:solidFill>
          </w14:textFill>
        </w:rPr>
        <w:t xml:space="preserve">及交货地点：</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交付使用时间（合同履行期限）：</w:t>
      </w:r>
      <w:r>
        <w:rPr>
          <w:rFonts w:hint="eastAsia"/>
          <w:color w:val="000000" w:themeColor="text1"/>
          <w14:textFill>
            <w14:solidFill>
              <w14:schemeClr w14:val="tx1"/>
            </w14:solidFill>
          </w14:textFill>
        </w:rPr>
        <w:t xml:space="preserve">合同签订后</w:t>
      </w:r>
      <w:r>
        <w:rPr>
          <w:rFonts w:hint="eastAsia"/>
          <w:color w:val="000000" w:themeColor="text1"/>
          <w:lang w:val="en-US" w:eastAsia="zh-CN"/>
          <w14:textFill>
            <w14:solidFill>
              <w14:schemeClr w14:val="tx1"/>
            </w14:solidFill>
          </w14:textFill>
        </w:rPr>
        <w:t xml:space="preserve">90</w:t>
      </w:r>
      <w:r>
        <w:rPr>
          <w:rFonts w:hint="eastAsia"/>
          <w:color w:val="000000" w:themeColor="text1"/>
          <w14:textFill>
            <w14:solidFill>
              <w14:schemeClr w14:val="tx1"/>
            </w14:solidFill>
          </w14:textFill>
        </w:rPr>
        <w:t xml:space="preserve">日历天内供齐所有货物及服务，完成安装、调试及初步验收。</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（2）</w:t>
      </w:r>
      <w:r>
        <w:rPr>
          <w:rFonts w:hint="eastAsia" w:ascii="宋体" w:hAnsi="宋体" w:cs="宋体"/>
          <w:color w:val="000000" w:themeColor="text1"/>
          <w14:textFill>
            <w14:solidFill>
              <w14:schemeClr w14:val="tx1"/>
            </w14:solidFill>
          </w14:textFill>
        </w:rPr>
        <w:t xml:space="preserve">交货地点：采购人指定地点。</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设备包装要求：全部货物的外包装，必须采用防漏、防潮、防震、防锈、防盗和考虑到可能会发生的野蛮装卸等长途内陆运输及多次装卸之需要。</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（4）</w:t>
      </w:r>
      <w:r>
        <w:rPr>
          <w:rFonts w:hint="eastAsia" w:ascii="宋体" w:hAnsi="宋体" w:cs="宋体"/>
          <w:color w:val="000000" w:themeColor="text1"/>
          <w14:textFill>
            <w14:solidFill>
              <w14:schemeClr w14:val="tx1"/>
            </w14:solidFill>
          </w14:textFill>
        </w:rPr>
        <w:t xml:space="preserve">安装、调试和验收</w:t>
      </w:r>
      <w:r/>
    </w:p>
    <w:p>
      <w:pPr>
        <w:pStyle w:val="922"/>
        <w:ind w:firstLine="480"/>
        <w:spacing w:before="0" w:after="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设备到达最终采购人现场并且现场条件合格后，在接到采购人通知后，供应商需安排有经验的工程技术人员到采购人现场指导安装、调试设备，按验收指标逐项测试，直至达到验收要求。如因产品质量导致产品无法正常使用，由供应商无偿更换。</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（5）</w:t>
      </w:r>
      <w:r>
        <w:rPr>
          <w:rFonts w:hint="eastAsia" w:ascii="宋体" w:hAnsi="宋体" w:cs="宋体"/>
          <w:color w:val="000000" w:themeColor="text1"/>
          <w14:textFill>
            <w14:solidFill>
              <w14:schemeClr w14:val="tx1"/>
            </w14:solidFill>
          </w14:textFill>
        </w:rPr>
        <w:t xml:space="preserve">验收标准：按行业通行标准和供应商投标文件的承诺（不低于国家相关标准）。</w:t>
      </w:r>
      <w:r/>
    </w:p>
    <w:p>
      <w:pPr>
        <w:pStyle w:val="922"/>
        <w:ind w:firstLine="482"/>
        <w:spacing w:before="0" w:after="0" w:line="360" w:lineRule="auto"/>
        <w:tabs>
          <w:tab w:val="left" w:pos="783" w:leader="none"/>
        </w:tabs>
        <w:rPr>
          <w:rFonts w:hint="eastAsia" w:ascii="宋体" w:hAnsi="宋体" w:cs="宋体"/>
          <w:b/>
          <w:color w:val="000000" w:themeColor="text1"/>
          <w14:textFill>
            <w14:solidFill>
              <w14:schemeClr w14:val="tx1"/>
            </w14:solidFill>
          </w14:textFill>
        </w:rPr>
      </w:pPr>
      <w:r>
        <w:rPr>
          <w:rFonts w:ascii="宋体" w:hAnsi="宋体" w:cs="宋体"/>
          <w:b/>
          <w:color w:val="000000" w:themeColor="text1"/>
          <w:szCs w:val="22"/>
          <w:lang w:val="zh-CN" w:bidi="zh-CN"/>
          <w14:textFill>
            <w14:solidFill>
              <w14:schemeClr w14:val="tx1"/>
            </w14:solidFill>
          </w14:textFill>
        </w:rPr>
        <w:t xml:space="preserve">2.</w:t>
      </w:r>
      <w:r>
        <w:rPr>
          <w:rFonts w:hint="eastAsia" w:ascii="宋体" w:hAnsi="宋体" w:cs="宋体"/>
          <w:b/>
          <w:color w:val="000000" w:themeColor="text1"/>
          <w14:textFill>
            <w14:solidFill>
              <w14:schemeClr w14:val="tx1"/>
            </w14:solidFill>
          </w14:textFill>
        </w:rPr>
        <w:t xml:space="preserve">付款方式及履约保函：</w:t>
      </w:r>
      <w:r/>
    </w:p>
    <w:p>
      <w:pPr>
        <w:pStyle w:val="922"/>
        <w:ind w:firstLine="480"/>
        <w:spacing w:before="0" w:after="0" w:line="360" w:lineRule="auto"/>
        <w:tabs>
          <w:tab w:val="left" w:pos="783"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合同签订生效后，采购人向中标人支付合同总价的50%；中标人在按照合同规定的期限内将设备、材料全部运抵交货地点，并安装调试结束，初步验收合格后，采购人收到中标人提供的合同总价10%的履约保函后向中标人支付合同总价的50%；在设备通过采购人验收合格且满12个月无质量问题后的15个工作日内，采购人将无息退还中标人的履约保函。</w:t>
      </w:r>
      <w:r/>
    </w:p>
    <w:p>
      <w:pPr>
        <w:pStyle w:val="922"/>
        <w:ind w:firstLine="480"/>
        <w:spacing w:before="0" w:after="0" w:line="360" w:lineRule="auto"/>
        <w:tabs>
          <w:tab w:val="left" w:pos="783"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2.2履约保函</w:t>
      </w:r>
      <w:r/>
    </w:p>
    <w:p>
      <w:pPr>
        <w:pStyle w:val="922"/>
        <w:ind w:firstLine="480"/>
        <w:spacing w:before="0" w:after="0" w:line="360" w:lineRule="auto"/>
        <w:tabs>
          <w:tab w:val="left" w:pos="783"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（1）履约保函金额：合同总价10%；</w:t>
      </w:r>
      <w:r/>
    </w:p>
    <w:p>
      <w:pPr>
        <w:pStyle w:val="922"/>
        <w:ind w:firstLine="480"/>
        <w:spacing w:before="0" w:after="0" w:line="360" w:lineRule="auto"/>
        <w:tabs>
          <w:tab w:val="left" w:pos="783"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（2）履约保函的形式：中标人应当以支票、汇票、本票或者金融机构、担保机构出具的保函等非现金形式提交；</w:t>
      </w:r>
      <w:r/>
    </w:p>
    <w:p>
      <w:pPr>
        <w:pStyle w:val="922"/>
        <w:ind w:firstLine="480"/>
        <w:spacing w:before="0" w:after="0" w:line="360" w:lineRule="auto"/>
        <w:tabs>
          <w:tab w:val="left" w:pos="783"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（3）履约保函的退还：在设备通过采购人验收合格且满12个月无质量问题后的15个工作日内，采购人将无息退还中标人的履约保函；</w:t>
      </w:r>
      <w:r/>
    </w:p>
    <w:p>
      <w:pPr>
        <w:pStyle w:val="922"/>
        <w:ind w:firstLine="480"/>
        <w:spacing w:before="0" w:after="0" w:line="360" w:lineRule="auto"/>
        <w:tabs>
          <w:tab w:val="left" w:pos="783"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（4）逾期退还履约保函的处理：采购人未按照规定退还履约保函的（因乙方自身原因导致无法及时退还的除外），由财政部门依照《中华人民共和国政府采购法》等有关规定处理；</w:t>
      </w:r>
      <w:r/>
    </w:p>
    <w:p>
      <w:pPr>
        <w:pStyle w:val="922"/>
        <w:ind w:firstLine="480"/>
        <w:spacing w:before="0" w:after="0" w:line="360" w:lineRule="auto"/>
        <w:tabs>
          <w:tab w:val="left" w:pos="783" w:leader="none"/>
        </w:tabs>
        <w:rPr>
          <w:rFonts w:hint="eastAsia" w:ascii="宋体" w:hAnsi="宋体" w:cs="宋体"/>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（5）不予退还履约保函的处理：对于符合政府采购政策和招标文件规定不予退还的履约保函，甲方应当确认相关情形后按照财政非税收入管理等规定上缴采购人同级预算级次国库。</w:t>
      </w:r>
      <w:r/>
    </w:p>
    <w:p>
      <w:pPr>
        <w:pStyle w:val="922"/>
        <w:ind w:firstLine="482"/>
        <w:spacing w:before="0" w:after="0" w:line="360" w:lineRule="auto"/>
        <w:tabs>
          <w:tab w:val="left" w:pos="783" w:leader="none"/>
        </w:tabs>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szCs w:val="22"/>
          <w:lang w:bidi="zh-CN"/>
          <w14:textFill>
            <w14:solidFill>
              <w14:schemeClr w14:val="tx1"/>
            </w14:solidFill>
          </w14:textFill>
        </w:rPr>
        <w:t xml:space="preserve">3</w:t>
      </w:r>
      <w:r>
        <w:rPr>
          <w:rFonts w:ascii="宋体" w:hAnsi="宋体" w:cs="宋体"/>
          <w:b/>
          <w:color w:val="000000" w:themeColor="text1"/>
          <w:szCs w:val="22"/>
          <w:lang w:val="zh-CN" w:bidi="zh-CN"/>
          <w14:textFill>
            <w14:solidFill>
              <w14:schemeClr w14:val="tx1"/>
            </w14:solidFill>
          </w14:textFill>
        </w:rPr>
        <w:t xml:space="preserve">.</w:t>
      </w:r>
      <w:r>
        <w:rPr>
          <w:rFonts w:hint="eastAsia" w:ascii="宋体" w:hAnsi="宋体" w:cs="宋体"/>
          <w:b/>
          <w:color w:val="000000" w:themeColor="text1"/>
          <w14:textFill>
            <w14:solidFill>
              <w14:schemeClr w14:val="tx1"/>
            </w14:solidFill>
          </w14:textFill>
        </w:rPr>
        <w:t xml:space="preserve">培训：</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现场培训：供应商在设备的组装、调试、验收完毕后即进行现场培训直至采购人基本掌握使用操作、维护保养技术。</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（2）</w:t>
      </w:r>
      <w:r>
        <w:rPr>
          <w:rFonts w:hint="eastAsia" w:ascii="宋体" w:hAnsi="宋体" w:cs="宋体"/>
          <w:color w:val="000000" w:themeColor="text1"/>
          <w14:textFill>
            <w14:solidFill>
              <w14:schemeClr w14:val="tx1"/>
            </w14:solidFill>
          </w14:textFill>
        </w:rPr>
        <w:t xml:space="preserve">专门培训：供应商就设备的组装、检验、调试、使用和维护等培训采购人不少于2名技术人员，直到采购人受训人员全部掌握运行操作、维护保养技术，并能达到正确检修、维护、排除一般故障为止。</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培训方式：理论知识技术培训、实际操作培训。</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（4）</w:t>
      </w:r>
      <w:r>
        <w:rPr>
          <w:rFonts w:hint="eastAsia" w:ascii="宋体" w:hAnsi="宋体" w:cs="宋体"/>
          <w:color w:val="000000" w:themeColor="text1"/>
          <w14:textFill>
            <w14:solidFill>
              <w14:schemeClr w14:val="tx1"/>
            </w14:solidFill>
          </w14:textFill>
        </w:rPr>
        <w:t xml:space="preserve">培训人员、地点和时间：受训人员及培训次数由采购人确定，培训地点和时间由双方商定。</w:t>
      </w:r>
      <w:r/>
    </w:p>
    <w:p>
      <w:pPr>
        <w:pStyle w:val="922"/>
        <w:ind w:firstLine="482"/>
        <w:spacing w:before="0" w:after="0" w:line="360" w:lineRule="auto"/>
        <w:tabs>
          <w:tab w:val="left" w:pos="783" w:leader="none"/>
        </w:tabs>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szCs w:val="22"/>
          <w:lang w:bidi="zh-CN"/>
          <w14:textFill>
            <w14:solidFill>
              <w14:schemeClr w14:val="tx1"/>
            </w14:solidFill>
          </w14:textFill>
        </w:rPr>
        <w:t xml:space="preserve">4</w:t>
      </w:r>
      <w:r>
        <w:rPr>
          <w:rFonts w:ascii="宋体" w:hAnsi="宋体" w:cs="宋体"/>
          <w:b/>
          <w:color w:val="000000" w:themeColor="text1"/>
          <w:szCs w:val="22"/>
          <w:lang w:val="zh-CN" w:bidi="zh-CN"/>
          <w14:textFill>
            <w14:solidFill>
              <w14:schemeClr w14:val="tx1"/>
            </w14:solidFill>
          </w14:textFill>
        </w:rPr>
        <w:t xml:space="preserve">.</w:t>
      </w:r>
      <w:r>
        <w:rPr>
          <w:rFonts w:hint="eastAsia" w:ascii="宋体" w:hAnsi="宋体" w:cs="宋体"/>
          <w:b/>
          <w:color w:val="000000" w:themeColor="text1"/>
          <w14:textFill>
            <w14:solidFill>
              <w14:schemeClr w14:val="tx1"/>
            </w14:solidFill>
          </w14:textFill>
        </w:rPr>
        <w:t xml:space="preserve">质保及维保：</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免费质保期：供应商所供设备、材料及安装的质量保证期至少为综合验收合格后1年。</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（2）在质保期内，因</w:t>
      </w:r>
      <w:r>
        <w:rPr>
          <w:rFonts w:hint="eastAsia" w:ascii="宋体" w:hAnsi="宋体" w:cs="宋体"/>
          <w:color w:val="000000" w:themeColor="text1"/>
          <w:szCs w:val="22"/>
          <w:lang w:bidi="zh-CN"/>
          <w14:textFill>
            <w14:solidFill>
              <w14:schemeClr w14:val="tx1"/>
            </w14:solidFill>
          </w14:textFill>
        </w:rPr>
        <w:t xml:space="preserve">供应商</w:t>
      </w:r>
      <w:r>
        <w:rPr>
          <w:rFonts w:ascii="宋体" w:hAnsi="宋体" w:cs="宋体"/>
          <w:color w:val="000000" w:themeColor="text1"/>
          <w:szCs w:val="22"/>
          <w:lang w:val="zh-CN" w:bidi="zh-CN"/>
          <w14:textFill>
            <w14:solidFill>
              <w14:schemeClr w14:val="tx1"/>
            </w14:solidFill>
          </w14:textFill>
        </w:rPr>
        <w:t xml:space="preserve">所供设备、材料制造质量或安装问题出现设备故障时，</w:t>
      </w:r>
      <w:r>
        <w:rPr>
          <w:rFonts w:hint="eastAsia" w:ascii="宋体" w:hAnsi="宋体" w:cs="宋体"/>
          <w:color w:val="000000" w:themeColor="text1"/>
          <w:szCs w:val="22"/>
          <w:lang w:bidi="zh-CN"/>
          <w14:textFill>
            <w14:solidFill>
              <w14:schemeClr w14:val="tx1"/>
            </w14:solidFill>
          </w14:textFill>
        </w:rPr>
        <w:t xml:space="preserve">供应商</w:t>
      </w:r>
      <w:r>
        <w:rPr>
          <w:rFonts w:ascii="宋体" w:hAnsi="宋体" w:cs="宋体"/>
          <w:color w:val="000000" w:themeColor="text1"/>
          <w:szCs w:val="22"/>
          <w:lang w:val="zh-CN" w:bidi="zh-CN"/>
          <w14:textFill>
            <w14:solidFill>
              <w14:schemeClr w14:val="tx1"/>
            </w14:solidFill>
          </w14:textFill>
        </w:rPr>
        <w:t xml:space="preserve">在接到</w:t>
      </w:r>
      <w:r>
        <w:rPr>
          <w:rFonts w:hint="eastAsia" w:ascii="宋体" w:hAnsi="宋体" w:cs="宋体"/>
          <w:color w:val="000000" w:themeColor="text1"/>
          <w:szCs w:val="22"/>
          <w:lang w:bidi="zh-CN"/>
          <w14:textFill>
            <w14:solidFill>
              <w14:schemeClr w14:val="tx1"/>
            </w14:solidFill>
          </w14:textFill>
        </w:rPr>
        <w:t xml:space="preserve">采购人</w:t>
      </w:r>
      <w:r>
        <w:rPr>
          <w:rFonts w:ascii="宋体" w:hAnsi="宋体" w:cs="宋体"/>
          <w:color w:val="000000" w:themeColor="text1"/>
          <w:szCs w:val="22"/>
          <w:lang w:val="zh-CN" w:bidi="zh-CN"/>
          <w14:textFill>
            <w14:solidFill>
              <w14:schemeClr w14:val="tx1"/>
            </w14:solidFill>
          </w14:textFill>
        </w:rPr>
        <w:t xml:space="preserve">通知</w:t>
      </w:r>
      <w:r>
        <w:rPr>
          <w:rFonts w:hint="eastAsia" w:ascii="宋体" w:hAnsi="宋体" w:cs="宋体"/>
          <w:color w:val="000000" w:themeColor="text1"/>
          <w:szCs w:val="22"/>
          <w:lang w:val="zh-CN" w:bidi="zh-CN"/>
          <w14:textFill>
            <w14:solidFill>
              <w14:schemeClr w14:val="tx1"/>
            </w14:solidFill>
          </w14:textFill>
        </w:rPr>
        <w:t xml:space="preserve">（</w:t>
      </w:r>
      <w:r>
        <w:rPr>
          <w:rFonts w:ascii="宋体" w:hAnsi="宋体" w:cs="宋体"/>
          <w:color w:val="000000" w:themeColor="text1"/>
          <w:szCs w:val="22"/>
          <w:lang w:val="zh-CN" w:bidi="zh-CN"/>
          <w14:textFill>
            <w14:solidFill>
              <w14:schemeClr w14:val="tx1"/>
            </w14:solidFill>
          </w14:textFill>
        </w:rPr>
        <w:t xml:space="preserve">包括书面通知、电话、传真、电子邮件等</w:t>
      </w:r>
      <w:r>
        <w:rPr>
          <w:rFonts w:hint="eastAsia" w:ascii="宋体" w:hAnsi="宋体" w:cs="宋体"/>
          <w:color w:val="000000" w:themeColor="text1"/>
          <w:szCs w:val="22"/>
          <w:lang w:val="zh-CN" w:bidi="zh-CN"/>
          <w14:textFill>
            <w14:solidFill>
              <w14:schemeClr w14:val="tx1"/>
            </w14:solidFill>
          </w14:textFill>
        </w:rPr>
        <w:t xml:space="preserve">）</w:t>
      </w:r>
      <w:r>
        <w:rPr>
          <w:rFonts w:ascii="宋体" w:hAnsi="宋体" w:cs="宋体"/>
          <w:color w:val="000000" w:themeColor="text1"/>
          <w:szCs w:val="22"/>
          <w:lang w:val="zh-CN" w:bidi="zh-CN"/>
          <w14:textFill>
            <w14:solidFill>
              <w14:schemeClr w14:val="tx1"/>
            </w14:solidFill>
          </w14:textFill>
        </w:rPr>
        <w:t xml:space="preserve">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（3）在质保期内，因</w:t>
      </w:r>
      <w:r>
        <w:rPr>
          <w:rFonts w:hint="eastAsia" w:ascii="宋体" w:hAnsi="宋体" w:cs="宋体"/>
          <w:color w:val="000000" w:themeColor="text1"/>
          <w:szCs w:val="22"/>
          <w:lang w:bidi="zh-CN"/>
          <w14:textFill>
            <w14:solidFill>
              <w14:schemeClr w14:val="tx1"/>
            </w14:solidFill>
          </w14:textFill>
        </w:rPr>
        <w:t xml:space="preserve">采购人</w:t>
      </w:r>
      <w:r>
        <w:rPr>
          <w:rFonts w:ascii="宋体" w:hAnsi="宋体" w:cs="宋体"/>
          <w:color w:val="000000" w:themeColor="text1"/>
          <w:szCs w:val="22"/>
          <w:lang w:val="zh-CN" w:bidi="zh-CN"/>
          <w14:textFill>
            <w14:solidFill>
              <w14:schemeClr w14:val="tx1"/>
            </w14:solidFill>
          </w14:textFill>
        </w:rPr>
        <w:t xml:space="preserve">使用不当原因出现设备故障时，乙方在接到</w:t>
      </w:r>
      <w:r>
        <w:rPr>
          <w:rFonts w:hint="eastAsia" w:ascii="宋体" w:hAnsi="宋体" w:cs="宋体"/>
          <w:color w:val="000000" w:themeColor="text1"/>
          <w:szCs w:val="22"/>
          <w:lang w:bidi="zh-CN"/>
          <w14:textFill>
            <w14:solidFill>
              <w14:schemeClr w14:val="tx1"/>
            </w14:solidFill>
          </w14:textFill>
        </w:rPr>
        <w:t xml:space="preserve">采购人</w:t>
      </w:r>
      <w:r>
        <w:rPr>
          <w:rFonts w:ascii="宋体" w:hAnsi="宋体" w:cs="宋体"/>
          <w:color w:val="000000" w:themeColor="text1"/>
          <w:szCs w:val="22"/>
          <w:lang w:val="zh-CN" w:bidi="zh-CN"/>
          <w14:textFill>
            <w14:solidFill>
              <w14:schemeClr w14:val="tx1"/>
            </w14:solidFill>
          </w14:textFill>
        </w:rPr>
        <w:t xml:space="preserve">通知后，应在</w:t>
      </w:r>
      <w:r>
        <w:rPr>
          <w:rFonts w:hint="eastAsia" w:ascii="宋体" w:hAnsi="宋体" w:cs="宋体"/>
          <w:color w:val="000000" w:themeColor="text1"/>
          <w:szCs w:val="22"/>
          <w:lang w:bidi="zh-CN"/>
          <w14:textFill>
            <w14:solidFill>
              <w14:schemeClr w14:val="tx1"/>
            </w14:solidFill>
          </w14:textFill>
        </w:rPr>
        <w:t xml:space="preserve">上述序号（2）</w:t>
      </w:r>
      <w:r>
        <w:rPr>
          <w:rFonts w:ascii="宋体" w:hAnsi="宋体" w:cs="宋体"/>
          <w:color w:val="000000" w:themeColor="text1"/>
          <w:szCs w:val="22"/>
          <w:lang w:val="zh-CN" w:bidi="zh-CN"/>
          <w14:textFill>
            <w14:solidFill>
              <w14:schemeClr w14:val="tx1"/>
            </w14:solidFill>
          </w14:textFill>
        </w:rPr>
        <w:t xml:space="preserve">条款中所述的时限内响应并派设备厂家工程师赶到</w:t>
      </w:r>
      <w:r>
        <w:rPr>
          <w:rFonts w:hint="eastAsia" w:ascii="宋体" w:hAnsi="宋体" w:cs="宋体"/>
          <w:color w:val="000000" w:themeColor="text1"/>
          <w:szCs w:val="22"/>
          <w:lang w:bidi="zh-CN"/>
          <w14:textFill>
            <w14:solidFill>
              <w14:schemeClr w14:val="tx1"/>
            </w14:solidFill>
          </w14:textFill>
        </w:rPr>
        <w:t xml:space="preserve">采购人</w:t>
      </w:r>
      <w:r>
        <w:rPr>
          <w:rFonts w:ascii="宋体" w:hAnsi="宋体" w:cs="宋体"/>
          <w:color w:val="000000" w:themeColor="text1"/>
          <w:szCs w:val="22"/>
          <w:lang w:val="zh-CN" w:bidi="zh-CN"/>
          <w14:textFill>
            <w14:solidFill>
              <w14:schemeClr w14:val="tx1"/>
            </w14:solidFill>
          </w14:textFill>
        </w:rPr>
        <w:t xml:space="preserve">现场，帮助排除故障、修复或更换零部件，需购买零部件时，仅收取成本费。</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（4）质保期满后，如设备出现故障，</w:t>
      </w:r>
      <w:r>
        <w:rPr>
          <w:rFonts w:hint="eastAsia" w:ascii="宋体" w:hAnsi="宋体" w:cs="宋体"/>
          <w:color w:val="000000" w:themeColor="text1"/>
          <w:szCs w:val="22"/>
          <w:lang w:bidi="zh-CN"/>
          <w14:textFill>
            <w14:solidFill>
              <w14:schemeClr w14:val="tx1"/>
            </w14:solidFill>
          </w14:textFill>
        </w:rPr>
        <w:t xml:space="preserve">供应商</w:t>
      </w:r>
      <w:r>
        <w:rPr>
          <w:rFonts w:ascii="宋体" w:hAnsi="宋体" w:cs="宋体"/>
          <w:color w:val="000000" w:themeColor="text1"/>
          <w:szCs w:val="22"/>
          <w:lang w:val="zh-CN" w:bidi="zh-CN"/>
          <w14:textFill>
            <w14:solidFill>
              <w14:schemeClr w14:val="tx1"/>
            </w14:solidFill>
          </w14:textFill>
        </w:rPr>
        <w:t xml:space="preserve">在接到</w:t>
      </w:r>
      <w:r>
        <w:rPr>
          <w:rFonts w:hint="eastAsia" w:ascii="宋体" w:hAnsi="宋体" w:cs="宋体"/>
          <w:color w:val="000000" w:themeColor="text1"/>
          <w:szCs w:val="22"/>
          <w:lang w:bidi="zh-CN"/>
          <w14:textFill>
            <w14:solidFill>
              <w14:schemeClr w14:val="tx1"/>
            </w14:solidFill>
          </w14:textFill>
        </w:rPr>
        <w:t xml:space="preserve">采购人</w:t>
      </w:r>
      <w:r>
        <w:rPr>
          <w:rFonts w:ascii="宋体" w:hAnsi="宋体" w:cs="宋体"/>
          <w:color w:val="000000" w:themeColor="text1"/>
          <w:szCs w:val="22"/>
          <w:lang w:val="zh-CN" w:bidi="zh-CN"/>
          <w14:textFill>
            <w14:solidFill>
              <w14:schemeClr w14:val="tx1"/>
            </w14:solidFill>
          </w14:textFill>
        </w:rPr>
        <w:t xml:space="preserve">通知后，仍应在上述时限内响应、派设备厂家工程师赶到</w:t>
      </w:r>
      <w:r>
        <w:rPr>
          <w:rFonts w:hint="eastAsia" w:ascii="宋体" w:hAnsi="宋体" w:cs="宋体"/>
          <w:color w:val="000000" w:themeColor="text1"/>
          <w:szCs w:val="22"/>
          <w:lang w:bidi="zh-CN"/>
          <w14:textFill>
            <w14:solidFill>
              <w14:schemeClr w14:val="tx1"/>
            </w14:solidFill>
          </w14:textFill>
        </w:rPr>
        <w:t xml:space="preserve">采购人</w:t>
      </w:r>
      <w:r>
        <w:rPr>
          <w:rFonts w:ascii="宋体" w:hAnsi="宋体" w:cs="宋体"/>
          <w:color w:val="000000" w:themeColor="text1"/>
          <w:szCs w:val="22"/>
          <w:lang w:val="zh-CN" w:bidi="zh-CN"/>
          <w14:textFill>
            <w14:solidFill>
              <w14:schemeClr w14:val="tx1"/>
            </w14:solidFill>
          </w14:textFill>
        </w:rPr>
        <w:t xml:space="preserve">现场，帮助排除故障、修复或更换零部件，需购买零部件时，酌情收取成本费。</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（5）</w:t>
      </w:r>
      <w:r>
        <w:rPr>
          <w:rFonts w:hint="eastAsia" w:ascii="宋体" w:hAnsi="宋体" w:cs="宋体"/>
          <w:color w:val="000000" w:themeColor="text1"/>
          <w14:textFill>
            <w14:solidFill>
              <w14:schemeClr w14:val="tx1"/>
            </w14:solidFill>
          </w14:textFill>
        </w:rPr>
        <w:t xml:space="preserve">设备维护保养：</w:t>
      </w:r>
      <w:r/>
    </w:p>
    <w:p>
      <w:pPr>
        <w:pStyle w:val="922"/>
        <w:ind w:firstLine="480"/>
        <w:spacing w:before="0" w:after="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投标人应在设备质保期内每年免费提供全面的设备保养，在质保期外应根据采购人需要免费提供设备全面保养服务。在不涉及硬件更换条件下，投标人需无偿提供系统的升级服务。</w:t>
      </w:r>
      <w:r/>
    </w:p>
    <w:p>
      <w:pPr>
        <w:pStyle w:val="922"/>
        <w:ind w:firstLine="482"/>
        <w:spacing w:before="0" w:after="0" w:line="360" w:lineRule="auto"/>
        <w:tabs>
          <w:tab w:val="left" w:pos="1204" w:leader="none"/>
        </w:tabs>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szCs w:val="22"/>
          <w:lang w:val="zh-CN" w:bidi="zh-CN"/>
          <w14:textFill>
            <w14:solidFill>
              <w14:schemeClr w14:val="tx1"/>
            </w14:solidFill>
          </w14:textFill>
        </w:rPr>
        <w:t xml:space="preserve">（二）</w:t>
      </w:r>
      <w:r>
        <w:rPr>
          <w:rFonts w:hint="eastAsia" w:ascii="宋体" w:hAnsi="宋体" w:cs="宋体"/>
          <w:b/>
          <w:color w:val="000000" w:themeColor="text1"/>
          <w14:textFill>
            <w14:solidFill>
              <w14:schemeClr w14:val="tx1"/>
            </w14:solidFill>
          </w14:textFill>
        </w:rPr>
        <w:t xml:space="preserve">报价要求及违约责任：</w:t>
      </w:r>
      <w:r/>
    </w:p>
    <w:p>
      <w:pPr>
        <w:pStyle w:val="922"/>
        <w:ind w:firstLine="480"/>
        <w:spacing w:before="0" w:after="0" w:line="360" w:lineRule="auto"/>
        <w:tabs>
          <w:tab w:val="left" w:pos="7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本项目报价，应包括</w:t>
      </w:r>
      <w:r>
        <w:rPr>
          <w:rFonts w:hint="eastAsia" w:ascii="宋体" w:hAnsi="宋体" w:cs="宋体"/>
          <w:bCs/>
          <w:color w:val="000000" w:themeColor="text1"/>
          <w:szCs w:val="21"/>
          <w14:textFill>
            <w14:solidFill>
              <w14:schemeClr w14:val="tx1"/>
            </w14:solidFill>
          </w14:textFill>
        </w:rPr>
        <w:t xml:space="preserve">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供应商认为需要的其他费用等，本合同执行期间合同总价款不变。</w:t>
      </w:r>
      <w:r/>
    </w:p>
    <w:p>
      <w:pPr>
        <w:pStyle w:val="922"/>
        <w:ind w:firstLine="480"/>
        <w:spacing w:before="0" w:after="0" w:line="360" w:lineRule="auto"/>
        <w:tabs>
          <w:tab w:val="left" w:pos="7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2.在安装、调试、验收过程中，如发现有漏项、缺件，</w:t>
      </w:r>
      <w:r>
        <w:rPr>
          <w:rFonts w:hint="eastAsia" w:ascii="宋体" w:hAnsi="宋体" w:cs="宋体"/>
          <w:color w:val="000000" w:themeColor="text1"/>
          <w:szCs w:val="22"/>
          <w:lang w:bidi="zh-CN"/>
          <w14:textFill>
            <w14:solidFill>
              <w14:schemeClr w14:val="tx1"/>
            </w14:solidFill>
          </w14:textFill>
        </w:rPr>
        <w:t xml:space="preserve">供应商</w:t>
      </w:r>
      <w:r>
        <w:rPr>
          <w:rFonts w:ascii="宋体" w:hAnsi="宋体" w:cs="宋体"/>
          <w:color w:val="000000" w:themeColor="text1"/>
          <w:szCs w:val="22"/>
          <w:lang w:val="zh-CN" w:bidi="zh-CN"/>
          <w14:textFill>
            <w14:solidFill>
              <w14:schemeClr w14:val="tx1"/>
            </w14:solidFill>
          </w14:textFill>
        </w:rPr>
        <w:t xml:space="preserve">应无条件、无偿补齐，所发生的一切费用，视为已包含在</w:t>
      </w:r>
      <w:r>
        <w:rPr>
          <w:rFonts w:hint="eastAsia" w:ascii="宋体" w:hAnsi="宋体" w:cs="宋体"/>
          <w:color w:val="000000" w:themeColor="text1"/>
          <w:szCs w:val="22"/>
          <w:lang w:bidi="zh-CN"/>
          <w14:textFill>
            <w14:solidFill>
              <w14:schemeClr w14:val="tx1"/>
            </w14:solidFill>
          </w14:textFill>
        </w:rPr>
        <w:t xml:space="preserve">供应商</w:t>
      </w:r>
      <w:r>
        <w:rPr>
          <w:rFonts w:ascii="宋体" w:hAnsi="宋体" w:cs="宋体"/>
          <w:color w:val="000000" w:themeColor="text1"/>
          <w:szCs w:val="22"/>
          <w:lang w:val="zh-CN" w:bidi="zh-CN"/>
          <w14:textFill>
            <w14:solidFill>
              <w14:schemeClr w14:val="tx1"/>
            </w14:solidFill>
          </w14:textFill>
        </w:rPr>
        <w:t xml:space="preserve">投标时的投标报价之中，且并不因此而影响交付</w:t>
      </w:r>
      <w:r>
        <w:rPr>
          <w:rFonts w:hint="eastAsia" w:ascii="宋体" w:hAnsi="宋体" w:cs="宋体"/>
          <w:color w:val="000000" w:themeColor="text1"/>
          <w:szCs w:val="22"/>
          <w:lang w:bidi="zh-CN"/>
          <w14:textFill>
            <w14:solidFill>
              <w14:schemeClr w14:val="tx1"/>
            </w14:solidFill>
          </w14:textFill>
        </w:rPr>
        <w:t xml:space="preserve">采购人</w:t>
      </w:r>
      <w:r>
        <w:rPr>
          <w:rFonts w:ascii="宋体" w:hAnsi="宋体" w:cs="宋体"/>
          <w:color w:val="000000" w:themeColor="text1"/>
          <w:szCs w:val="22"/>
          <w:lang w:val="zh-CN" w:bidi="zh-CN"/>
          <w14:textFill>
            <w14:solidFill>
              <w14:schemeClr w14:val="tx1"/>
            </w14:solidFill>
          </w14:textFill>
        </w:rPr>
        <w:t xml:space="preserve">使用的时间。</w:t>
      </w:r>
      <w:r/>
    </w:p>
    <w:p>
      <w:pPr>
        <w:pStyle w:val="922"/>
        <w:ind w:firstLine="480"/>
        <w:spacing w:before="0" w:after="0" w:line="360" w:lineRule="auto"/>
        <w:tabs>
          <w:tab w:val="left" w:pos="7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供应商的任何错漏、优惠、竞争性报价不得作为减轻责任、减少服务、增加收费、降低质量的理由。</w:t>
      </w:r>
      <w:r/>
    </w:p>
    <w:p>
      <w:pPr>
        <w:pStyle w:val="922"/>
        <w:ind w:firstLine="480"/>
        <w:spacing w:before="0" w:after="0" w:line="360" w:lineRule="auto"/>
        <w:tabs>
          <w:tab w:val="left" w:pos="780" w:leader="none"/>
        </w:tabs>
        <w:rPr>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4.</w:t>
      </w:r>
      <w:r>
        <w:rPr>
          <w:rFonts w:hint="eastAsia" w:ascii="宋体" w:hAnsi="宋体" w:cs="宋体"/>
          <w:color w:val="000000" w:themeColor="text1"/>
          <w14:textFill>
            <w14:solidFill>
              <w14:schemeClr w14:val="tx1"/>
            </w14:solidFill>
          </w14:textFill>
        </w:rPr>
        <w:t xml:space="preserve">供应商报价除包含招标文件中列明的项目外还应包括保障服务正常运行应当具有的物资和服务，对服务正常运行应当具有的物资和服务理解不一致的以采购人理解为准。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5"/>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第五章  合同主要条款及格式</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以下为中标后签订本项目合同的通用条款，中标人不得提出实质性的修改，关于专用条款将由采购人与中标人结合本项目具体情况协商后签订。</w:t>
      </w:r>
      <w:r/>
    </w:p>
    <w:p>
      <w:pPr>
        <w:ind w:firstLine="560"/>
        <w:jc w:val="center"/>
        <w:spacing w:before="468" w:after="468"/>
        <w:tabs>
          <w:tab w:val="left" w:pos="1440" w:leader="none"/>
          <w:tab w:val="left" w:pos="5670" w:leader="none"/>
        </w:tabs>
        <w:rPr>
          <w:rFonts w:hint="eastAsia" w:ascii="宋体" w:hAnsi="宋体" w:cs="宋体"/>
          <w:color w:val="000000" w:themeColor="text1"/>
          <w:sz w:val="28"/>
          <w:szCs w:val="28"/>
          <w14:textFill>
            <w14:solidFill>
              <w14:schemeClr w14:val="tx1"/>
            </w14:solidFill>
          </w14:textFill>
        </w:rPr>
      </w:pPr>
      <w:r/>
      <w:bookmarkStart w:id="5" w:name="_Toc4445"/>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643"/>
        <w:jc w:val="center"/>
        <w:widowControl/>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政府采购合同</w:t>
      </w:r>
      <w:r/>
    </w:p>
    <w:p>
      <w:pPr>
        <w:ind w:firstLine="643"/>
        <w:jc w:val="center"/>
        <w:widowControl/>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（拟签订的合同文本）</w:t>
      </w:r>
      <w:r/>
    </w:p>
    <w:p>
      <w:pPr>
        <w:ind w:firstLine="723"/>
        <w:widowControl/>
        <w:rPr>
          <w:rFonts w:hint="eastAsia"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r>
      <w:r/>
    </w:p>
    <w:p>
      <w:pPr>
        <w:ind w:firstLine="480"/>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80"/>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80"/>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2409"/>
        <w:widowControl/>
        <w:rPr>
          <w:rFonts w:hint="eastAsia" w:ascii="宋体" w:hAnsi="宋体" w:cs="宋体"/>
          <w:color w:val="000000" w:themeColor="text1"/>
          <w:sz w:val="30"/>
          <w:szCs w:val="30"/>
          <w14:textFill>
            <w14:solidFill>
              <w14:schemeClr w14:val="tx1"/>
            </w14:solidFill>
          </w14:textFill>
        </w:rPr>
      </w:pPr>
      <w:r>
        <w:rPr>
          <w:rFonts w:hint="eastAsia" w:ascii="宋体" w:hAnsi="宋体" w:cs="宋体"/>
          <w:b/>
          <w:bCs/>
          <w:color w:val="000000" w:themeColor="text1"/>
          <w:sz w:val="30"/>
          <w:szCs w:val="30"/>
          <w14:textFill>
            <w14:solidFill>
              <w14:schemeClr w14:val="tx1"/>
            </w14:solidFill>
          </w14:textFill>
        </w:rPr>
        <w:t xml:space="preserve">合同编号：</w:t>
      </w:r>
      <w:r>
        <w:rPr>
          <w:rFonts w:hint="eastAsia" w:ascii="宋体" w:hAnsi="宋体" w:cs="宋体"/>
          <w:b/>
          <w:bCs/>
          <w:color w:val="000000" w:themeColor="text1"/>
          <w:sz w:val="30"/>
          <w:szCs w:val="30"/>
          <w:u w:val="single"/>
          <w14:textFill>
            <w14:solidFill>
              <w14:schemeClr w14:val="tx1"/>
            </w14:solidFill>
          </w14:textFill>
        </w:rPr>
        <w:t xml:space="preserve">           </w:t>
      </w:r>
      <w:r/>
    </w:p>
    <w:p>
      <w:pPr>
        <w:ind w:firstLine="2409"/>
        <w:widowControl/>
        <w:rPr>
          <w:rFonts w:hint="eastAsia" w:ascii="宋体" w:hAnsi="宋体" w:cs="宋体"/>
          <w:color w:val="000000" w:themeColor="text1"/>
          <w:sz w:val="30"/>
          <w:szCs w:val="30"/>
          <w14:textFill>
            <w14:solidFill>
              <w14:schemeClr w14:val="tx1"/>
            </w14:solidFill>
          </w14:textFill>
        </w:rPr>
      </w:pPr>
      <w:r>
        <w:rPr>
          <w:rFonts w:hint="eastAsia" w:ascii="宋体" w:hAnsi="宋体" w:cs="宋体"/>
          <w:b/>
          <w:bCs/>
          <w:color w:val="000000" w:themeColor="text1"/>
          <w:sz w:val="30"/>
          <w:szCs w:val="30"/>
          <w14:textFill>
            <w14:solidFill>
              <w14:schemeClr w14:val="tx1"/>
            </w14:solidFill>
          </w14:textFill>
        </w:rPr>
        <w:t xml:space="preserve">项目名称：</w:t>
      </w:r>
      <w:r>
        <w:rPr>
          <w:rFonts w:hint="eastAsia" w:ascii="宋体" w:hAnsi="宋体" w:cs="宋体"/>
          <w:b/>
          <w:bCs/>
          <w:color w:val="000000" w:themeColor="text1"/>
          <w:sz w:val="30"/>
          <w:szCs w:val="30"/>
          <w:u w:val="single"/>
          <w14:textFill>
            <w14:solidFill>
              <w14:schemeClr w14:val="tx1"/>
            </w14:solidFill>
          </w14:textFill>
        </w:rPr>
        <w:t xml:space="preserve">           </w:t>
      </w:r>
      <w:r/>
    </w:p>
    <w:p>
      <w:pPr>
        <w:ind w:firstLine="2409"/>
        <w:widowControl/>
        <w:rPr>
          <w:rFonts w:hint="eastAsia" w:ascii="宋体" w:hAnsi="宋体" w:cs="宋体"/>
          <w:color w:val="000000" w:themeColor="text1"/>
          <w:sz w:val="30"/>
          <w:szCs w:val="30"/>
          <w14:textFill>
            <w14:solidFill>
              <w14:schemeClr w14:val="tx1"/>
            </w14:solidFill>
          </w14:textFill>
        </w:rPr>
      </w:pPr>
      <w:r>
        <w:rPr>
          <w:rFonts w:hint="eastAsia" w:ascii="宋体" w:hAnsi="宋体" w:cs="宋体"/>
          <w:b/>
          <w:bCs/>
          <w:color w:val="000000" w:themeColor="text1"/>
          <w:sz w:val="30"/>
          <w:szCs w:val="30"/>
          <w14:textFill>
            <w14:solidFill>
              <w14:schemeClr w14:val="tx1"/>
            </w14:solidFill>
          </w14:textFill>
        </w:rPr>
        <w:t xml:space="preserve">采购人（甲方）：</w:t>
      </w:r>
      <w:r>
        <w:rPr>
          <w:rFonts w:hint="eastAsia" w:ascii="宋体" w:hAnsi="宋体" w:cs="宋体"/>
          <w:b/>
          <w:bCs/>
          <w:color w:val="000000" w:themeColor="text1"/>
          <w:sz w:val="30"/>
          <w:szCs w:val="30"/>
          <w:u w:val="single"/>
          <w14:textFill>
            <w14:solidFill>
              <w14:schemeClr w14:val="tx1"/>
            </w14:solidFill>
          </w14:textFill>
        </w:rPr>
        <w:t xml:space="preserve">        </w:t>
      </w:r>
      <w:r/>
    </w:p>
    <w:p>
      <w:pPr>
        <w:ind w:firstLine="2409"/>
        <w:widowControl/>
        <w:rPr>
          <w:rFonts w:hint="eastAsia" w:ascii="宋体" w:hAnsi="宋体" w:cs="宋体"/>
          <w:color w:val="000000" w:themeColor="text1"/>
          <w:sz w:val="30"/>
          <w:szCs w:val="30"/>
          <w14:textFill>
            <w14:solidFill>
              <w14:schemeClr w14:val="tx1"/>
            </w14:solidFill>
          </w14:textFill>
        </w:rPr>
      </w:pPr>
      <w:r>
        <w:rPr>
          <w:rFonts w:hint="eastAsia" w:ascii="宋体" w:hAnsi="宋体" w:cs="宋体"/>
          <w:b/>
          <w:bCs/>
          <w:color w:val="000000" w:themeColor="text1"/>
          <w:sz w:val="30"/>
          <w:szCs w:val="30"/>
          <w14:textFill>
            <w14:solidFill>
              <w14:schemeClr w14:val="tx1"/>
            </w14:solidFill>
          </w14:textFill>
        </w:rPr>
        <w:t xml:space="preserve">供应商（乙方）：</w:t>
      </w:r>
      <w:r>
        <w:rPr>
          <w:rFonts w:hint="eastAsia" w:ascii="宋体" w:hAnsi="宋体" w:cs="宋体"/>
          <w:b/>
          <w:bCs/>
          <w:color w:val="000000" w:themeColor="text1"/>
          <w:sz w:val="30"/>
          <w:szCs w:val="30"/>
          <w:u w:val="single"/>
          <w14:textFill>
            <w14:solidFill>
              <w14:schemeClr w14:val="tx1"/>
            </w14:solidFill>
          </w14:textFill>
        </w:rPr>
        <w:t xml:space="preserve">        </w:t>
      </w:r>
      <w:r/>
    </w:p>
    <w:p>
      <w:pPr>
        <w:ind w:firstLine="2409"/>
        <w:widowControl/>
        <w:rPr>
          <w:rFonts w:hint="eastAsia" w:ascii="宋体" w:hAnsi="宋体" w:cs="宋体"/>
          <w:color w:val="000000" w:themeColor="text1"/>
          <w:sz w:val="30"/>
          <w:szCs w:val="30"/>
          <w14:textFill>
            <w14:solidFill>
              <w14:schemeClr w14:val="tx1"/>
            </w14:solidFill>
          </w14:textFill>
        </w:rPr>
      </w:pPr>
      <w:r>
        <w:rPr>
          <w:rFonts w:hint="eastAsia" w:ascii="宋体" w:hAnsi="宋体" w:cs="宋体"/>
          <w:b/>
          <w:bCs/>
          <w:color w:val="000000" w:themeColor="text1"/>
          <w:sz w:val="30"/>
          <w:szCs w:val="30"/>
          <w14:textFill>
            <w14:solidFill>
              <w14:schemeClr w14:val="tx1"/>
            </w14:solidFill>
          </w14:textFill>
        </w:rPr>
        <w:t xml:space="preserve">签订日期：</w:t>
      </w:r>
      <w:r>
        <w:rPr>
          <w:rFonts w:hint="eastAsia" w:ascii="宋体" w:hAnsi="宋体" w:cs="宋体"/>
          <w:b/>
          <w:bCs/>
          <w:color w:val="000000" w:themeColor="text1"/>
          <w:sz w:val="30"/>
          <w:szCs w:val="30"/>
          <w:u w:val="single"/>
          <w14:textFill>
            <w14:solidFill>
              <w14:schemeClr w14:val="tx1"/>
            </w14:solidFill>
          </w14:textFill>
        </w:rPr>
        <w:t xml:space="preserve">           </w:t>
      </w:r>
      <w:r/>
    </w:p>
    <w:p>
      <w:pPr>
        <w:ind w:firstLine="640"/>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ind w:left="-480" w:right="-358" w:firstLine="241"/>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ind w:left="108" w:firstLine="482"/>
        <w:spacing w:line="480" w:lineRule="exact"/>
        <w:tabs>
          <w:tab w:val="left" w:pos="4785" w:leader="none"/>
        </w:tabs>
        <w:rPr>
          <w:rFonts w:hint="eastAsia" w:ascii="宋体" w:hAnsi="宋体" w:cs="宋体"/>
          <w:b/>
          <w:bCs/>
          <w:i/>
          <w:iCs/>
          <w:color w:val="000000" w:themeColor="text1"/>
          <w14:textFill>
            <w14:solidFill>
              <w14:schemeClr w14:val="tx1"/>
            </w14:solidFill>
          </w14:textFill>
        </w:rPr>
      </w:pPr>
      <w:r>
        <w:rPr>
          <w:rFonts w:hint="eastAsia" w:ascii="宋体" w:hAnsi="宋体" w:cs="宋体"/>
          <w:b/>
          <w:bCs/>
          <w:i/>
          <w:iCs/>
          <w:color w:val="000000" w:themeColor="text1"/>
          <w14:textFill>
            <w14:solidFill>
              <w14:schemeClr w14:val="tx1"/>
            </w14:solidFill>
          </w14:textFill>
        </w:rPr>
        <w:t xml:space="preserve">注：</w:t>
      </w:r>
      <w:bookmarkEnd w:id="5"/>
      <w:r>
        <w:rPr>
          <w:rFonts w:hint="eastAsia" w:ascii="宋体" w:hAnsi="宋体" w:cs="宋体"/>
          <w:b/>
          <w:bCs/>
          <w:i/>
          <w:iCs/>
          <w:color w:val="000000" w:themeColor="text1"/>
          <w14:textFill>
            <w14:solidFill>
              <w14:schemeClr w14:val="tx1"/>
            </w14:solidFill>
          </w14:textFill>
        </w:rPr>
        <w:t xml:space="preserve">货物类采购合同参考格式，本合同内容条款在正式签署前可具体补充细化，仅作参考，最终合同以采购人法务审查通过的版本为准。</w:t>
      </w:r>
      <w:r/>
    </w:p>
    <w:p>
      <w:pPr>
        <w:ind w:firstLine="482"/>
        <w:rPr>
          <w:rFonts w:hint="eastAsia" w:ascii="宋体" w:hAnsi="宋体" w:cs="宋体"/>
          <w:b/>
          <w:bCs/>
          <w:i/>
          <w:iCs/>
          <w:color w:val="000000" w:themeColor="text1"/>
          <w14:textFill>
            <w14:solidFill>
              <w14:schemeClr w14:val="tx1"/>
            </w14:solidFill>
          </w14:textFill>
        </w:rPr>
      </w:pPr>
      <w:r>
        <w:rPr>
          <w:rFonts w:hint="eastAsia" w:ascii="宋体" w:hAnsi="宋体" w:cs="宋体"/>
          <w:b/>
          <w:bCs/>
          <w:i/>
          <w:iCs/>
          <w:color w:val="000000" w:themeColor="text1"/>
          <w14:textFill>
            <w14:solidFill>
              <w14:schemeClr w14:val="tx1"/>
            </w14:solidFill>
          </w14:textFill>
        </w:rPr>
        <w:br w:type="page" w:clear="all"/>
      </w:r>
      <w:r/>
    </w:p>
    <w:p>
      <w:pPr>
        <w:ind w:left="108" w:firstLine="482"/>
        <w:spacing w:line="480" w:lineRule="exact"/>
        <w:tabs>
          <w:tab w:val="left" w:pos="4785"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甲方：江苏省特种设备安全监督检验研究院</w:t>
      </w:r>
      <w:r/>
    </w:p>
    <w:p>
      <w:pPr>
        <w:ind w:firstLine="335"/>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乙方：</w:t>
      </w:r>
      <w:r/>
    </w:p>
    <w:p>
      <w:pPr>
        <w:ind w:firstLine="335"/>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采购代理机构：南京苏宁工程咨询有限公司</w:t>
      </w:r>
      <w:r/>
    </w:p>
    <w:p>
      <w:pPr>
        <w:ind w:left="108" w:firstLine="480"/>
        <w:spacing w:line="440" w:lineRule="exact"/>
        <w:tabs>
          <w:tab w:val="left" w:pos="4785"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一、说明：</w:t>
      </w:r>
      <w:r/>
    </w:p>
    <w:p>
      <w:pPr>
        <w:ind w:left="108" w:firstLine="480"/>
        <w:spacing w:line="440" w:lineRule="exact"/>
        <w:tabs>
          <w:tab w:val="left" w:pos="4785"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受甲方委托，采购代理机构于</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日组织了</w:t>
      </w:r>
      <w:r>
        <w:rPr>
          <w:rFonts w:hint="eastAsia" w:ascii="宋体" w:hAnsi="宋体" w:cs="宋体"/>
          <w:color w:val="000000" w:themeColor="text1"/>
          <w:szCs w:val="21"/>
          <w:u w:val="single"/>
          <w14:textFill>
            <w14:solidFill>
              <w14:schemeClr w14:val="tx1"/>
            </w14:solidFill>
          </w14:textFill>
        </w:rPr>
        <w:t xml:space="preserve">江苏省特种设备安全监督检验研究院所需</w:t>
      </w:r>
      <w:r>
        <w:rPr>
          <w:rFonts w:hint="eastAsia" w:ascii="宋体" w:hAnsi="宋体" w:cs="宋体"/>
          <w:color w:val="000000" w:themeColor="text1"/>
          <w:szCs w:val="21"/>
          <w:u w:val="single"/>
          <w:lang w:eastAsia="zh-CN"/>
          <w14:textFill>
            <w14:solidFill>
              <w14:schemeClr w14:val="tx1"/>
            </w14:solidFill>
          </w14:textFill>
        </w:rPr>
        <w:t xml:space="preserve">压力管道元件（金属阀门、燃气用聚乙烯管）型式试验能力提升设备采购</w:t>
      </w:r>
      <w:r>
        <w:rPr>
          <w:rFonts w:hint="eastAsia" w:ascii="宋体" w:hAnsi="宋体" w:cs="宋体"/>
          <w:color w:val="000000" w:themeColor="text1"/>
          <w:szCs w:val="21"/>
          <w14:textFill>
            <w14:solidFill>
              <w14:schemeClr w14:val="tx1"/>
            </w14:solidFill>
          </w14:textFill>
        </w:rPr>
        <w:t xml:space="preserve">采购项目（项目编号：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；采购包</w:t>
      </w:r>
      <w:r>
        <w:rPr>
          <w:rFonts w:hint="eastAsia" w:ascii="宋体" w:hAnsi="宋体" w:cs="宋体"/>
          <w:color w:val="000000" w:themeColor="text1"/>
          <w:szCs w:val="21"/>
          <w:u w:val="single"/>
          <w14:textFill>
            <w14:solidFill>
              <w14:schemeClr w14:val="tx1"/>
            </w14:solidFill>
          </w14:textFill>
        </w:rPr>
        <w:t xml:space="preserve">号：     </w:t>
      </w:r>
      <w:r>
        <w:rPr>
          <w:rFonts w:hint="eastAsia" w:ascii="宋体" w:hAnsi="宋体" w:cs="宋体"/>
          <w:color w:val="000000" w:themeColor="text1"/>
          <w:szCs w:val="21"/>
          <w14:textFill>
            <w14:solidFill>
              <w14:schemeClr w14:val="tx1"/>
            </w14:solidFill>
          </w14:textFill>
        </w:rPr>
        <w:t xml:space="preserve">）的评审活动，经评委认真严格地评审，确定由乙方成交。</w:t>
      </w:r>
      <w:r/>
    </w:p>
    <w:p>
      <w:pPr>
        <w:ind w:left="108" w:firstLine="480"/>
        <w:spacing w:line="440" w:lineRule="exact"/>
        <w:tabs>
          <w:tab w:val="left" w:pos="4785"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二、合同条款：</w:t>
      </w:r>
      <w:r/>
    </w:p>
    <w:p>
      <w:pPr>
        <w:ind w:left="108" w:firstLine="480"/>
        <w:spacing w:line="440" w:lineRule="exact"/>
        <w:tabs>
          <w:tab w:val="left" w:pos="4785"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合同由甲乙双方签订，并依据</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号招标文件规定，按下列合同条款甲方同意购入，乙方同意出售下列设备及服务。</w:t>
      </w:r>
      <w:r/>
    </w:p>
    <w:p>
      <w:pPr>
        <w:ind w:left="108" w:firstLine="480"/>
        <w:spacing w:line="440" w:lineRule="exact"/>
        <w:tabs>
          <w:tab w:val="left" w:pos="4785"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1.设备名称、型号规格、数量及服务内容。</w:t>
      </w:r>
      <w:r/>
    </w:p>
    <w:tbl>
      <w:tblPr>
        <w:tblStyle w:val="9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1"/>
        <w:gridCol w:w="1490"/>
        <w:gridCol w:w="1267"/>
        <w:gridCol w:w="1031"/>
        <w:gridCol w:w="923"/>
        <w:gridCol w:w="1576"/>
        <w:gridCol w:w="1500"/>
      </w:tblGrid>
      <w:tr>
        <w:trPr>
          <w:jc w:val="center"/>
          <w:trHeight w:val="510"/>
        </w:trPr>
        <w:tc>
          <w:tcPr>
            <w:tcW w:w="808" w:type="pct"/>
            <w:vAlign w:val="center"/>
            <w:textDirection w:val="lrTb"/>
            <w:noWrap w:val="false"/>
          </w:tcPr>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设备名称</w:t>
            </w:r>
            <w:r/>
          </w:p>
        </w:tc>
        <w:tc>
          <w:tcPr>
            <w:tcW w:w="802" w:type="pct"/>
            <w:vAlign w:val="center"/>
            <w:textDirection w:val="lrTb"/>
            <w:noWrap w:val="false"/>
          </w:tcPr>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品牌</w:t>
            </w:r>
            <w:r/>
          </w:p>
        </w:tc>
        <w:tc>
          <w:tcPr>
            <w:tcW w:w="682" w:type="pct"/>
            <w:vAlign w:val="center"/>
            <w:textDirection w:val="lrTb"/>
            <w:noWrap w:val="false"/>
          </w:tcPr>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型号</w:t>
            </w:r>
            <w:r/>
          </w:p>
        </w:tc>
        <w:tc>
          <w:tcPr>
            <w:tcW w:w="555" w:type="pct"/>
            <w:vAlign w:val="center"/>
            <w:textDirection w:val="lrTb"/>
            <w:noWrap w:val="false"/>
          </w:tcPr>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单位</w:t>
            </w:r>
            <w:r/>
          </w:p>
        </w:tc>
        <w:tc>
          <w:tcPr>
            <w:tcW w:w="497" w:type="pct"/>
            <w:vAlign w:val="center"/>
            <w:textDirection w:val="lrTb"/>
            <w:noWrap w:val="false"/>
          </w:tcPr>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数量</w:t>
            </w:r>
            <w:r/>
          </w:p>
        </w:tc>
        <w:tc>
          <w:tcPr>
            <w:tcW w:w="848" w:type="pct"/>
            <w:vAlign w:val="center"/>
            <w:textDirection w:val="lrTb"/>
            <w:noWrap w:val="false"/>
          </w:tcPr>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单价（元）</w:t>
            </w:r>
            <w:r/>
          </w:p>
        </w:tc>
        <w:tc>
          <w:tcPr>
            <w:tcW w:w="806" w:type="pct"/>
            <w:vAlign w:val="center"/>
            <w:textDirection w:val="lrTb"/>
            <w:noWrap w:val="false"/>
          </w:tcPr>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总价（元）</w:t>
            </w:r>
            <w:r/>
          </w:p>
        </w:tc>
      </w:tr>
      <w:tr>
        <w:trPr>
          <w:jc w:val="center"/>
          <w:trHeight w:val="510"/>
        </w:trPr>
        <w:tc>
          <w:tcPr>
            <w:tcW w:w="808"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02"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682"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555"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497"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48"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06"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510"/>
        </w:trPr>
        <w:tc>
          <w:tcPr>
            <w:tcW w:w="808"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02"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682"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555"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497"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48"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06"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510"/>
        </w:trPr>
        <w:tc>
          <w:tcPr>
            <w:tcW w:w="808"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02"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682"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555"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497"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48"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06"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510"/>
        </w:trPr>
        <w:tc>
          <w:tcPr>
            <w:tcW w:w="808"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02"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682"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555"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497"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48"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06"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510"/>
        </w:trPr>
        <w:tc>
          <w:tcPr>
            <w:gridSpan w:val="4"/>
            <w:tcW w:w="2847" w:type="pct"/>
            <w:vAlign w:val="center"/>
            <w:textDirection w:val="lrTb"/>
            <w:noWrap w:val="false"/>
          </w:tcPr>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合计（元）</w:t>
            </w:r>
            <w:r/>
          </w:p>
        </w:tc>
        <w:tc>
          <w:tcPr>
            <w:gridSpan w:val="3"/>
            <w:tcW w:w="2152" w:type="pct"/>
            <w:vAlign w:val="center"/>
            <w:textDirection w:val="lrTb"/>
            <w:noWrap w:val="false"/>
          </w:tcPr>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tc>
      </w:tr>
    </w:tbl>
    <w:p>
      <w:pPr>
        <w:ind w:firstLine="480"/>
        <w:spacing w:line="440" w:lineRule="exact"/>
        <w:tabs>
          <w:tab w:val="left" w:pos="4785" w:leader="none"/>
        </w:tabs>
        <w:rPr>
          <w:rFonts w:hint="eastAsia"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2.合同总价（大写）：</w:t>
      </w:r>
      <w:r>
        <w:rPr>
          <w:rFonts w:hint="eastAsia" w:asciiTheme="minorEastAsia" w:hAnsiTheme="minorEastAsia" w:eastAsiaTheme="minorEastAsia" w:cstheme="minorEastAsia"/>
          <w:b/>
          <w:bCs/>
          <w:color w:val="000000" w:themeColor="text1"/>
          <w14:textFill>
            <w14:solidFill>
              <w14:schemeClr w14:val="tx1"/>
            </w14:solidFill>
          </w14:textFill>
        </w:rPr>
        <w:t xml:space="preserve">人民币</w:t>
      </w:r>
      <w:r>
        <w:rPr>
          <w:rFonts w:hint="eastAsia" w:asciiTheme="minorEastAsia" w:hAnsiTheme="minorEastAsia" w:eastAsiaTheme="minorEastAsia" w:cstheme="minorEastAsia"/>
          <w:b/>
          <w:bCs/>
          <w:color w:val="000000" w:themeColor="text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14:textFill>
            <w14:solidFill>
              <w14:schemeClr w14:val="tx1"/>
            </w14:solidFill>
          </w14:textFill>
        </w:rPr>
        <w:t xml:space="preserve">。</w:t>
      </w:r>
      <w:r>
        <w:rPr>
          <w:rFonts w:hint="eastAsia" w:asciiTheme="minorEastAsia" w:hAnsiTheme="minorEastAsia" w:eastAsiaTheme="minorEastAsia" w:cstheme="minorEastAsia"/>
          <w:bCs/>
          <w:color w:val="000000" w:themeColor="text1"/>
          <w14:textFill>
            <w14:solidFill>
              <w14:schemeClr w14:val="tx1"/>
            </w14:solidFill>
          </w14:textFill>
        </w:rPr>
        <w:t xml:space="preserve">（含13%增值税）</w:t>
      </w:r>
      <w:r/>
    </w:p>
    <w:p>
      <w:pPr>
        <w:ind w:left="108" w:firstLine="1680"/>
        <w:spacing w:line="440" w:lineRule="exact"/>
        <w:tabs>
          <w:tab w:val="left" w:pos="4785" w:leader="none"/>
        </w:tabs>
        <w:rPr>
          <w:rFonts w:hint="eastAsia"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 xml:space="preserve">（小写）：</w:t>
      </w:r>
      <w:r>
        <w:rPr>
          <w:rFonts w:hint="eastAsia" w:asciiTheme="minorEastAsia" w:hAnsiTheme="minorEastAsia" w:eastAsiaTheme="minorEastAsia" w:cstheme="minorEastAsia"/>
          <w:b/>
          <w:bCs/>
          <w:color w:val="000000" w:themeColor="text1"/>
          <w14:textFill>
            <w14:solidFill>
              <w14:schemeClr w14:val="tx1"/>
            </w14:solidFill>
          </w14:textFill>
        </w:rPr>
        <w:t xml:space="preserve">￥</w:t>
      </w:r>
      <w:r>
        <w:rPr>
          <w:rFonts w:hint="eastAsia" w:asciiTheme="minorEastAsia" w:hAnsiTheme="minorEastAsia" w:eastAsiaTheme="minorEastAsia" w:cstheme="minorEastAsia"/>
          <w:b/>
          <w:bCs/>
          <w:color w:val="000000" w:themeColor="text1"/>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14:textFill>
            <w14:solidFill>
              <w14:schemeClr w14:val="tx1"/>
            </w14:solidFill>
          </w14:textFill>
        </w:rPr>
        <w:t xml:space="preserve">元。</w:t>
      </w:r>
      <w:r/>
    </w:p>
    <w:p>
      <w:pPr>
        <w:ind w:firstLine="48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2.1合同总</w:t>
      </w:r>
      <w:r>
        <w:rPr>
          <w:rFonts w:hint="eastAsia" w:asciiTheme="minorEastAsia" w:hAnsiTheme="minorEastAsia" w:eastAsiaTheme="minorEastAsia" w:cstheme="minorEastAsia"/>
          <w:bCs/>
          <w:color w:val="000000" w:themeColor="text1"/>
          <w14:textFill>
            <w14:solidFill>
              <w14:schemeClr w14:val="tx1"/>
            </w14:solidFill>
          </w14:textFill>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2.2 在安装、调试、验收过程中，如发现有漏项、缺件，乙方应无条件、无偿补齐，所发生的一切费用，视为已包含在乙方投标时的投标报价之中，且并不因此而影响交付甲方使用的时间。</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3. 交付使用时间：</w:t>
      </w:r>
      <w:r>
        <w:rPr>
          <w:rFonts w:hint="eastAsia" w:asciiTheme="minorEastAsia" w:hAnsiTheme="minorEastAsia" w:eastAsiaTheme="minorEastAsia" w:cstheme="minorEastAsia"/>
          <w:b/>
          <w:color w:val="000000" w:themeColor="text1"/>
          <w:u w:val="single"/>
          <w14:textFill>
            <w14:solidFill>
              <w14:schemeClr w14:val="tx1"/>
            </w14:solidFill>
          </w14:textFill>
        </w:rPr>
        <w:t xml:space="preserve">合同签订后    日历天内供齐所有货物及服务，完成安装、调试及初步验收。</w:t>
      </w:r>
      <w:r/>
    </w:p>
    <w:p>
      <w:pPr>
        <w:ind w:firstLine="480"/>
        <w:spacing w:line="440" w:lineRule="exact"/>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4. 收货人：</w:t>
      </w:r>
      <w:r>
        <w:rPr>
          <w:rFonts w:hint="eastAsia" w:asciiTheme="minorEastAsia" w:hAnsiTheme="minorEastAsia" w:eastAsiaTheme="minorEastAsia" w:cstheme="minorEastAsia"/>
          <w:b/>
          <w:color w:val="000000" w:themeColor="text1"/>
          <w:u w:val="single"/>
          <w14:textFill>
            <w14:solidFill>
              <w14:schemeClr w14:val="tx1"/>
            </w14:solidFill>
          </w14:textFill>
        </w:rPr>
        <w:t xml:space="preserve">江苏省特种设备安全监督检验研究院</w:t>
      </w:r>
      <w:r>
        <w:rPr>
          <w:rFonts w:hint="eastAsia" w:asciiTheme="minorEastAsia" w:hAnsiTheme="minorEastAsia" w:eastAsiaTheme="minorEastAsia" w:cstheme="minorEastAsia"/>
          <w:color w:val="000000" w:themeColor="text1"/>
          <w:u w:val="single"/>
          <w14:textFill>
            <w14:solidFill>
              <w14:schemeClr w14:val="tx1"/>
            </w14:solidFill>
          </w14:textFill>
        </w:rPr>
        <w:t xml:space="preserve">。</w:t>
      </w:r>
      <w:r/>
    </w:p>
    <w:p>
      <w:pPr>
        <w:pStyle w:val="920"/>
        <w:ind w:firstLine="480"/>
        <w:spacing w:line="440" w:lineRule="exact"/>
        <w:tabs>
          <w:tab w:val="left" w:pos="-235" w:leader="none"/>
        </w:tabs>
        <w:rPr>
          <w:rFonts w:hint="eastAsia" w:asciiTheme="minorEastAsia" w:hAnsiTheme="minorEastAsia" w:eastAsiaTheme="minorEastAsia" w:cstheme="minorEastAsia"/>
          <w:color w:val="000000" w:themeColor="text1"/>
          <w:szCs w:val="24"/>
          <w:u w:val="single"/>
          <w14:textFill>
            <w14:solidFill>
              <w14:schemeClr w14:val="tx1"/>
            </w14:solidFill>
          </w14:textFill>
        </w:rPr>
      </w:pPr>
      <w:r>
        <w:rPr>
          <w:rFonts w:hint="eastAsia" w:asciiTheme="minorEastAsia" w:hAnsiTheme="minorEastAsia" w:eastAsiaTheme="minorEastAsia" w:cstheme="minorEastAsia"/>
          <w:color w:val="000000" w:themeColor="text1"/>
          <w:szCs w:val="24"/>
          <w14:textFill>
            <w14:solidFill>
              <w14:schemeClr w14:val="tx1"/>
            </w14:solidFill>
          </w14:textFill>
        </w:rPr>
        <w:t xml:space="preserve">5. 交货地点：</w:t>
      </w:r>
      <w:r>
        <w:rPr>
          <w:rFonts w:hint="eastAsia" w:asciiTheme="minorEastAsia" w:hAnsiTheme="minorEastAsia" w:eastAsiaTheme="minorEastAsia" w:cstheme="minorEastAsia"/>
          <w:b/>
          <w:bCs/>
          <w:color w:val="000000" w:themeColor="text1"/>
          <w:szCs w:val="24"/>
          <w:u w:val="single"/>
          <w14:textFill>
            <w14:solidFill>
              <w14:schemeClr w14:val="tx1"/>
            </w14:solidFill>
          </w14:textFill>
        </w:rPr>
        <w:t xml:space="preserve">甲方指定地点。</w:t>
      </w:r>
      <w:r/>
    </w:p>
    <w:p>
      <w:pPr>
        <w:pStyle w:val="920"/>
        <w:ind w:firstLine="480"/>
        <w:spacing w:line="440" w:lineRule="exact"/>
        <w:tabs>
          <w:tab w:val="left" w:pos="-235" w:leader="none"/>
        </w:tabs>
        <w:rPr>
          <w:rFonts w:hint="eastAsia" w:asciiTheme="minorEastAsia" w:hAnsiTheme="minorEastAsia" w:eastAsiaTheme="minorEastAsia" w:cstheme="minorEastAsia"/>
          <w:color w:val="000000" w:themeColor="text1"/>
          <w:szCs w:val="24"/>
          <w:u w:val="single"/>
          <w14:textFill>
            <w14:solidFill>
              <w14:schemeClr w14:val="tx1"/>
            </w14:solidFill>
          </w14:textFill>
        </w:rPr>
      </w:pPr>
      <w:r>
        <w:rPr>
          <w:rFonts w:hint="eastAsia" w:asciiTheme="minorEastAsia" w:hAnsiTheme="minorEastAsia" w:eastAsiaTheme="minorEastAsia" w:cstheme="minorEastAsia"/>
          <w:color w:val="000000" w:themeColor="text1"/>
          <w:szCs w:val="24"/>
          <w14:textFill>
            <w14:solidFill>
              <w14:schemeClr w14:val="tx1"/>
            </w14:solidFill>
          </w14:textFill>
        </w:rPr>
        <w:t xml:space="preserve">6. 设备的制造应符合下列标准或规范并据此验收：</w:t>
      </w:r>
      <w:r>
        <w:rPr>
          <w:rFonts w:hint="eastAsia" w:asciiTheme="minorEastAsia" w:hAnsiTheme="minorEastAsia" w:eastAsiaTheme="minorEastAsia" w:cstheme="minorEastAsia"/>
          <w:b/>
          <w:bCs/>
          <w:color w:val="000000" w:themeColor="text1"/>
          <w:szCs w:val="24"/>
          <w:u w:val="single"/>
          <w14:textFill>
            <w14:solidFill>
              <w14:schemeClr w14:val="tx1"/>
            </w14:solidFill>
          </w14:textFill>
        </w:rPr>
        <w:t xml:space="preserve">招标文件、投标文件、双方签订的技术协议和国家的相关标准。</w:t>
      </w:r>
      <w:r>
        <w:rPr>
          <w:rFonts w:hint="eastAsia" w:asciiTheme="minorEastAsia" w:hAnsiTheme="minorEastAsia" w:eastAsiaTheme="minorEastAsia" w:cstheme="minorEastAsia"/>
          <w:color w:val="000000" w:themeColor="text1"/>
          <w:szCs w:val="24"/>
          <w14:textFill>
            <w14:solidFill>
              <w14:schemeClr w14:val="tx1"/>
            </w14:solidFill>
          </w14:textFill>
        </w:rPr>
        <w:t xml:space="preserve">（上述标准或规范不一致时，则以要求较高者为准。）</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7. 包装要求：全部货物的外包装，必须采用防漏、防潮、防震、防锈、防盗和考虑到可能会发生的野蛮装卸等长途内陆运输及多次装卸之需要。</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8. 付款方式及履约保函</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8.2履约保函</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（1）履约保函金额：合同总价10%；</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（2）履约保函的形式：乙方应当以支票、汇票、本票或者金融机构、担保机构出具的保函等非现金形式提交；</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（3）履约保函的退还：在设备通过甲方验收合格且满12个月无质量问题后的15个工作日内，甲方将无息退还乙方的履约保函；</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（4）逾期退还履约保函的处理：甲方未按照规定退还履约保函的（因乙方自身原因导致无法及时退还的除外），由财政部门依照《中华人民共和国政府采购法》等有关规定处理；</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（5）不予退还履约保函的处理：对于符合政府采购政策和招标文件规定不予退还的履约保函，甲方应当确认相关情形后按照财政非税收入管理等规定上缴甲方同级预算级次国库。</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9. 交付和验收</w:t>
      </w:r>
      <w:r/>
    </w:p>
    <w:p>
      <w:pPr>
        <w:ind w:firstLine="480"/>
        <w:spacing w:line="440" w:lineRule="exact"/>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9.1乙方应当在合同签订后，根据招标文件及投标文件的要求完成服务事项。</w:t>
      </w:r>
      <w:r/>
    </w:p>
    <w:p>
      <w:pPr>
        <w:ind w:firstLine="480"/>
        <w:spacing w:line="440" w:lineRule="exact"/>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9.2验收标准：按行业通行标准和乙方投标文件的承诺（不低于国家相关标准）。</w:t>
      </w:r>
      <w:r/>
    </w:p>
    <w:p>
      <w:pPr>
        <w:ind w:firstLine="480"/>
        <w:spacing w:line="440" w:lineRule="exact"/>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9.3验收方式：所提供的设备（含服务）符合招标文件及投标文件、双方签订的技术协议和国家的相关标准，综合验收合格后，经甲方项目负责人确认填写项目验收报告。</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10. 质保期及售后服务</w:t>
      </w:r>
      <w:r/>
    </w:p>
    <w:p>
      <w:pPr>
        <w:ind w:firstLine="480"/>
        <w:spacing w:line="440" w:lineRule="exact"/>
        <w:tabs>
          <w:tab w:val="left" w:pos="4785" w:leader="none"/>
        </w:tabs>
        <w:rPr>
          <w:rFonts w:hint="eastAsia" w:asciiTheme="minorEastAsia" w:hAnsiTheme="minorEastAsia" w:eastAsiaTheme="minorEastAsia" w:cstheme="minorEastAsia"/>
          <w:b/>
          <w:bCs/>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10.1 乙方所供设备、材料及安装的质量保证期：</w:t>
      </w:r>
      <w:r>
        <w:rPr>
          <w:rFonts w:hint="eastAsia" w:asciiTheme="minorEastAsia" w:hAnsiTheme="minorEastAsia" w:eastAsiaTheme="minorEastAsia" w:cstheme="minorEastAsia"/>
          <w:b/>
          <w:bCs/>
          <w:color w:val="000000" w:themeColor="text1"/>
          <w:u w:val="single"/>
          <w14:textFill>
            <w14:solidFill>
              <w14:schemeClr w14:val="tx1"/>
            </w14:solidFill>
          </w14:textFill>
        </w:rPr>
        <w:t xml:space="preserve">安装验收合格后1年。</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10.2 在质保期内，因乙方所供设备、材料制造质量或安装问题出现设备故障时，乙方在接到甲方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10.3 在质保期内，因甲方使用不当原因出现设备故障时，乙方在接到甲方通知后，应在10.2条款中所述的时限内响应并派</w:t>
      </w:r>
      <w:r>
        <w:rPr>
          <w:rFonts w:hint="eastAsia" w:asciiTheme="minorEastAsia" w:hAnsiTheme="minorEastAsia" w:eastAsiaTheme="minorEastAsia" w:cstheme="minorEastAsia"/>
          <w:color w:val="000000" w:themeColor="text1"/>
          <w14:textFill>
            <w14:solidFill>
              <w14:schemeClr w14:val="tx1"/>
            </w14:solidFill>
          </w14:textFill>
        </w:rPr>
        <w:t xml:space="preserve">设备厂家工程师</w:t>
      </w:r>
      <w:r>
        <w:rPr>
          <w:rFonts w:hint="eastAsia" w:asciiTheme="minorEastAsia" w:hAnsiTheme="minorEastAsia" w:eastAsiaTheme="minorEastAsia" w:cstheme="minorEastAsia"/>
          <w:color w:val="000000" w:themeColor="text1"/>
          <w14:textFill>
            <w14:solidFill>
              <w14:schemeClr w14:val="tx1"/>
            </w14:solidFill>
          </w14:textFill>
        </w:rPr>
        <w:t xml:space="preserve">赶到甲方现场，帮助排除故障、修复或更换零部件，需购买零部件时，仅收取成本费。</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10.4 质保期满后，如设备出现故障，</w:t>
      </w:r>
      <w:r>
        <w:rPr>
          <w:rFonts w:hint="eastAsia" w:asciiTheme="minorEastAsia" w:hAnsiTheme="minorEastAsia" w:eastAsiaTheme="minorEastAsia" w:cstheme="minorEastAsia"/>
          <w:color w:val="000000" w:themeColor="text1"/>
          <w14:textFill>
            <w14:solidFill>
              <w14:schemeClr w14:val="tx1"/>
            </w14:solidFill>
          </w14:textFill>
        </w:rPr>
        <w:t xml:space="preserve">乙方</w:t>
      </w:r>
      <w:r>
        <w:rPr>
          <w:rFonts w:hint="eastAsia" w:asciiTheme="minorEastAsia" w:hAnsiTheme="minorEastAsia" w:eastAsiaTheme="minorEastAsia" w:cstheme="minorEastAsia"/>
          <w:color w:val="000000" w:themeColor="text1"/>
          <w14:textFill>
            <w14:solidFill>
              <w14:schemeClr w14:val="tx1"/>
            </w14:solidFill>
          </w14:textFill>
        </w:rPr>
        <w:t xml:space="preserve">在接到甲方通知后，仍应在上述时限内响应、派</w:t>
      </w:r>
      <w:r>
        <w:rPr>
          <w:rFonts w:hint="eastAsia" w:asciiTheme="minorEastAsia" w:hAnsiTheme="minorEastAsia" w:eastAsiaTheme="minorEastAsia" w:cstheme="minorEastAsia"/>
          <w:color w:val="000000" w:themeColor="text1"/>
          <w14:textFill>
            <w14:solidFill>
              <w14:schemeClr w14:val="tx1"/>
            </w14:solidFill>
          </w14:textFill>
        </w:rPr>
        <w:t xml:space="preserve">设备厂家工程师</w:t>
      </w:r>
      <w:r>
        <w:rPr>
          <w:rFonts w:hint="eastAsia" w:asciiTheme="minorEastAsia" w:hAnsiTheme="minorEastAsia" w:eastAsiaTheme="minorEastAsia" w:cstheme="minorEastAsia"/>
          <w:color w:val="000000" w:themeColor="text1"/>
          <w14:textFill>
            <w14:solidFill>
              <w14:schemeClr w14:val="tx1"/>
            </w14:solidFill>
          </w14:textFill>
        </w:rPr>
        <w:t xml:space="preserve">赶到甲方现场，帮助排除故障、修复或更换零部件，需购买零部件时，酌情收取成本费。</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11. 技术资料</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按第四章技术规格、参数及其他要求中的要求提供相关资料（见附件）。</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12.货物风险承担</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12.1乙方应当按照甲方指定的地点交货，需要运输的货物，乙方应当妥善保障货物在运输过程中的安全。</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12.2乙方将货物运输至甲方指定的地点后，应当及时通知甲方进行接收，由甲方进行检验。</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12.3在货物验收合格之前毁损、灭失的风险由乙方承担，因甲方原因造成货物毁损、灭失的除外。</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13. 乙方的违约责任</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13.1乙方未按合同规定的质量要求交货，甲方有权拒收，由此造成的直接损失和间接损失由乙方承担。</w:t>
      </w:r>
      <w:r/>
    </w:p>
    <w:p>
      <w:pPr>
        <w:ind w:firstLine="480"/>
        <w:spacing w:line="440" w:lineRule="exact"/>
        <w:widowControl/>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13.2</w:t>
      </w:r>
      <w:r>
        <w:rPr>
          <w:rFonts w:hint="eastAsia" w:asciiTheme="minorEastAsia" w:hAnsiTheme="minorEastAsia" w:eastAsiaTheme="minorEastAsia" w:cstheme="minorEastAsia"/>
          <w:color w:val="000000" w:themeColor="text1"/>
          <w14:textFill>
            <w14:solidFill>
              <w14:schemeClr w14:val="tx1"/>
            </w14:solidFill>
          </w14:textFill>
        </w:rPr>
        <w:t xml:space="preserve">乙方逾期交付的，每逾期1天，乙方应向甲方支付合同总价款的5‰的逾期违约金。</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13.3货物有合格证及说明书等资料的，在交付货物时，乙方应当一并交付合格证及说明书等资料，未交付的甲方有权拒绝接收。因此造成的损失由乙方承担。</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Theme="minorEastAsia" w:hAnsiTheme="minorEastAsia" w:eastAsiaTheme="minorEastAsia" w:cstheme="minorEastAsia"/>
          <w:color w:val="000000" w:themeColor="text1"/>
          <w14:textFill>
            <w14:solidFill>
              <w14:schemeClr w14:val="tx1"/>
            </w14:solidFill>
          </w14:textFill>
        </w:rPr>
        <w:t xml:space="preserve">（违约金标准：合同金额50万（含）以下的违约金按照合同总价款的20%计算，合同金额50万至100万（含）的违约金按照合同总价款的10%计算，合同金额超过100万元的违约金按照合同总价款的5%计算）</w:t>
      </w:r>
      <w:r>
        <w:rPr>
          <w:rFonts w:hint="eastAsia" w:asciiTheme="minorEastAsia" w:hAnsiTheme="minorEastAsia" w:eastAsiaTheme="minorEastAsia" w:cstheme="minorEastAsia"/>
          <w:color w:val="000000" w:themeColor="text1"/>
          <w14:textFill>
            <w14:solidFill>
              <w14:schemeClr w14:val="tx1"/>
            </w14:solidFill>
          </w14:textFill>
        </w:rPr>
        <w:t xml:space="preserve">。</w:t>
      </w:r>
      <w:r/>
    </w:p>
    <w:p>
      <w:pPr>
        <w:ind w:firstLine="480"/>
        <w:spacing w:line="440" w:lineRule="exact"/>
        <w:widowControl/>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13.5乙方逾期交付达10天，视为乙方拒绝交付、不能交付或不能完成合同，甲方有权解除合同，解除合同的通知自到达乙方时生效，解除合同造成的直接损失和间接损失全部由乙方承担。</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13.6本合同所有货物的制造及安装，都必须由乙方自己或投标文件中明确的单位承担，不得分包给其他单位。否则，甲方有权按乙方拒绝交付、不能交付或不能完成合同处理。</w:t>
      </w:r>
      <w:r/>
    </w:p>
    <w:p>
      <w:pPr>
        <w:ind w:firstLine="480"/>
        <w:spacing w:line="440" w:lineRule="exact"/>
        <w:widowControl/>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13.7</w:t>
      </w:r>
      <w:r>
        <w:rPr>
          <w:rFonts w:hint="eastAsia" w:asciiTheme="minorEastAsia" w:hAnsiTheme="minorEastAsia" w:eastAsiaTheme="minorEastAsia" w:cstheme="minorEastAsia"/>
          <w:color w:val="000000" w:themeColor="text1"/>
          <w14:textFill>
            <w14:solidFill>
              <w14:schemeClr w14:val="tx1"/>
            </w14:solidFill>
          </w14:textFill>
        </w:rPr>
        <w:t xml:space="preserve">乙方所交付的货物或服务不符合合同规定的，甲方有权拒收。甲方拒收的，乙方应向甲方支付违约金</w:t>
      </w:r>
      <w:bookmarkStart w:id="6" w:name="OLE_LINK8"/>
      <w:r>
        <w:rPr>
          <w:rFonts w:hint="eastAsia" w:asciiTheme="minorEastAsia" w:hAnsiTheme="minorEastAsia" w:eastAsiaTheme="minorEastAsia" w:cstheme="minorEastAsia"/>
          <w:color w:val="000000" w:themeColor="text1"/>
          <w14:textFill>
            <w14:solidFill>
              <w14:schemeClr w14:val="tx1"/>
            </w14:solidFill>
          </w14:textFill>
        </w:rPr>
        <w:t xml:space="preserve">（违约金标准：合同金额50万（含）以下的违约金按照合同总价款的20%计算，合同金额50万至100万（含）的违约金按照合同总价款的10%计算，合同金额超过100万元的违约金按照合同总价款的5%计算）</w:t>
      </w:r>
      <w:bookmarkEnd w:id="6"/>
      <w:r>
        <w:rPr>
          <w:rFonts w:hint="eastAsia" w:asciiTheme="minorEastAsia" w:hAnsiTheme="minorEastAsia" w:eastAsiaTheme="minorEastAsia" w:cstheme="minorEastAsia"/>
          <w:color w:val="000000" w:themeColor="text1"/>
          <w14:textFill>
            <w14:solidFill>
              <w14:schemeClr w14:val="tx1"/>
            </w14:solidFill>
          </w14:textFill>
        </w:rPr>
        <w:t xml:space="preserve">。甲方未拒收的，采购代理机构发现后将向有关部门反映，并责成乙方按照采购结果提供服务。</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13.8乙方履行义务不符合合同约定时，甲方将扣减合同总价款10%的尾款，同时甲方有权按照本合同的约定追究乙方的违约责任。</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Theme="minorEastAsia" w:hAnsiTheme="minorEastAsia" w:eastAsiaTheme="minorEastAsia" w:cstheme="minorEastAsia"/>
          <w:color w:val="000000" w:themeColor="text1"/>
          <w14:textFill>
            <w14:solidFill>
              <w14:schemeClr w14:val="tx1"/>
            </w14:solidFill>
          </w14:textFill>
        </w:rPr>
        <w:tab/>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14.甲方的违约责任</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14.1甲方未按合同规定的时间和要求向乙方提供技术资料等，乙方交付时间顺延。</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15. 乙方供给甲方的设备、材料及乙方自己的施工用具，进入甲方现场后的保管，由乙方负责；乙方在甲方现场安装、调试、验收人员的安全、保险、食宿、交通由乙方负责。</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16. 乙方在设备安装、调试、验收过程中，甲方提供下列条件和配合，超出下列范围的由乙方自理：</w:t>
      </w:r>
      <w:r>
        <w:rPr>
          <w:rFonts w:hint="eastAsia" w:asciiTheme="minorEastAsia" w:hAnsiTheme="minorEastAsia" w:eastAsiaTheme="minorEastAsia" w:cstheme="minorEastAsia"/>
          <w:color w:val="000000" w:themeColor="text1"/>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14:textFill>
            <w14:solidFill>
              <w14:schemeClr w14:val="tx1"/>
            </w14:solidFill>
          </w14:textFill>
        </w:rPr>
        <w:t xml:space="preserve">。</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Theme="minorEastAsia" w:hAnsiTheme="minorEastAsia" w:eastAsiaTheme="minorEastAsia" w:cstheme="minorEastAsia"/>
          <w:color w:val="000000" w:themeColor="text1"/>
          <w:lang w:val="zh-CN"/>
          <w14:textFill>
            <w14:solidFill>
              <w14:schemeClr w14:val="tx1"/>
            </w14:solidFill>
          </w14:textFill>
        </w:rPr>
        <w:t xml:space="preserve">甲方为解决纠纷支付的律师费、诉讼费、差旅费等合理费用</w:t>
      </w:r>
      <w:r>
        <w:rPr>
          <w:rFonts w:hint="eastAsia" w:asciiTheme="minorEastAsia" w:hAnsiTheme="minorEastAsia" w:eastAsiaTheme="minorEastAsia" w:cstheme="minorEastAsia"/>
          <w:color w:val="000000" w:themeColor="text1"/>
          <w14:textFill>
            <w14:solidFill>
              <w14:schemeClr w14:val="tx1"/>
            </w14:solidFill>
          </w14:textFill>
        </w:rPr>
        <w:t xml:space="preserve">。</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三、合同的变更和终止</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1、除《政府采购法》第50条第二款规定的情形外，本合同一经签订，甲乙双方不得擅自变更、中止或终止合同。</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2、除发生法律规定的不能预见、不能避免并不能克服的客观情况外，甲乙双方不得放弃或拒绝履行合同。</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3、在不改变合同其他条款的前提下，甲方有权在合同价款百分之十的范围内追加与合同标的相同的货物或服务，并就此与乙方签订补充合同，乙方不得拒绝。</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bookmarkStart w:id="7" w:name="_Toc19018"/>
      <w:r>
        <w:rPr>
          <w:rFonts w:hint="eastAsia" w:asciiTheme="minorEastAsia" w:hAnsiTheme="minorEastAsia" w:eastAsiaTheme="minorEastAsia" w:cstheme="minorEastAsia"/>
          <w:color w:val="000000" w:themeColor="text1"/>
          <w14:textFill>
            <w14:solidFill>
              <w14:schemeClr w14:val="tx1"/>
            </w14:solidFill>
          </w14:textFill>
        </w:rPr>
        <w:t xml:space="preserve">四、合同权利义务的转让</w:t>
      </w:r>
      <w:bookmarkEnd w:id="7"/>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五、货物、服务的购买或租赁权利瑕疵</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乙方应保证提供的货物、设备或服务不存在所有权、抵押权、使用权、知识产权等权利瑕疵。</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bookmarkStart w:id="8" w:name="_Toc30322"/>
      <w:r>
        <w:rPr>
          <w:rFonts w:hint="eastAsia" w:asciiTheme="minorEastAsia" w:hAnsiTheme="minorEastAsia" w:eastAsiaTheme="minorEastAsia" w:cstheme="minorEastAsia"/>
          <w:color w:val="000000" w:themeColor="text1"/>
          <w14:textFill>
            <w14:solidFill>
              <w14:schemeClr w14:val="tx1"/>
            </w14:solidFill>
          </w14:textFill>
        </w:rPr>
        <w:t xml:space="preserve">六、争议解决条款</w:t>
      </w:r>
      <w:bookmarkEnd w:id="8"/>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合同履行过程中发生争议，双方应友好协商，协商不成的，同意提交南京仲裁委员会按其仲裁规则裁决，仲裁产生的仲裁费、鉴定费、保全费、担保费、律师费等合理支出由违约方承担。</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bookmarkStart w:id="9" w:name="_Toc20895"/>
      <w:r>
        <w:rPr>
          <w:rFonts w:hint="eastAsia" w:asciiTheme="minorEastAsia" w:hAnsiTheme="minorEastAsia" w:eastAsiaTheme="minorEastAsia" w:cstheme="minorEastAsia"/>
          <w:color w:val="000000" w:themeColor="text1"/>
          <w14:textFill>
            <w14:solidFill>
              <w14:schemeClr w14:val="tx1"/>
            </w14:solidFill>
          </w14:textFill>
        </w:rPr>
        <w:t xml:space="preserve">七、</w:t>
      </w:r>
      <w:bookmarkEnd w:id="9"/>
      <w:r>
        <w:rPr>
          <w:rFonts w:hint="eastAsia" w:asciiTheme="minorEastAsia" w:hAnsiTheme="minorEastAsia" w:eastAsiaTheme="minorEastAsia" w:cstheme="minorEastAsia"/>
          <w:color w:val="000000" w:themeColor="text1"/>
          <w14:textFill>
            <w14:solidFill>
              <w14:schemeClr w14:val="tx1"/>
            </w14:solidFill>
          </w14:textFill>
        </w:rPr>
        <w:t xml:space="preserve">廉洁条款</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八、保密条款</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pStyle w:val="926"/>
        <w:ind w:firstLine="480"/>
        <w:spacing w:beforeAutospacing="0" w:afterAutospacing="0" w:line="440" w:lineRule="exact"/>
        <w:widowControl/>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九、不可抗力</w:t>
      </w:r>
      <w:r/>
    </w:p>
    <w:p>
      <w:pPr>
        <w:pStyle w:val="926"/>
        <w:ind w:firstLine="480"/>
        <w:spacing w:beforeAutospacing="0" w:afterAutospacing="0" w:line="440" w:lineRule="exact"/>
        <w:widowControl/>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十、送达条款</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pStyle w:val="926"/>
        <w:ind w:firstLine="480"/>
        <w:spacing w:beforeAutospacing="0" w:afterAutospacing="0" w:line="440" w:lineRule="exact"/>
        <w:widowControl/>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十一、其他</w:t>
      </w:r>
      <w:r/>
    </w:p>
    <w:p>
      <w:pPr>
        <w:pStyle w:val="926"/>
        <w:ind w:firstLine="480"/>
        <w:spacing w:beforeAutospacing="0" w:afterAutospacing="0" w:line="440" w:lineRule="exact"/>
        <w:widowControl/>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11.1、合同的生效：本合同一式陆份，自甲乙双方签字并加盖骑缝章之日起生效。</w:t>
      </w:r>
      <w:r/>
    </w:p>
    <w:p>
      <w:pPr>
        <w:pStyle w:val="926"/>
        <w:ind w:firstLine="480"/>
        <w:spacing w:beforeAutospacing="0" w:afterAutospacing="0" w:line="440" w:lineRule="exact"/>
        <w:widowControl/>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11.2、未尽事宜、双方协商解决，并按《中华人民共和国民法典》及相关法律、法规的规定调整。</w:t>
      </w:r>
      <w:r/>
    </w:p>
    <w:p>
      <w:pPr>
        <w:pStyle w:val="926"/>
        <w:ind w:firstLine="480"/>
        <w:spacing w:beforeAutospacing="0" w:afterAutospacing="0" w:line="440" w:lineRule="exact"/>
        <w:widowControl/>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r>
      <w:r/>
    </w:p>
    <w:p>
      <w:pPr>
        <w:ind w:firstLine="480"/>
        <w:spacing w:line="440" w:lineRule="exact"/>
        <w:widowControl/>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（以下无正文）</w:t>
      </w:r>
      <w:r/>
    </w:p>
    <w:tbl>
      <w:tblPr>
        <w:tblStyle w:val="919"/>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51"/>
        </w:trPr>
        <w:tc>
          <w:tcPr>
            <w:tcW w:w="4946" w:type="dxa"/>
            <w:textDirection w:val="lrTb"/>
            <w:noWrap w:val="false"/>
          </w:tcPr>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甲方（盖章）：</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单位名称：江苏省特种设备安全监督检验研究院</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单位地址：江苏省南京市鼓楼区草场门大街107号龙江大厦</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委托代理人（签字）：</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联系方式：</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签订日期：  年  月  日</w:t>
            </w:r>
            <w:r/>
          </w:p>
        </w:tc>
        <w:tc>
          <w:tcPr>
            <w:tcW w:w="4684" w:type="dxa"/>
            <w:textDirection w:val="lrTb"/>
            <w:noWrap w:val="false"/>
          </w:tcPr>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乙方（盖章）：</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单位名称：</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单位地址：</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委托代理人（签字）：</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电话：</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传真：</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开户银行：</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帐号：</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税号：</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签订日期：  年  月  日</w:t>
            </w:r>
            <w:r/>
          </w:p>
        </w:tc>
      </w:tr>
    </w:tbl>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5"/>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第六章  投标文件格式及附件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1.本部分内容仅提供格式参考。</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2.所附表格中要求回答的全部问题和信息都必须正面回答。</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ind w:firstLine="0"/>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投标文件封面格式：</w:t>
      </w:r>
      <w:r/>
    </w:p>
    <w:p>
      <w:pPr>
        <w:ind w:firstLine="0"/>
        <w:jc w:val="right"/>
        <w:rPr>
          <w:color w:val="000000" w:themeColor="text1"/>
          <w:sz w:val="44"/>
          <w:szCs w:val="44"/>
          <w14:textFill>
            <w14:solidFill>
              <w14:schemeClr w14:val="tx1"/>
            </w14:solidFill>
          </w14:textFill>
        </w:rPr>
      </w:pPr>
      <w:r>
        <w:rPr>
          <w:rFonts w:hint="eastAsia"/>
          <w:color w:val="000000" w:themeColor="text1"/>
          <w:sz w:val="44"/>
          <w:szCs w:val="44"/>
          <w14:textFill>
            <w14:solidFill>
              <w14:schemeClr w14:val="tx1"/>
            </w14:solidFill>
          </w14:textFill>
        </w:rPr>
        <w:t xml:space="preserve">正本/副本</w:t>
      </w:r>
      <w:r/>
    </w:p>
    <w:p>
      <w:pPr>
        <w:ind w:firstLine="0"/>
        <w:jc w:val="center"/>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r>
      <w:r/>
    </w:p>
    <w:p>
      <w:pPr>
        <w:ind w:firstLine="0"/>
        <w:jc w:val="center"/>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r>
      <w:r/>
    </w:p>
    <w:p>
      <w:pPr>
        <w:ind w:firstLine="0"/>
        <w:jc w:val="center"/>
        <w:rPr>
          <w:b/>
          <w:bCs/>
          <w:color w:val="000000" w:themeColor="text1"/>
          <w:sz w:val="72"/>
          <w:szCs w:val="72"/>
          <w14:textFill>
            <w14:solidFill>
              <w14:schemeClr w14:val="tx1"/>
            </w14:solidFill>
          </w14:textFill>
        </w:rPr>
      </w:pPr>
      <w:r>
        <w:rPr>
          <w:rFonts w:hint="eastAsia"/>
          <w:b/>
          <w:bCs/>
          <w:color w:val="000000" w:themeColor="text1"/>
          <w:sz w:val="72"/>
          <w:szCs w:val="72"/>
          <w14:textFill>
            <w14:solidFill>
              <w14:schemeClr w14:val="tx1"/>
            </w14:solidFill>
          </w14:textFill>
        </w:rPr>
        <w:t xml:space="preserve">投  标  文  件</w:t>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项目编号：_______________</w:t>
      </w:r>
      <w:r/>
    </w:p>
    <w:p>
      <w:pPr>
        <w:ind w:firstLine="0"/>
        <w:jc w:val="center"/>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项目名称：_______________</w:t>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投标人名称：</w:t>
      </w:r>
      <w:r>
        <w:rPr>
          <w:rFonts w:hint="eastAsia"/>
          <w:b/>
          <w:bCs/>
          <w:color w:val="000000" w:themeColor="text1"/>
          <w:sz w:val="44"/>
          <w:szCs w:val="44"/>
          <w:u w:val="single"/>
          <w14:textFill>
            <w14:solidFill>
              <w14:schemeClr w14:val="tx1"/>
            </w14:solidFill>
          </w14:textFill>
        </w:rPr>
        <w:t xml:space="preserve">（加盖电子公章）</w:t>
      </w:r>
      <w:r/>
    </w:p>
    <w:p>
      <w:pPr>
        <w:ind w:firstLine="0"/>
        <w:jc w:val="center"/>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日      期：________________</w:t>
      </w:r>
      <w:r/>
    </w:p>
    <w:p>
      <w:pPr>
        <w:ind w:firstLine="883"/>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br w:type="page" w:clear="all"/>
      </w:r>
      <w:r/>
    </w:p>
    <w:p>
      <w:pPr>
        <w:ind w:firstLine="0"/>
        <w:jc w:val="center"/>
        <w:rPr>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 xml:space="preserve">投标文件目录</w:t>
      </w:r>
      <w:r/>
    </w:p>
    <w:p>
      <w:pPr>
        <w:ind w:firstLine="0"/>
        <w:jc w:val="center"/>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 xml:space="preserve">（注：投标人根据附件编制投标文件并制作目录）</w:t>
      </w:r>
      <w:r/>
    </w:p>
    <w:p>
      <w:pPr>
        <w:ind w:firstLine="640"/>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br w:type="page" w:clear="all"/>
      </w:r>
      <w:r/>
    </w:p>
    <w:p>
      <w:pPr>
        <w:pStyle w:val="916"/>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目录一、开标一览表</w:t>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开标一览表（总价）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投标人全称（CA公章）：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项目编号：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分包号：</w:t>
      </w:r>
      <w:r/>
    </w:p>
    <w:tbl>
      <w:tblPr>
        <w:tblStyle w:val="9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投标项目名称</w:t>
            </w:r>
            <w:r/>
          </w:p>
        </w:tc>
        <w:tc>
          <w:tcPr>
            <w:tcW w:w="4644" w:type="dxa"/>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总价（小写）</w:t>
            </w:r>
            <w:r/>
          </w:p>
        </w:tc>
      </w:tr>
      <w:tr>
        <w:trPr>
          <w:trHeight w:val="794"/>
        </w:trPr>
        <w:tc>
          <w:tcPr>
            <w:tcW w:w="4644" w:type="dxa"/>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4644" w:type="dxa"/>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元</w:t>
            </w:r>
            <w:r/>
          </w:p>
        </w:tc>
      </w:tr>
    </w:tbl>
    <w:p>
      <w:pPr>
        <w:ind w:firstLine="48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年   月    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6"/>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目录二、投标分项报价表</w:t>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投标分项报价表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w:t>
      </w:r>
      <w:r/>
    </w:p>
    <w:p>
      <w:pPr>
        <w:ind w:firstLine="480"/>
        <w:rPr>
          <w:b/>
          <w:bCs/>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项目编号：</w:t>
      </w:r>
      <w:r/>
    </w:p>
    <w:tbl>
      <w:tblPr>
        <w:tblStyle w:val="919"/>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41"/>
        <w:gridCol w:w="836"/>
        <w:gridCol w:w="875"/>
        <w:gridCol w:w="989"/>
        <w:gridCol w:w="1246"/>
        <w:gridCol w:w="830"/>
        <w:gridCol w:w="906"/>
        <w:gridCol w:w="926"/>
        <w:gridCol w:w="880"/>
      </w:tblGrid>
      <w:tr>
        <w:trPr>
          <w:cantSplit/>
          <w:trHeight w:val="544"/>
        </w:trPr>
        <w:tc>
          <w:tcPr>
            <w:tcW w:w="245" w:type="pct"/>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序号</w:t>
            </w:r>
            <w:r/>
          </w:p>
        </w:tc>
        <w:tc>
          <w:tcPr>
            <w:tcW w:w="37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346"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p>
        </w:tc>
        <w:tc>
          <w:tcPr>
            <w:tcW w:w="451"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472"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533"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5</w:t>
            </w:r>
            <w:r/>
          </w:p>
        </w:tc>
        <w:tc>
          <w:tcPr>
            <w:tcW w:w="671"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447"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p>
        </w:tc>
        <w:tc>
          <w:tcPr>
            <w:tcW w:w="488"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w:t>
            </w:r>
            <w:r/>
          </w:p>
        </w:tc>
        <w:tc>
          <w:tcPr>
            <w:tcW w:w="49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9</w:t>
            </w:r>
            <w:r/>
          </w:p>
        </w:tc>
        <w:tc>
          <w:tcPr>
            <w:tcW w:w="473"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10</w:t>
            </w:r>
            <w:r/>
          </w:p>
        </w:tc>
      </w:tr>
      <w:tr>
        <w:trPr>
          <w:cantSplit/>
          <w:trHeight w:val="294"/>
        </w:trPr>
        <w:tc>
          <w:tcPr>
            <w:tcW w:w="24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37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产品</w:t>
            </w:r>
            <w:r/>
          </w:p>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名称</w:t>
            </w:r>
            <w:r/>
          </w:p>
        </w:tc>
        <w:tc>
          <w:tcPr>
            <w:tcW w:w="346"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品牌</w:t>
            </w:r>
            <w:r/>
          </w:p>
        </w:tc>
        <w:tc>
          <w:tcPr>
            <w:tcW w:w="451"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规格</w:t>
            </w:r>
            <w:r/>
          </w:p>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型号</w:t>
            </w:r>
            <w:r/>
          </w:p>
        </w:tc>
        <w:tc>
          <w:tcPr>
            <w:tcW w:w="472"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制造商名称</w:t>
            </w:r>
            <w:r/>
          </w:p>
        </w:tc>
        <w:tc>
          <w:tcPr>
            <w:tcW w:w="533"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产地</w:t>
            </w:r>
            <w:r/>
          </w:p>
        </w:tc>
        <w:tc>
          <w:tcPr>
            <w:tcW w:w="671"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交付期</w:t>
            </w:r>
            <w:r/>
          </w:p>
        </w:tc>
        <w:tc>
          <w:tcPr>
            <w:tcW w:w="447"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数量</w:t>
            </w:r>
            <w:r/>
          </w:p>
        </w:tc>
        <w:tc>
          <w:tcPr>
            <w:tcW w:w="488"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单位</w:t>
            </w:r>
            <w:r/>
          </w:p>
        </w:tc>
        <w:tc>
          <w:tcPr>
            <w:tcW w:w="49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分项</w:t>
            </w:r>
            <w:r/>
          </w:p>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单价</w:t>
            </w:r>
            <w:r/>
          </w:p>
        </w:tc>
        <w:tc>
          <w:tcPr>
            <w:tcW w:w="473"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分项</w:t>
            </w:r>
            <w:r/>
          </w:p>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总价</w:t>
            </w:r>
            <w:r/>
          </w:p>
        </w:tc>
      </w:tr>
      <w:tr>
        <w:trPr>
          <w:cantSplit/>
          <w:trHeight w:val="696"/>
        </w:trPr>
        <w:tc>
          <w:tcPr>
            <w:tcW w:w="24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p>
        </w:tc>
        <w:tc>
          <w:tcPr>
            <w:tcW w:w="37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346"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51"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72"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533" w:type="pct"/>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71" w:type="pct"/>
            <w:vAlign w:val="center"/>
            <w:textDirection w:val="lrTb"/>
            <w:noWrap w:val="false"/>
          </w:tcPr>
          <w:p>
            <w:pPr>
              <w:ind w:firstLine="0"/>
              <w:jc w:val="center"/>
              <w:spacing w:line="240" w:lineRule="auto"/>
              <w:rPr>
                <w:rFonts w:hint="eastAsia" w:ascii="宋体" w:hAnsi="宋体"/>
                <w:color w:val="000000" w:themeColor="text1"/>
                <w:u w:val="single"/>
                <w14:textFill>
                  <w14:solidFill>
                    <w14:schemeClr w14:val="tx1"/>
                  </w14:solidFill>
                </w14:textFill>
              </w:rPr>
            </w:pPr>
            <w:r>
              <w:rPr>
                <w:rFonts w:hint="eastAsia" w:ascii="宋体" w:hAnsi="宋体"/>
                <w:color w:val="000000" w:themeColor="text1"/>
                <w:u w:val="single"/>
                <w14:textFill>
                  <w14:solidFill>
                    <w14:schemeClr w14:val="tx1"/>
                  </w14:solidFill>
                </w14:textFill>
              </w:rPr>
            </w:r>
            <w:r/>
          </w:p>
        </w:tc>
        <w:tc>
          <w:tcPr>
            <w:tcW w:w="447"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88"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9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73"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cantSplit/>
          <w:trHeight w:val="724"/>
        </w:trPr>
        <w:tc>
          <w:tcPr>
            <w:tcW w:w="24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37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346"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51"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72"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533" w:type="pct"/>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71"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47"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88"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9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73"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cantSplit/>
          <w:trHeight w:val="640"/>
        </w:trPr>
        <w:tc>
          <w:tcPr>
            <w:tcW w:w="24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37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346"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51"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72"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533" w:type="pct"/>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71"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47"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88"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9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73"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cantSplit/>
          <w:trHeight w:val="580"/>
        </w:trPr>
        <w:tc>
          <w:tcPr>
            <w:tcW w:w="24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w:t>
            </w:r>
            <w:r/>
          </w:p>
        </w:tc>
        <w:tc>
          <w:tcPr>
            <w:tcW w:w="37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w:t>
            </w:r>
            <w:r/>
          </w:p>
        </w:tc>
        <w:tc>
          <w:tcPr>
            <w:tcW w:w="346"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51"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72"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533" w:type="pct"/>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71"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47"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88"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9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73"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cantSplit/>
          <w:trHeight w:val="249"/>
        </w:trPr>
        <w:tc>
          <w:tcPr>
            <w:gridSpan w:val="10"/>
            <w:tcW w:w="4526" w:type="pct"/>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投标总报价（人民币：元）</w:t>
            </w:r>
            <w:r/>
          </w:p>
        </w:tc>
        <w:tc>
          <w:tcPr>
            <w:tcW w:w="473" w:type="pct"/>
            <w:textDirection w:val="lrTb"/>
            <w:noWrap w:val="false"/>
          </w:tcPr>
          <w:p>
            <w:pPr>
              <w:ind w:firstLine="0"/>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cantSplit/>
          <w:trHeight w:val="249"/>
        </w:trPr>
        <w:tc>
          <w:tcPr>
            <w:gridSpan w:val="11"/>
            <w:tcW w:w="5000" w:type="pct"/>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本项目中提供的符合本国产品标准的产品成本之和占该项目提供的全部产品成本之和的比例为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w:t>
            </w:r>
            <w:r/>
          </w:p>
        </w:tc>
      </w:tr>
    </w:tbl>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投标人全称（CA公章）：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6"/>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目录三、投标函</w:t>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投标函</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致：江苏省特种设备安全监督检验研究院</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根据贵方</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（项目名称、项目编号）投标邀请，正式授权下述</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（签字人姓名、职务）代表</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（投标人名称），提交投标文件。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据此函，签字人兹宣布声明和承诺如下：</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1.我公司的资格条件符合政府采购法和本次招标要求，我公司同意并向贵方提供了与投标有关的所有证据和资料。</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3.我公司同意从规定的开标日期起遵循本投标文件，并在规定的投标有效期期满之前均具有约束力。</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4.一旦我公司中标，将根据招标文件的规定严格履行合同，并保证在合同履行期内完成本项目所述内容。</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6.与本次投标有关的正式联系方式为：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地址：</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固定电话：</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传真：</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开户银行：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银行账号：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投标人授权代表姓名（签字）：</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投标人名称（盖章）：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年   月   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6"/>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目录四、法定代表人身份证明格式或法定代表人授权书格式</w:t>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法定代表人身份证明（无授权委托的须提供）</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投标人名称：</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地址：</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姓名：          性别：        年龄：           职务：            </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身份证号码：</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系</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（投标人名称）的法定代表人。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特此证明。</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法定代表人：（签字或盖章）</w:t>
      </w:r>
      <w:r/>
    </w:p>
    <w:p>
      <w:pPr>
        <w:ind w:firstLine="480"/>
        <w:rPr>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日</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附：法定代表人身份证扫描件</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br w:type="page" w:clear="all"/>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法定代表人授权委托书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江苏省特种设备安全监督检验研究院：</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本授权书声明：注册于</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（投标人住址）的</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（投标人名称）法定代表人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（法定代表人姓名、职务）代表我公司授权在下面签字的</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（投标人代表姓名、职务）为我公司的合法代理人，就贵方组织的</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（项目名称、项目编号）投标，以我公司名义处理一切与之有关的事务。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本授权书于</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日签字生效，特此声明。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法定代表人（签字或盖章）：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授权委托人（签字或盖章）：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投标人名称（盖章）：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日</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法定代表人身份证扫描件：</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授权委托人身份证扫描件：</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投标人或分支机构近半年内任意一个月为授权委托人缴纳社保的证明：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6"/>
        <w:ind w:firstLine="0"/>
        <w:rPr>
          <w:color w:val="000000" w:themeColor="text1"/>
          <w14:textFill>
            <w14:solidFill>
              <w14:schemeClr w14:val="tx1"/>
            </w14:solidFill>
          </w14:textFill>
        </w:rPr>
      </w:pPr>
      <w:r>
        <w:rPr>
          <w:color w:val="000000" w:themeColor="text1"/>
          <w14:textFill>
            <w14:solidFill>
              <w14:schemeClr w14:val="tx1"/>
            </w14:solidFill>
          </w14:textFill>
        </w:rPr>
        <w:t xml:space="preserve">目录</w:t>
      </w:r>
      <w:r>
        <w:rPr>
          <w:rFonts w:hint="eastAsia"/>
          <w:color w:val="000000" w:themeColor="text1"/>
          <w14:textFill>
            <w14:solidFill>
              <w14:schemeClr w14:val="tx1"/>
            </w14:solidFill>
          </w14:textFill>
        </w:rPr>
        <w:t xml:space="preserve">五</w:t>
      </w:r>
      <w:r>
        <w:rPr>
          <w:color w:val="000000" w:themeColor="text1"/>
          <w14:textFill>
            <w14:solidFill>
              <w14:schemeClr w14:val="tx1"/>
            </w14:solidFill>
          </w14:textFill>
        </w:rPr>
        <w:t xml:space="preserve">、资格证明文件</w:t>
      </w:r>
      <w:r/>
    </w:p>
    <w:p>
      <w:pPr>
        <w:ind w:firstLine="0"/>
        <w:jc w:val="center"/>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资格证明文件</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1.具有独立承担民事责任的能力（提供法人或者其他组织的营业执照，自然人的身份证明）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具有良好的商业信誉和健全的财务会计制度（提供以下三种材料的任意一种，</w:t>
      </w:r>
      <w:r>
        <w:rPr>
          <w:rFonts w:hint="eastAsia"/>
          <w:color w:val="000000" w:themeColor="text1"/>
          <w14:textFill>
            <w14:solidFill>
              <w14:schemeClr w14:val="tx1"/>
            </w14:solidFill>
          </w14:textFill>
        </w:rPr>
        <w:t xml:space="preserve">扫描件</w:t>
      </w:r>
      <w:r>
        <w:rPr>
          <w:color w:val="000000" w:themeColor="text1"/>
          <w14:textFill>
            <w14:solidFill>
              <w14:schemeClr w14:val="tx1"/>
            </w14:solidFill>
          </w14:textFill>
        </w:rPr>
        <w:t xml:space="preserve">加盖公章）：</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①上一年度的经第三方会计师事务所审计的财务报告</w:t>
      </w:r>
      <w:r>
        <w:rPr>
          <w:rFonts w:hint="eastAsia"/>
          <w:color w:val="000000" w:themeColor="text1"/>
          <w14:textFill>
            <w14:solidFill>
              <w14:schemeClr w14:val="tx1"/>
            </w14:solidFill>
          </w14:textFill>
        </w:rPr>
        <w:t xml:space="preserve">扫描件（包括报告及报表等内容，并由注册会计师签名、盖章以及会计师事务所盖章）</w:t>
      </w:r>
      <w:r>
        <w:rPr>
          <w:color w:val="000000" w:themeColor="text1"/>
          <w14:textFill>
            <w14:solidFill>
              <w14:schemeClr w14:val="tx1"/>
            </w14:solidFill>
          </w14:textFill>
        </w:rPr>
        <w:t xml:space="preserve">；</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②提交投标文件截止日前六个月内基本开户银行出具的资信证明；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③提交投标文件截止时间前六个月内任意一个月的财务状况记录（至少包括资产负债表和损益表，并加盖公章）。</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14:textFill>
            <w14:solidFill>
              <w14:schemeClr w14:val="tx1"/>
            </w14:solidFill>
          </w14:textFill>
        </w:rPr>
        <w:t xml:space="preserve">或</w:t>
      </w:r>
      <w:r>
        <w:rPr>
          <w:color w:val="000000" w:themeColor="text1"/>
          <w14:textFill>
            <w14:solidFill>
              <w14:schemeClr w14:val="tx1"/>
            </w14:solidFill>
          </w14:textFill>
        </w:rPr>
        <w:t xml:space="preserve">证明材料）</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具备履行合同所必需的设备和专业技术能力的声明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江苏省特种设备安全监督检验研究院：</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我公司</w:t>
      </w:r>
      <w:r>
        <w:rPr>
          <w:rFonts w:hint="eastAsia"/>
          <w:color w:val="000000" w:themeColor="text1"/>
          <w:u w:val="single"/>
          <w14:textFill>
            <w14:solidFill>
              <w14:schemeClr w14:val="tx1"/>
            </w14:solidFill>
          </w14:textFill>
        </w:rPr>
        <w:t xml:space="preserve">     （</w:t>
      </w:r>
      <w:r>
        <w:rPr>
          <w:rFonts w:hint="eastAsia"/>
          <w:color w:val="000000" w:themeColor="text1"/>
          <w:u w:val="single"/>
          <w:lang w:val="zh-CN"/>
          <w14:textFill>
            <w14:solidFill>
              <w14:schemeClr w14:val="tx1"/>
            </w14:solidFill>
          </w14:textFill>
        </w:rPr>
        <w:t xml:space="preserve">投标人</w:t>
      </w:r>
      <w:r>
        <w:rPr>
          <w:rFonts w:hint="eastAsia"/>
          <w:color w:val="000000" w:themeColor="text1"/>
          <w:u w:val="single"/>
          <w14:textFill>
            <w14:solidFill>
              <w14:schemeClr w14:val="tx1"/>
            </w14:solidFill>
          </w14:textFill>
        </w:rPr>
        <w:t xml:space="preserve">名称）</w:t>
      </w:r>
      <w:r>
        <w:rPr>
          <w:rFonts w:hint="eastAsia"/>
          <w:color w:val="000000" w:themeColor="text1"/>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主要设备有：</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。（若有）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主要专业技术能力有：</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。（若有）</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投标人名称：（盖章）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年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月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日</w:t>
      </w:r>
      <w:r/>
    </w:p>
    <w:p>
      <w:pPr>
        <w:ind w:firstLine="48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其他证明材料及文件：（如果</w:t>
      </w:r>
      <w:r>
        <w:rPr>
          <w:rFonts w:hint="eastAsia"/>
          <w:color w:val="000000" w:themeColor="text1"/>
          <w:lang w:val="zh-CN"/>
          <w14:textFill>
            <w14:solidFill>
              <w14:schemeClr w14:val="tx1"/>
            </w14:solidFill>
          </w14:textFill>
        </w:rPr>
        <w:t xml:space="preserve">投标人</w:t>
      </w:r>
      <w:r>
        <w:rPr>
          <w:rFonts w:hint="eastAsia"/>
          <w:color w:val="000000" w:themeColor="text1"/>
          <w14:textFill>
            <w14:solidFill>
              <w14:schemeClr w14:val="tx1"/>
            </w14:solidFill>
          </w14:textFill>
        </w:rPr>
        <w:t xml:space="preserve">认为需要提供的话）</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有依法缴纳税收和社会保障资金的良好记录</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14:textFill>
            <w14:solidFill>
              <w14:schemeClr w14:val="tx1"/>
            </w14:solidFill>
          </w14:textFill>
        </w:rPr>
        <w:t xml:space="preserve">】</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无重大违法记录声明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江苏省特种设备安全监督检验研究院：</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我公司</w:t>
      </w:r>
      <w:r>
        <w:rPr>
          <w:rFonts w:hint="eastAsia"/>
          <w:color w:val="000000" w:themeColor="text1"/>
          <w:u w:val="single"/>
          <w14:textFill>
            <w14:solidFill>
              <w14:schemeClr w14:val="tx1"/>
            </w14:solidFill>
          </w14:textFill>
        </w:rPr>
        <w:t xml:space="preserve">            （投标人名称）</w:t>
      </w:r>
      <w:r>
        <w:rPr>
          <w:rFonts w:hint="eastAsia"/>
          <w:color w:val="000000" w:themeColor="text1"/>
          <w14:textFill>
            <w14:solidFill>
              <w14:schemeClr w14:val="tx1"/>
            </w14:solidFill>
          </w14:textFill>
        </w:rPr>
        <w:t xml:space="preserve">郑重声明：</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参加政府采购活动前3年内在经营活动中</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（在下划线上如实填写：有或没有）重大违法记录。</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（说明：政府采购法第二十二条第一款第五项所称重大违法记录，是指投标人因违法经营受到刑事处罚或者责令停产停业、吊销许可证或者执照、较大数额罚款等行政处罚。）</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投标人名称（盖章）：               </w:t>
      </w:r>
      <w:r/>
    </w:p>
    <w:p>
      <w:pPr>
        <w:ind w:firstLine="48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年  月  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6"/>
        <w:ind w:firstLine="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目录六、技术</w:t>
      </w:r>
      <w:r>
        <w:rPr>
          <w:rFonts w:hint="eastAsia"/>
          <w:color w:val="000000" w:themeColor="text1"/>
          <w14:textFill>
            <w14:solidFill>
              <w14:schemeClr w14:val="tx1"/>
            </w14:solidFill>
          </w14:textFill>
        </w:rPr>
        <w:t xml:space="preserve">条款偏离</w:t>
      </w:r>
      <w:r>
        <w:rPr>
          <w:rFonts w:hint="eastAsia"/>
          <w:color w:val="000000" w:themeColor="text1"/>
          <w:lang w:val="zh-CN"/>
          <w14:textFill>
            <w14:solidFill>
              <w14:schemeClr w14:val="tx1"/>
            </w14:solidFill>
          </w14:textFill>
        </w:rPr>
        <w:t xml:space="preserve">表格式</w:t>
      </w:r>
      <w:r/>
    </w:p>
    <w:p>
      <w:pPr>
        <w:ind w:firstLine="0"/>
        <w:jc w:val="center"/>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 xml:space="preserve">技术条款偏离表</w:t>
      </w:r>
      <w:r/>
    </w:p>
    <w:tbl>
      <w:tblPr>
        <w:tblStyle w:val="919"/>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招标要求的技术条款</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r>
    </w:tbl>
    <w:p>
      <w:pPr>
        <w:ind w:firstLine="48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8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投标人名称： </w:t>
      </w:r>
      <w:r>
        <w:rPr>
          <w:color w:val="000000" w:themeColor="text1"/>
          <w:lang w:val="zh-CN"/>
          <w14:textFill>
            <w14:solidFill>
              <w14:schemeClr w14:val="tx1"/>
            </w14:solidFill>
          </w14:textFill>
        </w:rPr>
        <w:t xml:space="preserve">                </w:t>
      </w:r>
      <w:r>
        <w:rPr>
          <w:rFonts w:hint="eastAsia"/>
          <w:color w:val="000000" w:themeColor="text1"/>
          <w:lang w:val="zh-CN"/>
          <w14:textFill>
            <w14:solidFill>
              <w14:schemeClr w14:val="tx1"/>
            </w14:solidFill>
          </w14:textFill>
        </w:rPr>
        <w:t xml:space="preserve">（盖章）</w:t>
      </w:r>
      <w:r/>
    </w:p>
    <w:p>
      <w:pPr>
        <w:ind w:firstLine="48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说明：</w:t>
      </w: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如果行数不够，请自行增加；</w:t>
      </w:r>
      <w:r/>
    </w:p>
    <w:p>
      <w:pPr>
        <w:ind w:firstLine="48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投标人应</w:t>
      </w:r>
      <w:r>
        <w:rPr>
          <w:rFonts w:hint="eastAsia"/>
          <w:color w:val="000000" w:themeColor="text1"/>
          <w14:textFill>
            <w14:solidFill>
              <w14:schemeClr w14:val="tx1"/>
            </w14:solidFill>
          </w14:textFill>
        </w:rPr>
        <w:t xml:space="preserve">针对第四章采购需求的技术部分内容</w:t>
      </w:r>
      <w:r>
        <w:rPr>
          <w:rFonts w:hint="eastAsia"/>
          <w:color w:val="000000" w:themeColor="text1"/>
          <w:lang w:val="zh-CN"/>
          <w14:textFill>
            <w14:solidFill>
              <w14:schemeClr w14:val="tx1"/>
            </w14:solidFill>
          </w14:textFill>
        </w:rPr>
        <w:t xml:space="preserve">逐一说明。</w:t>
      </w:r>
      <w:r/>
    </w:p>
    <w:p>
      <w:pPr>
        <w:ind w:firstLine="48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8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附：证明材料1，证明材料2……（如招标文件要求提供佐证材料的，须将证明材料列于技术条款偏离表之下）</w:t>
      </w:r>
      <w:r/>
    </w:p>
    <w:p>
      <w:pPr>
        <w:ind w:firstLine="48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br w:type="page" w:clear="all"/>
      </w:r>
      <w:r/>
    </w:p>
    <w:p>
      <w:pPr>
        <w:pStyle w:val="916"/>
        <w:ind w:firstLine="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目录七、商务条款</w:t>
      </w:r>
      <w:r>
        <w:rPr>
          <w:rFonts w:hint="eastAsia"/>
          <w:color w:val="000000" w:themeColor="text1"/>
          <w14:textFill>
            <w14:solidFill>
              <w14:schemeClr w14:val="tx1"/>
            </w14:solidFill>
          </w14:textFill>
        </w:rPr>
        <w:t xml:space="preserve">偏离</w:t>
      </w:r>
      <w:r>
        <w:rPr>
          <w:rFonts w:hint="eastAsia"/>
          <w:color w:val="000000" w:themeColor="text1"/>
          <w:lang w:val="zh-CN"/>
          <w14:textFill>
            <w14:solidFill>
              <w14:schemeClr w14:val="tx1"/>
            </w14:solidFill>
          </w14:textFill>
        </w:rPr>
        <w:t xml:space="preserve">表格式</w:t>
      </w:r>
      <w:r/>
    </w:p>
    <w:p>
      <w:pPr>
        <w:ind w:firstLine="0"/>
        <w:jc w:val="center"/>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 xml:space="preserve">商务条款</w:t>
      </w:r>
      <w:r>
        <w:rPr>
          <w:rFonts w:hint="eastAsia"/>
          <w:b/>
          <w:bCs/>
          <w:color w:val="000000" w:themeColor="text1"/>
          <w14:textFill>
            <w14:solidFill>
              <w14:schemeClr w14:val="tx1"/>
            </w14:solidFill>
          </w14:textFill>
        </w:rPr>
        <w:t xml:space="preserve">偏离</w:t>
      </w:r>
      <w:r>
        <w:rPr>
          <w:rFonts w:hint="eastAsia"/>
          <w:b/>
          <w:bCs/>
          <w:color w:val="000000" w:themeColor="text1"/>
          <w:lang w:val="zh-CN"/>
          <w14:textFill>
            <w14:solidFill>
              <w14:schemeClr w14:val="tx1"/>
            </w14:solidFill>
          </w14:textFill>
        </w:rPr>
        <w:t xml:space="preserve">表</w:t>
      </w:r>
      <w:r/>
    </w:p>
    <w:tbl>
      <w:tblPr>
        <w:tblStyle w:val="91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项目名称：</w:t>
            </w:r>
            <w:r/>
          </w:p>
        </w:tc>
        <w:tc>
          <w:tcPr>
            <w:gridSpan w:val="2"/>
            <w:tcBorders>
              <w:top w:val="single" w:color="auto" w:sz="4" w:space="0"/>
              <w:left w:val="single" w:color="auto" w:sz="4" w:space="0"/>
              <w:right w:val="single" w:color="auto" w:sz="4" w:space="0"/>
            </w:tcBorders>
            <w:tcW w:w="2560"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项目编号：</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序号</w:t>
            </w:r>
            <w:r/>
          </w:p>
        </w:tc>
        <w:tc>
          <w:tcPr>
            <w:tcBorders>
              <w:left w:val="single" w:color="auto" w:sz="4" w:space="0"/>
              <w:right w:val="single" w:color="auto" w:sz="4" w:space="0"/>
            </w:tcBorders>
            <w:tcW w:w="1820"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招标文件要求的商务条款</w:t>
            </w:r>
            <w:r/>
          </w:p>
        </w:tc>
        <w:tc>
          <w:tcPr>
            <w:tcBorders>
              <w:left w:val="single" w:color="auto" w:sz="4" w:space="0"/>
              <w:right w:val="single" w:color="auto" w:sz="4" w:space="0"/>
            </w:tcBorders>
            <w:tcW w:w="1694"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投标响应</w:t>
            </w:r>
            <w:r/>
          </w:p>
        </w:tc>
        <w:tc>
          <w:tcPr>
            <w:tcBorders>
              <w:left w:val="single" w:color="auto" w:sz="4" w:space="0"/>
              <w:right w:val="single" w:color="auto" w:sz="4" w:space="0"/>
            </w:tcBorders>
            <w:tcW w:w="866"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偏离</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r>
    </w:tbl>
    <w:p>
      <w:pPr>
        <w:ind w:firstLine="48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8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投标人名称： </w:t>
      </w:r>
      <w:r>
        <w:rPr>
          <w:color w:val="000000" w:themeColor="text1"/>
          <w:lang w:val="zh-CN"/>
          <w14:textFill>
            <w14:solidFill>
              <w14:schemeClr w14:val="tx1"/>
            </w14:solidFill>
          </w14:textFill>
        </w:rPr>
        <w:t xml:space="preserve">                </w:t>
      </w:r>
      <w:r>
        <w:rPr>
          <w:rFonts w:hint="eastAsia"/>
          <w:color w:val="000000" w:themeColor="text1"/>
          <w:lang w:val="zh-CN"/>
          <w14:textFill>
            <w14:solidFill>
              <w14:schemeClr w14:val="tx1"/>
            </w14:solidFill>
          </w14:textFill>
        </w:rPr>
        <w:t xml:space="preserve">（盖章）</w:t>
      </w:r>
      <w:r/>
    </w:p>
    <w:p>
      <w:pPr>
        <w:ind w:firstLine="48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说明：</w:t>
      </w: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如果行数不够，请自行增加。</w:t>
      </w:r>
      <w:r/>
    </w:p>
    <w:p>
      <w:pPr>
        <w:ind w:firstLine="48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投标人应</w:t>
      </w:r>
      <w:r>
        <w:rPr>
          <w:rFonts w:hint="eastAsia"/>
          <w:color w:val="000000" w:themeColor="text1"/>
          <w14:textFill>
            <w14:solidFill>
              <w14:schemeClr w14:val="tx1"/>
            </w14:solidFill>
          </w14:textFill>
        </w:rPr>
        <w:t xml:space="preserve">针对第四章采购需求的商务部分内容</w:t>
      </w:r>
      <w:r>
        <w:rPr>
          <w:rFonts w:hint="eastAsia"/>
          <w:color w:val="000000" w:themeColor="text1"/>
          <w:lang w:val="zh-CN"/>
          <w14:textFill>
            <w14:solidFill>
              <w14:schemeClr w14:val="tx1"/>
            </w14:solidFill>
          </w14:textFill>
        </w:rPr>
        <w:t xml:space="preserve">逐一说明。</w:t>
      </w:r>
      <w:r/>
    </w:p>
    <w:p>
      <w:pPr>
        <w:ind w:firstLine="48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附：证明材料1，证明材料2……（如招标文件要求提供佐证材料的，须将证明材料列于商务条款偏离表之下）</w:t>
      </w:r>
      <w:r/>
    </w:p>
    <w:p>
      <w:pPr>
        <w:ind w:firstLine="48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8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br w:type="page" w:clear="all"/>
      </w:r>
      <w:r/>
    </w:p>
    <w:p>
      <w:pPr>
        <w:pStyle w:val="916"/>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目录八、政府采购政策功能</w:t>
      </w:r>
      <w:r/>
    </w:p>
    <w:p>
      <w:pPr>
        <w:ind w:firstLine="0"/>
        <w:jc w:val="center"/>
        <w:rPr>
          <w:b/>
          <w:bCs/>
          <w:color w:val="000000" w:themeColor="text1"/>
          <w:lang w:val="zh-CN"/>
          <w14:textFill>
            <w14:solidFill>
              <w14:schemeClr w14:val="tx1"/>
            </w14:solidFill>
          </w14:textFill>
        </w:rPr>
      </w:pPr>
      <w:r>
        <w:rPr>
          <w:rFonts w:hint="eastAsia"/>
          <w:b/>
          <w:bCs/>
          <w:color w:val="000000" w:themeColor="text1"/>
          <w14:textFill>
            <w14:solidFill>
              <w14:schemeClr w14:val="tx1"/>
            </w14:solidFill>
          </w14:textFill>
        </w:rPr>
        <w:t xml:space="preserve">（一）</w:t>
      </w:r>
      <w:r>
        <w:rPr>
          <w:rFonts w:hint="eastAsia"/>
          <w:b/>
          <w:bCs/>
          <w:color w:val="000000" w:themeColor="text1"/>
          <w:lang w:val="zh-CN"/>
          <w14:textFill>
            <w14:solidFill>
              <w14:schemeClr w14:val="tx1"/>
            </w14:solidFill>
          </w14:textFill>
        </w:rPr>
        <w:t xml:space="preserve">中小企业声明函（货物）</w:t>
      </w:r>
      <w:r/>
    </w:p>
    <w:p>
      <w:pPr>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（单位名称）的</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（项目名称）采购活动，提供的货物全部由符合政策要求的中小企业制造。相关企业（含联合体中的中小企业、签订分包意向协议的中小企业） 的具体情况如下：</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i/>
          <w:iCs/>
          <w:color w:val="000000" w:themeColor="text1"/>
          <w:u w:val="single"/>
          <w14:textFill>
            <w14:solidFill>
              <w14:schemeClr w14:val="tx1"/>
            </w14:solidFill>
          </w14:textFill>
        </w:rPr>
        <w:t xml:space="preserve">（标的名称）</w:t>
      </w:r>
      <w:r>
        <w:rPr>
          <w:rFonts w:hint="eastAsia"/>
          <w:color w:val="000000" w:themeColor="text1"/>
          <w14:textFill>
            <w14:solidFill>
              <w14:schemeClr w14:val="tx1"/>
            </w14:solidFill>
          </w14:textFill>
        </w:rPr>
        <w:t xml:space="preserve">，属于</w:t>
      </w:r>
      <w:r>
        <w:rPr>
          <w:rFonts w:hint="eastAsia"/>
          <w:i/>
          <w:iCs/>
          <w:color w:val="000000" w:themeColor="text1"/>
          <w:u w:val="single"/>
          <w14:textFill>
            <w14:solidFill>
              <w14:schemeClr w14:val="tx1"/>
            </w14:solidFill>
          </w14:textFill>
        </w:rPr>
        <w:t xml:space="preserve">（采购文件中明确的所属行业）</w:t>
      </w:r>
      <w:r>
        <w:rPr>
          <w:rFonts w:hint="eastAsia"/>
          <w:color w:val="000000" w:themeColor="text1"/>
          <w14:textFill>
            <w14:solidFill>
              <w14:schemeClr w14:val="tx1"/>
            </w14:solidFill>
          </w14:textFill>
        </w:rPr>
        <w:t xml:space="preserve">行业；制造商为</w:t>
      </w:r>
      <w:r>
        <w:rPr>
          <w:rFonts w:hint="eastAsia"/>
          <w:i/>
          <w:iCs/>
          <w:color w:val="000000" w:themeColor="text1"/>
          <w:u w:val="single"/>
          <w14:textFill>
            <w14:solidFill>
              <w14:schemeClr w14:val="tx1"/>
            </w14:solidFill>
          </w14:textFill>
        </w:rPr>
        <w:t xml:space="preserve">（企业名称）</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i/>
          <w:iCs/>
          <w:color w:val="000000" w:themeColor="text1"/>
          <w:u w:val="single"/>
          <w14:textFill>
            <w14:solidFill>
              <w14:schemeClr w14:val="tx1"/>
            </w14:solidFill>
          </w14:textFill>
        </w:rPr>
        <w:t xml:space="preserve">（中型企业、小型企业、微型企业）</w:t>
      </w:r>
      <w:r>
        <w:rPr>
          <w:rFonts w:hint="eastAsia"/>
          <w:color w:val="000000" w:themeColor="text1"/>
          <w14:textFill>
            <w14:solidFill>
              <w14:schemeClr w14:val="tx1"/>
            </w14:solidFill>
          </w14:textFill>
        </w:rPr>
        <w:t xml:space="preserve">；</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i/>
          <w:iCs/>
          <w:color w:val="000000" w:themeColor="text1"/>
          <w:u w:val="single"/>
          <w14:textFill>
            <w14:solidFill>
              <w14:schemeClr w14:val="tx1"/>
            </w14:solidFill>
          </w14:textFill>
        </w:rPr>
        <w:t xml:space="preserve">（标的名称）</w:t>
      </w:r>
      <w:r>
        <w:rPr>
          <w:rFonts w:hint="eastAsia"/>
          <w:color w:val="000000" w:themeColor="text1"/>
          <w14:textFill>
            <w14:solidFill>
              <w14:schemeClr w14:val="tx1"/>
            </w14:solidFill>
          </w14:textFill>
        </w:rPr>
        <w:t xml:space="preserve">，属于</w:t>
      </w:r>
      <w:r>
        <w:rPr>
          <w:rFonts w:hint="eastAsia"/>
          <w:i/>
          <w:iCs/>
          <w:color w:val="000000" w:themeColor="text1"/>
          <w:u w:val="single"/>
          <w14:textFill>
            <w14:solidFill>
              <w14:schemeClr w14:val="tx1"/>
            </w14:solidFill>
          </w14:textFill>
        </w:rPr>
        <w:t xml:space="preserve">（采购文件中明确的所属行业）</w:t>
      </w:r>
      <w:r>
        <w:rPr>
          <w:rFonts w:hint="eastAsia"/>
          <w:color w:val="000000" w:themeColor="text1"/>
          <w14:textFill>
            <w14:solidFill>
              <w14:schemeClr w14:val="tx1"/>
            </w14:solidFill>
          </w14:textFill>
        </w:rPr>
        <w:t xml:space="preserve">行业；制造商为</w:t>
      </w:r>
      <w:r>
        <w:rPr>
          <w:rFonts w:hint="eastAsia"/>
          <w:i/>
          <w:iCs/>
          <w:color w:val="000000" w:themeColor="text1"/>
          <w:u w:val="single"/>
          <w14:textFill>
            <w14:solidFill>
              <w14:schemeClr w14:val="tx1"/>
            </w14:solidFill>
          </w14:textFill>
        </w:rPr>
        <w:t xml:space="preserve">（企业名称）</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i/>
          <w:iCs/>
          <w:color w:val="000000" w:themeColor="text1"/>
          <w:u w:val="single"/>
          <w14:textFill>
            <w14:solidFill>
              <w14:schemeClr w14:val="tx1"/>
            </w14:solidFill>
          </w14:textFill>
        </w:rPr>
        <w:t xml:space="preserve">（中型企业、小型企业、微型企业）</w:t>
      </w:r>
      <w:r>
        <w:rPr>
          <w:rFonts w:hint="eastAsia"/>
          <w:color w:val="000000" w:themeColor="text1"/>
          <w14:textFill>
            <w14:solidFill>
              <w14:schemeClr w14:val="tx1"/>
            </w14:solidFill>
          </w14:textFill>
        </w:rPr>
        <w:t xml:space="preserve">；</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本企业对上述声明内容的真实性负责。如有虚假，将依法承担相应责任。</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投标人名称（盖章）：        </w:t>
      </w:r>
      <w:r/>
    </w:p>
    <w:p>
      <w:pPr>
        <w:ind w:firstLine="48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注2：从业人员、营业收入、资产总额填报上一年度数据，无上一年度数据的新成立企业可不填报。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注3：投标人如不提供此声明函，不享受中小企业扶持政策。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（二）残疾人福利性单位声明函</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我公司对上述声明的真实性负责。如有虚假，将依法承担相应责任。</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单位名称：（盖章）</w:t>
      </w:r>
      <w:r/>
    </w:p>
    <w:p>
      <w:pPr>
        <w:ind w:firstLine="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注：非残疾人福利性单位无须提供。</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（三）属于监狱企业的证明文件</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提供由省级以上监狱管理局、戒毒管理局（含新疆生产建设兵团）出具的属于监狱企业的证明文件。</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注：非监狱企业无须提供。</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（四）关于符合本国产品标准的声明函</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b/>
          <w:bCs/>
          <w:color w:val="000000" w:themeColor="text1"/>
          <w:u w:val="single"/>
          <w14:textFill>
            <w14:solidFill>
              <w14:schemeClr w14:val="tx1"/>
            </w14:solidFill>
          </w14:textFill>
        </w:rPr>
        <w:t xml:space="preserve">（产品名称1）</w:t>
      </w:r>
      <w:r>
        <w:rPr>
          <w:rFonts w:hint="eastAsia"/>
          <w:b/>
          <w:bCs/>
          <w:color w:val="000000" w:themeColor="text1"/>
          <w:u w:val="single"/>
          <w:vertAlign w:val="superscript"/>
          <w14:textFill>
            <w14:solidFill>
              <w14:schemeClr w14:val="tx1"/>
            </w14:solidFill>
          </w14:textFill>
        </w:rPr>
        <w:t xml:space="preserve">1</w:t>
      </w:r>
      <w:r>
        <w:rPr>
          <w:rFonts w:hint="eastAsia"/>
          <w:color w:val="000000" w:themeColor="text1"/>
          <w14:textFill>
            <w14:solidFill>
              <w14:schemeClr w14:val="tx1"/>
            </w14:solidFill>
          </w14:textFill>
        </w:rPr>
        <w:t xml:space="preserve">，生产厂为</w:t>
      </w:r>
      <w:r>
        <w:rPr>
          <w:rFonts w:hint="eastAsia"/>
          <w:b/>
          <w:bCs/>
          <w:color w:val="000000" w:themeColor="text1"/>
          <w:u w:val="single"/>
          <w14:textFill>
            <w14:solidFill>
              <w14:schemeClr w14:val="tx1"/>
            </w14:solidFill>
          </w14:textFill>
        </w:rPr>
        <w:t xml:space="preserve">（厂名）</w:t>
      </w:r>
      <w:r>
        <w:rPr>
          <w:rFonts w:hint="eastAsia"/>
          <w:b/>
          <w:bCs/>
          <w:color w:val="000000" w:themeColor="text1"/>
          <w:u w:val="single"/>
          <w:vertAlign w:val="superscript"/>
          <w14:textFill>
            <w14:solidFill>
              <w14:schemeClr w14:val="tx1"/>
            </w14:solidFill>
          </w14:textFill>
        </w:rPr>
        <w:t xml:space="preserve">2</w:t>
      </w:r>
      <w:r>
        <w:rPr>
          <w:rFonts w:hint="eastAsia"/>
          <w:color w:val="000000" w:themeColor="text1"/>
          <w14:textFill>
            <w14:solidFill>
              <w14:schemeClr w14:val="tx1"/>
            </w14:solidFill>
          </w14:textFill>
        </w:rPr>
        <w:t xml:space="preserve">，厂址为</w:t>
      </w:r>
      <w:r>
        <w:rPr>
          <w:rFonts w:hint="eastAsia"/>
          <w:b/>
          <w:bCs/>
          <w:color w:val="000000" w:themeColor="text1"/>
          <w:u w:val="single"/>
          <w14:textFill>
            <w14:solidFill>
              <w14:schemeClr w14:val="tx1"/>
            </w14:solidFill>
          </w14:textFill>
        </w:rPr>
        <w:t xml:space="preserve">（生产厂址）</w:t>
      </w:r>
      <w:r>
        <w:rPr>
          <w:rFonts w:hint="eastAsia"/>
          <w:color w:val="000000" w:themeColor="text1"/>
          <w14:textFill>
            <w14:solidFill>
              <w14:schemeClr w14:val="tx1"/>
            </w14:solidFill>
          </w14:textFill>
        </w:rPr>
        <w:t xml:space="preserve">。</w:t>
      </w:r>
      <w:r>
        <w:rPr>
          <w:rFonts w:hint="eastAsia"/>
          <w:b/>
          <w:bCs/>
          <w:strike/>
          <w:color w:val="000000" w:themeColor="text1"/>
          <w:u w:val="single"/>
          <w14:textFill>
            <w14:solidFill>
              <w14:schemeClr w14:val="tx1"/>
            </w14:solidFill>
          </w14:textFill>
        </w:rPr>
        <w:t xml:space="preserve">（产品名称1）</w:t>
      </w:r>
      <w:r>
        <w:rPr>
          <w:rFonts w:hint="eastAsia"/>
          <w:color w:val="000000" w:themeColor="text1"/>
          <w14:textFill>
            <w14:solidFill>
              <w14:schemeClr w14:val="tx1"/>
            </w14:solidFill>
          </w14:textFill>
        </w:rPr>
        <w:t xml:space="preserve">的中国境内生产的组件成本占比≥</w:t>
      </w:r>
      <w:r>
        <w:rPr>
          <w:rFonts w:hint="eastAsia"/>
          <w:b/>
          <w:bCs/>
          <w:strike/>
          <w:color w:val="000000" w:themeColor="text1"/>
          <w:u w:val="single"/>
          <w14:textFill>
            <w14:solidFill>
              <w14:schemeClr w14:val="tx1"/>
            </w14:solidFill>
          </w14:textFill>
        </w:rPr>
        <w:t xml:space="preserve">（规定</w:t>
      </w:r>
      <w:r>
        <w:rPr>
          <w:b/>
          <w:bCs/>
          <w:strike/>
          <w:color w:val="000000" w:themeColor="text1"/>
          <w:u w:val="single"/>
          <w14:textFill>
            <w14:solidFill>
              <w14:schemeClr w14:val="tx1"/>
            </w14:solidFill>
          </w14:textFill>
        </w:rPr>
        <w:t xml:space="preserve">比例</w:t>
      </w:r>
      <w:r>
        <w:rPr>
          <w:rFonts w:hint="eastAsia"/>
          <w:b/>
          <w:bCs/>
          <w:strike/>
          <w:color w:val="000000" w:themeColor="text1"/>
          <w:u w:val="single"/>
          <w14:textFill>
            <w14:solidFill>
              <w14:schemeClr w14:val="tx1"/>
            </w14:solidFill>
          </w14:textFill>
        </w:rPr>
        <w:t xml:space="preserve">）</w:t>
      </w:r>
      <w:r>
        <w:rPr>
          <w:rFonts w:hint="eastAsia"/>
          <w:b/>
          <w:bCs/>
          <w:strike/>
          <w:color w:val="000000" w:themeColor="text1"/>
          <w:u w:val="single"/>
          <w:vertAlign w:val="superscript"/>
          <w14:textFill>
            <w14:solidFill>
              <w14:schemeClr w14:val="tx1"/>
            </w14:solidFill>
          </w14:textFill>
        </w:rPr>
        <w:t xml:space="preserve">3</w:t>
      </w:r>
      <w:r>
        <w:rPr>
          <w:rFonts w:hint="eastAsia"/>
          <w:color w:val="000000" w:themeColor="text1"/>
          <w14:textFill>
            <w14:solidFill>
              <w14:schemeClr w14:val="tx1"/>
            </w14:solidFill>
          </w14:textFill>
        </w:rPr>
        <w:t xml:space="preserve">。</w:t>
      </w:r>
      <w:r>
        <w:rPr>
          <w:rFonts w:hint="eastAsia"/>
          <w:b/>
          <w:bCs/>
          <w:strike/>
          <w:color w:val="000000" w:themeColor="text1"/>
          <w:u w:val="single"/>
          <w14:textFill>
            <w14:solidFill>
              <w14:schemeClr w14:val="tx1"/>
            </w14:solidFill>
          </w14:textFill>
        </w:rPr>
        <w:t xml:space="preserve">（产品名称1）</w:t>
      </w:r>
      <w:r>
        <w:rPr>
          <w:rFonts w:hint="eastAsia"/>
          <w:color w:val="000000" w:themeColor="text1"/>
          <w14:textFill>
            <w14:solidFill>
              <w14:schemeClr w14:val="tx1"/>
            </w14:solidFill>
          </w14:textFill>
        </w:rPr>
        <w:t xml:space="preserve">的</w:t>
      </w:r>
      <w:r>
        <w:rPr>
          <w:rFonts w:hint="eastAsia"/>
          <w:b/>
          <w:bCs/>
          <w:strike/>
          <w:color w:val="000000" w:themeColor="text1"/>
          <w:u w:val="single"/>
          <w14:textFill>
            <w14:solidFill>
              <w14:schemeClr w14:val="tx1"/>
            </w14:solidFill>
          </w14:textFill>
        </w:rPr>
        <w:t xml:space="preserve">（关键</w:t>
      </w:r>
      <w:r>
        <w:rPr>
          <w:b/>
          <w:bCs/>
          <w:strike/>
          <w:color w:val="000000" w:themeColor="text1"/>
          <w:u w:val="single"/>
          <w14:textFill>
            <w14:solidFill>
              <w14:schemeClr w14:val="tx1"/>
            </w14:solidFill>
          </w14:textFill>
        </w:rPr>
        <w:t xml:space="preserve">组件</w:t>
      </w:r>
      <w:r>
        <w:rPr>
          <w:rFonts w:hint="eastAsia"/>
          <w:b/>
          <w:bCs/>
          <w:strike/>
          <w:color w:val="000000" w:themeColor="text1"/>
          <w:u w:val="single"/>
          <w14:textFill>
            <w14:solidFill>
              <w14:schemeClr w14:val="tx1"/>
            </w14:solidFill>
          </w14:textFill>
        </w:rPr>
        <w:t xml:space="preserve">）</w:t>
      </w:r>
      <w:r>
        <w:rPr>
          <w:rFonts w:hint="eastAsia"/>
          <w:b/>
          <w:bCs/>
          <w:strike/>
          <w:color w:val="000000" w:themeColor="text1"/>
          <w:u w:val="single"/>
          <w:vertAlign w:val="superscript"/>
          <w14:textFill>
            <w14:solidFill>
              <w14:schemeClr w14:val="tx1"/>
            </w14:solidFill>
          </w14:textFill>
        </w:rPr>
        <w:t xml:space="preserve">4</w:t>
      </w:r>
      <w:r>
        <w:rPr>
          <w:rFonts w:hint="eastAsia"/>
          <w:color w:val="000000" w:themeColor="text1"/>
          <w14:textFill>
            <w14:solidFill>
              <w14:schemeClr w14:val="tx1"/>
            </w14:solidFill>
          </w14:textFill>
        </w:rPr>
        <w:t xml:space="preserve">在中国境内生产。</w:t>
      </w:r>
      <w:r>
        <w:rPr>
          <w:rFonts w:hint="eastAsia"/>
          <w:b/>
          <w:bCs/>
          <w:strike/>
          <w:color w:val="000000" w:themeColor="text1"/>
          <w:u w:val="single"/>
          <w14:textFill>
            <w14:solidFill>
              <w14:schemeClr w14:val="tx1"/>
            </w14:solidFill>
          </w14:textFill>
        </w:rPr>
        <w:t xml:space="preserve">（产品名称1）</w:t>
      </w:r>
      <w:r>
        <w:rPr>
          <w:rFonts w:hint="eastAsia"/>
          <w:color w:val="000000" w:themeColor="text1"/>
          <w14:textFill>
            <w14:solidFill>
              <w14:schemeClr w14:val="tx1"/>
            </w14:solidFill>
          </w14:textFill>
        </w:rPr>
        <w:t xml:space="preserve">的</w:t>
      </w:r>
      <w:r>
        <w:rPr>
          <w:rFonts w:hint="eastAsia"/>
          <w:b/>
          <w:bCs/>
          <w:strike/>
          <w:color w:val="000000" w:themeColor="text1"/>
          <w:u w:val="single"/>
          <w14:textFill>
            <w14:solidFill>
              <w14:schemeClr w14:val="tx1"/>
            </w14:solidFill>
          </w14:textFill>
        </w:rPr>
        <w:t xml:space="preserve">（关键工序）</w:t>
      </w:r>
      <w:r>
        <w:rPr>
          <w:rFonts w:hint="eastAsia"/>
          <w:b/>
          <w:bCs/>
          <w:strike/>
          <w:color w:val="000000" w:themeColor="text1"/>
          <w:u w:val="single"/>
          <w:vertAlign w:val="superscript"/>
          <w14:textFill>
            <w14:solidFill>
              <w14:schemeClr w14:val="tx1"/>
            </w14:solidFill>
          </w14:textFill>
        </w:rPr>
        <w:t xml:space="preserve">5</w:t>
      </w:r>
      <w:r>
        <w:rPr>
          <w:rFonts w:hint="eastAsia"/>
          <w:color w:val="000000" w:themeColor="text1"/>
          <w14:textFill>
            <w14:solidFill>
              <w14:schemeClr w14:val="tx1"/>
            </w14:solidFill>
          </w14:textFill>
        </w:rPr>
        <w:t xml:space="preserve">在中国境内完成。</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b/>
          <w:bCs/>
          <w:color w:val="000000" w:themeColor="text1"/>
          <w:u w:val="single"/>
          <w14:textFill>
            <w14:solidFill>
              <w14:schemeClr w14:val="tx1"/>
            </w14:solidFill>
          </w14:textFill>
        </w:rPr>
        <w:t xml:space="preserve">（产品名称2）</w:t>
      </w:r>
      <w:r>
        <w:rPr>
          <w:rFonts w:hint="eastAsia"/>
          <w:color w:val="000000" w:themeColor="text1"/>
          <w14:textFill>
            <w14:solidFill>
              <w14:schemeClr w14:val="tx1"/>
            </w14:solidFill>
          </w14:textFill>
        </w:rPr>
        <w:t xml:space="preserve">，生产厂为</w:t>
      </w:r>
      <w:r>
        <w:rPr>
          <w:rFonts w:hint="eastAsia"/>
          <w:b/>
          <w:bCs/>
          <w:color w:val="000000" w:themeColor="text1"/>
          <w:u w:val="single"/>
          <w14:textFill>
            <w14:solidFill>
              <w14:schemeClr w14:val="tx1"/>
            </w14:solidFill>
          </w14:textFill>
        </w:rPr>
        <w:t xml:space="preserve">（厂名）</w:t>
      </w:r>
      <w:r>
        <w:rPr>
          <w:rFonts w:hint="eastAsia"/>
          <w:color w:val="000000" w:themeColor="text1"/>
          <w14:textFill>
            <w14:solidFill>
              <w14:schemeClr w14:val="tx1"/>
            </w14:solidFill>
          </w14:textFill>
        </w:rPr>
        <w:t xml:space="preserve">，厂址为</w:t>
      </w:r>
      <w:r>
        <w:rPr>
          <w:rFonts w:hint="eastAsia"/>
          <w:b/>
          <w:bCs/>
          <w:color w:val="000000" w:themeColor="text1"/>
          <w:u w:val="single"/>
          <w14:textFill>
            <w14:solidFill>
              <w14:schemeClr w14:val="tx1"/>
            </w14:solidFill>
          </w14:textFill>
        </w:rPr>
        <w:t xml:space="preserve">（生产厂址）</w:t>
      </w:r>
      <w:r>
        <w:rPr>
          <w:rFonts w:hint="eastAsia"/>
          <w:color w:val="000000" w:themeColor="text1"/>
          <w14:textFill>
            <w14:solidFill>
              <w14:schemeClr w14:val="tx1"/>
            </w14:solidFill>
          </w14:textFill>
        </w:rPr>
        <w:t xml:space="preserve">。</w:t>
      </w:r>
      <w:r>
        <w:rPr>
          <w:rFonts w:hint="eastAsia"/>
          <w:b/>
          <w:bCs/>
          <w:strike/>
          <w:color w:val="000000" w:themeColor="text1"/>
          <w:u w:val="single"/>
          <w14:textFill>
            <w14:solidFill>
              <w14:schemeClr w14:val="tx1"/>
            </w14:solidFill>
          </w14:textFill>
        </w:rPr>
        <w:t xml:space="preserve">（产品名称2）</w:t>
      </w:r>
      <w:r>
        <w:rPr>
          <w:rFonts w:hint="eastAsia"/>
          <w:color w:val="000000" w:themeColor="text1"/>
          <w14:textFill>
            <w14:solidFill>
              <w14:schemeClr w14:val="tx1"/>
            </w14:solidFill>
          </w14:textFill>
        </w:rPr>
        <w:t xml:space="preserve">的中国境内生产的组件成本占比≥</w:t>
      </w:r>
      <w:r>
        <w:rPr>
          <w:rFonts w:hint="eastAsia"/>
          <w:b/>
          <w:bCs/>
          <w:strike/>
          <w:color w:val="000000" w:themeColor="text1"/>
          <w:u w:val="single"/>
          <w14:textFill>
            <w14:solidFill>
              <w14:schemeClr w14:val="tx1"/>
            </w14:solidFill>
          </w14:textFill>
        </w:rPr>
        <w:t xml:space="preserve">（规定</w:t>
      </w:r>
      <w:r>
        <w:rPr>
          <w:b/>
          <w:bCs/>
          <w:strike/>
          <w:color w:val="000000" w:themeColor="text1"/>
          <w:u w:val="single"/>
          <w14:textFill>
            <w14:solidFill>
              <w14:schemeClr w14:val="tx1"/>
            </w14:solidFill>
          </w14:textFill>
        </w:rPr>
        <w:t xml:space="preserve">比例</w:t>
      </w:r>
      <w:r>
        <w:rPr>
          <w:rFonts w:hint="eastAsia"/>
          <w:b/>
          <w:bCs/>
          <w:strike/>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w:t>
      </w:r>
      <w:r>
        <w:rPr>
          <w:rFonts w:hint="eastAsia"/>
          <w:b/>
          <w:bCs/>
          <w:strike/>
          <w:color w:val="000000" w:themeColor="text1"/>
          <w:u w:val="single"/>
          <w14:textFill>
            <w14:solidFill>
              <w14:schemeClr w14:val="tx1"/>
            </w14:solidFill>
          </w14:textFill>
        </w:rPr>
        <w:t xml:space="preserve">（产品名称2）</w:t>
      </w:r>
      <w:r>
        <w:rPr>
          <w:rFonts w:hint="eastAsia"/>
          <w:color w:val="000000" w:themeColor="text1"/>
          <w14:textFill>
            <w14:solidFill>
              <w14:schemeClr w14:val="tx1"/>
            </w14:solidFill>
          </w14:textFill>
        </w:rPr>
        <w:t xml:space="preserve">的</w:t>
      </w:r>
      <w:r>
        <w:rPr>
          <w:rFonts w:hint="eastAsia"/>
          <w:b/>
          <w:bCs/>
          <w:strike/>
          <w:color w:val="000000" w:themeColor="text1"/>
          <w:u w:val="single"/>
          <w14:textFill>
            <w14:solidFill>
              <w14:schemeClr w14:val="tx1"/>
            </w14:solidFill>
          </w14:textFill>
        </w:rPr>
        <w:t xml:space="preserve">（关键</w:t>
      </w:r>
      <w:r>
        <w:rPr>
          <w:b/>
          <w:bCs/>
          <w:strike/>
          <w:color w:val="000000" w:themeColor="text1"/>
          <w:u w:val="single"/>
          <w14:textFill>
            <w14:solidFill>
              <w14:schemeClr w14:val="tx1"/>
            </w14:solidFill>
          </w14:textFill>
        </w:rPr>
        <w:t xml:space="preserve">组件</w:t>
      </w:r>
      <w:r>
        <w:rPr>
          <w:rFonts w:hint="eastAsia"/>
          <w:b/>
          <w:bCs/>
          <w:strike/>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在中国境内生产。</w:t>
      </w:r>
      <w:r>
        <w:rPr>
          <w:rFonts w:hint="eastAsia"/>
          <w:b/>
          <w:bCs/>
          <w:strike/>
          <w:color w:val="000000" w:themeColor="text1"/>
          <w:u w:val="single"/>
          <w14:textFill>
            <w14:solidFill>
              <w14:schemeClr w14:val="tx1"/>
            </w14:solidFill>
          </w14:textFill>
        </w:rPr>
        <w:t xml:space="preserve">（产品名称2）</w:t>
      </w:r>
      <w:r>
        <w:rPr>
          <w:rFonts w:hint="eastAsia"/>
          <w:color w:val="000000" w:themeColor="text1"/>
          <w14:textFill>
            <w14:solidFill>
              <w14:schemeClr w14:val="tx1"/>
            </w14:solidFill>
          </w14:textFill>
        </w:rPr>
        <w:t xml:space="preserve">的</w:t>
      </w:r>
      <w:r>
        <w:rPr>
          <w:rFonts w:hint="eastAsia"/>
          <w:b/>
          <w:bCs/>
          <w:strike/>
          <w:color w:val="000000" w:themeColor="text1"/>
          <w:u w:val="single"/>
          <w14:textFill>
            <w14:solidFill>
              <w14:schemeClr w14:val="tx1"/>
            </w14:solidFill>
          </w14:textFill>
        </w:rPr>
        <w:t xml:space="preserve">（关键工序）</w:t>
      </w:r>
      <w:r>
        <w:rPr>
          <w:rFonts w:hint="eastAsia"/>
          <w:color w:val="000000" w:themeColor="text1"/>
          <w14:textFill>
            <w14:solidFill>
              <w14:schemeClr w14:val="tx1"/>
            </w14:solidFill>
          </w14:textFill>
        </w:rPr>
        <w:t xml:space="preserve">在中国境内完成。</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本公司（单位）对上述声明内容的真实性负责。如有虚假，愿承担相应法律责任。</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公司（单位）名称（盖章）：</w:t>
      </w:r>
      <w:r/>
    </w:p>
    <w:p>
      <w:pPr>
        <w:ind w:firstLine="48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年    月    日</w:t>
      </w:r>
      <w:r/>
    </w:p>
    <w:p>
      <w:pPr>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__________________</w:t>
      </w:r>
      <w:r/>
    </w:p>
    <w:p>
      <w:pPr>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1.产品如有型号，请在“产品名称”栏一并填写。</w:t>
      </w:r>
      <w:r/>
    </w:p>
    <w:p>
      <w:pPr>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2.生产厂名与厂址应与生产厂营业执照载明的相关信息保持一致。</w:t>
      </w:r>
      <w:r/>
    </w:p>
    <w:p>
      <w:pPr>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3.该产品的中国境内生产的组件成本占比相关要求实施前，“规定比例”栏可不填，下同。</w:t>
      </w:r>
      <w:r/>
    </w:p>
    <w:p>
      <w:pPr>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4.该产品的关键组件要求实施前，“关键组件”栏可不填，下同。</w:t>
      </w:r>
      <w:r/>
    </w:p>
    <w:p>
      <w:pPr>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5.该产品的关键工序要求实施前，“关键工序”栏可不填，下同。</w:t>
      </w:r>
      <w:r/>
    </w:p>
    <w:p>
      <w:pPr>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6.用删除线划除的地方无需填写。</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6"/>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目录八、投标需要的其他证明文件及材料</w:t>
      </w:r>
      <w:r/>
    </w:p>
    <w:p>
      <w:pPr>
        <w:ind w:firstLine="0"/>
        <w:jc w:val="center"/>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投标需要的其他证明文件及材料（若有）</w:t>
      </w:r>
      <w:r/>
    </w:p>
    <w:p>
      <w:pPr>
        <w:ind w:firstLine="0"/>
        <w:jc w:val="center"/>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黑体">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65446" cy="222349"/>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flipH="0" flipV="0">
                        <a:off x="0" y="0"/>
                        <a:ext cx="1365445" cy="22234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07.5pt;height:17.5pt;mso-wrap-distance-left:9.0pt;mso-wrap-distance-top:0.0pt;mso-wrap-distance-right:9.0pt;mso-wrap-distance-bottom:0.0pt;v-text-anchor:top;visibility:visible;" filled="f" stroked="f" strokeweight="0.50pt">
              <v:textbox inset="0,0,0,0">
                <w:txbxContent>
                  <w:p>
                    <w:pPr>
                      <w:pStyle w:val="924"/>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917"/>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18"/>
    <w:link w:val="915"/>
    <w:uiPriority w:val="9"/>
    <w:rPr>
      <w:rFonts w:ascii="Arial" w:hAnsi="Arial" w:eastAsia="Arial" w:cs="Arial"/>
      <w:sz w:val="40"/>
      <w:szCs w:val="40"/>
    </w:rPr>
  </w:style>
  <w:style w:type="character" w:styleId="743">
    <w:name w:val="Heading 2 Char"/>
    <w:basedOn w:val="918"/>
    <w:link w:val="916"/>
    <w:uiPriority w:val="9"/>
    <w:rPr>
      <w:rFonts w:ascii="Arial" w:hAnsi="Arial" w:eastAsia="Arial" w:cs="Arial"/>
      <w:sz w:val="34"/>
    </w:rPr>
  </w:style>
  <w:style w:type="paragraph" w:styleId="744">
    <w:name w:val="Heading 3"/>
    <w:basedOn w:val="914"/>
    <w:next w:val="914"/>
    <w:link w:val="745"/>
    <w:uiPriority w:val="9"/>
    <w:unhideWhenUsed/>
    <w:qFormat/>
    <w:pPr>
      <w:keepLines/>
      <w:keepNext/>
      <w:spacing w:before="320" w:after="200"/>
      <w:outlineLvl w:val="2"/>
    </w:pPr>
    <w:rPr>
      <w:rFonts w:ascii="Arial" w:hAnsi="Arial" w:eastAsia="Arial" w:cs="Arial"/>
      <w:sz w:val="30"/>
      <w:szCs w:val="30"/>
    </w:rPr>
  </w:style>
  <w:style w:type="character" w:styleId="745">
    <w:name w:val="Heading 3 Char"/>
    <w:basedOn w:val="918"/>
    <w:link w:val="744"/>
    <w:uiPriority w:val="9"/>
    <w:rPr>
      <w:rFonts w:ascii="Arial" w:hAnsi="Arial" w:eastAsia="Arial" w:cs="Arial"/>
      <w:sz w:val="30"/>
      <w:szCs w:val="30"/>
    </w:rPr>
  </w:style>
  <w:style w:type="character" w:styleId="746">
    <w:name w:val="Heading 4 Char"/>
    <w:basedOn w:val="918"/>
    <w:link w:val="917"/>
    <w:uiPriority w:val="9"/>
    <w:rPr>
      <w:rFonts w:ascii="Arial" w:hAnsi="Arial" w:eastAsia="Arial" w:cs="Arial"/>
      <w:b/>
      <w:bCs/>
      <w:sz w:val="26"/>
      <w:szCs w:val="26"/>
    </w:rPr>
  </w:style>
  <w:style w:type="paragraph" w:styleId="747">
    <w:name w:val="Heading 5"/>
    <w:basedOn w:val="914"/>
    <w:next w:val="914"/>
    <w:link w:val="748"/>
    <w:uiPriority w:val="9"/>
    <w:unhideWhenUsed/>
    <w:qFormat/>
    <w:pPr>
      <w:keepLines/>
      <w:keepNext/>
      <w:spacing w:before="320" w:after="200"/>
      <w:outlineLvl w:val="4"/>
    </w:pPr>
    <w:rPr>
      <w:rFonts w:ascii="Arial" w:hAnsi="Arial" w:eastAsia="Arial" w:cs="Arial"/>
      <w:b/>
      <w:bCs/>
      <w:sz w:val="24"/>
      <w:szCs w:val="24"/>
    </w:rPr>
  </w:style>
  <w:style w:type="character" w:styleId="748">
    <w:name w:val="Heading 5 Char"/>
    <w:basedOn w:val="918"/>
    <w:link w:val="747"/>
    <w:uiPriority w:val="9"/>
    <w:rPr>
      <w:rFonts w:ascii="Arial" w:hAnsi="Arial" w:eastAsia="Arial" w:cs="Arial"/>
      <w:b/>
      <w:bCs/>
      <w:sz w:val="24"/>
      <w:szCs w:val="24"/>
    </w:rPr>
  </w:style>
  <w:style w:type="paragraph" w:styleId="749">
    <w:name w:val="Heading 6"/>
    <w:basedOn w:val="914"/>
    <w:next w:val="914"/>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basedOn w:val="918"/>
    <w:link w:val="749"/>
    <w:uiPriority w:val="9"/>
    <w:rPr>
      <w:rFonts w:ascii="Arial" w:hAnsi="Arial" w:eastAsia="Arial" w:cs="Arial"/>
      <w:b/>
      <w:bCs/>
      <w:sz w:val="22"/>
      <w:szCs w:val="22"/>
    </w:rPr>
  </w:style>
  <w:style w:type="paragraph" w:styleId="751">
    <w:name w:val="Heading 7"/>
    <w:basedOn w:val="914"/>
    <w:next w:val="914"/>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basedOn w:val="918"/>
    <w:link w:val="751"/>
    <w:uiPriority w:val="9"/>
    <w:rPr>
      <w:rFonts w:ascii="Arial" w:hAnsi="Arial" w:eastAsia="Arial" w:cs="Arial"/>
      <w:b/>
      <w:bCs/>
      <w:i/>
      <w:iCs/>
      <w:sz w:val="22"/>
      <w:szCs w:val="22"/>
    </w:rPr>
  </w:style>
  <w:style w:type="paragraph" w:styleId="753">
    <w:name w:val="Heading 8"/>
    <w:basedOn w:val="914"/>
    <w:next w:val="914"/>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basedOn w:val="918"/>
    <w:link w:val="753"/>
    <w:uiPriority w:val="9"/>
    <w:rPr>
      <w:rFonts w:ascii="Arial" w:hAnsi="Arial" w:eastAsia="Arial" w:cs="Arial"/>
      <w:i/>
      <w:iCs/>
      <w:sz w:val="22"/>
      <w:szCs w:val="22"/>
    </w:rPr>
  </w:style>
  <w:style w:type="paragraph" w:styleId="755">
    <w:name w:val="Heading 9"/>
    <w:basedOn w:val="914"/>
    <w:next w:val="914"/>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basedOn w:val="918"/>
    <w:link w:val="755"/>
    <w:uiPriority w:val="9"/>
    <w:rPr>
      <w:rFonts w:ascii="Arial" w:hAnsi="Arial" w:eastAsia="Arial" w:cs="Arial"/>
      <w:i/>
      <w:iCs/>
      <w:sz w:val="21"/>
      <w:szCs w:val="21"/>
    </w:rPr>
  </w:style>
  <w:style w:type="paragraph" w:styleId="757">
    <w:name w:val="List Paragraph"/>
    <w:basedOn w:val="914"/>
    <w:uiPriority w:val="34"/>
    <w:qFormat/>
    <w:pPr>
      <w:contextualSpacing/>
      <w:ind w:left="720"/>
    </w:pPr>
  </w:style>
  <w:style w:type="paragraph" w:styleId="758">
    <w:name w:val="No Spacing"/>
    <w:uiPriority w:val="1"/>
    <w:qFormat/>
    <w:pPr>
      <w:spacing w:before="0" w:after="0" w:line="240" w:lineRule="auto"/>
    </w:pPr>
  </w:style>
  <w:style w:type="paragraph" w:styleId="759">
    <w:name w:val="Title"/>
    <w:basedOn w:val="914"/>
    <w:next w:val="914"/>
    <w:link w:val="760"/>
    <w:uiPriority w:val="10"/>
    <w:qFormat/>
    <w:pPr>
      <w:contextualSpacing/>
      <w:spacing w:before="300" w:after="200"/>
    </w:pPr>
    <w:rPr>
      <w:sz w:val="48"/>
      <w:szCs w:val="48"/>
    </w:rPr>
  </w:style>
  <w:style w:type="character" w:styleId="760">
    <w:name w:val="Title Char"/>
    <w:basedOn w:val="918"/>
    <w:link w:val="759"/>
    <w:uiPriority w:val="10"/>
    <w:rPr>
      <w:sz w:val="48"/>
      <w:szCs w:val="48"/>
    </w:rPr>
  </w:style>
  <w:style w:type="paragraph" w:styleId="761">
    <w:name w:val="Subtitle"/>
    <w:basedOn w:val="914"/>
    <w:next w:val="914"/>
    <w:link w:val="762"/>
    <w:uiPriority w:val="11"/>
    <w:qFormat/>
    <w:pPr>
      <w:spacing w:before="200" w:after="200"/>
    </w:pPr>
    <w:rPr>
      <w:sz w:val="24"/>
      <w:szCs w:val="24"/>
    </w:rPr>
  </w:style>
  <w:style w:type="character" w:styleId="762">
    <w:name w:val="Subtitle Char"/>
    <w:basedOn w:val="918"/>
    <w:link w:val="761"/>
    <w:uiPriority w:val="11"/>
    <w:rPr>
      <w:sz w:val="24"/>
      <w:szCs w:val="24"/>
    </w:rPr>
  </w:style>
  <w:style w:type="paragraph" w:styleId="763">
    <w:name w:val="Quote"/>
    <w:basedOn w:val="914"/>
    <w:next w:val="914"/>
    <w:link w:val="764"/>
    <w:uiPriority w:val="29"/>
    <w:qFormat/>
    <w:pPr>
      <w:ind w:left="720" w:right="720"/>
    </w:pPr>
    <w:rPr>
      <w:i/>
    </w:rPr>
  </w:style>
  <w:style w:type="character" w:styleId="764">
    <w:name w:val="Quote Char"/>
    <w:link w:val="763"/>
    <w:uiPriority w:val="29"/>
    <w:rPr>
      <w:i/>
    </w:rPr>
  </w:style>
  <w:style w:type="paragraph" w:styleId="765">
    <w:name w:val="Intense Quote"/>
    <w:basedOn w:val="914"/>
    <w:next w:val="914"/>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Intense Quote Char"/>
    <w:link w:val="765"/>
    <w:uiPriority w:val="30"/>
    <w:rPr>
      <w:i/>
    </w:rPr>
  </w:style>
  <w:style w:type="character" w:styleId="767">
    <w:name w:val="Header Char"/>
    <w:basedOn w:val="918"/>
    <w:link w:val="925"/>
    <w:uiPriority w:val="99"/>
  </w:style>
  <w:style w:type="character" w:styleId="768">
    <w:name w:val="Footer Char"/>
    <w:basedOn w:val="918"/>
    <w:link w:val="924"/>
    <w:uiPriority w:val="99"/>
  </w:style>
  <w:style w:type="paragraph" w:styleId="769">
    <w:name w:val="Caption"/>
    <w:basedOn w:val="914"/>
    <w:next w:val="914"/>
    <w:uiPriority w:val="35"/>
    <w:semiHidden/>
    <w:unhideWhenUsed/>
    <w:qFormat/>
    <w:pPr>
      <w:spacing w:line="276" w:lineRule="auto"/>
    </w:pPr>
    <w:rPr>
      <w:b/>
      <w:bCs/>
      <w:color w:val="4f81bd" w:themeColor="accent1"/>
      <w:sz w:val="18"/>
      <w:szCs w:val="18"/>
    </w:rPr>
  </w:style>
  <w:style w:type="character" w:styleId="770">
    <w:name w:val="Caption Char"/>
    <w:basedOn w:val="769"/>
    <w:link w:val="924"/>
    <w:uiPriority w:val="99"/>
  </w:style>
  <w:style w:type="table" w:styleId="771">
    <w:name w:val="Table Grid Light"/>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2">
    <w:name w:val="Plain Table 1"/>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basedOn w:val="9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basedOn w:val="9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1 Light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9">
    <w:name w:val="Grid Table 1 Light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0">
    <w:name w:val="Grid Table 1 Light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1">
    <w:name w:val="Grid Table 1 Light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2">
    <w:name w:val="Grid Table 1 Light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3">
    <w:name w:val="Grid Table 1 Light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4">
    <w:name w:val="Grid Table 2"/>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2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6">
    <w:name w:val="Grid Table 2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2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2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2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0">
    <w:name w:val="Grid Table 2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1">
    <w:name w:val="Grid Table 3"/>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basedOn w:val="9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4 - Accent 1"/>
    <w:basedOn w:val="9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0">
    <w:name w:val="Grid Table 4 - Accent 2"/>
    <w:basedOn w:val="9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1">
    <w:name w:val="Grid Table 4 - Accent 3"/>
    <w:basedOn w:val="9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2">
    <w:name w:val="Grid Table 4 - Accent 4"/>
    <w:basedOn w:val="9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3">
    <w:name w:val="Grid Table 4 - Accent 5"/>
    <w:basedOn w:val="9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4">
    <w:name w:val="Grid Table 4 - Accent 6"/>
    <w:basedOn w:val="9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5">
    <w:name w:val="Grid Table 5 Dark"/>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5 Dark- Accent 1"/>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7">
    <w:name w:val="Grid Table 5 Dark - Accent 2"/>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08">
    <w:name w:val="Grid Table 5 Dark - Accent 3"/>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09">
    <w:name w:val="Grid Table 5 Dark- Accent 4"/>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10">
    <w:name w:val="Grid Table 5 Dark - Accent 5"/>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11">
    <w:name w:val="Grid Table 5 Dark - Accent 6"/>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12">
    <w:name w:val="Grid Table 6 Colorful"/>
    <w:basedOn w:val="9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6 Colorful - Accent 1"/>
    <w:basedOn w:val="9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14">
    <w:name w:val="Grid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5">
    <w:name w:val="Grid Table 6 Colorful - Accent 3"/>
    <w:basedOn w:val="9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6">
    <w:name w:val="Grid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7">
    <w:name w:val="Grid Table 6 Colorful - Accent 5"/>
    <w:basedOn w:val="9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8">
    <w:name w:val="Grid Table 6 Colorful - Accent 6"/>
    <w:basedOn w:val="9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9">
    <w:name w:val="Grid Table 7 Colorful"/>
    <w:basedOn w:val="9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Grid Table 7 Colorful - Accent 1"/>
    <w:basedOn w:val="9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1">
    <w:name w:val="Grid Table 7 Colorful - Accent 2"/>
    <w:basedOn w:val="9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7 Colorful - Accent 3"/>
    <w:basedOn w:val="9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7 Colorful - Accent 4"/>
    <w:basedOn w:val="9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7 Colorful - Accent 5"/>
    <w:basedOn w:val="9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5">
    <w:name w:val="Grid Table 7 Colorful - Accent 6"/>
    <w:basedOn w:val="9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6">
    <w:name w:val="List Table 1 Light"/>
    <w:basedOn w:val="9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1 Light - Accent 1"/>
    <w:basedOn w:val="91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8">
    <w:name w:val="List Table 1 Light - Accent 2"/>
    <w:basedOn w:val="91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9">
    <w:name w:val="List Table 1 Light - Accent 3"/>
    <w:basedOn w:val="91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0">
    <w:name w:val="List Table 1 Light - Accent 4"/>
    <w:basedOn w:val="91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1">
    <w:name w:val="List Table 1 Light - Accent 5"/>
    <w:basedOn w:val="91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2">
    <w:name w:val="List Table 1 Light - Accent 6"/>
    <w:basedOn w:val="91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3">
    <w:name w:val="List Table 2"/>
    <w:basedOn w:val="9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2 - Accent 1"/>
    <w:basedOn w:val="9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5">
    <w:name w:val="List Table 2 - Accent 2"/>
    <w:basedOn w:val="9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6">
    <w:name w:val="List Table 2 - Accent 3"/>
    <w:basedOn w:val="9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7">
    <w:name w:val="List Table 2 - Accent 4"/>
    <w:basedOn w:val="9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8">
    <w:name w:val="List Table 2 - Accent 5"/>
    <w:basedOn w:val="9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9">
    <w:name w:val="List Table 2 - Accent 6"/>
    <w:basedOn w:val="9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0">
    <w:name w:val="List Table 3"/>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3 - Accent 1"/>
    <w:basedOn w:val="9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2">
    <w:name w:val="List Table 3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43">
    <w:name w:val="List Table 3 - Accent 3"/>
    <w:basedOn w:val="9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44">
    <w:name w:val="List Table 3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5">
    <w:name w:val="List Table 3 - Accent 5"/>
    <w:basedOn w:val="9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6">
    <w:name w:val="List Table 3 - Accent 6"/>
    <w:basedOn w:val="9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7">
    <w:name w:val="List Table 4"/>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4 - Accent 1"/>
    <w:basedOn w:val="9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9">
    <w:name w:val="List Table 4 - Accent 2"/>
    <w:basedOn w:val="9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50">
    <w:name w:val="List Table 4 - Accent 3"/>
    <w:basedOn w:val="9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51">
    <w:name w:val="List Table 4 - Accent 4"/>
    <w:basedOn w:val="9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52">
    <w:name w:val="List Table 4 - Accent 5"/>
    <w:basedOn w:val="9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53">
    <w:name w:val="List Table 4 - Accent 6"/>
    <w:basedOn w:val="9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54">
    <w:name w:val="List Table 5 Dark"/>
    <w:basedOn w:val="9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1"/>
    <w:basedOn w:val="9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2"/>
    <w:basedOn w:val="9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3"/>
    <w:basedOn w:val="9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4"/>
    <w:basedOn w:val="9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5"/>
    <w:basedOn w:val="9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6"/>
    <w:basedOn w:val="9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basedOn w:val="9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6 Colorful - Accent 1"/>
    <w:basedOn w:val="9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63">
    <w:name w:val="List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64">
    <w:name w:val="List Table 6 Colorful - Accent 3"/>
    <w:basedOn w:val="9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5">
    <w:name w:val="List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6">
    <w:name w:val="List Table 6 Colorful - Accent 5"/>
    <w:basedOn w:val="9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7">
    <w:name w:val="List Table 6 Colorful - Accent 6"/>
    <w:basedOn w:val="9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68">
    <w:name w:val="List Table 7 Colorful"/>
    <w:basedOn w:val="9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9">
    <w:name w:val="List Table 7 Colorful - Accent 1"/>
    <w:basedOn w:val="9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70">
    <w:name w:val="List Table 7 Colorful - Accent 2"/>
    <w:basedOn w:val="9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71">
    <w:name w:val="List Table 7 Colorful - Accent 3"/>
    <w:basedOn w:val="9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72">
    <w:name w:val="List Table 7 Colorful - Accent 4"/>
    <w:basedOn w:val="9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73">
    <w:name w:val="List Table 7 Colorful - Accent 5"/>
    <w:basedOn w:val="9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74">
    <w:name w:val="List Table 7 Colorful - Accent 6"/>
    <w:basedOn w:val="9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5">
    <w:name w:val="Lined - Accent"/>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Lined - Accent 1"/>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7">
    <w:name w:val="Lined - Accent 2"/>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8">
    <w:name w:val="Lined - Accent 3"/>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9">
    <w:name w:val="Lined - Accent 4"/>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0">
    <w:name w:val="Lined - Accent 5"/>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1">
    <w:name w:val="Lined - Accent 6"/>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2">
    <w:name w:val="Bordered &amp; Lined - Accent"/>
    <w:basedOn w:val="9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Bordered &amp; Lined - Accent 1"/>
    <w:basedOn w:val="9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4">
    <w:name w:val="Bordered &amp; Lined - Accent 2"/>
    <w:basedOn w:val="9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5">
    <w:name w:val="Bordered &amp; Lined - Accent 3"/>
    <w:basedOn w:val="9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6">
    <w:name w:val="Bordered &amp; Lined - Accent 4"/>
    <w:basedOn w:val="9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7">
    <w:name w:val="Bordered &amp; Lined - Accent 5"/>
    <w:basedOn w:val="9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8">
    <w:name w:val="Bordered &amp; Lined - Accent 6"/>
    <w:basedOn w:val="9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9">
    <w:name w:val="Bordered"/>
    <w:basedOn w:val="9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0">
    <w:name w:val="Bordered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1">
    <w:name w:val="Bordered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2">
    <w:name w:val="Bordered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3">
    <w:name w:val="Bordered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4">
    <w:name w:val="Bordered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5">
    <w:name w:val="Bordered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6">
    <w:name w:val="Hyperlink"/>
    <w:uiPriority w:val="99"/>
    <w:unhideWhenUsed/>
    <w:rPr>
      <w:color w:val="0000ff" w:themeColor="hyperlink"/>
      <w:u w:val="single"/>
    </w:rPr>
  </w:style>
  <w:style w:type="paragraph" w:styleId="897">
    <w:name w:val="footnote text"/>
    <w:basedOn w:val="914"/>
    <w:link w:val="898"/>
    <w:uiPriority w:val="99"/>
    <w:semiHidden/>
    <w:unhideWhenUsed/>
    <w:pPr>
      <w:spacing w:after="40" w:line="240" w:lineRule="auto"/>
    </w:pPr>
    <w:rPr>
      <w:sz w:val="18"/>
    </w:rPr>
  </w:style>
  <w:style w:type="character" w:styleId="898">
    <w:name w:val="Footnote Text Char"/>
    <w:link w:val="897"/>
    <w:uiPriority w:val="99"/>
    <w:rPr>
      <w:sz w:val="18"/>
    </w:rPr>
  </w:style>
  <w:style w:type="character" w:styleId="899">
    <w:name w:val="footnote reference"/>
    <w:basedOn w:val="918"/>
    <w:uiPriority w:val="99"/>
    <w:unhideWhenUsed/>
    <w:rPr>
      <w:vertAlign w:val="superscript"/>
    </w:rPr>
  </w:style>
  <w:style w:type="paragraph" w:styleId="900">
    <w:name w:val="endnote text"/>
    <w:basedOn w:val="914"/>
    <w:link w:val="901"/>
    <w:uiPriority w:val="99"/>
    <w:semiHidden/>
    <w:unhideWhenUsed/>
    <w:pPr>
      <w:spacing w:after="0" w:line="240" w:lineRule="auto"/>
    </w:pPr>
    <w:rPr>
      <w:sz w:val="20"/>
    </w:rPr>
  </w:style>
  <w:style w:type="character" w:styleId="901">
    <w:name w:val="Endnote Text Char"/>
    <w:link w:val="900"/>
    <w:uiPriority w:val="99"/>
    <w:rPr>
      <w:sz w:val="20"/>
    </w:rPr>
  </w:style>
  <w:style w:type="character" w:styleId="902">
    <w:name w:val="endnote reference"/>
    <w:basedOn w:val="918"/>
    <w:uiPriority w:val="99"/>
    <w:semiHidden/>
    <w:unhideWhenUsed/>
    <w:rPr>
      <w:vertAlign w:val="superscript"/>
    </w:rPr>
  </w:style>
  <w:style w:type="paragraph" w:styleId="903">
    <w:name w:val="toc 1"/>
    <w:basedOn w:val="914"/>
    <w:next w:val="914"/>
    <w:uiPriority w:val="39"/>
    <w:unhideWhenUsed/>
    <w:pPr>
      <w:ind w:left="0" w:right="0" w:firstLine="0"/>
      <w:spacing w:after="57"/>
    </w:pPr>
  </w:style>
  <w:style w:type="paragraph" w:styleId="904">
    <w:name w:val="toc 2"/>
    <w:basedOn w:val="914"/>
    <w:next w:val="914"/>
    <w:uiPriority w:val="39"/>
    <w:unhideWhenUsed/>
    <w:pPr>
      <w:ind w:left="283" w:right="0" w:firstLine="0"/>
      <w:spacing w:after="57"/>
    </w:pPr>
  </w:style>
  <w:style w:type="paragraph" w:styleId="905">
    <w:name w:val="toc 3"/>
    <w:basedOn w:val="914"/>
    <w:next w:val="914"/>
    <w:uiPriority w:val="39"/>
    <w:unhideWhenUsed/>
    <w:pPr>
      <w:ind w:left="567" w:right="0" w:firstLine="0"/>
      <w:spacing w:after="57"/>
    </w:pPr>
  </w:style>
  <w:style w:type="paragraph" w:styleId="906">
    <w:name w:val="toc 4"/>
    <w:basedOn w:val="914"/>
    <w:next w:val="914"/>
    <w:uiPriority w:val="39"/>
    <w:unhideWhenUsed/>
    <w:pPr>
      <w:ind w:left="850" w:right="0" w:firstLine="0"/>
      <w:spacing w:after="57"/>
    </w:pPr>
  </w:style>
  <w:style w:type="paragraph" w:styleId="907">
    <w:name w:val="toc 5"/>
    <w:basedOn w:val="914"/>
    <w:next w:val="914"/>
    <w:uiPriority w:val="39"/>
    <w:unhideWhenUsed/>
    <w:pPr>
      <w:ind w:left="1134" w:right="0" w:firstLine="0"/>
      <w:spacing w:after="57"/>
    </w:pPr>
  </w:style>
  <w:style w:type="paragraph" w:styleId="908">
    <w:name w:val="toc 6"/>
    <w:basedOn w:val="914"/>
    <w:next w:val="914"/>
    <w:uiPriority w:val="39"/>
    <w:unhideWhenUsed/>
    <w:pPr>
      <w:ind w:left="1417" w:right="0" w:firstLine="0"/>
      <w:spacing w:after="57"/>
    </w:pPr>
  </w:style>
  <w:style w:type="paragraph" w:styleId="909">
    <w:name w:val="toc 7"/>
    <w:basedOn w:val="914"/>
    <w:next w:val="914"/>
    <w:uiPriority w:val="39"/>
    <w:unhideWhenUsed/>
    <w:pPr>
      <w:ind w:left="1701" w:right="0" w:firstLine="0"/>
      <w:spacing w:after="57"/>
    </w:pPr>
  </w:style>
  <w:style w:type="paragraph" w:styleId="910">
    <w:name w:val="toc 8"/>
    <w:basedOn w:val="914"/>
    <w:next w:val="914"/>
    <w:uiPriority w:val="39"/>
    <w:unhideWhenUsed/>
    <w:pPr>
      <w:ind w:left="1984" w:right="0" w:firstLine="0"/>
      <w:spacing w:after="57"/>
    </w:pPr>
  </w:style>
  <w:style w:type="paragraph" w:styleId="911">
    <w:name w:val="toc 9"/>
    <w:basedOn w:val="914"/>
    <w:next w:val="914"/>
    <w:uiPriority w:val="39"/>
    <w:unhideWhenUsed/>
    <w:pPr>
      <w:ind w:left="2268" w:right="0" w:firstLine="0"/>
      <w:spacing w:after="57"/>
    </w:pPr>
  </w:style>
  <w:style w:type="paragraph" w:styleId="912">
    <w:name w:val="TOC Heading"/>
    <w:uiPriority w:val="39"/>
    <w:unhideWhenUsed/>
  </w:style>
  <w:style w:type="paragraph" w:styleId="913">
    <w:name w:val="table of figures"/>
    <w:basedOn w:val="914"/>
    <w:next w:val="914"/>
    <w:uiPriority w:val="99"/>
    <w:unhideWhenUsed/>
    <w:pPr>
      <w:spacing w:after="0" w:afterAutospacing="0"/>
    </w:pPr>
  </w:style>
  <w:style w:type="paragraph" w:styleId="914" w:default="1">
    <w:name w:val="Normal"/>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915">
    <w:name w:val="Heading 1"/>
    <w:basedOn w:val="914"/>
    <w:next w:val="914"/>
    <w:uiPriority w:val="0"/>
    <w:qFormat/>
    <w:pPr>
      <w:ind w:firstLine="0"/>
      <w:jc w:val="center"/>
      <w:keepLines/>
      <w:keepNext/>
      <w:spacing w:after="100" w:line="240" w:lineRule="auto"/>
      <w:outlineLvl w:val="0"/>
    </w:pPr>
    <w:rPr>
      <w:b/>
      <w:sz w:val="44"/>
    </w:rPr>
  </w:style>
  <w:style w:type="paragraph" w:styleId="916">
    <w:name w:val="Heading 2"/>
    <w:basedOn w:val="914"/>
    <w:next w:val="914"/>
    <w:uiPriority w:val="0"/>
    <w:unhideWhenUsed/>
    <w:qFormat/>
    <w:pPr>
      <w:keepLines/>
      <w:keepNext/>
      <w:outlineLvl w:val="1"/>
    </w:pPr>
    <w:rPr>
      <w:rFonts w:ascii="Arial" w:hAnsi="Arial"/>
      <w:b/>
    </w:rPr>
  </w:style>
  <w:style w:type="paragraph" w:styleId="917">
    <w:name w:val="Heading 4"/>
    <w:basedOn w:val="914"/>
    <w:next w:val="914"/>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918" w:default="1">
    <w:name w:val="Default Paragraph Font"/>
    <w:uiPriority w:val="1"/>
    <w:semiHidden/>
    <w:unhideWhenUsed/>
    <w:qFormat/>
  </w:style>
  <w:style w:type="table" w:styleId="919" w:default="1">
    <w:name w:val="Normal Table"/>
    <w:uiPriority w:val="99"/>
    <w:semiHidden/>
    <w:unhideWhenUsed/>
    <w:qFormat/>
    <w:tblPr>
      <w:tblCellMar>
        <w:left w:w="108" w:type="dxa"/>
        <w:top w:w="0" w:type="dxa"/>
        <w:right w:w="108" w:type="dxa"/>
        <w:bottom w:w="0" w:type="dxa"/>
      </w:tblCellMar>
    </w:tblPr>
  </w:style>
  <w:style w:type="paragraph" w:styleId="920">
    <w:name w:val="Normal Indent"/>
    <w:basedOn w:val="914"/>
    <w:uiPriority w:val="99"/>
    <w:qFormat/>
    <w:rPr>
      <w:szCs w:val="20"/>
    </w:rPr>
  </w:style>
  <w:style w:type="paragraph" w:styleId="921">
    <w:name w:val="annotation text"/>
    <w:basedOn w:val="914"/>
    <w:link w:val="936"/>
    <w:uiPriority w:val="0"/>
    <w:qFormat/>
  </w:style>
  <w:style w:type="paragraph" w:styleId="922">
    <w:name w:val="Body Text"/>
    <w:basedOn w:val="914"/>
    <w:link w:val="938"/>
    <w:uiPriority w:val="1"/>
    <w:qFormat/>
    <w:pPr>
      <w:ind w:firstLine="1044"/>
      <w:jc w:val="both"/>
      <w:spacing w:before="100" w:after="100" w:line="300" w:lineRule="auto"/>
    </w:pPr>
    <w:rPr>
      <w:rFonts w:cs="Times New Roman"/>
    </w:rPr>
  </w:style>
  <w:style w:type="paragraph" w:styleId="923">
    <w:name w:val="Body Text Indent"/>
    <w:basedOn w:val="914"/>
    <w:uiPriority w:val="99"/>
    <w:qFormat/>
    <w:pPr>
      <w:ind w:left="420"/>
      <w:spacing w:after="120"/>
    </w:pPr>
  </w:style>
  <w:style w:type="paragraph" w:styleId="924">
    <w:name w:val="Footer"/>
    <w:basedOn w:val="914"/>
    <w:uiPriority w:val="0"/>
    <w:qFormat/>
    <w:pPr>
      <w:tabs>
        <w:tab w:val="center" w:pos="4153" w:leader="none"/>
        <w:tab w:val="right" w:pos="8306" w:leader="none"/>
      </w:tabs>
    </w:pPr>
    <w:rPr>
      <w:sz w:val="18"/>
    </w:rPr>
  </w:style>
  <w:style w:type="paragraph" w:styleId="925">
    <w:name w:val="Header"/>
    <w:basedOn w:val="91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26">
    <w:name w:val="Normal (Web)"/>
    <w:basedOn w:val="914"/>
    <w:uiPriority w:val="0"/>
    <w:qFormat/>
    <w:pPr>
      <w:spacing w:beforeAutospacing="1" w:afterAutospacing="1"/>
    </w:pPr>
    <w:rPr>
      <w:rFonts w:cs="Times New Roman"/>
    </w:rPr>
  </w:style>
  <w:style w:type="paragraph" w:styleId="927">
    <w:name w:val="annotation subject"/>
    <w:basedOn w:val="921"/>
    <w:next w:val="921"/>
    <w:link w:val="937"/>
    <w:uiPriority w:val="0"/>
    <w:qFormat/>
    <w:rPr>
      <w:b/>
      <w:bCs/>
    </w:rPr>
  </w:style>
  <w:style w:type="table" w:styleId="928">
    <w:name w:val="Table Grid"/>
    <w:basedOn w:val="9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9">
    <w:name w:val="Strong"/>
    <w:basedOn w:val="918"/>
    <w:uiPriority w:val="0"/>
    <w:qFormat/>
    <w:rPr>
      <w:b/>
    </w:rPr>
  </w:style>
  <w:style w:type="character" w:styleId="930">
    <w:name w:val="Emphasis"/>
    <w:uiPriority w:val="20"/>
    <w:qFormat/>
    <w:rPr>
      <w:b/>
      <w:i/>
      <w:spacing w:val="10"/>
      <w:shd w:val="clear" w:color="auto" w:fill="auto"/>
    </w:rPr>
  </w:style>
  <w:style w:type="character" w:styleId="931">
    <w:name w:val="annotation reference"/>
    <w:uiPriority w:val="0"/>
    <w:qFormat/>
    <w:rPr>
      <w:sz w:val="21"/>
      <w:szCs w:val="21"/>
    </w:rPr>
  </w:style>
  <w:style w:type="paragraph" w:styleId="932" w:customStyle="1">
    <w:name w:val="章节标题"/>
    <w:next w:val="914"/>
    <w:uiPriority w:val="0"/>
    <w:qFormat/>
    <w:pPr>
      <w:jc w:val="center"/>
      <w:spacing w:before="240" w:after="240"/>
      <w:widowControl w:val="off"/>
      <w:outlineLvl w:val="0"/>
    </w:pPr>
    <w:rPr>
      <w:rFonts w:ascii="Times New Roman" w:hAnsi="Times New Roman" w:eastAsia="黑体" w:cs="Times New Roman"/>
      <w:sz w:val="32"/>
      <w:szCs w:val="36"/>
      <w:lang w:val="en-US" w:eastAsia="zh-CN" w:bidi="ar-SA"/>
    </w:rPr>
  </w:style>
  <w:style w:type="paragraph" w:styleId="933" w:customStyle="1">
    <w:name w:val="彩色列表 - 强调文字颜色 11"/>
    <w:uiPriority w:val="0"/>
    <w:qFormat/>
    <w:pPr>
      <w:contextualSpacing/>
      <w:ind w:left="720"/>
      <w:spacing w:before="100" w:after="100" w:line="276" w:lineRule="auto"/>
    </w:pPr>
    <w:rPr>
      <w:rFonts w:ascii="Arial" w:hAnsi="Arial" w:eastAsia="微软雅黑" w:cs="Arial"/>
      <w:color w:val="0f0f0f"/>
      <w:lang w:val="en-US" w:eastAsia="en-US" w:bidi="ar-SA"/>
    </w:rPr>
  </w:style>
  <w:style w:type="paragraph" w:styleId="934" w:customStyle="1">
    <w:name w:val="Default"/>
    <w:uiPriority w:val="0"/>
    <w:qFormat/>
    <w:pPr>
      <w:widowControl w:val="off"/>
    </w:pPr>
    <w:rPr>
      <w:rFonts w:ascii="宋体" w:hAnsi="Times New Roman" w:eastAsia="宋体" w:cs="宋体"/>
      <w:color w:val="000000"/>
      <w:sz w:val="24"/>
      <w:szCs w:val="24"/>
      <w:lang w:val="en-US" w:eastAsia="zh-CN" w:bidi="ar-SA"/>
    </w:rPr>
  </w:style>
  <w:style w:type="table" w:styleId="935" w:customStyle="1">
    <w:name w:val="Table Normal"/>
    <w:uiPriority w:val="0"/>
    <w:semiHidden/>
    <w:unhideWhenUsed/>
    <w:qFormat/>
    <w:tblPr>
      <w:tblCellMar>
        <w:left w:w="0" w:type="dxa"/>
        <w:top w:w="0" w:type="dxa"/>
        <w:right w:w="0" w:type="dxa"/>
        <w:bottom w:w="0" w:type="dxa"/>
      </w:tblCellMar>
    </w:tblPr>
  </w:style>
  <w:style w:type="character" w:styleId="936" w:customStyle="1">
    <w:name w:val="批注文字 字符"/>
    <w:basedOn w:val="918"/>
    <w:link w:val="921"/>
    <w:uiPriority w:val="0"/>
    <w:qFormat/>
    <w:rPr>
      <w:rFonts w:cstheme="minorBidi"/>
      <w:sz w:val="24"/>
      <w:szCs w:val="24"/>
    </w:rPr>
  </w:style>
  <w:style w:type="character" w:styleId="937" w:customStyle="1">
    <w:name w:val="批注主题 字符"/>
    <w:basedOn w:val="936"/>
    <w:link w:val="927"/>
    <w:uiPriority w:val="0"/>
    <w:qFormat/>
    <w:rPr>
      <w:rFonts w:cstheme="minorBidi"/>
      <w:b/>
      <w:bCs/>
      <w:sz w:val="24"/>
      <w:szCs w:val="24"/>
    </w:rPr>
  </w:style>
  <w:style w:type="character" w:styleId="938" w:customStyle="1">
    <w:name w:val="正文文本 字符"/>
    <w:basedOn w:val="918"/>
    <w:link w:val="922"/>
    <w:uiPriority w:val="1"/>
    <w:qFormat/>
    <w:rPr>
      <w:sz w:val="24"/>
      <w:szCs w:val="24"/>
    </w:rPr>
  </w:style>
  <w:style w:type="numbering" w:styleId="9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73CDF438-55E1-4207-A48C-A662C10E403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17</cp:revision>
  <dcterms:created xsi:type="dcterms:W3CDTF">2025-06-29T07:27:00Z</dcterms:created>
  <dcterms:modified xsi:type="dcterms:W3CDTF">2026-09-08T08:29:42Z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621F3A38F22E41DAB2E680CB1D10722F_13</vt:lpwstr>
  </property>
  <property fmtid="{D5CDD505-2E9C-101B-9397-08002B2CF9AE}" pid="4" name="KSOTemplateDocerSaveRecord">
    <vt:lpwstr>eyJoZGlkIjoiZGI4OGE1MzAzZDVmOTFjNmE2ZjdjMjE4MWFmMWJkZTAiLCJ1c2VySWQiOiIxMTc5MTU0ODc0In0=</vt:lpwstr>
  </property>
</Properties>
</file>