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3"/>
        <w:jc w:val="center"/>
        <w:spacing w:line="360" w:lineRule="auto"/>
        <w:rPr>
          <w:rFonts w:hint="eastAsia" w:ascii="宋体" w:hAnsi="宋体" w:cs="宋体"/>
          <w:highlight w:val="none"/>
        </w:rPr>
      </w:pPr>
      <w:r>
        <w:rPr>
          <w:rFonts w:hint="eastAsia" w:ascii="宋体" w:hAnsi="宋体" w:cs="宋体"/>
          <w:highlight w:val="none"/>
        </w:rPr>
      </w:r>
      <w:r/>
    </w:p>
    <w:p>
      <w:pPr>
        <w:pStyle w:val="1120"/>
        <w:ind w:firstLine="0"/>
        <w:jc w:val="center"/>
        <w:rPr>
          <w:rFonts w:hint="eastAsia" w:ascii="宋体" w:hAnsi="宋体" w:cs="宋体"/>
          <w:b/>
          <w:bCs/>
          <w:sz w:val="84"/>
          <w:szCs w:val="84"/>
          <w:highlight w:val="none"/>
        </w:rPr>
      </w:pPr>
      <w:r>
        <w:rPr>
          <w:rFonts w:hint="eastAsia" w:ascii="宋体" w:hAnsi="宋体" w:cs="宋体"/>
          <w:b/>
          <w:bCs/>
          <w:sz w:val="84"/>
          <w:szCs w:val="84"/>
          <w:highlight w:val="none"/>
        </w:rPr>
      </w:r>
      <w:r/>
    </w:p>
    <w:p>
      <w:pPr>
        <w:pStyle w:val="1120"/>
        <w:ind w:firstLine="0"/>
        <w:jc w:val="center"/>
        <w:rPr>
          <w:rFonts w:hint="eastAsia" w:ascii="宋体" w:hAnsi="宋体" w:cs="宋体"/>
          <w:b/>
          <w:bCs/>
          <w:sz w:val="84"/>
          <w:szCs w:val="84"/>
          <w:highlight w:val="none"/>
        </w:rPr>
      </w:pPr>
      <w:r>
        <w:rPr>
          <w:rFonts w:hint="eastAsia" w:ascii="宋体" w:hAnsi="宋体" w:cs="宋体"/>
          <w:b/>
          <w:bCs/>
          <w:sz w:val="96"/>
          <w:szCs w:val="96"/>
          <w:highlight w:val="none"/>
        </w:rPr>
        <w:t xml:space="preserve">招　标　文　件</w:t>
      </w:r>
      <w:r>
        <w:rPr>
          <w:rFonts w:hint="eastAsia" w:ascii="宋体" w:hAnsi="宋体" w:cs="宋体"/>
          <w:b/>
          <w:bCs/>
          <w:sz w:val="84"/>
          <w:szCs w:val="84"/>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spacing w:line="600" w:lineRule="auto"/>
        <w:rPr>
          <w:rFonts w:hint="eastAsia" w:ascii="宋体" w:hAnsi="宋体" w:eastAsia="宋体" w:cs="宋体"/>
          <w:b/>
          <w:bCs/>
          <w:sz w:val="36"/>
          <w:szCs w:val="36"/>
          <w:highlight w:val="none"/>
          <w:lang w:eastAsia="zh-CN"/>
        </w:rPr>
      </w:pPr>
      <w:r/>
      <w:bookmarkStart w:id="0" w:name="OLE_LINK18"/>
      <w:r>
        <w:rPr>
          <w:rFonts w:hint="eastAsia" w:ascii="宋体" w:hAnsi="宋体" w:cs="宋体"/>
          <w:b/>
          <w:bCs/>
          <w:sz w:val="36"/>
          <w:szCs w:val="36"/>
          <w:highlight w:val="none"/>
        </w:rPr>
        <w:t xml:space="preserve">   项目名称：</w:t>
      </w:r>
      <w:r>
        <w:rPr>
          <w:rFonts w:hint="eastAsia" w:ascii="宋体" w:hAnsi="宋体" w:cs="宋体"/>
          <w:b/>
          <w:bCs/>
          <w:sz w:val="36"/>
          <w:szCs w:val="36"/>
          <w:highlight w:val="none"/>
          <w:u w:val="single"/>
          <w:lang w:eastAsia="zh-CN"/>
        </w:rPr>
        <w:t xml:space="preserve">南京林业大学业余自考助学线下服务采购项目</w:t>
      </w:r>
      <w:r>
        <w:rPr>
          <w:rFonts w:hint="eastAsia" w:ascii="宋体" w:hAnsi="宋体" w:eastAsia="宋体" w:cs="宋体"/>
          <w:b/>
          <w:bCs/>
          <w:sz w:val="36"/>
          <w:szCs w:val="36"/>
          <w:highlight w:val="none"/>
          <w:lang w:eastAsia="zh-CN"/>
        </w:rPr>
      </w:r>
      <w:r/>
    </w:p>
    <w:p>
      <w:pPr>
        <w:pStyle w:val="1120"/>
        <w:ind w:firstLine="1807"/>
        <w:jc w:val="both"/>
        <w:spacing w:line="600" w:lineRule="auto"/>
        <w:rPr>
          <w:rFonts w:hint="eastAsia" w:ascii="宋体" w:hAnsi="宋体" w:eastAsia="宋体" w:cs="宋体"/>
          <w:b/>
          <w:bCs/>
          <w:sz w:val="36"/>
          <w:szCs w:val="36"/>
          <w:highlight w:val="none"/>
          <w:u w:val="single"/>
          <w:lang w:eastAsia="zh-CN"/>
        </w:rPr>
      </w:pPr>
      <w:r>
        <w:rPr>
          <w:rFonts w:hint="eastAsia" w:ascii="宋体" w:hAnsi="宋体" w:cs="宋体"/>
          <w:b/>
          <w:bCs/>
          <w:sz w:val="36"/>
          <w:szCs w:val="36"/>
          <w:highlight w:val="none"/>
        </w:rPr>
        <w:t xml:space="preserve">项目编号：</w:t>
      </w:r>
      <w:r>
        <w:rPr>
          <w:rFonts w:hint="eastAsia" w:ascii="宋体" w:hAnsi="宋体" w:cs="宋体"/>
          <w:b/>
          <w:bCs/>
          <w:sz w:val="28"/>
          <w:szCs w:val="28"/>
          <w:highlight w:val="none"/>
          <w:u w:val="single"/>
          <w:lang w:eastAsia="zh-CN"/>
        </w:rPr>
        <w:t xml:space="preserve">JSZC-320000-DCXG-G2026-0021</w:t>
      </w:r>
      <w:r>
        <w:rPr>
          <w:rFonts w:hint="eastAsia" w:ascii="宋体" w:hAnsi="宋体" w:eastAsia="宋体" w:cs="宋体"/>
          <w:b/>
          <w:bCs/>
          <w:sz w:val="36"/>
          <w:szCs w:val="36"/>
          <w:highlight w:val="none"/>
          <w:u w:val="single"/>
          <w:lang w:eastAsia="zh-CN"/>
        </w:rPr>
      </w:r>
      <w:r/>
    </w:p>
    <w:p>
      <w:pPr>
        <w:pStyle w:val="1120"/>
        <w:ind w:firstLine="0"/>
        <w:jc w:val="center"/>
        <w:rPr>
          <w:rFonts w:hint="eastAsia" w:ascii="宋体" w:hAnsi="宋体" w:cs="宋体"/>
          <w:b/>
          <w:bCs/>
          <w:sz w:val="36"/>
          <w:szCs w:val="36"/>
          <w:highlight w:val="none"/>
        </w:rPr>
      </w:pPr>
      <w:r/>
      <w:bookmarkEnd w:id="0"/>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0"/>
        <w:jc w:val="center"/>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20"/>
        <w:ind w:firstLine="1928"/>
        <w:jc w:val="both"/>
        <w:rPr>
          <w:rFonts w:hint="eastAsia" w:ascii="宋体" w:hAnsi="宋体" w:cs="宋体"/>
          <w:b/>
          <w:bCs/>
          <w:sz w:val="32"/>
          <w:szCs w:val="32"/>
          <w:highlight w:val="none"/>
        </w:rPr>
      </w:pPr>
      <w:r>
        <w:rPr>
          <w:rFonts w:hint="eastAsia" w:ascii="宋体" w:hAnsi="宋体" w:cs="宋体"/>
          <w:b/>
          <w:bCs/>
          <w:sz w:val="32"/>
          <w:szCs w:val="32"/>
          <w:highlight w:val="none"/>
        </w:rPr>
        <w:t xml:space="preserve">采 购 人：南京林业大学</w:t>
      </w:r>
      <w:r>
        <w:rPr>
          <w:rFonts w:hint="eastAsia" w:ascii="宋体" w:hAnsi="宋体" w:cs="宋体"/>
          <w:b/>
          <w:bCs/>
          <w:sz w:val="32"/>
          <w:szCs w:val="32"/>
          <w:highlight w:val="none"/>
        </w:rPr>
      </w:r>
      <w:r/>
    </w:p>
    <w:p>
      <w:pPr>
        <w:pStyle w:val="1120"/>
        <w:ind w:firstLine="1928"/>
        <w:jc w:val="both"/>
        <w:rPr>
          <w:rFonts w:hint="eastAsia" w:ascii="宋体" w:hAnsi="宋体" w:cs="宋体"/>
          <w:b/>
          <w:bCs/>
          <w:sz w:val="32"/>
          <w:szCs w:val="32"/>
          <w:highlight w:val="none"/>
        </w:rPr>
      </w:pPr>
      <w:r>
        <w:rPr>
          <w:rFonts w:hint="eastAsia" w:ascii="宋体" w:hAnsi="宋体" w:cs="宋体"/>
          <w:b/>
          <w:bCs/>
          <w:sz w:val="32"/>
          <w:szCs w:val="32"/>
          <w:highlight w:val="none"/>
        </w:rPr>
        <w:t xml:space="preserve">代理机构：南京达琛鑫工程咨询有限公司</w:t>
      </w:r>
      <w:r>
        <w:rPr>
          <w:rFonts w:hint="eastAsia" w:ascii="宋体" w:hAnsi="宋体" w:cs="宋体"/>
          <w:b/>
          <w:bCs/>
          <w:sz w:val="32"/>
          <w:szCs w:val="32"/>
          <w:highlight w:val="none"/>
        </w:rPr>
      </w:r>
      <w:r/>
    </w:p>
    <w:p>
      <w:pPr>
        <w:pStyle w:val="1120"/>
        <w:ind w:firstLine="0"/>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二 ○ 二 </w:t>
      </w:r>
      <w:r>
        <w:rPr>
          <w:rFonts w:hint="eastAsia" w:ascii="宋体" w:hAnsi="宋体" w:cs="宋体"/>
          <w:b/>
          <w:bCs/>
          <w:sz w:val="32"/>
          <w:szCs w:val="32"/>
          <w:highlight w:val="none"/>
        </w:rPr>
        <w:tab/>
      </w:r>
      <w:r>
        <w:rPr>
          <w:rFonts w:hint="eastAsia" w:ascii="宋体" w:hAnsi="宋体" w:cs="宋体"/>
          <w:b/>
          <w:bCs/>
          <w:sz w:val="32"/>
          <w:szCs w:val="32"/>
          <w:highlight w:val="none"/>
        </w:rPr>
        <w:t xml:space="preserve">六</w:t>
      </w:r>
      <w:r>
        <w:rPr>
          <w:rFonts w:hint="eastAsia" w:ascii="宋体" w:hAnsi="宋体" w:cs="宋体"/>
          <w:b/>
          <w:bCs/>
          <w:sz w:val="32"/>
          <w:szCs w:val="32"/>
          <w:highlight w:val="none"/>
          <w:lang w:val="en-US" w:eastAsia="zh-CN"/>
        </w:rPr>
        <w:t xml:space="preserve"> </w:t>
      </w:r>
      <w:r>
        <w:rPr>
          <w:rFonts w:hint="eastAsia" w:ascii="宋体" w:hAnsi="宋体" w:cs="宋体"/>
          <w:b/>
          <w:bCs/>
          <w:sz w:val="32"/>
          <w:szCs w:val="32"/>
          <w:highlight w:val="none"/>
        </w:rPr>
        <w:t xml:space="preserve"> 年 </w:t>
      </w:r>
      <w:r>
        <w:rPr>
          <w:rFonts w:hint="eastAsia" w:ascii="宋体" w:hAnsi="宋体" w:cs="宋体"/>
          <w:b/>
          <w:bCs/>
          <w:sz w:val="32"/>
          <w:szCs w:val="32"/>
          <w:highlight w:val="none"/>
          <w:lang w:val="en-US" w:eastAsia="zh-CN"/>
        </w:rPr>
        <w:t xml:space="preserve">八 </w:t>
      </w:r>
      <w:r>
        <w:rPr>
          <w:rFonts w:hint="eastAsia" w:ascii="宋体" w:hAnsi="宋体" w:cs="宋体"/>
          <w:b/>
          <w:bCs/>
          <w:sz w:val="32"/>
          <w:szCs w:val="32"/>
          <w:highlight w:val="none"/>
        </w:rPr>
        <w:t xml:space="preserve">月</w:t>
      </w:r>
      <w:r>
        <w:rPr>
          <w:rFonts w:hint="eastAsia" w:ascii="宋体" w:hAnsi="宋体" w:cs="宋体"/>
          <w:b/>
          <w:bCs/>
          <w:sz w:val="32"/>
          <w:szCs w:val="32"/>
          <w:highlight w:val="none"/>
        </w:rPr>
      </w:r>
      <w:r/>
    </w:p>
    <w:p>
      <w:pPr>
        <w:pStyle w:val="1096"/>
        <w:ind w:firstLine="0"/>
        <w:jc w:val="both"/>
        <w:spacing w:line="360" w:lineRule="auto"/>
        <w:tabs>
          <w:tab w:val="clear" w:pos="8720" w:leader="none"/>
        </w:tabs>
        <w:rPr>
          <w:rFonts w:hint="eastAsia"/>
          <w:b/>
          <w:bCs/>
          <w:sz w:val="36"/>
          <w:szCs w:val="36"/>
          <w:highlight w:val="none"/>
        </w:rPr>
      </w:pPr>
      <w:r>
        <w:rPr>
          <w:rFonts w:hint="eastAsia"/>
          <w:b/>
          <w:bCs/>
          <w:sz w:val="36"/>
          <w:szCs w:val="36"/>
          <w:highlight w:val="none"/>
        </w:rPr>
        <w:br w:type="page" w:clear="all"/>
      </w:r>
      <w:r>
        <w:rPr>
          <w:rFonts w:hint="eastAsia"/>
          <w:b/>
          <w:bCs/>
          <w:sz w:val="36"/>
          <w:szCs w:val="36"/>
          <w:highlight w:val="none"/>
        </w:rPr>
      </w:r>
      <w:r/>
    </w:p>
    <w:p>
      <w:pPr>
        <w:pStyle w:val="1063"/>
        <w:ind w:firstLine="640"/>
        <w:jc w:val="center"/>
        <w:spacing w:line="360" w:lineRule="auto"/>
        <w:rPr>
          <w:rFonts w:hint="eastAsia" w:ascii="宋体" w:hAnsi="宋体" w:cs="宋体"/>
          <w:sz w:val="32"/>
          <w:szCs w:val="32"/>
          <w:highlight w:val="none"/>
        </w:rPr>
      </w:pPr>
      <w:r>
        <w:rPr>
          <w:rFonts w:hint="eastAsia" w:ascii="宋体" w:hAnsi="宋体" w:cs="宋体"/>
          <w:sz w:val="32"/>
          <w:szCs w:val="32"/>
          <w:highlight w:val="none"/>
        </w:rPr>
        <w:t xml:space="preserve">目录</w:t>
      </w:r>
      <w:r>
        <w:rPr>
          <w:rFonts w:hint="eastAsia" w:ascii="宋体" w:hAnsi="宋体" w:cs="宋体"/>
          <w:sz w:val="32"/>
          <w:szCs w:val="32"/>
          <w:highlight w:val="none"/>
        </w:rPr>
      </w:r>
      <w:r/>
    </w:p>
    <w:p>
      <w:pPr>
        <w:pStyle w:val="1096"/>
        <w:tabs>
          <w:tab w:val="right" w:pos="9400" w:leader="dot"/>
        </w:tabs>
        <w:rPr>
          <w:highlight w:val="none"/>
        </w:rPr>
      </w:pPr>
      <w:r>
        <w:rPr>
          <w:rFonts w:hint="eastAsia"/>
          <w:highlight w:val="none"/>
        </w:rPr>
        <w:fldChar w:fldCharType="begin"/>
      </w:r>
      <w:r>
        <w:rPr>
          <w:rFonts w:hint="eastAsia"/>
          <w:highlight w:val="none"/>
        </w:rPr>
        <w:instrText xml:space="preserve">TOC \o "1-1" \h \u </w:instrText>
      </w:r>
      <w:r>
        <w:rPr>
          <w:rFonts w:hint="eastAsia"/>
          <w:highlight w:val="none"/>
        </w:rPr>
        <w:fldChar w:fldCharType="separate"/>
      </w:r>
      <w:r>
        <w:rPr>
          <w:rFonts w:hint="eastAsia" w:ascii="宋体" w:hAnsi="宋体" w:cs="宋体"/>
          <w:highlight w:val="none"/>
        </w:rPr>
        <w:fldChar w:fldCharType="begin"/>
      </w:r>
      <w:r>
        <w:rPr>
          <w:rFonts w:hint="eastAsia" w:ascii="宋体" w:hAnsi="宋体" w:cs="宋体"/>
          <w:highlight w:val="none"/>
        </w:rPr>
        <w:instrText xml:space="preserve"> HYPERLINK \l _Toc8016 </w:instrText>
      </w:r>
      <w:r>
        <w:rPr>
          <w:rFonts w:hint="eastAsia" w:ascii="宋体" w:hAnsi="宋体" w:cs="宋体"/>
          <w:highlight w:val="none"/>
        </w:rPr>
        <w:fldChar w:fldCharType="separate"/>
      </w:r>
      <w:r>
        <w:rPr>
          <w:rFonts w:hint="eastAsia"/>
          <w:bCs/>
          <w:highlight w:val="none"/>
        </w:rPr>
        <w:t xml:space="preserve">第一章  投标邀请（招标公告）</w:t>
      </w:r>
      <w:r>
        <w:rPr>
          <w:highlight w:val="none"/>
        </w:rPr>
        <w:tab/>
      </w:r>
      <w:r>
        <w:rPr>
          <w:highlight w:val="none"/>
        </w:rPr>
        <w:fldChar w:fldCharType="begin"/>
      </w:r>
      <w:r>
        <w:rPr>
          <w:highlight w:val="none"/>
        </w:rPr>
        <w:instrText xml:space="preserve"> PAGEREF _Toc8016 \h </w:instrText>
      </w:r>
      <w:r>
        <w:rPr>
          <w:highlight w:val="none"/>
        </w:rPr>
        <w:fldChar w:fldCharType="separate"/>
      </w:r>
      <w:r>
        <w:rPr>
          <w:highlight w:val="none"/>
        </w:rPr>
        <w:t xml:space="preserve">1</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_Toc145 </w:instrText>
      </w:r>
      <w:r>
        <w:rPr>
          <w:rFonts w:hint="eastAsia" w:ascii="宋体" w:hAnsi="宋体" w:cs="宋体"/>
          <w:highlight w:val="none"/>
        </w:rPr>
        <w:fldChar w:fldCharType="separate"/>
      </w:r>
      <w:r>
        <w:rPr>
          <w:rFonts w:hint="eastAsia"/>
          <w:bCs/>
          <w:highlight w:val="none"/>
        </w:rPr>
        <w:t xml:space="preserve">第二章  投标人须知</w:t>
      </w:r>
      <w:r>
        <w:rPr>
          <w:highlight w:val="none"/>
        </w:rPr>
        <w:tab/>
      </w:r>
      <w:r>
        <w:rPr>
          <w:highlight w:val="none"/>
        </w:rPr>
        <w:fldChar w:fldCharType="begin"/>
      </w:r>
      <w:r>
        <w:rPr>
          <w:highlight w:val="none"/>
        </w:rPr>
        <w:instrText xml:space="preserve"> PAGEREF _Toc145 \h </w:instrText>
      </w:r>
      <w:r>
        <w:rPr>
          <w:highlight w:val="none"/>
        </w:rPr>
        <w:fldChar w:fldCharType="separate"/>
      </w:r>
      <w:r>
        <w:rPr>
          <w:highlight w:val="none"/>
        </w:rPr>
        <w:t xml:space="preserve">5</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_Toc21793 </w:instrText>
      </w:r>
      <w:r>
        <w:rPr>
          <w:rFonts w:hint="eastAsia" w:ascii="宋体" w:hAnsi="宋体" w:cs="宋体"/>
          <w:highlight w:val="none"/>
        </w:rPr>
        <w:fldChar w:fldCharType="separate"/>
      </w:r>
      <w:r>
        <w:rPr>
          <w:rFonts w:hint="eastAsia" w:ascii="宋体" w:hAnsi="宋体" w:eastAsia="宋体" w:cs="宋体"/>
          <w:bCs/>
          <w:szCs w:val="44"/>
          <w:highlight w:val="none"/>
        </w:rPr>
        <w:t xml:space="preserve">第三章  合同条款及格式</w:t>
      </w:r>
      <w:r>
        <w:rPr>
          <w:highlight w:val="none"/>
        </w:rPr>
        <w:tab/>
      </w:r>
      <w:r>
        <w:rPr>
          <w:highlight w:val="none"/>
        </w:rPr>
        <w:fldChar w:fldCharType="begin"/>
      </w:r>
      <w:r>
        <w:rPr>
          <w:highlight w:val="none"/>
        </w:rPr>
        <w:instrText xml:space="preserve"> PAGEREF _Toc21793 \h </w:instrText>
      </w:r>
      <w:r>
        <w:rPr>
          <w:highlight w:val="none"/>
        </w:rPr>
        <w:fldChar w:fldCharType="separate"/>
      </w:r>
      <w:r>
        <w:rPr>
          <w:highlight w:val="none"/>
        </w:rPr>
        <w:t xml:space="preserve">18</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_Toc19304 </w:instrText>
      </w:r>
      <w:r>
        <w:rPr>
          <w:rFonts w:hint="eastAsia" w:ascii="宋体" w:hAnsi="宋体" w:cs="宋体"/>
          <w:highlight w:val="none"/>
        </w:rPr>
        <w:fldChar w:fldCharType="separate"/>
      </w:r>
      <w:r>
        <w:rPr>
          <w:rFonts w:hint="eastAsia" w:ascii="宋体" w:hAnsi="宋体" w:eastAsia="宋体" w:cs="宋体"/>
          <w:bCs/>
          <w:szCs w:val="44"/>
          <w:highlight w:val="none"/>
        </w:rPr>
        <w:t xml:space="preserve">第四章  项目需求</w:t>
      </w:r>
      <w:r>
        <w:rPr>
          <w:highlight w:val="none"/>
        </w:rPr>
        <w:tab/>
      </w:r>
      <w:r>
        <w:rPr>
          <w:highlight w:val="none"/>
        </w:rPr>
        <w:fldChar w:fldCharType="begin"/>
      </w:r>
      <w:r>
        <w:rPr>
          <w:highlight w:val="none"/>
        </w:rPr>
        <w:instrText xml:space="preserve"> PAGEREF _Toc19304 \h </w:instrText>
      </w:r>
      <w:r>
        <w:rPr>
          <w:highlight w:val="none"/>
        </w:rPr>
        <w:fldChar w:fldCharType="separate"/>
      </w:r>
      <w:r>
        <w:rPr>
          <w:highlight w:val="none"/>
        </w:rPr>
        <w:t xml:space="preserve">23</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_Toc13787 </w:instrText>
      </w:r>
      <w:r>
        <w:rPr>
          <w:rFonts w:hint="eastAsia" w:ascii="宋体" w:hAnsi="宋体" w:cs="宋体"/>
          <w:highlight w:val="none"/>
        </w:rPr>
        <w:fldChar w:fldCharType="separate"/>
      </w:r>
      <w:r>
        <w:rPr>
          <w:rFonts w:hint="eastAsia" w:ascii="宋体" w:hAnsi="宋体" w:eastAsia="宋体" w:cs="宋体"/>
          <w:highlight w:val="none"/>
        </w:rPr>
        <w:t xml:space="preserve">第五章  评标方法与评标标准</w:t>
      </w:r>
      <w:r>
        <w:rPr>
          <w:highlight w:val="none"/>
        </w:rPr>
        <w:tab/>
      </w:r>
      <w:r>
        <w:rPr>
          <w:highlight w:val="none"/>
        </w:rPr>
        <w:fldChar w:fldCharType="begin"/>
      </w:r>
      <w:r>
        <w:rPr>
          <w:highlight w:val="none"/>
        </w:rPr>
        <w:instrText xml:space="preserve"> PAGEREF _Toc13787 \h </w:instrText>
      </w:r>
      <w:r>
        <w:rPr>
          <w:highlight w:val="none"/>
        </w:rPr>
        <w:fldChar w:fldCharType="separate"/>
      </w:r>
      <w:r>
        <w:rPr>
          <w:highlight w:val="none"/>
        </w:rPr>
        <w:t xml:space="preserve">29</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rFonts w:hint="eastAsia" w:ascii="宋体" w:hAnsi="宋体" w:cs="宋体"/>
          <w:highlight w:val="none"/>
        </w:rPr>
        <w:fldChar w:fldCharType="begin"/>
      </w:r>
      <w:r>
        <w:rPr>
          <w:rFonts w:hint="eastAsia" w:ascii="宋体" w:hAnsi="宋体" w:cs="宋体"/>
          <w:highlight w:val="none"/>
        </w:rPr>
        <w:instrText xml:space="preserve"> HYPERLINK \l _Toc21279 </w:instrText>
      </w:r>
      <w:r>
        <w:rPr>
          <w:rFonts w:hint="eastAsia" w:ascii="宋体" w:hAnsi="宋体" w:cs="宋体"/>
          <w:highlight w:val="none"/>
        </w:rPr>
        <w:fldChar w:fldCharType="separate"/>
      </w:r>
      <w:r>
        <w:rPr>
          <w:rFonts w:hint="eastAsia" w:ascii="宋体" w:hAnsi="宋体" w:eastAsia="宋体" w:cs="宋体"/>
          <w:bCs/>
          <w:szCs w:val="40"/>
          <w:highlight w:val="none"/>
        </w:rPr>
        <w:t xml:space="preserve">第六章  投标文件格式</w:t>
      </w:r>
      <w:r>
        <w:rPr>
          <w:highlight w:val="none"/>
        </w:rPr>
        <w:tab/>
      </w:r>
      <w:r>
        <w:rPr>
          <w:highlight w:val="none"/>
        </w:rPr>
        <w:fldChar w:fldCharType="begin"/>
      </w:r>
      <w:r>
        <w:rPr>
          <w:highlight w:val="none"/>
        </w:rPr>
        <w:instrText xml:space="preserve"> PAGEREF _Toc21279 \h </w:instrText>
      </w:r>
      <w:r>
        <w:rPr>
          <w:highlight w:val="none"/>
        </w:rPr>
        <w:fldChar w:fldCharType="separate"/>
      </w:r>
      <w:r>
        <w:rPr>
          <w:highlight w:val="none"/>
        </w:rPr>
        <w:t xml:space="preserve">34</w:t>
      </w:r>
      <w:r>
        <w:rPr>
          <w:highlight w:val="none"/>
        </w:rPr>
        <w:fldChar w:fldCharType="end"/>
      </w:r>
      <w:r>
        <w:rPr>
          <w:rFonts w:hint="eastAsia" w:ascii="宋体" w:hAnsi="宋体" w:cs="宋体"/>
          <w:highlight w:val="none"/>
        </w:rPr>
        <w:fldChar w:fldCharType="end"/>
      </w:r>
      <w:r>
        <w:rPr>
          <w:highlight w:val="none"/>
        </w:rPr>
      </w:r>
      <w:r/>
    </w:p>
    <w:p>
      <w:pPr>
        <w:pStyle w:val="1096"/>
        <w:tabs>
          <w:tab w:val="right" w:pos="9400" w:leader="dot"/>
        </w:tabs>
        <w:rPr>
          <w:highlight w:val="none"/>
        </w:rPr>
      </w:pPr>
      <w:r>
        <w:rPr>
          <w:highlight w:val="none"/>
        </w:rPr>
      </w:r>
      <w:r/>
    </w:p>
    <w:p>
      <w:pPr>
        <w:pStyle w:val="1063"/>
        <w:spacing w:line="360" w:lineRule="auto"/>
        <w:rPr>
          <w:rFonts w:hint="eastAsia" w:ascii="宋体" w:hAnsi="宋体" w:cs="宋体"/>
          <w:highlight w:val="none"/>
        </w:rPr>
      </w:pPr>
      <w:r>
        <w:rPr>
          <w:rFonts w:hint="eastAsia" w:ascii="宋体" w:hAnsi="宋体" w:cs="宋体"/>
          <w:highlight w:val="none"/>
        </w:rPr>
        <w:fldChar w:fldCharType="end"/>
      </w:r>
      <w:r>
        <w:rPr>
          <w:rFonts w:hint="eastAsia" w:ascii="宋体" w:hAnsi="宋体" w:cs="宋体"/>
          <w:highlight w:val="none"/>
        </w:rPr>
      </w:r>
      <w:r/>
    </w:p>
    <w:p>
      <w:pPr>
        <w:pStyle w:val="1096"/>
        <w:ind w:firstLine="0"/>
        <w:jc w:val="center"/>
        <w:pageBreakBefore/>
        <w:spacing w:before="0" w:after="0" w:line="360" w:lineRule="auto"/>
        <w:tabs>
          <w:tab w:val="clear" w:pos="8720" w:leader="none"/>
        </w:tabs>
        <w:rPr>
          <w:rFonts w:hint="eastAsia"/>
          <w:sz w:val="40"/>
          <w:highlight w:val="none"/>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253" w:right="1253" w:bottom="1253" w:left="1253" w:header="851" w:footer="992" w:gutter="0"/>
          <w:pgNumType w:start="1"/>
          <w:cols w:num="1" w:sep="0" w:space="1701" w:equalWidth="1"/>
          <w:docGrid w:linePitch="360"/>
        </w:sectPr>
        <w:outlineLvl w:val="0"/>
      </w:pPr>
      <w:r>
        <w:rPr>
          <w:rFonts w:hint="eastAsia"/>
          <w:sz w:val="40"/>
          <w:highlight w:val="none"/>
        </w:rPr>
      </w:r>
      <w:r/>
    </w:p>
    <w:p>
      <w:pPr>
        <w:pStyle w:val="1096"/>
        <w:ind w:firstLine="0"/>
        <w:jc w:val="center"/>
        <w:pageBreakBefore/>
        <w:spacing w:before="0" w:after="0" w:line="360" w:lineRule="auto"/>
        <w:tabs>
          <w:tab w:val="clear" w:pos="8720" w:leader="none"/>
        </w:tabs>
        <w:rPr>
          <w:rFonts w:hint="eastAsia"/>
          <w:b/>
          <w:bCs/>
          <w:sz w:val="40"/>
          <w:highlight w:val="none"/>
        </w:rPr>
        <w:outlineLvl w:val="0"/>
      </w:pPr>
      <w:r/>
      <w:bookmarkStart w:id="1" w:name="_Toc19432"/>
      <w:r/>
      <w:bookmarkStart w:id="2" w:name="_Toc996"/>
      <w:r/>
      <w:bookmarkStart w:id="3" w:name="_Toc10311"/>
      <w:r/>
      <w:bookmarkStart w:id="4" w:name="_Toc8881"/>
      <w:r/>
      <w:bookmarkStart w:id="5" w:name="_Toc7725"/>
      <w:r/>
      <w:bookmarkStart w:id="6" w:name="_Toc19635"/>
      <w:r/>
      <w:bookmarkStart w:id="7" w:name="_Toc24877"/>
      <w:r/>
      <w:bookmarkStart w:id="8" w:name="_Toc8016"/>
      <w:r/>
      <w:bookmarkStart w:id="9" w:name="_Toc23401"/>
      <w:r/>
      <w:bookmarkStart w:id="10" w:name="_Toc5560"/>
      <w:r/>
      <w:bookmarkStart w:id="11" w:name="_Toc29297"/>
      <w:r/>
      <w:bookmarkStart w:id="12" w:name="_Toc7300"/>
      <w:r/>
      <w:bookmarkStart w:id="13" w:name="_Toc2468"/>
      <w:r/>
      <w:bookmarkStart w:id="14" w:name="_Toc1225"/>
      <w:r>
        <w:rPr>
          <w:rFonts w:hint="eastAsia"/>
          <w:b/>
          <w:bCs/>
          <w:sz w:val="40"/>
          <w:highlight w:val="none"/>
        </w:rPr>
        <w:t xml:space="preserve">第一章  投标邀请</w:t>
      </w:r>
      <w:bookmarkEnd w:id="1"/>
      <w:r>
        <w:rPr>
          <w:rFonts w:hint="eastAsia"/>
          <w:b/>
          <w:bCs/>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Pr>
          <w:rFonts w:hint="eastAsia"/>
          <w:b/>
          <w:bCs/>
          <w:sz w:val="40"/>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spacing w:line="360" w:lineRule="auto"/>
        <w:rPr>
          <w:rFonts w:hint="eastAsia" w:ascii="宋体" w:hAnsi="宋体" w:cs="宋体"/>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cs="宋体"/>
          <w:b/>
          <w:bCs/>
          <w:sz w:val="24"/>
          <w:szCs w:val="24"/>
          <w:highlight w:val="none"/>
        </w:rPr>
        <w:t xml:space="preserve">项目概况：</w:t>
      </w:r>
      <w:r>
        <w:rPr>
          <w:rFonts w:hint="eastAsia" w:ascii="宋体" w:hAnsi="宋体" w:cs="宋体"/>
          <w:b/>
          <w:bCs/>
          <w:sz w:val="24"/>
          <w:szCs w:val="24"/>
          <w:highlight w:val="none"/>
          <w:u w:val="single"/>
          <w:lang w:eastAsia="zh-CN"/>
        </w:rPr>
        <w:t xml:space="preserve">南京林业大学业余自考助学线下服务采购项目</w:t>
      </w:r>
      <w:r>
        <w:rPr>
          <w:rFonts w:hint="eastAsia" w:ascii="宋体" w:hAnsi="宋体" w:cs="宋体"/>
          <w:sz w:val="24"/>
          <w:szCs w:val="24"/>
          <w:highlight w:val="none"/>
        </w:rPr>
        <w:t xml:space="preserve">的潜在投标人应在“苏采云”系统内下载（投标人必须在苏采云系统中获取采购文件，方能参与政府采购项目）获取招标文件，并于2026年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03</w:t>
      </w:r>
      <w:r>
        <w:rPr>
          <w:rFonts w:hint="eastAsia" w:ascii="宋体" w:hAnsi="宋体" w:cs="宋体"/>
          <w:sz w:val="24"/>
          <w:szCs w:val="24"/>
          <w:highlight w:val="none"/>
        </w:rPr>
        <w:t xml:space="preserve">日 14:00（北京时间）前上传电子投标文件。</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一、项目基本概况</w:t>
      </w:r>
      <w:r>
        <w:rPr>
          <w:rFonts w:hint="eastAsia" w:ascii="宋体" w:hAnsi="宋体" w:cs="宋体"/>
          <w:b/>
          <w:bCs/>
          <w:sz w:val="24"/>
          <w:szCs w:val="24"/>
          <w:highlight w:val="none"/>
        </w:rPr>
      </w:r>
      <w:r/>
    </w:p>
    <w:p>
      <w:pPr>
        <w:pStyle w:val="1063"/>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1、项目编号：</w:t>
      </w:r>
      <w:r>
        <w:rPr>
          <w:rFonts w:hint="eastAsia" w:ascii="宋体" w:hAnsi="宋体" w:cs="宋体"/>
          <w:sz w:val="24"/>
          <w:szCs w:val="24"/>
          <w:highlight w:val="none"/>
          <w:lang w:eastAsia="zh-CN"/>
        </w:rPr>
        <w:t xml:space="preserve">JSZC-320000-DCXG-G2026-0021</w:t>
      </w:r>
      <w:r>
        <w:rPr>
          <w:rFonts w:hint="eastAsia" w:ascii="宋体" w:hAnsi="宋体" w:eastAsia="宋体" w:cs="宋体"/>
          <w:sz w:val="24"/>
          <w:szCs w:val="24"/>
          <w:highlight w:val="none"/>
          <w:lang w:eastAsia="zh-CN"/>
        </w:rPr>
      </w:r>
      <w:r/>
    </w:p>
    <w:p>
      <w:pPr>
        <w:pStyle w:val="1063"/>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none"/>
        </w:rPr>
        <w:t xml:space="preserve">2、项目名称：</w:t>
      </w:r>
      <w:r>
        <w:rPr>
          <w:rFonts w:hint="eastAsia" w:ascii="宋体" w:hAnsi="宋体" w:cs="宋体"/>
          <w:sz w:val="24"/>
          <w:szCs w:val="24"/>
          <w:highlight w:val="none"/>
          <w:lang w:eastAsia="zh-CN"/>
        </w:rPr>
        <w:t xml:space="preserve">南京林业大学业余自考助学线下服务采购项目</w:t>
      </w:r>
      <w:r>
        <w:rPr>
          <w:rFonts w:hint="eastAsia" w:ascii="宋体" w:hAnsi="宋体" w:eastAsia="宋体" w:cs="宋体"/>
          <w:sz w:val="24"/>
          <w:szCs w:val="24"/>
          <w:highlight w:val="none"/>
          <w:lang w:eastAsia="zh-CN"/>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cs="宋体"/>
          <w:sz w:val="24"/>
          <w:szCs w:val="24"/>
          <w:highlight w:val="none"/>
        </w:rPr>
        <w:t xml:space="preserve">3、预算金额：人</w:t>
      </w:r>
      <w:r>
        <w:rPr>
          <w:rFonts w:hint="eastAsia" w:ascii="宋体" w:hAnsi="宋体" w:eastAsia="宋体" w:cs="宋体"/>
          <w:sz w:val="24"/>
          <w:szCs w:val="24"/>
          <w:highlight w:val="none"/>
        </w:rPr>
        <w:t xml:space="preserve">民币</w:t>
      </w:r>
      <w:r>
        <w:rPr>
          <w:rFonts w:hint="eastAsia" w:ascii="宋体" w:hAnsi="宋体" w:eastAsia="宋体" w:cs="宋体"/>
          <w:sz w:val="24"/>
          <w:szCs w:val="24"/>
          <w:highlight w:val="none"/>
          <w:lang w:val="en-US" w:eastAsia="zh-CN"/>
        </w:rPr>
        <w:t xml:space="preserve">522</w:t>
      </w:r>
      <w:r>
        <w:rPr>
          <w:rFonts w:hint="eastAsia" w:ascii="宋体" w:hAnsi="宋体" w:eastAsia="宋体" w:cs="宋体"/>
          <w:sz w:val="24"/>
          <w:szCs w:val="24"/>
          <w:highlight w:val="none"/>
        </w:rPr>
        <w:t xml:space="preserve">万元整</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分包一</w:t>
      </w:r>
      <w:r>
        <w:rPr>
          <w:rFonts w:hint="eastAsia" w:ascii="宋体" w:hAnsi="宋体" w:eastAsia="宋体" w:cs="宋体"/>
          <w:color w:val="000000"/>
          <w:sz w:val="24"/>
          <w:szCs w:val="24"/>
          <w:highlight w:val="none"/>
          <w:lang w:val="en-US" w:eastAsia="zh-CN"/>
        </w:rPr>
        <w:t xml:space="preserve">环境设计（本科）、汉语言文学（本科）、工商管理（本科）</w:t>
      </w:r>
      <w:r>
        <w:rPr>
          <w:rFonts w:hint="eastAsia" w:ascii="宋体" w:hAnsi="宋体" w:eastAsia="宋体" w:cs="宋体"/>
          <w:color w:val="000000"/>
          <w:sz w:val="24"/>
          <w:szCs w:val="24"/>
          <w:highlight w:val="none"/>
          <w:lang w:val="en-US" w:eastAsia="zh-CN"/>
        </w:rPr>
        <w:t xml:space="preserve">：人民币209万元整；</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分包二数字媒体艺术（本科）、会计学（本科）、广告学（本科）、艺术设计（专科）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人民币181万元整；</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分包三视觉传达设计（本科）、网络与新媒体（本科）、产品设计（本科）</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人民币132万元整；</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4、最高限价：</w:t>
      </w:r>
      <w:r>
        <w:rPr>
          <w:rFonts w:hint="eastAsia" w:ascii="宋体" w:hAnsi="宋体" w:eastAsia="宋体" w:cs="宋体"/>
          <w:bCs/>
          <w:color w:val="000000"/>
          <w:sz w:val="24"/>
          <w:szCs w:val="24"/>
          <w:highlight w:val="none"/>
        </w:rPr>
        <w:t xml:space="preserve">具体以实际招生数量为准</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投标报价超过采购预算为无效报价，按照无效投标处理。</w:t>
      </w:r>
      <w:r>
        <w:rPr>
          <w:rFonts w:hint="eastAsia" w:ascii="宋体" w:hAnsi="宋体" w:cs="宋体"/>
          <w:b/>
          <w:bCs/>
          <w:sz w:val="24"/>
          <w:szCs w:val="24"/>
          <w:highlight w:val="none"/>
        </w:rPr>
      </w:r>
      <w:r/>
    </w:p>
    <w:p>
      <w:pPr>
        <w:pStyle w:val="1063"/>
        <w:ind w:firstLine="482"/>
        <w:spacing w:line="360" w:lineRule="auto"/>
        <w:rPr>
          <w:rFonts w:hint="eastAsia" w:ascii="宋体" w:hAnsi="宋体" w:eastAsia="宋体" w:cs="宋体"/>
          <w:b/>
          <w:bCs/>
          <w:i w:val="0"/>
          <w:iCs w:val="0"/>
          <w:sz w:val="24"/>
          <w:szCs w:val="24"/>
          <w:highlight w:val="none"/>
          <w:u w:val="none"/>
        </w:rPr>
      </w:pPr>
      <w:r>
        <w:rPr>
          <w:rFonts w:hint="eastAsia" w:ascii="宋体" w:hAnsi="宋体" w:eastAsia="宋体" w:cs="宋体"/>
          <w:b/>
          <w:bCs/>
          <w:i w:val="0"/>
          <w:iCs w:val="0"/>
          <w:sz w:val="24"/>
          <w:szCs w:val="24"/>
          <w:highlight w:val="none"/>
          <w:u w:val="none"/>
        </w:rPr>
        <w:t xml:space="preserve">定标原则：</w:t>
      </w:r>
      <w:r>
        <w:rPr>
          <w:rFonts w:hint="eastAsia" w:ascii="宋体" w:hAnsi="宋体" w:cs="宋体"/>
          <w:b/>
          <w:bCs/>
          <w:sz w:val="24"/>
          <w:szCs w:val="24"/>
          <w:highlight w:val="none"/>
          <w:lang w:val="zh-CN"/>
        </w:rPr>
        <w:t xml:space="preserve">本项目共划分为</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val="zh-CN"/>
        </w:rPr>
        <w:t xml:space="preserve">个采购包，</w:t>
      </w:r>
      <w:r>
        <w:rPr>
          <w:rFonts w:hint="eastAsia" w:ascii="宋体" w:hAnsi="宋体" w:cs="宋体"/>
          <w:b/>
          <w:bCs/>
          <w:sz w:val="24"/>
          <w:szCs w:val="24"/>
        </w:rPr>
        <w:t xml:space="preserve">投标人的投标文件中开标一览表、报价明细表，须分别填列。</w:t>
      </w:r>
      <w:r>
        <w:rPr>
          <w:rFonts w:hint="eastAsia" w:ascii="宋体" w:hAnsi="宋体" w:cs="宋体"/>
          <w:b/>
          <w:bCs/>
          <w:sz w:val="24"/>
          <w:szCs w:val="24"/>
          <w:highlight w:val="none"/>
          <w:lang w:val="zh-CN"/>
        </w:rPr>
        <w:t xml:space="preserve">本项目采用兼投不兼中原则。</w:t>
      </w:r>
      <w:r>
        <w:rPr>
          <w:rFonts w:hint="eastAsia" w:ascii="宋体" w:hAnsi="宋体" w:cs="宋体"/>
          <w:b/>
          <w:bCs/>
          <w:sz w:val="24"/>
          <w:szCs w:val="24"/>
        </w:rPr>
        <w:t xml:space="preserve">评标委员会按照分包号正顺序依次评审</w:t>
      </w:r>
      <w:r>
        <w:rPr>
          <w:rFonts w:hint="eastAsia" w:ascii="宋体" w:hAnsi="宋体" w:cs="宋体"/>
          <w:b/>
          <w:bCs/>
          <w:sz w:val="24"/>
          <w:szCs w:val="24"/>
          <w:lang w:eastAsia="zh-CN"/>
        </w:rPr>
        <w:t xml:space="preserve">。</w:t>
      </w:r>
      <w:r>
        <w:rPr>
          <w:rFonts w:hint="eastAsia" w:ascii="宋体" w:hAnsi="宋体" w:cs="宋体"/>
          <w:b/>
          <w:bCs/>
          <w:sz w:val="24"/>
          <w:szCs w:val="24"/>
          <w:highlight w:val="none"/>
          <w:lang w:val="zh-CN"/>
        </w:rPr>
        <w:t xml:space="preserve">例如：在分包1中被推荐的第一中标候选人不得成为分包2推荐的第一中标候选人。已在分包1中被推荐的第一中标候选人如在分包2中排名第一，此时分包2的推荐第一中标候选人将顺延至排名第二的中标候选人，以此类推。</w:t>
      </w:r>
      <w:r>
        <w:rPr>
          <w:rFonts w:hint="eastAsia" w:ascii="宋体" w:hAnsi="宋体" w:eastAsia="宋体" w:cs="宋体"/>
          <w:b/>
          <w:bCs/>
          <w:i w:val="0"/>
          <w:iCs w:val="0"/>
          <w:sz w:val="24"/>
          <w:szCs w:val="24"/>
          <w:highlight w:val="none"/>
          <w:u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5、项目需求（简介）满足南京林业大学</w:t>
      </w:r>
      <w:r>
        <w:rPr>
          <w:rFonts w:hint="eastAsia" w:ascii="宋体" w:hAnsi="宋体" w:cs="宋体"/>
          <w:sz w:val="24"/>
          <w:szCs w:val="24"/>
          <w:highlight w:val="none"/>
          <w:lang w:val="en-US" w:eastAsia="zh-CN"/>
        </w:rPr>
        <w:t xml:space="preserve">拟采购</w:t>
      </w:r>
      <w:r>
        <w:rPr>
          <w:rFonts w:hint="eastAsia" w:ascii="宋体" w:hAnsi="宋体" w:cs="宋体"/>
          <w:sz w:val="24"/>
          <w:szCs w:val="24"/>
          <w:highlight w:val="none"/>
          <w:lang w:eastAsia="zh-CN"/>
        </w:rPr>
        <w:t xml:space="preserve">业余自考助学线下服务，主要用于开展自考学员线上线下助学辅助教学、课程辅导、过程性考核、考籍考务管理、学情数据分析、学员服务及教学质量管控等核心工作。</w:t>
      </w:r>
      <w:r>
        <w:rPr>
          <w:rFonts w:hint="eastAsia" w:ascii="宋体" w:hAnsi="宋体" w:cs="宋体"/>
          <w:sz w:val="24"/>
          <w:szCs w:val="24"/>
          <w:highlight w:val="none"/>
        </w:rPr>
        <w:t xml:space="preserve">详见招标文件第四章项目需求。</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6、合同履行期限：一个完成培养周期（3年）</w:t>
      </w:r>
      <w:r>
        <w:rPr>
          <w:rFonts w:ascii="宋体" w:hAnsi="宋体" w:cs="宋体"/>
          <w:color w:val="000000"/>
          <w:sz w:val="24"/>
          <w:szCs w:val="24"/>
          <w:highlight w:val="none"/>
        </w:rPr>
        <w:t xml:space="preserve">。</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7、本项目（是/否）接受联合体：不接受联合体。</w:t>
      </w:r>
      <w:r>
        <w:rPr>
          <w:rFonts w:hint="eastAsia" w:ascii="宋体" w:hAnsi="宋体" w:cs="宋体"/>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二、申请人的资格要求</w:t>
      </w:r>
      <w:r>
        <w:rPr>
          <w:rFonts w:hint="eastAsia" w:ascii="宋体" w:hAnsi="宋体" w:cs="宋体"/>
          <w:b/>
          <w:bCs/>
          <w:sz w:val="24"/>
          <w:szCs w:val="24"/>
          <w:highlight w:val="none"/>
        </w:rPr>
        <w:tab/>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（一）满足《中华人民共和国政府采购法》第二十二条规定：</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1、具有独立承担民事责任的能力（提供法人或者其他组织的营业执照复印件并加盖公章，或者自然人的身份证明）；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2、具有良好的商业信誉和健全的财务会计制度（提供2025年度的财务报</w:t>
      </w:r>
      <w:r>
        <w:rPr>
          <w:rFonts w:hint="eastAsia" w:ascii="宋体" w:hAnsi="宋体" w:cs="宋体"/>
          <w:sz w:val="24"/>
          <w:szCs w:val="24"/>
          <w:highlight w:val="none"/>
          <w:lang w:val="en-US" w:eastAsia="zh-CN"/>
        </w:rPr>
        <w:t xml:space="preserve">表（至少提供资产负债表和利润表）</w:t>
      </w:r>
      <w:r>
        <w:rPr>
          <w:rFonts w:hint="eastAsia" w:ascii="宋体" w:hAnsi="宋体" w:cs="宋体"/>
          <w:sz w:val="24"/>
          <w:szCs w:val="24"/>
          <w:highlight w:val="none"/>
        </w:rPr>
        <w:t xml:space="preserve">或银行出具的企业资信证明，法人或者其他组织成立未满一年的可提供近半年内任一月的资产负债和利润表）；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3、具有履行合同所必需的设备和专业技术能力（根据项目需求提供履行合同所必需的设备和专业技术能力的证明材料或声明函）；</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4、有依法缴纳税收和社会保障资金的良好记录（提供参加本次采购活动前依法缴纳税收及社会保险的凭据。依法免缴、迟缴的应提供相应文件证明）；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6、法律、行政法规规定的其他条件。</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（二）落实政府采购政策需满足的资格要求：本项目不专门面向中小企业采购，执行价格扣除优惠政策。供应商为小微企业的，报价给予</w:t>
      </w:r>
      <w:r>
        <w:rPr>
          <w:rFonts w:hint="eastAsia" w:ascii="宋体" w:hAnsi="宋体" w:cs="宋体"/>
          <w:sz w:val="24"/>
          <w:szCs w:val="24"/>
          <w:highlight w:val="none"/>
          <w:u w:val="single"/>
        </w:rPr>
        <w:t xml:space="preserve"> </w:t>
      </w:r>
      <w:r>
        <w:rPr>
          <w:rFonts w:hint="eastAsia" w:ascii="宋体" w:hAnsi="宋体" w:cs="宋体"/>
          <w:b/>
          <w:bCs/>
          <w:sz w:val="24"/>
          <w:szCs w:val="24"/>
          <w:highlight w:val="none"/>
          <w:u w:val="single"/>
        </w:rPr>
        <w:t xml:space="preserve">10% </w:t>
      </w:r>
      <w:r>
        <w:rPr>
          <w:rFonts w:hint="eastAsia" w:ascii="宋体" w:hAnsi="宋体" w:cs="宋体"/>
          <w:sz w:val="24"/>
          <w:szCs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cs="宋体"/>
          <w:sz w:val="24"/>
          <w:szCs w:val="24"/>
          <w:highlight w:val="none"/>
        </w:rPr>
      </w:r>
      <w:r/>
    </w:p>
    <w:p>
      <w:pPr>
        <w:pStyle w:val="1063"/>
        <w:ind w:firstLine="480"/>
        <w:spacing w:line="360" w:lineRule="auto"/>
        <w:rPr>
          <w:rFonts w:hint="eastAsia" w:ascii="宋体" w:hAnsi="宋体" w:cs="宋体"/>
          <w:b/>
          <w:sz w:val="24"/>
          <w:szCs w:val="24"/>
          <w:highlight w:val="none"/>
          <w:u w:val="single"/>
        </w:rPr>
      </w:pPr>
      <w:r>
        <w:rPr>
          <w:rFonts w:hint="eastAsia" w:ascii="宋体" w:hAnsi="宋体" w:cs="宋体"/>
          <w:bCs/>
          <w:sz w:val="24"/>
          <w:szCs w:val="24"/>
          <w:highlight w:val="none"/>
        </w:rPr>
        <w:t xml:space="preserve">本项目采购标的对应的中小企业划分标准所属行业为：</w:t>
      </w:r>
      <w:r>
        <w:rPr>
          <w:rFonts w:hint="eastAsia" w:ascii="宋体" w:hAnsi="宋体" w:cs="宋体"/>
          <w:bCs/>
          <w:sz w:val="24"/>
          <w:szCs w:val="24"/>
          <w:highlight w:val="none"/>
          <w:u w:val="single"/>
          <w:lang w:val="en-US" w:eastAsia="zh-CN"/>
        </w:rPr>
        <w:t xml:space="preserve">其他</w:t>
      </w:r>
      <w:r>
        <w:rPr>
          <w:rFonts w:hint="eastAsia" w:ascii="宋体" w:hAnsi="宋体" w:cs="宋体"/>
          <w:bCs/>
          <w:sz w:val="24"/>
          <w:szCs w:val="24"/>
          <w:highlight w:val="none"/>
          <w:u w:val="single"/>
          <w:lang w:val="en-US" w:eastAsia="zh-CN"/>
        </w:rPr>
        <w:t xml:space="preserve">未列明行业</w:t>
      </w:r>
      <w:r>
        <w:rPr>
          <w:rFonts w:hint="eastAsia" w:ascii="宋体" w:hAnsi="宋体" w:cs="宋体"/>
          <w:bCs/>
          <w:sz w:val="24"/>
          <w:szCs w:val="24"/>
          <w:highlight w:val="none"/>
          <w:u w:val="single"/>
          <w:lang w:val="en-US" w:eastAsia="zh-CN"/>
        </w:rPr>
        <w:t xml:space="preserve"> </w:t>
      </w:r>
      <w:r>
        <w:rPr>
          <w:rFonts w:hint="eastAsia" w:ascii="宋体" w:hAnsi="宋体" w:cs="宋体"/>
          <w:b/>
          <w:sz w:val="24"/>
          <w:szCs w:val="24"/>
          <w:highlight w:val="none"/>
          <w:u w:val="single"/>
        </w:rPr>
        <w:t xml:space="preserve">。</w:t>
      </w:r>
      <w:r>
        <w:rPr>
          <w:rFonts w:hint="eastAsia" w:ascii="宋体" w:hAnsi="宋体" w:cs="宋体"/>
          <w:b/>
          <w:sz w:val="24"/>
          <w:szCs w:val="24"/>
          <w:highlight w:val="none"/>
          <w:u w:val="single"/>
        </w:rPr>
      </w:r>
      <w:r/>
    </w:p>
    <w:p>
      <w:pPr>
        <w:pStyle w:val="1063"/>
        <w:ind w:firstLine="482"/>
        <w:spacing w:line="360" w:lineRule="auto"/>
        <w:rPr>
          <w:rFonts w:hint="eastAsia" w:ascii="Segoe UI" w:hAnsi="Segoe UI" w:eastAsia="宋体" w:cs="Segoe UI"/>
          <w:b/>
          <w:bCs/>
          <w:i w:val="0"/>
          <w:iCs w:val="0"/>
          <w:caps w:val="0"/>
          <w:color w:val="0f1115"/>
          <w:spacing w:val="0"/>
          <w:sz w:val="24"/>
          <w:szCs w:val="24"/>
          <w:highlight w:val="none"/>
          <w:shd w:val="clear" w:color="auto" w:fill="ffffff"/>
          <w:lang w:val="en-US" w:eastAsia="zh-CN"/>
        </w:rPr>
      </w:pPr>
      <w:r>
        <w:rPr>
          <w:rFonts w:hint="eastAsia" w:ascii="宋体" w:hAnsi="宋体" w:cs="宋体"/>
          <w:b/>
          <w:bCs/>
          <w:sz w:val="24"/>
          <w:szCs w:val="24"/>
          <w:highlight w:val="none"/>
        </w:rPr>
        <w:t xml:space="preserve">（三）其他资格要求：</w:t>
      </w:r>
      <w:r>
        <w:rPr>
          <w:rFonts w:ascii="Segoe UI" w:hAnsi="Segoe UI" w:eastAsia="Segoe UI" w:cs="Segoe UI"/>
          <w:b/>
          <w:bCs/>
          <w:i w:val="0"/>
          <w:iCs w:val="0"/>
          <w:caps w:val="0"/>
          <w:color w:val="0f1115"/>
          <w:spacing w:val="0"/>
          <w:sz w:val="24"/>
          <w:szCs w:val="24"/>
          <w:highlight w:val="none"/>
          <w:shd w:val="clear" w:color="auto" w:fill="ffffff"/>
        </w:rPr>
        <w:t xml:space="preserve">投标人</w:t>
      </w:r>
      <w:r>
        <w:rPr>
          <w:rFonts w:ascii="Segoe UI" w:hAnsi="Segoe UI" w:eastAsia="Segoe UI" w:cs="Segoe UI"/>
          <w:b/>
          <w:bCs/>
          <w:i w:val="0"/>
          <w:iCs w:val="0"/>
          <w:caps w:val="0"/>
          <w:color w:val="0f1115"/>
          <w:spacing w:val="0"/>
          <w:sz w:val="24"/>
          <w:szCs w:val="24"/>
          <w:highlight w:val="none"/>
          <w:shd w:val="clear" w:color="auto" w:fill="ffffff"/>
        </w:rPr>
        <w:t xml:space="preserve">须属于江苏省教育考试院《关于公布举办江苏省2026年高等教育自学考试面向社会开考专业的社会助学组织名单的通知》（苏教考自〔2026〕1号）所载明的社会助学组织，且须提供该通知中体现本单位名称的页面复印件并加盖投标人公章，否则资格审查不予通过</w:t>
      </w:r>
      <w:r>
        <w:rPr>
          <w:rFonts w:hint="eastAsia" w:ascii="Segoe UI" w:hAnsi="Segoe UI" w:eastAsia="宋体" w:cs="Segoe UI"/>
          <w:b/>
          <w:bCs/>
          <w:i w:val="0"/>
          <w:iCs w:val="0"/>
          <w:caps w:val="0"/>
          <w:color w:val="0f1115"/>
          <w:spacing w:val="0"/>
          <w:sz w:val="24"/>
          <w:szCs w:val="24"/>
          <w:highlight w:val="none"/>
          <w:shd w:val="clear" w:color="auto" w:fill="ffffff"/>
          <w:lang w:val="en-US" w:eastAsia="zh-CN"/>
        </w:rPr>
        <w:t xml:space="preserve">。</w:t>
      </w:r>
      <w:r>
        <w:rPr>
          <w:rFonts w:hint="eastAsia" w:ascii="Segoe UI" w:hAnsi="Segoe UI" w:eastAsia="宋体" w:cs="Segoe UI"/>
          <w:b/>
          <w:bCs/>
          <w:i w:val="0"/>
          <w:iCs w:val="0"/>
          <w:caps w:val="0"/>
          <w:color w:val="0f1115"/>
          <w:spacing w:val="0"/>
          <w:sz w:val="24"/>
          <w:szCs w:val="24"/>
          <w:highlight w:val="none"/>
          <w:shd w:val="clear" w:color="auto" w:fill="ffffff"/>
          <w:lang w:val="en-US" w:eastAsia="zh-CN"/>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（四）拒绝下述投标人参加本次招标活动：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1、投标人单位负责人为同一人或者存在直接控股、管理关系的不同投标人，不得参加同一合同项下的政府采购活动。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2、凡为采购项目提供整体设计、规范编制或者项目管理、监理、检测等服务的投标人，不得再参加该采购项目的其他采购活动。</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cs="宋体"/>
          <w:bCs/>
          <w:sz w:val="24"/>
          <w:szCs w:val="24"/>
          <w:highlight w:val="none"/>
          <w:lang w:bidi="ar"/>
        </w:rPr>
        <w:t xml:space="preserve">的投标人</w:t>
      </w:r>
      <w:r>
        <w:rPr>
          <w:rFonts w:hint="eastAsia" w:ascii="宋体" w:hAnsi="宋体" w:cs="宋体"/>
          <w:sz w:val="24"/>
          <w:szCs w:val="24"/>
          <w:highlight w:val="none"/>
        </w:rPr>
        <w:t xml:space="preserve">。（提供网页截图）</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三、获取招标文件</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1.时间：自招标文件公告发布之日起5个工作日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2.地点：江苏政府采购网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rPr>
          <w:rFonts w:hint="eastAsia" w:ascii="宋体" w:hAnsi="宋体" w:cs="宋体"/>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bookmarkStart w:id="15" w:name="_Toc24653"/>
      <w:r/>
      <w:bookmarkStart w:id="16" w:name="_Toc14178"/>
      <w:r>
        <w:rPr>
          <w:rFonts w:hint="eastAsia" w:ascii="宋体" w:hAnsi="宋体" w:cs="宋体"/>
          <w:b/>
          <w:bCs/>
          <w:sz w:val="24"/>
          <w:szCs w:val="24"/>
          <w:highlight w:val="none"/>
        </w:rPr>
        <w:t xml:space="preserve">四、提交投标文件截止时间和地点</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1.截止时间：</w:t>
      </w:r>
      <w:r>
        <w:rPr>
          <w:rFonts w:hint="eastAsia" w:ascii="宋体" w:hAnsi="宋体" w:cs="宋体"/>
          <w:sz w:val="24"/>
          <w:szCs w:val="24"/>
          <w:highlight w:val="none"/>
        </w:rPr>
        <w:t xml:space="preserve">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03</w:t>
      </w:r>
      <w:r>
        <w:rPr>
          <w:rFonts w:hint="eastAsia" w:ascii="宋体" w:hAnsi="宋体" w:cs="宋体"/>
          <w:sz w:val="24"/>
          <w:szCs w:val="24"/>
          <w:highlight w:val="none"/>
        </w:rPr>
        <w:t xml:space="preserve">日下午14：00分（北京时间）。</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2.地点：江苏省政府采购交易系统（以下简称“苏采云系统”）网上开标大厅。</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五、公告期限</w:t>
      </w:r>
      <w:r>
        <w:rPr>
          <w:rFonts w:hint="eastAsia" w:ascii="宋体" w:hAnsi="宋体" w:cs="宋体"/>
          <w:b/>
          <w:bCs/>
          <w:sz w:val="24"/>
          <w:szCs w:val="24"/>
          <w:highlight w:val="none"/>
        </w:rPr>
      </w:r>
      <w:r/>
    </w:p>
    <w:p>
      <w:pPr>
        <w:pStyle w:val="1063"/>
        <w:ind w:firstLine="480"/>
        <w:spacing w:line="360" w:lineRule="auto"/>
        <w:tabs>
          <w:tab w:val="left" w:pos="7810" w:leader="none"/>
        </w:tabs>
        <w:rPr>
          <w:rFonts w:hint="eastAsia" w:ascii="宋体" w:hAnsi="宋体" w:cs="宋体"/>
          <w:b/>
          <w:bCs/>
          <w:sz w:val="24"/>
          <w:szCs w:val="24"/>
          <w:highlight w:val="none"/>
        </w:rPr>
      </w:pPr>
      <w:r>
        <w:rPr>
          <w:rFonts w:hint="eastAsia" w:ascii="宋体" w:hAnsi="宋体" w:cs="宋体"/>
          <w:sz w:val="24"/>
          <w:szCs w:val="24"/>
          <w:highlight w:val="none"/>
        </w:rPr>
        <w:t xml:space="preserve">本次公开招标公告期限为五个工作日。</w:t>
      </w:r>
      <w:r>
        <w:rPr>
          <w:rFonts w:hint="eastAsia" w:ascii="宋体" w:hAnsi="宋体" w:cs="宋体"/>
          <w:b/>
          <w:bCs/>
          <w:sz w:val="24"/>
          <w:szCs w:val="24"/>
          <w:highlight w:val="none"/>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六、评标时间和地点</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1、时间：2026年</w:t>
      </w:r>
      <w:r>
        <w:rPr>
          <w:rFonts w:hint="eastAsia" w:ascii="宋体" w:hAnsi="宋体" w:cs="宋体"/>
          <w:sz w:val="24"/>
          <w:szCs w:val="24"/>
          <w:highlight w:val="none"/>
          <w:lang w:val="en-US" w:eastAsia="zh-CN"/>
        </w:rPr>
        <w:t xml:space="preserve">09</w:t>
      </w:r>
      <w:r>
        <w:rPr>
          <w:rFonts w:hint="eastAsia" w:ascii="宋体" w:hAnsi="宋体" w:cs="宋体"/>
          <w:sz w:val="24"/>
          <w:szCs w:val="24"/>
          <w:highlight w:val="none"/>
        </w:rPr>
        <w:t xml:space="preserve">月</w:t>
      </w:r>
      <w:r>
        <w:rPr>
          <w:rFonts w:hint="eastAsia" w:ascii="宋体" w:hAnsi="宋体" w:cs="宋体"/>
          <w:sz w:val="24"/>
          <w:szCs w:val="24"/>
          <w:highlight w:val="none"/>
          <w:lang w:val="en-US" w:eastAsia="zh-CN"/>
        </w:rPr>
        <w:t xml:space="preserve">03</w:t>
      </w:r>
      <w:r>
        <w:rPr>
          <w:rFonts w:hint="eastAsia" w:ascii="宋体" w:hAnsi="宋体" w:cs="宋体"/>
          <w:sz w:val="24"/>
          <w:szCs w:val="24"/>
          <w:highlight w:val="none"/>
        </w:rPr>
        <w:t xml:space="preserve">日下午14：00分（北京时间）。</w:t>
      </w:r>
      <w:r>
        <w:rPr>
          <w:rFonts w:hint="eastAsia" w:ascii="宋体" w:hAnsi="宋体" w:cs="宋体"/>
          <w:sz w:val="24"/>
          <w:szCs w:val="24"/>
          <w:highlight w:val="none"/>
        </w:rPr>
      </w:r>
      <w:r/>
    </w:p>
    <w:p>
      <w:pPr>
        <w:pStyle w:val="1063"/>
        <w:ind w:firstLine="480"/>
        <w:spacing w:line="360" w:lineRule="auto"/>
        <w:rPr>
          <w:rFonts w:hint="eastAsia" w:ascii="宋体" w:hAnsi="宋体" w:eastAsia="宋体" w:cs="宋体"/>
          <w:b/>
          <w:bCs/>
          <w:sz w:val="24"/>
          <w:szCs w:val="24"/>
          <w:highlight w:val="none"/>
          <w:lang w:eastAsia="zh-CN"/>
        </w:rPr>
      </w:pPr>
      <w:r>
        <w:rPr>
          <w:rFonts w:hint="eastAsia" w:ascii="宋体" w:hAnsi="宋体" w:cs="宋体"/>
          <w:sz w:val="24"/>
          <w:szCs w:val="24"/>
          <w:highlight w:val="none"/>
        </w:rPr>
        <w:t xml:space="preserve">2、地点：</w:t>
      </w:r>
      <w:r>
        <w:rPr>
          <w:rFonts w:hint="eastAsia" w:ascii="宋体" w:hAnsi="宋体" w:cs="宋体"/>
          <w:spacing w:val="-6"/>
          <w:sz w:val="24"/>
          <w:szCs w:val="24"/>
          <w:highlight w:val="none"/>
          <w:lang w:eastAsia="zh-CN"/>
        </w:rPr>
        <w:t xml:space="preserve">南京市秦淮区中和桥路1号（光华茂1号门）6楼6001室。</w:t>
      </w:r>
      <w:r>
        <w:rPr>
          <w:rFonts w:hint="eastAsia" w:ascii="宋体" w:hAnsi="宋体" w:eastAsia="宋体" w:cs="宋体"/>
          <w:b/>
          <w:bCs/>
          <w:sz w:val="24"/>
          <w:szCs w:val="24"/>
          <w:highlight w:val="none"/>
          <w:lang w:eastAsia="zh-CN"/>
        </w:rPr>
      </w:r>
      <w:r/>
    </w:p>
    <w:p>
      <w:pPr>
        <w:pStyle w:val="1063"/>
        <w:ind w:firstLine="482"/>
        <w:spacing w:line="360" w:lineRule="auto"/>
        <w:tabs>
          <w:tab w:val="left" w:pos="7810" w:leader="none"/>
        </w:tabs>
        <w:rPr>
          <w:rFonts w:hint="eastAsia" w:ascii="宋体" w:hAnsi="宋体" w:cs="宋体"/>
          <w:b/>
          <w:bCs/>
          <w:sz w:val="24"/>
          <w:szCs w:val="24"/>
          <w:highlight w:val="none"/>
        </w:rPr>
      </w:pPr>
      <w:r>
        <w:rPr>
          <w:rFonts w:hint="eastAsia" w:ascii="宋体" w:hAnsi="宋体" w:cs="宋体"/>
          <w:b/>
          <w:bCs/>
          <w:sz w:val="24"/>
          <w:szCs w:val="24"/>
          <w:highlight w:val="none"/>
        </w:rPr>
        <w:t xml:space="preserve">七、其他补充事宜</w:t>
      </w:r>
      <w:r>
        <w:rPr>
          <w:rFonts w:hint="eastAsia" w:ascii="宋体" w:hAnsi="宋体" w:cs="宋体"/>
          <w:b/>
          <w:bCs/>
          <w:sz w:val="24"/>
          <w:szCs w:val="24"/>
          <w:highlight w:val="none"/>
        </w:rPr>
      </w:r>
      <w:r/>
    </w:p>
    <w:p>
      <w:pPr>
        <w:pStyle w:val="1063"/>
        <w:ind w:firstLine="480"/>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1、本项目招标代理编号：NJDCX-2026</w:t>
      </w:r>
      <w:r>
        <w:rPr>
          <w:rFonts w:hint="eastAsia" w:ascii="宋体" w:hAnsi="宋体" w:cs="宋体"/>
          <w:sz w:val="24"/>
          <w:szCs w:val="24"/>
          <w:highlight w:val="none"/>
          <w:lang w:val="en-US" w:eastAsia="zh-CN"/>
        </w:rPr>
        <w:t xml:space="preserve">07101501</w:t>
      </w:r>
      <w:r>
        <w:rPr>
          <w:rFonts w:ascii="宋体" w:hAnsi="宋体" w:eastAsia="宋体" w:cs="宋体"/>
          <w:sz w:val="24"/>
          <w:szCs w:val="24"/>
          <w:highlight w:val="none"/>
          <w:lang w:val="en-US" w:eastAsia="zh-CN"/>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2、本次招标不收取投标保证金。</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3、现场勘查及答疑：本项目不组织现场勘查。</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cs="宋体"/>
          <w:sz w:val="24"/>
          <w:szCs w:val="24"/>
          <w:highlight w:val="none"/>
        </w:rPr>
      </w:r>
      <w:r/>
    </w:p>
    <w:p>
      <w:pPr>
        <w:pStyle w:val="1166"/>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sz w:val="24"/>
          <w:szCs w:val="24"/>
          <w:highlight w:val="none"/>
        </w:rPr>
      </w:r>
      <w:r/>
    </w:p>
    <w:p>
      <w:pPr>
        <w:pStyle w:val="1166"/>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操作手册下载地址：</w:t>
      </w:r>
      <w:r>
        <w:rPr>
          <w:rFonts w:hint="eastAsia" w:ascii="宋体" w:hAnsi="宋体" w:cs="宋体"/>
          <w:sz w:val="24"/>
          <w:szCs w:val="24"/>
          <w:highlight w:val="none"/>
        </w:rPr>
      </w:r>
      <w:r/>
    </w:p>
    <w:p>
      <w:pPr>
        <w:pStyle w:val="1166"/>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http://www.ccgp-jiangsu.gov.cn/jiangsu/zlxz/ee/ee3a4bc5a3454aa2b0d9312230633ce9.html</w:t>
      </w:r>
      <w:r>
        <w:rPr>
          <w:rFonts w:hint="eastAsia" w:ascii="宋体" w:hAnsi="宋体" w:cs="宋体"/>
          <w:sz w:val="24"/>
          <w:szCs w:val="24"/>
          <w:highlight w:val="none"/>
        </w:rPr>
      </w:r>
      <w:r/>
    </w:p>
    <w:p>
      <w:pPr>
        <w:pStyle w:val="1166"/>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首次登录“苏采云”系统的新用户，登录网址后，点击“用户注册”--“新CA办理指南”--获取CA后绑定、登录系统--采购项目参与--下载采购文件（文件后缀名为“.kedt”）。</w:t>
      </w:r>
      <w:r>
        <w:rPr>
          <w:rFonts w:hint="eastAsia" w:ascii="宋体" w:hAnsi="宋体" w:cs="宋体"/>
          <w:sz w:val="24"/>
          <w:szCs w:val="24"/>
          <w:highlight w:val="none"/>
        </w:rPr>
      </w:r>
      <w:r/>
    </w:p>
    <w:p>
      <w:pPr>
        <w:pStyle w:val="1166"/>
        <w:ind w:firstLine="420"/>
        <w:spacing w:line="360" w:lineRule="auto"/>
        <w:tabs>
          <w:tab w:val="left" w:pos="960" w:leader="none"/>
        </w:tabs>
        <w:rPr>
          <w:rFonts w:hint="eastAsia" w:ascii="宋体" w:hAnsi="宋体" w:cs="宋体"/>
          <w:sz w:val="24"/>
          <w:szCs w:val="24"/>
          <w:highlight w:val="none"/>
        </w:rPr>
      </w:pPr>
      <w:r>
        <w:rPr>
          <w:rFonts w:hint="eastAsia" w:ascii="宋体" w:hAnsi="宋体" w:cs="宋体"/>
          <w:sz w:val="24"/>
          <w:szCs w:val="24"/>
          <w:highlight w:val="none"/>
        </w:rPr>
        <w:t xml:space="preserve">“苏采云”南京地区客服热线025-83633744、025-83633743。</w:t>
      </w:r>
      <w:r>
        <w:rPr>
          <w:rFonts w:hint="eastAsia" w:ascii="宋体" w:hAnsi="宋体" w:cs="宋体"/>
          <w:sz w:val="24"/>
          <w:szCs w:val="24"/>
          <w:highlight w:val="none"/>
        </w:rPr>
      </w:r>
      <w:r/>
    </w:p>
    <w:p>
      <w:pPr>
        <w:pStyle w:val="1063"/>
        <w:ind w:firstLine="482"/>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八、凡对本次采购提出询问，请按以下方式联系。</w:t>
      </w:r>
      <w:r>
        <w:rPr>
          <w:rFonts w:hint="eastAsia" w:ascii="宋体" w:hAnsi="宋体" w:cs="宋体"/>
          <w:b/>
          <w:bCs/>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1、采购人信息</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单位名称：南京林业大学</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地  址：南京市玄武区龙蟠路159号</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联系人：陆老师</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联系电话：025-85428503</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2、采购代理机构信息</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单位名称：南京达琛鑫工程咨询有限公司</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单位地址：</w:t>
      </w:r>
      <w:r>
        <w:rPr>
          <w:rFonts w:hint="eastAsia" w:ascii="宋体" w:hAnsi="宋体" w:eastAsia="宋体" w:cs="宋体"/>
          <w:spacing w:val="-6"/>
          <w:sz w:val="24"/>
          <w:szCs w:val="24"/>
          <w:highlight w:val="none"/>
          <w:lang w:eastAsia="zh-CN"/>
        </w:rPr>
        <w:t xml:space="preserve">南京市秦淮区中和桥路1号（光华茂1号门）6楼6001室</w:t>
      </w:r>
      <w:r>
        <w:rPr>
          <w:rFonts w:hint="eastAsia" w:ascii="宋体" w:hAnsi="宋体" w:eastAsia="宋体" w:cs="宋体"/>
          <w:sz w:val="24"/>
          <w:szCs w:val="24"/>
          <w:highlight w:val="none"/>
        </w:rPr>
        <w:t xml:space="preserve">。</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bookmarkStart w:id="17" w:name="OLE_LINK22"/>
      <w:r>
        <w:rPr>
          <w:rFonts w:hint="eastAsia" w:ascii="宋体" w:hAnsi="宋体" w:cs="宋体"/>
          <w:sz w:val="24"/>
          <w:szCs w:val="24"/>
          <w:highlight w:val="none"/>
        </w:rPr>
        <w:t xml:space="preserve">联系人：潘工</w:t>
      </w:r>
      <w:r>
        <w:rPr>
          <w:rFonts w:hint="eastAsia" w:ascii="宋体" w:hAnsi="宋体" w:cs="宋体"/>
          <w:sz w:val="24"/>
          <w:szCs w:val="24"/>
          <w:highlight w:val="none"/>
        </w:rPr>
      </w:r>
      <w:r/>
    </w:p>
    <w:p>
      <w:pPr>
        <w:pStyle w:val="1063"/>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联系电话：025-52639995转8010</w:t>
      </w:r>
      <w:r>
        <w:rPr>
          <w:rFonts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bookmarkEnd w:id="17"/>
      <w:r>
        <w:rPr>
          <w:rFonts w:hint="eastAsia" w:ascii="宋体" w:hAnsi="宋体" w:cs="宋体"/>
          <w:sz w:val="24"/>
          <w:szCs w:val="24"/>
          <w:highlight w:val="none"/>
        </w:rPr>
        <w:t xml:space="preserve">3、项目联系方式</w:t>
      </w:r>
      <w:r>
        <w:rPr>
          <w:rFonts w:hint="eastAsia" w:ascii="宋体" w:hAnsi="宋体" w:cs="宋体"/>
          <w:sz w:val="24"/>
          <w:szCs w:val="24"/>
          <w:highlight w:val="none"/>
        </w:rPr>
      </w:r>
      <w:r/>
    </w:p>
    <w:p>
      <w:pPr>
        <w:pStyle w:val="1063"/>
        <w:ind w:firstLine="7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项目联系人：</w:t>
      </w:r>
      <w:bookmarkStart w:id="18" w:name="OLE_LINK23"/>
      <w:r>
        <w:rPr>
          <w:rFonts w:hint="eastAsia" w:ascii="宋体" w:hAnsi="宋体" w:cs="宋体"/>
          <w:sz w:val="24"/>
          <w:szCs w:val="24"/>
          <w:highlight w:val="none"/>
        </w:rPr>
        <w:t xml:space="preserve">潘工</w:t>
      </w:r>
      <w:r>
        <w:rPr>
          <w:rFonts w:hint="eastAsia" w:ascii="宋体" w:hAnsi="宋体" w:cs="宋体"/>
          <w:sz w:val="24"/>
          <w:szCs w:val="24"/>
          <w:highlight w:val="none"/>
        </w:rPr>
      </w:r>
      <w:r/>
    </w:p>
    <w:p>
      <w:pPr>
        <w:pStyle w:val="1063"/>
        <w:ind w:firstLine="720"/>
        <w:spacing w:line="360" w:lineRule="auto"/>
        <w:rPr>
          <w:rFonts w:ascii="宋体" w:hAnsi="宋体" w:cs="宋体"/>
          <w:sz w:val="24"/>
          <w:szCs w:val="24"/>
          <w:highlight w:val="none"/>
        </w:rPr>
      </w:pPr>
      <w:r>
        <w:rPr>
          <w:rFonts w:hint="eastAsia" w:ascii="宋体" w:hAnsi="宋体" w:cs="宋体"/>
          <w:sz w:val="24"/>
          <w:szCs w:val="24"/>
          <w:highlight w:val="none"/>
        </w:rPr>
        <w:t xml:space="preserve">电话：025-52639995转81010</w:t>
      </w:r>
      <w:r>
        <w:rPr>
          <w:rFonts w:ascii="宋体" w:hAnsi="宋体" w:cs="宋体"/>
          <w:sz w:val="24"/>
          <w:szCs w:val="24"/>
          <w:highlight w:val="none"/>
        </w:rPr>
      </w:r>
      <w:r/>
    </w:p>
    <w:p>
      <w:pPr>
        <w:pStyle w:val="1096"/>
        <w:ind w:firstLine="0"/>
        <w:jc w:val="center"/>
        <w:pageBreakBefore/>
        <w:spacing w:before="0" w:after="0" w:line="360" w:lineRule="auto"/>
        <w:tabs>
          <w:tab w:val="clear" w:pos="8720" w:leader="none"/>
        </w:tabs>
        <w:rPr>
          <w:rFonts w:hint="eastAsia"/>
          <w:b/>
          <w:bCs/>
          <w:sz w:val="40"/>
          <w:highlight w:val="none"/>
        </w:rPr>
        <w:outlineLvl w:val="0"/>
      </w:pPr>
      <w:r/>
      <w:bookmarkStart w:id="19" w:name="_Toc145"/>
      <w:r/>
      <w:bookmarkStart w:id="20" w:name="_Toc32114"/>
      <w:r/>
      <w:bookmarkStart w:id="21" w:name="_Toc26730"/>
      <w:r/>
      <w:bookmarkStart w:id="22" w:name="_Toc1657"/>
      <w:r/>
      <w:bookmarkStart w:id="23" w:name="_Toc14634"/>
      <w:r/>
      <w:bookmarkStart w:id="24" w:name="_Toc9192"/>
      <w:r/>
      <w:bookmarkStart w:id="25" w:name="_Toc24324"/>
      <w:r>
        <w:rPr>
          <w:rFonts w:hint="eastAsia"/>
          <w:b/>
          <w:bCs/>
          <w:sz w:val="40"/>
          <w:highlight w:val="none"/>
        </w:rPr>
        <w:t xml:space="preserve">第二章  投标人须知</w:t>
      </w:r>
      <w:bookmarkEnd w:id="19"/>
      <w:r/>
      <w:bookmarkEnd w:id="20"/>
      <w:r/>
      <w:bookmarkEnd w:id="21"/>
      <w:r/>
      <w:bookmarkEnd w:id="22"/>
      <w:r/>
      <w:bookmarkEnd w:id="23"/>
      <w:r/>
      <w:bookmarkEnd w:id="24"/>
      <w:r/>
      <w:bookmarkEnd w:id="25"/>
      <w:r>
        <w:rPr>
          <w:rFonts w:hint="eastAsia"/>
          <w:b/>
          <w:bCs/>
          <w:sz w:val="40"/>
          <w:highlight w:val="none"/>
        </w:rPr>
      </w:r>
      <w:r/>
    </w:p>
    <w:p>
      <w:pPr>
        <w:pStyle w:val="1063"/>
        <w:ind w:firstLine="720"/>
        <w:spacing w:line="360" w:lineRule="auto"/>
        <w:rPr>
          <w:rFonts w:hint="eastAsia" w:ascii="宋体" w:hAnsi="宋体" w:cs="宋体"/>
          <w:sz w:val="24"/>
          <w:szCs w:val="24"/>
          <w:highlight w:val="none"/>
        </w:rPr>
      </w:pPr>
      <w:r/>
      <w:bookmarkEnd w:id="15"/>
      <w:r/>
      <w:bookmarkEnd w:id="16"/>
      <w:r/>
      <w:bookmarkEnd w:id="18"/>
      <w:r/>
      <w:bookmarkStart w:id="26" w:name="_Hlt16619475"/>
      <w:r/>
      <w:bookmarkEnd w:id="26"/>
      <w:r>
        <w:rPr>
          <w:rFonts w:hint="eastAsia" w:ascii="宋体" w:hAnsi="宋体" w:cs="宋体"/>
          <w:sz w:val="24"/>
          <w:szCs w:val="24"/>
          <w:highlight w:val="none"/>
        </w:rPr>
      </w:r>
      <w:r/>
    </w:p>
    <w:p>
      <w:pPr>
        <w:pStyle w:val="1063"/>
        <w:ind w:firstLine="482"/>
        <w:jc w:val="center"/>
        <w:spacing w:line="360" w:lineRule="auto"/>
        <w:rPr>
          <w:rFonts w:ascii="宋体" w:hAnsi="宋体" w:cs="宋体"/>
          <w:b/>
          <w:bCs/>
          <w:sz w:val="24"/>
          <w:szCs w:val="24"/>
          <w:highlight w:val="none"/>
        </w:rPr>
      </w:pPr>
      <w:r>
        <w:rPr>
          <w:rFonts w:hint="eastAsia" w:ascii="宋体" w:hAnsi="宋体" w:cs="宋体"/>
          <w:b/>
          <w:bCs/>
          <w:sz w:val="24"/>
          <w:szCs w:val="24"/>
          <w:highlight w:val="none"/>
        </w:rPr>
        <w:t xml:space="preserve">投标人须知前附表</w:t>
      </w:r>
      <w:r>
        <w:rPr>
          <w:rFonts w:ascii="宋体" w:hAnsi="宋体" w:cs="宋体"/>
          <w:b/>
          <w:bCs/>
          <w:sz w:val="24"/>
          <w:szCs w:val="24"/>
          <w:highlight w:val="none"/>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27" w:name="_Toc14072"/>
      <w:r>
        <w:rPr>
          <w:rFonts w:hint="eastAsia" w:ascii="宋体" w:hAnsi="宋体" w:eastAsia="宋体" w:cs="宋体"/>
          <w:sz w:val="28"/>
          <w:szCs w:val="28"/>
          <w:highlight w:val="none"/>
        </w:rPr>
        <w:t xml:space="preserve">一、总则</w:t>
      </w:r>
      <w:bookmarkEnd w:id="27"/>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适用法律</w:t>
      </w:r>
      <w:r>
        <w:rPr>
          <w:rFonts w:ascii="宋体" w:hAnsi="宋体" w:cs="宋体"/>
          <w:sz w:val="24"/>
          <w:szCs w:val="24"/>
          <w:highlight w:val="none"/>
        </w:rPr>
      </w:r>
      <w:r/>
    </w:p>
    <w:p>
      <w:pPr>
        <w:pStyle w:val="1063"/>
        <w:ind w:firstLine="480"/>
        <w:jc w:val="left"/>
        <w:spacing w:line="480" w:lineRule="exact"/>
        <w:rPr>
          <w:rFonts w:ascii="宋体" w:hAnsi="宋体" w:cs="宋体"/>
          <w:highlight w:val="none"/>
        </w:rPr>
      </w:pPr>
      <w:r>
        <w:rPr>
          <w:rFonts w:hint="eastAsia" w:ascii="宋体" w:hAnsi="宋体" w:cs="宋体"/>
          <w:sz w:val="24"/>
          <w:szCs w:val="24"/>
          <w:highlight w:val="none"/>
        </w:rPr>
        <w:t xml:space="preserve">1.1《中华人民共和国政府采购法》、《中华人民共和国政府采购法实施条例》、《政府采购货物和服务招标投标管理办法》等有关法律、规章和规定等。</w:t>
      </w:r>
      <w:r>
        <w:rPr>
          <w:rFonts w:ascii="宋体" w:hAnsi="宋体" w:cs="宋体"/>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定义</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2.1“采购人”指依法进行政府采购的国家机关、事业单位、团体组织。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2.2“使用单位”是指使用货物、服务的单位。</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2.3“采购代理”是指集中采购机构和集中采购机构以外的采购代理机构。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2.4“投标人”“供应商”是指向采购人提供货物、工程或者服务的法人、其他组织或者自然人。</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2.5“产品”指本招标文件中所述产品及相关服务。</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eastAsia="宋体" w:cs="宋体"/>
          <w:sz w:val="24"/>
          <w:szCs w:val="24"/>
          <w:highlight w:val="none"/>
          <w:lang w:val="en-US" w:eastAsia="zh-CN"/>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政策功能</w:t>
      </w:r>
      <w:r>
        <w:rPr>
          <w:rFonts w:ascii="宋体" w:hAnsi="宋体" w:eastAsia="宋体" w:cs="宋体"/>
          <w:sz w:val="24"/>
          <w:szCs w:val="24"/>
          <w:highlight w:val="none"/>
          <w:lang w:val="en-US" w:eastAsia="zh-CN"/>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3.1中小企业、监狱企业及残疾人福利性单位政策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3.1.1政府采购促进中小企业发展，在政府采购活动中，供应商提供的货物、工程或者服务符合下列情形的，享受中小企业扶持政策：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（1）在货物采购项目中，货物由中小企业制造，即货物由中小企业生产且使用该中小企业商号或者注册商标；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（2）在工程采购项目中，工程由中小企业承建，即工程施工单位为中小企业；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3.1.2在货物采购项目中，供应商提供的货物既有中小企业制造货物，也有大型企业制造货物的，不享受中小企业扶持政策。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3.1.3以联合体形式参加政府采购活动，联合体各方均为中小企业的，联合体视同中小企业。其中，联合体各方均为小微企业的，联合体视同小微企业。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3.1.4中小企业供应商参加政府采购活动，应当出具《中小企业声明函》（格式见后附件），否则不得享受相关中小企业扶持政策。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3.1.5中小企业，是指在中华人民共和国境内依法设立，依据国务院批准的中小企业划分标准（详见《关于印发中小企业划型标准规定的通知》工信部联企业〔2011〕300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3.1.6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3.1.7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3.2节能产品政策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3.2.2参加政府采购活动的节能产品投标人应当提供国家确定的认证机构出具的、处于有效期之内的节能产品认证证书。</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3.3环境标志产品政策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3.3.2参加政府采购活动的环境标志产品投标人应当提供国家确定的认证机构出具的、处于有效期之内的环境标志产品认证证书。</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3.4进口产品政策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3.4.1除招标公告载明接受进口产品参加外，不允许进口产品参加。进口产品认定依照《财政部关于政府采购进口产品管理有关问题的通知》（财办库〔2008〕248号）的规定。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3.4.2允许进口产品参加的，满足需求的国内产品可以参加。</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3.4.3允许进口产品参加的，优先采购向我国企业转让技术、与我国企业签订消化吸收再创新方案的投标人的进口产品。</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3.4.4未按要求提供相关材料的，不享受相关政策。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3.5采购本国产品的支持政策</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3.5.1政府采购活动中既有本国产品又有非本国产品参与竞争的，依法对本国产品给予价格评审优惠，对本国产品的报价给予20%的价格扣除，用扣除后的价格参与评审。</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3.5.5供应商需按照招标文件的要求提供《关于符合本国产品标准的声明函》（以下简称《声明函》），如不提供将不享受本国产品价格评审优惠。</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3.5.6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sz w:val="24"/>
          <w:szCs w:val="24"/>
          <w:highlight w:val="none"/>
        </w:rPr>
      </w:r>
      <w:r/>
    </w:p>
    <w:p>
      <w:pPr>
        <w:pStyle w:val="1063"/>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3.5.7评审过程中，如发现供应商在《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4、投标费用</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4.1投标人应自行承担所有与参加投标有关的费用，无论投标过程中的做法和结果如何，南京达琛鑫工程咨询有限公司（以下简称采购代理机构）在任何情况下均无义务和责任承担这些费用。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4.2本次招标收取标书费。</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cs="宋体"/>
          <w:sz w:val="24"/>
          <w:szCs w:val="24"/>
          <w:highlight w:val="none"/>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28" w:name="_Toc9795"/>
      <w:r>
        <w:rPr>
          <w:rFonts w:hint="eastAsia" w:ascii="宋体" w:hAnsi="宋体" w:eastAsia="宋体" w:cs="宋体"/>
          <w:sz w:val="28"/>
          <w:szCs w:val="28"/>
          <w:highlight w:val="none"/>
        </w:rPr>
        <w:t xml:space="preserve">二、招标文件</w:t>
      </w:r>
      <w:bookmarkEnd w:id="28"/>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、招标文件构成</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5.1 招标文件由以下部分组成：</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第一章  投标邀请（招标公告）</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第二章  投标人须知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第三章  合同条款及格式</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第四章  采购需求</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第五章  评标方法与评标标准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第六章  投标文件格式</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投标人应仔细检查招标文件是否齐全，如有缺漏请立即与代理机构联系解决。</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5.3招标的最小单位是标段。招标货物数量及技术要求中未分标段的，投标人对要求提供的货物不得部分投标；招标货物数量及技术要求中已经分标段的，可以以标段为单位投标。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5.4 采购代理机构如果要求投标人按照招标文件规定提交备选投标方案的，投标人可以提交备选方案；否则，备选方案将被拒绝。</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、招标文件的澄清</w:t>
      </w:r>
      <w:r>
        <w:rPr>
          <w:rFonts w:ascii="宋体" w:hAnsi="宋体" w:cs="宋体"/>
          <w:sz w:val="24"/>
          <w:szCs w:val="24"/>
          <w:highlight w:val="none"/>
        </w:rPr>
      </w:r>
      <w:r/>
    </w:p>
    <w:p>
      <w:pPr>
        <w:pStyle w:val="1063"/>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任何要求对招标文件进行澄清的投标人，应在投标截止日前按招标公告中的通讯地址，以书面形式通知采购代理机构。</w:t>
      </w:r>
      <w:r>
        <w:rPr>
          <w:rFonts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、招标文件的修改</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7.1 在投标截止时间前，代理机构可以对招标文件进行修改。招标文件的修改将在原公告媒体发布更正公告，更正内容将作为招标文件的组成部分，并对投标人具有约束力。</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7.2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 w:val="24"/>
          <w:szCs w:val="24"/>
          <w:highlight w:val="none"/>
        </w:rPr>
      </w:r>
      <w:r/>
    </w:p>
    <w:p>
      <w:pPr>
        <w:pStyle w:val="1063"/>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7.3 代理机构有权按照法定的要求推迟投标截止日期和开标日期，并在原公告媒体发布更正公告。</w:t>
      </w:r>
      <w:r>
        <w:rPr>
          <w:rFonts w:hint="eastAsia" w:ascii="宋体" w:hAnsi="宋体" w:cs="宋体"/>
          <w:sz w:val="24"/>
          <w:szCs w:val="24"/>
          <w:highlight w:val="none"/>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29" w:name="_Toc6572"/>
      <w:r>
        <w:rPr>
          <w:rFonts w:hint="eastAsia" w:ascii="宋体" w:hAnsi="宋体" w:eastAsia="宋体" w:cs="宋体"/>
          <w:sz w:val="28"/>
          <w:szCs w:val="28"/>
          <w:highlight w:val="none"/>
        </w:rPr>
        <w:t xml:space="preserve">三、投标文件的编制</w:t>
      </w:r>
      <w:bookmarkEnd w:id="29"/>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8</w:t>
      </w:r>
      <w:r>
        <w:rPr>
          <w:rFonts w:hint="eastAsia" w:ascii="宋体" w:hAnsi="宋体" w:cs="宋体"/>
          <w:sz w:val="24"/>
          <w:szCs w:val="24"/>
          <w:highlight w:val="none"/>
        </w:rPr>
        <w:t xml:space="preserve">、投标文件的语言及度量衡单位</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8.1 投标人提交的投标文件以及投标人与代理机构就有关投标的所有来往通知、函件和文件均应使用简体中文。</w:t>
      </w:r>
      <w:r>
        <w:rPr>
          <w:rFonts w:hint="eastAsia" w:ascii="宋体" w:hAnsi="宋体" w:cs="宋体"/>
          <w:sz w:val="24"/>
          <w:szCs w:val="24"/>
          <w:highlight w:val="none"/>
        </w:rPr>
      </w:r>
      <w:r/>
    </w:p>
    <w:p>
      <w:pPr>
        <w:pStyle w:val="1063"/>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8.2 除技术性能另有规定外，投标文件所使用的度量衡单位，均须采用国家法定计量单位。</w:t>
      </w:r>
      <w:r>
        <w:rPr>
          <w:rFonts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9</w:t>
      </w:r>
      <w:r>
        <w:rPr>
          <w:rFonts w:hint="eastAsia" w:ascii="宋体" w:hAnsi="宋体" w:cs="宋体"/>
          <w:sz w:val="24"/>
          <w:szCs w:val="24"/>
          <w:highlight w:val="none"/>
        </w:rPr>
        <w:t xml:space="preserve">、投标文件</w:t>
      </w:r>
      <w:r>
        <w:rPr>
          <w:rFonts w:hint="eastAsia" w:ascii="宋体" w:hAnsi="宋体" w:cs="宋体"/>
          <w:sz w:val="24"/>
          <w:szCs w:val="24"/>
          <w:highlight w:val="none"/>
          <w:lang w:val="en-US" w:eastAsia="zh-CN"/>
        </w:rPr>
        <w:t xml:space="preserve">构成</w:t>
      </w:r>
      <w:r>
        <w:rPr>
          <w:rFonts w:hint="eastAsia" w:ascii="宋体" w:hAnsi="宋体" w:eastAsia="宋体" w:cs="宋体"/>
          <w:sz w:val="24"/>
          <w:szCs w:val="24"/>
          <w:highlight w:val="none"/>
          <w:lang w:val="en-US" w:eastAsia="zh-CN"/>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9.2 如标书制作工具中格式和内容与“江苏政府采购网”发布的招标文件不一致，</w:t>
      </w:r>
      <w:r>
        <w:rPr>
          <w:rFonts w:hint="eastAsia" w:ascii="宋体" w:hAnsi="宋体" w:eastAsia="宋体" w:cs="宋体"/>
          <w:b/>
          <w:bCs/>
          <w:sz w:val="24"/>
          <w:szCs w:val="24"/>
          <w:highlight w:val="none"/>
        </w:rPr>
        <w:t xml:space="preserve">以招标文件内的格式为准。</w:t>
      </w:r>
      <w:r>
        <w:rPr>
          <w:rFonts w:hint="eastAsia" w:ascii="宋体" w:hAnsi="宋体" w:eastAsia="宋体" w:cs="宋体"/>
          <w:b/>
          <w:bCs/>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、证明投标人及投标标的符合招标文件规定的文件</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10.1 投标人应按照法律、法规、规章和规范性文件以及招标文件要求提交证明文件，证明其及投标标的符合招标文件规定。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10.2 招标文件对证明文件无明确形式要求的，证明文件可以以文字资料、图纸和数据等形式提交。</w:t>
      </w:r>
      <w:r>
        <w:rPr>
          <w:rFonts w:hint="eastAsia" w:ascii="宋体" w:hAnsi="宋体" w:cs="宋体"/>
          <w:sz w:val="24"/>
          <w:szCs w:val="24"/>
          <w:highlight w:val="none"/>
        </w:rPr>
      </w:r>
      <w:r/>
    </w:p>
    <w:p>
      <w:pPr>
        <w:pStyle w:val="1063"/>
        <w:ind w:firstLine="482"/>
        <w:jc w:val="left"/>
        <w:spacing w:line="480" w:lineRule="exact"/>
        <w:tabs>
          <w:tab w:val="left" w:pos="1035" w:leader="none"/>
        </w:tabs>
        <w:rPr>
          <w:rFonts w:ascii="宋体" w:hAnsi="宋体" w:cs="宋体"/>
          <w:b/>
          <w:bCs/>
          <w:sz w:val="24"/>
          <w:szCs w:val="24"/>
          <w:highlight w:val="none"/>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投标</w:t>
      </w:r>
      <w:r>
        <w:rPr>
          <w:rFonts w:hint="eastAsia" w:ascii="宋体" w:hAnsi="宋体" w:cs="宋体"/>
          <w:b/>
          <w:bCs/>
          <w:sz w:val="24"/>
          <w:szCs w:val="24"/>
          <w:highlight w:val="none"/>
        </w:rPr>
        <w:t xml:space="preserve">报价明细表</w:t>
      </w:r>
      <w:r>
        <w:rPr>
          <w:rFonts w:ascii="宋体" w:hAnsi="宋体" w:cs="宋体"/>
          <w:b/>
          <w:bCs/>
          <w:sz w:val="24"/>
          <w:szCs w:val="24"/>
          <w:highlight w:val="none"/>
        </w:rPr>
      </w:r>
      <w:r/>
    </w:p>
    <w:p>
      <w:pPr>
        <w:pStyle w:val="1063"/>
        <w:ind w:firstLine="480"/>
        <w:spacing w:line="480" w:lineRule="exact"/>
        <w:tabs>
          <w:tab w:val="left" w:pos="1035" w:leader="none"/>
        </w:tabs>
        <w:rPr>
          <w:rFonts w:hint="eastAsia" w:ascii="宋体" w:hAnsi="宋体" w:cs="宋体"/>
          <w:sz w:val="24"/>
          <w:szCs w:val="24"/>
          <w:highlight w:val="none"/>
        </w:rPr>
      </w:pPr>
      <w:r>
        <w:rPr>
          <w:rFonts w:hint="eastAsia" w:ascii="宋体" w:hAnsi="宋体" w:cs="宋体"/>
          <w:sz w:val="24"/>
          <w:szCs w:val="24"/>
          <w:highlight w:val="none"/>
        </w:rPr>
        <w:t xml:space="preserve">11.1 投标人应按照招标文件规定格式填报投标报价明细表。</w:t>
      </w:r>
      <w:r>
        <w:rPr>
          <w:rFonts w:hint="eastAsia" w:ascii="宋体" w:hAnsi="宋体" w:cs="宋体"/>
          <w:sz w:val="24"/>
          <w:szCs w:val="24"/>
          <w:highlight w:val="none"/>
        </w:rPr>
      </w:r>
      <w:r/>
    </w:p>
    <w:p>
      <w:pPr>
        <w:pStyle w:val="1063"/>
        <w:ind w:firstLine="480"/>
        <w:jc w:val="left"/>
        <w:spacing w:line="360" w:lineRule="auto"/>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rPr>
        <w:t xml:space="preserve">11.2 投标货币。投标文件中的单价和总价无特殊规定的采用人民币报价，以元为单位标注。招标文件中另有规定的按规定执行。</w:t>
      </w:r>
      <w:r>
        <w:rPr>
          <w:rFonts w:hint="eastAsia" w:ascii="宋体" w:hAnsi="宋体" w:cs="宋体"/>
          <w:sz w:val="24"/>
          <w:szCs w:val="24"/>
          <w:highlight w:val="none"/>
          <w:lang w:val="zh-CN"/>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、响应及</w:t>
      </w:r>
      <w:r>
        <w:rPr>
          <w:rFonts w:hint="eastAsia" w:ascii="宋体" w:hAnsi="宋体" w:cs="宋体"/>
          <w:sz w:val="24"/>
          <w:szCs w:val="24"/>
          <w:highlight w:val="none"/>
          <w:lang w:val="en-US" w:eastAsia="zh-CN"/>
        </w:rPr>
        <w:t xml:space="preserve">偏离</w:t>
      </w:r>
      <w:r>
        <w:rPr>
          <w:rFonts w:hint="eastAsia" w:ascii="宋体" w:hAnsi="宋体" w:cs="宋体"/>
          <w:sz w:val="24"/>
          <w:szCs w:val="24"/>
          <w:highlight w:val="none"/>
        </w:rPr>
        <w:t xml:space="preserve">表</w:t>
      </w:r>
      <w:r>
        <w:rPr>
          <w:rFonts w:ascii="宋体" w:hAnsi="宋体" w:cs="宋体"/>
          <w:sz w:val="24"/>
          <w:szCs w:val="24"/>
          <w:highlight w:val="none"/>
        </w:rPr>
      </w:r>
      <w:r/>
    </w:p>
    <w:p>
      <w:pPr>
        <w:pStyle w:val="1063"/>
        <w:ind w:firstLine="480"/>
        <w:jc w:val="left"/>
        <w:spacing w:line="48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12.1 投标人需对招标文件中的技术要求与商务要求逐项作出响应或偏离说明。</w:t>
      </w:r>
      <w:r>
        <w:rPr>
          <w:rFonts w:hint="eastAsia" w:ascii="宋体" w:hAnsi="宋体" w:cs="宋体"/>
          <w:sz w:val="24"/>
          <w:szCs w:val="24"/>
          <w:highlight w:val="none"/>
          <w:lang w:val="zh-CN"/>
        </w:rPr>
      </w:r>
      <w:r/>
    </w:p>
    <w:p>
      <w:pPr>
        <w:pStyle w:val="1063"/>
        <w:ind w:firstLine="480"/>
        <w:jc w:val="left"/>
        <w:spacing w:line="48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12.2 投标人可以在投标文件中提供认为需要的其他技术文件或说明。</w:t>
      </w:r>
      <w:r>
        <w:rPr>
          <w:rFonts w:hint="eastAsia" w:ascii="宋体" w:hAnsi="宋体" w:cs="宋体"/>
          <w:sz w:val="24"/>
          <w:szCs w:val="24"/>
          <w:highlight w:val="none"/>
          <w:lang w:val="zh-CN"/>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、投标函和开标一览表</w:t>
      </w:r>
      <w:r>
        <w:rPr>
          <w:rFonts w:ascii="宋体" w:hAnsi="宋体" w:cs="宋体"/>
          <w:sz w:val="24"/>
          <w:szCs w:val="24"/>
          <w:highlight w:val="none"/>
        </w:rPr>
      </w:r>
      <w:r/>
    </w:p>
    <w:p>
      <w:pPr>
        <w:pStyle w:val="1063"/>
        <w:ind w:firstLine="480"/>
        <w:jc w:val="left"/>
        <w:spacing w:line="480" w:lineRule="exact"/>
        <w:tabs>
          <w:tab w:val="left" w:pos="1035" w:leader="none"/>
        </w:tabs>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13.1 投标人应按照招标文件提供的格式完整、正确填写投标函、开标一览表，所投核心产品品牌缺项的将视为无效投标。</w:t>
      </w:r>
      <w:r>
        <w:rPr>
          <w:rFonts w:hint="eastAsia" w:ascii="宋体" w:hAnsi="宋体" w:cs="宋体"/>
          <w:sz w:val="24"/>
          <w:szCs w:val="24"/>
          <w:highlight w:val="none"/>
          <w:lang w:val="zh-CN"/>
        </w:rPr>
      </w:r>
      <w:r/>
    </w:p>
    <w:p>
      <w:pPr>
        <w:pStyle w:val="1063"/>
        <w:ind w:firstLine="480"/>
        <w:jc w:val="left"/>
        <w:spacing w:line="480" w:lineRule="exact"/>
        <w:tabs>
          <w:tab w:val="left" w:pos="1035" w:leader="none"/>
        </w:tabs>
        <w:rPr>
          <w:rFonts w:ascii="宋体" w:hAnsi="宋体" w:cs="宋体"/>
          <w:b/>
          <w:bCs/>
          <w:sz w:val="24"/>
          <w:szCs w:val="24"/>
          <w:highlight w:val="none"/>
        </w:rPr>
      </w:pPr>
      <w:r>
        <w:rPr>
          <w:rFonts w:hint="eastAsia" w:ascii="宋体" w:hAnsi="宋体" w:cs="宋体"/>
          <w:sz w:val="24"/>
          <w:szCs w:val="24"/>
          <w:highlight w:val="none"/>
          <w:lang w:val="zh-CN"/>
        </w:rPr>
        <w:t xml:space="preserve">13.2 对于采用货币报价的项目，开标一览表中的投标总报价应与投标报价明细表中的投标总报价一致，如不一致，不作为无效投标处理，但评标时按开标一览表中价格为准。</w:t>
      </w:r>
      <w:r>
        <w:rPr>
          <w:rFonts w:ascii="宋体" w:hAnsi="宋体" w:cs="宋体"/>
          <w:b/>
          <w:bCs/>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、投标</w:t>
      </w:r>
      <w:r>
        <w:rPr>
          <w:rFonts w:hint="eastAsia" w:ascii="宋体" w:hAnsi="宋体" w:cs="宋体"/>
          <w:sz w:val="24"/>
          <w:szCs w:val="24"/>
          <w:highlight w:val="none"/>
          <w:lang w:val="en-US" w:eastAsia="zh-CN"/>
        </w:rPr>
        <w:t xml:space="preserve">有效期</w:t>
      </w:r>
      <w:r>
        <w:rPr>
          <w:rFonts w:hint="eastAsia" w:ascii="宋体" w:hAnsi="宋体" w:eastAsia="宋体" w:cs="宋体"/>
          <w:sz w:val="24"/>
          <w:szCs w:val="24"/>
          <w:highlight w:val="none"/>
          <w:lang w:val="en-US" w:eastAsia="zh-CN"/>
        </w:rPr>
      </w:r>
      <w:r/>
    </w:p>
    <w:p>
      <w:pPr>
        <w:pStyle w:val="1063"/>
        <w:ind w:firstLine="480"/>
        <w:jc w:val="left"/>
        <w:spacing w:line="480" w:lineRule="exact"/>
        <w:rPr>
          <w:rFonts w:hint="eastAsia" w:ascii="宋体" w:hAnsi="宋体" w:cs="宋体"/>
          <w:b/>
          <w:bCs/>
          <w:i/>
          <w:iCs/>
          <w:sz w:val="24"/>
          <w:szCs w:val="24"/>
          <w:highlight w:val="none"/>
          <w:u w:val="single"/>
        </w:rPr>
      </w:pPr>
      <w:r>
        <w:rPr>
          <w:rFonts w:hint="eastAsia" w:ascii="宋体" w:hAnsi="宋体" w:cs="宋体"/>
          <w:b w:val="0"/>
          <w:bCs w:val="0"/>
          <w:i w:val="0"/>
          <w:iCs w:val="0"/>
          <w:sz w:val="24"/>
          <w:szCs w:val="24"/>
          <w:highlight w:val="none"/>
          <w:u w:val="single"/>
        </w:rPr>
        <w:t xml:space="preserve">14.1 投标有效期为开标之日后九十天。投标有效期比规定短的将被视为未实质性响应招标文件而予以拒绝。</w:t>
      </w:r>
      <w:r>
        <w:rPr>
          <w:rFonts w:hint="eastAsia" w:ascii="宋体" w:hAnsi="宋体" w:cs="宋体"/>
          <w:b/>
          <w:bCs/>
          <w:i/>
          <w:iCs/>
          <w:sz w:val="24"/>
          <w:szCs w:val="24"/>
          <w:highlight w:val="none"/>
          <w:u w:val="singl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、投标有效期的延长</w:t>
      </w:r>
      <w:r>
        <w:rPr>
          <w:rFonts w:ascii="宋体" w:hAnsi="宋体" w:cs="宋体"/>
          <w:sz w:val="24"/>
          <w:szCs w:val="24"/>
          <w:highlight w:val="none"/>
        </w:rPr>
      </w:r>
      <w:r/>
    </w:p>
    <w:p>
      <w:pPr>
        <w:pStyle w:val="1066"/>
        <w:numPr>
          <w:ilvl w:val="2"/>
          <w:numId w:val="0"/>
        </w:numPr>
        <w:ind w:firstLine="480"/>
        <w:jc w:val="left"/>
        <w:spacing w:before="0" w:after="0" w:line="480" w:lineRule="exact"/>
        <w:tabs>
          <w:tab w:val="left" w:pos="720" w:leader="none"/>
          <w:tab w:val="left" w:pos="794" w:leader="none"/>
        </w:tabs>
        <w:rPr>
          <w:rFonts w:ascii="宋体" w:hAnsi="宋体" w:cs="宋体"/>
          <w:b w:val="0"/>
          <w:bCs w:val="0"/>
          <w:sz w:val="24"/>
          <w:szCs w:val="24"/>
          <w:highlight w:val="none"/>
        </w:rPr>
      </w:pPr>
      <w:r>
        <w:rPr>
          <w:rFonts w:hint="eastAsia" w:ascii="宋体" w:hAnsi="宋体" w:cs="宋体"/>
          <w:b w:val="0"/>
          <w:bCs w:val="0"/>
          <w:sz w:val="24"/>
          <w:szCs w:val="24"/>
          <w:highlight w:val="none"/>
        </w:rPr>
        <w:t xml:space="preserve">15.1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ascii="宋体" w:hAnsi="宋体" w:cs="宋体"/>
          <w:b w:val="0"/>
          <w:bCs w:val="0"/>
          <w:sz w:val="24"/>
          <w:szCs w:val="24"/>
          <w:highlight w:val="none"/>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30" w:name="_Toc27142"/>
      <w:r>
        <w:rPr>
          <w:rFonts w:hint="eastAsia" w:ascii="宋体" w:hAnsi="宋体" w:eastAsia="宋体" w:cs="宋体"/>
          <w:sz w:val="28"/>
          <w:szCs w:val="28"/>
          <w:highlight w:val="none"/>
        </w:rPr>
        <w:t xml:space="preserve">四、投标文件的递交</w:t>
      </w:r>
      <w:bookmarkEnd w:id="30"/>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、投标文件的递交</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16.1 电子投标文件的递交</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投标人应当按照《操作手册》规定，在投标截止时间前制作并上传电子投标文件。</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17</w:t>
      </w:r>
      <w:r>
        <w:rPr>
          <w:rFonts w:hint="eastAsia" w:ascii="宋体" w:hAnsi="宋体" w:cs="宋体"/>
          <w:sz w:val="24"/>
          <w:szCs w:val="24"/>
          <w:highlight w:val="none"/>
        </w:rPr>
        <w:t xml:space="preserve">、投标截止时间</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17.1 投标人上传电子投标文件的时间不得迟于招标公告中规定的投标截止时间。</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投标人应充分考虑网络环境、网络带宽等因素可能对投标产生的影响，如因投标人自身原因造成的电子投标文件解密不成功的，做无效投标处理。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17.2 代理机构可以按照规定，通过修改招标文件酌情延长投标截止时间，在此情况下，投标人的所有权利和义务以及投标人受制的截止时间均应以延长后新的截止时间为准。</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18</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投标</w:t>
      </w:r>
      <w:r>
        <w:rPr>
          <w:rFonts w:hint="eastAsia" w:ascii="宋体" w:hAnsi="宋体" w:cs="宋体"/>
          <w:sz w:val="24"/>
          <w:szCs w:val="24"/>
          <w:highlight w:val="none"/>
        </w:rPr>
        <w:t xml:space="preserve">文件的拒收</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18.1代理机构拒绝接收投标截止时间后上传的任何投标文件。</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19</w:t>
      </w:r>
      <w:r>
        <w:rPr>
          <w:rFonts w:hint="eastAsia" w:ascii="宋体" w:hAnsi="宋体" w:cs="宋体"/>
          <w:sz w:val="24"/>
          <w:szCs w:val="24"/>
          <w:highlight w:val="none"/>
        </w:rPr>
        <w:t xml:space="preserve">、投标文件的撤回和修改</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19.1 投标文件的撤回</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19.1.1电子投标文件的撤回</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投标人可在投标截止时间前，撤回其电子投标文件，具体操作方法见《操作手册》。</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19.1.2投标人撤回电子投标文件，则认为其不再参与本项目投标活动。</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19.2 投标文件的修改</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19.2.1投标人可在投标截止时间前，对其电子投标文件进行修改，具体操作方法见《操作手册》。</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19.2.2在投标截止时间之后，投标人不得对其电子投标文件作任何修改。</w:t>
      </w:r>
      <w:r>
        <w:rPr>
          <w:rFonts w:hint="eastAsia" w:ascii="宋体" w:hAnsi="宋体" w:cs="宋体"/>
          <w:sz w:val="24"/>
          <w:szCs w:val="24"/>
          <w:highlight w:val="none"/>
        </w:rPr>
      </w:r>
      <w:r/>
    </w:p>
    <w:p>
      <w:pPr>
        <w:pStyle w:val="1063"/>
        <w:ind w:firstLine="480"/>
        <w:jc w:val="left"/>
        <w:spacing w:line="480" w:lineRule="exact"/>
        <w:rPr>
          <w:rFonts w:hint="eastAsia" w:ascii="宋体" w:hAnsi="宋体" w:eastAsia="宋体" w:cs="宋体"/>
          <w:sz w:val="24"/>
          <w:szCs w:val="24"/>
          <w:highlight w:val="none"/>
          <w:lang w:val="en-US" w:eastAsia="zh-CN"/>
        </w:rPr>
      </w:pPr>
      <w:r>
        <w:rPr>
          <w:rFonts w:hint="eastAsia" w:ascii="宋体" w:hAnsi="宋体" w:cs="宋体"/>
          <w:sz w:val="24"/>
          <w:szCs w:val="24"/>
          <w:highlight w:val="none"/>
        </w:rPr>
        <w:t xml:space="preserve">19.3 在投标截止时间至招标文件中规定的投标有效期满之间的这段时间内，投标人不得撤回其投标</w:t>
      </w:r>
      <w:r>
        <w:rPr>
          <w:rFonts w:hint="eastAsia" w:ascii="宋体" w:hAnsi="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31" w:name="_Toc28134"/>
      <w:r>
        <w:rPr>
          <w:rFonts w:hint="eastAsia" w:ascii="宋体" w:hAnsi="宋体" w:eastAsia="宋体" w:cs="宋体"/>
          <w:sz w:val="28"/>
          <w:szCs w:val="28"/>
          <w:highlight w:val="none"/>
        </w:rPr>
        <w:t xml:space="preserve">五、</w:t>
      </w:r>
      <w:r>
        <w:rPr>
          <w:rFonts w:hint="eastAsia" w:ascii="宋体" w:hAnsi="宋体" w:eastAsia="宋体" w:cs="宋体"/>
          <w:sz w:val="28"/>
          <w:szCs w:val="28"/>
          <w:highlight w:val="none"/>
          <w:lang w:val="en-US" w:eastAsia="zh-CN"/>
        </w:rPr>
        <w:t xml:space="preserve">解密</w:t>
      </w:r>
      <w:r>
        <w:rPr>
          <w:rFonts w:hint="eastAsia" w:ascii="宋体" w:hAnsi="宋体" w:eastAsia="宋体" w:cs="宋体"/>
          <w:sz w:val="28"/>
          <w:szCs w:val="28"/>
          <w:highlight w:val="none"/>
        </w:rPr>
        <w:t xml:space="preserve">与评标</w:t>
      </w:r>
      <w:bookmarkEnd w:id="31"/>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解密</w:t>
      </w:r>
      <w:r>
        <w:rPr>
          <w:rFonts w:ascii="宋体" w:hAnsi="宋体" w:cs="宋体"/>
          <w:sz w:val="24"/>
          <w:szCs w:val="24"/>
          <w:highlight w:val="none"/>
        </w:rPr>
      </w:r>
      <w:r/>
    </w:p>
    <w:p>
      <w:pPr>
        <w:pStyle w:val="1063"/>
        <w:ind w:firstLine="420"/>
        <w:spacing w:line="360" w:lineRule="auto"/>
        <w:rPr>
          <w:rFonts w:ascii="宋体" w:hAnsi="宋体" w:cs="宋体"/>
          <w:sz w:val="24"/>
          <w:szCs w:val="24"/>
          <w:highlight w:val="none"/>
          <w:lang w:val="zh-CN"/>
        </w:rPr>
      </w:pPr>
      <w:r>
        <w:rPr>
          <w:rFonts w:ascii="宋体" w:hAnsi="宋体" w:cs="宋体"/>
          <w:sz w:val="24"/>
          <w:szCs w:val="24"/>
          <w:highlight w:val="none"/>
          <w:lang w:val="zh-CN"/>
        </w:rPr>
        <w:t xml:space="preserve">2</w:t>
      </w:r>
      <w:r>
        <w:rPr>
          <w:rFonts w:ascii="宋体" w:hAnsi="宋体" w:cs="宋体"/>
          <w:sz w:val="24"/>
          <w:szCs w:val="24"/>
          <w:highlight w:val="none"/>
        </w:rPr>
        <w:t xml:space="preserve">0</w:t>
      </w:r>
      <w:r>
        <w:rPr>
          <w:rFonts w:ascii="宋体" w:hAnsi="宋体" w:cs="宋体"/>
          <w:sz w:val="24"/>
          <w:szCs w:val="24"/>
          <w:highlight w:val="none"/>
          <w:lang w:val="zh-CN"/>
        </w:rPr>
        <w:t xml:space="preserve">.1 代理机构将在招标公告中规定的时间和地点组织公开开标。投标人应当按照《操作手册》规定，在苏采云系统规定的时间内对</w:t>
      </w:r>
      <w:r>
        <w:rPr>
          <w:rFonts w:ascii="宋体" w:hAnsi="宋体" w:cs="宋体"/>
          <w:sz w:val="24"/>
          <w:szCs w:val="24"/>
          <w:highlight w:val="none"/>
        </w:rPr>
        <w:t xml:space="preserve">投标</w:t>
      </w:r>
      <w:r>
        <w:rPr>
          <w:rFonts w:ascii="宋体" w:hAnsi="宋体" w:cs="宋体"/>
          <w:sz w:val="24"/>
          <w:szCs w:val="24"/>
          <w:highlight w:val="none"/>
          <w:lang w:val="zh-CN"/>
        </w:rPr>
        <w:t xml:space="preserve">文件进行解密。本项目采购文件规定的供应商按时在线解密方式：开启</w:t>
      </w:r>
      <w:r>
        <w:rPr>
          <w:rFonts w:ascii="宋体" w:hAnsi="宋体" w:cs="宋体"/>
          <w:sz w:val="24"/>
          <w:szCs w:val="24"/>
          <w:highlight w:val="none"/>
        </w:rPr>
        <w:t xml:space="preserve">后，在规定时间内</w:t>
      </w:r>
      <w:r>
        <w:rPr>
          <w:rFonts w:ascii="宋体" w:hAnsi="宋体" w:cs="宋体"/>
          <w:sz w:val="24"/>
          <w:szCs w:val="24"/>
          <w:highlight w:val="none"/>
          <w:lang w:val="zh-CN"/>
        </w:rPr>
        <w:t xml:space="preserve">通过“苏采云”系统（使用“CA数字证书”）解密；如因供应商自身原因造成的电子</w:t>
      </w:r>
      <w:r>
        <w:rPr>
          <w:rFonts w:ascii="宋体" w:hAnsi="宋体" w:cs="宋体"/>
          <w:sz w:val="24"/>
          <w:szCs w:val="24"/>
          <w:highlight w:val="none"/>
        </w:rPr>
        <w:t xml:space="preserve">投标</w:t>
      </w:r>
      <w:r>
        <w:rPr>
          <w:rFonts w:ascii="宋体" w:hAnsi="宋体" w:cs="宋体"/>
          <w:sz w:val="24"/>
          <w:szCs w:val="24"/>
          <w:highlight w:val="none"/>
          <w:lang w:val="zh-CN"/>
        </w:rPr>
        <w:t xml:space="preserve">文件未在规定时间内解密成功的，按照无效响应处理。</w:t>
      </w:r>
      <w:r>
        <w:rPr>
          <w:rFonts w:ascii="宋体" w:hAnsi="宋体" w:cs="宋体"/>
          <w:b/>
          <w:sz w:val="24"/>
          <w:szCs w:val="24"/>
          <w:highlight w:val="none"/>
          <w:lang w:val="zh-CN"/>
        </w:rPr>
        <w:t xml:space="preserve">供应商在开、评标全过程中应保持通讯畅通，并安排专人等候代理机构或评标委员会联系。</w:t>
      </w:r>
      <w:r>
        <w:rPr>
          <w:rFonts w:ascii="宋体" w:hAnsi="宋体" w:cs="宋体"/>
          <w:sz w:val="24"/>
          <w:szCs w:val="24"/>
          <w:highlight w:val="none"/>
          <w:lang w:val="zh-CN"/>
        </w:rPr>
      </w:r>
      <w:r/>
    </w:p>
    <w:p>
      <w:pPr>
        <w:pStyle w:val="1063"/>
        <w:ind w:firstLine="420"/>
        <w:spacing w:line="360" w:lineRule="auto"/>
        <w:rPr>
          <w:rFonts w:ascii="宋体" w:hAnsi="宋体" w:cs="宋体"/>
          <w:sz w:val="24"/>
          <w:szCs w:val="24"/>
          <w:highlight w:val="none"/>
          <w:lang w:val="zh-CN"/>
        </w:rPr>
      </w:pPr>
      <w:r>
        <w:rPr>
          <w:rFonts w:ascii="宋体" w:hAnsi="宋体" w:cs="宋体"/>
          <w:sz w:val="24"/>
          <w:szCs w:val="24"/>
          <w:highlight w:val="none"/>
          <w:lang w:val="zh-CN"/>
        </w:rPr>
        <w:t xml:space="preserve">2</w:t>
      </w:r>
      <w:r>
        <w:rPr>
          <w:rFonts w:ascii="宋体" w:hAnsi="宋体" w:cs="宋体"/>
          <w:sz w:val="24"/>
          <w:szCs w:val="24"/>
          <w:highlight w:val="none"/>
        </w:rPr>
        <w:t xml:space="preserve">0</w:t>
      </w:r>
      <w:r>
        <w:rPr>
          <w:rFonts w:ascii="宋体" w:hAnsi="宋体" w:cs="宋体"/>
          <w:sz w:val="24"/>
          <w:szCs w:val="24"/>
          <w:highlight w:val="none"/>
          <w:lang w:val="zh-CN"/>
        </w:rPr>
        <w:t xml:space="preserve">.2开标仪式由代理机构组织。苏采云系统将自动对项目进行开标，并公布各投标人名称和投标价格。</w:t>
      </w:r>
      <w:r>
        <w:rPr>
          <w:rFonts w:ascii="宋体" w:hAnsi="宋体" w:cs="宋体"/>
          <w:sz w:val="24"/>
          <w:szCs w:val="24"/>
          <w:highlight w:val="none"/>
          <w:lang w:val="zh-CN"/>
        </w:rPr>
      </w:r>
      <w:r/>
    </w:p>
    <w:p>
      <w:pPr>
        <w:pStyle w:val="1063"/>
        <w:ind w:firstLine="420"/>
        <w:spacing w:line="360" w:lineRule="auto"/>
        <w:rPr>
          <w:rFonts w:ascii="宋体" w:hAnsi="宋体" w:cs="宋体"/>
          <w:sz w:val="24"/>
          <w:szCs w:val="24"/>
          <w:highlight w:val="none"/>
          <w:lang w:val="zh-CN"/>
        </w:rPr>
      </w:pPr>
      <w:r>
        <w:rPr>
          <w:rFonts w:ascii="宋体" w:hAnsi="宋体" w:cs="宋体"/>
          <w:sz w:val="24"/>
          <w:szCs w:val="24"/>
          <w:highlight w:val="none"/>
          <w:lang w:val="zh-CN"/>
        </w:rPr>
        <w:t xml:space="preserve">2</w:t>
      </w:r>
      <w:r>
        <w:rPr>
          <w:rFonts w:ascii="宋体" w:hAnsi="宋体" w:cs="宋体"/>
          <w:sz w:val="24"/>
          <w:szCs w:val="24"/>
          <w:highlight w:val="none"/>
        </w:rPr>
        <w:t xml:space="preserve">0</w:t>
      </w:r>
      <w:r>
        <w:rPr>
          <w:rFonts w:ascii="宋体" w:hAnsi="宋体" w:cs="宋体"/>
          <w:sz w:val="24"/>
          <w:szCs w:val="24"/>
          <w:highlight w:val="none"/>
          <w:lang w:val="zh-CN"/>
        </w:rPr>
        <w:t xml:space="preserve">.3投标人在开标过程中涉及到的投标文件解密、开标结果确认等工作，应按照《操作手册》规定执行。</w:t>
      </w:r>
      <w:r>
        <w:rPr>
          <w:rFonts w:ascii="宋体" w:hAnsi="宋体" w:cs="宋体"/>
          <w:sz w:val="24"/>
          <w:szCs w:val="24"/>
          <w:highlight w:val="none"/>
          <w:lang w:val="zh-CN"/>
        </w:rPr>
      </w:r>
      <w:r/>
    </w:p>
    <w:p>
      <w:pPr>
        <w:pStyle w:val="1063"/>
        <w:ind w:firstLine="480"/>
        <w:jc w:val="left"/>
        <w:spacing w:line="360" w:lineRule="auto"/>
        <w:rPr>
          <w:rFonts w:ascii="宋体" w:hAnsi="宋体" w:cs="宋体"/>
          <w:sz w:val="24"/>
          <w:szCs w:val="24"/>
          <w:highlight w:val="none"/>
        </w:rPr>
      </w:pPr>
      <w:r>
        <w:rPr>
          <w:rFonts w:ascii="宋体" w:hAnsi="宋体" w:cs="宋体"/>
          <w:sz w:val="24"/>
          <w:szCs w:val="24"/>
          <w:highlight w:val="none"/>
          <w:lang w:val="zh-CN"/>
        </w:rPr>
        <w:t xml:space="preserve">2</w:t>
      </w:r>
      <w:r>
        <w:rPr>
          <w:rFonts w:ascii="宋体" w:hAnsi="宋体" w:cs="宋体"/>
          <w:sz w:val="24"/>
          <w:szCs w:val="24"/>
          <w:highlight w:val="none"/>
        </w:rPr>
        <w:t xml:space="preserve">0</w:t>
      </w:r>
      <w:r>
        <w:rPr>
          <w:rFonts w:ascii="宋体" w:hAnsi="宋体" w:cs="宋体"/>
          <w:sz w:val="24"/>
          <w:szCs w:val="24"/>
          <w:highlight w:val="none"/>
          <w:lang w:val="zh-CN"/>
        </w:rPr>
        <w:t xml:space="preserve">.4投标人如果对开标过程和开标记录有疑义，应当根据《操作手册》规定提出，如苏采云系统中《开标记录表》公布后</w:t>
      </w:r>
      <w:r>
        <w:rPr>
          <w:rFonts w:ascii="宋体" w:hAnsi="宋体" w:cs="宋体"/>
          <w:sz w:val="24"/>
          <w:szCs w:val="24"/>
          <w:highlight w:val="none"/>
        </w:rPr>
        <w:t xml:space="preserve">规定时间</w:t>
      </w:r>
      <w:r>
        <w:rPr>
          <w:rFonts w:ascii="宋体" w:hAnsi="宋体" w:cs="宋体"/>
          <w:sz w:val="24"/>
          <w:szCs w:val="24"/>
          <w:highlight w:val="none"/>
          <w:lang w:val="zh-CN"/>
        </w:rPr>
        <w:t xml:space="preserve">内未提出的，视同认可开标结果。投标人在开、评标全过程中应保持通讯畅通，及时登录苏采云系统查阅、答复相关信息，并安排专人与采购代理机构联系。</w:t>
      </w:r>
      <w:r>
        <w:rPr>
          <w:rFonts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、评标</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21.1 代理机构将组织评标委员会（以下简称评委会）进行评标。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21.2 评委会由采购人代表和有关技术、经济等方面的专家组成，且人员构成符合政府采购有关规定。</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21.3评委会独立工作，负责评审所有投标文件并推荐中标侯选人，或根据采购人委托直接确定中标人。</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rPr>
        <w:t xml:space="preserve">．评标过程的保密与公正</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22.1凡是与审查、澄清、评价和比较投标的有关资料以及授标建议等，采购人、评委、代理机构均不得向投标人或与评标无关的其他人员透露。</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22.2在评标过程中，投标人不得以任何行为影响评标过程，否则其投标文件将被作为无效投标文件。</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22.3 代理机构和评委会不向未中标的投标人解释未中标原因，也不公布评标过程中的相关细节。</w:t>
      </w:r>
      <w:r>
        <w:rPr>
          <w:rFonts w:hint="eastAsia" w:ascii="宋体" w:hAnsi="宋体" w:cs="宋体"/>
          <w:sz w:val="24"/>
          <w:szCs w:val="24"/>
          <w:highlight w:val="none"/>
        </w:rPr>
      </w:r>
      <w:r/>
    </w:p>
    <w:p>
      <w:pPr>
        <w:pStyle w:val="1106"/>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22.4 采用综合评分法的项目，未中标的投标人可于中标结果公告期限届满之日起通过苏采云系统查看自己的评审得分及排序情况。</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rPr>
        <w:t xml:space="preserve">．投标</w:t>
      </w:r>
      <w:r>
        <w:rPr>
          <w:rFonts w:hint="eastAsia" w:ascii="宋体" w:hAnsi="宋体" w:cs="宋体"/>
          <w:sz w:val="24"/>
          <w:szCs w:val="24"/>
          <w:highlight w:val="none"/>
          <w:lang w:val="en-US" w:eastAsia="zh-CN"/>
        </w:rPr>
        <w:t xml:space="preserve">文件</w:t>
      </w:r>
      <w:r>
        <w:rPr>
          <w:rFonts w:hint="eastAsia" w:ascii="宋体" w:hAnsi="宋体" w:cs="宋体"/>
          <w:sz w:val="24"/>
          <w:szCs w:val="24"/>
          <w:highlight w:val="none"/>
        </w:rPr>
        <w:t xml:space="preserve">的澄清</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23.3 接到评委会澄清、说明和补正要求的投标人如未按规定做出澄清、说明和补正，其风险由投标人自行承担。</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、对投标文件的初审</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24.1投标文件初审分为资格审查和符合性审查。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24.1.1资格审查：依据法律法规和招标文件的规定，由采购人对投标文件中的资格证明文件进行审查。资格审查的结论，采购人以书面形式向评委会进行反馈。</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24.1.1.1在进行资格性审查的同时，将在“信用中国”网站（www.creditchina.gov.cn）、“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24.1.1.2接受联合体的项目，两个以上的自然人、法人或者其他组织组成一个联合体，以一个供应商的身份共同参加政府采购活动的,联合体成员存在不良信用记录的，视同联合体存在不良应用记录。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24.1.2符合性审查：依据招标文件的规定，由评委会从投标文件的有效性、完整性和对招标文件的响应程度进行审查，以确定是否对招标文件的实质性要求作出响应。</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24.1.3未通过资格审查或符合性审查的投标人，代理机构将在苏采云系统中告知具体原因，评标结束后，代理机构将不再告知未通过资格审查和符合性审查的原因。</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24.2在详细评审之前，评委会将首先审查每份投标文件是否实质性响应了招标文件的要求。实质性响应的投标文件应该是与招标文件要求的全部条款、条件和规格相符，没有重大偏离或保留的文件。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所谓重大偏离或保留是指与招标文件规定的实质性要求存在负偏离，或者在实质上与招标文件不一致，而且限制了合同中采购人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24.3如果投标文件实质上没有响应招标文件的要求，评委会将予以拒绝，投标人不得通过修改或撤销不合要求的偏离或保留而使其投标成为实质性响应的投标。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24.4评委会将对确定为实质性响应的投标进行进一步审核，确定其是否有计算上或累加上的算术错误，修正错误的原则如下：</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（1）投标文件中开标一览表内容与投标文件中相应内容不一致的，以开标一览表为准。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（2）大写金额和小写金额不一致的，以大写金额为准。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（3）单价金额小数点或者百分比有明显错位的，以开标一览表的总价为准，并修改单价。</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（4）总价金额与按单价汇总金额不一致的，以单价金额计算结果为准。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同时出现两种以上错误的，按照前款规定的顺序修正。</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24.5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sz w:val="24"/>
          <w:szCs w:val="24"/>
          <w:highlight w:val="none"/>
        </w:rPr>
      </w:r>
      <w:r/>
    </w:p>
    <w:p>
      <w:pPr>
        <w:pStyle w:val="1063"/>
        <w:ind w:firstLine="480"/>
        <w:jc w:val="left"/>
        <w:spacing w:line="480" w:lineRule="exact"/>
        <w:rPr>
          <w:rFonts w:ascii="宋体" w:hAnsi="宋体" w:cs="宋体"/>
          <w:sz w:val="28"/>
          <w:szCs w:val="28"/>
          <w:highlight w:val="none"/>
        </w:rPr>
      </w:pPr>
      <w:r>
        <w:rPr>
          <w:rFonts w:hint="eastAsia" w:ascii="宋体" w:hAnsi="宋体" w:cs="宋体"/>
          <w:sz w:val="24"/>
          <w:szCs w:val="24"/>
          <w:highlight w:val="none"/>
        </w:rPr>
        <w:t xml:space="preserve">24.6投标人在开、评标全过程中应保持通讯畅通，及时登录苏采云系统查阅、答复相关信息，并安排专人与代理机构及评委会联系。</w:t>
      </w:r>
      <w:r>
        <w:rPr>
          <w:rFonts w:ascii="宋体" w:hAnsi="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、无效投标条款和废标条款</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25.1无效投标条款</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25.1.1投标人在苏采云系统规定的时间内未成功解密电子投标文件的。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25.1.2投标人未按照招标文件要求上传电子投标文件的。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25.1.3同一投标人提交两个（含两个）以上不同的投标报价的。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25.1.4投标人不具备招标文件中规定资格要求的。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25.1.5投标人的报价超过了采购预算或最高限价的。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25.1.6未通过符合性审查的。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25.1.7不符合招标文件中规定的实质性要求和条件的（本招标文件中斜体且有下划线部分或者打“★”内容为实质性要求和条件）。</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25.1.9投标文件含有采购人不能接受的附加条件的。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25.1.11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25.1.12投标文件未按照招标文件要求加盖CA电子公章的。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25.1.13其他法律、法规及本招标文件规定的属无效投标的情形。</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25.2废标条款</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25.2.1符合专业条件的供应商或者对招标文件作实质响应的供应商不足三家的。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25.2.2出现影响采购公正的违法、违规行为的。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25.2.3因重大变故，采购任务取消的。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25.2.4评委会认定招标文件存在歧义、重大缺陷导致评审工作无法进行。</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25.2.5因苏采云系统故障原因造成开标不成功的。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25.3 投标截止时间后参加投标的供应商不足三家的处理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25.3.1如出现投标截止时间后参加投标的供应商或者在评标期间对招标文件做出实质响应的供应商不足三家情况，按政府采购相关规定执行。</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同</w:t>
      </w:r>
      <w:r>
        <w:rPr>
          <w:rFonts w:hint="eastAsia" w:ascii="宋体" w:hAnsi="宋体" w:cs="宋体"/>
          <w:sz w:val="24"/>
          <w:szCs w:val="24"/>
          <w:highlight w:val="none"/>
        </w:rPr>
        <w:t xml:space="preserve">品牌多家供应商处理原则</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26.1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26.2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cs="宋体"/>
          <w:sz w:val="24"/>
          <w:szCs w:val="24"/>
          <w:highlight w:val="none"/>
        </w:rPr>
      </w:r>
      <w:r/>
    </w:p>
    <w:p>
      <w:pPr>
        <w:pStyle w:val="1063"/>
        <w:ind w:firstLine="480"/>
        <w:jc w:val="left"/>
        <w:spacing w:line="480" w:lineRule="exact"/>
        <w:rPr>
          <w:rFonts w:ascii="宋体" w:hAnsi="宋体" w:cs="宋体"/>
          <w:sz w:val="24"/>
          <w:szCs w:val="24"/>
          <w:highlight w:val="none"/>
        </w:rPr>
      </w:pPr>
      <w:r>
        <w:rPr>
          <w:rFonts w:hint="eastAsia" w:ascii="宋体" w:hAnsi="宋体" w:cs="宋体"/>
          <w:sz w:val="24"/>
          <w:szCs w:val="24"/>
          <w:highlight w:val="none"/>
        </w:rPr>
        <w:t xml:space="preserve">26.3非单一产品采购项目，根据采购项目技术构成、产品价格比重等合理确定核心产品，核心产品见招标文件规定。多家供应商提供的核心产品品牌相同的，按前两款规定处理。</w:t>
      </w:r>
      <w:r>
        <w:rPr>
          <w:rFonts w:ascii="宋体" w:hAnsi="宋体" w:cs="宋体"/>
          <w:sz w:val="24"/>
          <w:szCs w:val="24"/>
          <w:highlight w:val="none"/>
        </w:rPr>
      </w:r>
      <w:r/>
    </w:p>
    <w:p>
      <w:pPr>
        <w:pStyle w:val="1065"/>
        <w:numPr>
          <w:ilvl w:val="0"/>
          <w:numId w:val="0"/>
        </w:numPr>
        <w:jc w:val="left"/>
        <w:spacing w:before="0" w:after="0" w:line="480" w:lineRule="exact"/>
        <w:rPr>
          <w:rFonts w:ascii="宋体" w:hAnsi="宋体" w:eastAsia="宋体" w:cs="宋体"/>
          <w:sz w:val="28"/>
          <w:szCs w:val="28"/>
          <w:highlight w:val="none"/>
        </w:rPr>
      </w:pPr>
      <w:r/>
      <w:bookmarkStart w:id="32" w:name="_Toc25960"/>
      <w:r>
        <w:rPr>
          <w:rFonts w:hint="eastAsia" w:ascii="宋体" w:hAnsi="宋体" w:eastAsia="宋体" w:cs="宋体"/>
          <w:sz w:val="28"/>
          <w:szCs w:val="28"/>
          <w:highlight w:val="none"/>
        </w:rPr>
        <w:t xml:space="preserve">六、定标</w:t>
      </w:r>
      <w:bookmarkEnd w:id="32"/>
      <w:r>
        <w:rPr>
          <w:rFonts w:ascii="宋体" w:hAnsi="宋体" w:eastAsia="宋体" w:cs="宋体"/>
          <w:sz w:val="28"/>
          <w:szCs w:val="28"/>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7</w:t>
      </w:r>
      <w:r>
        <w:rPr>
          <w:rFonts w:hint="eastAsia" w:ascii="宋体" w:hAnsi="宋体" w:cs="宋体"/>
          <w:sz w:val="24"/>
          <w:szCs w:val="24"/>
          <w:highlight w:val="none"/>
        </w:rPr>
        <w:t xml:space="preserve">、确定中标单位</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27.1中标候选人的选取原则和数量见招标文件第五章规定。 </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27.2 按以下第（1）种方式确定中标人</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（1）评委会直接确定排名第一的中标候选人为中标人；</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（2）采购人在评委会推荐的中标候选人中按顺序确定中标人。</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27.3 代理机构将在“江苏政府采购网”发布中标公告，公告期限为1个工作日。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27.4若有充分证据证明，中标人出现下列情况之一的，一经查实，将被取消中标资格：</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27.4.1提供虚假材料谋取中标的。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27.4.2向采购人、代理机构行贿或者提供其他不正当利益的。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27.4.3属于本文件规定的无效条件，但在评标过程中又未被评委会发现的。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27.4.4与采购人或者其他供应商恶意串通的。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27.4.5采取不正当手段诋毁、排挤其他供应商的。</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27.5有下列情形之一的，视为投标人串通投标，投标无效：</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27.5.1不同投标人的投标文件由同一单位或者个人编制。</w:t>
      </w:r>
      <w:r>
        <w:rPr>
          <w:rFonts w:hint="eastAsia" w:ascii="宋体" w:hAnsi="宋体" w:cs="宋体"/>
          <w:sz w:val="24"/>
          <w:szCs w:val="24"/>
          <w:highlight w:val="none"/>
        </w:rPr>
      </w:r>
      <w:r/>
    </w:p>
    <w:p>
      <w:pPr>
        <w:pStyle w:val="1063"/>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27.5.2不同投标人委托同一单位或者个人办理投标事宜。</w:t>
      </w:r>
      <w:r>
        <w:rPr>
          <w:rFonts w:hint="eastAsia" w:ascii="宋体" w:hAnsi="宋体" w:cs="宋体"/>
          <w:sz w:val="24"/>
          <w:szCs w:val="24"/>
          <w:highlight w:val="none"/>
        </w:rPr>
      </w:r>
      <w:r/>
    </w:p>
    <w:p>
      <w:pPr>
        <w:pStyle w:val="1063"/>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27.5.3不同投标人的投标文件载明的项目管理成员或者联系人员为同一人。</w:t>
      </w:r>
      <w:r>
        <w:rPr>
          <w:rFonts w:hint="eastAsia" w:ascii="宋体" w:hAnsi="宋体" w:cs="宋体"/>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27.5.4不同投标人的投标文件异常一致或者投标报价呈规律性差异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r>
      <w:r/>
    </w:p>
    <w:p>
      <w:pPr>
        <w:pStyle w:val="1066"/>
        <w:numPr>
          <w:ilvl w:val="2"/>
          <w:numId w:val="0"/>
        </w:numPr>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28</w:t>
      </w:r>
      <w:r>
        <w:rPr>
          <w:rFonts w:hint="eastAsia" w:ascii="宋体" w:hAnsi="宋体" w:cs="宋体"/>
          <w:sz w:val="24"/>
          <w:szCs w:val="24"/>
          <w:highlight w:val="none"/>
        </w:rPr>
        <w:t xml:space="preserve">、质疑处理</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28.2.1对可以质疑的采购文件提出质疑的，为收到采购文件之日或者采购文件公告期限届满之日。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28.2.2对采购过程提出质疑的，为各采购程序环节结束之日。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28.2.3对中标或者成交结果提出质疑的，为中标或者成交结果公告期限届满之日。</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代理机构和采购人只接收以纸质原件形式送达的质疑,建议供应商尽量通过邮寄方式提交质疑（代理机构和采购人不接受未填写快递运单的快件）。</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 以下情形的质疑不予受理：</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28.5.1内容不符合《政府采购质疑和投诉办法》第十二条规定的质疑。</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28.5.2超出政府采购法定期限的质疑。</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28.5.3以传真、电子邮件等方式递交的非原件形式的质疑。</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28.5.4未参加投标活动的供应商或在投标活动中自身权益未受到损害的供应商所提出的质疑。</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28.5.5供应商组成联合体参加投标，联合体中任何一方或多方未按要求签字、盖章、加盖公章的质疑。</w:t>
      </w:r>
      <w:r>
        <w:rPr>
          <w:rFonts w:hint="eastAsia" w:ascii="宋体" w:hAnsi="宋体" w:cs="宋体"/>
          <w:sz w:val="24"/>
          <w:szCs w:val="24"/>
          <w:highlight w:val="none"/>
        </w:rPr>
      </w:r>
      <w:r/>
    </w:p>
    <w:p>
      <w:pPr>
        <w:pStyle w:val="1063"/>
        <w:ind w:firstLine="468"/>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cs="宋体"/>
          <w:sz w:val="24"/>
          <w:szCs w:val="24"/>
          <w:highlight w:val="none"/>
        </w:rPr>
      </w:r>
      <w:r/>
    </w:p>
    <w:p>
      <w:pPr>
        <w:pStyle w:val="1066"/>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lang w:val="en-US" w:eastAsia="zh-CN"/>
        </w:rPr>
        <w:t xml:space="preserve">29</w:t>
      </w:r>
      <w:r>
        <w:rPr>
          <w:rFonts w:hint="eastAsia" w:ascii="宋体" w:hAnsi="宋体" w:cs="宋体"/>
          <w:sz w:val="24"/>
          <w:szCs w:val="24"/>
          <w:highlight w:val="none"/>
        </w:rPr>
        <w:t xml:space="preserve">、中标通知书</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cs="宋体"/>
          <w:sz w:val="24"/>
          <w:szCs w:val="24"/>
          <w:highlight w:val="none"/>
        </w:rPr>
      </w:r>
      <w:r/>
    </w:p>
    <w:p>
      <w:pPr>
        <w:pStyle w:val="1065"/>
        <w:numPr>
          <w:ilvl w:val="0"/>
          <w:numId w:val="0"/>
        </w:numPr>
        <w:jc w:val="left"/>
        <w:spacing w:before="0" w:after="0" w:line="480" w:lineRule="exact"/>
        <w:tabs>
          <w:tab w:val="center" w:pos="4153" w:leader="none"/>
        </w:tabs>
        <w:rPr>
          <w:rFonts w:ascii="宋体" w:hAnsi="宋体" w:eastAsia="宋体" w:cs="宋体"/>
          <w:sz w:val="28"/>
          <w:szCs w:val="28"/>
          <w:highlight w:val="none"/>
        </w:rPr>
      </w:pPr>
      <w:r/>
      <w:bookmarkStart w:id="33" w:name="_Toc4017"/>
      <w:r>
        <w:rPr>
          <w:rFonts w:hint="eastAsia" w:ascii="宋体" w:hAnsi="宋体" w:eastAsia="宋体" w:cs="宋体"/>
          <w:sz w:val="28"/>
          <w:szCs w:val="28"/>
          <w:highlight w:val="none"/>
        </w:rPr>
        <w:t xml:space="preserve">七、授予合同</w:t>
      </w:r>
      <w:bookmarkEnd w:id="33"/>
      <w:r>
        <w:rPr>
          <w:rFonts w:hint="eastAsia" w:ascii="宋体" w:hAnsi="宋体" w:eastAsia="宋体" w:cs="宋体"/>
          <w:sz w:val="28"/>
          <w:szCs w:val="28"/>
          <w:highlight w:val="none"/>
        </w:rPr>
        <w:tab/>
      </w:r>
      <w:r>
        <w:rPr>
          <w:rFonts w:ascii="宋体" w:hAnsi="宋体" w:eastAsia="宋体" w:cs="宋体"/>
          <w:sz w:val="28"/>
          <w:szCs w:val="28"/>
          <w:highlight w:val="none"/>
        </w:rPr>
      </w:r>
      <w:r/>
    </w:p>
    <w:p>
      <w:pPr>
        <w:pStyle w:val="1066"/>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0</w:t>
      </w:r>
      <w:r>
        <w:rPr>
          <w:rFonts w:hint="eastAsia" w:ascii="宋体" w:hAnsi="宋体" w:cs="宋体"/>
          <w:sz w:val="24"/>
          <w:szCs w:val="24"/>
          <w:highlight w:val="none"/>
        </w:rPr>
        <w:t xml:space="preserve">、签订合同</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30.l中标人应当在中标通知书发出之日起三十日内，按照招标文件确定的事项与采购人签订政府采购合同。</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30.2 招标文件、中标人的投标文件及招标过程中有关澄清、承诺文件均应作为合同附件。</w:t>
      </w:r>
      <w:r>
        <w:rPr>
          <w:rFonts w:hint="eastAsia"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sz w:val="24"/>
          <w:szCs w:val="24"/>
          <w:highlight w:val="none"/>
        </w:rPr>
      </w:r>
      <w:r/>
    </w:p>
    <w:p>
      <w:pPr>
        <w:pStyle w:val="1066"/>
        <w:ind w:firstLine="482"/>
        <w:jc w:val="left"/>
        <w:spacing w:before="0" w:after="0" w:line="480" w:lineRule="exact"/>
        <w:tabs>
          <w:tab w:val="left" w:pos="720" w:leader="none"/>
          <w:tab w:val="left" w:pos="794" w:leader="none"/>
        </w:tabs>
        <w:rPr>
          <w:rFonts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rPr>
        <w:t xml:space="preserve">、服务（包含与服务相关的货物）的追加</w:t>
      </w:r>
      <w:r>
        <w:rPr>
          <w:rFonts w:ascii="宋体" w:hAnsi="宋体" w:cs="宋体"/>
          <w:sz w:val="24"/>
          <w:szCs w:val="24"/>
          <w:highlight w:val="none"/>
        </w:rPr>
      </w:r>
      <w:r/>
    </w:p>
    <w:p>
      <w:pPr>
        <w:pStyle w:val="1063"/>
        <w:ind w:firstLine="480"/>
        <w:jc w:val="left"/>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r>
        <w:rPr>
          <w:rFonts w:hint="eastAsia" w:ascii="宋体" w:hAnsi="宋体" w:cs="宋体"/>
          <w:sz w:val="24"/>
          <w:szCs w:val="24"/>
          <w:highlight w:val="none"/>
        </w:rPr>
      </w:r>
      <w:r/>
    </w:p>
    <w:p>
      <w:pPr>
        <w:pStyle w:val="1064"/>
        <w:numPr>
          <w:ilvl w:val="0"/>
          <w:numId w:val="0"/>
        </w:numPr>
        <w:rPr>
          <w:rFonts w:hint="eastAsia" w:ascii="宋体" w:hAnsi="宋体" w:eastAsia="宋体" w:cs="宋体"/>
          <w:b/>
          <w:bCs/>
          <w:color w:val="000000"/>
          <w:sz w:val="44"/>
          <w:szCs w:val="44"/>
          <w:highlight w:val="none"/>
        </w:rPr>
      </w:pPr>
      <w:r/>
      <w:bookmarkStart w:id="34" w:name="_Toc11923"/>
      <w:r/>
      <w:bookmarkStart w:id="35" w:name="_Toc12445"/>
      <w:r/>
      <w:bookmarkStart w:id="36" w:name="_Toc17819"/>
      <w:r/>
      <w:bookmarkStart w:id="37" w:name="_Toc8716"/>
      <w:r/>
      <w:bookmarkStart w:id="38" w:name="_Toc11432"/>
      <w:r/>
      <w:bookmarkStart w:id="39" w:name="_Toc18499"/>
      <w:r/>
      <w:bookmarkStart w:id="40" w:name="_Toc8461"/>
      <w:r/>
      <w:bookmarkStart w:id="41" w:name="_Toc24968"/>
      <w:r/>
      <w:bookmarkStart w:id="42" w:name="_Toc10413"/>
      <w:r/>
      <w:bookmarkStart w:id="43" w:name="_Toc15846"/>
      <w:r/>
      <w:bookmarkStart w:id="44" w:name="_Toc20443"/>
      <w:r/>
      <w:bookmarkStart w:id="45" w:name="_Toc26522"/>
      <w:r/>
      <w:bookmarkStart w:id="46" w:name="_Toc21793"/>
      <w:r/>
      <w:bookmarkStart w:id="47" w:name="_Toc19272"/>
      <w:r/>
      <w:bookmarkStart w:id="48" w:name="_Toc20631"/>
      <w:r>
        <w:rPr>
          <w:rFonts w:hint="eastAsia" w:ascii="宋体" w:hAnsi="宋体" w:eastAsia="宋体" w:cs="宋体"/>
          <w:b/>
          <w:bCs/>
          <w:color w:val="000000"/>
          <w:sz w:val="44"/>
          <w:szCs w:val="44"/>
          <w:highlight w:val="none"/>
        </w:rPr>
        <w:t xml:space="preserve">第三章  合同条款及格式</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hint="eastAsia" w:ascii="宋体" w:hAnsi="宋体" w:eastAsia="宋体" w:cs="宋体"/>
          <w:b/>
          <w:bCs/>
          <w:color w:val="000000"/>
          <w:sz w:val="44"/>
          <w:szCs w:val="44"/>
          <w:highlight w:val="none"/>
        </w:rPr>
      </w:r>
      <w:r/>
    </w:p>
    <w:p>
      <w:pPr>
        <w:pStyle w:val="1063"/>
        <w:ind w:firstLine="482"/>
        <w:spacing w:line="360" w:lineRule="auto"/>
        <w:rPr>
          <w:rFonts w:hint="eastAsia" w:ascii="宋体" w:hAnsi="宋体" w:cs="宋体"/>
          <w:b/>
          <w:bCs/>
          <w:color w:val="000000"/>
          <w:sz w:val="24"/>
          <w:highlight w:val="none"/>
        </w:rPr>
      </w:pPr>
      <w:r/>
      <w:bookmarkStart w:id="49" w:name="_Toc8846"/>
      <w:r/>
      <w:bookmarkStart w:id="50" w:name="_Toc27221"/>
      <w:r/>
      <w:bookmarkStart w:id="51" w:name="_Toc15865"/>
      <w:r/>
      <w:bookmarkStart w:id="52" w:name="_Toc22618"/>
      <w:r>
        <w:rPr>
          <w:rFonts w:hint="eastAsia" w:ascii="宋体" w:hAnsi="宋体" w:cs="宋体"/>
          <w:b/>
          <w:bCs/>
          <w:color w:val="000000"/>
          <w:sz w:val="24"/>
          <w:highlight w:val="none"/>
        </w:rPr>
      </w:r>
      <w:r/>
    </w:p>
    <w:p>
      <w:pPr>
        <w:pStyle w:val="1063"/>
        <w:ind w:firstLine="482"/>
        <w:spacing w:line="360" w:lineRule="auto"/>
        <w:rPr>
          <w:rFonts w:hint="eastAsia" w:ascii="宋体" w:hAnsi="宋体" w:cs="宋体"/>
          <w:b/>
          <w:color w:val="000000"/>
          <w:highlight w:val="none"/>
        </w:rPr>
      </w:pPr>
      <w:r>
        <w:rPr>
          <w:rFonts w:hint="eastAsia" w:ascii="宋体" w:hAnsi="宋体" w:cs="宋体"/>
          <w:b/>
          <w:bCs/>
          <w:color w:val="000000"/>
          <w:sz w:val="24"/>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cs="宋体"/>
          <w:b/>
          <w:color w:val="000000"/>
          <w:highlight w:val="none"/>
        </w:rPr>
      </w:r>
      <w:r/>
    </w:p>
    <w:p>
      <w:pPr>
        <w:pStyle w:val="1063"/>
        <w:ind w:left="330" w:firstLine="720"/>
        <w:jc w:val="center"/>
        <w:spacing w:line="360" w:lineRule="auto"/>
        <w:rPr>
          <w:rFonts w:hint="eastAsia" w:ascii="宋体" w:hAnsi="宋体" w:cs="宋体"/>
          <w:color w:val="000000"/>
          <w:sz w:val="36"/>
          <w:szCs w:val="36"/>
          <w:highlight w:val="none"/>
        </w:rPr>
      </w:pPr>
      <w:r>
        <w:rPr>
          <w:rFonts w:hint="eastAsia" w:ascii="宋体" w:hAnsi="宋体" w:cs="宋体"/>
          <w:color w:val="000000"/>
          <w:sz w:val="36"/>
          <w:szCs w:val="36"/>
          <w:highlight w:val="none"/>
        </w:rPr>
      </w:r>
      <w:r/>
    </w:p>
    <w:p>
      <w:pPr>
        <w:pStyle w:val="1063"/>
        <w:jc w:val="center"/>
        <w:rPr>
          <w:rFonts w:hint="eastAsia"/>
          <w:color w:val="000000"/>
          <w:sz w:val="36"/>
          <w:szCs w:val="36"/>
          <w:highlight w:val="none"/>
        </w:rPr>
      </w:pPr>
      <w:r>
        <w:rPr>
          <w:rFonts w:hint="eastAsia"/>
          <w:b/>
          <w:color w:val="000000"/>
          <w:sz w:val="32"/>
          <w:szCs w:val="32"/>
          <w:highlight w:val="none"/>
        </w:rPr>
        <w:t xml:space="preserve">南京</w:t>
      </w:r>
      <w:r>
        <w:rPr>
          <w:rFonts w:hint="eastAsia"/>
          <w:b/>
          <w:color w:val="000000"/>
          <w:sz w:val="32"/>
          <w:szCs w:val="32"/>
          <w:highlight w:val="none"/>
          <w:lang w:val="en-US" w:eastAsia="zh-CN"/>
        </w:rPr>
        <w:t xml:space="preserve">林业</w:t>
      </w:r>
      <w:r>
        <w:rPr>
          <w:rFonts w:hint="eastAsia"/>
          <w:b/>
          <w:color w:val="000000"/>
          <w:sz w:val="32"/>
          <w:szCs w:val="32"/>
          <w:highlight w:val="none"/>
        </w:rPr>
        <w:t xml:space="preserve">大学</w:t>
      </w:r>
      <w:r>
        <w:rPr>
          <w:rFonts w:hint="eastAsia"/>
          <w:b/>
          <w:color w:val="000000"/>
          <w:sz w:val="32"/>
          <w:szCs w:val="32"/>
          <w:highlight w:val="none"/>
          <w:lang w:val="en-US" w:eastAsia="zh-CN"/>
        </w:rPr>
        <w:t xml:space="preserve">2026年</w:t>
      </w:r>
      <w:r>
        <w:rPr>
          <w:rFonts w:hint="eastAsia"/>
          <w:b/>
          <w:color w:val="000000"/>
          <w:sz w:val="32"/>
          <w:szCs w:val="32"/>
          <w:highlight w:val="none"/>
        </w:rPr>
        <w:t xml:space="preserve">业余自考助学线下服务</w:t>
      </w:r>
      <w:r>
        <w:rPr>
          <w:b/>
          <w:color w:val="000000"/>
          <w:sz w:val="32"/>
          <w:szCs w:val="32"/>
          <w:highlight w:val="none"/>
        </w:rPr>
        <w:t xml:space="preserve">合同</w:t>
      </w:r>
      <w:r>
        <w:rPr>
          <w:rFonts w:hint="eastAsia"/>
          <w:color w:val="000000"/>
          <w:sz w:val="36"/>
          <w:szCs w:val="36"/>
          <w:highlight w:val="none"/>
        </w:rPr>
      </w:r>
      <w:r/>
    </w:p>
    <w:p>
      <w:pPr>
        <w:pStyle w:val="1063"/>
        <w:spacing w:line="360" w:lineRule="auto"/>
        <w:rPr>
          <w:rFonts w:hint="eastAsia" w:ascii="宋体" w:hAnsi="宋体" w:eastAsia="宋体" w:cs="宋体"/>
          <w:b/>
          <w:bCs/>
          <w:color w:val="000000"/>
          <w:sz w:val="24"/>
          <w:szCs w:val="24"/>
          <w:highlight w:val="none"/>
        </w:rPr>
      </w:pPr>
      <w:r/>
      <w:bookmarkStart w:id="53" w:name="OLE_LINK34"/>
      <w:r>
        <w:rPr>
          <w:rFonts w:hint="eastAsia" w:ascii="宋体" w:hAnsi="宋体" w:eastAsia="宋体" w:cs="宋体"/>
          <w:b/>
          <w:bCs/>
          <w:color w:val="000000"/>
          <w:sz w:val="24"/>
          <w:szCs w:val="24"/>
          <w:highlight w:val="none"/>
        </w:rPr>
        <w:t xml:space="preserve">合同编号： </w:t>
      </w:r>
      <w:r>
        <w:rPr>
          <w:rFonts w:hint="eastAsia" w:ascii="宋体" w:hAnsi="宋体" w:eastAsia="宋体" w:cs="宋体"/>
          <w:b/>
          <w:bCs/>
          <w:color w:val="000000"/>
          <w:sz w:val="24"/>
          <w:szCs w:val="24"/>
          <w:highlight w:val="none"/>
        </w:rPr>
      </w:r>
      <w:r/>
    </w:p>
    <w:p>
      <w:pPr>
        <w:pStyle w:val="1063"/>
        <w:spacing w:line="360" w:lineRule="auto"/>
        <w:rPr>
          <w:rFonts w:hint="eastAsia" w:ascii="宋体" w:hAnsi="宋体" w:eastAsia="宋体" w:cs="宋体"/>
          <w:color w:val="000000"/>
          <w:sz w:val="24"/>
          <w:szCs w:val="24"/>
          <w:highlight w:val="none"/>
          <w:lang w:eastAsia="zh-CN"/>
        </w:rPr>
      </w:pPr>
      <w:r/>
      <w:bookmarkStart w:id="54" w:name="heading_1"/>
      <w:r>
        <w:rPr>
          <w:rFonts w:hint="eastAsia" w:ascii="宋体" w:hAnsi="宋体" w:eastAsia="宋体" w:cs="宋体"/>
          <w:b/>
          <w:bCs/>
          <w:color w:val="000000"/>
          <w:sz w:val="24"/>
          <w:szCs w:val="24"/>
          <w:highlight w:val="none"/>
        </w:rPr>
        <w:t xml:space="preserve">甲方（招标人）：</w:t>
      </w:r>
      <w:bookmarkEnd w:id="54"/>
      <w:r>
        <w:rPr>
          <w:rFonts w:hint="eastAsia" w:ascii="宋体" w:hAnsi="宋体" w:eastAsia="宋体" w:cs="宋体"/>
          <w:color w:val="000000"/>
          <w:sz w:val="24"/>
          <w:szCs w:val="24"/>
          <w:highlight w:val="none"/>
        </w:rPr>
        <w:t xml:space="preserve">南京</w:t>
      </w:r>
      <w:r>
        <w:rPr>
          <w:rFonts w:hint="eastAsia" w:ascii="宋体" w:hAnsi="宋体" w:eastAsia="宋体" w:cs="宋体"/>
          <w:color w:val="000000"/>
          <w:sz w:val="24"/>
          <w:szCs w:val="24"/>
          <w:highlight w:val="none"/>
          <w:lang w:val="en-US" w:eastAsia="zh-CN"/>
        </w:rPr>
        <w:t xml:space="preserve">林业大学</w:t>
      </w:r>
      <w:r>
        <w:rPr>
          <w:rFonts w:hint="eastAsia" w:ascii="宋体" w:hAnsi="宋体" w:eastAsia="宋体" w:cs="宋体"/>
          <w:color w:val="000000"/>
          <w:sz w:val="24"/>
          <w:szCs w:val="24"/>
          <w:highlight w:val="none"/>
          <w:lang w:eastAsia="zh-CN"/>
        </w:rPr>
      </w:r>
      <w:r/>
    </w:p>
    <w:p>
      <w:pPr>
        <w:pStyle w:val="106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代表人：</w:t>
      </w:r>
      <w:r>
        <w:rPr>
          <w:rFonts w:hint="eastAsia" w:ascii="宋体" w:hAnsi="宋体" w:eastAsia="宋体" w:cs="宋体"/>
          <w:b/>
          <w:bCs/>
          <w:color w:val="000000"/>
          <w:sz w:val="24"/>
          <w:szCs w:val="24"/>
          <w:highlight w:val="none"/>
        </w:rPr>
      </w:r>
      <w:r/>
    </w:p>
    <w:p>
      <w:pPr>
        <w:pStyle w:val="1063"/>
        <w:spacing w:line="360" w:lineRule="auto"/>
        <w:rPr>
          <w:rFonts w:hint="eastAsia" w:ascii="宋体" w:hAnsi="宋体" w:eastAsia="宋体" w:cs="宋体"/>
          <w:b/>
          <w:bCs/>
          <w:color w:val="000000"/>
          <w:sz w:val="24"/>
          <w:szCs w:val="24"/>
          <w:highlight w:val="none"/>
        </w:rPr>
      </w:pPr>
      <w:r/>
      <w:bookmarkStart w:id="55" w:name="heading_2"/>
      <w:r>
        <w:rPr>
          <w:rFonts w:hint="eastAsia" w:ascii="宋体" w:hAnsi="宋体" w:eastAsia="宋体" w:cs="宋体"/>
          <w:b/>
          <w:bCs/>
          <w:color w:val="000000"/>
          <w:sz w:val="24"/>
          <w:szCs w:val="24"/>
          <w:highlight w:val="none"/>
        </w:rPr>
        <w:t xml:space="preserve">乙方（供应商）：</w:t>
      </w:r>
      <w:bookmarkEnd w:id="55"/>
      <w:r>
        <w:rPr>
          <w:rFonts w:hint="eastAsia" w:ascii="宋体" w:hAnsi="宋体" w:eastAsia="宋体" w:cs="宋体"/>
          <w:b/>
          <w:bCs/>
          <w:color w:val="000000"/>
          <w:sz w:val="24"/>
          <w:szCs w:val="24"/>
          <w:highlight w:val="none"/>
        </w:rPr>
      </w:r>
      <w:r/>
    </w:p>
    <w:p>
      <w:pPr>
        <w:pStyle w:val="1063"/>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法人：</w:t>
      </w:r>
      <w:r>
        <w:rPr>
          <w:rFonts w:hint="eastAsia" w:ascii="宋体" w:hAnsi="宋体" w:eastAsia="宋体" w:cs="宋体"/>
          <w:b/>
          <w:bCs/>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根据《中华人民共和国民法典》等相关法律法规，甲乙双方就“南京</w:t>
      </w:r>
      <w:r>
        <w:rPr>
          <w:rFonts w:hint="eastAsia" w:ascii="宋体" w:hAnsi="宋体" w:eastAsia="宋体" w:cs="宋体"/>
          <w:color w:val="000000"/>
          <w:sz w:val="24"/>
          <w:szCs w:val="24"/>
          <w:highlight w:val="none"/>
          <w:lang w:val="en-US" w:eastAsia="zh-CN"/>
        </w:rPr>
        <w:t xml:space="preserve">林业</w:t>
      </w:r>
      <w:r>
        <w:rPr>
          <w:rFonts w:hint="eastAsia" w:ascii="宋体" w:hAnsi="宋体" w:eastAsia="宋体" w:cs="宋体"/>
          <w:color w:val="000000"/>
          <w:sz w:val="24"/>
          <w:szCs w:val="24"/>
          <w:highlight w:val="none"/>
        </w:rPr>
        <w:t xml:space="preserve">大学</w:t>
      </w:r>
      <w:r>
        <w:rPr>
          <w:rFonts w:hint="eastAsia" w:ascii="宋体" w:hAnsi="宋体" w:eastAsia="宋体" w:cs="宋体"/>
          <w:color w:val="000000"/>
          <w:sz w:val="24"/>
          <w:szCs w:val="24"/>
          <w:highlight w:val="none"/>
          <w:lang w:val="en-US" w:eastAsia="zh-CN"/>
        </w:rPr>
        <w:t xml:space="preserve">2026年</w:t>
      </w:r>
      <w:r>
        <w:rPr>
          <w:rFonts w:hint="eastAsia" w:ascii="宋体" w:hAnsi="宋体" w:eastAsia="宋体" w:cs="宋体"/>
          <w:color w:val="000000"/>
          <w:sz w:val="24"/>
          <w:szCs w:val="24"/>
          <w:highlight w:val="none"/>
        </w:rPr>
        <w:t xml:space="preserve">业余自考助学线下服务</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”（以下简称“本项目”），经平等协商，达成如下合同条款，以资共同信守。</w:t>
      </w:r>
      <w:r>
        <w:rPr>
          <w:rFonts w:hint="eastAsia" w:ascii="宋体" w:hAnsi="宋体" w:eastAsia="宋体" w:cs="宋体"/>
          <w:color w:val="000000"/>
          <w:sz w:val="24"/>
          <w:szCs w:val="24"/>
          <w:highlight w:val="none"/>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一、项目概况</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b w:val="0"/>
          <w:i w:val="0"/>
          <w:strike w:val="0"/>
          <w:color w:val="000000"/>
          <w:sz w:val="24"/>
          <w:szCs w:val="24"/>
          <w:highlight w:val="none"/>
          <w:u w:val="none"/>
        </w:rPr>
      </w:pPr>
      <w:r>
        <w:rPr>
          <w:rFonts w:hint="eastAsia" w:ascii="宋体" w:hAnsi="宋体" w:eastAsia="宋体" w:cs="宋体"/>
          <w:color w:val="000000"/>
          <w:sz w:val="24"/>
          <w:szCs w:val="24"/>
          <w:highlight w:val="none"/>
        </w:rPr>
        <w:t xml:space="preserve">1. 项目名称：</w:t>
      </w:r>
      <w:r>
        <w:rPr>
          <w:rFonts w:hint="eastAsia" w:ascii="宋体" w:hAnsi="宋体" w:eastAsia="宋体" w:cs="宋体"/>
          <w:b w:val="0"/>
          <w:i w:val="0"/>
          <w:strike w:val="0"/>
          <w:color w:val="000000"/>
          <w:sz w:val="24"/>
          <w:szCs w:val="24"/>
          <w:highlight w:val="none"/>
          <w:u w:val="none"/>
        </w:rPr>
        <w:t xml:space="preserve">南京林业大学</w:t>
      </w:r>
      <w:r>
        <w:rPr>
          <w:rFonts w:hint="eastAsia" w:ascii="宋体" w:hAnsi="宋体" w:eastAsia="宋体" w:cs="宋体"/>
          <w:b w:val="0"/>
          <w:i w:val="0"/>
          <w:strike w:val="0"/>
          <w:color w:val="000000"/>
          <w:sz w:val="24"/>
          <w:szCs w:val="24"/>
          <w:highlight w:val="none"/>
          <w:u w:val="none"/>
          <w:lang w:val="en-US" w:eastAsia="zh-CN"/>
        </w:rPr>
        <w:t xml:space="preserve">2026年</w:t>
      </w:r>
      <w:r>
        <w:rPr>
          <w:rFonts w:hint="eastAsia" w:ascii="宋体" w:hAnsi="宋体" w:eastAsia="宋体" w:cs="宋体"/>
          <w:b w:val="0"/>
          <w:i w:val="0"/>
          <w:strike w:val="0"/>
          <w:color w:val="000000"/>
          <w:sz w:val="24"/>
          <w:szCs w:val="24"/>
          <w:highlight w:val="none"/>
          <w:u w:val="none"/>
        </w:rPr>
        <w:t xml:space="preserve">业余自考助学线下服务采购项目</w:t>
      </w:r>
      <w:r>
        <w:rPr>
          <w:rFonts w:hint="eastAsia" w:ascii="宋体" w:hAnsi="宋体" w:eastAsia="宋体" w:cs="宋体"/>
          <w:b w:val="0"/>
          <w:i w:val="0"/>
          <w:strike w:val="0"/>
          <w:color w:val="000000"/>
          <w:sz w:val="24"/>
          <w:szCs w:val="24"/>
          <w:highlight w:val="none"/>
          <w:u w:val="none"/>
        </w:rPr>
      </w:r>
      <w:r/>
    </w:p>
    <w:p>
      <w:pPr>
        <w:pStyle w:val="106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 服务专业：_________________________（最终办学专业以江苏省教育考试院批复和招标人最终确定办学的专业为准）。</w:t>
      </w:r>
      <w:r>
        <w:rPr>
          <w:rFonts w:hint="eastAsia" w:ascii="宋体" w:hAnsi="宋体" w:eastAsia="宋体" w:cs="宋体"/>
          <w:bCs/>
          <w:color w:val="000000"/>
          <w:sz w:val="24"/>
          <w:szCs w:val="24"/>
          <w:highlight w:val="none"/>
        </w:rPr>
      </w:r>
      <w:r/>
    </w:p>
    <w:p>
      <w:pPr>
        <w:pStyle w:val="1063"/>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 服务对象：南京</w:t>
      </w:r>
      <w:r>
        <w:rPr>
          <w:rFonts w:hint="eastAsia" w:ascii="宋体" w:hAnsi="宋体" w:eastAsia="宋体" w:cs="宋体"/>
          <w:bCs/>
          <w:color w:val="000000"/>
          <w:sz w:val="24"/>
          <w:szCs w:val="24"/>
          <w:highlight w:val="none"/>
          <w:lang w:val="en-US" w:eastAsia="zh-CN"/>
        </w:rPr>
        <w:t xml:space="preserve">林业</w:t>
      </w:r>
      <w:r>
        <w:rPr>
          <w:rFonts w:hint="eastAsia" w:ascii="宋体" w:hAnsi="宋体" w:eastAsia="宋体" w:cs="宋体"/>
          <w:bCs/>
          <w:color w:val="000000"/>
          <w:sz w:val="24"/>
          <w:szCs w:val="24"/>
          <w:highlight w:val="none"/>
        </w:rPr>
        <w:t xml:space="preserve">大学2026级</w:t>
      </w:r>
      <w:r>
        <w:rPr>
          <w:rFonts w:hint="eastAsia" w:ascii="宋体" w:hAnsi="宋体" w:eastAsia="宋体" w:cs="宋体"/>
          <w:bCs/>
          <w:color w:val="000000"/>
          <w:sz w:val="24"/>
          <w:szCs w:val="24"/>
          <w:highlight w:val="none"/>
          <w:lang w:val="en-US" w:eastAsia="zh-CN"/>
        </w:rPr>
        <w:t xml:space="preserve">业余</w:t>
      </w:r>
      <w:r>
        <w:rPr>
          <w:rFonts w:hint="eastAsia" w:ascii="宋体" w:hAnsi="宋体" w:eastAsia="宋体" w:cs="宋体"/>
          <w:bCs/>
          <w:color w:val="000000"/>
          <w:sz w:val="24"/>
          <w:szCs w:val="24"/>
          <w:highlight w:val="none"/>
        </w:rPr>
        <w:t xml:space="preserve">自考助学学生（仅限合同服务专业）。</w:t>
      </w:r>
      <w:r>
        <w:rPr>
          <w:rFonts w:hint="eastAsia" w:ascii="宋体" w:hAnsi="宋体" w:eastAsia="宋体" w:cs="宋体"/>
          <w:bCs/>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rPr>
        <w:t xml:space="preserve">4. 学生数量：具体以实际招生数量为准；</w:t>
      </w:r>
      <w:r>
        <w:rPr>
          <w:rFonts w:hint="eastAsia" w:ascii="宋体" w:hAnsi="宋体" w:eastAsia="宋体" w:cs="宋体"/>
          <w:color w:val="000000"/>
          <w:sz w:val="24"/>
          <w:szCs w:val="24"/>
          <w:highlight w:val="none"/>
          <w:lang w:val="en-US" w:eastAsia="zh-CN"/>
        </w:rPr>
        <w:t xml:space="preserve">低于50人的专业，甲方有权不开班，且无需因此向乙方承担任何责任。</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5. 服务期限：</w:t>
      </w:r>
      <w:r>
        <w:rPr>
          <w:rFonts w:hint="eastAsia" w:ascii="宋体" w:hAnsi="宋体" w:eastAsia="宋体" w:cs="宋体"/>
          <w:bCs/>
          <w:color w:val="000000"/>
          <w:sz w:val="24"/>
          <w:szCs w:val="24"/>
          <w:highlight w:val="none"/>
          <w:lang w:val="en-US" w:eastAsia="zh-CN"/>
        </w:rPr>
        <w:t xml:space="preserve">自本合同签订之日起至2026级学生全部完成毕业之日止。甲方就每名学生的服务费支付义务，最长不超过该学生入学之日起8年。超过前述期限仍未毕业的，甲方有权终止支付该学生的相关服务费用，且无需承担任何责任。乙方仍有义务完成该部分学生后续的毕业相关手续，直至其完成学业。</w:t>
      </w:r>
      <w:r>
        <w:rPr>
          <w:rFonts w:hint="eastAsia" w:ascii="宋体" w:hAnsi="宋体" w:eastAsia="宋体" w:cs="宋体"/>
          <w:bCs/>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6. 服务地点：南京</w:t>
      </w:r>
      <w:r>
        <w:rPr>
          <w:rFonts w:hint="eastAsia" w:ascii="宋体" w:hAnsi="宋体" w:eastAsia="宋体" w:cs="宋体"/>
          <w:bCs/>
          <w:color w:val="000000"/>
          <w:sz w:val="24"/>
          <w:szCs w:val="24"/>
          <w:highlight w:val="none"/>
          <w:lang w:val="en-US" w:eastAsia="zh-CN"/>
        </w:rPr>
        <w:t xml:space="preserve">林业</w:t>
      </w:r>
      <w:r>
        <w:rPr>
          <w:rFonts w:hint="eastAsia" w:ascii="宋体" w:hAnsi="宋体" w:eastAsia="宋体" w:cs="宋体"/>
          <w:bCs/>
          <w:color w:val="000000"/>
          <w:sz w:val="24"/>
          <w:szCs w:val="24"/>
          <w:highlight w:val="none"/>
        </w:rPr>
        <w:t xml:space="preserve">大学及乙方经甲方认可的</w:t>
      </w:r>
      <w:r>
        <w:rPr>
          <w:rFonts w:hint="eastAsia" w:ascii="宋体" w:hAnsi="宋体" w:eastAsia="宋体" w:cs="宋体"/>
          <w:b w:val="0"/>
          <w:i w:val="0"/>
          <w:strike w:val="0"/>
          <w:color w:val="000000"/>
          <w:sz w:val="24"/>
          <w:szCs w:val="24"/>
          <w:highlight w:val="none"/>
          <w:u w:val="none"/>
        </w:rPr>
        <w:t xml:space="preserve">合规线下教学</w:t>
      </w:r>
      <w:r>
        <w:rPr>
          <w:rFonts w:hint="eastAsia" w:cs="宋体"/>
          <w:b w:val="0"/>
          <w:i w:val="0"/>
          <w:strike w:val="0"/>
          <w:color w:val="000000"/>
          <w:sz w:val="24"/>
          <w:szCs w:val="24"/>
          <w:highlight w:val="none"/>
          <w:u w:val="none"/>
          <w:lang w:val="en-US" w:eastAsia="zh-CN"/>
        </w:rPr>
        <w:t xml:space="preserve">地</w:t>
      </w:r>
      <w:r>
        <w:rPr>
          <w:rFonts w:hint="eastAsia" w:ascii="宋体" w:hAnsi="宋体" w:eastAsia="宋体" w:cs="宋体"/>
          <w:b w:val="0"/>
          <w:i w:val="0"/>
          <w:strike w:val="0"/>
          <w:color w:val="000000"/>
          <w:sz w:val="24"/>
          <w:szCs w:val="24"/>
          <w:highlight w:val="none"/>
          <w:u w:val="none"/>
        </w:rPr>
        <w:t xml:space="preserve">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服务价格：甲方向乙方</w:t>
      </w:r>
      <w:r>
        <w:rPr>
          <w:rFonts w:hint="eastAsia" w:ascii="宋体" w:hAnsi="宋体" w:eastAsia="宋体" w:cs="宋体"/>
          <w:color w:val="000000"/>
          <w:sz w:val="24"/>
          <w:szCs w:val="24"/>
          <w:highlight w:val="none"/>
          <w:lang w:val="en-US" w:eastAsia="zh-CN"/>
        </w:rPr>
        <w:t xml:space="preserve">支付学费</w:t>
      </w:r>
      <w:r>
        <w:rPr>
          <w:rFonts w:hint="eastAsia" w:ascii="宋体" w:hAnsi="宋体" w:eastAsia="宋体" w:cs="宋体"/>
          <w:color w:val="000000"/>
          <w:sz w:val="24"/>
          <w:szCs w:val="24"/>
          <w:highlight w:val="none"/>
        </w:rPr>
        <w:t xml:space="preserve">收费总额的______________。</w:t>
      </w:r>
      <w:r>
        <w:rPr>
          <w:rFonts w:hint="eastAsia" w:ascii="宋体" w:hAnsi="宋体" w:eastAsia="宋体" w:cs="宋体"/>
          <w:color w:val="000000"/>
          <w:sz w:val="24"/>
          <w:szCs w:val="24"/>
          <w:highlight w:val="none"/>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二、费用收支与结算</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 学费标准为：文史类、经管类专业2100元/年·生；理工农类专业2250元/年·生；艺术类专业2400元/年·生。学费由学生直接缴纳至甲方指定账户，乙方不得收取学费，学生缴纳学费后，由甲方向学生开具票据。如乙方以任何名义代收、截留、挪用学生学费，甲方有权解除合同并要求乙方承担违约责任。</w:t>
      </w:r>
      <w:bookmarkStart w:id="56" w:name="OLE_LINK39"/>
      <w:r>
        <w:rPr>
          <w:rFonts w:hint="eastAsia" w:ascii="宋体" w:hAnsi="宋体" w:eastAsia="宋体" w:cs="宋体"/>
          <w:bCs/>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 教材、资料费500元/年·生，保险代办费100元/年·生。采取自愿缴费原则，乙方据实向学生收取教材、资料费、保险费用，按实用数额多退少补。学生每门课程第二次及以后各期次补考费，按照江苏省教育考试院的规定据实收取。除上述费用外，乙方不得向学生收取其他任何费用。</w:t>
      </w:r>
      <w:bookmarkEnd w:id="56"/>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业余制自考助学实行学年制，学制3年。乙方应当继续服务超过3年学制未毕业学生直至其完成毕业。为保证超过3年学制未毕业学生的服务效果，</w:t>
      </w:r>
      <w:r>
        <w:rPr>
          <w:rFonts w:hint="eastAsia" w:ascii="宋体" w:hAnsi="宋体" w:eastAsia="宋体" w:cs="宋体"/>
          <w:color w:val="000000"/>
          <w:sz w:val="24"/>
          <w:szCs w:val="24"/>
          <w:highlight w:val="none"/>
        </w:rPr>
        <w:t xml:space="preserve">甲方</w:t>
      </w:r>
      <w:r>
        <w:rPr>
          <w:rFonts w:hint="eastAsia" w:ascii="宋体" w:hAnsi="宋体" w:eastAsia="宋体" w:cs="宋体"/>
          <w:color w:val="000000"/>
          <w:sz w:val="24"/>
          <w:szCs w:val="24"/>
          <w:highlight w:val="none"/>
          <w:lang w:val="en-US" w:eastAsia="zh-CN"/>
        </w:rPr>
        <w:t xml:space="preserve">在第三学年进行第二笔返款时只支付已毕业学生的线下服务费。对于未毕业学生，甲方暂不付款，乙方不得以任何理由拒绝履行服务义务，服务标准不得低于招标文件及投标承诺。2026级超过3年学制未毕业学生完全毕业或转出后，甲方扣除每年未毕业学生管理费后，将未毕业学生剩余线下服务费汇入乙方指定账户。</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4、对于超过3年学制未毕业学生，甲方按未毕业学生数量每年收取未毕业学生管理费。</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未毕业学生管理费=第三学年学费标准*未毕业学生人数*（中标服务费率报价-45%）*20%</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 学校每学年拨付服务费总费用=学费标准*学生人数*中标服务费率报价-未毕业学生管理费（如有）-各类违约金（如有）。用于支付在项目推广、管理、教学、报考、毕业论文及答辩等过程中产生的费用。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 拨付方式：按学年分期拨付，乙方须在每期服务费拨付前，向甲方提交经甲方审核确认的服务成果、学生名单、考勤、通过率、学费收缴、退学退费等材料，甲方有权根据实际服务情况调整拨付金额：</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第一学年和第二学年：</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（1）第一笔（45%）：甲方于每学年学生缴费入学后1个月内，将学费总额的45%部分汇入乙方指定账户；</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（2）第二笔（中标服务费率报价-45%）：甲方于每学年结束前1个月内，将学费总额的（中标服务费率报价-45%）部分汇入乙方指定账户。</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第三学年：</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（1）第一笔（45%）：甲方于第三学年学生缴费入学后1个月内，将学费总额的45%部分汇入乙方指定账户；</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（2）第二笔：</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对于已毕业生学生，甲方于第三学年结束前1个月内，将已毕业学生的学费总额的（中标服务费率报价-45%）部分汇入乙方指定账户。</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对于未毕业学生，甲方暂不付款。</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第三学年以后：</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每年6月毕业登记办理结束后，甲方根据实际毕业人数，按照未毕业学生管理费计算方法，扣除实际产生的管理费后，将毕业学生的第二笔服务费汇入乙方指定账户，以此类推，直至学生完全毕业或转出。</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 学生因各种原因退学退费的，由甲方根据《</w:t>
      </w:r>
      <w:r>
        <w:rPr>
          <w:rFonts w:hint="eastAsia" w:ascii="宋体" w:hAnsi="宋体" w:eastAsia="宋体" w:cs="宋体"/>
          <w:color w:val="000000"/>
          <w:sz w:val="24"/>
          <w:szCs w:val="24"/>
          <w:highlight w:val="none"/>
          <w:lang w:val="en-US" w:eastAsia="en-US"/>
        </w:rPr>
        <w:t xml:space="preserve">南京林业大学</w:t>
      </w:r>
      <w:r>
        <w:rPr>
          <w:rFonts w:hint="eastAsia" w:ascii="宋体" w:hAnsi="宋体" w:eastAsia="宋体" w:cs="宋体"/>
          <w:color w:val="000000"/>
          <w:sz w:val="24"/>
          <w:szCs w:val="24"/>
          <w:highlight w:val="none"/>
          <w:lang w:val="en-US" w:eastAsia="zh-CN"/>
        </w:rPr>
        <w:t xml:space="preserve">继续教育学院</w:t>
      </w:r>
      <w:r>
        <w:rPr>
          <w:rFonts w:hint="eastAsia" w:ascii="宋体" w:hAnsi="宋体" w:eastAsia="宋体" w:cs="宋体"/>
          <w:color w:val="000000"/>
          <w:sz w:val="24"/>
          <w:szCs w:val="24"/>
          <w:highlight w:val="none"/>
          <w:lang w:val="en-US" w:eastAsia="en-US"/>
        </w:rPr>
        <w:t xml:space="preserve">高等教育自学考试</w:t>
      </w:r>
      <w:r>
        <w:rPr>
          <w:rFonts w:hint="eastAsia" w:ascii="宋体" w:hAnsi="宋体" w:eastAsia="宋体" w:cs="宋体"/>
          <w:color w:val="000000"/>
          <w:sz w:val="24"/>
          <w:szCs w:val="24"/>
          <w:highlight w:val="none"/>
          <w:lang w:val="en-US" w:eastAsia="zh-CN"/>
        </w:rPr>
        <w:t xml:space="preserve">自办</w:t>
      </w:r>
      <w:r>
        <w:rPr>
          <w:rFonts w:hint="eastAsia" w:ascii="宋体" w:hAnsi="宋体" w:eastAsia="宋体" w:cs="宋体"/>
          <w:color w:val="000000"/>
          <w:sz w:val="24"/>
          <w:szCs w:val="24"/>
          <w:highlight w:val="none"/>
          <w:lang w:val="en-US" w:eastAsia="en-US"/>
        </w:rPr>
        <w:t xml:space="preserve">助学专业学生管理实施细则</w:t>
      </w:r>
      <w:r>
        <w:rPr>
          <w:rFonts w:hint="eastAsia" w:ascii="宋体" w:hAnsi="宋体" w:eastAsia="宋体" w:cs="宋体"/>
          <w:color w:val="000000"/>
          <w:sz w:val="24"/>
          <w:szCs w:val="24"/>
          <w:highlight w:val="none"/>
          <w:lang w:val="en-US" w:eastAsia="zh-CN"/>
        </w:rPr>
        <w:t xml:space="preserve">》以及教育主管部门关于退费的有关规定，审核名单和退款金额，由甲方和乙方于一周内核算并退还各自应承担的退学学生学费。若乙方逾期支付的，甲方有权直接从应付乙方的服务费中扣除对应金额。</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 若因乙方原因导致合同提前解除，甲方尚未拨付的费用均不再拨付。且乙方应在合同解除后10个工作日内，向甲方返还其已收取但未完成服务的相应费用。尚未提供服务的费用，按服务期限总天数为基数，以已履约天数占总天数的比例，计算乙方已完成服务对应的费用，剩余部分即为应返还费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 乙方服务期间由于服务工作不能及时完成，且造成较大影响的，或乙方拒绝配合甲方工作检查或不予以改正的，甲方有权通过扣除服务费用进行处罚。</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甲方有权从拨付乙方的款项中，直接扣除乙方根据合同约定应向甲方支付的违约金、赔偿金及其他费用。</w:t>
      </w:r>
      <w:r>
        <w:rPr>
          <w:rFonts w:hint="eastAsia" w:ascii="宋体" w:hAnsi="宋体" w:eastAsia="宋体" w:cs="宋体"/>
          <w:color w:val="000000"/>
          <w:sz w:val="24"/>
          <w:szCs w:val="24"/>
          <w:highlight w:val="none"/>
          <w:lang w:val="en-US" w:eastAsia="zh-CN"/>
        </w:rPr>
        <w:t xml:space="preserve">甲方应向乙方发出扣款通知，乙方如对扣款金额或理由有异议，应在收到通知后5个工作日内以书面形式向甲方提出具体异议说明，并附相关证据材料。甲方应在收到乙方异议后5个工作日内予以核查并答复。乙方逾期未提出异议或未提交充分证据的，视为无异议，甲方有权直接扣款。</w:t>
      </w:r>
      <w:r>
        <w:rPr>
          <w:rFonts w:hint="eastAsia" w:ascii="宋体" w:hAnsi="宋体" w:eastAsia="宋体" w:cs="宋体"/>
          <w:color w:val="000000"/>
          <w:sz w:val="24"/>
          <w:szCs w:val="24"/>
          <w:highlight w:val="none"/>
          <w:lang w:val="en-US" w:eastAsia="zh-CN"/>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三、甲方权利和义务</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报审合作项目所涉及的招生专业、招生人数、考试计划及教学进度。</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制定招生方案和招生简章，规范组织招生；指导乙方开展项目推广；做好新生注册工作；制作发放入学通知书和《学生手册》。</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制定校考课程考试大纲、自学指导书（含实践环节的实训指导书），选定教材或参考书。</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 聘请任课教师，审核乙方推荐的教师和管理人员的任职资格。</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290195</wp:posOffset>
                </wp:positionH>
                <wp:positionV relativeFrom="paragraph">
                  <wp:posOffset>243840</wp:posOffset>
                </wp:positionV>
                <wp:extent cx="3061335" cy="0"/>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306133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true;mso-position-horizontal-relative:text;margin-left:22.8pt;mso-position-horizontal:absolute;mso-position-vertical-relative:text;margin-top:19.2pt;mso-position-vertical:absolute;width:241.0pt;height:0.0pt;mso-wrap-distance-left:9.0pt;mso-wrap-distance-top:0.0pt;mso-wrap-distance-right:9.0pt;mso-wrap-distance-bottom:0.0pt;" stroked="f">
                <v:path textboxrect="0,0,0,0"/>
                <v:imagedata r:id="rId22" o:title=""/>
              </v:shape>
            </w:pict>
          </mc:Fallback>
        </mc:AlternateContent>
      </w:r>
      <w:r>
        <w:rPr>
          <w:rFonts w:hint="eastAsia" w:ascii="宋体" w:hAnsi="宋体" w:eastAsia="宋体" w:cs="宋体"/>
          <w:color w:val="000000"/>
          <w:sz w:val="24"/>
          <w:szCs w:val="24"/>
          <w:highlight w:val="none"/>
        </w:rPr>
        <w:t xml:space="preserve">5. 规范组织教学（含线下和线上教学）工作。</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 组织做好统考课程的报考工作和各类校考（含实践环节考核）、毕业论文（设计）指导与答辩考核工作。</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 指导乙方做好学生的日常管理工作；指导乙方处理学生在学期间发生的各类突发事件。</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 做好学生的毕业与学位申请工作。</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 向乙方支付购买线下服务的费用。</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 根据国家政策或法律法规的变动对服务的需求标准和质量做出相应变动。</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审核乙方提交的当期服务完成证明及验收申请材料，验收合格</w:t>
      </w:r>
      <w:r>
        <w:rPr>
          <w:rFonts w:hint="eastAsia" w:cs="宋体"/>
          <w:color w:val="000000"/>
          <w:sz w:val="24"/>
          <w:szCs w:val="24"/>
          <w:highlight w:val="none"/>
          <w:lang w:val="en-US" w:eastAsia="zh-CN"/>
        </w:rPr>
        <w:t xml:space="preserve">的支付相关费用</w:t>
      </w:r>
      <w:r>
        <w:rPr>
          <w:rFonts w:hint="eastAsia" w:ascii="宋体" w:hAnsi="宋体" w:eastAsia="宋体" w:cs="宋体"/>
          <w:color w:val="000000"/>
          <w:sz w:val="24"/>
          <w:szCs w:val="24"/>
          <w:highlight w:val="none"/>
          <w:lang w:val="en-US" w:eastAsia="zh-CN"/>
        </w:rPr>
        <w:t xml:space="preserve">。验收不合格的，顺延付款期限且不承担任何违约责任。</w:t>
      </w:r>
      <w:r>
        <w:rPr>
          <w:rFonts w:hint="eastAsia" w:ascii="宋体" w:hAnsi="宋体" w:eastAsia="宋体" w:cs="宋体"/>
          <w:color w:val="000000"/>
          <w:sz w:val="24"/>
          <w:szCs w:val="24"/>
          <w:highlight w:val="none"/>
          <w:lang w:val="en-US" w:eastAsia="zh-CN"/>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四、乙方权利和义务</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严格按照招标文件规定的服务质量标准及投标（响应）文件承诺履行合同。违反合同规定条款的，承担由此产生的全部损失和法律责任。</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不以任何形式将本项目服务转包、分包、挂靠、联合体、委托或授权第三方实施，不与第三方签订与本项目相关的合作协议。</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严格遵守上级和甲方关于自考助学的各项规章制度和工作要求，接受甲方工作指导。</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在项目推广小组的指导下，安排专人协助甲方进行项目推广</w:t>
      </w:r>
      <w:r>
        <w:rPr>
          <w:rFonts w:hint="eastAsia"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承担项目推广过程中发生的各项费用。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建立健全的管理机构和完善的管理规章制度，配备与办学规模相适应的专职工作人员，至少配备1名教务(考务)管理人员、1名学生管理人员、1名后勤管理人员。</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提供符合要求的教学场所和相应的教学设施；建立相对稳定的，学历结构和专业技术职务结构合理的，有较为丰富的教学经验的专兼职教师队伍，协助甲方做好教学工作。</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按规定向甲方推荐任课教师和管理人员，协助甲方聘请、管理任课教师和管理人员，并支付任课教师、管理人员的酬金、工资以及因教学和学生管理产生的交通和食宿等费用。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-24129</wp:posOffset>
                </wp:positionH>
                <wp:positionV relativeFrom="paragraph">
                  <wp:posOffset>555625</wp:posOffset>
                </wp:positionV>
                <wp:extent cx="1120775" cy="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20775" cy="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41;o:allowoverlap:true;o:allowincell:true;mso-position-horizontal-relative:text;margin-left:-1.9pt;mso-position-horizontal:absolute;mso-position-vertical-relative:text;margin-top:43.8pt;mso-position-vertical:absolute;width:88.2pt;height:0.0pt;mso-wrap-distance-left:9.0pt;mso-wrap-distance-top:0.0pt;mso-wrap-distance-right:9.0pt;mso-wrap-distance-bottom:0.0pt;" stroked="f">
                <v:path textboxrect="0,0,0,0"/>
                <v:imagedata r:id="rId23" o:title=""/>
              </v:shape>
            </w:pict>
          </mc:Fallback>
        </mc:AlternateConten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协助甲方做好统考课程的报考工作和校考课程（含实践环节）考核等考务工作，协助甲方做好毕业论文（设计）指导与答辩考核工作，负责支付各类课程考试、考核的考试费和毕业论文指导费、答辩酬金。组织开展助学活动，提高学生考试通过率，支付在助学过程中产生的费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建立相对稳定的专兼职学生工作队伍和班主任队伍。专兼职学工人员与助学学生比例不低于1:150。在甲方的指导下做好学生的日常管理工作，保障学生的线下学习环境安全稳定。若因乙方管理疏漏、提供的教学场地或设施不合格、未尽安全保障义务等乙方原因导致学生人身、财产损害的，所有赔偿责任由乙方自行承担；若甲方因此被权利人追索承担赔付责任的，有权向乙方全额追偿，追偿款可直接从应付乙方的服务费中扣除。</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‌为参与线下教学的学生购买一定额度团体意外伤害保险，并将保单副本提交甲方备案。若发生保险理赔事项，乙方应当负责全程处理，保险金不足以覆盖损失的部分由乙方全额承担。</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协助甲方与学生签订三方协议，做好学生的毕业和学位申请工作。</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协助甲方做好开学典礼、专业教育、诚信考试教育等工作。</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13. 完整建立学生管理台账，完整归档所有学生档案、教学资料、考务资料等档案材料，确保材料真实、完整、符合甲方档案管理要求，服务终止时</w:t>
      </w: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t xml:space="preserve">个工作日内，将与本项目相关的全部学生档案、教学资料、考务资料等原始材料及备份，完整移交给甲方。</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14. 按照合同约定的服务标准于每学期期末后</w:t>
      </w:r>
      <w:r>
        <w:rPr>
          <w:rFonts w:hint="eastAsia" w:cs="宋体"/>
          <w:color w:val="000000"/>
          <w:sz w:val="24"/>
          <w:szCs w:val="24"/>
          <w:highlight w:val="none"/>
          <w:lang w:val="en-US" w:eastAsia="zh-CN"/>
        </w:rPr>
        <w:t xml:space="preserve">30</w:t>
      </w:r>
      <w:r>
        <w:rPr>
          <w:rFonts w:hint="eastAsia" w:ascii="宋体" w:hAnsi="宋体" w:eastAsia="宋体" w:cs="宋体"/>
          <w:color w:val="000000"/>
          <w:sz w:val="24"/>
          <w:szCs w:val="24"/>
          <w:highlight w:val="none"/>
          <w:lang w:val="en-US" w:eastAsia="zh-CN"/>
        </w:rPr>
        <w:t xml:space="preserve">个工作日内向甲方提交当期服务完成证明及验收申请材料，未按时提交验收材料视为验收不合格。</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15. 基于本项目履行制作或形成的所有资料、数据（包括但不限于学生个人信息、教学记录、考核成绩等），其所有权、知识产权及其他一切权益均归甲方所有。在本合同约定的范围内使用这些资料、数据，不用于任何其他目的或向任何第三方泄露、转让或许可使用。</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16. 配合甲方</w:t>
      </w:r>
      <w:r>
        <w:rPr>
          <w:rFonts w:hint="eastAsia" w:ascii="宋体" w:hAnsi="宋体" w:eastAsia="宋体" w:cs="宋体"/>
          <w:color w:val="000000"/>
          <w:sz w:val="24"/>
          <w:szCs w:val="24"/>
          <w:highlight w:val="none"/>
        </w:rPr>
        <w:t xml:space="preserve">根据国家政策或法律法规的变动对服务的需求标准和质量做出</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相应变动</w:t>
      </w:r>
      <w:r>
        <w:rPr>
          <w:rFonts w:hint="eastAsia" w:ascii="宋体" w:hAnsi="宋体" w:eastAsia="宋体" w:cs="宋体"/>
          <w:color w:val="000000"/>
          <w:sz w:val="24"/>
          <w:szCs w:val="24"/>
          <w:highlight w:val="none"/>
          <w:lang w:val="en-US" w:eastAsia="zh-CN"/>
        </w:rPr>
        <w:t xml:space="preserve">，产生的费用由双方协商处理。</w:t>
      </w:r>
      <w:r>
        <w:rPr>
          <w:rFonts w:hint="eastAsia" w:ascii="宋体" w:hAnsi="宋体" w:eastAsia="宋体" w:cs="宋体"/>
          <w:color w:val="000000"/>
          <w:sz w:val="24"/>
          <w:szCs w:val="24"/>
          <w:highlight w:val="none"/>
          <w:lang w:val="en-US" w:eastAsia="zh-CN"/>
        </w:rPr>
      </w:r>
      <w:r/>
    </w:p>
    <w:p>
      <w:pPr>
        <w:pStyle w:val="1063"/>
        <w:ind w:firstLine="482"/>
        <w:spacing w:line="360" w:lineRule="auto"/>
        <w:rPr>
          <w:rFonts w:hint="eastAsia" w:ascii="宋体" w:hAnsi="宋体" w:eastAsia="宋体" w:cs="宋体"/>
          <w:b/>
          <w:color w:val="000000"/>
          <w:sz w:val="24"/>
          <w:szCs w:val="24"/>
          <w:highlight w:val="none"/>
        </w:rPr>
      </w:pPr>
      <w:r/>
      <w:bookmarkStart w:id="57" w:name="heading_14"/>
      <w:r>
        <w:rPr>
          <w:rFonts w:hint="eastAsia" w:ascii="宋体" w:hAnsi="宋体" w:eastAsia="宋体" w:cs="宋体"/>
          <w:b/>
          <w:color w:val="000000"/>
          <w:sz w:val="24"/>
          <w:szCs w:val="24"/>
          <w:highlight w:val="none"/>
        </w:rPr>
        <w:t xml:space="preserve">五、违约责任</w:t>
      </w:r>
      <w:bookmarkEnd w:id="57"/>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 乙方未按合同约定提供服务，包括但不限于师资、硬件设施不达标等，甲方有权要求乙方限期整改，逾期未整改或整改不合格的，甲方有权单方解除合同并要求乙方赔偿损失。</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乙方违反本合同约定将项目转包、违法分包、挂靠、联合体、委托或授权第三方实施的，甲方有权单方解除合同，乙方应退还甲方已拨付的、对应未履行或未达标服务的相应费用，并向甲方支付合同总金额20%的违约金，造成甲方损失的，乙方应另行赔偿。</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 甲方未按合同约定支付服务费用（非因甲方原因导致的除外），且经乙方书面催告后，逾期超过30日的，乙方有权要求甲方限期支付，逾期仍未支付的，乙方有权暂停服务。</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bidi="ar-SA"/>
        </w:rPr>
        <w:t xml:space="preserve">4.</w:t>
      </w:r>
      <w:r>
        <w:rPr>
          <w:rFonts w:hint="eastAsia" w:ascii="宋体" w:hAnsi="宋体" w:eastAsia="宋体" w:cs="宋体"/>
          <w:color w:val="000000"/>
          <w:sz w:val="24"/>
          <w:szCs w:val="24"/>
          <w:highlight w:val="none"/>
        </w:rPr>
        <w:t xml:space="preserve"> 任何一方违反本合同其他约定，给对方造成损失的，</w:t>
      </w:r>
      <w:r>
        <w:rPr>
          <w:rFonts w:hint="eastAsia" w:ascii="宋体" w:hAnsi="宋体" w:eastAsia="宋体" w:cs="宋体"/>
          <w:color w:val="000000"/>
          <w:sz w:val="24"/>
          <w:szCs w:val="24"/>
          <w:highlight w:val="none"/>
          <w:lang w:val="en-US" w:eastAsia="zh-CN"/>
        </w:rPr>
        <w:t xml:space="preserve">应承担相应的赔偿责任，包括直接损失、维权产生的合理费用（如律师费、诉讼费、保全费、保全责任险费、差旅费等）。</w:t>
      </w:r>
      <w:bookmarkStart w:id="58" w:name="heading_15"/>
      <w:r>
        <w:rPr>
          <w:rFonts w:hint="eastAsia" w:ascii="宋体" w:hAnsi="宋体" w:eastAsia="宋体" w:cs="宋体"/>
          <w:color w:val="000000"/>
          <w:sz w:val="24"/>
          <w:szCs w:val="24"/>
          <w:highlight w:val="none"/>
          <w:lang w:val="en-US" w:eastAsia="zh-CN"/>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六、合同变更与解除</w:t>
      </w:r>
      <w:bookmarkEnd w:id="58"/>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 本合同的变更、补充须经双方协商一致并签订书面协议，书面协议与本合同具有同等法律效力。涉及合同金额、服务内容、履约期限等实质性内容变更的，须经甲方采购、招标相关审批程序后方可生效。</w:t>
      </w:r>
      <w:r>
        <w:rPr>
          <w:rFonts w:hint="eastAsia" w:ascii="宋体" w:hAnsi="宋体" w:eastAsia="宋体" w:cs="宋体"/>
          <w:color w:val="000000"/>
          <w:sz w:val="24"/>
          <w:szCs w:val="24"/>
          <w:highlight w:val="none"/>
          <w:lang w:val="en-US" w:eastAsia="zh-CN" w:bidi="ar-SA"/>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发生不可抗力（指不能预见、不能避免并不能克服的客观情况，如地震、火灾、战争等）导致本合同无法履行或无法完全履行的，双方应及时协商处理，根据不可抗力的影响，可部分或全部免除责任，但若一方迟延履行后发生不可抗力的，</w:t>
      </w:r>
      <w:r>
        <w:rPr>
          <w:rFonts w:hint="eastAsia" w:ascii="宋体" w:hAnsi="宋体" w:eastAsia="宋体" w:cs="宋体"/>
          <w:color w:val="000000"/>
          <w:sz w:val="24"/>
          <w:szCs w:val="24"/>
          <w:highlight w:val="none"/>
          <w:lang w:val="en-US" w:eastAsia="zh-CN"/>
        </w:rPr>
        <w:t xml:space="preserve">不能免除其违约责任</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乙方存在下列情形之一的，甲方有权单方解除合同：</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（1）逾期未整改或整改不合格，导致</w:t>
      </w:r>
      <w:r>
        <w:rPr>
          <w:rFonts w:hint="eastAsia" w:cs="宋体"/>
          <w:color w:val="000000"/>
          <w:sz w:val="24"/>
          <w:szCs w:val="24"/>
          <w:highlight w:val="none"/>
          <w:lang w:val="en-US" w:eastAsia="zh-CN"/>
        </w:rPr>
        <w:t xml:space="preserve">严重后果的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以任何形式将本项目服务转包、分包、挂靠、联合体、委托或授权第三方实施，或与第三方签订与本项目相关的合作协议；</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）发生重大安全事故或严重违规办学行为，造成恶劣影响；</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）以南京</w:t>
      </w:r>
      <w:r>
        <w:rPr>
          <w:rFonts w:hint="eastAsia" w:ascii="宋体" w:hAnsi="宋体" w:eastAsia="宋体" w:cs="宋体"/>
          <w:color w:val="000000"/>
          <w:sz w:val="24"/>
          <w:szCs w:val="24"/>
          <w:highlight w:val="none"/>
          <w:lang w:val="en-US" w:eastAsia="zh-CN"/>
        </w:rPr>
        <w:t xml:space="preserve">林业</w:t>
      </w:r>
      <w:r>
        <w:rPr>
          <w:rFonts w:hint="eastAsia" w:ascii="宋体" w:hAnsi="宋体" w:eastAsia="宋体" w:cs="宋体"/>
          <w:color w:val="000000"/>
          <w:sz w:val="24"/>
          <w:szCs w:val="24"/>
          <w:highlight w:val="none"/>
        </w:rPr>
        <w:t xml:space="preserve">大学及其任何单位（部门）的名义开展除合同约定的自考助学外的任何活动；</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）其他严重违反合同约定的行为。</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甲方存在下列情形之一的，乙方有权单方解除合同：</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（1）逾期支付服务费用超过30日，经乙方催告后仍未支付；</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（2）其他严重违反合同约定的行为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且该等行为经书面指出后在合理期限内仍未纠正，并严重影响合同目的实现的。</w:t>
      </w:r>
      <w:r>
        <w:rPr>
          <w:rFonts w:hint="eastAsia" w:ascii="宋体" w:hAnsi="宋体" w:eastAsia="宋体" w:cs="宋体"/>
          <w:color w:val="000000"/>
          <w:sz w:val="24"/>
          <w:szCs w:val="24"/>
          <w:highlight w:val="none"/>
          <w:lang w:val="en-US" w:eastAsia="zh-CN"/>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 </w:t>
      </w:r>
      <w:r>
        <w:rPr>
          <w:rFonts w:hint="eastAsia" w:ascii="宋体" w:hAnsi="宋体" w:eastAsia="宋体" w:cs="宋体"/>
          <w:color w:val="000000"/>
          <w:sz w:val="24"/>
          <w:szCs w:val="24"/>
          <w:highlight w:val="none"/>
        </w:rPr>
        <w:t xml:space="preserve">合同解除后，尚未履行的部分终止履行，已履行部分根据履行情况和合同性质进行结算，违约方应承担相应的违约责任。</w:t>
      </w:r>
      <w:r>
        <w:rPr>
          <w:rFonts w:hint="eastAsia" w:ascii="宋体" w:hAnsi="宋体" w:eastAsia="宋体" w:cs="宋体"/>
          <w:color w:val="000000"/>
          <w:sz w:val="24"/>
          <w:szCs w:val="24"/>
          <w:highlight w:val="none"/>
        </w:rPr>
      </w:r>
      <w:r/>
    </w:p>
    <w:p>
      <w:pPr>
        <w:pStyle w:val="1063"/>
        <w:ind w:firstLine="482"/>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七、争议解决：</w:t>
      </w:r>
      <w:r>
        <w:rPr>
          <w:rFonts w:hint="eastAsia" w:ascii="宋体" w:hAnsi="宋体" w:eastAsia="宋体" w:cs="宋体"/>
          <w:b/>
          <w:bCs/>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甲乙双方因合同发生争议，签约双方应友好协商解决。</w:t>
      </w:r>
      <w:r>
        <w:rPr>
          <w:rFonts w:hint="eastAsia" w:ascii="宋体" w:hAnsi="宋体" w:eastAsia="宋体" w:cs="宋体"/>
          <w:color w:val="000000"/>
          <w:sz w:val="24"/>
          <w:szCs w:val="24"/>
          <w:highlight w:val="none"/>
          <w:lang w:val="en-US" w:eastAsia="zh-CN"/>
        </w:rPr>
        <w:t xml:space="preserve">协商不成，任何一方可以向甲方所在地有管辖权的人民法院起诉。</w:t>
      </w:r>
      <w:r>
        <w:rPr>
          <w:rFonts w:hint="eastAsia" w:ascii="宋体" w:hAnsi="宋体" w:eastAsia="宋体" w:cs="宋体"/>
          <w:color w:val="000000"/>
          <w:sz w:val="24"/>
          <w:szCs w:val="24"/>
          <w:highlight w:val="none"/>
          <w:lang w:val="en-US" w:eastAsia="zh-CN"/>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八、合同效力</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下列文件为本合同不可分割部分，与本合同具有同等法律效力：</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（1）中标（成交）通知书；</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（2）甲方的招标（采购）文件及其它补充文件；</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（3）乙方投标（响应）文件及其它补充文件；</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（4）乙方在采购过程中所作的其它书面承诺、声明、澄清等。</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未尽事宜，遵照《</w:t>
      </w:r>
      <w:r>
        <w:rPr>
          <w:rFonts w:hint="eastAsia" w:ascii="宋体" w:hAnsi="宋体" w:eastAsia="宋体" w:cs="宋体"/>
          <w:color w:val="000000"/>
          <w:sz w:val="24"/>
          <w:szCs w:val="24"/>
          <w:highlight w:val="none"/>
          <w:lang w:val="en-US" w:eastAsia="zh-CN"/>
        </w:rPr>
        <w:t xml:space="preserve">中华人民共和国民法典</w:t>
      </w:r>
      <w:r>
        <w:rPr>
          <w:rFonts w:hint="eastAsia" w:ascii="宋体" w:hAnsi="宋体" w:eastAsia="宋体" w:cs="宋体"/>
          <w:color w:val="000000"/>
          <w:sz w:val="24"/>
          <w:szCs w:val="24"/>
          <w:highlight w:val="none"/>
        </w:rPr>
        <w:t xml:space="preserve">》有关条文执行，也可双方协商一致后可另行签订书面补充协议。对本合同内容的任何修改和变更也须由甲乙双方协商后达成书面补充协议，并经双方签章后生效。补充合同与本合同具备同等法律效力。</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color w:val="000000"/>
          <w:sz w:val="24"/>
          <w:szCs w:val="24"/>
          <w:highlight w:val="none"/>
        </w:rPr>
        <w:t xml:space="preserve"> 本合同经双方法定代表人或授权代表签字并加盖单位公章或合同专用章后生效。一式肆份，双方各执贰份，具有同等法律效力。</w:t>
      </w:r>
      <w:r>
        <w:rPr>
          <w:rFonts w:hint="eastAsia" w:ascii="宋体" w:hAnsi="宋体" w:eastAsia="宋体" w:cs="宋体"/>
          <w:color w:val="000000"/>
          <w:sz w:val="24"/>
          <w:szCs w:val="24"/>
          <w:highlight w:val="none"/>
        </w:rPr>
      </w:r>
      <w:r/>
    </w:p>
    <w:p>
      <w:pPr>
        <w:pStyle w:val="1063"/>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九、其他附则</w:t>
      </w:r>
      <w:r>
        <w:rPr>
          <w:rFonts w:hint="eastAsia" w:ascii="宋体" w:hAnsi="宋体" w:eastAsia="宋体" w:cs="宋体"/>
          <w:b/>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双方除非事先得到对方的书面同意或本合同另有约定，任何一方不得将本合同项下的任何权利、义务、责任转让或分包给任何第三方。</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 双方在项目前后和过程中，应做好保密工作，未经对方书面同意，承诺不向第三方或项目外人员透露甲方提供的资料、项目工作技术信息、商业信息及学生个人隐私信息。如发生以上情况，甲方有权向乙方索赔一切损失。保密义务在合同终止后3年内持续有效。</w:t>
      </w:r>
      <w:r>
        <w:rPr>
          <w:rFonts w:hint="eastAsia" w:ascii="宋体" w:hAnsi="宋体" w:eastAsia="宋体" w:cs="宋体"/>
          <w:color w:val="000000"/>
          <w:sz w:val="24"/>
          <w:szCs w:val="24"/>
          <w:highlight w:val="none"/>
        </w:rPr>
      </w:r>
      <w:r/>
    </w:p>
    <w:p>
      <w:pPr>
        <w:pStyle w:val="1063"/>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 本合同的签订、履行、解释及争议解决均适用中华人民共和国法律。</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甲方：                              乙方： </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地址：</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授权代表                            法定代表人</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（签字、盖章）：                    （签字、盖章）：</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纳税人识别号：                      纳税人识别号</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开户行及账号：                      开户行及账号</w:t>
      </w:r>
      <w:r>
        <w:rPr>
          <w:rFonts w:hint="eastAsia" w:ascii="宋体" w:hAnsi="宋体" w:eastAsia="宋体" w:cs="宋体"/>
          <w:color w:val="000000"/>
          <w:sz w:val="24"/>
          <w:szCs w:val="24"/>
          <w:highlight w:val="none"/>
        </w:rPr>
      </w:r>
      <w:r/>
    </w:p>
    <w:p>
      <w:pPr>
        <w:pStyle w:val="1063"/>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                          联系电话：</w:t>
      </w:r>
      <w:bookmarkEnd w:id="53"/>
      <w:r>
        <w:rPr>
          <w:rFonts w:hint="eastAsia" w:ascii="宋体" w:hAnsi="宋体" w:eastAsia="宋体" w:cs="宋体"/>
          <w:color w:val="000000"/>
          <w:sz w:val="24"/>
          <w:szCs w:val="24"/>
          <w:highlight w:val="none"/>
        </w:rPr>
      </w:r>
      <w:r/>
    </w:p>
    <w:p>
      <w:pPr>
        <w:pStyle w:val="1063"/>
        <w:ind w:firstLine="480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签订日期：      年   月   日</w:t>
      </w:r>
      <w:r>
        <w:rPr>
          <w:rFonts w:hint="eastAsia" w:ascii="宋体" w:hAnsi="宋体" w:eastAsia="宋体" w:cs="宋体"/>
          <w:color w:val="000000"/>
          <w:sz w:val="24"/>
          <w:szCs w:val="24"/>
          <w:highlight w:val="none"/>
          <w:lang w:val="en-US" w:eastAsia="zh-CN"/>
        </w:rPr>
      </w:r>
      <w:r/>
    </w:p>
    <w:p>
      <w:pPr>
        <w:pStyle w:val="1063"/>
        <w:jc w:val="both"/>
        <w:rPr>
          <w:rFonts w:hint="eastAsia" w:cs="宋体"/>
          <w:color w:val="000000"/>
          <w:szCs w:val="24"/>
          <w:highlight w:val="none"/>
        </w:rPr>
      </w:pPr>
      <w:r/>
      <w:bookmarkStart w:id="59" w:name="_Hlt16619369"/>
      <w:r/>
      <w:bookmarkEnd w:id="59"/>
      <w:r>
        <w:rPr>
          <w:rFonts w:hint="eastAsia" w:cs="宋体"/>
          <w:color w:val="000000"/>
          <w:szCs w:val="24"/>
          <w:highlight w:val="none"/>
        </w:rPr>
      </w:r>
      <w:r/>
    </w:p>
    <w:p>
      <w:pPr>
        <w:pStyle w:val="1063"/>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1064"/>
        <w:numPr>
          <w:ilvl w:val="0"/>
          <w:numId w:val="0"/>
        </w:numPr>
        <w:spacing w:after="319"/>
        <w:rPr>
          <w:rFonts w:hint="eastAsia" w:ascii="宋体" w:hAnsi="宋体" w:eastAsia="宋体" w:cs="宋体"/>
          <w:b/>
          <w:bCs/>
          <w:sz w:val="44"/>
          <w:szCs w:val="44"/>
          <w:highlight w:val="none"/>
        </w:rPr>
      </w:pPr>
      <w:r/>
      <w:bookmarkStart w:id="60" w:name="_Toc12506"/>
      <w:r/>
      <w:bookmarkStart w:id="61" w:name="_Toc16039"/>
      <w:r/>
      <w:bookmarkStart w:id="62" w:name="_Toc7640"/>
      <w:r/>
      <w:bookmarkStart w:id="63" w:name="_Toc19304"/>
      <w:r/>
      <w:bookmarkStart w:id="64" w:name="_Toc2499"/>
      <w:r/>
      <w:bookmarkStart w:id="65" w:name="_Toc30023"/>
      <w:r/>
      <w:bookmarkStart w:id="66" w:name="_Toc32266"/>
      <w:r/>
      <w:bookmarkStart w:id="67" w:name="_Toc13526"/>
      <w:r/>
      <w:bookmarkStart w:id="68" w:name="_Toc27884"/>
      <w:r/>
      <w:bookmarkStart w:id="69" w:name="_Toc21312"/>
      <w:r/>
      <w:bookmarkStart w:id="70" w:name="_Toc22777"/>
      <w:r>
        <w:rPr>
          <w:rFonts w:hint="eastAsia" w:ascii="宋体" w:hAnsi="宋体" w:eastAsia="宋体" w:cs="宋体"/>
          <w:b/>
          <w:bCs/>
          <w:color w:val="000000"/>
          <w:sz w:val="44"/>
          <w:szCs w:val="44"/>
          <w:highlight w:val="none"/>
        </w:rPr>
        <w:br w:type="page" w:clear="all"/>
      </w:r>
      <w:r>
        <w:rPr>
          <w:rFonts w:hint="eastAsia" w:ascii="宋体" w:hAnsi="宋体" w:eastAsia="宋体" w:cs="宋体"/>
          <w:b/>
          <w:bCs/>
          <w:sz w:val="44"/>
          <w:szCs w:val="44"/>
          <w:highlight w:val="none"/>
        </w:rPr>
        <w:t xml:space="preserve">第四章  项目</w:t>
      </w:r>
      <w:r>
        <w:rPr>
          <w:rFonts w:hint="eastAsia" w:ascii="宋体" w:hAnsi="宋体" w:eastAsia="宋体" w:cs="宋体"/>
          <w:b/>
          <w:bCs/>
          <w:sz w:val="44"/>
          <w:szCs w:val="44"/>
          <w:highlight w:val="none"/>
        </w:rPr>
        <w:t xml:space="preserve">需求</w:t>
      </w:r>
      <w:bookmarkEnd w:id="49"/>
      <w:r/>
      <w:bookmarkEnd w:id="50"/>
      <w:r/>
      <w:bookmarkEnd w:id="51"/>
      <w:r/>
      <w:bookmarkEnd w:id="52"/>
      <w:r/>
      <w:bookmarkEnd w:id="60"/>
      <w:r/>
      <w:bookmarkEnd w:id="61"/>
      <w:r/>
      <w:bookmarkEnd w:id="62"/>
      <w:r/>
      <w:bookmarkEnd w:id="63"/>
      <w:r/>
      <w:bookmarkEnd w:id="64"/>
      <w:r/>
      <w:bookmarkEnd w:id="65"/>
      <w:r/>
      <w:bookmarkEnd w:id="66"/>
      <w:r/>
      <w:bookmarkEnd w:id="67"/>
      <w:r/>
      <w:bookmarkEnd w:id="68"/>
      <w:r/>
      <w:bookmarkEnd w:id="69"/>
      <w:r/>
      <w:bookmarkEnd w:id="70"/>
      <w:r>
        <w:rPr>
          <w:rFonts w:hint="eastAsia" w:ascii="宋体" w:hAnsi="宋体" w:eastAsia="宋体" w:cs="宋体"/>
          <w:b/>
          <w:bCs/>
          <w:sz w:val="44"/>
          <w:szCs w:val="44"/>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bookmarkStart w:id="71" w:name="_Toc25792"/>
      <w:r>
        <w:rPr>
          <w:rFonts w:hint="eastAsia" w:ascii="宋体" w:hAnsi="宋体" w:eastAsia="宋体" w:cs="宋体"/>
          <w:sz w:val="28"/>
          <w:szCs w:val="28"/>
          <w:highlight w:val="none"/>
        </w:rPr>
        <w:t xml:space="preserve">一、项目概况</w:t>
      </w:r>
      <w:bookmarkEnd w:id="71"/>
      <w:r>
        <w:rPr>
          <w:rFonts w:hint="eastAsia" w:ascii="宋体" w:hAnsi="宋体" w:eastAsia="宋体" w:cs="宋体"/>
          <w:sz w:val="28"/>
          <w:szCs w:val="28"/>
          <w:highlight w:val="none"/>
        </w:rPr>
      </w:r>
      <w:r/>
    </w:p>
    <w:p>
      <w:pPr>
        <w:pStyle w:val="1063"/>
        <w:ind w:firstLine="480"/>
        <w:spacing w:line="312" w:lineRule="auto"/>
        <w:rPr>
          <w:rFonts w:hint="eastAsia" w:ascii="宋体" w:hAnsi="宋体" w:cs="宋体"/>
          <w:highlight w:val="none"/>
        </w:rPr>
      </w:pPr>
      <w:r>
        <w:rPr>
          <w:rFonts w:hint="eastAsia" w:ascii="宋体" w:hAnsi="宋体" w:cs="宋体"/>
          <w:sz w:val="24"/>
          <w:szCs w:val="24"/>
          <w:highlight w:val="none"/>
        </w:rPr>
        <w:t xml:space="preserve">满足南京林业大学</w:t>
      </w:r>
      <w:r>
        <w:rPr>
          <w:rFonts w:hint="eastAsia" w:ascii="宋体" w:hAnsi="宋体" w:cs="宋体"/>
          <w:sz w:val="24"/>
          <w:szCs w:val="24"/>
          <w:highlight w:val="none"/>
          <w:lang w:val="en-US" w:eastAsia="zh-CN"/>
        </w:rPr>
        <w:t xml:space="preserve">拟采购</w:t>
      </w:r>
      <w:r>
        <w:rPr>
          <w:rFonts w:hint="eastAsia" w:ascii="宋体" w:hAnsi="宋体" w:cs="宋体"/>
          <w:sz w:val="24"/>
          <w:szCs w:val="24"/>
          <w:highlight w:val="none"/>
          <w:lang w:eastAsia="zh-CN"/>
        </w:rPr>
        <w:t xml:space="preserve">业余自考助学线下服务，主要用于开展自考学员线上线下助学辅助教学、课程辅导、过程性考核、考籍考务管理、学情数据分析、学员服务及教学质量管控等核心工作。每一届学生</w:t>
      </w:r>
      <w:r>
        <w:rPr>
          <w:rFonts w:hint="eastAsia" w:ascii="宋体" w:hAnsi="宋体" w:cs="宋体"/>
          <w:sz w:val="24"/>
          <w:szCs w:val="24"/>
          <w:highlight w:val="none"/>
          <w:lang w:val="en-US" w:eastAsia="zh-CN"/>
        </w:rPr>
        <w:t xml:space="preserve">助学</w:t>
      </w:r>
      <w:r>
        <w:rPr>
          <w:rFonts w:hint="eastAsia" w:ascii="宋体" w:hAnsi="宋体" w:cs="宋体"/>
          <w:sz w:val="24"/>
          <w:szCs w:val="24"/>
          <w:highlight w:val="none"/>
          <w:lang w:eastAsia="zh-CN"/>
        </w:rPr>
        <w:t xml:space="preserve">周期为</w:t>
      </w:r>
      <w:r>
        <w:rPr>
          <w:rFonts w:hint="eastAsia" w:ascii="宋体" w:hAnsi="宋体" w:cs="宋体"/>
          <w:sz w:val="24"/>
          <w:szCs w:val="24"/>
          <w:highlight w:val="none"/>
          <w:lang w:val="en-US" w:eastAsia="zh-CN"/>
        </w:rPr>
        <w:t xml:space="preserve">三</w:t>
      </w:r>
      <w:r>
        <w:rPr>
          <w:rFonts w:hint="eastAsia" w:ascii="宋体" w:hAnsi="宋体" w:cs="宋体"/>
          <w:sz w:val="24"/>
          <w:szCs w:val="24"/>
          <w:highlight w:val="none"/>
          <w:lang w:eastAsia="zh-CN"/>
        </w:rPr>
        <w:t xml:space="preserve">年。</w:t>
      </w:r>
      <w:r>
        <w:rPr>
          <w:rFonts w:hint="eastAsia" w:ascii="宋体" w:hAnsi="宋体" w:cs="宋体"/>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rPr>
          <w:rFonts w:hint="eastAsia" w:ascii="宋体" w:hAnsi="宋体" w:eastAsia="宋体" w:cs="宋体"/>
          <w:b/>
          <w:bCs/>
          <w:sz w:val="28"/>
          <w:szCs w:val="28"/>
          <w:highlight w:val="none"/>
          <w:lang w:val="en-US" w:eastAsia="zh-CN" w:bidi="ar-SA"/>
        </w:rPr>
        <w:t xml:space="preserve">二、</w:t>
      </w:r>
      <w:r>
        <w:rPr>
          <w:rFonts w:hint="eastAsia" w:ascii="宋体" w:hAnsi="宋体" w:eastAsia="宋体" w:cs="宋体"/>
          <w:sz w:val="28"/>
          <w:szCs w:val="28"/>
          <w:highlight w:val="none"/>
        </w:rPr>
        <w:t xml:space="preserve">采购清单</w:t>
      </w:r>
      <w:r>
        <w:rPr>
          <w:rFonts w:hint="eastAsia" w:ascii="宋体" w:hAnsi="宋体" w:eastAsia="宋体" w:cs="宋体"/>
          <w:sz w:val="28"/>
          <w:szCs w:val="28"/>
          <w:highlight w:val="none"/>
        </w:rPr>
      </w:r>
      <w:r/>
    </w:p>
    <w:tbl>
      <w:tblPr>
        <w:tblStyle w:val="1107"/>
        <w:tblW w:w="519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2"/>
        <w:gridCol w:w="7662"/>
        <w:gridCol w:w="1523"/>
      </w:tblGrid>
      <w:tr>
        <w:trPr/>
        <w:tc>
          <w:tcPr>
            <w:tcW w:w="518" w:type="dxa"/>
            <w:vAlign w:val="top"/>
            <w:textDirection w:val="lrTb"/>
            <w:noWrap w:val="false"/>
          </w:tcPr>
          <w:p>
            <w:pPr>
              <w:pStyle w:val="1063"/>
              <w:ind w:firstLine="0"/>
              <w:jc w:val="left"/>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rPr>
              <w:t xml:space="preserve">包号</w:t>
            </w:r>
            <w:r>
              <w:rPr>
                <w:rFonts w:hint="eastAsia" w:ascii="宋体" w:hAnsi="宋体" w:eastAsia="宋体" w:cs="宋体"/>
                <w:b w:val="0"/>
                <w:bCs w:val="0"/>
                <w:sz w:val="24"/>
                <w:szCs w:val="24"/>
                <w:highlight w:val="none"/>
              </w:rPr>
            </w:r>
            <w:r/>
          </w:p>
        </w:tc>
        <w:tc>
          <w:tcPr>
            <w:tcW w:w="3738" w:type="dxa"/>
            <w:vAlign w:val="top"/>
            <w:textDirection w:val="lrTb"/>
            <w:noWrap w:val="false"/>
          </w:tcPr>
          <w:p>
            <w:pPr>
              <w:pStyle w:val="1063"/>
              <w:ind w:firstLine="480"/>
              <w:jc w:val="center"/>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分</w:t>
            </w:r>
            <w:r>
              <w:rPr>
                <w:rFonts w:hint="eastAsia" w:ascii="宋体" w:hAnsi="宋体" w:eastAsia="宋体" w:cs="宋体"/>
                <w:b w:val="0"/>
                <w:bCs w:val="0"/>
                <w:sz w:val="24"/>
                <w:szCs w:val="24"/>
                <w:highlight w:val="none"/>
              </w:rPr>
              <w:t xml:space="preserve">包内容</w:t>
            </w:r>
            <w:r>
              <w:rPr>
                <w:rFonts w:hint="eastAsia" w:ascii="宋体" w:hAnsi="宋体" w:eastAsia="宋体" w:cs="宋体"/>
                <w:b w:val="0"/>
                <w:bCs w:val="0"/>
                <w:sz w:val="24"/>
                <w:szCs w:val="24"/>
                <w:highlight w:val="none"/>
              </w:rPr>
            </w:r>
            <w:r/>
          </w:p>
          <w:p>
            <w:pPr>
              <w:pStyle w:val="1063"/>
              <w:ind w:firstLine="480"/>
              <w:jc w:val="center"/>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（最终办学专业以江苏省教育考试院批复和招标人最终确定办学的专业为准）</w:t>
            </w:r>
            <w:r>
              <w:rPr>
                <w:rFonts w:hint="eastAsia" w:ascii="宋体" w:hAnsi="宋体" w:eastAsia="宋体" w:cs="宋体"/>
                <w:b w:val="0"/>
                <w:bCs w:val="0"/>
                <w:sz w:val="24"/>
                <w:szCs w:val="24"/>
                <w:highlight w:val="none"/>
              </w:rPr>
            </w:r>
            <w:r/>
          </w:p>
        </w:tc>
        <w:tc>
          <w:tcPr>
            <w:tcW w:w="743" w:type="dxa"/>
            <w:vAlign w:val="top"/>
            <w:textDirection w:val="lrTb"/>
            <w:noWrap w:val="false"/>
          </w:tcPr>
          <w:p>
            <w:pPr>
              <w:pStyle w:val="1063"/>
              <w:ind w:firstLine="0"/>
              <w:jc w:val="center"/>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年总费用估算</w:t>
            </w:r>
            <w:r>
              <w:rPr>
                <w:rFonts w:hint="eastAsia" w:ascii="宋体" w:hAnsi="宋体" w:eastAsia="宋体" w:cs="宋体"/>
                <w:b w:val="0"/>
                <w:bCs w:val="0"/>
                <w:sz w:val="24"/>
                <w:szCs w:val="24"/>
                <w:highlight w:val="none"/>
              </w:rPr>
            </w:r>
            <w:r/>
          </w:p>
          <w:p>
            <w:pPr>
              <w:pStyle w:val="1063"/>
              <w:ind w:firstLine="0"/>
              <w:jc w:val="center"/>
              <w:spacing w:line="312" w:lineRule="auto"/>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（万元）</w:t>
            </w:r>
            <w:r>
              <w:rPr>
                <w:rFonts w:hint="eastAsia" w:ascii="宋体" w:hAnsi="宋体" w:eastAsia="宋体" w:cs="宋体"/>
                <w:b w:val="0"/>
                <w:bCs w:val="0"/>
                <w:sz w:val="24"/>
                <w:szCs w:val="24"/>
                <w:highlight w:val="none"/>
              </w:rPr>
            </w:r>
            <w:r/>
          </w:p>
        </w:tc>
      </w:tr>
      <w:tr>
        <w:trPr>
          <w:trHeight w:val="296"/>
        </w:trPr>
        <w:tc>
          <w:tcPr>
            <w:tcW w:w="518" w:type="dxa"/>
            <w:vAlign w:val="top"/>
            <w:textDirection w:val="lrTb"/>
            <w:noWrap w:val="false"/>
          </w:tcPr>
          <w:p>
            <w:pPr>
              <w:pStyle w:val="1115"/>
              <w:numPr>
                <w:ilvl w:val="0"/>
                <w:numId w:val="0"/>
              </w:numPr>
              <w:ind w:left="0" w:firstLine="2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一</w:t>
            </w:r>
            <w:r>
              <w:rPr>
                <w:rFonts w:hint="eastAsia" w:ascii="宋体" w:hAnsi="宋体" w:eastAsia="宋体" w:cs="宋体"/>
                <w:sz w:val="24"/>
                <w:szCs w:val="24"/>
                <w:highlight w:val="none"/>
              </w:rPr>
            </w:r>
            <w:r/>
          </w:p>
        </w:tc>
        <w:tc>
          <w:tcPr>
            <w:tcW w:w="3738" w:type="dxa"/>
            <w:vAlign w:val="top"/>
            <w:textDirection w:val="lrTb"/>
            <w:noWrap w:val="false"/>
          </w:tcPr>
          <w:p>
            <w:pPr>
              <w:pStyle w:val="106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环境设计（本科）、汉语言文学（本科）、工商管理（本科）</w:t>
            </w:r>
            <w:r>
              <w:rPr>
                <w:rFonts w:hint="eastAsia" w:ascii="宋体" w:hAnsi="宋体" w:eastAsia="宋体" w:cs="宋体"/>
                <w:sz w:val="24"/>
                <w:szCs w:val="24"/>
                <w:highlight w:val="none"/>
                <w:lang w:val="en-US" w:eastAsia="zh-CN"/>
              </w:rPr>
            </w:r>
            <w:r/>
          </w:p>
        </w:tc>
        <w:tc>
          <w:tcPr>
            <w:tcW w:w="743" w:type="dxa"/>
            <w:vAlign w:val="top"/>
            <w:textDirection w:val="lrTb"/>
            <w:noWrap w:val="false"/>
          </w:tcPr>
          <w:p>
            <w:pPr>
              <w:pStyle w:val="1063"/>
              <w:jc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209</w:t>
            </w:r>
            <w:r>
              <w:rPr>
                <w:rFonts w:hint="eastAsia" w:ascii="宋体" w:hAnsi="宋体" w:eastAsia="宋体" w:cs="宋体"/>
                <w:sz w:val="24"/>
                <w:szCs w:val="24"/>
                <w:highlight w:val="none"/>
                <w:lang w:val="en-US" w:eastAsia="zh-CN"/>
              </w:rPr>
            </w:r>
            <w:r/>
          </w:p>
        </w:tc>
      </w:tr>
      <w:tr>
        <w:trPr/>
        <w:tc>
          <w:tcPr>
            <w:tcW w:w="518" w:type="dxa"/>
            <w:vAlign w:val="top"/>
            <w:textDirection w:val="lrTb"/>
            <w:noWrap w:val="false"/>
          </w:tcPr>
          <w:p>
            <w:pPr>
              <w:pStyle w:val="1115"/>
              <w:numPr>
                <w:ilvl w:val="0"/>
                <w:numId w:val="0"/>
              </w:numPr>
              <w:ind w:left="0" w:firstLine="2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二</w:t>
            </w:r>
            <w:r>
              <w:rPr>
                <w:rFonts w:hint="eastAsia" w:ascii="宋体" w:hAnsi="宋体" w:eastAsia="宋体" w:cs="宋体"/>
                <w:sz w:val="24"/>
                <w:szCs w:val="24"/>
                <w:highlight w:val="none"/>
              </w:rPr>
            </w:r>
            <w:r/>
          </w:p>
        </w:tc>
        <w:tc>
          <w:tcPr>
            <w:tcW w:w="3738" w:type="dxa"/>
            <w:vAlign w:val="top"/>
            <w:textDirection w:val="lrTb"/>
            <w:noWrap w:val="false"/>
          </w:tcPr>
          <w:p>
            <w:pPr>
              <w:pStyle w:val="106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数字媒体艺术（本科）、会计学（本科）、广告学（本科）、艺术设计（专科）</w:t>
            </w:r>
            <w:r>
              <w:rPr>
                <w:rFonts w:hint="eastAsia" w:ascii="宋体" w:hAnsi="宋体" w:eastAsia="宋体" w:cs="宋体"/>
                <w:sz w:val="24"/>
                <w:szCs w:val="24"/>
                <w:highlight w:val="none"/>
                <w:lang w:val="en-US" w:eastAsia="zh-CN" w:bidi="ar-SA"/>
              </w:rPr>
            </w:r>
            <w:r/>
          </w:p>
        </w:tc>
        <w:tc>
          <w:tcPr>
            <w:tcW w:w="743" w:type="dxa"/>
            <w:vAlign w:val="top"/>
            <w:textDirection w:val="lrTb"/>
            <w:noWrap w:val="false"/>
          </w:tcPr>
          <w:p>
            <w:pPr>
              <w:pStyle w:val="106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181</w:t>
            </w:r>
            <w:r>
              <w:rPr>
                <w:rFonts w:hint="eastAsia" w:ascii="宋体" w:hAnsi="宋体" w:eastAsia="宋体" w:cs="宋体"/>
                <w:sz w:val="24"/>
                <w:szCs w:val="24"/>
                <w:highlight w:val="none"/>
                <w:lang w:val="en-US" w:eastAsia="zh-CN" w:bidi="ar-SA"/>
              </w:rPr>
            </w:r>
            <w:r/>
          </w:p>
        </w:tc>
      </w:tr>
      <w:tr>
        <w:trPr/>
        <w:tc>
          <w:tcPr>
            <w:tcW w:w="518" w:type="dxa"/>
            <w:vAlign w:val="top"/>
            <w:textDirection w:val="lrTb"/>
            <w:noWrap w:val="false"/>
          </w:tcPr>
          <w:p>
            <w:pPr>
              <w:pStyle w:val="1115"/>
              <w:numPr>
                <w:ilvl w:val="0"/>
                <w:numId w:val="0"/>
              </w:numPr>
              <w:ind w:left="0" w:firstLine="240"/>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三</w:t>
            </w:r>
            <w:r>
              <w:rPr>
                <w:rFonts w:hint="eastAsia" w:ascii="宋体" w:hAnsi="宋体" w:eastAsia="宋体" w:cs="宋体"/>
                <w:sz w:val="24"/>
                <w:szCs w:val="24"/>
                <w:highlight w:val="none"/>
              </w:rPr>
            </w:r>
            <w:r/>
          </w:p>
        </w:tc>
        <w:tc>
          <w:tcPr>
            <w:tcW w:w="3738" w:type="dxa"/>
            <w:vAlign w:val="top"/>
            <w:textDirection w:val="lrTb"/>
            <w:noWrap w:val="false"/>
          </w:tcPr>
          <w:p>
            <w:pPr>
              <w:pStyle w:val="106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视觉传达设计（本科）、网络与新媒体（本科）、产品设计（本科）</w:t>
            </w:r>
            <w:r>
              <w:rPr>
                <w:rFonts w:hint="eastAsia" w:ascii="宋体" w:hAnsi="宋体" w:eastAsia="宋体" w:cs="宋体"/>
                <w:sz w:val="24"/>
                <w:szCs w:val="24"/>
                <w:highlight w:val="none"/>
                <w:lang w:val="en-US" w:eastAsia="zh-CN" w:bidi="ar-SA"/>
              </w:rPr>
            </w:r>
            <w:r/>
          </w:p>
        </w:tc>
        <w:tc>
          <w:tcPr>
            <w:tcW w:w="743" w:type="dxa"/>
            <w:vAlign w:val="top"/>
            <w:textDirection w:val="lrTb"/>
            <w:noWrap w:val="false"/>
          </w:tcPr>
          <w:p>
            <w:pPr>
              <w:pStyle w:val="1063"/>
              <w:jc w:val="cente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132</w:t>
            </w:r>
            <w:r>
              <w:rPr>
                <w:rFonts w:hint="eastAsia" w:ascii="宋体" w:hAnsi="宋体" w:eastAsia="宋体" w:cs="宋体"/>
                <w:sz w:val="24"/>
                <w:szCs w:val="24"/>
                <w:highlight w:val="none"/>
                <w:lang w:val="en-US" w:eastAsia="zh-CN" w:bidi="ar-SA"/>
              </w:rPr>
            </w:r>
            <w:r/>
          </w:p>
        </w:tc>
      </w:tr>
    </w:tbl>
    <w:p>
      <w:pPr>
        <w:pStyle w:val="1063"/>
        <w:ind w:firstLine="482"/>
        <w:rPr>
          <w:rFonts w:hint="eastAsia"/>
          <w:sz w:val="24"/>
          <w:szCs w:val="24"/>
          <w:highlight w:val="none"/>
        </w:rPr>
      </w:pPr>
      <w:r>
        <w:rPr>
          <w:rFonts w:hint="eastAsia" w:ascii="宋体" w:hAnsi="宋体" w:eastAsia="宋体" w:cs="宋体"/>
          <w:b/>
          <w:bCs/>
          <w:i w:val="0"/>
          <w:iCs w:val="0"/>
          <w:sz w:val="24"/>
          <w:szCs w:val="24"/>
          <w:highlight w:val="none"/>
          <w:u w:val="none"/>
        </w:rPr>
        <w:t xml:space="preserve">定标原则：</w:t>
      </w:r>
      <w:r>
        <w:rPr>
          <w:rFonts w:hint="eastAsia" w:ascii="宋体" w:hAnsi="宋体" w:cs="宋体"/>
          <w:b/>
          <w:bCs/>
          <w:sz w:val="24"/>
          <w:szCs w:val="24"/>
          <w:highlight w:val="none"/>
          <w:lang w:val="zh-CN"/>
        </w:rPr>
        <w:t xml:space="preserve">本项目共划分为</w:t>
      </w: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val="zh-CN"/>
        </w:rPr>
        <w:t xml:space="preserve">个采购包，</w:t>
      </w:r>
      <w:r>
        <w:rPr>
          <w:rFonts w:hint="eastAsia" w:ascii="宋体" w:hAnsi="宋体" w:cs="宋体"/>
          <w:b/>
          <w:bCs/>
          <w:sz w:val="24"/>
          <w:szCs w:val="24"/>
        </w:rPr>
        <w:t xml:space="preserve">投标人的投标文件中开标一览表、报价明细表，须分别填列。</w:t>
      </w:r>
      <w:r>
        <w:rPr>
          <w:rFonts w:hint="eastAsia" w:ascii="宋体" w:hAnsi="宋体" w:cs="宋体"/>
          <w:b/>
          <w:bCs/>
          <w:sz w:val="24"/>
          <w:szCs w:val="24"/>
          <w:highlight w:val="none"/>
          <w:lang w:val="zh-CN"/>
        </w:rPr>
        <w:t xml:space="preserve">本项目采用兼投不兼中原则。</w:t>
      </w:r>
      <w:r>
        <w:rPr>
          <w:rFonts w:hint="eastAsia" w:ascii="宋体" w:hAnsi="宋体" w:cs="宋体"/>
          <w:b/>
          <w:bCs/>
          <w:sz w:val="24"/>
          <w:szCs w:val="24"/>
        </w:rPr>
        <w:t xml:space="preserve">评标委员会按照分包号正顺序依次评审</w:t>
      </w:r>
      <w:r>
        <w:rPr>
          <w:rFonts w:hint="eastAsia" w:ascii="宋体" w:hAnsi="宋体" w:cs="宋体"/>
          <w:b/>
          <w:bCs/>
          <w:sz w:val="24"/>
          <w:szCs w:val="24"/>
          <w:lang w:eastAsia="zh-CN"/>
        </w:rPr>
        <w:t xml:space="preserve">。</w:t>
      </w:r>
      <w:r>
        <w:rPr>
          <w:rFonts w:hint="eastAsia" w:ascii="宋体" w:hAnsi="宋体" w:cs="宋体"/>
          <w:b/>
          <w:bCs/>
          <w:sz w:val="24"/>
          <w:szCs w:val="24"/>
          <w:highlight w:val="none"/>
          <w:lang w:val="zh-CN"/>
        </w:rPr>
        <w:t xml:space="preserve">例如：在分包1中被推荐的第一中标候选人不得成为分包2推荐的第一中标候选人。已在分包1中被推荐的第一中标候选人如在分包2中排名第一，此时分包2的推荐第一中标候选人将顺延至排名第二的中标候选人，以此类推。</w:t>
      </w:r>
      <w:r>
        <w:rPr>
          <w:rFonts w:hint="eastAsia"/>
          <w:sz w:val="24"/>
          <w:szCs w:val="24"/>
          <w:highlight w:val="none"/>
        </w:rPr>
      </w:r>
      <w:r/>
    </w:p>
    <w:p>
      <w:pPr>
        <w:pStyle w:val="1065"/>
        <w:numPr>
          <w:ilvl w:val="0"/>
          <w:numId w:val="0"/>
        </w:numPr>
        <w:jc w:val="both"/>
        <w:spacing w:before="0" w:after="0" w:line="312" w:lineRule="auto"/>
        <w:rPr>
          <w:rFonts w:hint="eastAsia" w:ascii="宋体" w:hAnsi="宋体" w:eastAsia="宋体" w:cs="宋体"/>
          <w:sz w:val="28"/>
          <w:szCs w:val="28"/>
          <w:highlight w:val="none"/>
        </w:rPr>
      </w:pPr>
      <w:r/>
      <w:bookmarkStart w:id="72" w:name="_Toc22174"/>
      <w:r>
        <w:rPr>
          <w:rFonts w:hint="eastAsia" w:ascii="宋体" w:hAnsi="宋体" w:eastAsia="宋体" w:cs="宋体"/>
          <w:sz w:val="28"/>
          <w:szCs w:val="28"/>
          <w:highlight w:val="none"/>
        </w:rPr>
        <w:t xml:space="preserve">三、</w:t>
      </w:r>
      <w:r>
        <w:rPr>
          <w:rFonts w:hint="eastAsia" w:ascii="宋体" w:hAnsi="宋体" w:eastAsia="宋体" w:cs="宋体"/>
          <w:sz w:val="28"/>
          <w:szCs w:val="28"/>
          <w:highlight w:val="none"/>
          <w:lang w:val="en-US" w:eastAsia="zh-CN"/>
        </w:rPr>
        <w:t xml:space="preserve">服务要求</w:t>
      </w:r>
      <w:bookmarkEnd w:id="72"/>
      <w:r/>
      <w:bookmarkStart w:id="73" w:name="_Toc427"/>
      <w:r>
        <w:rPr>
          <w:rFonts w:hint="eastAsia" w:ascii="宋体" w:hAnsi="宋体" w:eastAsia="宋体" w:cs="宋体"/>
          <w:sz w:val="28"/>
          <w:szCs w:val="28"/>
          <w:highlight w:val="none"/>
        </w:rPr>
      </w:r>
      <w:r/>
    </w:p>
    <w:p>
      <w:pPr>
        <w:pStyle w:val="1063"/>
        <w:jc w:val="left"/>
        <w:spacing w:after="0" w:line="360" w:lineRule="auto"/>
        <w:rPr>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一</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教学辅助服务 </w:t>
      </w:r>
      <w:r>
        <w:rPr>
          <w:b/>
          <w:bCs/>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1.提供符合安全、消防、卫生标准的线下教学场地及多媒体、桌椅、照明等设施。 </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2.协助开展线上线下混合教学，提供现场答疑、辅导、考勤执行。</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3.推荐辅导教师，经学校审核认可后方可上岗。 </w:t>
      </w:r>
      <w:r>
        <w:rPr>
          <w:sz w:val="24"/>
          <w:szCs w:val="24"/>
          <w:highlight w:val="none"/>
        </w:rPr>
      </w:r>
      <w:r/>
    </w:p>
    <w:p>
      <w:pPr>
        <w:pStyle w:val="1063"/>
        <w:jc w:val="left"/>
        <w:spacing w:before="0" w:after="0" w:line="360" w:lineRule="auto"/>
        <w:rPr>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学生管理服务 </w:t>
      </w:r>
      <w:r>
        <w:rPr>
          <w:b/>
          <w:bCs/>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1.按要求配备专职班主任，师生比不低于 1:150。</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2.负责日常管理、信息采集、政策解读、通知传达、家校沟通。</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3.为自愿参与线下教学学生购买足额团体意外伤害保险，保单备案。</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4.建立学生投诉、咨询、问题反馈快速处理机制。</w:t>
      </w:r>
      <w:r>
        <w:rPr>
          <w:sz w:val="24"/>
          <w:szCs w:val="24"/>
          <w:highlight w:val="none"/>
        </w:rPr>
      </w:r>
      <w:r/>
    </w:p>
    <w:p>
      <w:pPr>
        <w:pStyle w:val="1063"/>
        <w:jc w:val="left"/>
        <w:spacing w:before="0" w:after="0" w:line="360" w:lineRule="auto"/>
        <w:rPr>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三</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考务协助服务</w:t>
      </w:r>
      <w:r>
        <w:rPr>
          <w:b/>
          <w:bCs/>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1.协助统考课程报考通知、信息核对、提醒服务。</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2.指导学生办理课程免考、实践考核报名、过程性成绩上报、毕业论文写作指导、答辩流程指导，提供答辩的场地、组织、后勤保障。</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3.指导学生办理毕业申请、学位申请。</w:t>
      </w:r>
      <w:r>
        <w:rPr>
          <w:sz w:val="24"/>
          <w:szCs w:val="24"/>
          <w:highlight w:val="none"/>
        </w:rPr>
      </w:r>
      <w:r/>
    </w:p>
    <w:p>
      <w:pPr>
        <w:pStyle w:val="1063"/>
        <w:jc w:val="left"/>
        <w:spacing w:before="0" w:after="0" w:line="360" w:lineRule="auto"/>
        <w:rPr>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四</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招生宣传协助</w:t>
      </w:r>
      <w:r>
        <w:rPr>
          <w:b/>
          <w:bCs/>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1.依规开展项目推广，使用学校统一招生简章，不得虚假承诺、夸大宣传。</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2.协助办理新生报名注册、资格审查及考籍办理工作</w:t>
      </w:r>
      <w:r>
        <w:rPr>
          <w:sz w:val="24"/>
          <w:szCs w:val="24"/>
          <w:highlight w:val="none"/>
        </w:rPr>
      </w:r>
      <w:r/>
    </w:p>
    <w:p>
      <w:pPr>
        <w:pStyle w:val="1063"/>
        <w:jc w:val="left"/>
        <w:spacing w:before="0" w:after="0"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3.不得私自招生、不得代收学费、不得违规收取费用。</w:t>
      </w:r>
      <w:r>
        <w:rPr>
          <w:rFonts w:ascii="宋体" w:hAnsi="宋体" w:eastAsia="宋体" w:cs="宋体"/>
          <w:color w:val="000000"/>
          <w:sz w:val="24"/>
          <w:szCs w:val="24"/>
          <w:highlight w:val="none"/>
        </w:rPr>
      </w:r>
      <w:r/>
    </w:p>
    <w:p>
      <w:pPr>
        <w:pStyle w:val="1063"/>
        <w:jc w:val="left"/>
        <w:spacing w:before="0" w:after="0" w:line="360" w:lineRule="auto"/>
        <w:rPr>
          <w:b/>
          <w:bCs/>
          <w:sz w:val="24"/>
          <w:szCs w:val="24"/>
          <w:highlight w:val="none"/>
        </w:rPr>
      </w:pP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五</w:t>
      </w:r>
      <w:r>
        <w:rPr>
          <w:rFonts w:hint="eastAsia" w:ascii="宋体" w:hAnsi="宋体" w:eastAsia="宋体" w:cs="宋体"/>
          <w:b/>
          <w:bCs/>
          <w:color w:val="000000"/>
          <w:sz w:val="24"/>
          <w:szCs w:val="24"/>
          <w:highlight w:val="none"/>
          <w:lang w:eastAsia="zh-CN"/>
        </w:rPr>
        <w:t xml:space="preserve">）</w:t>
      </w:r>
      <w:r>
        <w:rPr>
          <w:rFonts w:ascii="宋体" w:hAnsi="宋体" w:eastAsia="宋体" w:cs="宋体"/>
          <w:b/>
          <w:bCs/>
          <w:color w:val="000000"/>
          <w:sz w:val="24"/>
          <w:szCs w:val="24"/>
          <w:highlight w:val="none"/>
        </w:rPr>
        <w:t xml:space="preserve">档案与移交 </w:t>
      </w:r>
      <w:r>
        <w:rPr>
          <w:b/>
          <w:bCs/>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1.完整建立学生管理台账，服务终止时完整移交全部学生材料。</w:t>
      </w:r>
      <w:r>
        <w:rPr>
          <w:sz w:val="24"/>
          <w:szCs w:val="24"/>
          <w:highlight w:val="none"/>
        </w:rPr>
      </w:r>
      <w:r/>
    </w:p>
    <w:p>
      <w:pPr>
        <w:pStyle w:val="1063"/>
        <w:jc w:val="left"/>
        <w:spacing w:before="0" w:after="0" w:line="360" w:lineRule="auto"/>
        <w:rPr>
          <w:sz w:val="24"/>
          <w:szCs w:val="24"/>
          <w:highlight w:val="none"/>
        </w:rPr>
      </w:pPr>
      <w:r>
        <w:rPr>
          <w:rFonts w:ascii="宋体" w:hAnsi="宋体" w:eastAsia="宋体" w:cs="宋体"/>
          <w:color w:val="000000"/>
          <w:sz w:val="24"/>
          <w:szCs w:val="24"/>
          <w:highlight w:val="none"/>
        </w:rPr>
        <w:t xml:space="preserve">2.完整归档所有教学资料、考务资料等档案材料，服务终止时完整移交全部档案材料。 </w:t>
      </w:r>
      <w:r>
        <w:rPr>
          <w:sz w:val="24"/>
          <w:szCs w:val="24"/>
          <w:highlight w:val="none"/>
        </w:rPr>
      </w:r>
      <w:r/>
    </w:p>
    <w:p>
      <w:pPr>
        <w:pStyle w:val="1065"/>
        <w:numPr>
          <w:ilvl w:val="0"/>
          <w:numId w:val="0"/>
        </w:numPr>
        <w:jc w:val="both"/>
        <w:spacing w:before="0" w:after="0" w:line="312" w:lineRule="auto"/>
        <w:rPr>
          <w:rFonts w:ascii="宋体" w:hAnsi="宋体" w:eastAsia="宋体" w:cs="宋体"/>
          <w:sz w:val="28"/>
          <w:szCs w:val="28"/>
          <w:highlight w:val="none"/>
        </w:rPr>
      </w:pPr>
      <w:r>
        <w:rPr>
          <w:rFonts w:hint="eastAsia" w:ascii="宋体" w:hAnsi="宋体" w:eastAsia="宋体" w:cs="宋体"/>
          <w:sz w:val="28"/>
          <w:szCs w:val="28"/>
          <w:highlight w:val="none"/>
          <w:lang w:val="en-US" w:eastAsia="zh-CN"/>
        </w:rPr>
        <w:t xml:space="preserve">四</w:t>
      </w:r>
      <w:r>
        <w:rPr>
          <w:rFonts w:ascii="宋体" w:hAnsi="宋体" w:eastAsia="宋体" w:cs="宋体"/>
          <w:sz w:val="28"/>
          <w:szCs w:val="28"/>
          <w:highlight w:val="none"/>
        </w:rPr>
        <w:t xml:space="preserve">、</w:t>
      </w:r>
      <w:r>
        <w:rPr>
          <w:rFonts w:hint="eastAsia" w:ascii="宋体" w:hAnsi="宋体" w:eastAsia="宋体" w:cs="宋体"/>
          <w:sz w:val="28"/>
          <w:szCs w:val="28"/>
          <w:highlight w:val="none"/>
        </w:rPr>
        <w:t xml:space="preserve">商务要求</w:t>
      </w:r>
      <w:r>
        <w:rPr>
          <w:rFonts w:ascii="宋体" w:hAnsi="宋体" w:eastAsia="宋体" w:cs="宋体"/>
          <w:sz w:val="28"/>
          <w:szCs w:val="28"/>
          <w:highlight w:val="none"/>
        </w:rPr>
      </w:r>
      <w:r/>
    </w:p>
    <w:p>
      <w:pPr>
        <w:pStyle w:val="1063"/>
        <w:ind w:firstLine="240"/>
        <w:jc w:val="left"/>
        <w:spacing w:line="360" w:lineRule="auto"/>
        <w:rPr>
          <w:rFonts w:hint="eastAsia"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 每届学生</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周期为</w:t>
      </w:r>
      <w:r>
        <w:rPr>
          <w:rFonts w:hint="eastAsia" w:ascii="宋体" w:hAnsi="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年，学校对学生人数不作保证，结算金额根据结算时学生人数、中标价格和合同履行情况按实结算。</w:t>
      </w:r>
      <w:r>
        <w:rPr>
          <w:rFonts w:hint="eastAsia" w:ascii="宋体" w:hAnsi="宋体" w:cs="宋体"/>
          <w:color w:val="000000"/>
          <w:sz w:val="24"/>
          <w:szCs w:val="24"/>
          <w:highlight w:val="none"/>
        </w:rPr>
      </w:r>
      <w:r/>
    </w:p>
    <w:p>
      <w:pPr>
        <w:pStyle w:val="1063"/>
        <w:ind w:firstLine="240"/>
        <w:jc w:val="left"/>
        <w:spacing w:line="360" w:lineRule="auto"/>
        <w:rPr>
          <w:rFonts w:hint="eastAsia" w:ascii="宋体" w:hAnsi="宋体" w:cs="宋体"/>
          <w:b/>
          <w:bCs/>
          <w:color w:val="000000"/>
          <w:sz w:val="24"/>
          <w:szCs w:val="24"/>
          <w:highlight w:val="none"/>
          <w:lang w:eastAsia="zh-CN"/>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2. </w:t>
      </w:r>
      <w:r>
        <w:rPr>
          <w:rFonts w:hint="eastAsia" w:ascii="宋体" w:hAnsi="宋体" w:cs="宋体"/>
          <w:b/>
          <w:bCs/>
          <w:color w:val="000000"/>
          <w:sz w:val="24"/>
          <w:szCs w:val="24"/>
          <w:highlight w:val="none"/>
        </w:rPr>
        <w:t xml:space="preserve">报价要求：</w:t>
      </w:r>
      <w:r>
        <w:rPr>
          <w:rFonts w:hint="eastAsia" w:ascii="宋体" w:hAnsi="宋体" w:cs="宋体"/>
          <w:b/>
          <w:bCs/>
          <w:color w:val="000000"/>
          <w:sz w:val="24"/>
          <w:szCs w:val="24"/>
          <w:highlight w:val="none"/>
          <w:lang w:val="en-US" w:eastAsia="zh-CN"/>
        </w:rPr>
        <w:t xml:space="preserve">采购人向</w:t>
      </w:r>
      <w:r>
        <w:rPr>
          <w:rFonts w:hint="eastAsia" w:ascii="宋体" w:hAnsi="宋体" w:cs="宋体"/>
          <w:b/>
          <w:bCs/>
          <w:color w:val="000000"/>
          <w:sz w:val="24"/>
          <w:szCs w:val="24"/>
          <w:highlight w:val="none"/>
        </w:rPr>
        <w:t xml:space="preserve">服务商</w:t>
      </w:r>
      <w:r>
        <w:rPr>
          <w:rFonts w:hint="eastAsia" w:ascii="宋体" w:hAnsi="宋体" w:cs="宋体"/>
          <w:b/>
          <w:bCs/>
          <w:color w:val="000000"/>
          <w:sz w:val="24"/>
          <w:szCs w:val="24"/>
          <w:highlight w:val="none"/>
          <w:lang w:val="en-US" w:eastAsia="zh-CN"/>
        </w:rPr>
        <w:t xml:space="preserve">支付服务费</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服务</w:t>
      </w:r>
      <w:r>
        <w:rPr>
          <w:rFonts w:hint="eastAsia" w:ascii="宋体" w:hAnsi="宋体" w:cs="宋体"/>
          <w:b/>
          <w:bCs/>
          <w:color w:val="000000"/>
          <w:sz w:val="24"/>
          <w:szCs w:val="24"/>
          <w:highlight w:val="none"/>
        </w:rPr>
        <w:t xml:space="preserve">费用采用费率报价，</w:t>
      </w:r>
      <w:r>
        <w:rPr>
          <w:rFonts w:hint="eastAsia" w:ascii="宋体" w:hAnsi="宋体" w:cs="宋体"/>
          <w:b/>
          <w:bCs/>
          <w:color w:val="000000"/>
          <w:sz w:val="24"/>
          <w:szCs w:val="24"/>
          <w:highlight w:val="none"/>
          <w:lang w:eastAsia="zh-CN"/>
        </w:rPr>
        <w:t xml:space="preserve">最高限价</w:t>
      </w:r>
      <w:r>
        <w:rPr>
          <w:rFonts w:hint="eastAsia" w:ascii="宋体" w:hAnsi="宋体" w:cs="宋体"/>
          <w:b/>
          <w:bCs/>
          <w:color w:val="000000"/>
          <w:sz w:val="24"/>
          <w:szCs w:val="24"/>
          <w:highlight w:val="none"/>
          <w:lang w:val="en-US" w:eastAsia="zh-CN"/>
        </w:rPr>
        <w:t xml:space="preserve">为75</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百分之</w:t>
      </w:r>
      <w:r>
        <w:rPr>
          <w:rFonts w:hint="eastAsia" w:ascii="宋体" w:hAnsi="宋体" w:cs="宋体"/>
          <w:b/>
          <w:bCs/>
          <w:color w:val="000000"/>
          <w:sz w:val="24"/>
          <w:szCs w:val="24"/>
          <w:highlight w:val="none"/>
          <w:lang w:val="en-US" w:eastAsia="zh-CN"/>
        </w:rPr>
        <w:t xml:space="preserve">七十五</w:t>
      </w:r>
      <w:r>
        <w:rPr>
          <w:rFonts w:hint="eastAsia" w:ascii="宋体" w:hAnsi="宋体" w:cs="宋体"/>
          <w:b/>
          <w:bCs/>
          <w:color w:val="000000"/>
          <w:sz w:val="24"/>
          <w:szCs w:val="24"/>
          <w:highlight w:val="none"/>
          <w:lang w:eastAsia="zh-CN"/>
        </w:rPr>
        <w:t xml:space="preserve">），投标报价费率超过最高限价的，投标无效。</w:t>
      </w:r>
      <w:r>
        <w:rPr>
          <w:rFonts w:hint="eastAsia" w:ascii="宋体" w:hAnsi="宋体" w:cs="宋体"/>
          <w:b/>
          <w:bCs/>
          <w:color w:val="000000"/>
          <w:sz w:val="24"/>
          <w:szCs w:val="24"/>
          <w:highlight w:val="none"/>
          <w:lang w:eastAsia="zh-CN"/>
        </w:rPr>
      </w:r>
      <w:r/>
    </w:p>
    <w:p>
      <w:pPr>
        <w:pStyle w:val="1063"/>
        <w:ind w:firstLine="0"/>
        <w:jc w:val="both"/>
        <w:spacing w:line="240" w:lineRule="auto"/>
        <w:rPr>
          <w:rFonts w:hint="eastAsia" w:ascii="宋体" w:hAnsi="宋体" w:cs="宋体"/>
          <w:color w:val="ff0000"/>
          <w:sz w:val="21"/>
          <w:szCs w:val="21"/>
          <w:highlight w:val="none"/>
          <w:lang w:eastAsia="zh-CN"/>
        </w:rPr>
      </w:pPr>
      <w:r>
        <w:rPr>
          <w:rFonts w:hint="eastAsia" w:ascii="宋体" w:hAnsi="宋体" w:cs="宋体"/>
          <w:color w:val="ff0000"/>
          <w:sz w:val="21"/>
          <w:szCs w:val="21"/>
          <w:highlight w:val="none"/>
          <w:lang w:eastAsia="zh-CN"/>
        </w:rPr>
        <w:t xml:space="preserve">（</w:t>
      </w:r>
      <w:r>
        <w:rPr>
          <w:rFonts w:hint="eastAsia" w:ascii="宋体" w:hAnsi="宋体" w:cs="宋体"/>
          <w:color w:val="ff0000"/>
          <w:sz w:val="21"/>
          <w:szCs w:val="21"/>
          <w:highlight w:val="none"/>
          <w:lang w:val="en-US" w:eastAsia="zh-CN"/>
        </w:rPr>
        <w:t xml:space="preserve">注：报价要求详见第六章开标一览表；</w:t>
      </w:r>
      <w:r>
        <w:rPr>
          <w:rFonts w:eastAsia="宋体"/>
          <w:color w:val="ff0000"/>
          <w:highlight w:val="none"/>
          <w:lang w:val="en-US" w:eastAsia="zh-CN"/>
        </w:rPr>
        <w:t xml:space="preserve">苏采云报价为优惠率报价=1-费率</w:t>
      </w:r>
      <w:r>
        <w:rPr>
          <w:rFonts w:hint="eastAsia" w:eastAsia="宋体"/>
          <w:color w:val="ff0000"/>
          <w:highlight w:val="none"/>
          <w:lang w:val="en-US" w:eastAsia="zh-CN"/>
        </w:rPr>
        <w:t xml:space="preserve">。</w:t>
      </w:r>
      <w:r>
        <w:rPr>
          <w:rFonts w:eastAsia="宋体"/>
          <w:color w:val="ff0000"/>
          <w:highlight w:val="none"/>
          <w:lang w:val="en-US" w:eastAsia="zh-CN"/>
        </w:rPr>
        <w:t xml:space="preserve">例如：</w:t>
      </w:r>
      <w:r>
        <w:rPr>
          <w:rFonts w:ascii="Calibri" w:hAnsi="Calibri" w:eastAsia="宋体" w:cs="Calibri"/>
          <w:color w:val="ff0000"/>
          <w:sz w:val="21"/>
          <w:szCs w:val="21"/>
          <w:highlight w:val="none"/>
        </w:rPr>
        <w:t xml:space="preserve">服务</w:t>
      </w:r>
      <w:r>
        <w:rPr>
          <w:rFonts w:ascii="Calibri" w:hAnsi="Calibri" w:eastAsia="宋体" w:cs="Calibri"/>
          <w:color w:val="ff0000"/>
          <w:sz w:val="21"/>
          <w:szCs w:val="21"/>
          <w:highlight w:val="none"/>
          <w:lang w:val="en-US" w:eastAsia="zh-CN"/>
        </w:rPr>
        <w:t xml:space="preserve">费率报价为75%，则苏采云系统优惠率报价为25%）</w:t>
      </w:r>
      <w:r>
        <w:rPr>
          <w:rFonts w:hint="eastAsia" w:ascii="宋体" w:hAnsi="宋体" w:cs="宋体"/>
          <w:color w:val="ff0000"/>
          <w:sz w:val="21"/>
          <w:szCs w:val="21"/>
          <w:highlight w:val="none"/>
          <w:lang w:eastAsia="zh-CN"/>
        </w:rPr>
      </w:r>
      <w:r/>
    </w:p>
    <w:p>
      <w:pPr>
        <w:pStyle w:val="1063"/>
        <w:ind w:firstLine="240"/>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 结算方式：学生缴纳学费的收费标准由招标方核定，学生直接缴纳至指定账户，服务商不得收取学费，学生缴纳学费后，由</w:t>
      </w:r>
      <w:r>
        <w:rPr>
          <w:rFonts w:hint="eastAsia" w:ascii="宋体" w:hAnsi="宋体" w:cs="宋体"/>
          <w:color w:val="000000"/>
          <w:sz w:val="24"/>
          <w:szCs w:val="24"/>
          <w:highlight w:val="none"/>
          <w:lang w:val="en-US" w:eastAsia="zh-CN"/>
        </w:rPr>
        <w:t xml:space="preserve">采购方</w:t>
      </w:r>
      <w:r>
        <w:rPr>
          <w:rFonts w:hint="eastAsia" w:ascii="宋体" w:hAnsi="宋体" w:cs="宋体"/>
          <w:color w:val="000000"/>
          <w:sz w:val="24"/>
          <w:szCs w:val="24"/>
          <w:highlight w:val="none"/>
        </w:rPr>
        <w:t xml:space="preserve">向学生开具学费票据。</w:t>
      </w:r>
      <w:r>
        <w:rPr>
          <w:rFonts w:ascii="宋体" w:hAnsi="宋体" w:cs="宋体"/>
          <w:color w:val="000000"/>
          <w:sz w:val="24"/>
          <w:szCs w:val="24"/>
          <w:highlight w:val="none"/>
        </w:rPr>
      </w:r>
      <w:r/>
    </w:p>
    <w:p>
      <w:pPr>
        <w:pStyle w:val="1063"/>
        <w:ind w:firstLine="240"/>
        <w:jc w:val="left"/>
        <w:spacing w:line="360" w:lineRule="auto"/>
        <w:rPr>
          <w:rFonts w:ascii="宋体" w:hAnsi="宋体" w:cs="宋体"/>
          <w:color w:val="000000"/>
          <w:sz w:val="24"/>
          <w:szCs w:val="24"/>
          <w:highlight w:val="none"/>
        </w:rPr>
      </w:pPr>
      <w:r>
        <w:rPr>
          <w:rFonts w:hint="eastAsia" w:ascii="宋体" w:hAnsi="宋体" w:eastAsia="宋体" w:cs="宋体"/>
          <w:color w:val="000000"/>
          <w:sz w:val="24"/>
          <w:szCs w:val="24"/>
          <w:highlight w:val="none"/>
        </w:rPr>
        <w:t xml:space="preserve">4. </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人按照合同约定和服务商履约情况定期向服务商划拨相应的</w:t>
      </w:r>
      <w:r>
        <w:rPr>
          <w:rFonts w:hint="eastAsia" w:ascii="宋体" w:hAnsi="宋体" w:eastAsia="宋体" w:cs="宋体"/>
          <w:color w:val="000000"/>
          <w:sz w:val="24"/>
          <w:szCs w:val="24"/>
          <w:highlight w:val="none"/>
          <w:lang w:val="en-US" w:eastAsia="zh-CN"/>
        </w:rPr>
        <w:t xml:space="preserve">线下助学服务</w:t>
      </w:r>
      <w:r>
        <w:rPr>
          <w:rFonts w:hint="eastAsia" w:ascii="宋体" w:hAnsi="宋体" w:eastAsia="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5. 服务商据实向学生收取技</w:t>
      </w:r>
      <w:r>
        <w:rPr>
          <w:rFonts w:hint="eastAsia" w:ascii="宋体" w:hAnsi="宋体" w:cs="宋体"/>
          <w:color w:val="000000"/>
          <w:sz w:val="24"/>
          <w:szCs w:val="24"/>
          <w:highlight w:val="none"/>
          <w:lang w:val="en-US" w:eastAsia="zh-CN" w:bidi="ar"/>
        </w:rPr>
        <w:t xml:space="preserve">教材、资料费500元/年·生、保险代办费100元/年·生。学生每门课程第二次及以后各期次补考费，按照江苏省教育考试院的规定据实收取。</w:t>
      </w:r>
      <w:r>
        <w:rPr>
          <w:rFonts w:hint="eastAsia" w:ascii="宋体" w:hAnsi="宋体" w:cs="宋体"/>
          <w:color w:val="000000"/>
          <w:sz w:val="24"/>
          <w:szCs w:val="24"/>
          <w:highlight w:val="none"/>
          <w:lang w:bidi="ar"/>
        </w:rPr>
        <w:t xml:space="preserve">除上述费用外，服务商不得向学生收取其他任何费用。</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bidi="ar"/>
        </w:rPr>
        <w:t xml:space="preserve">6. </w:t>
      </w:r>
      <w:r>
        <w:rPr>
          <w:rFonts w:hint="eastAsia" w:ascii="宋体" w:hAnsi="宋体" w:cs="宋体"/>
          <w:color w:val="000000"/>
          <w:sz w:val="24"/>
          <w:szCs w:val="24"/>
          <w:highlight w:val="none"/>
          <w:lang w:val="en-US" w:eastAsia="zh-CN" w:bidi="ar"/>
        </w:rPr>
        <w:t xml:space="preserve">学校每学年拨付服务费总费用=学费标准*学生人数*中标服务费率报价-未毕业学生管理费（如有）-各类违约金（如有）。用于支付在项目推广、管理、教学、报考、毕业论文及答辩等过程中产生的费用。</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bidi="ar"/>
        </w:rPr>
        <w:t xml:space="preserve">7. 拨付方式：按学年分期拨付：</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第一学年和第二学年：</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（1）第一笔（45%）：甲方于每学年学生缴费入学后1个月内，将学费总额的45%部分汇入乙方指定账户；</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（2）第二笔（中标服务费率报价-45%）：甲方于每学年结束前1个月内，将学费总额的（中标服务费率报价-45%）部分汇入乙方指定账户。</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第三学年：</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（1）第一笔（45%）：甲方于第三学年学生缴费入学后1个月内，将学费总额的45%部分汇入乙方指定账户；</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（2）第二笔：</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对于已毕业生学生，甲方于第三学年结束前1个月内，将已毕业学生的学费总额的（中标服务费率报价-45%）部分汇入乙方指定账户。</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对于未毕业生学生，甲方暂不付款。</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第三学年以后：</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每年6月和12月毕业登记办理结束后，甲方根据实际毕业人数，按照未毕业学生管理费计算方法，扣除实际产生的的管理费后，将毕业学生的第二笔服务费汇入乙方指定账户，以此类推，直至学生完全毕业或转出。</w:t>
      </w:r>
      <w:r>
        <w:rPr>
          <w:rFonts w:hint="eastAsia" w:ascii="宋体" w:hAnsi="宋体" w:cs="宋体"/>
          <w:color w:val="000000"/>
          <w:sz w:val="24"/>
          <w:szCs w:val="24"/>
          <w:highlight w:val="none"/>
          <w:lang w:val="en-US" w:eastAsia="zh-CN"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val="en-US" w:eastAsia="zh-CN" w:bidi="ar"/>
        </w:rPr>
        <w:t xml:space="preserve">8</w:t>
      </w:r>
      <w:r>
        <w:rPr>
          <w:rFonts w:hint="eastAsia" w:ascii="宋体" w:hAnsi="宋体" w:cs="宋体"/>
          <w:color w:val="000000"/>
          <w:sz w:val="24"/>
          <w:szCs w:val="24"/>
          <w:highlight w:val="none"/>
          <w:lang w:bidi="ar"/>
        </w:rPr>
        <w:t xml:space="preserve">. 为确保服务响应及时，供应商须承诺为项目配备稳定的专职管理及师资团队。</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bidi="ar"/>
        </w:rPr>
        <w:t xml:space="preserve">9</w:t>
      </w:r>
      <w:r>
        <w:rPr>
          <w:rFonts w:hint="eastAsia" w:ascii="宋体" w:hAnsi="宋体" w:cs="宋体"/>
          <w:color w:val="000000"/>
          <w:sz w:val="24"/>
          <w:szCs w:val="24"/>
          <w:highlight w:val="none"/>
          <w:lang w:bidi="ar"/>
        </w:rPr>
        <w:t xml:space="preserve">．服务承诺（投标供应商须在投标文件中提供承诺书并加盖公章）：</w:t>
      </w:r>
      <w:r>
        <w:rPr>
          <w:rFonts w:hint="eastAsia" w:ascii="宋体" w:hAnsi="宋体" w:cs="宋体"/>
          <w:color w:val="000000"/>
          <w:sz w:val="24"/>
          <w:szCs w:val="24"/>
          <w:highlight w:val="none"/>
          <w:lang w:val="en-US" w:eastAsia="zh-CN" w:bidi="ar"/>
        </w:rPr>
        <w:t xml:space="preserve">业余制自考助学实行学年制，学制3年。乙方应当继续服务超过3年学制未毕业学生直至其完成毕业。为保证超过3年学制未毕业学生的服务效果，</w:t>
      </w:r>
      <w:r>
        <w:rPr>
          <w:rFonts w:hint="eastAsia" w:ascii="宋体" w:hAnsi="宋体" w:cs="宋体"/>
          <w:color w:val="000000"/>
          <w:sz w:val="24"/>
          <w:szCs w:val="24"/>
          <w:highlight w:val="none"/>
          <w:lang w:bidi="ar"/>
        </w:rPr>
        <w:t xml:space="preserve">甲方</w:t>
      </w:r>
      <w:r>
        <w:rPr>
          <w:rFonts w:hint="eastAsia" w:ascii="宋体" w:hAnsi="宋体" w:cs="宋体"/>
          <w:color w:val="000000"/>
          <w:sz w:val="24"/>
          <w:szCs w:val="24"/>
          <w:highlight w:val="none"/>
          <w:lang w:val="en-US" w:eastAsia="zh-CN" w:bidi="ar"/>
        </w:rPr>
        <w:t xml:space="preserve">在第三学年进行第二笔返款时只支付已毕业学生的线下服务费。对于未毕业生学生，甲方暂不付款。2026级超过3年学制未毕业学生完全毕业或转出后，甲方扣除每年未毕业学生管理费后，将未毕业学生剩余线下服务费汇入乙方指定账户。对于超过3年学制未毕业学生，甲方按未毕业学生生数量每年收取未毕业学生管理费。未毕业学生管理费=第三学年学费标准*未毕业学生人数*（中标服务费率报价-45%）*20%。</w:t>
      </w:r>
      <w:r>
        <w:rPr>
          <w:rFonts w:hint="eastAsia" w:ascii="宋体" w:hAnsi="宋体" w:cs="宋体"/>
          <w:color w:val="000000"/>
          <w:sz w:val="24"/>
          <w:szCs w:val="24"/>
          <w:highlight w:val="none"/>
          <w:lang w:val="en-US" w:eastAsia="zh-CN" w:bidi="ar"/>
        </w:rPr>
      </w:r>
      <w:r/>
    </w:p>
    <w:p>
      <w:pPr>
        <w:pStyle w:val="1063"/>
        <w:ind w:firstLine="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1</w:t>
      </w:r>
      <w:r>
        <w:rPr>
          <w:rFonts w:hint="eastAsia" w:ascii="宋体" w:hAnsi="宋体" w:cs="宋体"/>
          <w:color w:val="000000"/>
          <w:sz w:val="24"/>
          <w:szCs w:val="24"/>
          <w:highlight w:val="none"/>
          <w:lang w:val="en-US" w:eastAsia="zh-CN" w:bidi="ar"/>
        </w:rPr>
        <w:t xml:space="preserve">0</w:t>
      </w:r>
      <w:r>
        <w:rPr>
          <w:rFonts w:hint="eastAsia" w:ascii="宋体" w:hAnsi="宋体" w:cs="宋体"/>
          <w:color w:val="000000"/>
          <w:sz w:val="24"/>
          <w:szCs w:val="24"/>
          <w:highlight w:val="none"/>
          <w:lang w:bidi="ar"/>
        </w:rPr>
        <w:t xml:space="preserve">、增值税开票信息：</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单位名称：南京林业大学</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统一社会信用代码：12320000466006885L</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税 号：320102466006885</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地 址：江苏省南京市龙蟠路159号</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联系电话：025-85427252、85428952</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开户银行：中国建设银行南京市城东支行</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bidi="ar"/>
        </w:rPr>
      </w:pPr>
      <w:r>
        <w:rPr>
          <w:rFonts w:hint="eastAsia" w:ascii="宋体" w:hAnsi="宋体" w:cs="宋体"/>
          <w:color w:val="000000"/>
          <w:sz w:val="24"/>
          <w:szCs w:val="24"/>
          <w:highlight w:val="none"/>
          <w:lang w:bidi="ar"/>
        </w:rPr>
        <w:t xml:space="preserve">开户账号：32001597336050000659</w:t>
      </w:r>
      <w:r>
        <w:rPr>
          <w:rFonts w:hint="eastAsia" w:ascii="宋体" w:hAnsi="宋体" w:cs="宋体"/>
          <w:color w:val="000000"/>
          <w:sz w:val="24"/>
          <w:szCs w:val="24"/>
          <w:highlight w:val="none"/>
          <w:lang w:bidi="ar"/>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pPr>
      <w:r>
        <w:rPr>
          <w:rFonts w:hint="eastAsia" w:ascii="宋体" w:hAnsi="宋体" w:cs="宋体"/>
          <w:color w:val="000000"/>
          <w:sz w:val="24"/>
          <w:szCs w:val="24"/>
          <w:highlight w:val="none"/>
          <w:lang w:bidi="ar"/>
        </w:rPr>
        <w:t xml:space="preserve">行号：105301000894</w:t>
      </w:r>
      <w:r>
        <w:rPr>
          <w:rFonts w:hint="eastAsia" w:ascii="宋体" w:hAnsi="宋体" w:cs="宋体"/>
          <w:color w:val="000000"/>
          <w:sz w:val="24"/>
          <w:szCs w:val="24"/>
          <w:highlight w:val="none"/>
          <w:lang w:val="en-US" w:eastAsia="zh-CN" w:bidi="ar"/>
        </w:rPr>
      </w:r>
      <w:r/>
    </w:p>
    <w:p>
      <w:pPr>
        <w:pStyle w:val="1065"/>
        <w:numPr>
          <w:ilvl w:val="0"/>
          <w:numId w:val="0"/>
        </w:numPr>
        <w:jc w:val="both"/>
        <w:spacing w:before="0" w:after="0" w:line="312" w:lineRule="auto"/>
        <w:rPr>
          <w:rFonts w:ascii="宋体" w:hAnsi="宋体" w:eastAsia="宋体" w:cs="宋体"/>
          <w:sz w:val="28"/>
          <w:szCs w:val="28"/>
          <w:highlight w:val="none"/>
        </w:rPr>
      </w:pPr>
      <w:r>
        <w:rPr>
          <w:rFonts w:ascii="宋体" w:hAnsi="宋体" w:eastAsia="宋体" w:cs="宋体"/>
          <w:sz w:val="28"/>
          <w:szCs w:val="28"/>
          <w:highlight w:val="none"/>
        </w:rPr>
        <w:t xml:space="preserve">七、其他要求</w:t>
      </w:r>
      <w:r>
        <w:rPr>
          <w:rFonts w:ascii="宋体" w:hAnsi="宋体" w:eastAsia="宋体" w:cs="宋体"/>
          <w:sz w:val="28"/>
          <w:szCs w:val="28"/>
          <w:highlight w:val="none"/>
        </w:rPr>
      </w:r>
      <w:r/>
    </w:p>
    <w:p>
      <w:pPr>
        <w:pStyle w:val="1063"/>
        <w:ind w:left="420"/>
        <w:spacing w:line="360" w:lineRule="auto"/>
        <w:rPr>
          <w:rFonts w:hint="eastAsia" w:ascii="宋体" w:hAnsi="宋体" w:cs="宋体"/>
          <w:b/>
          <w:bCs/>
          <w:highlight w:val="none"/>
        </w:rPr>
      </w:pPr>
      <w:r>
        <w:rPr>
          <w:rFonts w:hint="eastAsia" w:ascii="宋体" w:hAnsi="宋体" w:cs="宋体"/>
          <w:b/>
          <w:i/>
          <w:iCs/>
          <w:highlight w:val="none"/>
          <w:u w:val="single"/>
          <w:lang w:val="en-US" w:eastAsia="zh-CN"/>
        </w:rPr>
        <w:t xml:space="preserve">1.</w:t>
      </w:r>
      <w:r>
        <w:rPr>
          <w:rFonts w:hint="eastAsia" w:ascii="宋体" w:hAnsi="宋体" w:cs="宋体"/>
          <w:b/>
          <w:i/>
          <w:iCs/>
          <w:highlight w:val="none"/>
          <w:u w:val="single"/>
        </w:rPr>
        <w:t xml:space="preserve">所有报价、承诺事项及重要证明文件均须加盖投标人公司公章。</w:t>
      </w:r>
      <w:r>
        <w:rPr>
          <w:rFonts w:hint="eastAsia" w:ascii="宋体" w:hAnsi="宋体" w:cs="宋体"/>
          <w:b/>
          <w:bCs/>
          <w:highlight w:val="none"/>
        </w:rPr>
      </w:r>
      <w:r/>
    </w:p>
    <w:p>
      <w:pPr>
        <w:pStyle w:val="1063"/>
        <w:ind w:firstLine="240"/>
        <w:jc w:val="left"/>
        <w:spacing w:line="360" w:lineRule="auto"/>
        <w:widowControl/>
        <w:rPr>
          <w:rFonts w:hint="eastAsia" w:ascii="宋体" w:hAnsi="宋体" w:cs="宋体"/>
          <w:color w:val="000000"/>
          <w:sz w:val="24"/>
          <w:szCs w:val="24"/>
          <w:highlight w:val="none"/>
          <w:lang w:val="en-US" w:eastAsia="zh-CN" w:bidi="ar"/>
        </w:rPr>
        <w:sectPr>
          <w:footerReference w:type="default" r:id="rId17"/>
          <w:footerReference w:type="even" r:id="rId18"/>
          <w:footnotePr/>
          <w:endnotePr/>
          <w:type w:val="nextPage"/>
          <w:pgSz w:w="11907" w:h="16840" w:orient="portrait"/>
          <w:pgMar w:top="1134" w:right="1134" w:bottom="1134" w:left="1134" w:header="851" w:footer="680" w:gutter="0"/>
          <w:cols w:num="1" w:sep="0" w:space="1701" w:equalWidth="1"/>
          <w:docGrid w:linePitch="360"/>
        </w:sectPr>
      </w:pPr>
      <w:r>
        <w:rPr>
          <w:rFonts w:hint="eastAsia" w:ascii="宋体" w:hAnsi="宋体" w:cs="宋体"/>
          <w:color w:val="000000"/>
          <w:sz w:val="24"/>
          <w:szCs w:val="24"/>
          <w:highlight w:val="none"/>
          <w:lang w:val="en-US" w:eastAsia="zh-CN" w:bidi="ar"/>
        </w:rPr>
      </w:r>
      <w:r/>
    </w:p>
    <w:p>
      <w:pPr>
        <w:pStyle w:val="1122"/>
        <w:pageBreakBefore/>
        <w:spacing w:after="319" w:line="360" w:lineRule="auto"/>
        <w:rPr>
          <w:rFonts w:hint="eastAsia" w:ascii="宋体" w:hAnsi="宋体" w:eastAsia="宋体" w:cs="宋体"/>
          <w:highlight w:val="none"/>
        </w:rPr>
      </w:pPr>
      <w:r/>
      <w:bookmarkStart w:id="74" w:name="_Toc10365"/>
      <w:r/>
      <w:bookmarkStart w:id="75" w:name="_Toc13787"/>
      <w:r/>
      <w:bookmarkStart w:id="76" w:name="_Toc797"/>
      <w:r/>
      <w:bookmarkStart w:id="77" w:name="_Toc2171"/>
      <w:r/>
      <w:bookmarkStart w:id="78" w:name="_Toc25270"/>
      <w:r/>
      <w:bookmarkStart w:id="79" w:name="_Toc13118"/>
      <w:r/>
      <w:bookmarkStart w:id="80" w:name="_Toc11000"/>
      <w:r/>
      <w:bookmarkStart w:id="81" w:name="_Toc9027"/>
      <w:r/>
      <w:bookmarkStart w:id="82" w:name="_Toc25596"/>
      <w:r/>
      <w:bookmarkStart w:id="83" w:name="_Toc6317"/>
      <w:r/>
      <w:bookmarkStart w:id="84" w:name="_Toc1549"/>
      <w:r/>
      <w:bookmarkStart w:id="85" w:name="_Toc11323"/>
      <w:r/>
      <w:bookmarkStart w:id="86" w:name="_Toc5657"/>
      <w:r/>
      <w:bookmarkStart w:id="87" w:name="_Toc32444"/>
      <w:r>
        <w:rPr>
          <w:rFonts w:hint="eastAsia" w:ascii="宋体" w:hAnsi="宋体" w:eastAsia="宋体" w:cs="宋体"/>
          <w:highlight w:val="none"/>
        </w:rPr>
        <w:t xml:space="preserve">第五章  评标方法与评标标准</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eastAsia="宋体" w:cs="宋体"/>
          <w:highlight w:val="none"/>
        </w:rPr>
      </w:r>
      <w:r/>
    </w:p>
    <w:p>
      <w:pPr>
        <w:pStyle w:val="1124"/>
        <w:numPr>
          <w:ilvl w:val="0"/>
          <w:numId w:val="0"/>
        </w:numPr>
        <w:ind w:firstLine="562"/>
        <w:spacing w:line="360" w:lineRule="auto"/>
        <w:tabs>
          <w:tab w:val="left" w:pos="720" w:leader="none"/>
        </w:tabs>
        <w:rPr>
          <w:rFonts w:hint="eastAsia" w:ascii="宋体" w:hAnsi="宋体" w:cs="宋体"/>
          <w:highlight w:val="none"/>
        </w:rPr>
      </w:pPr>
      <w:r/>
      <w:bookmarkStart w:id="88" w:name="_Toc13127"/>
      <w:r>
        <w:rPr>
          <w:rFonts w:hint="eastAsia" w:ascii="宋体" w:hAnsi="宋体" w:cs="宋体"/>
          <w:highlight w:val="none"/>
        </w:rPr>
        <w:t xml:space="preserve">一、评标方法与定标原则</w:t>
      </w:r>
      <w:bookmarkEnd w:id="88"/>
      <w:r>
        <w:rPr>
          <w:rFonts w:hint="eastAsia" w:ascii="宋体" w:hAnsi="宋体" w:cs="宋体"/>
          <w:highlight w:val="none"/>
        </w:rPr>
      </w:r>
      <w:r/>
    </w:p>
    <w:p>
      <w:pPr>
        <w:pStyle w:val="1063"/>
        <w:ind w:firstLine="480"/>
        <w:spacing w:line="360" w:lineRule="auto"/>
        <w:rPr>
          <w:rFonts w:hint="eastAsia" w:ascii="宋体" w:hAnsi="宋体" w:cs="宋体"/>
          <w:sz w:val="24"/>
          <w:szCs w:val="24"/>
          <w:highlight w:val="none"/>
        </w:rPr>
      </w:pPr>
      <w:r/>
      <w:bookmarkStart w:id="89" w:name="_Toc2329"/>
      <w:r>
        <w:rPr>
          <w:rFonts w:hint="eastAsia" w:ascii="宋体" w:hAnsi="宋体" w:cs="宋体"/>
          <w:sz w:val="24"/>
          <w:szCs w:val="24"/>
          <w:highlight w:val="none"/>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本项目共划分为</w:t>
      </w:r>
      <w:r>
        <w:rPr>
          <w:rFonts w:hint="eastAsia" w:ascii="宋体" w:hAnsi="宋体" w:cs="宋体"/>
          <w:sz w:val="24"/>
          <w:szCs w:val="24"/>
          <w:highlight w:val="none"/>
          <w:lang w:val="en-US" w:eastAsia="zh-CN"/>
        </w:rPr>
        <w:t xml:space="preserve">3</w:t>
      </w:r>
      <w:r>
        <w:rPr>
          <w:rFonts w:hint="eastAsia" w:ascii="宋体" w:hAnsi="宋体" w:cs="宋体"/>
          <w:sz w:val="24"/>
          <w:szCs w:val="24"/>
          <w:highlight w:val="none"/>
          <w:lang w:val="zh-CN"/>
        </w:rPr>
        <w:t xml:space="preserve">个采购包，评标顺序</w:t>
      </w:r>
      <w:r>
        <w:rPr>
          <w:rFonts w:hint="eastAsia" w:ascii="宋体" w:hAnsi="宋体" w:cs="宋体"/>
          <w:sz w:val="24"/>
          <w:szCs w:val="24"/>
          <w:highlight w:val="none"/>
        </w:rPr>
        <w:t xml:space="preserve">按</w:t>
      </w:r>
      <w:r>
        <w:rPr>
          <w:rFonts w:hint="eastAsia" w:ascii="宋体" w:hAnsi="宋体" w:cs="宋体"/>
          <w:sz w:val="24"/>
          <w:szCs w:val="24"/>
          <w:highlight w:val="none"/>
          <w:lang w:val="zh-CN"/>
        </w:rPr>
        <w:t xml:space="preserve">采购包1、采购包2、采购包3</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本项目采用兼投不兼中原则。例如：在分包1中被推荐的第一中标候选人不得成为分包2推荐的第一中标候选人。已在分包1中被推荐的第一中标候选人如在分包2中排名第一，此时分包2的推荐第一中标候选人将顺延至排名第二的中标候选人，以此类推。</w:t>
      </w:r>
      <w:r>
        <w:rPr>
          <w:rFonts w:hint="eastAsia" w:ascii="宋体" w:hAnsi="宋体" w:cs="宋体"/>
          <w:sz w:val="24"/>
          <w:szCs w:val="24"/>
          <w:highlight w:val="none"/>
        </w:rPr>
      </w:r>
      <w:r/>
    </w:p>
    <w:p>
      <w:pPr>
        <w:pStyle w:val="1124"/>
        <w:numPr>
          <w:ilvl w:val="0"/>
          <w:numId w:val="0"/>
        </w:numPr>
        <w:ind w:left="0" w:firstLine="0"/>
        <w:spacing w:line="360" w:lineRule="auto"/>
        <w:tabs>
          <w:tab w:val="left" w:pos="720" w:leader="none"/>
        </w:tabs>
        <w:rPr>
          <w:rFonts w:hint="eastAsia" w:ascii="宋体" w:hAnsi="宋体" w:cs="宋体"/>
          <w:highlight w:val="none"/>
        </w:rPr>
      </w:pPr>
      <w:r>
        <w:rPr>
          <w:rFonts w:hint="eastAsia" w:ascii="宋体" w:hAnsi="宋体" w:cs="宋体"/>
          <w:b/>
          <w:bCs/>
          <w:sz w:val="28"/>
          <w:szCs w:val="28"/>
          <w:highlight w:val="none"/>
          <w:lang w:val="en-US" w:eastAsia="zh-CN" w:bidi="ar-SA"/>
        </w:rPr>
        <w:t xml:space="preserve">二、</w:t>
      </w:r>
      <w:r>
        <w:rPr>
          <w:rFonts w:hint="eastAsia" w:ascii="宋体" w:hAnsi="宋体" w:cs="宋体"/>
          <w:highlight w:val="none"/>
        </w:rPr>
        <w:t xml:space="preserve">评标标准</w:t>
      </w:r>
      <w:bookmarkEnd w:id="89"/>
      <w:r>
        <w:rPr>
          <w:rFonts w:hint="eastAsia" w:ascii="宋体" w:hAnsi="宋体" w:cs="宋体"/>
          <w:highlight w:val="none"/>
        </w:rPr>
      </w:r>
      <w:r/>
    </w:p>
    <w:p>
      <w:pPr>
        <w:pStyle w:val="1124"/>
        <w:numPr>
          <w:ilvl w:val="0"/>
          <w:numId w:val="0"/>
        </w:numPr>
        <w:ind w:left="720" w:firstLine="0"/>
        <w:spacing w:line="360" w:lineRule="auto"/>
        <w:tabs>
          <w:tab w:val="left" w:pos="720" w:leader="none"/>
        </w:tabs>
        <w:rPr>
          <w:rFonts w:ascii="宋体" w:hAnsi="宋体" w:eastAsia="宋体" w:cs="宋体"/>
          <w:highlight w:val="none"/>
          <w:lang w:val="en-US" w:eastAsia="zh-CN"/>
        </w:rPr>
      </w:pPr>
      <w:r>
        <w:rPr>
          <w:rFonts w:hint="eastAsia" w:ascii="宋体" w:hAnsi="宋体" w:cs="宋体"/>
          <w:highlight w:val="none"/>
          <w:lang w:val="en-US" w:eastAsia="zh-CN"/>
        </w:rPr>
        <w:t xml:space="preserve">(适用分包1-分包3)</w:t>
      </w:r>
      <w:r>
        <w:rPr>
          <w:rFonts w:ascii="宋体" w:hAnsi="宋体" w:eastAsia="宋体" w:cs="宋体"/>
          <w:highlight w:val="none"/>
          <w:lang w:val="en-US" w:eastAsia="zh-CN"/>
        </w:rPr>
      </w:r>
      <w:r/>
    </w:p>
    <w:tbl>
      <w:tblPr>
        <w:tblW w:w="5096" w:type="pct"/>
        <w:jc w:val="center"/>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23"/>
        <w:gridCol w:w="1084"/>
        <w:gridCol w:w="6371"/>
        <w:gridCol w:w="766"/>
      </w:tblGrid>
      <w:tr>
        <w:trPr>
          <w:trHeight w:val="614"/>
        </w:trPr>
        <w:tc>
          <w:tcPr>
            <w:tcW w:w="233"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序号</w:t>
            </w:r>
            <w:r>
              <w:rPr>
                <w:rFonts w:hint="eastAsia" w:ascii="宋体" w:hAnsi="宋体" w:cs="宋体"/>
                <w:b/>
                <w:bCs/>
                <w:sz w:val="24"/>
                <w:szCs w:val="24"/>
                <w:highlight w:val="none"/>
              </w:rPr>
            </w:r>
            <w:r/>
          </w:p>
        </w:tc>
        <w:tc>
          <w:tcPr>
            <w:gridSpan w:val="2"/>
            <w:tcW w:w="2207"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评分因素</w:t>
            </w:r>
            <w:r>
              <w:rPr>
                <w:rFonts w:hint="eastAsia" w:ascii="宋体" w:hAnsi="宋体" w:cs="宋体"/>
                <w:b/>
                <w:bCs/>
                <w:sz w:val="24"/>
                <w:szCs w:val="24"/>
                <w:highlight w:val="none"/>
              </w:rPr>
            </w:r>
            <w:r/>
          </w:p>
        </w:tc>
        <w:tc>
          <w:tcPr>
            <w:tcW w:w="3248" w:type="dxa"/>
            <w:vAlign w:val="center"/>
            <w:textDirection w:val="lrTb"/>
            <w:noWrap w:val="false"/>
          </w:tcPr>
          <w:p>
            <w:pPr>
              <w:pStyle w:val="1063"/>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评审因素</w:t>
            </w:r>
            <w:r>
              <w:rPr>
                <w:rFonts w:hint="eastAsia" w:ascii="宋体" w:hAnsi="宋体" w:cs="宋体"/>
                <w:b/>
                <w:bCs/>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分值</w:t>
            </w:r>
            <w:r>
              <w:rPr>
                <w:rFonts w:hint="eastAsia" w:ascii="宋体" w:hAnsi="宋体" w:cs="宋体"/>
                <w:b/>
                <w:bCs/>
                <w:sz w:val="24"/>
                <w:szCs w:val="24"/>
                <w:highlight w:val="none"/>
              </w:rPr>
            </w:r>
            <w:r/>
          </w:p>
        </w:tc>
      </w:tr>
      <w:tr>
        <w:trPr/>
        <w:tc>
          <w:tcPr>
            <w:tcW w:w="233"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rPr>
            </w:r>
            <w:r/>
          </w:p>
        </w:tc>
        <w:tc>
          <w:tcPr>
            <w:gridSpan w:val="2"/>
            <w:tcW w:w="2207"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价格</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40</w:t>
            </w:r>
            <w:r>
              <w:rPr>
                <w:rFonts w:hint="eastAsia" w:ascii="宋体" w:hAnsi="宋体" w:cs="宋体"/>
                <w:sz w:val="24"/>
                <w:szCs w:val="24"/>
                <w:highlight w:val="none"/>
              </w:rPr>
              <w:t xml:space="preserve">分）</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248" w:type="dxa"/>
            <w:vAlign w:val="center"/>
            <w:textDirection w:val="lrTb"/>
            <w:noWrap w:val="false"/>
          </w:tcPr>
          <w:p>
            <w:pPr>
              <w:pStyle w:val="1063"/>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价格分采用低价优先法计算，即满足招标文件要求且报价最低的为评标基准价，其价格分为满分</w:t>
            </w:r>
            <w:r>
              <w:rPr>
                <w:rFonts w:hint="eastAsia" w:ascii="宋体" w:hAnsi="宋体" w:cs="宋体"/>
                <w:spacing w:val="-2"/>
                <w:sz w:val="24"/>
                <w:szCs w:val="24"/>
                <w:highlight w:val="none"/>
                <w:lang w:val="en-US" w:eastAsia="zh-CN"/>
              </w:rPr>
              <w:t xml:space="preserve">40</w:t>
            </w:r>
            <w:r>
              <w:rPr>
                <w:rFonts w:hint="eastAsia" w:ascii="宋体" w:hAnsi="宋体" w:cs="宋体"/>
                <w:spacing w:val="-2"/>
                <w:sz w:val="24"/>
                <w:szCs w:val="24"/>
                <w:highlight w:val="none"/>
              </w:rPr>
              <w:t xml:space="preserve">分</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highlight w:val="none"/>
                <w:lang w:val="zh-CN"/>
              </w:rPr>
            </w:r>
            <w:r/>
          </w:p>
          <w:p>
            <w:pPr>
              <w:pStyle w:val="1063"/>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其他投标人的价格分统一按照下列公式计算（小数点保留两位）：投标报价得分=(评标基准价／投标报价)×</w:t>
            </w:r>
            <w:r>
              <w:rPr>
                <w:rFonts w:hint="eastAsia" w:ascii="宋体" w:hAnsi="宋体" w:cs="宋体"/>
                <w:spacing w:val="-2"/>
                <w:sz w:val="24"/>
                <w:szCs w:val="24"/>
                <w:highlight w:val="none"/>
                <w:lang w:val="en-US" w:eastAsia="zh-CN"/>
              </w:rPr>
              <w:t xml:space="preserve">40</w:t>
            </w:r>
            <w:r>
              <w:rPr>
                <w:rFonts w:hint="eastAsia" w:ascii="宋体" w:hAnsi="宋体" w:cs="宋体"/>
                <w:spacing w:val="-2"/>
                <w:sz w:val="24"/>
                <w:szCs w:val="24"/>
                <w:highlight w:val="none"/>
                <w:lang w:val="zh-CN"/>
              </w:rPr>
              <w:t xml:space="preserve">。</w:t>
            </w:r>
            <w:r>
              <w:rPr>
                <w:rFonts w:hint="eastAsia" w:ascii="宋体" w:hAnsi="宋体" w:cs="宋体"/>
                <w:spacing w:val="-2"/>
                <w:sz w:val="24"/>
                <w:szCs w:val="24"/>
                <w:highlight w:val="none"/>
                <w:lang w:val="zh-CN"/>
              </w:rPr>
            </w:r>
            <w:r/>
          </w:p>
        </w:tc>
        <w:tc>
          <w:tcPr>
            <w:tcW w:w="391" w:type="dxa"/>
            <w:vAlign w:val="center"/>
            <w:textDirection w:val="lrTb"/>
            <w:noWrap w:val="false"/>
          </w:tcPr>
          <w:p>
            <w:pPr>
              <w:pStyle w:val="1063"/>
              <w:jc w:val="center"/>
              <w:spacing w:line="360" w:lineRule="auto"/>
              <w:rPr>
                <w:rFonts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 xml:space="preserve">4</w:t>
            </w:r>
            <w:r>
              <w:rPr>
                <w:rFonts w:hint="eastAsia" w:ascii="宋体" w:hAnsi="宋体" w:cs="宋体"/>
                <w:bCs/>
                <w:sz w:val="24"/>
                <w:szCs w:val="24"/>
                <w:highlight w:val="none"/>
                <w:lang w:val="en-US" w:eastAsia="zh-CN"/>
              </w:rPr>
              <w:t xml:space="preserve">0</w:t>
            </w:r>
            <w:r>
              <w:rPr>
                <w:rFonts w:ascii="宋体" w:hAnsi="宋体" w:eastAsia="宋体" w:cs="宋体"/>
                <w:bCs/>
                <w:sz w:val="24"/>
                <w:szCs w:val="24"/>
                <w:highlight w:val="none"/>
                <w:lang w:val="en-US" w:eastAsia="zh-CN"/>
              </w:rPr>
            </w:r>
            <w:r/>
          </w:p>
        </w:tc>
      </w:tr>
      <w:tr>
        <w:trPr/>
        <w:tc>
          <w:tcPr>
            <w:tcW w:w="233"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rPr>
                <w:rFonts w:hint="eastAsia" w:ascii="宋体" w:hAnsi="宋体" w:cs="宋体"/>
                <w:sz w:val="24"/>
                <w:szCs w:val="24"/>
                <w:highlight w:val="none"/>
              </w:rPr>
            </w:r>
            <w:r/>
          </w:p>
        </w:tc>
        <w:tc>
          <w:tcPr>
            <w:tcW w:w="573" w:type="dxa"/>
            <w:vAlign w:val="center"/>
            <w:vMerge w:val="restart"/>
            <w:textDirection w:val="lrTb"/>
            <w:noWrap w:val="false"/>
          </w:tcPr>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服务</w:t>
            </w:r>
            <w:r>
              <w:rPr>
                <w:rFonts w:hint="eastAsia" w:eastAsia="宋体"/>
                <w:b w:val="0"/>
                <w:i w:val="0"/>
                <w:strike w:val="0"/>
                <w:color w:val="000000"/>
                <w:sz w:val="24"/>
                <w:szCs w:val="24"/>
                <w:highlight w:val="none"/>
                <w:u w:val="none"/>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方案</w:t>
            </w:r>
            <w:r>
              <w:rPr>
                <w:rFonts w:hint="eastAsia" w:eastAsia="宋体"/>
                <w:b w:val="0"/>
                <w:i w:val="0"/>
                <w:strike w:val="0"/>
                <w:color w:val="000000"/>
                <w:sz w:val="24"/>
                <w:szCs w:val="24"/>
                <w:highlight w:val="none"/>
                <w:u w:val="none"/>
              </w:rPr>
            </w:r>
            <w:r/>
          </w:p>
          <w:p>
            <w:pPr>
              <w:pStyle w:val="1063"/>
              <w:jc w:val="center"/>
              <w:spacing w:line="360" w:lineRule="auto"/>
              <w:rPr>
                <w:rFonts w:hint="eastAsia" w:ascii="宋体" w:hAnsi="宋体" w:cs="宋体"/>
                <w:sz w:val="24"/>
                <w:szCs w:val="24"/>
                <w:highlight w:val="none"/>
              </w:rPr>
            </w:pPr>
            <w:r>
              <w:rPr>
                <w:rFonts w:hint="eastAsia"/>
                <w:b w:val="0"/>
                <w:i w:val="0"/>
                <w:strike w:val="0"/>
                <w:color w:val="000000"/>
                <w:sz w:val="24"/>
                <w:szCs w:val="24"/>
                <w:highlight w:val="none"/>
                <w:u w:val="none"/>
                <w:lang w:eastAsia="zh-CN"/>
              </w:rPr>
              <w:t xml:space="preserve">（</w:t>
            </w:r>
            <w:r>
              <w:rPr>
                <w:rFonts w:hint="eastAsia"/>
                <w:b w:val="0"/>
                <w:i w:val="0"/>
                <w:strike w:val="0"/>
                <w:color w:val="000000"/>
                <w:sz w:val="24"/>
                <w:szCs w:val="24"/>
                <w:highlight w:val="none"/>
                <w:u w:val="none"/>
                <w:lang w:val="en-US" w:eastAsia="zh-CN"/>
              </w:rPr>
              <w:t xml:space="preserve">20分</w:t>
            </w:r>
            <w:r>
              <w:rPr>
                <w:rFonts w:hint="eastAsia"/>
                <w:b w:val="0"/>
                <w:i w:val="0"/>
                <w:strike w:val="0"/>
                <w:color w:val="000000"/>
                <w:sz w:val="24"/>
                <w:szCs w:val="24"/>
                <w:highlight w:val="none"/>
                <w:u w:val="none"/>
                <w:lang w:eastAsia="zh-CN"/>
              </w:rPr>
              <w:t xml:space="preserve">）</w:t>
            </w:r>
            <w:r>
              <w:rPr>
                <w:rFonts w:hint="eastAsia" w:ascii="宋体" w:hAnsi="宋体" w:cs="宋体"/>
                <w:sz w:val="24"/>
                <w:szCs w:val="24"/>
                <w:highlight w:val="none"/>
              </w:rPr>
            </w:r>
            <w:r/>
          </w:p>
        </w:tc>
        <w:tc>
          <w:tcPr>
            <w:tcW w:w="552" w:type="dxa"/>
            <w:vAlign w:val="center"/>
            <w:textDirection w:val="lrTb"/>
            <w:noWrap w:val="false"/>
          </w:tcPr>
          <w:p>
            <w:pPr>
              <w:pStyle w:val="1063"/>
              <w:jc w:val="center"/>
              <w:spacing w:line="360" w:lineRule="auto"/>
              <w:rPr>
                <w:rFonts w:eastAsia="宋体"/>
                <w:b w:val="0"/>
                <w:i w:val="0"/>
                <w:strike w:val="0"/>
                <w:color w:val="000000"/>
                <w:sz w:val="24"/>
                <w:szCs w:val="24"/>
                <w:highlight w:val="none"/>
                <w:u w:val="none"/>
                <w:lang w:val="en-US" w:eastAsia="zh-CN"/>
              </w:rPr>
            </w:pPr>
            <w:r>
              <w:rPr>
                <w:rFonts w:hint="eastAsia" w:eastAsia="宋体"/>
                <w:b w:val="0"/>
                <w:i w:val="0"/>
                <w:strike w:val="0"/>
                <w:color w:val="000000"/>
                <w:sz w:val="24"/>
                <w:szCs w:val="24"/>
                <w:highlight w:val="none"/>
                <w:u w:val="none"/>
                <w:lang w:val="en-US" w:eastAsia="zh-CN"/>
              </w:rPr>
              <w:t xml:space="preserve">线上线下助学方案（8分）</w:t>
            </w:r>
            <w:r>
              <w:rPr>
                <w:rFonts w:eastAsia="宋体"/>
                <w:b w:val="0"/>
                <w:i w:val="0"/>
                <w:strike w:val="0"/>
                <w:color w:val="000000"/>
                <w:sz w:val="24"/>
                <w:szCs w:val="24"/>
                <w:highlight w:val="none"/>
                <w:u w:val="none"/>
                <w:lang w:val="en-US" w:eastAsia="zh-CN"/>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r>
            <w:r/>
          </w:p>
        </w:tc>
        <w:tc>
          <w:tcPr>
            <w:tcW w:w="3248" w:type="dxa"/>
            <w:vAlign w:val="center"/>
            <w:textDirection w:val="lrTb"/>
            <w:noWrap w:val="false"/>
          </w:tcPr>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①规范开展学习平台学习记录统计及反馈：（2分）</w:t>
            </w:r>
            <w:r>
              <w:rPr>
                <w:rFonts w:hint="eastAsia"/>
                <w:sz w:val="24"/>
                <w:szCs w:val="24"/>
                <w:highlight w:val="none"/>
                <w:lang w:val="en-US" w:eastAsia="zh-CN"/>
              </w:rPr>
            </w:r>
            <w:r/>
          </w:p>
          <w:p>
            <w:pPr>
              <w:pStyle w:val="1063"/>
              <w:ind w:firstLine="240"/>
              <w:jc w:val="both"/>
              <w:spacing w:line="360" w:lineRule="auto"/>
              <w:rPr>
                <w:sz w:val="24"/>
                <w:szCs w:val="24"/>
                <w:highlight w:val="none"/>
                <w:lang w:val="en-US" w:eastAsia="zh-CN"/>
              </w:rPr>
            </w:pPr>
            <w:r>
              <w:rPr>
                <w:rFonts w:hint="eastAsia"/>
                <w:sz w:val="24"/>
                <w:szCs w:val="24"/>
                <w:highlight w:val="none"/>
                <w:lang w:val="en-US" w:eastAsia="zh-CN"/>
              </w:rPr>
              <w:t xml:space="preserve">投标人拟提供方案包含</w:t>
            </w:r>
            <w:r>
              <w:rPr>
                <w:rFonts w:ascii="Segoe UI" w:hAnsi="Segoe UI" w:eastAsia="Segoe UI" w:cs="Segoe UI"/>
                <w:i w:val="0"/>
                <w:iCs w:val="0"/>
                <w:caps w:val="0"/>
                <w:color w:val="0f1115"/>
                <w:spacing w:val="0"/>
                <w:sz w:val="24"/>
                <w:szCs w:val="24"/>
                <w:highlight w:val="none"/>
                <w:shd w:val="clear" w:color="auto" w:fill="ffffff"/>
              </w:rPr>
              <w:t xml:space="preserve">建立学习记录统计与反馈机制，定期汇总学情数据并向学员及班主任反馈，对异常学员进行提醒沟通</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sz w:val="24"/>
                <w:szCs w:val="24"/>
                <w:highlight w:val="none"/>
                <w:lang w:val="en-US" w:eastAsia="zh-CN"/>
              </w:rPr>
              <w:t xml:space="preserve">得2分；未提供的不得分。</w:t>
            </w:r>
            <w:r>
              <w:rPr>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②开展辅导、答疑、作业批改；（4分）</w:t>
            </w:r>
            <w:r>
              <w:rPr>
                <w:rFonts w:hint="eastAsia"/>
                <w:sz w:val="24"/>
                <w:szCs w:val="24"/>
                <w:highlight w:val="none"/>
                <w:lang w:val="en-US" w:eastAsia="zh-CN"/>
              </w:rPr>
            </w:r>
            <w:r/>
          </w:p>
          <w:p>
            <w:pPr>
              <w:pStyle w:val="1063"/>
              <w:ind w:firstLine="240"/>
              <w:jc w:val="both"/>
              <w:spacing w:line="360" w:lineRule="auto"/>
              <w:rPr>
                <w:sz w:val="24"/>
                <w:szCs w:val="24"/>
                <w:highlight w:val="none"/>
                <w:lang w:val="en-US" w:eastAsia="zh-CN"/>
              </w:rPr>
            </w:pPr>
            <w:r>
              <w:rPr>
                <w:rFonts w:hint="eastAsia"/>
                <w:sz w:val="24"/>
                <w:szCs w:val="24"/>
                <w:highlight w:val="none"/>
                <w:lang w:val="en-US" w:eastAsia="zh-CN"/>
              </w:rPr>
              <w:t xml:space="preserve">投标人拟提供方案包含</w:t>
            </w:r>
            <w:r>
              <w:rPr>
                <w:rFonts w:ascii="Segoe UI" w:hAnsi="Segoe UI" w:eastAsia="Segoe UI" w:cs="Segoe UI"/>
                <w:i w:val="0"/>
                <w:iCs w:val="0"/>
                <w:caps w:val="0"/>
                <w:color w:val="0f1115"/>
                <w:spacing w:val="0"/>
                <w:sz w:val="24"/>
                <w:szCs w:val="24"/>
                <w:highlight w:val="none"/>
                <w:shd w:val="clear" w:color="auto" w:fill="ffffff"/>
              </w:rPr>
              <w:t xml:space="preserve">线上线下结合开展辅导答疑，线上提供咨询答疑通道，线下定期组织集中辅导，配合教学进度布置批改作业并及时反馈</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sz w:val="24"/>
                <w:szCs w:val="24"/>
                <w:highlight w:val="none"/>
                <w:lang w:val="en-US" w:eastAsia="zh-CN"/>
              </w:rPr>
              <w:t xml:space="preserve">得4分；未提供的不得分。</w:t>
            </w:r>
            <w:r>
              <w:rPr>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③开展毕业论文写作指导。（2分）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投标人拟提供方案包含</w:t>
            </w:r>
            <w:r>
              <w:rPr>
                <w:rFonts w:ascii="Segoe UI" w:hAnsi="Segoe UI" w:eastAsia="Segoe UI" w:cs="Segoe UI"/>
                <w:i w:val="0"/>
                <w:iCs w:val="0"/>
                <w:caps w:val="0"/>
                <w:color w:val="0f1115"/>
                <w:spacing w:val="0"/>
                <w:sz w:val="24"/>
                <w:szCs w:val="24"/>
                <w:highlight w:val="none"/>
                <w:shd w:val="clear" w:color="auto" w:fill="ffffff"/>
              </w:rPr>
              <w:t xml:space="preserve">论文写作阶段提供全程指导，协助选题、规范及进度安排，配备教师解答共性问题并对初稿修改稿提出意见，答辩前组织辅导</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sz w:val="24"/>
                <w:szCs w:val="24"/>
                <w:highlight w:val="none"/>
                <w:lang w:val="en-US" w:eastAsia="zh-CN"/>
              </w:rPr>
              <w:t xml:space="preserve">得2分；未提供的不得分。</w:t>
            </w:r>
            <w:r>
              <w:rPr>
                <w:rFonts w:hint="eastAsia"/>
                <w:sz w:val="24"/>
                <w:szCs w:val="24"/>
                <w:highlight w:val="none"/>
                <w:lang w:val="en-US" w:eastAsia="zh-CN"/>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8</w:t>
            </w:r>
            <w:r>
              <w:rPr>
                <w:rFonts w:hint="eastAsia"/>
                <w:b w:val="0"/>
                <w:i w:val="0"/>
                <w:strike w:val="0"/>
                <w:color w:val="000000"/>
                <w:sz w:val="24"/>
                <w:szCs w:val="24"/>
                <w:highlight w:val="none"/>
                <w:u w:val="none"/>
                <w:lang w:val="en-US" w:eastAsia="zh-CN"/>
              </w:rPr>
              <w:t xml:space="preserve">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57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552" w:type="dxa"/>
            <w:vAlign w:val="top"/>
            <w:textDirection w:val="lrTb"/>
            <w:noWrap w:val="false"/>
          </w:tcPr>
          <w:p>
            <w:pPr>
              <w:pStyle w:val="1063"/>
              <w:jc w:val="both"/>
              <w:spacing w:line="360" w:lineRule="auto"/>
              <w:rPr>
                <w:rFonts w:hint="eastAsia"/>
                <w:sz w:val="24"/>
                <w:szCs w:val="24"/>
                <w:highlight w:val="none"/>
              </w:rPr>
            </w:pPr>
            <w:r>
              <w:rPr>
                <w:rFonts w:hint="eastAsia"/>
                <w:sz w:val="24"/>
                <w:szCs w:val="24"/>
                <w:highlight w:val="none"/>
              </w:rPr>
            </w:r>
            <w:r/>
          </w:p>
          <w:p>
            <w:pPr>
              <w:pStyle w:val="1063"/>
              <w:jc w:val="both"/>
              <w:spacing w:line="360" w:lineRule="auto"/>
              <w:rPr>
                <w:rFonts w:hint="eastAsia"/>
                <w:sz w:val="24"/>
                <w:szCs w:val="24"/>
                <w:highlight w:val="none"/>
              </w:rPr>
            </w:pPr>
            <w:r>
              <w:rPr>
                <w:rFonts w:hint="eastAsia"/>
                <w:sz w:val="24"/>
                <w:szCs w:val="24"/>
                <w:highlight w:val="none"/>
              </w:rPr>
            </w:r>
            <w:r/>
          </w:p>
          <w:p>
            <w:pPr>
              <w:pStyle w:val="1063"/>
              <w:jc w:val="both"/>
              <w:spacing w:line="360" w:lineRule="auto"/>
              <w:rPr>
                <w:rFonts w:hint="eastAsia"/>
                <w:sz w:val="24"/>
                <w:szCs w:val="24"/>
                <w:highlight w:val="none"/>
              </w:rPr>
            </w:pPr>
            <w:r>
              <w:rPr>
                <w:rFonts w:hint="eastAsia"/>
                <w:sz w:val="24"/>
                <w:szCs w:val="24"/>
                <w:highlight w:val="none"/>
              </w:rPr>
            </w:r>
            <w:r/>
          </w:p>
          <w:p>
            <w:pPr>
              <w:pStyle w:val="1063"/>
              <w:jc w:val="both"/>
              <w:spacing w:line="360" w:lineRule="auto"/>
              <w:rPr>
                <w:rFonts w:hint="eastAsia"/>
                <w:sz w:val="24"/>
                <w:szCs w:val="24"/>
                <w:highlight w:val="none"/>
              </w:rPr>
            </w:pPr>
            <w:r>
              <w:rPr>
                <w:rFonts w:hint="eastAsia"/>
                <w:sz w:val="24"/>
                <w:szCs w:val="24"/>
                <w:highlight w:val="none"/>
              </w:rPr>
              <w:t xml:space="preserve">学生管理方案</w:t>
            </w:r>
            <w:r>
              <w:rPr>
                <w:rFonts w:hint="eastAsia"/>
                <w:sz w:val="24"/>
                <w:szCs w:val="24"/>
                <w:highlight w:val="none"/>
              </w:rPr>
            </w:r>
            <w:r/>
          </w:p>
          <w:p>
            <w:pPr>
              <w:pStyle w:val="1063"/>
              <w:jc w:val="both"/>
              <w:spacing w:line="360" w:lineRule="auto"/>
              <w:rPr>
                <w:rFonts w:hint="eastAsia" w:eastAsia="宋体"/>
                <w:sz w:val="24"/>
                <w:szCs w:val="24"/>
                <w:highlight w:val="none"/>
                <w:lang w:eastAsia="zh-CN"/>
              </w:rPr>
            </w:pPr>
            <w:r>
              <w:rPr>
                <w:rFonts w:hint="eastAsia"/>
                <w:sz w:val="24"/>
                <w:szCs w:val="24"/>
                <w:highlight w:val="none"/>
                <w:lang w:eastAsia="zh-CN"/>
              </w:rPr>
              <w:t xml:space="preserve">（</w:t>
            </w:r>
            <w:r>
              <w:rPr>
                <w:rFonts w:hint="eastAsia"/>
                <w:sz w:val="24"/>
                <w:szCs w:val="24"/>
                <w:highlight w:val="none"/>
                <w:lang w:val="en-US" w:eastAsia="zh-CN"/>
              </w:rPr>
              <w:t xml:space="preserve">7分</w:t>
            </w:r>
            <w:r>
              <w:rPr>
                <w:rFonts w:hint="eastAsia"/>
                <w:sz w:val="24"/>
                <w:szCs w:val="24"/>
                <w:highlight w:val="none"/>
                <w:lang w:eastAsia="zh-CN"/>
              </w:rPr>
              <w:t xml:space="preserve">）</w:t>
            </w:r>
            <w:r>
              <w:rPr>
                <w:rFonts w:hint="eastAsia" w:eastAsia="宋体"/>
                <w:sz w:val="24"/>
                <w:szCs w:val="24"/>
                <w:highlight w:val="none"/>
                <w:lang w:eastAsia="zh-CN"/>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248" w:type="dxa"/>
            <w:vAlign w:val="top"/>
            <w:textDirection w:val="lrTb"/>
            <w:noWrap w:val="false"/>
          </w:tcPr>
          <w:p>
            <w:pPr>
              <w:pStyle w:val="1063"/>
              <w:ind w:firstLine="240"/>
              <w:jc w:val="both"/>
              <w:spacing w:line="360" w:lineRule="auto"/>
              <w:rPr>
                <w:sz w:val="24"/>
                <w:szCs w:val="24"/>
                <w:highlight w:val="none"/>
                <w:lang w:val="en-US" w:eastAsia="zh-CN"/>
              </w:rPr>
            </w:pPr>
            <w:r>
              <w:rPr>
                <w:rFonts w:hint="eastAsia"/>
                <w:sz w:val="24"/>
                <w:szCs w:val="24"/>
                <w:highlight w:val="none"/>
                <w:lang w:val="en-US" w:eastAsia="zh-CN"/>
              </w:rPr>
              <w:t xml:space="preserve">①投标人签订三方协议（1分）</w:t>
            </w:r>
            <w:r>
              <w:rPr>
                <w:sz w:val="24"/>
                <w:szCs w:val="24"/>
                <w:highlight w:val="none"/>
                <w:lang w:val="en-US" w:eastAsia="zh-CN"/>
              </w:rPr>
            </w:r>
            <w:r/>
          </w:p>
          <w:p>
            <w:pPr>
              <w:pStyle w:val="1063"/>
              <w:ind w:firstLine="240"/>
              <w:jc w:val="both"/>
              <w:spacing w:line="360" w:lineRule="auto"/>
              <w:rPr>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 </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投标人提供方案包含</w:t>
            </w:r>
            <w:r>
              <w:rPr>
                <w:rFonts w:hint="eastAsia"/>
                <w:sz w:val="24"/>
                <w:szCs w:val="24"/>
                <w:highlight w:val="none"/>
                <w:lang w:val="en-US" w:eastAsia="zh-CN"/>
              </w:rPr>
              <w:t xml:space="preserve">在规定时间内，完成全部学生三方协议的签署、回收与归档工作，协议信息准确无误,得1分，未提供方案不得分。</w:t>
            </w:r>
            <w:r>
              <w:rPr>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②学生日常管理：（3分）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 </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投标人提供方案包含</w:t>
            </w:r>
            <w:r>
              <w:rPr>
                <w:rFonts w:ascii="Segoe UI" w:hAnsi="Segoe UI" w:eastAsia="Segoe UI" w:cs="Segoe UI"/>
                <w:i w:val="0"/>
                <w:iCs w:val="0"/>
                <w:caps w:val="0"/>
                <w:color w:val="0f1115"/>
                <w:spacing w:val="0"/>
                <w:sz w:val="24"/>
                <w:szCs w:val="24"/>
                <w:highlight w:val="none"/>
                <w:shd w:val="clear" w:color="auto" w:fill="ffffff"/>
              </w:rPr>
              <w:t xml:space="preserve">按期规范开展开学典礼及入学教育（含方案、签到、影像、总结</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等</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按规定频次开展心理健康教育活动（含计划、记录、签到、反馈</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等</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按规定周期和覆盖比例完成家校沟通（含计划、逐条记录、汇总统计、满意度调查</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等</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各项过程性材料完整、可追溯，参与率及覆盖率均达到要求，每项1</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分，最高得3分，未提供不得分。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③开展</w:t>
            </w:r>
            <w:r>
              <w:rPr>
                <w:rFonts w:hint="eastAsia"/>
                <w:sz w:val="24"/>
                <w:szCs w:val="24"/>
                <w:highlight w:val="none"/>
              </w:rPr>
              <w:t xml:space="preserve">班主任</w:t>
            </w:r>
            <w:r>
              <w:rPr>
                <w:rFonts w:hint="eastAsia"/>
                <w:sz w:val="24"/>
                <w:szCs w:val="24"/>
                <w:highlight w:val="none"/>
                <w:lang w:val="en-US" w:eastAsia="zh-CN"/>
              </w:rPr>
              <w:t xml:space="preserve">工作</w:t>
            </w:r>
            <w:r>
              <w:rPr>
                <w:rFonts w:hint="eastAsia"/>
                <w:sz w:val="24"/>
                <w:szCs w:val="24"/>
                <w:highlight w:val="none"/>
                <w:lang w:eastAsia="zh-CN"/>
              </w:rPr>
              <w:t xml:space="preserve">；</w:t>
            </w:r>
            <w:r>
              <w:rPr>
                <w:rFonts w:hint="eastAsia"/>
                <w:sz w:val="24"/>
                <w:szCs w:val="24"/>
                <w:highlight w:val="none"/>
                <w:lang w:val="en-US" w:eastAsia="zh-CN"/>
              </w:rPr>
              <w:t xml:space="preserve">（1分）</w:t>
            </w:r>
            <w:r>
              <w:rPr>
                <w:rFonts w:hint="eastAsia"/>
                <w:sz w:val="24"/>
                <w:szCs w:val="24"/>
                <w:highlight w:val="none"/>
                <w:lang w:val="en-US" w:eastAsia="zh-CN"/>
              </w:rPr>
            </w:r>
            <w:r/>
          </w:p>
          <w:p>
            <w:pPr>
              <w:pStyle w:val="1063"/>
              <w:ind w:firstLine="240"/>
              <w:jc w:val="both"/>
              <w:spacing w:line="360" w:lineRule="auto"/>
              <w:rPr>
                <w:rFonts w:eastAsia="宋体"/>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 </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投标人提供方案包含</w:t>
            </w:r>
            <w:r>
              <w:rPr>
                <w:rFonts w:ascii="Segoe UI" w:hAnsi="Segoe UI" w:eastAsia="Segoe UI" w:cs="Segoe UI"/>
                <w:i w:val="0"/>
                <w:iCs w:val="0"/>
                <w:caps w:val="0"/>
                <w:color w:val="0f1115"/>
                <w:spacing w:val="0"/>
                <w:sz w:val="24"/>
                <w:szCs w:val="24"/>
                <w:highlight w:val="none"/>
                <w:shd w:val="clear" w:color="auto" w:fill="ffffff"/>
              </w:rPr>
              <w:t xml:space="preserve">班主任按规定履行日常管理职责，班会记录、查寝记录、考勤汇总、谈心谈话等各项管理记录完整及时可追溯，无重大管理缺位事件</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的，得1分，未提供不得分。</w:t>
            </w:r>
            <w:r>
              <w:rPr>
                <w:rFonts w:eastAsia="宋体"/>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④</w:t>
            </w:r>
            <w:r>
              <w:rPr>
                <w:rFonts w:hint="eastAsia"/>
                <w:sz w:val="24"/>
                <w:szCs w:val="24"/>
                <w:highlight w:val="none"/>
                <w:lang w:val="en-US" w:eastAsia="zh-CN"/>
              </w:rPr>
              <w:t xml:space="preserve">购买保险方案</w:t>
            </w:r>
            <w:r>
              <w:rPr>
                <w:rFonts w:hint="eastAsia"/>
                <w:sz w:val="24"/>
                <w:szCs w:val="24"/>
                <w:highlight w:val="none"/>
                <w:lang w:eastAsia="zh-CN"/>
              </w:rPr>
              <w:t xml:space="preserve">；</w:t>
            </w:r>
            <w:r>
              <w:rPr>
                <w:rFonts w:hint="eastAsia"/>
                <w:sz w:val="24"/>
                <w:szCs w:val="24"/>
                <w:highlight w:val="none"/>
                <w:lang w:val="en-US" w:eastAsia="zh-CN"/>
              </w:rPr>
              <w:t xml:space="preserve">（1分）</w:t>
            </w:r>
            <w:r>
              <w:rPr>
                <w:rFonts w:hint="eastAsia"/>
                <w:sz w:val="24"/>
                <w:szCs w:val="24"/>
                <w:highlight w:val="none"/>
                <w:lang w:val="en-US" w:eastAsia="zh-CN"/>
              </w:rPr>
            </w:r>
            <w:r/>
          </w:p>
          <w:p>
            <w:pPr>
              <w:pStyle w:val="1063"/>
              <w:ind w:firstLine="240"/>
              <w:jc w:val="both"/>
              <w:spacing w:line="360" w:lineRule="auto"/>
              <w:rPr>
                <w:rFonts w:eastAsia="宋体"/>
                <w:sz w:val="24"/>
                <w:szCs w:val="24"/>
                <w:highlight w:val="none"/>
                <w:lang w:val="en-US" w:eastAsia="zh-CN"/>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投标人提供方案</w:t>
            </w:r>
            <w:r>
              <w:rPr>
                <w:rFonts w:ascii="Segoe UI" w:hAnsi="Segoe UI" w:eastAsia="Segoe UI" w:cs="Segoe UI"/>
                <w:i w:val="0"/>
                <w:iCs w:val="0"/>
                <w:caps w:val="0"/>
                <w:color w:val="0f1115"/>
                <w:spacing w:val="0"/>
                <w:sz w:val="24"/>
                <w:szCs w:val="24"/>
                <w:highlight w:val="none"/>
                <w:shd w:val="clear" w:color="auto" w:fill="ffffff"/>
              </w:rPr>
              <w:t xml:space="preserve">在规定时限内完成全体学生保险投保手续，保单信息准确，保障如期生效，提供保单复印件及投保清单，无漏保错保</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的，得1分，未提供不得分。</w:t>
            </w:r>
            <w:r>
              <w:rPr>
                <w:rFonts w:eastAsia="宋体"/>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⑤</w:t>
            </w:r>
            <w:r>
              <w:rPr>
                <w:rFonts w:hint="eastAsia"/>
                <w:sz w:val="24"/>
                <w:szCs w:val="24"/>
                <w:highlight w:val="none"/>
                <w:lang w:val="en-US" w:eastAsia="zh-CN"/>
              </w:rPr>
              <w:t xml:space="preserve">有学生投诉、咨询、反馈处理机制方案等</w:t>
            </w:r>
            <w:r>
              <w:rPr>
                <w:rFonts w:hint="eastAsia"/>
                <w:sz w:val="24"/>
                <w:szCs w:val="24"/>
                <w:highlight w:val="none"/>
                <w:lang w:eastAsia="zh-CN"/>
              </w:rPr>
              <w:t xml:space="preserve">。</w:t>
            </w:r>
            <w:r>
              <w:rPr>
                <w:rFonts w:hint="eastAsia"/>
                <w:sz w:val="24"/>
                <w:szCs w:val="24"/>
                <w:highlight w:val="none"/>
                <w:lang w:val="en-US" w:eastAsia="zh-CN"/>
              </w:rPr>
              <w:t xml:space="preserve">（1分）</w:t>
            </w:r>
            <w:r>
              <w:rPr>
                <w:rFonts w:hint="eastAsia"/>
                <w:sz w:val="24"/>
                <w:szCs w:val="24"/>
                <w:highlight w:val="none"/>
                <w:lang w:val="en-US" w:eastAsia="zh-CN"/>
              </w:rPr>
            </w:r>
            <w:r/>
          </w:p>
          <w:p>
            <w:pPr>
              <w:pStyle w:val="1063"/>
              <w:ind w:firstLine="240"/>
              <w:jc w:val="both"/>
              <w:spacing w:line="360" w:lineRule="auto"/>
              <w:rPr>
                <w:rFonts w:eastAsia="宋体"/>
                <w:sz w:val="24"/>
                <w:szCs w:val="24"/>
                <w:highlight w:val="none"/>
                <w:lang w:val="en-US" w:eastAsia="zh-CN"/>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投标人方案包含</w:t>
            </w:r>
            <w:r>
              <w:rPr>
                <w:rFonts w:ascii="Segoe UI" w:hAnsi="Segoe UI" w:eastAsia="Segoe UI" w:cs="Segoe UI"/>
                <w:i w:val="0"/>
                <w:iCs w:val="0"/>
                <w:caps w:val="0"/>
                <w:color w:val="0f1115"/>
                <w:spacing w:val="0"/>
                <w:sz w:val="24"/>
                <w:szCs w:val="24"/>
                <w:highlight w:val="none"/>
                <w:shd w:val="clear" w:color="auto" w:fill="ffffff"/>
              </w:rPr>
              <w:t xml:space="preserve">建有畅通的投诉、咨询、反馈渠道，具备明确的受理、处理和回复流程，所有问题在规定时限内闭环处理，并形成包含受理时间、内容摘要、处理结果及回访情况的完整处理方案，方案内容全部涵盖得</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1</w:t>
            </w:r>
            <w:r>
              <w:rPr>
                <w:rFonts w:ascii="Segoe UI" w:hAnsi="Segoe UI" w:eastAsia="Segoe UI" w:cs="Segoe UI"/>
                <w:i w:val="0"/>
                <w:iCs w:val="0"/>
                <w:caps w:val="0"/>
                <w:color w:val="0f1115"/>
                <w:spacing w:val="0"/>
                <w:sz w:val="24"/>
                <w:szCs w:val="24"/>
                <w:highlight w:val="none"/>
                <w:shd w:val="clear" w:color="auto" w:fill="ffffff"/>
              </w:rPr>
              <w:t xml:space="preserve">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eastAsia="宋体"/>
                <w:sz w:val="24"/>
                <w:szCs w:val="24"/>
                <w:highlight w:val="none"/>
                <w:lang w:val="en-US" w:eastAsia="zh-CN"/>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7</w:t>
            </w:r>
            <w:r>
              <w:rPr>
                <w:rFonts w:hint="eastAsia"/>
                <w:b w:val="0"/>
                <w:i w:val="0"/>
                <w:strike w:val="0"/>
                <w:color w:val="000000"/>
                <w:sz w:val="24"/>
                <w:szCs w:val="24"/>
                <w:highlight w:val="none"/>
                <w:u w:val="none"/>
                <w:lang w:val="en-US" w:eastAsia="zh-CN"/>
              </w:rPr>
              <w:t xml:space="preserve">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57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552" w:type="dxa"/>
            <w:vAlign w:val="top"/>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lang w:eastAsia="zh-CN"/>
              </w:rPr>
            </w:pPr>
            <w:r>
              <w:rPr>
                <w:rFonts w:hint="eastAsia" w:ascii="宋体" w:hAnsi="宋体" w:cs="宋体"/>
                <w:sz w:val="24"/>
                <w:szCs w:val="24"/>
                <w:highlight w:val="none"/>
              </w:rPr>
              <w:t xml:space="preserve">考务协助方案</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eastAsia="zh-CN"/>
              </w:rPr>
            </w:r>
            <w:r/>
          </w:p>
          <w:p>
            <w:pPr>
              <w:pStyle w:val="1063"/>
              <w:jc w:val="center"/>
              <w:spacing w:line="360" w:lineRule="auto"/>
              <w:rPr>
                <w:rFonts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(5分)</w:t>
            </w:r>
            <w:r>
              <w:rPr>
                <w:rFonts w:ascii="宋体" w:hAnsi="宋体" w:eastAsia="宋体" w:cs="宋体"/>
                <w:sz w:val="24"/>
                <w:szCs w:val="24"/>
                <w:highlight w:val="none"/>
                <w:lang w:val="en-US" w:eastAsia="zh-CN"/>
              </w:rPr>
            </w:r>
            <w:r/>
          </w:p>
        </w:tc>
        <w:tc>
          <w:tcPr>
            <w:tcW w:w="3248" w:type="dxa"/>
            <w:vAlign w:val="top"/>
            <w:textDirection w:val="lrTb"/>
            <w:noWrap w:val="false"/>
          </w:tcPr>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①免考办理（1分）</w:t>
            </w:r>
            <w:r>
              <w:rPr>
                <w:rFonts w:hint="eastAsia"/>
                <w:sz w:val="24"/>
                <w:szCs w:val="24"/>
                <w:highlight w:val="none"/>
                <w:lang w:val="en-US" w:eastAsia="zh-CN"/>
              </w:rPr>
            </w:r>
            <w:r/>
          </w:p>
          <w:p>
            <w:pPr>
              <w:pStyle w:val="1063"/>
              <w:ind w:firstLine="240"/>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投标人方案包含明确的免考办理流程，按教育考试院要求完成材料审核、平台申报及纸质材料递交，信息准确无误，留存申请表、审核记录及申报截图</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，得1分，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②实践课程考核报名（1分）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投标人方案包含明确的实践课程考核报名流程，按主考院校要求完成信息汇总、平台录入及确认，信息准确无误，留存报名表、确认单及报名截图</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，得1分，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③过程性成绩上报（1分）</w:t>
            </w:r>
            <w:r>
              <w:rPr>
                <w:rFonts w:hint="eastAsia"/>
                <w:sz w:val="24"/>
                <w:szCs w:val="24"/>
                <w:highlight w:val="none"/>
                <w:lang w:val="en-US" w:eastAsia="zh-CN"/>
              </w:rPr>
            </w:r>
            <w:r/>
          </w:p>
          <w:p>
            <w:pPr>
              <w:pStyle w:val="1063"/>
              <w:ind w:firstLine="240"/>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投标人方案包含明确的过程性成绩上报流程，按规定完成成绩评定、审核与系统录入提交，留存原始记录、审核确认表及上报截图</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，得1分，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ind w:firstLine="240"/>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④统考课程报考（1分）</w:t>
            </w:r>
            <w:r>
              <w:rPr>
                <w:rFonts w:hint="eastAsia"/>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投标人方案包含明确的统考课程报考流程，按规定完成信息采集、核对确认、汇总上报，报考科目准确、无漏报错报，留存报考确认单、信息核对表及数据截图</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sz w:val="24"/>
                <w:szCs w:val="24"/>
                <w:highlight w:val="none"/>
                <w:lang w:val="en-US" w:eastAsia="zh-CN"/>
              </w:rPr>
              <w:t xml:space="preserve">得1分，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hint="eastAsia"/>
                <w:sz w:val="24"/>
                <w:szCs w:val="24"/>
                <w:highlight w:val="none"/>
                <w:lang w:val="en-US" w:eastAsia="zh-CN"/>
              </w:rPr>
            </w:r>
            <w:r/>
          </w:p>
          <w:p>
            <w:pPr>
              <w:pStyle w:val="1063"/>
              <w:ind w:firstLine="236"/>
              <w:jc w:val="both"/>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⑤毕业和学位办理（</w:t>
            </w:r>
            <w:r>
              <w:rPr>
                <w:rFonts w:hint="eastAsia" w:ascii="宋体" w:hAnsi="宋体" w:cs="宋体"/>
                <w:spacing w:val="-2"/>
                <w:sz w:val="24"/>
                <w:szCs w:val="24"/>
                <w:highlight w:val="none"/>
                <w:lang w:val="en-US" w:eastAsia="zh-CN"/>
              </w:rPr>
              <w:t xml:space="preserve">1</w:t>
            </w:r>
            <w:r>
              <w:rPr>
                <w:rFonts w:hint="eastAsia" w:ascii="宋体" w:hAnsi="宋体" w:cs="宋体"/>
                <w:spacing w:val="-2"/>
                <w:sz w:val="24"/>
                <w:szCs w:val="24"/>
                <w:highlight w:val="none"/>
                <w:lang w:val="zh-CN"/>
              </w:rPr>
              <w:t xml:space="preserve">分）</w:t>
            </w:r>
            <w:r>
              <w:rPr>
                <w:rFonts w:hint="eastAsia" w:ascii="宋体" w:hAnsi="宋体" w:cs="宋体"/>
                <w:spacing w:val="-2"/>
                <w:sz w:val="24"/>
                <w:szCs w:val="24"/>
                <w:highlight w:val="none"/>
                <w:lang w:val="zh-CN"/>
              </w:rPr>
            </w:r>
            <w:r/>
          </w:p>
          <w:p>
            <w:pPr>
              <w:pStyle w:val="1063"/>
              <w:ind w:firstLine="236"/>
              <w:jc w:val="both"/>
              <w:spacing w:line="360" w:lineRule="auto"/>
              <w:rPr>
                <w:rFonts w:hint="eastAsia" w:ascii="宋体" w:hAnsi="宋体" w:cs="宋体"/>
                <w:spacing w:val="-2"/>
                <w:sz w:val="24"/>
                <w:szCs w:val="24"/>
                <w:highlight w:val="none"/>
                <w:lang w:val="zh-CN"/>
              </w:rPr>
            </w:pPr>
            <w:r>
              <w:rPr>
                <w:rFonts w:hint="eastAsia" w:ascii="宋体" w:hAnsi="宋体" w:cs="宋体"/>
                <w:spacing w:val="-2"/>
                <w:sz w:val="24"/>
                <w:szCs w:val="24"/>
                <w:highlight w:val="none"/>
                <w:lang w:val="zh-CN"/>
              </w:rPr>
              <w:t xml:space="preserve">投标人方案包含明确的毕业和学位办理流程，按规定完成资格初审、材料收集整理、毕业申报、证书发放及学位申请，材料齐全、信息准确、按时完成，留存毕业申请表、审核清单及申报确认材料</w:t>
            </w:r>
            <w:r>
              <w:rPr>
                <w:rFonts w:hint="eastAsia" w:ascii="宋体" w:hAnsi="宋体" w:cs="宋体"/>
                <w:spacing w:val="-2"/>
                <w:sz w:val="24"/>
                <w:szCs w:val="24"/>
                <w:highlight w:val="none"/>
                <w:lang w:val="en-US" w:eastAsia="zh-CN"/>
              </w:rPr>
              <w:t xml:space="preserve">的</w:t>
            </w:r>
            <w:r>
              <w:rPr>
                <w:rFonts w:hint="eastAsia" w:ascii="宋体" w:hAnsi="宋体" w:cs="宋体"/>
                <w:spacing w:val="-2"/>
                <w:sz w:val="24"/>
                <w:szCs w:val="24"/>
                <w:highlight w:val="none"/>
                <w:lang w:val="zh-CN"/>
              </w:rPr>
              <w:t xml:space="preserve">，得</w:t>
            </w:r>
            <w:r>
              <w:rPr>
                <w:rFonts w:hint="eastAsia" w:ascii="宋体" w:hAnsi="宋体" w:cs="宋体"/>
                <w:spacing w:val="-2"/>
                <w:sz w:val="24"/>
                <w:szCs w:val="24"/>
                <w:highlight w:val="none"/>
                <w:lang w:val="en-US" w:eastAsia="zh-CN"/>
              </w:rPr>
              <w:t xml:space="preserve">1</w:t>
            </w:r>
            <w:r>
              <w:rPr>
                <w:rFonts w:hint="eastAsia" w:ascii="宋体" w:hAnsi="宋体" w:cs="宋体"/>
                <w:spacing w:val="-2"/>
                <w:sz w:val="24"/>
                <w:szCs w:val="24"/>
                <w:highlight w:val="none"/>
                <w:lang w:val="zh-CN"/>
              </w:rPr>
              <w:t xml:space="preserve">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hint="eastAsia" w:ascii="宋体" w:hAnsi="宋体" w:cs="宋体"/>
                <w:spacing w:val="-2"/>
                <w:sz w:val="24"/>
                <w:szCs w:val="24"/>
                <w:highlight w:val="none"/>
                <w:lang w:val="zh-CN"/>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w:t>
            </w:r>
            <w:r>
              <w:rPr>
                <w:rFonts w:hint="eastAsia"/>
                <w:b w:val="0"/>
                <w:i w:val="0"/>
                <w:strike w:val="0"/>
                <w:color w:val="000000"/>
                <w:sz w:val="24"/>
                <w:szCs w:val="24"/>
                <w:highlight w:val="none"/>
                <w:u w:val="none"/>
                <w:lang w:val="en-US" w:eastAsia="zh-CN"/>
              </w:rPr>
              <w:t xml:space="preserve">分</w:t>
            </w:r>
            <w:r>
              <w:rPr>
                <w:rFonts w:hint="eastAsia" w:ascii="宋体" w:hAnsi="宋体" w:cs="宋体"/>
                <w:bCs/>
                <w:sz w:val="24"/>
                <w:szCs w:val="24"/>
                <w:highlight w:val="none"/>
              </w:rPr>
            </w:r>
            <w:r/>
          </w:p>
        </w:tc>
      </w:tr>
      <w:tr>
        <w:trPr/>
        <w:tc>
          <w:tcPr>
            <w:tcW w:w="233"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sz w:val="24"/>
                <w:szCs w:val="24"/>
                <w:highlight w:val="none"/>
              </w:rPr>
            </w:r>
            <w:r/>
          </w:p>
        </w:tc>
        <w:tc>
          <w:tcPr>
            <w:gridSpan w:val="2"/>
            <w:tcW w:w="2207" w:type="dxa"/>
            <w:vAlign w:val="center"/>
            <w:vMerge w:val="restart"/>
            <w:textDirection w:val="lrTb"/>
            <w:noWrap w:val="false"/>
          </w:tcPr>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场地与师资 </w:t>
            </w:r>
            <w:r>
              <w:rPr>
                <w:rFonts w:hint="eastAsia" w:eastAsia="宋体"/>
                <w:b w:val="0"/>
                <w:i w:val="0"/>
                <w:strike w:val="0"/>
                <w:color w:val="000000"/>
                <w:sz w:val="24"/>
                <w:szCs w:val="24"/>
                <w:highlight w:val="none"/>
                <w:u w:val="none"/>
              </w:rPr>
            </w:r>
            <w:r/>
          </w:p>
          <w:p>
            <w:pPr>
              <w:pStyle w:val="1063"/>
              <w:jc w:val="center"/>
              <w:spacing w:line="360" w:lineRule="auto"/>
              <w:rPr>
                <w:rFonts w:hint="eastAsia" w:ascii="宋体" w:hAnsi="宋体" w:cs="宋体"/>
                <w:b/>
                <w:bCs/>
                <w:sz w:val="24"/>
                <w:szCs w:val="24"/>
                <w:highlight w:val="none"/>
              </w:rPr>
            </w:pPr>
            <w:r>
              <w:rPr>
                <w:rFonts w:hint="eastAsia"/>
                <w:b w:val="0"/>
                <w:i w:val="0"/>
                <w:strike w:val="0"/>
                <w:color w:val="000000"/>
                <w:sz w:val="24"/>
                <w:szCs w:val="24"/>
                <w:highlight w:val="none"/>
                <w:u w:val="none"/>
                <w:lang w:eastAsia="zh-CN"/>
              </w:rPr>
              <w:t xml:space="preserve">（</w:t>
            </w:r>
            <w:r>
              <w:rPr>
                <w:rFonts w:hint="eastAsia"/>
                <w:b w:val="0"/>
                <w:i w:val="0"/>
                <w:strike w:val="0"/>
                <w:color w:val="000000"/>
                <w:sz w:val="24"/>
                <w:szCs w:val="24"/>
                <w:highlight w:val="none"/>
                <w:u w:val="none"/>
                <w:lang w:val="en-US" w:eastAsia="zh-CN"/>
              </w:rPr>
              <w:t xml:space="preserve">9分</w:t>
            </w:r>
            <w:r>
              <w:rPr>
                <w:rFonts w:hint="eastAsia"/>
                <w:b w:val="0"/>
                <w:i w:val="0"/>
                <w:strike w:val="0"/>
                <w:color w:val="000000"/>
                <w:sz w:val="24"/>
                <w:szCs w:val="24"/>
                <w:highlight w:val="none"/>
                <w:u w:val="none"/>
                <w:lang w:eastAsia="zh-CN"/>
              </w:rPr>
              <w:t xml:space="preserve">）</w:t>
            </w:r>
            <w:r>
              <w:rPr>
                <w:rFonts w:hint="eastAsia" w:ascii="宋体" w:hAnsi="宋体" w:cs="宋体"/>
                <w:b/>
                <w:bCs/>
                <w:sz w:val="24"/>
                <w:szCs w:val="24"/>
                <w:highlight w:val="none"/>
              </w:rPr>
            </w:r>
            <w:r/>
          </w:p>
        </w:tc>
        <w:tc>
          <w:tcPr>
            <w:tcW w:w="3248" w:type="dxa"/>
            <w:vAlign w:val="top"/>
            <w:textDirection w:val="lrTb"/>
            <w:noWrap w:val="false"/>
          </w:tcPr>
          <w:p>
            <w:pPr>
              <w:pStyle w:val="1063"/>
              <w:jc w:val="both"/>
              <w:spacing w:line="360" w:lineRule="auto"/>
              <w:rPr>
                <w:rFonts w:hint="eastAsia"/>
                <w:sz w:val="24"/>
                <w:szCs w:val="24"/>
                <w:highlight w:val="none"/>
              </w:rPr>
            </w:pPr>
            <w:r>
              <w:rPr>
                <w:rFonts w:hint="eastAsia"/>
                <w:sz w:val="24"/>
                <w:szCs w:val="24"/>
                <w:highlight w:val="none"/>
              </w:rPr>
              <w:t xml:space="preserve">1.教学场地符合</w:t>
            </w:r>
            <w:r>
              <w:rPr>
                <w:rFonts w:hint="eastAsia"/>
                <w:sz w:val="24"/>
                <w:szCs w:val="24"/>
                <w:highlight w:val="none"/>
                <w:lang w:val="en-US" w:eastAsia="zh-CN"/>
              </w:rPr>
              <w:t xml:space="preserve">教育部设置高等学历继续教育校外教学点（教职成厅[2022]1号）的相关规定</w:t>
            </w:r>
            <w:r>
              <w:rPr>
                <w:rFonts w:hint="eastAsia"/>
                <w:sz w:val="24"/>
                <w:szCs w:val="24"/>
                <w:highlight w:val="none"/>
              </w:rPr>
              <w:t xml:space="preserve">：</w:t>
            </w:r>
            <w:r>
              <w:rPr>
                <w:rFonts w:hint="eastAsia"/>
                <w:sz w:val="24"/>
                <w:szCs w:val="24"/>
                <w:highlight w:val="none"/>
              </w:rPr>
            </w:r>
            <w:r/>
          </w:p>
          <w:p>
            <w:pPr>
              <w:pStyle w:val="1063"/>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  ①有自有房产权证或租赁合同（1分）：</w:t>
            </w:r>
            <w:r>
              <w:rPr>
                <w:rFonts w:ascii="Segoe UI" w:hAnsi="Segoe UI" w:eastAsia="Segoe UI" w:cs="Segoe UI"/>
                <w:i w:val="0"/>
                <w:iCs w:val="0"/>
                <w:caps w:val="0"/>
                <w:color w:val="0f1115"/>
                <w:spacing w:val="0"/>
                <w:sz w:val="24"/>
                <w:szCs w:val="24"/>
                <w:highlight w:val="none"/>
                <w:shd w:val="clear" w:color="auto" w:fill="ffffff"/>
              </w:rPr>
              <w:t xml:space="preserve">投标人提供教学场地自有产权证明或有效期内的租赁合同</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或</w:t>
            </w:r>
            <w:r>
              <w:rPr>
                <w:rFonts w:ascii="Segoe UI" w:hAnsi="Segoe UI" w:eastAsia="Segoe UI" w:cs="Segoe UI"/>
                <w:i w:val="0"/>
                <w:iCs w:val="0"/>
                <w:caps w:val="0"/>
                <w:color w:val="0f1115"/>
                <w:spacing w:val="0"/>
                <w:sz w:val="24"/>
                <w:szCs w:val="24"/>
                <w:highlight w:val="none"/>
                <w:shd w:val="clear" w:color="auto" w:fill="ffffff"/>
              </w:rPr>
              <w:t xml:space="preserve">出租方的产权证明复印件，材料齐全有效得1分，</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未提供不得分</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sz w:val="24"/>
                <w:szCs w:val="24"/>
                <w:highlight w:val="none"/>
                <w:lang w:val="en-US" w:eastAsia="zh-CN"/>
              </w:rPr>
            </w:r>
            <w:r/>
          </w:p>
          <w:p>
            <w:pPr>
              <w:pStyle w:val="1063"/>
              <w:jc w:val="both"/>
              <w:spacing w:line="360" w:lineRule="auto"/>
              <w:rPr>
                <w:rFonts w:hint="eastAsia" w:eastAsia="宋体"/>
                <w:sz w:val="24"/>
                <w:szCs w:val="24"/>
                <w:highlight w:val="none"/>
                <w:lang w:val="en-US" w:eastAsia="zh-CN"/>
              </w:rPr>
            </w:pPr>
            <w:r>
              <w:rPr>
                <w:rFonts w:hint="eastAsia"/>
                <w:sz w:val="24"/>
                <w:szCs w:val="24"/>
                <w:highlight w:val="none"/>
                <w:lang w:val="en-US" w:eastAsia="zh-CN"/>
              </w:rPr>
              <w:t xml:space="preserve">  ②有专用教学用房（1分）：</w:t>
            </w:r>
            <w:r>
              <w:rPr>
                <w:rFonts w:ascii="Segoe UI" w:hAnsi="Segoe UI" w:eastAsia="Segoe UI" w:cs="Segoe UI"/>
                <w:i w:val="0"/>
                <w:iCs w:val="0"/>
                <w:caps w:val="0"/>
                <w:color w:val="0f1115"/>
                <w:spacing w:val="0"/>
                <w:sz w:val="24"/>
                <w:szCs w:val="24"/>
                <w:highlight w:val="none"/>
                <w:shd w:val="clear" w:color="auto" w:fill="ffffff"/>
              </w:rPr>
              <w:t xml:space="preserve">投标人提供教学场地区域功能说明及平面图，明确标注专用教学用房区域，能够满足面授教学需要得1分，未提供不得分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eastAsia="宋体"/>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hint="eastAsia" w:ascii="Segoe UI" w:hAnsi="Segoe UI" w:eastAsia="Segoe UI" w:cs="Segoe UI"/>
                <w:i w:val="0"/>
                <w:iCs w:val="0"/>
                <w:caps w:val="0"/>
                <w:color w:val="0f1115"/>
                <w:spacing w:val="0"/>
                <w:sz w:val="24"/>
                <w:szCs w:val="24"/>
                <w:highlight w:val="none"/>
                <w:shd w:val="clear" w:color="auto" w:fill="ffffff"/>
              </w:rPr>
              <w:t xml:space="preserve">③</w:t>
            </w:r>
            <w:r>
              <w:rPr>
                <w:rFonts w:hint="eastAsia"/>
                <w:sz w:val="24"/>
                <w:szCs w:val="24"/>
                <w:highlight w:val="none"/>
                <w:lang w:val="en-US" w:eastAsia="zh-CN"/>
              </w:rPr>
              <w:t xml:space="preserve">照明、卫生、饮水等条件正常（1分）：</w:t>
            </w:r>
            <w:r>
              <w:rPr>
                <w:rFonts w:ascii="Segoe UI" w:hAnsi="Segoe UI" w:eastAsia="Segoe UI" w:cs="Segoe UI"/>
                <w:i w:val="0"/>
                <w:iCs w:val="0"/>
                <w:caps w:val="0"/>
                <w:color w:val="0f1115"/>
                <w:spacing w:val="0"/>
                <w:sz w:val="24"/>
                <w:szCs w:val="24"/>
                <w:highlight w:val="none"/>
                <w:shd w:val="clear" w:color="auto" w:fill="ffffff"/>
              </w:rPr>
              <w:t xml:space="preserve">投标人提供教学场地现场照片（含照明、卫生、饮水等设施）及设施设备完好情况说明，能够证明基本教学条件正常可用得1分，未提供或明显不达标不得分。</w:t>
            </w:r>
            <w:r>
              <w:rPr>
                <w:rFonts w:hint="eastAsia"/>
                <w:sz w:val="24"/>
                <w:szCs w:val="24"/>
                <w:highlight w:val="none"/>
                <w:lang w:val="en-US" w:eastAsia="zh-CN"/>
              </w:rPr>
            </w:r>
            <w:r/>
          </w:p>
          <w:p>
            <w:pPr>
              <w:pStyle w:val="1063"/>
              <w:ind w:firstLine="240"/>
              <w:jc w:val="both"/>
              <w:spacing w:line="360" w:lineRule="auto"/>
              <w:rPr>
                <w:rFonts w:hint="eastAsia" w:ascii="宋体" w:hAnsi="宋体" w:cs="宋体"/>
                <w:spacing w:val="-2"/>
                <w:sz w:val="24"/>
                <w:szCs w:val="24"/>
                <w:highlight w:val="none"/>
              </w:rPr>
            </w:pPr>
            <w:r>
              <w:rPr>
                <w:rFonts w:hint="eastAsia" w:ascii="Segoe UI" w:hAnsi="Segoe UI" w:eastAsia="Segoe UI" w:cs="Segoe UI"/>
                <w:i w:val="0"/>
                <w:iCs w:val="0"/>
                <w:caps w:val="0"/>
                <w:color w:val="0f1115"/>
                <w:spacing w:val="0"/>
                <w:sz w:val="24"/>
                <w:szCs w:val="24"/>
                <w:highlight w:val="none"/>
                <w:shd w:val="clear" w:color="auto" w:fill="ffffff"/>
              </w:rPr>
              <w:t xml:space="preserve">④</w:t>
            </w:r>
            <w:r>
              <w:rPr>
                <w:rFonts w:hint="eastAsia"/>
                <w:sz w:val="24"/>
                <w:szCs w:val="24"/>
                <w:highlight w:val="none"/>
                <w:lang w:val="en-US" w:eastAsia="zh-CN"/>
              </w:rPr>
              <w:t xml:space="preserve">教室、桌椅、黑板、多媒体等教学设备（1分）：</w:t>
            </w:r>
            <w:r>
              <w:rPr>
                <w:rFonts w:ascii="Segoe UI" w:hAnsi="Segoe UI" w:eastAsia="Segoe UI" w:cs="Segoe UI"/>
                <w:i w:val="0"/>
                <w:iCs w:val="0"/>
                <w:caps w:val="0"/>
                <w:color w:val="0f1115"/>
                <w:spacing w:val="0"/>
                <w:sz w:val="24"/>
                <w:szCs w:val="24"/>
                <w:highlight w:val="none"/>
                <w:shd w:val="clear" w:color="auto" w:fill="ffffff"/>
              </w:rPr>
              <w:t xml:space="preserve">投标人提供教学设备清单及现场照片（含教室、桌椅、黑板、多媒体设备等），设备数量与教学规模匹配、功能正常可用得1分，未提供或明显不足不得分。</w:t>
            </w:r>
            <w:r>
              <w:rPr>
                <w:rFonts w:hint="eastAsia" w:ascii="宋体" w:hAnsi="宋体" w:cs="宋体"/>
                <w:spacing w:val="-2"/>
                <w:sz w:val="24"/>
                <w:szCs w:val="24"/>
                <w:highlight w:val="none"/>
              </w:rPr>
            </w:r>
            <w:r/>
          </w:p>
        </w:tc>
        <w:tc>
          <w:tcPr>
            <w:tcW w:w="391" w:type="dxa"/>
            <w:vAlign w:val="center"/>
            <w:textDirection w:val="lrTb"/>
            <w:noWrap w:val="false"/>
          </w:tcPr>
          <w:p>
            <w:pPr>
              <w:pStyle w:val="1063"/>
              <w:jc w:val="center"/>
              <w:spacing w:line="360" w:lineRule="auto"/>
              <w:rPr>
                <w:rFonts w:ascii="宋体" w:hAnsi="宋体" w:cs="宋体"/>
                <w:bCs/>
                <w:sz w:val="24"/>
                <w:szCs w:val="24"/>
                <w:highlight w:val="none"/>
              </w:rPr>
            </w:pPr>
            <w:r>
              <w:rPr>
                <w:rFonts w:hint="eastAsia"/>
                <w:sz w:val="24"/>
                <w:szCs w:val="24"/>
                <w:highlight w:val="none"/>
                <w:lang w:val="en-US" w:eastAsia="zh-CN"/>
              </w:rPr>
              <w:t xml:space="preserve">4</w:t>
            </w:r>
            <w:r>
              <w:rPr>
                <w:rFonts w:hint="eastAsia"/>
                <w:sz w:val="24"/>
                <w:szCs w:val="24"/>
                <w:highlight w:val="none"/>
              </w:rPr>
              <w:t xml:space="preserve">分</w:t>
            </w:r>
            <w:r>
              <w:rPr>
                <w:rFonts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W w:w="3248" w:type="dxa"/>
            <w:vAlign w:val="top"/>
            <w:textDirection w:val="lrTb"/>
            <w:noWrap w:val="false"/>
          </w:tcPr>
          <w:p>
            <w:pPr>
              <w:pStyle w:val="1063"/>
              <w:jc w:val="both"/>
              <w:spacing w:line="360" w:lineRule="auto"/>
              <w:rPr>
                <w:rFonts w:hint="eastAsia"/>
                <w:sz w:val="24"/>
                <w:szCs w:val="24"/>
                <w:highlight w:val="none"/>
                <w:lang w:eastAsia="zh-CN"/>
              </w:rPr>
            </w:pPr>
            <w:r>
              <w:rPr>
                <w:rFonts w:hint="eastAsia"/>
                <w:sz w:val="24"/>
                <w:szCs w:val="24"/>
                <w:highlight w:val="none"/>
              </w:rPr>
              <w:t xml:space="preserve">2.师资</w:t>
            </w:r>
            <w:r>
              <w:rPr>
                <w:rFonts w:hint="eastAsia"/>
                <w:sz w:val="24"/>
                <w:szCs w:val="24"/>
                <w:highlight w:val="none"/>
                <w:lang w:val="en-US" w:eastAsia="zh-CN"/>
              </w:rPr>
              <w:t xml:space="preserve">数量和</w:t>
            </w:r>
            <w:r>
              <w:rPr>
                <w:rFonts w:hint="eastAsia"/>
                <w:sz w:val="24"/>
                <w:szCs w:val="24"/>
                <w:highlight w:val="none"/>
              </w:rPr>
              <w:t xml:space="preserve">结构合理</w:t>
            </w:r>
            <w:r>
              <w:rPr>
                <w:rFonts w:hint="eastAsia"/>
                <w:sz w:val="24"/>
                <w:szCs w:val="24"/>
                <w:highlight w:val="none"/>
                <w:lang w:eastAsia="zh-CN"/>
              </w:rPr>
              <w:t xml:space="preserve">：</w:t>
            </w:r>
            <w:r>
              <w:rPr>
                <w:rFonts w:hint="eastAsia"/>
                <w:sz w:val="24"/>
                <w:szCs w:val="24"/>
                <w:highlight w:val="none"/>
                <w:lang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①</w:t>
            </w:r>
            <w:r>
              <w:rPr>
                <w:rFonts w:hint="eastAsia"/>
                <w:sz w:val="24"/>
                <w:szCs w:val="24"/>
                <w:highlight w:val="none"/>
                <w:lang w:val="en-US" w:eastAsia="zh-CN"/>
              </w:rPr>
              <w:t xml:space="preserve">师生比不低于1:200（1分）：</w:t>
            </w:r>
            <w:r>
              <w:rPr>
                <w:rFonts w:ascii="Segoe UI" w:hAnsi="Segoe UI" w:eastAsia="Segoe UI" w:cs="Segoe UI"/>
                <w:i w:val="0"/>
                <w:iCs w:val="0"/>
                <w:caps w:val="0"/>
                <w:color w:val="0f1115"/>
                <w:spacing w:val="0"/>
                <w:sz w:val="24"/>
                <w:szCs w:val="24"/>
                <w:highlight w:val="none"/>
                <w:shd w:val="clear" w:color="auto" w:fill="ffffff"/>
              </w:rPr>
              <w:t xml:space="preserve">投标人提供拟派师资名单及学生人数统计表，师生比达到1:200及以上得1分，未达到不得分。</w:t>
            </w:r>
            <w:r>
              <w:rPr>
                <w:rFonts w:hint="eastAsia"/>
                <w:sz w:val="24"/>
                <w:szCs w:val="24"/>
                <w:highlight w:val="none"/>
                <w:lang w:val="en-US" w:eastAsia="zh-CN"/>
              </w:rPr>
            </w:r>
            <w:r/>
          </w:p>
          <w:p>
            <w:pPr>
              <w:pStyle w:val="1063"/>
              <w:ind w:firstLine="240"/>
              <w:jc w:val="both"/>
              <w:spacing w:line="360" w:lineRule="auto"/>
              <w:rPr>
                <w:rFonts w:hint="eastAsia" w:ascii="宋体" w:hAnsi="宋体" w:cs="宋体"/>
                <w:sz w:val="24"/>
                <w:szCs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②</w:t>
            </w:r>
            <w:r>
              <w:rPr>
                <w:rFonts w:hint="eastAsia"/>
                <w:sz w:val="24"/>
                <w:szCs w:val="24"/>
                <w:highlight w:val="none"/>
                <w:lang w:val="en-US" w:eastAsia="zh-CN"/>
              </w:rPr>
              <w:t xml:space="preserve">副高或硕士研究生学历及以上比例不低于30%（1分）：</w:t>
            </w:r>
            <w:r>
              <w:rPr>
                <w:rFonts w:ascii="Segoe UI" w:hAnsi="Segoe UI" w:eastAsia="Segoe UI" w:cs="Segoe UI"/>
                <w:i w:val="0"/>
                <w:iCs w:val="0"/>
                <w:caps w:val="0"/>
                <w:color w:val="0f1115"/>
                <w:spacing w:val="0"/>
                <w:sz w:val="24"/>
                <w:szCs w:val="24"/>
                <w:highlight w:val="none"/>
                <w:shd w:val="clear" w:color="auto" w:fill="ffffff"/>
              </w:rPr>
              <w:t xml:space="preserve">投标人提供拟派师资学历学位证书及职称证书复印件，副高及以上职称或硕士研究生学历及以上人员占师资总数比例达到30%及以上得1分，未达到不得分（重叠人员不重复计算）。</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2分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r>
            <w:r/>
          </w:p>
        </w:tc>
        <w:tc>
          <w:tcPr>
            <w:tcW w:w="3248" w:type="dxa"/>
            <w:vAlign w:val="top"/>
            <w:textDirection w:val="lrTb"/>
            <w:noWrap w:val="false"/>
          </w:tcPr>
          <w:p>
            <w:pPr>
              <w:pStyle w:val="1063"/>
              <w:jc w:val="both"/>
              <w:spacing w:line="360" w:lineRule="auto"/>
              <w:rPr>
                <w:rFonts w:hint="eastAsia"/>
                <w:sz w:val="24"/>
                <w:szCs w:val="24"/>
                <w:highlight w:val="none"/>
                <w:lang w:eastAsia="zh-CN"/>
              </w:rPr>
            </w:pPr>
            <w:r>
              <w:rPr>
                <w:rFonts w:hint="eastAsia"/>
                <w:sz w:val="24"/>
                <w:szCs w:val="24"/>
                <w:highlight w:val="none"/>
              </w:rPr>
              <w:t xml:space="preserve">3.管理团队配置齐全</w:t>
            </w:r>
            <w:r>
              <w:rPr>
                <w:rFonts w:hint="eastAsia"/>
                <w:sz w:val="24"/>
                <w:szCs w:val="24"/>
                <w:highlight w:val="none"/>
                <w:lang w:eastAsia="zh-CN"/>
              </w:rPr>
              <w:t xml:space="preserve">：</w:t>
            </w:r>
            <w:r>
              <w:rPr>
                <w:rFonts w:hint="eastAsia"/>
                <w:sz w:val="24"/>
                <w:szCs w:val="24"/>
                <w:highlight w:val="none"/>
                <w:lang w:eastAsia="zh-CN"/>
              </w:rPr>
            </w:r>
            <w:r/>
          </w:p>
          <w:p>
            <w:pPr>
              <w:pStyle w:val="1063"/>
              <w:ind w:firstLine="240"/>
              <w:jc w:val="both"/>
              <w:spacing w:line="360" w:lineRule="auto"/>
              <w:rPr>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①</w:t>
            </w:r>
            <w:r>
              <w:rPr>
                <w:rFonts w:hint="eastAsia"/>
                <w:sz w:val="24"/>
                <w:szCs w:val="24"/>
                <w:highlight w:val="none"/>
                <w:lang w:val="en-US" w:eastAsia="zh-CN"/>
              </w:rPr>
              <w:t xml:space="preserve">师生比不低于1:150（1分）;</w:t>
            </w:r>
            <w:r>
              <w:rPr>
                <w:rFonts w:ascii="Segoe UI" w:hAnsi="Segoe UI" w:eastAsia="Segoe UI" w:cs="Segoe UI"/>
                <w:i w:val="0"/>
                <w:iCs w:val="0"/>
                <w:caps w:val="0"/>
                <w:color w:val="0f1115"/>
                <w:spacing w:val="0"/>
                <w:sz w:val="24"/>
                <w:szCs w:val="24"/>
                <w:highlight w:val="none"/>
                <w:shd w:val="clear" w:color="auto" w:fill="ffffff"/>
              </w:rPr>
              <w:t xml:space="preserve">提供专职管理人员名单及学生人数统计表，师生比达到1:150及以上得1分，未达到不得分。</w:t>
            </w:r>
            <w:r>
              <w:rPr>
                <w:sz w:val="24"/>
                <w:szCs w:val="24"/>
                <w:highlight w:val="none"/>
                <w:lang w:val="en-US" w:eastAsia="zh-CN"/>
              </w:rPr>
            </w:r>
            <w:r/>
          </w:p>
          <w:p>
            <w:pPr>
              <w:pStyle w:val="1063"/>
              <w:ind w:firstLine="240"/>
              <w:jc w:val="both"/>
              <w:spacing w:line="360" w:lineRule="auto"/>
              <w:rPr>
                <w:rFonts w:hint="eastAsia"/>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②</w:t>
            </w:r>
            <w:r>
              <w:rPr>
                <w:rFonts w:hint="eastAsia"/>
                <w:sz w:val="24"/>
                <w:szCs w:val="24"/>
                <w:highlight w:val="none"/>
                <w:lang w:val="en-US" w:eastAsia="zh-CN"/>
              </w:rPr>
              <w:t xml:space="preserve">有管理团队及管理条例（1分）：</w:t>
            </w:r>
            <w:r>
              <w:rPr>
                <w:rFonts w:ascii="Segoe UI" w:hAnsi="Segoe UI" w:eastAsia="Segoe UI" w:cs="Segoe UI"/>
                <w:i w:val="0"/>
                <w:iCs w:val="0"/>
                <w:caps w:val="0"/>
                <w:color w:val="0f1115"/>
                <w:spacing w:val="0"/>
                <w:sz w:val="24"/>
                <w:szCs w:val="24"/>
                <w:highlight w:val="none"/>
                <w:shd w:val="clear" w:color="auto" w:fill="ffffff"/>
              </w:rPr>
              <w:t xml:space="preserve">投标人提供管理团队组织架构图、岗位职责说明及管理条例文件，架构清晰、职责明确、制度健全得1分，未提供或明显缺失不得分。</w:t>
            </w:r>
            <w:r>
              <w:rPr>
                <w:rFonts w:hint="eastAsia"/>
                <w:sz w:val="24"/>
                <w:szCs w:val="24"/>
                <w:highlight w:val="none"/>
                <w:lang w:val="en-US" w:eastAsia="zh-CN"/>
              </w:rPr>
            </w:r>
            <w:r/>
          </w:p>
          <w:p>
            <w:pPr>
              <w:pStyle w:val="1063"/>
              <w:ind w:firstLine="240"/>
              <w:jc w:val="both"/>
              <w:spacing w:line="360" w:lineRule="auto"/>
              <w:rPr>
                <w:rFonts w:hint="eastAsia" w:ascii="宋体" w:hAnsi="宋体" w:cs="宋体"/>
                <w:sz w:val="24"/>
                <w:szCs w:val="24"/>
                <w:highlight w:val="none"/>
              </w:rPr>
            </w:pPr>
            <w:r>
              <w:rPr>
                <w:rFonts w:hint="eastAsia"/>
                <w:sz w:val="24"/>
                <w:szCs w:val="24"/>
                <w:highlight w:val="none"/>
                <w:lang w:val="en-US" w:eastAsia="zh-CN"/>
              </w:rPr>
              <w:t xml:space="preserve"> ③有督导队伍及管理条例（1分）;</w:t>
            </w:r>
            <w:r>
              <w:rPr>
                <w:rFonts w:ascii="Segoe UI" w:hAnsi="Segoe UI" w:eastAsia="Segoe UI" w:cs="Segoe UI"/>
                <w:i w:val="0"/>
                <w:iCs w:val="0"/>
                <w:caps w:val="0"/>
                <w:color w:val="0f1115"/>
                <w:spacing w:val="0"/>
                <w:sz w:val="24"/>
                <w:szCs w:val="24"/>
                <w:highlight w:val="none"/>
                <w:shd w:val="clear" w:color="auto" w:fill="ffffff"/>
              </w:rPr>
              <w:t xml:space="preserve">投标人提供督导队伍名单（含姓名、职务、督导职责分工）及督导管理条例文件，督导队伍独立设置、职责明确、制度健全得1分，未提供或明显缺失不得分。</w:t>
            </w:r>
            <w:r>
              <w:rPr>
                <w:rFonts w:hint="eastAsia"/>
                <w:sz w:val="24"/>
                <w:szCs w:val="24"/>
                <w:highlight w:val="none"/>
              </w:rPr>
              <w:t xml:space="preserve"> </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3分</w:t>
            </w:r>
            <w:r>
              <w:rPr>
                <w:rFonts w:hint="eastAsia" w:ascii="宋体" w:hAnsi="宋体" w:cs="宋体"/>
                <w:bCs/>
                <w:sz w:val="24"/>
                <w:szCs w:val="24"/>
                <w:highlight w:val="none"/>
              </w:rPr>
            </w:r>
            <w:r/>
          </w:p>
        </w:tc>
      </w:tr>
      <w:tr>
        <w:trPr/>
        <w:tc>
          <w:tcPr>
            <w:tcW w:w="233"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cs="宋体"/>
                <w:sz w:val="24"/>
                <w:szCs w:val="24"/>
                <w:highlight w:val="none"/>
              </w:rPr>
            </w:r>
            <w:r/>
          </w:p>
        </w:tc>
        <w:tc>
          <w:tcPr>
            <w:gridSpan w:val="2"/>
            <w:tcW w:w="2207" w:type="dxa"/>
            <w:vAlign w:val="center"/>
            <w:vMerge w:val="restart"/>
            <w:textDirection w:val="lrTb"/>
            <w:noWrap w:val="false"/>
          </w:tcPr>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业绩</w:t>
            </w:r>
            <w:r>
              <w:rPr>
                <w:rFonts w:hint="eastAsia" w:eastAsia="宋体"/>
                <w:b w:val="0"/>
                <w:i w:val="0"/>
                <w:strike w:val="0"/>
                <w:color w:val="000000"/>
                <w:sz w:val="24"/>
                <w:szCs w:val="24"/>
                <w:highlight w:val="none"/>
                <w:u w:val="none"/>
              </w:rPr>
            </w:r>
            <w:r/>
          </w:p>
          <w:p>
            <w:pPr>
              <w:pStyle w:val="1063"/>
              <w:jc w:val="center"/>
              <w:spacing w:line="360" w:lineRule="auto"/>
              <w:rPr>
                <w:rFonts w:hint="eastAsia" w:ascii="宋体" w:hAnsi="宋体" w:cs="宋体"/>
                <w:spacing w:val="-2"/>
                <w:sz w:val="24"/>
                <w:szCs w:val="24"/>
                <w:highlight w:val="none"/>
                <w:lang w:val="zh-CN"/>
              </w:rPr>
            </w:pPr>
            <w:r>
              <w:rPr>
                <w:rFonts w:hint="eastAsia"/>
                <w:b w:val="0"/>
                <w:i w:val="0"/>
                <w:strike w:val="0"/>
                <w:color w:val="000000"/>
                <w:sz w:val="24"/>
                <w:szCs w:val="24"/>
                <w:highlight w:val="none"/>
                <w:u w:val="none"/>
                <w:lang w:eastAsia="zh-CN"/>
              </w:rPr>
              <w:t xml:space="preserve">（</w:t>
            </w:r>
            <w:r>
              <w:rPr>
                <w:rFonts w:hint="eastAsia"/>
                <w:b w:val="0"/>
                <w:i w:val="0"/>
                <w:strike w:val="0"/>
                <w:color w:val="000000"/>
                <w:sz w:val="24"/>
                <w:szCs w:val="24"/>
                <w:highlight w:val="none"/>
                <w:u w:val="none"/>
                <w:lang w:val="en-US" w:eastAsia="zh-CN"/>
              </w:rPr>
              <w:t xml:space="preserve">6分</w:t>
            </w:r>
            <w:r>
              <w:rPr>
                <w:rFonts w:hint="eastAsia"/>
                <w:b w:val="0"/>
                <w:i w:val="0"/>
                <w:strike w:val="0"/>
                <w:color w:val="000000"/>
                <w:sz w:val="24"/>
                <w:szCs w:val="24"/>
                <w:highlight w:val="none"/>
                <w:u w:val="none"/>
                <w:lang w:eastAsia="zh-CN"/>
              </w:rPr>
              <w:t xml:space="preserve">）</w:t>
            </w:r>
            <w:r>
              <w:rPr>
                <w:rFonts w:hint="eastAsia" w:ascii="宋体" w:hAnsi="宋体" w:cs="宋体"/>
                <w:spacing w:val="-2"/>
                <w:sz w:val="24"/>
                <w:szCs w:val="24"/>
                <w:highlight w:val="none"/>
                <w:lang w:val="zh-CN"/>
              </w:rPr>
            </w:r>
            <w:r/>
          </w:p>
        </w:tc>
        <w:tc>
          <w:tcPr>
            <w:tcW w:w="3248" w:type="dxa"/>
            <w:vAlign w:val="top"/>
            <w:textDirection w:val="lrTb"/>
            <w:noWrap w:val="false"/>
          </w:tcPr>
          <w:p>
            <w:pPr>
              <w:pStyle w:val="1063"/>
              <w:numPr>
                <w:ilvl w:val="0"/>
                <w:numId w:val="0"/>
              </w:numPr>
              <w:jc w:val="both"/>
              <w:spacing w:line="360" w:lineRule="auto"/>
              <w:rPr>
                <w:rFonts w:hint="eastAsia"/>
                <w:spacing w:val="-2"/>
                <w:sz w:val="24"/>
                <w:szCs w:val="24"/>
                <w:highlight w:val="none"/>
                <w:lang w:val="zh-CN" w:eastAsia="zh-CN"/>
              </w:rPr>
            </w:pPr>
            <w:r>
              <w:rPr>
                <w:rFonts w:hint="eastAsia" w:ascii="Calibri" w:hAnsi="Calibri" w:cs="Calibri"/>
                <w:spacing w:val="-2"/>
                <w:sz w:val="24"/>
                <w:szCs w:val="24"/>
                <w:highlight w:val="none"/>
                <w:lang w:val="zh-CN" w:eastAsia="zh-CN" w:bidi="ar-SA"/>
              </w:rPr>
              <w:t xml:space="preserve">1.</w:t>
            </w:r>
            <w:r>
              <w:rPr>
                <w:rFonts w:hint="eastAsia"/>
                <w:sz w:val="24"/>
                <w:szCs w:val="24"/>
                <w:highlight w:val="none"/>
              </w:rPr>
              <w:t xml:space="preserve">投标人提供2023年1月1日以来（以合同签订时间为准）</w:t>
            </w:r>
            <w:r>
              <w:rPr>
                <w:rFonts w:hint="eastAsia"/>
                <w:sz w:val="24"/>
                <w:szCs w:val="24"/>
                <w:highlight w:val="none"/>
                <w:lang w:eastAsia="zh-CN"/>
              </w:rPr>
              <w:t xml:space="preserve">，</w:t>
            </w:r>
            <w:r>
              <w:rPr>
                <w:rFonts w:hint="eastAsia"/>
                <w:sz w:val="24"/>
                <w:szCs w:val="24"/>
                <w:highlight w:val="none"/>
              </w:rPr>
              <w:t xml:space="preserve">承担</w:t>
            </w:r>
            <w:r>
              <w:rPr>
                <w:rFonts w:hint="eastAsia"/>
                <w:sz w:val="24"/>
                <w:szCs w:val="24"/>
                <w:highlight w:val="none"/>
                <w:lang w:val="en-US" w:eastAsia="zh-CN"/>
              </w:rPr>
              <w:t xml:space="preserve">过成人高等学历继续教育或</w:t>
            </w:r>
            <w:r>
              <w:rPr>
                <w:rFonts w:hint="eastAsia"/>
                <w:sz w:val="24"/>
                <w:szCs w:val="24"/>
                <w:highlight w:val="none"/>
              </w:rPr>
              <w:t xml:space="preserve">自考助学服务业绩</w:t>
            </w:r>
            <w:r>
              <w:rPr>
                <w:rFonts w:hint="eastAsia"/>
                <w:sz w:val="24"/>
                <w:szCs w:val="24"/>
                <w:highlight w:val="none"/>
                <w:lang w:eastAsia="zh-CN"/>
              </w:rPr>
              <w:t xml:space="preserve">：①教学管理类（教学计划制定、课程安排、教学检查</w:t>
            </w:r>
            <w:r>
              <w:rPr>
                <w:rFonts w:hint="eastAsia"/>
                <w:sz w:val="24"/>
                <w:szCs w:val="24"/>
                <w:highlight w:val="none"/>
                <w:lang w:val="en-US" w:eastAsia="zh-CN"/>
              </w:rPr>
              <w:t xml:space="preserve">等</w:t>
            </w:r>
            <w:r>
              <w:rPr>
                <w:rFonts w:hint="eastAsia"/>
                <w:sz w:val="24"/>
                <w:szCs w:val="24"/>
                <w:highlight w:val="none"/>
                <w:lang w:eastAsia="zh-CN"/>
              </w:rPr>
              <w:t xml:space="preserve">）；②学生管理类（学籍管理、班级管理、学生日常服务</w:t>
            </w:r>
            <w:r>
              <w:rPr>
                <w:rFonts w:hint="eastAsia"/>
                <w:sz w:val="24"/>
                <w:szCs w:val="24"/>
                <w:highlight w:val="none"/>
                <w:lang w:val="en-US" w:eastAsia="zh-CN"/>
              </w:rPr>
              <w:t xml:space="preserve">等</w:t>
            </w:r>
            <w:r>
              <w:rPr>
                <w:rFonts w:hint="eastAsia"/>
                <w:sz w:val="24"/>
                <w:szCs w:val="24"/>
                <w:highlight w:val="none"/>
                <w:lang w:eastAsia="zh-CN"/>
              </w:rPr>
              <w:t xml:space="preserve">）；③考务组织类（考试报名、考场组织、成绩管理、毕业学位办理</w:t>
            </w:r>
            <w:r>
              <w:rPr>
                <w:rFonts w:hint="eastAsia"/>
                <w:sz w:val="24"/>
                <w:szCs w:val="24"/>
                <w:highlight w:val="none"/>
                <w:lang w:val="en-US" w:eastAsia="zh-CN"/>
              </w:rPr>
              <w:t xml:space="preserve">等</w:t>
            </w:r>
            <w:r>
              <w:rPr>
                <w:rFonts w:hint="eastAsia"/>
                <w:sz w:val="24"/>
                <w:szCs w:val="24"/>
                <w:highlight w:val="none"/>
                <w:lang w:eastAsia="zh-CN"/>
              </w:rPr>
              <w:t xml:space="preserve">）；④业余制自考助学服务类。每提供1</w:t>
            </w:r>
            <w:r>
              <w:rPr>
                <w:rFonts w:hint="eastAsia"/>
                <w:sz w:val="24"/>
                <w:szCs w:val="24"/>
                <w:highlight w:val="none"/>
                <w:lang w:val="en-US" w:eastAsia="zh-CN"/>
              </w:rPr>
              <w:t xml:space="preserve">个</w:t>
            </w:r>
            <w:r>
              <w:rPr>
                <w:rFonts w:hint="eastAsia"/>
                <w:sz w:val="24"/>
                <w:szCs w:val="24"/>
                <w:highlight w:val="none"/>
                <w:lang w:eastAsia="zh-CN"/>
              </w:rPr>
              <w:t xml:space="preserve">业绩得</w:t>
            </w:r>
            <w:r>
              <w:rPr>
                <w:rFonts w:hint="eastAsia"/>
                <w:sz w:val="24"/>
                <w:szCs w:val="24"/>
                <w:highlight w:val="none"/>
                <w:lang w:val="en-US" w:eastAsia="zh-CN"/>
              </w:rPr>
              <w:t xml:space="preserve">1</w:t>
            </w:r>
            <w:r>
              <w:rPr>
                <w:rFonts w:hint="eastAsia"/>
                <w:sz w:val="24"/>
                <w:szCs w:val="24"/>
                <w:highlight w:val="none"/>
                <w:lang w:eastAsia="zh-CN"/>
              </w:rPr>
              <w:t xml:space="preserve">分，最高得</w:t>
            </w:r>
            <w:r>
              <w:rPr>
                <w:rFonts w:hint="eastAsia"/>
                <w:sz w:val="24"/>
                <w:szCs w:val="24"/>
                <w:highlight w:val="none"/>
                <w:lang w:val="en-US" w:eastAsia="zh-CN"/>
              </w:rPr>
              <w:t xml:space="preserve">6</w:t>
            </w:r>
            <w:r>
              <w:rPr>
                <w:rFonts w:hint="eastAsia"/>
                <w:sz w:val="24"/>
                <w:szCs w:val="24"/>
                <w:highlight w:val="none"/>
                <w:lang w:eastAsia="zh-CN"/>
              </w:rPr>
              <w:t xml:space="preserve">分。同一项目不重复计分。</w:t>
            </w:r>
            <w:r>
              <w:rPr>
                <w:rFonts w:hint="eastAsia"/>
                <w:spacing w:val="-2"/>
                <w:sz w:val="24"/>
                <w:szCs w:val="24"/>
                <w:highlight w:val="none"/>
                <w:lang w:val="zh-CN" w:eastAsia="zh-CN"/>
              </w:rPr>
            </w:r>
            <w:r/>
          </w:p>
          <w:p>
            <w:pPr>
              <w:pStyle w:val="1063"/>
              <w:numPr>
                <w:ilvl w:val="0"/>
                <w:numId w:val="0"/>
              </w:numPr>
              <w:jc w:val="both"/>
              <w:spacing w:line="360" w:lineRule="auto"/>
              <w:rPr>
                <w:rFonts w:hint="eastAsia"/>
                <w:spacing w:val="-2"/>
                <w:sz w:val="24"/>
                <w:szCs w:val="24"/>
                <w:highlight w:val="none"/>
                <w:lang w:val="zh-CN" w:eastAsia="zh-CN"/>
              </w:rPr>
            </w:pPr>
            <w:r>
              <w:rPr>
                <w:rFonts w:ascii="Segoe UI" w:hAnsi="Segoe UI" w:eastAsia="Segoe UI" w:cs="Segoe UI"/>
                <w:i w:val="0"/>
                <w:iCs w:val="0"/>
                <w:caps w:val="0"/>
                <w:color w:val="0f1115"/>
                <w:spacing w:val="0"/>
                <w:sz w:val="24"/>
                <w:szCs w:val="24"/>
                <w:highlight w:val="none"/>
                <w:shd w:val="clear" w:color="auto" w:fill="ffffff"/>
              </w:rPr>
              <w:t xml:space="preserve">注：投标人须提供与最终用户签订的合同关键页扫描件（含合同首页、服务内容页、签字盖章页、签订时间页</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结算发票</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等</w:t>
            </w:r>
            <w:r>
              <w:rPr>
                <w:rFonts w:ascii="Segoe UI" w:hAnsi="Segoe UI" w:eastAsia="Segoe UI" w:cs="Segoe UI"/>
                <w:i w:val="0"/>
                <w:iCs w:val="0"/>
                <w:caps w:val="0"/>
                <w:color w:val="0f1115"/>
                <w:spacing w:val="0"/>
                <w:sz w:val="24"/>
                <w:szCs w:val="24"/>
                <w:highlight w:val="none"/>
                <w:shd w:val="clear" w:color="auto" w:fill="ffffff"/>
              </w:rPr>
              <w:t xml:space="preserve">）扫描件，所有材料须加盖投标人公章；证明材料不清晰或无法辨认的不得分；同一项目不重复计分。</w:t>
            </w:r>
            <w:r>
              <w:rPr>
                <w:rFonts w:hint="eastAsia"/>
                <w:spacing w:val="-2"/>
                <w:sz w:val="24"/>
                <w:szCs w:val="24"/>
                <w:highlight w:val="none"/>
                <w:lang w:val="zh-CN" w:eastAsia="zh-CN"/>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6分</w:t>
            </w:r>
            <w:r>
              <w:rPr>
                <w:rFonts w:hint="eastAsia" w:ascii="宋体" w:hAnsi="宋体" w:cs="宋体"/>
                <w:bCs/>
                <w:sz w:val="24"/>
                <w:szCs w:val="24"/>
                <w:highlight w:val="none"/>
              </w:rPr>
            </w:r>
            <w:r/>
          </w:p>
        </w:tc>
      </w:tr>
      <w:tr>
        <w:trPr>
          <w:trHeight w:val="3182"/>
        </w:trPr>
        <w:tc>
          <w:tcPr>
            <w:tcW w:w="233" w:type="dxa"/>
            <w:vAlign w:val="center"/>
            <w:vMerge w:val="restart"/>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w:t>
            </w:r>
            <w:r>
              <w:rPr>
                <w:rFonts w:hint="eastAsia" w:ascii="宋体" w:hAnsi="宋体" w:cs="宋体"/>
                <w:sz w:val="24"/>
                <w:szCs w:val="24"/>
                <w:highlight w:val="none"/>
              </w:rPr>
            </w:r>
            <w:r/>
          </w:p>
        </w:tc>
        <w:tc>
          <w:tcPr>
            <w:gridSpan w:val="2"/>
            <w:tcW w:w="2207" w:type="dxa"/>
            <w:vAlign w:val="center"/>
            <w:vMerge w:val="restart"/>
            <w:textDirection w:val="lrTb"/>
            <w:noWrap w:val="false"/>
          </w:tcPr>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履约</w:t>
            </w:r>
            <w:r>
              <w:rPr>
                <w:rFonts w:hint="eastAsia" w:eastAsia="宋体"/>
                <w:b w:val="0"/>
                <w:i w:val="0"/>
                <w:strike w:val="0"/>
                <w:color w:val="000000"/>
                <w:sz w:val="24"/>
                <w:szCs w:val="24"/>
                <w:highlight w:val="none"/>
                <w:u w:val="none"/>
              </w:rPr>
            </w:r>
            <w:r/>
          </w:p>
          <w:p>
            <w:pPr>
              <w:pStyle w:val="1063"/>
              <w:jc w:val="center"/>
              <w:spacing w:line="360" w:lineRule="auto"/>
              <w:rPr>
                <w:rFonts w:hint="eastAsia" w:eastAsia="宋体"/>
                <w:b w:val="0"/>
                <w:i w:val="0"/>
                <w:strike w:val="0"/>
                <w:color w:val="000000"/>
                <w:sz w:val="24"/>
                <w:szCs w:val="24"/>
                <w:highlight w:val="none"/>
                <w:u w:val="none"/>
              </w:rPr>
            </w:pPr>
            <w:r>
              <w:rPr>
                <w:rFonts w:hint="eastAsia" w:eastAsia="宋体"/>
                <w:b w:val="0"/>
                <w:i w:val="0"/>
                <w:strike w:val="0"/>
                <w:color w:val="000000"/>
                <w:sz w:val="24"/>
                <w:szCs w:val="24"/>
                <w:highlight w:val="none"/>
                <w:u w:val="none"/>
              </w:rPr>
              <w:t xml:space="preserve">保障</w:t>
            </w:r>
            <w:r>
              <w:rPr>
                <w:rFonts w:hint="eastAsia" w:eastAsia="宋体"/>
                <w:b w:val="0"/>
                <w:i w:val="0"/>
                <w:strike w:val="0"/>
                <w:color w:val="000000"/>
                <w:sz w:val="24"/>
                <w:szCs w:val="24"/>
                <w:highlight w:val="none"/>
                <w:u w:val="none"/>
              </w:rPr>
            </w:r>
            <w:r/>
          </w:p>
          <w:p>
            <w:pPr>
              <w:pStyle w:val="1063"/>
              <w:jc w:val="center"/>
              <w:spacing w:line="360" w:lineRule="auto"/>
              <w:rPr>
                <w:rFonts w:hint="eastAsia" w:ascii="宋体" w:hAnsi="宋体" w:cs="宋体"/>
                <w:sz w:val="24"/>
                <w:szCs w:val="24"/>
                <w:highlight w:val="none"/>
              </w:rPr>
            </w:pPr>
            <w:r>
              <w:rPr>
                <w:rFonts w:hint="eastAsia"/>
                <w:b w:val="0"/>
                <w:i w:val="0"/>
                <w:strike w:val="0"/>
                <w:color w:val="000000"/>
                <w:sz w:val="24"/>
                <w:szCs w:val="24"/>
                <w:highlight w:val="none"/>
                <w:u w:val="none"/>
                <w:lang w:eastAsia="zh-CN"/>
              </w:rPr>
              <w:t xml:space="preserve">（</w:t>
            </w:r>
            <w:r>
              <w:rPr>
                <w:rFonts w:hint="eastAsia"/>
                <w:b w:val="0"/>
                <w:i w:val="0"/>
                <w:strike w:val="0"/>
                <w:color w:val="000000"/>
                <w:sz w:val="24"/>
                <w:szCs w:val="24"/>
                <w:highlight w:val="none"/>
                <w:u w:val="none"/>
                <w:lang w:val="en-US" w:eastAsia="zh-CN"/>
              </w:rPr>
              <w:t xml:space="preserve">25分</w:t>
            </w:r>
            <w:r>
              <w:rPr>
                <w:rFonts w:hint="eastAsia"/>
                <w:b w:val="0"/>
                <w:i w:val="0"/>
                <w:strike w:val="0"/>
                <w:color w:val="000000"/>
                <w:sz w:val="24"/>
                <w:szCs w:val="24"/>
                <w:highlight w:val="none"/>
                <w:u w:val="none"/>
                <w:lang w:eastAsia="zh-CN"/>
              </w:rPr>
              <w:t xml:space="preserve">）</w:t>
            </w:r>
            <w:r>
              <w:rPr>
                <w:rFonts w:hint="eastAsia" w:ascii="宋体" w:hAnsi="宋体" w:cs="宋体"/>
                <w:sz w:val="24"/>
                <w:szCs w:val="24"/>
                <w:highlight w:val="none"/>
              </w:rPr>
            </w:r>
            <w:r/>
          </w:p>
        </w:tc>
        <w:tc>
          <w:tcPr>
            <w:tcW w:w="3248" w:type="dxa"/>
            <w:vAlign w:val="top"/>
            <w:textDirection w:val="lrTb"/>
            <w:noWrap w:val="false"/>
          </w:tcPr>
          <w:p>
            <w:pPr>
              <w:pStyle w:val="1063"/>
              <w:numPr>
                <w:ilvl w:val="0"/>
                <w:numId w:val="0"/>
              </w:numPr>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1.应急预案和风险防控方案；</w:t>
            </w:r>
            <w:r>
              <w:rPr>
                <w:rFonts w:hint="eastAsia"/>
                <w:sz w:val="24"/>
                <w:szCs w:val="24"/>
                <w:highlight w:val="none"/>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拟</w:t>
            </w:r>
            <w:r>
              <w:rPr>
                <w:rFonts w:ascii="Segoe UI" w:hAnsi="Segoe UI" w:eastAsia="Segoe UI" w:cs="Segoe UI"/>
                <w:i w:val="0"/>
                <w:iCs w:val="0"/>
                <w:caps w:val="0"/>
                <w:color w:val="0f1115"/>
                <w:spacing w:val="0"/>
                <w:sz w:val="24"/>
                <w:szCs w:val="24"/>
                <w:highlight w:val="none"/>
                <w:shd w:val="clear" w:color="auto" w:fill="ffffff"/>
              </w:rPr>
              <w:t xml:space="preserve">提供的应急预案和风险防控方案覆盖全面</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组织架构清晰、职责分工明确，每种风险均有对应处置措施</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的，得5分；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拟</w:t>
            </w:r>
            <w:r>
              <w:rPr>
                <w:rFonts w:ascii="Segoe UI" w:hAnsi="Segoe UI" w:eastAsia="Segoe UI" w:cs="Segoe UI"/>
                <w:i w:val="0"/>
                <w:iCs w:val="0"/>
                <w:caps w:val="0"/>
                <w:color w:val="0f1115"/>
                <w:spacing w:val="0"/>
                <w:sz w:val="24"/>
                <w:szCs w:val="24"/>
                <w:highlight w:val="none"/>
                <w:shd w:val="clear" w:color="auto" w:fill="ffffff"/>
              </w:rPr>
              <w:t xml:space="preserve">提供应急</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预案、</w:t>
            </w:r>
            <w:r>
              <w:rPr>
                <w:rFonts w:ascii="Segoe UI" w:hAnsi="Segoe UI" w:eastAsia="Segoe UI" w:cs="Segoe UI"/>
                <w:i w:val="0"/>
                <w:iCs w:val="0"/>
                <w:caps w:val="0"/>
                <w:color w:val="0f1115"/>
                <w:spacing w:val="0"/>
                <w:sz w:val="24"/>
                <w:szCs w:val="24"/>
                <w:highlight w:val="none"/>
                <w:shd w:val="clear" w:color="auto" w:fill="ffffff"/>
              </w:rPr>
              <w:t xml:space="preserve">组织架构和处置流程</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较清晰</w:t>
            </w:r>
            <w:r>
              <w:rPr>
                <w:rFonts w:ascii="Segoe UI" w:hAnsi="Segoe UI" w:eastAsia="Segoe UI" w:cs="Segoe UI"/>
                <w:i w:val="0"/>
                <w:iCs w:val="0"/>
                <w:caps w:val="0"/>
                <w:color w:val="0f1115"/>
                <w:spacing w:val="0"/>
                <w:sz w:val="24"/>
                <w:szCs w:val="24"/>
                <w:highlight w:val="none"/>
                <w:shd w:val="clear" w:color="auto" w:fill="ffffff"/>
              </w:rPr>
              <w:t xml:space="preserve">，具备基本预防及改进措施，职责分工基本明确</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的，得3分；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numPr>
                <w:ilvl w:val="0"/>
                <w:numId w:val="0"/>
              </w:numPr>
              <w:jc w:val="both"/>
              <w:spacing w:line="360" w:lineRule="auto"/>
              <w:rPr>
                <w:rFonts w:hint="eastAsia" w:ascii="宋体" w:hAnsi="宋体" w:cs="宋体"/>
                <w:sz w:val="24"/>
                <w:szCs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投标人提供的方案应急组织架构和处置流程</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差，</w:t>
            </w:r>
            <w:r>
              <w:rPr>
                <w:rFonts w:ascii="Segoe UI" w:hAnsi="Segoe UI" w:eastAsia="Segoe UI" w:cs="Segoe UI"/>
                <w:i w:val="0"/>
                <w:iCs w:val="0"/>
                <w:caps w:val="0"/>
                <w:color w:val="0f1115"/>
                <w:spacing w:val="0"/>
                <w:sz w:val="24"/>
                <w:szCs w:val="24"/>
                <w:highlight w:val="none"/>
                <w:shd w:val="clear" w:color="auto" w:fill="ffffff"/>
              </w:rPr>
              <w:t xml:space="preserve">组织架构</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不</w:t>
            </w:r>
            <w:r>
              <w:rPr>
                <w:rFonts w:ascii="Segoe UI" w:hAnsi="Segoe UI" w:eastAsia="Segoe UI" w:cs="Segoe UI"/>
                <w:i w:val="0"/>
                <w:iCs w:val="0"/>
                <w:caps w:val="0"/>
                <w:color w:val="0f1115"/>
                <w:spacing w:val="0"/>
                <w:sz w:val="24"/>
                <w:szCs w:val="24"/>
                <w:highlight w:val="none"/>
                <w:shd w:val="clear" w:color="auto" w:fill="ffffff"/>
              </w:rPr>
              <w:t xml:space="preserve">清晰、</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分工不明确</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的，得1分；未提供方案不得分。</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r>
            <w:r/>
          </w:p>
        </w:tc>
        <w:tc>
          <w:tcPr>
            <w:tcW w:w="3248" w:type="dxa"/>
            <w:vAlign w:val="top"/>
            <w:textDirection w:val="lrTb"/>
            <w:noWrap w:val="false"/>
          </w:tcPr>
          <w:p>
            <w:pPr>
              <w:pStyle w:val="1063"/>
              <w:numPr>
                <w:ilvl w:val="0"/>
                <w:numId w:val="0"/>
              </w:numPr>
              <w:jc w:val="both"/>
              <w:spacing w:line="360" w:lineRule="auto"/>
              <w:rPr>
                <w:rFonts w:hint="eastAsia"/>
                <w:sz w:val="24"/>
                <w:szCs w:val="24"/>
                <w:highlight w:val="none"/>
                <w:lang w:val="en-US" w:eastAsia="zh-CN"/>
              </w:rPr>
            </w:pPr>
            <w:r>
              <w:rPr>
                <w:rFonts w:hint="eastAsia"/>
                <w:sz w:val="24"/>
                <w:szCs w:val="24"/>
                <w:highlight w:val="none"/>
                <w:lang w:val="en-US" w:eastAsia="zh-CN"/>
              </w:rPr>
              <w:t xml:space="preserve">2.响应机制方案：</w:t>
            </w:r>
            <w:r>
              <w:rPr>
                <w:rFonts w:hint="eastAsia"/>
                <w:sz w:val="24"/>
                <w:szCs w:val="24"/>
                <w:highlight w:val="none"/>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投标人提供</w:t>
            </w:r>
            <w:r>
              <w:rPr>
                <w:rFonts w:ascii="Segoe UI" w:hAnsi="Segoe UI" w:eastAsia="Segoe UI" w:cs="Segoe UI"/>
                <w:i w:val="0"/>
                <w:iCs w:val="0"/>
                <w:caps w:val="0"/>
                <w:color w:val="0f1115"/>
                <w:spacing w:val="0"/>
                <w:sz w:val="24"/>
                <w:szCs w:val="24"/>
                <w:highlight w:val="none"/>
                <w:shd w:val="clear" w:color="auto" w:fill="ffffff"/>
              </w:rPr>
              <w:t xml:space="preserve">响应机制完备，分级分类明确，各类突发状况均有对应处置流程和责任人，7×24小时响应，到场时间优于24小时</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的，得5分；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eastAsia="zh-CN"/>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w:t>
            </w:r>
            <w:r>
              <w:rPr>
                <w:rFonts w:ascii="Segoe UI" w:hAnsi="Segoe UI" w:eastAsia="Segoe UI" w:cs="Segoe UI"/>
                <w:i w:val="0"/>
                <w:iCs w:val="0"/>
                <w:caps w:val="0"/>
                <w:color w:val="0f1115"/>
                <w:spacing w:val="0"/>
                <w:sz w:val="24"/>
                <w:szCs w:val="24"/>
                <w:highlight w:val="none"/>
                <w:shd w:val="clear" w:color="auto" w:fill="ffffff"/>
              </w:rPr>
              <w:t xml:space="preserve">有快速响应机制，能在24小时内响应处置，有基本处置流程</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人员安排</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明确的，得3分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ascii="Segoe UI" w:hAnsi="Segoe UI" w:eastAsia="宋体" w:cs="Segoe UI"/>
                <w:i w:val="0"/>
                <w:iCs w:val="0"/>
                <w:caps w:val="0"/>
                <w:color w:val="0f1115"/>
                <w:spacing w:val="0"/>
                <w:sz w:val="24"/>
                <w:szCs w:val="24"/>
                <w:highlight w:val="none"/>
                <w:shd w:val="clear" w:color="auto" w:fill="ffffff"/>
                <w:lang w:eastAsia="zh-CN"/>
              </w:rPr>
            </w:r>
            <w:r/>
          </w:p>
          <w:p>
            <w:pPr>
              <w:pStyle w:val="1063"/>
              <w:numPr>
                <w:ilvl w:val="0"/>
                <w:numId w:val="0"/>
              </w:numPr>
              <w:jc w:val="both"/>
              <w:spacing w:line="360" w:lineRule="auto"/>
              <w:rPr>
                <w:rFonts w:hint="eastAsia" w:ascii="宋体" w:hAnsi="宋体" w:cs="宋体"/>
                <w:sz w:val="24"/>
                <w:szCs w:val="24"/>
                <w:highlight w:val="none"/>
              </w:rPr>
            </w:pP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投标人</w:t>
            </w:r>
            <w:r>
              <w:rPr>
                <w:rFonts w:ascii="Segoe UI" w:hAnsi="Segoe UI" w:eastAsia="Segoe UI" w:cs="Segoe UI"/>
                <w:i w:val="0"/>
                <w:iCs w:val="0"/>
                <w:caps w:val="0"/>
                <w:color w:val="0f1115"/>
                <w:spacing w:val="0"/>
                <w:sz w:val="24"/>
                <w:szCs w:val="24"/>
                <w:highlight w:val="none"/>
                <w:shd w:val="clear" w:color="auto" w:fill="ffffff"/>
              </w:rPr>
              <w:t xml:space="preserve">响应机制不健全，处置流程不清晰，人员安排</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混乱的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得1分；未提供不得分。</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r>
            <w:r/>
          </w:p>
        </w:tc>
        <w:tc>
          <w:tcPr>
            <w:tcW w:w="3248" w:type="dxa"/>
            <w:vAlign w:val="top"/>
            <w:textDirection w:val="lrTb"/>
            <w:noWrap w:val="false"/>
          </w:tcPr>
          <w:p>
            <w:pPr>
              <w:pStyle w:val="1063"/>
              <w:numPr>
                <w:ilvl w:val="0"/>
                <w:numId w:val="0"/>
              </w:numPr>
              <w:jc w:val="both"/>
              <w:spacing w:line="360" w:lineRule="auto"/>
              <w:rPr>
                <w:rFonts w:hint="eastAsia"/>
                <w:sz w:val="24"/>
                <w:szCs w:val="24"/>
                <w:highlight w:val="none"/>
                <w:lang w:val="en-US" w:eastAsia="zh-CN"/>
              </w:rPr>
            </w:pPr>
            <w:r>
              <w:rPr>
                <w:rFonts w:hint="eastAsia" w:cs="Calibri"/>
                <w:sz w:val="24"/>
                <w:szCs w:val="24"/>
                <w:highlight w:val="none"/>
                <w:lang w:val="en-US" w:eastAsia="zh-CN" w:bidi="ar-SA"/>
              </w:rPr>
              <w:t xml:space="preserve">3.</w:t>
            </w:r>
            <w:r>
              <w:rPr>
                <w:rFonts w:hint="eastAsia" w:ascii="Calibri" w:hAnsi="Calibri" w:cs="Calibri"/>
                <w:sz w:val="24"/>
                <w:szCs w:val="24"/>
                <w:highlight w:val="none"/>
                <w:lang w:val="en-US" w:eastAsia="zh-CN" w:bidi="ar-SA"/>
              </w:rPr>
              <w:t xml:space="preserve">退费流程与机制</w:t>
            </w:r>
            <w:r>
              <w:rPr>
                <w:rFonts w:hint="eastAsia"/>
                <w:sz w:val="24"/>
                <w:szCs w:val="24"/>
                <w:highlight w:val="none"/>
                <w:lang w:val="en-US" w:eastAsia="zh-CN"/>
              </w:rPr>
              <w:t xml:space="preserve">：</w:t>
            </w:r>
            <w:r>
              <w:rPr>
                <w:rFonts w:hint="eastAsia"/>
                <w:sz w:val="24"/>
                <w:szCs w:val="24"/>
                <w:highlight w:val="none"/>
                <w:lang w:val="en-US" w:eastAsia="zh-CN"/>
              </w:rPr>
            </w:r>
            <w:r/>
          </w:p>
          <w:p>
            <w:pPr>
              <w:pStyle w:val="1063"/>
              <w:numPr>
                <w:ilvl w:val="0"/>
                <w:numId w:val="0"/>
              </w:numPr>
              <w:jc w:val="both"/>
              <w:spacing w:line="360" w:lineRule="auto"/>
              <w:rPr>
                <w:rFonts w:hint="eastAsia" w:eastAsia="宋体"/>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提供退</w:t>
            </w:r>
            <w:r>
              <w:rPr>
                <w:rFonts w:ascii="Segoe UI" w:hAnsi="Segoe UI" w:eastAsia="Segoe UI" w:cs="Segoe UI"/>
                <w:i w:val="0"/>
                <w:iCs w:val="0"/>
                <w:caps w:val="0"/>
                <w:color w:val="0f1115"/>
                <w:spacing w:val="0"/>
                <w:sz w:val="24"/>
                <w:szCs w:val="24"/>
                <w:highlight w:val="none"/>
                <w:shd w:val="clear" w:color="auto" w:fill="ffffff"/>
              </w:rPr>
              <w:t xml:space="preserve">费流程规范完整，退费条件、标准、申请流程、审批环节、办理时限等各要素齐全，办理路径清晰明确，能在一周内完成退费</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得5</w:t>
            </w:r>
            <w:r>
              <w:rPr>
                <w:rFonts w:ascii="Segoe UI" w:hAnsi="Segoe UI" w:eastAsia="Segoe UI" w:cs="Segoe UI"/>
                <w:i w:val="0"/>
                <w:iCs w:val="0"/>
                <w:caps w:val="0"/>
                <w:color w:val="0f1115"/>
                <w:spacing w:val="0"/>
                <w:sz w:val="24"/>
                <w:szCs w:val="24"/>
                <w:highlight w:val="none"/>
                <w:shd w:val="clear" w:color="auto" w:fill="ffffff"/>
              </w:rPr>
              <w:t xml:space="preserve">分</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hint="eastAsia" w:eastAsia="宋体"/>
                <w:sz w:val="24"/>
                <w:szCs w:val="24"/>
                <w:highlight w:val="none"/>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投标人</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提供</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退</w:t>
            </w:r>
            <w:r>
              <w:rPr>
                <w:rFonts w:ascii="Segoe UI" w:hAnsi="Segoe UI" w:eastAsia="Segoe UI" w:cs="Segoe UI"/>
                <w:i w:val="0"/>
                <w:iCs w:val="0"/>
                <w:caps w:val="0"/>
                <w:color w:val="0f1115"/>
                <w:spacing w:val="0"/>
                <w:sz w:val="24"/>
                <w:szCs w:val="24"/>
                <w:highlight w:val="none"/>
                <w:shd w:val="clear" w:color="auto" w:fill="ffffff"/>
              </w:rPr>
              <w:t xml:space="preserve">费流程</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基本</w:t>
            </w:r>
            <w:r>
              <w:rPr>
                <w:rFonts w:ascii="Segoe UI" w:hAnsi="Segoe UI" w:eastAsia="Segoe UI" w:cs="Segoe UI"/>
                <w:i w:val="0"/>
                <w:iCs w:val="0"/>
                <w:caps w:val="0"/>
                <w:color w:val="0f1115"/>
                <w:spacing w:val="0"/>
                <w:sz w:val="24"/>
                <w:szCs w:val="24"/>
                <w:highlight w:val="none"/>
                <w:shd w:val="clear" w:color="auto" w:fill="ffffff"/>
              </w:rPr>
              <w:t xml:space="preserve">完整</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审批环节</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有拖延</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办理时限等各要素</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有缺陷的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得3分；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numPr>
                <w:ilvl w:val="0"/>
                <w:numId w:val="0"/>
              </w:numPr>
              <w:jc w:val="both"/>
              <w:spacing w:line="360" w:lineRule="auto"/>
              <w:rPr>
                <w:rFonts w:hint="eastAsia" w:ascii="宋体" w:hAnsi="宋体" w:cs="宋体"/>
                <w:sz w:val="24"/>
                <w:szCs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投标人提供 </w:t>
            </w:r>
            <w:r>
              <w:rPr>
                <w:rFonts w:ascii="Segoe UI" w:hAnsi="Segoe UI" w:eastAsia="Segoe UI" w:cs="Segoe UI"/>
                <w:i w:val="0"/>
                <w:iCs w:val="0"/>
                <w:caps w:val="0"/>
                <w:color w:val="0f1115"/>
                <w:spacing w:val="0"/>
                <w:sz w:val="24"/>
                <w:szCs w:val="24"/>
                <w:highlight w:val="none"/>
                <w:shd w:val="clear" w:color="auto" w:fill="ffffff"/>
              </w:rPr>
              <w:t xml:space="preserve">退费流程不清晰，办理责任不明确</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得1分；未提供不得分。</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b w:val="0"/>
                <w:bCs/>
                <w:sz w:val="24"/>
                <w:szCs w:val="24"/>
                <w:highlight w:val="none"/>
              </w:rPr>
            </w:pPr>
            <w:r>
              <w:rPr>
                <w:rFonts w:hint="eastAsia" w:ascii="宋体" w:hAnsi="宋体" w:cs="宋体"/>
                <w:b w:val="0"/>
                <w:bCs/>
                <w:sz w:val="24"/>
                <w:szCs w:val="24"/>
                <w:highlight w:val="none"/>
              </w:rPr>
            </w:r>
            <w:r/>
          </w:p>
        </w:tc>
        <w:tc>
          <w:tcPr>
            <w:tcW w:w="3248" w:type="dxa"/>
            <w:vAlign w:val="top"/>
            <w:textDirection w:val="lrTb"/>
            <w:noWrap w:val="false"/>
          </w:tcPr>
          <w:p>
            <w:pPr>
              <w:pStyle w:val="1063"/>
              <w:numPr>
                <w:ilvl w:val="0"/>
                <w:numId w:val="4"/>
              </w:numPr>
              <w:jc w:val="both"/>
              <w:spacing w:line="360" w:lineRule="auto"/>
              <w:tabs>
                <w:tab w:val="left" w:pos="312" w:leader="none"/>
              </w:tabs>
              <w:rPr>
                <w:rFonts w:hint="eastAsia"/>
                <w:sz w:val="24"/>
                <w:szCs w:val="24"/>
                <w:highlight w:val="none"/>
                <w:lang w:val="en-US" w:eastAsia="zh-CN"/>
              </w:rPr>
            </w:pPr>
            <w:r>
              <w:rPr>
                <w:rFonts w:hint="eastAsia"/>
                <w:sz w:val="24"/>
                <w:szCs w:val="24"/>
                <w:highlight w:val="none"/>
                <w:lang w:val="en-US" w:eastAsia="zh-CN"/>
              </w:rPr>
              <w:t xml:space="preserve">毕业率保障措施和方案；</w:t>
            </w:r>
            <w:r>
              <w:rPr>
                <w:rFonts w:hint="eastAsia"/>
                <w:sz w:val="24"/>
                <w:szCs w:val="24"/>
                <w:highlight w:val="none"/>
                <w:lang w:val="en-US" w:eastAsia="zh-CN"/>
              </w:rPr>
            </w:r>
            <w:r/>
          </w:p>
          <w:p>
            <w:pPr>
              <w:pStyle w:val="1063"/>
              <w:numPr>
                <w:ilvl w:val="0"/>
                <w:numId w:val="0"/>
              </w:numPr>
              <w:jc w:val="both"/>
              <w:spacing w:line="360" w:lineRule="auto"/>
              <w:rPr>
                <w:rFonts w:eastAsia="宋体"/>
                <w:sz w:val="24"/>
                <w:szCs w:val="24"/>
                <w:highlight w:val="none"/>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保障措施系统完整，涵盖课程学习支持、免考办理、实践考核、毕业论文指导、学位申请等全流程保障环节，有分类指导方案和跟踪帮扶机制</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得5分；</w:t>
            </w:r>
            <w:r>
              <w:rPr>
                <w:rFonts w:eastAsia="宋体"/>
                <w:sz w:val="24"/>
                <w:szCs w:val="24"/>
                <w:highlight w:val="none"/>
                <w:lang w:val="en-US" w:eastAsia="zh-CN"/>
              </w:rPr>
            </w:r>
            <w:r/>
          </w:p>
          <w:p>
            <w:pPr>
              <w:pStyle w:val="1063"/>
              <w:numPr>
                <w:ilvl w:val="0"/>
                <w:numId w:val="0"/>
              </w:numPr>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保障措施系统</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基本</w:t>
            </w:r>
            <w:r>
              <w:rPr>
                <w:rFonts w:ascii="Segoe UI" w:hAnsi="Segoe UI" w:eastAsia="Segoe UI" w:cs="Segoe UI"/>
                <w:i w:val="0"/>
                <w:iCs w:val="0"/>
                <w:caps w:val="0"/>
                <w:color w:val="0f1115"/>
                <w:spacing w:val="0"/>
                <w:sz w:val="24"/>
                <w:szCs w:val="24"/>
                <w:highlight w:val="none"/>
                <w:shd w:val="clear" w:color="auto" w:fill="ffffff"/>
              </w:rPr>
              <w:t xml:space="preserve">完整，能涵盖主要保障环节</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，有基本的指导方案</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的，得3分；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numPr>
                <w:ilvl w:val="0"/>
                <w:numId w:val="0"/>
              </w:numPr>
              <w:jc w:val="both"/>
              <w:spacing w:line="360" w:lineRule="auto"/>
              <w:rPr>
                <w:rFonts w:hint="eastAsia" w:ascii="宋体" w:hAnsi="宋体" w:cs="宋体"/>
                <w:sz w:val="24"/>
                <w:szCs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保障措施不完整，主要环节缺失或方案内容空泛</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得1分；未提供不得分。</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5分</w:t>
            </w:r>
            <w:r>
              <w:rPr>
                <w:rFonts w:hint="eastAsia" w:ascii="宋体" w:hAnsi="宋体" w:cs="宋体"/>
                <w:bCs/>
                <w:sz w:val="24"/>
                <w:szCs w:val="24"/>
                <w:highlight w:val="none"/>
              </w:rPr>
            </w:r>
            <w:r/>
          </w:p>
        </w:tc>
      </w:tr>
      <w:tr>
        <w:trPr/>
        <w:tc>
          <w:tcPr>
            <w:tcW w:w="233"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gridSpan w:val="2"/>
            <w:tcW w:w="2207" w:type="dxa"/>
            <w:vAlign w:val="center"/>
            <w:vMerge w:val="continue"/>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W w:w="3248" w:type="dxa"/>
            <w:vAlign w:val="top"/>
            <w:textDirection w:val="lrTb"/>
            <w:noWrap w:val="false"/>
          </w:tcPr>
          <w:p>
            <w:pPr>
              <w:pStyle w:val="1063"/>
              <w:jc w:val="both"/>
              <w:spacing w:line="360" w:lineRule="auto"/>
              <w:rPr>
                <w:rFonts w:hint="eastAsia"/>
                <w:sz w:val="24"/>
                <w:szCs w:val="24"/>
                <w:highlight w:val="none"/>
              </w:rPr>
            </w:pPr>
            <w:r>
              <w:rPr>
                <w:rFonts w:hint="eastAsia"/>
                <w:sz w:val="24"/>
                <w:szCs w:val="24"/>
                <w:highlight w:val="none"/>
                <w:lang w:val="en-US" w:eastAsia="zh-CN"/>
              </w:rPr>
              <w:t xml:space="preserve">5</w:t>
            </w:r>
            <w:r>
              <w:rPr>
                <w:rFonts w:hint="eastAsia"/>
                <w:sz w:val="24"/>
                <w:szCs w:val="24"/>
                <w:highlight w:val="none"/>
              </w:rPr>
              <w:t xml:space="preserve">.</w:t>
            </w:r>
            <w:r>
              <w:rPr>
                <w:rFonts w:hint="eastAsia"/>
                <w:sz w:val="24"/>
                <w:szCs w:val="24"/>
                <w:highlight w:val="none"/>
                <w:lang w:val="en-US" w:eastAsia="zh-CN"/>
              </w:rPr>
              <w:t xml:space="preserve">档案管理与数据安全保障</w:t>
            </w:r>
            <w:r>
              <w:rPr>
                <w:rFonts w:hint="eastAsia"/>
                <w:sz w:val="24"/>
                <w:szCs w:val="24"/>
                <w:highlight w:val="none"/>
              </w:rPr>
              <w:t xml:space="preserve">：</w:t>
            </w:r>
            <w:r>
              <w:rPr>
                <w:rFonts w:hint="eastAsia"/>
                <w:sz w:val="24"/>
                <w:szCs w:val="24"/>
                <w:highlight w:val="none"/>
              </w:rPr>
            </w:r>
            <w:r/>
          </w:p>
          <w:p>
            <w:pPr>
              <w:pStyle w:val="1063"/>
              <w:ind w:firstLine="0"/>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档案管理机制健全，分类清晰，教务</w:t>
            </w:r>
            <w:r>
              <w:rPr>
                <w:rFonts w:hint="eastAsia" w:ascii="Segoe UI" w:hAnsi="Segoe UI" w:eastAsia="宋体" w:cs="Segoe UI"/>
                <w:i w:val="0"/>
                <w:iCs w:val="0"/>
                <w:caps w:val="0"/>
                <w:color w:val="0f1115"/>
                <w:spacing w:val="0"/>
                <w:sz w:val="24"/>
                <w:szCs w:val="24"/>
                <w:highlight w:val="none"/>
                <w:shd w:val="clear" w:color="auto" w:fill="ffffff"/>
                <w:lang w:eastAsia="zh-CN"/>
              </w:rPr>
              <w:t xml:space="preserve">、</w:t>
            </w:r>
            <w:r>
              <w:rPr>
                <w:rFonts w:ascii="Segoe UI" w:hAnsi="Segoe UI" w:eastAsia="Segoe UI" w:cs="Segoe UI"/>
                <w:i w:val="0"/>
                <w:iCs w:val="0"/>
                <w:caps w:val="0"/>
                <w:color w:val="0f1115"/>
                <w:spacing w:val="0"/>
                <w:sz w:val="24"/>
                <w:szCs w:val="24"/>
                <w:highlight w:val="none"/>
                <w:shd w:val="clear" w:color="auto" w:fill="ffffff"/>
              </w:rPr>
              <w:t xml:space="preserve">考务、学生管理档案齐全、归档规范，有明确的管理制度和移交流程；数据安全保障措施完善，涵盖数据分类分级管理、存储备份、权限管控、加密传输、保密协议签署，能有效防止数据丢失、泄露</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的，得5分；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ind w:firstLine="0"/>
              <w:jc w:val="both"/>
              <w:spacing w:line="360" w:lineRule="auto"/>
              <w:rPr>
                <w:rFonts w:hint="eastAsia" w:ascii="Segoe UI" w:hAnsi="Segoe UI" w:eastAsia="宋体" w:cs="Segoe UI"/>
                <w:i w:val="0"/>
                <w:iCs w:val="0"/>
                <w:caps w:val="0"/>
                <w:color w:val="0f1115"/>
                <w:spacing w:val="0"/>
                <w:sz w:val="24"/>
                <w:szCs w:val="24"/>
                <w:highlight w:val="none"/>
                <w:shd w:val="clear" w:color="auto" w:fill="ffffff"/>
                <w:lang w:val="en-US" w:eastAsia="zh-CN"/>
              </w:rPr>
            </w:pPr>
            <w:r>
              <w:rPr>
                <w:rFonts w:ascii="Segoe UI" w:hAnsi="Segoe UI" w:eastAsia="Segoe UI" w:cs="Segoe UI"/>
                <w:i w:val="0"/>
                <w:iCs w:val="0"/>
                <w:caps w:val="0"/>
                <w:color w:val="0f1115"/>
                <w:spacing w:val="0"/>
                <w:sz w:val="24"/>
                <w:szCs w:val="24"/>
                <w:highlight w:val="none"/>
                <w:shd w:val="clear" w:color="auto" w:fill="ffffff"/>
              </w:rPr>
              <w:t xml:space="preserve">档案管理制度和基本分类归档流程</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不完善</w:t>
            </w:r>
            <w:r>
              <w:rPr>
                <w:rFonts w:ascii="Segoe UI" w:hAnsi="Segoe UI" w:eastAsia="Segoe UI" w:cs="Segoe UI"/>
                <w:i w:val="0"/>
                <w:iCs w:val="0"/>
                <w:caps w:val="0"/>
                <w:color w:val="0f1115"/>
                <w:spacing w:val="0"/>
                <w:sz w:val="24"/>
                <w:szCs w:val="24"/>
                <w:highlight w:val="none"/>
                <w:shd w:val="clear" w:color="auto" w:fill="ffffff"/>
              </w:rPr>
              <w:t xml:space="preserve">，教务、考务、学生管理档案能基本齐全，有基本数据安全保护措施</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的，得3分；</w:t>
            </w:r>
            <w:r>
              <w:rPr>
                <w:rFonts w:hint="eastAsia" w:ascii="Segoe UI" w:hAnsi="Segoe UI" w:eastAsia="宋体" w:cs="Segoe UI"/>
                <w:i w:val="0"/>
                <w:iCs w:val="0"/>
                <w:caps w:val="0"/>
                <w:color w:val="0f1115"/>
                <w:spacing w:val="0"/>
                <w:sz w:val="24"/>
                <w:szCs w:val="24"/>
                <w:highlight w:val="none"/>
                <w:shd w:val="clear" w:color="auto" w:fill="ffffff"/>
                <w:lang w:val="en-US" w:eastAsia="zh-CN"/>
              </w:rPr>
            </w:r>
            <w:r/>
          </w:p>
          <w:p>
            <w:pPr>
              <w:pStyle w:val="1063"/>
              <w:ind w:firstLine="0"/>
              <w:jc w:val="both"/>
              <w:spacing w:line="360" w:lineRule="auto"/>
              <w:rPr>
                <w:rFonts w:hint="eastAsia" w:ascii="宋体" w:hAnsi="宋体" w:cs="宋体"/>
                <w:sz w:val="24"/>
                <w:szCs w:val="24"/>
                <w:highlight w:val="none"/>
              </w:rPr>
            </w:pPr>
            <w:r>
              <w:rPr>
                <w:rFonts w:ascii="Segoe UI" w:hAnsi="Segoe UI" w:eastAsia="Segoe UI" w:cs="Segoe UI"/>
                <w:i w:val="0"/>
                <w:iCs w:val="0"/>
                <w:caps w:val="0"/>
                <w:color w:val="0f1115"/>
                <w:spacing w:val="0"/>
                <w:sz w:val="24"/>
                <w:szCs w:val="24"/>
                <w:highlight w:val="none"/>
                <w:shd w:val="clear" w:color="auto" w:fill="ffffff"/>
              </w:rPr>
              <w:t xml:space="preserve">档案管理制度缺失或分类混乱，教务、考务、学生管理档案严重缺项，数据安全措施缺失或无法有效保障</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的</w:t>
            </w:r>
            <w:r>
              <w:rPr>
                <w:rFonts w:ascii="Segoe UI" w:hAnsi="Segoe UI" w:eastAsia="Segoe UI" w:cs="Segoe UI"/>
                <w:i w:val="0"/>
                <w:iCs w:val="0"/>
                <w:caps w:val="0"/>
                <w:color w:val="0f1115"/>
                <w:spacing w:val="0"/>
                <w:sz w:val="24"/>
                <w:szCs w:val="24"/>
                <w:highlight w:val="none"/>
                <w:shd w:val="clear" w:color="auto" w:fill="ffffff"/>
              </w:rPr>
              <w:t xml:space="preserve">，</w:t>
            </w:r>
            <w:r>
              <w:rPr>
                <w:rFonts w:hint="eastAsia" w:ascii="Segoe UI" w:hAnsi="Segoe UI" w:eastAsia="宋体" w:cs="Segoe UI"/>
                <w:i w:val="0"/>
                <w:iCs w:val="0"/>
                <w:caps w:val="0"/>
                <w:color w:val="0f1115"/>
                <w:spacing w:val="0"/>
                <w:sz w:val="24"/>
                <w:szCs w:val="24"/>
                <w:highlight w:val="none"/>
                <w:shd w:val="clear" w:color="auto" w:fill="ffffff"/>
                <w:lang w:val="en-US" w:eastAsia="zh-CN"/>
              </w:rPr>
              <w:t xml:space="preserve">得1分；未提供不得分。</w:t>
            </w:r>
            <w:r>
              <w:rPr>
                <w:rFonts w:hint="eastAsia" w:ascii="宋体" w:hAnsi="宋体" w:cs="宋体"/>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Cs/>
                <w:sz w:val="24"/>
                <w:szCs w:val="24"/>
                <w:highlight w:val="none"/>
              </w:rPr>
            </w:pPr>
            <w:r>
              <w:rPr>
                <w:rFonts w:hint="eastAsia"/>
                <w:sz w:val="24"/>
                <w:szCs w:val="24"/>
                <w:highlight w:val="none"/>
                <w:lang w:val="en-US" w:eastAsia="zh-CN"/>
              </w:rPr>
              <w:t xml:space="preserve">5分</w:t>
            </w:r>
            <w:r>
              <w:rPr>
                <w:rFonts w:hint="eastAsia" w:ascii="宋体" w:hAnsi="宋体" w:cs="宋体"/>
                <w:bCs/>
                <w:sz w:val="24"/>
                <w:szCs w:val="24"/>
                <w:highlight w:val="none"/>
              </w:rPr>
            </w:r>
            <w:r/>
          </w:p>
        </w:tc>
      </w:tr>
      <w:tr>
        <w:trPr>
          <w:trHeight w:val="628"/>
        </w:trPr>
        <w:tc>
          <w:tcPr>
            <w:gridSpan w:val="4"/>
            <w:tcW w:w="9035" w:type="dxa"/>
            <w:vAlign w:val="center"/>
            <w:textDirection w:val="lrTb"/>
            <w:noWrap w:val="false"/>
          </w:tcPr>
          <w:p>
            <w:pPr>
              <w:pStyle w:val="1063"/>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t xml:space="preserve">总分</w:t>
            </w:r>
            <w:r>
              <w:rPr>
                <w:rFonts w:hint="eastAsia" w:ascii="宋体" w:hAnsi="宋体" w:cs="宋体"/>
                <w:b/>
                <w:bCs/>
                <w:sz w:val="24"/>
                <w:szCs w:val="24"/>
                <w:highlight w:val="none"/>
              </w:rPr>
            </w:r>
            <w:r/>
          </w:p>
        </w:tc>
        <w:tc>
          <w:tcPr>
            <w:tcW w:w="391" w:type="dxa"/>
            <w:vAlign w:val="center"/>
            <w:textDirection w:val="lrTb"/>
            <w:noWrap w:val="false"/>
          </w:tcPr>
          <w:p>
            <w:pPr>
              <w:pStyle w:val="1063"/>
              <w:jc w:val="center"/>
              <w:spacing w:line="360" w:lineRule="auto"/>
              <w:rPr>
                <w:rFonts w:hint="eastAsia" w:ascii="宋体" w:hAnsi="宋体" w:cs="宋体"/>
                <w:b/>
                <w:bCs/>
                <w:sz w:val="24"/>
                <w:szCs w:val="24"/>
                <w:highlight w:val="none"/>
              </w:rPr>
            </w:pPr>
            <w:r>
              <w:rPr>
                <w:rFonts w:hint="eastAsia" w:ascii="宋体" w:hAnsi="宋体" w:cs="宋体"/>
                <w:sz w:val="24"/>
                <w:szCs w:val="24"/>
                <w:highlight w:val="none"/>
              </w:rPr>
              <w:t xml:space="preserve">100</w:t>
            </w:r>
            <w:r>
              <w:rPr>
                <w:rFonts w:hint="eastAsia" w:ascii="宋体" w:hAnsi="宋体" w:cs="宋体"/>
                <w:b/>
                <w:bCs/>
                <w:sz w:val="24"/>
                <w:szCs w:val="24"/>
                <w:highlight w:val="none"/>
              </w:rPr>
            </w:r>
            <w:r/>
          </w:p>
        </w:tc>
      </w:tr>
    </w:tbl>
    <w:p>
      <w:pPr>
        <w:pStyle w:val="1063"/>
        <w:ind w:firstLine="422"/>
        <w:spacing w:line="312" w:lineRule="auto"/>
        <w:rPr>
          <w:rFonts w:hint="eastAsia" w:ascii="宋体" w:hAnsi="宋体" w:cs="宋体"/>
          <w:b/>
          <w:bCs/>
          <w:highlight w:val="none"/>
        </w:rPr>
      </w:pPr>
      <w:r/>
      <w:bookmarkStart w:id="90" w:name="_Hlk106727412"/>
      <w:r/>
      <w:bookmarkStart w:id="91" w:name="_Toc32487"/>
      <w:r>
        <w:rPr>
          <w:rFonts w:hint="eastAsia" w:ascii="宋体" w:hAnsi="宋体" w:cs="宋体"/>
          <w:b/>
          <w:bCs/>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90"/>
      <w:r>
        <w:rPr>
          <w:rFonts w:hint="eastAsia" w:ascii="宋体" w:hAnsi="宋体" w:cs="宋体"/>
          <w:b/>
          <w:bCs/>
          <w:highlight w:val="none"/>
        </w:rPr>
      </w:r>
      <w:r/>
    </w:p>
    <w:p>
      <w:pPr>
        <w:pStyle w:val="1063"/>
        <w:ind w:firstLine="422"/>
        <w:spacing w:line="312" w:lineRule="auto"/>
        <w:rPr>
          <w:rFonts w:hint="eastAsia" w:ascii="宋体" w:hAnsi="宋体" w:cs="宋体"/>
          <w:b/>
          <w:bCs/>
          <w:highlight w:val="none"/>
        </w:rPr>
      </w:pPr>
      <w:r>
        <w:rPr>
          <w:rFonts w:hint="eastAsia" w:ascii="宋体" w:hAnsi="宋体" w:cs="宋体"/>
          <w:b/>
          <w:bCs/>
          <w:highlight w:val="none"/>
        </w:rPr>
        <w:t xml:space="preserve">说明：</w:t>
      </w:r>
      <w:r>
        <w:rPr>
          <w:rFonts w:hint="eastAsia" w:ascii="宋体" w:hAnsi="宋体" w:cs="宋体"/>
          <w:b/>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供应商提供的货物、工程或者服务符合下列情形的，享受本办法规定的中小企业扶持政策：</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（1）在货物采购项目中，货物由中小企业制造，即货物由中小企业生产且使用该中小企业商号或者注册商标；</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（2）在工程采购项目中，工程由中小企业承建，即工程施工单位为中小企业；</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在货物采购项目中，供应商提供的货物既有中小企业制造货物，也有大型企业制造货物的，不享受本办法规定的中小企业扶持政策。</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bCs/>
          <w:highlight w:val="none"/>
        </w:rPr>
      </w:pPr>
      <w:r>
        <w:rPr>
          <w:rFonts w:hint="eastAsia" w:ascii="宋体" w:hAnsi="宋体" w:cs="宋体"/>
          <w:bCs/>
          <w:highlight w:val="none"/>
        </w:rPr>
        <w:t xml:space="preserve">（四）采购本国产品的支持政策</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（1）政府采购活动中既有本国产品又有非本国产品参与竞争的，依法对本国产品给予价格评审优惠，对本国产品的报价给予20%的价格扣除，用扣除后的价格参与评审。</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highlight w:val="none"/>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highlight w:val="none"/>
        </w:rPr>
      </w:r>
      <w:r/>
    </w:p>
    <w:p>
      <w:pPr>
        <w:pStyle w:val="1063"/>
        <w:ind w:firstLine="420"/>
        <w:spacing w:line="312" w:lineRule="auto"/>
        <w:rPr>
          <w:rFonts w:hint="eastAsia" w:ascii="宋体" w:hAnsi="宋体" w:cs="宋体"/>
          <w:bCs/>
          <w:highlight w:val="none"/>
        </w:rPr>
      </w:pPr>
      <w:r>
        <w:rPr>
          <w:rFonts w:hint="eastAsia" w:ascii="宋体" w:hAnsi="宋体" w:cs="宋体"/>
          <w:bCs/>
          <w:highlight w:val="none"/>
        </w:rPr>
        <w:t xml:space="preserve">（五）异常低价审查</w:t>
      </w:r>
      <w:r>
        <w:rPr>
          <w:rFonts w:hint="eastAsia" w:ascii="宋体" w:hAnsi="宋体" w:cs="宋体"/>
          <w:bCs/>
          <w:highlight w:val="none"/>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lang w:val="zh-CN"/>
        </w:rPr>
        <w:t xml:space="preserve">评审过程中出现下列情形之一的，评标委员会应当启动异常低价投标审查程序:</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（1）</w:t>
      </w:r>
      <w:r>
        <w:rPr>
          <w:rFonts w:hint="eastAsia" w:ascii="宋体" w:hAnsi="宋体" w:cs="宋体"/>
          <w:highlight w:val="none"/>
          <w:lang w:val="zh-CN"/>
        </w:rPr>
        <w:t xml:space="preserve">报价低于全部通过符合性审查</w:t>
      </w:r>
      <w:r>
        <w:rPr>
          <w:rFonts w:hint="eastAsia" w:ascii="宋体" w:hAnsi="宋体" w:cs="宋体"/>
          <w:highlight w:val="none"/>
        </w:rPr>
        <w:t xml:space="preserve">投标人</w:t>
      </w:r>
      <w:r>
        <w:rPr>
          <w:rFonts w:hint="eastAsia" w:ascii="宋体" w:hAnsi="宋体" w:cs="宋体"/>
          <w:highlight w:val="none"/>
          <w:lang w:val="zh-CN"/>
        </w:rPr>
        <w:t xml:space="preserve">投标（响应）报价平均值50%的，即投标（响应）报价&lt;全部通过符合性审查</w:t>
      </w:r>
      <w:r>
        <w:rPr>
          <w:rFonts w:hint="eastAsia" w:ascii="宋体" w:hAnsi="宋体" w:cs="宋体"/>
          <w:highlight w:val="none"/>
        </w:rPr>
        <w:t xml:space="preserve">投标人</w:t>
      </w:r>
      <w:r>
        <w:rPr>
          <w:rFonts w:hint="eastAsia" w:ascii="宋体" w:hAnsi="宋体" w:cs="宋体"/>
          <w:highlight w:val="none"/>
          <w:lang w:val="zh-CN"/>
        </w:rPr>
        <w:t xml:space="preserve">投标（响应）报价平均值×50%；</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（2）</w:t>
      </w:r>
      <w:r>
        <w:rPr>
          <w:rFonts w:hint="eastAsia" w:ascii="宋体" w:hAnsi="宋体" w:cs="宋体"/>
          <w:highlight w:val="none"/>
          <w:lang w:val="zh-CN"/>
        </w:rPr>
        <w:t xml:space="preserve">报价低于通过符合性审查的次低报价供应商投标（响应）报价50%的，即投标（响应）报价&lt;通过符合性审查的次低报价供应商投标（响应）报价×50%；</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lang w:val="zh-CN"/>
        </w:rPr>
      </w:pPr>
      <w:r>
        <w:rPr>
          <w:rFonts w:hint="eastAsia" w:ascii="宋体" w:hAnsi="宋体" w:cs="宋体"/>
          <w:highlight w:val="none"/>
        </w:rPr>
        <w:t xml:space="preserve">（3）</w:t>
      </w:r>
      <w:r>
        <w:rPr>
          <w:rFonts w:hint="eastAsia" w:ascii="宋体" w:hAnsi="宋体" w:cs="宋体"/>
          <w:highlight w:val="none"/>
          <w:lang w:val="zh-CN"/>
        </w:rPr>
        <w:t xml:space="preserve">报价低于采购项目最高限价45%的，即投标（响应）报价&lt;采购项目最高限价×45%；</w:t>
      </w:r>
      <w:r>
        <w:rPr>
          <w:rFonts w:hint="eastAsia" w:ascii="宋体" w:hAnsi="宋体" w:cs="宋体"/>
          <w:highlight w:val="none"/>
          <w:lang w:val="zh-CN"/>
        </w:rPr>
      </w:r>
      <w:r/>
    </w:p>
    <w:p>
      <w:pPr>
        <w:pStyle w:val="1063"/>
        <w:ind w:firstLine="420"/>
        <w:spacing w:line="312" w:lineRule="auto"/>
        <w:tabs>
          <w:tab w:val="left" w:pos="1080" w:leader="none"/>
          <w:tab w:val="left" w:pos="1589" w:leader="none"/>
        </w:tabs>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lang w:val="zh-CN"/>
        </w:rPr>
        <w:t xml:space="preserve">评审委员会基于专业判断，认为</w:t>
      </w:r>
      <w:r>
        <w:rPr>
          <w:rFonts w:hint="eastAsia" w:ascii="宋体" w:hAnsi="宋体" w:cs="宋体"/>
          <w:highlight w:val="none"/>
        </w:rPr>
        <w:t xml:space="preserve">投标人</w:t>
      </w:r>
      <w:r>
        <w:rPr>
          <w:rFonts w:hint="eastAsia" w:ascii="宋体" w:hAnsi="宋体" w:cs="宋体"/>
          <w:highlight w:val="none"/>
          <w:lang w:val="zh-CN"/>
        </w:rPr>
        <w:t xml:space="preserve">报价过低，有可能影响产品质量或者不能诚信履约的其他情形。针对异常低价，</w:t>
      </w:r>
      <w:r>
        <w:rPr>
          <w:rFonts w:hint="eastAsia" w:ascii="宋体" w:hAnsi="宋体" w:cs="宋体"/>
          <w:highlight w:val="none"/>
        </w:rPr>
        <w:t xml:space="preserve">投标人需</w:t>
      </w:r>
      <w:r>
        <w:rPr>
          <w:rFonts w:hint="eastAsia" w:ascii="宋体" w:hAnsi="宋体" w:cs="宋体"/>
          <w:highlight w:val="none"/>
          <w:lang w:val="zh-CN"/>
        </w:rPr>
        <w:t xml:space="preserve">提供项目具体成本测算等与报价合理性相关的书面说明及必要的证明材料，包括但不限于原材料成本、人工成本、制造费用等证明材料。不能提供书面说明、证明材料，或者提供的书面说明、证明材料不能证明其报价合理性的，评审委员会应当将其作为无效投标（响应）处理。</w:t>
      </w:r>
      <w:r>
        <w:rPr>
          <w:rFonts w:hint="eastAsia" w:ascii="宋体" w:hAnsi="宋体" w:cs="宋体"/>
          <w:highlight w:val="none"/>
        </w:rPr>
      </w:r>
      <w:r/>
    </w:p>
    <w:p>
      <w:pPr>
        <w:pStyle w:val="1063"/>
        <w:ind w:firstLine="420"/>
        <w:spacing w:line="360" w:lineRule="auto"/>
        <w:rPr>
          <w:rFonts w:ascii="宋体" w:hAnsi="宋体" w:cs="宋体"/>
          <w:bCs/>
          <w:highlight w:val="none"/>
        </w:rPr>
        <w:sectPr>
          <w:footerReference w:type="default" r:id="rId19"/>
          <w:footnotePr/>
          <w:endnotePr/>
          <w:type w:val="nextPage"/>
          <w:pgSz w:w="11906" w:h="16838" w:orient="portrait"/>
          <w:pgMar w:top="1253" w:right="1253" w:bottom="1253" w:left="1253" w:header="851" w:footer="992" w:gutter="0"/>
          <w:cols w:num="1" w:sep="0" w:space="1701" w:equalWidth="1"/>
          <w:docGrid w:linePitch="360"/>
        </w:sectPr>
      </w:pPr>
      <w:r>
        <w:rPr>
          <w:rFonts w:ascii="宋体" w:hAnsi="宋体" w:cs="宋体"/>
          <w:bCs/>
          <w:highlight w:val="none"/>
        </w:rPr>
      </w:r>
      <w:r/>
    </w:p>
    <w:p>
      <w:pPr>
        <w:pStyle w:val="1122"/>
        <w:pageBreakBefore/>
        <w:spacing w:after="319" w:line="360" w:lineRule="auto"/>
        <w:widowControl w:val="off"/>
        <w:rPr>
          <w:rStyle w:val="1098"/>
          <w:rFonts w:hint="eastAsia" w:ascii="宋体" w:hAnsi="宋体" w:eastAsia="宋体" w:cs="宋体"/>
          <w:sz w:val="40"/>
          <w:szCs w:val="40"/>
          <w:highlight w:val="none"/>
        </w:rPr>
      </w:pPr>
      <w:r/>
      <w:bookmarkStart w:id="92" w:name="_Toc7926"/>
      <w:r/>
      <w:bookmarkStart w:id="93" w:name="_Toc21279"/>
      <w:r/>
      <w:bookmarkStart w:id="94" w:name="_Toc32227"/>
      <w:r/>
      <w:bookmarkStart w:id="95" w:name="_Toc23386"/>
      <w:r/>
      <w:bookmarkStart w:id="96" w:name="_Toc2670"/>
      <w:r/>
      <w:bookmarkStart w:id="97" w:name="_Toc24020"/>
      <w:r/>
      <w:bookmarkStart w:id="98" w:name="_Toc26517"/>
      <w:r/>
      <w:bookmarkStart w:id="99" w:name="_Toc2887"/>
      <w:r/>
      <w:bookmarkStart w:id="100" w:name="_Toc4162"/>
      <w:r/>
      <w:bookmarkStart w:id="101" w:name="_Toc3075"/>
      <w:r/>
      <w:bookmarkStart w:id="102" w:name="_Toc1249"/>
      <w:r/>
      <w:bookmarkStart w:id="103" w:name="_Toc17689"/>
      <w:r/>
      <w:bookmarkStart w:id="104" w:name="_Toc22895"/>
      <w:r/>
      <w:bookmarkStart w:id="105" w:name="_Toc8148"/>
      <w:r>
        <w:rPr>
          <w:rStyle w:val="1098"/>
          <w:rFonts w:hint="eastAsia" w:ascii="宋体" w:hAnsi="宋体" w:eastAsia="宋体" w:cs="宋体"/>
          <w:sz w:val="40"/>
          <w:szCs w:val="40"/>
          <w:highlight w:val="none"/>
        </w:rPr>
        <w:t xml:space="preserve">第六章  投标文件格式</w:t>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rPr>
          <w:rStyle w:val="1098"/>
          <w:rFonts w:hint="eastAsia" w:ascii="宋体" w:hAnsi="宋体" w:eastAsia="宋体" w:cs="宋体"/>
          <w:sz w:val="40"/>
          <w:szCs w:val="40"/>
          <w:highlight w:val="none"/>
        </w:rPr>
      </w:r>
      <w:r/>
    </w:p>
    <w:p>
      <w:pPr>
        <w:pStyle w:val="1063"/>
        <w:ind w:firstLine="1928"/>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r>
      <w:r/>
    </w:p>
    <w:p>
      <w:pPr>
        <w:pStyle w:val="1063"/>
        <w:ind w:firstLine="1928"/>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r>
      <w:r/>
    </w:p>
    <w:p>
      <w:pPr>
        <w:pStyle w:val="1063"/>
        <w:jc w:val="center"/>
        <w:spacing w:line="360" w:lineRule="auto"/>
        <w:rPr>
          <w:rFonts w:hint="eastAsia" w:ascii="宋体" w:hAnsi="宋体" w:cs="宋体"/>
          <w:b/>
          <w:bCs/>
          <w:sz w:val="96"/>
          <w:szCs w:val="96"/>
          <w:highlight w:val="none"/>
        </w:rPr>
      </w:pPr>
      <w:r>
        <w:rPr>
          <w:rFonts w:hint="eastAsia" w:ascii="宋体" w:hAnsi="宋体" w:cs="宋体"/>
          <w:b/>
          <w:bCs/>
          <w:sz w:val="96"/>
          <w:szCs w:val="96"/>
          <w:highlight w:val="none"/>
        </w:rPr>
        <w:t xml:space="preserve">投 标 文 件</w:t>
      </w:r>
      <w:r>
        <w:rPr>
          <w:rFonts w:hint="eastAsia" w:ascii="宋体" w:hAnsi="宋体" w:cs="宋体"/>
          <w:b/>
          <w:bCs/>
          <w:sz w:val="96"/>
          <w:szCs w:val="96"/>
          <w:highlight w:val="none"/>
        </w:rPr>
      </w:r>
      <w:r/>
    </w:p>
    <w:p>
      <w:pPr>
        <w:pStyle w:val="1063"/>
        <w:ind w:firstLine="1446"/>
        <w:spacing w:line="360" w:lineRule="auto"/>
        <w:rPr>
          <w:rFonts w:hint="eastAsia" w:ascii="宋体" w:hAnsi="宋体" w:cs="宋体"/>
          <w:b/>
          <w:bCs/>
          <w:sz w:val="72"/>
          <w:szCs w:val="72"/>
          <w:highlight w:val="none"/>
        </w:rPr>
      </w:pPr>
      <w:r>
        <w:rPr>
          <w:rFonts w:hint="eastAsia" w:ascii="宋体" w:hAnsi="宋体" w:cs="宋体"/>
          <w:b/>
          <w:bCs/>
          <w:sz w:val="72"/>
          <w:szCs w:val="72"/>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063"/>
        <w:ind w:firstLine="723"/>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p>
    <w:p>
      <w:pPr>
        <w:pStyle w:val="1118"/>
        <w:ind w:firstLine="420"/>
        <w:spacing w:line="360" w:lineRule="auto"/>
        <w:rPr>
          <w:rFonts w:hint="eastAsia" w:ascii="宋体" w:hAnsi="宋体" w:cs="宋体"/>
          <w:highlight w:val="none"/>
        </w:rPr>
      </w:pPr>
      <w:r>
        <w:rPr>
          <w:rFonts w:hint="eastAsia" w:ascii="宋体" w:hAnsi="宋体" w:cs="宋体"/>
          <w:highlight w:val="none"/>
        </w:rPr>
      </w:r>
      <w:r/>
    </w:p>
    <w:p>
      <w:pPr>
        <w:pStyle w:val="1063"/>
        <w:ind w:firstLine="1084"/>
        <w:spacing w:line="360" w:lineRule="auto"/>
        <w:rPr>
          <w:rFonts w:ascii="宋体" w:hAnsi="宋体"/>
          <w:b/>
          <w:color w:val="000000"/>
          <w:sz w:val="36"/>
          <w:highlight w:val="none"/>
        </w:rPr>
      </w:pPr>
      <w:r>
        <w:rPr>
          <w:rFonts w:hint="eastAsia" w:ascii="宋体" w:hAnsi="宋体"/>
          <w:b/>
          <w:color w:val="000000"/>
          <w:sz w:val="36"/>
          <w:highlight w:val="none"/>
        </w:rPr>
        <w:t xml:space="preserve">项 目 名 称：</w:t>
      </w:r>
      <w:r>
        <w:rPr>
          <w:rFonts w:ascii="宋体" w:hAnsi="宋体"/>
          <w:b/>
          <w:color w:val="000000"/>
          <w:sz w:val="36"/>
          <w:highlight w:val="none"/>
        </w:rPr>
      </w:r>
      <w:r/>
    </w:p>
    <w:p>
      <w:pPr>
        <w:pStyle w:val="1063"/>
        <w:ind w:firstLine="1084"/>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ascii="宋体" w:hAnsi="宋体"/>
          <w:b/>
          <w:color w:val="000000"/>
          <w:sz w:val="36"/>
          <w:highlight w:val="none"/>
          <w:u w:val="single"/>
        </w:rPr>
      </w:r>
      <w:r/>
    </w:p>
    <w:p>
      <w:pPr>
        <w:pStyle w:val="1063"/>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（加盖CA电子公章）</w:t>
      </w:r>
      <w:r>
        <w:rPr>
          <w:rFonts w:ascii="宋体" w:hAnsi="宋体"/>
          <w:b/>
          <w:color w:val="000000"/>
          <w:sz w:val="36"/>
          <w:highlight w:val="none"/>
          <w:u w:val="single"/>
        </w:rPr>
      </w:r>
      <w:r/>
    </w:p>
    <w:p>
      <w:pPr>
        <w:pStyle w:val="1063"/>
        <w:spacing w:line="360" w:lineRule="auto"/>
        <w:rPr>
          <w:rFonts w:ascii="宋体" w:hAnsi="宋体"/>
          <w:b/>
          <w:color w:val="000000"/>
          <w:sz w:val="36"/>
          <w:highlight w:val="none"/>
          <w:u w:val="single"/>
        </w:rPr>
      </w:pPr>
      <w:r>
        <w:rPr>
          <w:rFonts w:hint="eastAsia" w:ascii="宋体" w:hAnsi="宋体"/>
          <w:b/>
          <w:color w:val="000000"/>
          <w:sz w:val="36"/>
          <w:highlight w:val="none"/>
        </w:rPr>
        <w:t xml:space="preserve">      日      期 ：</w:t>
      </w:r>
      <w:r>
        <w:rPr>
          <w:rFonts w:ascii="宋体" w:hAnsi="宋体"/>
          <w:b/>
          <w:color w:val="000000"/>
          <w:sz w:val="36"/>
          <w:highlight w:val="none"/>
          <w:u w:val="single"/>
        </w:rPr>
      </w:r>
      <w:r/>
    </w:p>
    <w:p>
      <w:pPr>
        <w:pStyle w:val="1063"/>
        <w:ind w:firstLine="723"/>
        <w:jc w:val="center"/>
        <w:spacing w:line="360" w:lineRule="auto"/>
        <w:rPr>
          <w:rFonts w:hint="eastAsia" w:ascii="宋体" w:hAnsi="宋体" w:cs="宋体"/>
          <w:b/>
          <w:bCs/>
          <w:sz w:val="28"/>
          <w:szCs w:val="28"/>
          <w:highlight w:val="none"/>
        </w:rPr>
        <w:outlineLvl w:val="0"/>
      </w:pPr>
      <w:r>
        <w:rPr>
          <w:rFonts w:hint="eastAsia" w:ascii="宋体" w:hAnsi="宋体" w:cs="宋体"/>
          <w:b/>
          <w:bCs/>
          <w:sz w:val="36"/>
          <w:szCs w:val="36"/>
          <w:highlight w:val="none"/>
          <w:u w:val="single"/>
        </w:rPr>
        <w:br w:type="page" w:clear="all"/>
      </w:r>
      <w:bookmarkStart w:id="106" w:name="_Toc24255"/>
      <w:r/>
      <w:bookmarkStart w:id="107" w:name="_Toc325"/>
      <w:r/>
      <w:bookmarkStart w:id="108" w:name="_Toc19377"/>
      <w:r/>
      <w:bookmarkStart w:id="109" w:name="_Toc6344"/>
      <w:r/>
      <w:bookmarkStart w:id="110" w:name="_Toc31709"/>
      <w:r/>
      <w:bookmarkStart w:id="111" w:name="_Toc22845"/>
      <w:r/>
      <w:bookmarkStart w:id="112" w:name="_Toc8204"/>
      <w:r/>
      <w:bookmarkStart w:id="113" w:name="_Toc22571"/>
      <w:r/>
      <w:bookmarkStart w:id="114" w:name="_Toc10236"/>
      <w:r/>
      <w:bookmarkStart w:id="115" w:name="_Toc16802"/>
      <w:r/>
      <w:bookmarkStart w:id="116" w:name="_Toc24811"/>
      <w:r/>
      <w:bookmarkStart w:id="117" w:name="_Toc7141"/>
      <w:r/>
      <w:bookmarkStart w:id="118" w:name="_Toc18257"/>
      <w:r/>
      <w:bookmarkStart w:id="119" w:name="_Toc16181"/>
      <w:r/>
      <w:bookmarkStart w:id="120" w:name="_Toc27980"/>
      <w:r/>
      <w:bookmarkStart w:id="121" w:name="_Toc3515"/>
      <w:r/>
      <w:bookmarkStart w:id="122" w:name="_Toc10180"/>
      <w:r/>
      <w:bookmarkStart w:id="123" w:name="_Toc19645"/>
      <w:r/>
      <w:bookmarkStart w:id="124" w:name="_Toc16841"/>
      <w:r/>
      <w:bookmarkStart w:id="125" w:name="_Toc15260"/>
      <w:r/>
      <w:bookmarkStart w:id="126" w:name="_Toc3128"/>
      <w:r/>
      <w:bookmarkStart w:id="127" w:name="_Toc23997"/>
      <w:r/>
      <w:bookmarkStart w:id="128" w:name="_Toc30261"/>
      <w:r/>
      <w:bookmarkStart w:id="129" w:name="_Toc10117"/>
      <w:r/>
      <w:bookmarkStart w:id="130" w:name="_Toc624"/>
      <w:r/>
      <w:bookmarkStart w:id="131" w:name="_Toc24970"/>
      <w:r/>
      <w:bookmarkStart w:id="132" w:name="_Toc20614"/>
      <w:r/>
      <w:bookmarkStart w:id="133" w:name="_Toc9076"/>
      <w:r/>
      <w:bookmarkStart w:id="134" w:name="_Toc21981"/>
      <w:r/>
      <w:bookmarkStart w:id="135" w:name="_Toc9946"/>
      <w:r/>
      <w:bookmarkStart w:id="136" w:name="_Toc27729"/>
      <w:r/>
      <w:bookmarkStart w:id="137" w:name="_Toc32113"/>
      <w:r/>
      <w:bookmarkStart w:id="138" w:name="_Toc13790"/>
      <w:r/>
      <w:bookmarkStart w:id="139" w:name="_Toc8825"/>
      <w:r/>
      <w:bookmarkStart w:id="140" w:name="_Toc3439"/>
      <w:r/>
      <w:bookmarkStart w:id="141" w:name="_Toc19311"/>
      <w:r>
        <w:rPr>
          <w:rFonts w:hint="eastAsia" w:ascii="宋体" w:hAnsi="宋体" w:cs="宋体"/>
          <w:b/>
          <w:bCs/>
          <w:sz w:val="36"/>
          <w:szCs w:val="36"/>
          <w:highlight w:val="none"/>
        </w:rPr>
        <w:t xml:space="preserve">评分索引表</w:t>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rPr>
          <w:rFonts w:hint="eastAsia" w:ascii="宋体" w:hAnsi="宋体" w:cs="宋体"/>
          <w:b/>
          <w:bCs/>
          <w:sz w:val="28"/>
          <w:szCs w:val="28"/>
          <w:highlight w:val="none"/>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t xml:space="preserve">评分项目</w:t>
            </w: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t xml:space="preserve">在投标文件中的页码位置</w:t>
            </w: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r>
        <w:trPr>
          <w:trHeight w:val="431"/>
        </w:trPr>
        <w:tc>
          <w:tcPr>
            <w:tcW w:w="5191"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c>
          <w:tcPr>
            <w:tcW w:w="3269" w:type="dxa"/>
            <w:vAlign w:val="center"/>
            <w:textDirection w:val="lrTb"/>
            <w:noWrap w:val="false"/>
          </w:tcPr>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tc>
      </w:tr>
    </w:tbl>
    <w:p>
      <w:pPr>
        <w:pStyle w:val="1063"/>
        <w:ind w:firstLine="422"/>
        <w:jc w:val="center"/>
        <w:spacing w:line="360" w:lineRule="auto"/>
        <w:rPr>
          <w:rFonts w:hint="eastAsia" w:ascii="宋体" w:hAnsi="宋体" w:cs="宋体"/>
          <w:b/>
          <w:bCs/>
          <w:highlight w:val="none"/>
        </w:rPr>
      </w:pPr>
      <w:r>
        <w:rPr>
          <w:rFonts w:hint="eastAsia" w:ascii="宋体" w:hAnsi="宋体" w:cs="宋体"/>
          <w:b/>
          <w:bCs/>
          <w:highlight w:val="none"/>
        </w:rPr>
      </w:r>
      <w:r/>
    </w:p>
    <w:p>
      <w:pPr>
        <w:pStyle w:val="1063"/>
        <w:ind w:firstLine="420"/>
        <w:jc w:val="center"/>
        <w:spacing w:line="360" w:lineRule="auto"/>
        <w:rPr>
          <w:rFonts w:hint="eastAsia" w:ascii="宋体" w:hAnsi="宋体" w:cs="宋体"/>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highlight w:val="none"/>
        </w:rPr>
      </w:r>
      <w:r/>
    </w:p>
    <w:p>
      <w:pPr>
        <w:pStyle w:val="1063"/>
        <w:jc w:val="center"/>
        <w:spacing w:line="360" w:lineRule="auto"/>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063"/>
        <w:jc w:val="center"/>
        <w:spacing w:line="360" w:lineRule="auto"/>
        <w:rPr>
          <w:rFonts w:ascii="宋体" w:hAnsi="宋体" w:cs="宋体"/>
          <w:sz w:val="28"/>
          <w:szCs w:val="28"/>
          <w:highlight w:val="none"/>
        </w:rPr>
      </w:pPr>
      <w:r>
        <w:rPr>
          <w:rFonts w:hint="eastAsia" w:ascii="宋体" w:hAnsi="宋体"/>
          <w:b/>
          <w:bCs/>
          <w:color w:val="000000"/>
          <w:sz w:val="32"/>
          <w:szCs w:val="32"/>
          <w:highlight w:val="none"/>
        </w:rPr>
        <w:t xml:space="preserve">投标文件目录</w:t>
      </w:r>
      <w:r>
        <w:rPr>
          <w:rFonts w:ascii="宋体" w:hAnsi="宋体" w:cs="宋体"/>
          <w:sz w:val="28"/>
          <w:szCs w:val="28"/>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一、资格要求的证明文件</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二、投标函</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三、法定代表人授权委托书</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四、开标一览表</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五、报价明细表</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六、技术</w:t>
      </w:r>
      <w:r>
        <w:rPr>
          <w:rFonts w:ascii="宋体" w:hAnsi="宋体" w:cs="宋体"/>
          <w:sz w:val="24"/>
          <w:szCs w:val="24"/>
          <w:highlight w:val="none"/>
          <w:lang w:val="en-US" w:eastAsia="zh-CN"/>
        </w:rPr>
        <w:t xml:space="preserve">/服务</w:t>
      </w:r>
      <w:r>
        <w:rPr>
          <w:rFonts w:ascii="宋体" w:hAnsi="宋体" w:cs="宋体"/>
          <w:sz w:val="24"/>
          <w:szCs w:val="24"/>
          <w:highlight w:val="none"/>
        </w:rPr>
        <w:t xml:space="preserve">要求响应及偏离表</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ascii="宋体" w:hAnsi="宋体" w:cs="宋体"/>
          <w:sz w:val="24"/>
          <w:szCs w:val="24"/>
          <w:highlight w:val="none"/>
        </w:rPr>
        <w:t xml:space="preserve">七、商务要求响应表</w:t>
      </w:r>
      <w:r>
        <w:rPr>
          <w:rFonts w:ascii="宋体" w:hAnsi="宋体" w:cs="宋体"/>
          <w:sz w:val="24"/>
          <w:szCs w:val="24"/>
          <w:highlight w:val="none"/>
        </w:rPr>
      </w:r>
      <w:r/>
    </w:p>
    <w:p>
      <w:pPr>
        <w:pStyle w:val="1063"/>
        <w:ind w:firstLine="560"/>
        <w:spacing w:line="360" w:lineRule="auto"/>
        <w:rPr>
          <w:rFonts w:hint="eastAsia" w:ascii="宋体" w:hAnsi="宋体" w:cs="宋体"/>
          <w:sz w:val="24"/>
          <w:szCs w:val="24"/>
          <w:highlight w:val="none"/>
          <w:lang w:val="en-US" w:eastAsia="zh-CN"/>
        </w:rPr>
      </w:pPr>
      <w:r>
        <w:rPr>
          <w:rFonts w:ascii="宋体" w:hAnsi="宋体" w:cs="宋体"/>
          <w:sz w:val="24"/>
          <w:szCs w:val="24"/>
          <w:highlight w:val="none"/>
        </w:rPr>
        <w:t xml:space="preserve">八、</w:t>
      </w:r>
      <w:r>
        <w:rPr>
          <w:rFonts w:hint="eastAsia" w:ascii="宋体" w:hAnsi="宋体" w:cs="宋体"/>
          <w:sz w:val="24"/>
          <w:szCs w:val="24"/>
          <w:highlight w:val="none"/>
          <w:lang w:val="en-US" w:eastAsia="zh-CN"/>
        </w:rPr>
        <w:t xml:space="preserve">业绩</w:t>
      </w:r>
      <w:r>
        <w:rPr>
          <w:rFonts w:hint="eastAsia" w:ascii="宋体" w:hAnsi="宋体" w:cs="宋体"/>
          <w:sz w:val="24"/>
          <w:szCs w:val="24"/>
          <w:highlight w:val="none"/>
          <w:lang w:val="en-US" w:eastAsia="zh-CN"/>
        </w:rPr>
      </w:r>
      <w:r/>
    </w:p>
    <w:p>
      <w:pPr>
        <w:pStyle w:val="1063"/>
        <w:ind w:firstLine="560"/>
        <w:spacing w:line="360" w:lineRule="auto"/>
        <w:rPr>
          <w:rFonts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九、方案（格式自拟）</w:t>
      </w:r>
      <w:r>
        <w:rPr>
          <w:rFonts w:ascii="宋体" w:hAnsi="宋体" w:cs="宋体"/>
          <w:sz w:val="24"/>
          <w:szCs w:val="24"/>
          <w:highlight w:val="none"/>
          <w:lang w:val="en-US" w:eastAsia="zh-CN"/>
        </w:rPr>
      </w:r>
      <w:r/>
    </w:p>
    <w:p>
      <w:pPr>
        <w:pStyle w:val="106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lang w:val="en-US" w:eastAsia="zh-CN"/>
        </w:rPr>
        <w:t xml:space="preserve">十、</w:t>
      </w:r>
      <w:r>
        <w:rPr>
          <w:rFonts w:hint="eastAsia" w:ascii="宋体" w:hAnsi="宋体" w:cs="宋体"/>
          <w:sz w:val="24"/>
          <w:szCs w:val="24"/>
          <w:highlight w:val="none"/>
        </w:rPr>
        <w:t xml:space="preserve">相关附表格式</w:t>
      </w:r>
      <w:r>
        <w:rPr>
          <w:rFonts w:hint="eastAsia" w:ascii="宋体" w:hAnsi="宋体" w:cs="宋体"/>
          <w:sz w:val="24"/>
          <w:szCs w:val="24"/>
          <w:highlight w:val="none"/>
        </w:rPr>
      </w:r>
      <w:r/>
    </w:p>
    <w:p>
      <w:pPr>
        <w:pStyle w:val="106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附件1具备履行合同所必需的设备和专业技术能力的书面声明</w:t>
      </w:r>
      <w:r>
        <w:rPr>
          <w:rFonts w:hint="eastAsia" w:ascii="宋体" w:hAnsi="宋体" w:cs="宋体"/>
          <w:sz w:val="24"/>
          <w:szCs w:val="24"/>
          <w:highlight w:val="none"/>
        </w:rPr>
      </w:r>
      <w:r/>
    </w:p>
    <w:p>
      <w:pPr>
        <w:pStyle w:val="106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附件2三年内无重大违纪声明</w:t>
      </w:r>
      <w:r>
        <w:rPr>
          <w:rFonts w:hint="eastAsia" w:ascii="宋体" w:hAnsi="宋体" w:cs="宋体"/>
          <w:sz w:val="24"/>
          <w:szCs w:val="24"/>
          <w:highlight w:val="none"/>
        </w:rPr>
      </w:r>
      <w:r/>
    </w:p>
    <w:p>
      <w:pPr>
        <w:pStyle w:val="1063"/>
        <w:ind w:firstLine="56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附件3中小企业声明函（如有）</w:t>
      </w:r>
      <w:r>
        <w:rPr>
          <w:rFonts w:hint="eastAsia"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hint="eastAsia" w:ascii="宋体" w:hAnsi="宋体" w:cs="宋体"/>
          <w:sz w:val="24"/>
          <w:szCs w:val="24"/>
          <w:highlight w:val="none"/>
        </w:rPr>
        <w:t xml:space="preserve">附件4残疾人福利性单位声明函（如有）</w:t>
      </w:r>
      <w:r>
        <w:rPr>
          <w:rFonts w:ascii="宋体" w:hAnsi="宋体" w:cs="宋体"/>
          <w:sz w:val="24"/>
          <w:szCs w:val="24"/>
          <w:highlight w:val="none"/>
        </w:rPr>
      </w:r>
      <w:r/>
    </w:p>
    <w:p>
      <w:pPr>
        <w:pStyle w:val="1063"/>
        <w:ind w:firstLine="560"/>
        <w:spacing w:line="360" w:lineRule="auto"/>
        <w:rPr>
          <w:rFonts w:ascii="宋体" w:hAnsi="宋体" w:cs="宋体"/>
          <w:sz w:val="24"/>
          <w:szCs w:val="24"/>
          <w:highlight w:val="none"/>
        </w:rPr>
      </w:pPr>
      <w:r>
        <w:rPr>
          <w:rFonts w:hint="eastAsia" w:ascii="宋体" w:hAnsi="宋体" w:cs="宋体"/>
          <w:sz w:val="24"/>
          <w:szCs w:val="24"/>
          <w:highlight w:val="none"/>
          <w:lang w:val="en-US" w:eastAsia="zh-CN"/>
        </w:rPr>
        <w:t xml:space="preserve">十一</w:t>
      </w:r>
      <w:r>
        <w:rPr>
          <w:rFonts w:ascii="宋体" w:hAnsi="宋体" w:cs="宋体"/>
          <w:sz w:val="24"/>
          <w:szCs w:val="24"/>
          <w:highlight w:val="none"/>
        </w:rPr>
        <w:t xml:space="preserve">、</w:t>
      </w:r>
      <w:r>
        <w:rPr>
          <w:rFonts w:hint="eastAsia" w:ascii="宋体" w:hAnsi="宋体" w:cs="宋体"/>
          <w:sz w:val="24"/>
          <w:szCs w:val="24"/>
          <w:highlight w:val="none"/>
          <w:lang w:val="en-US" w:eastAsia="zh-CN"/>
        </w:rPr>
        <w:t xml:space="preserve">其他（如有）</w:t>
      </w:r>
      <w:r>
        <w:rPr>
          <w:rFonts w:ascii="宋体" w:hAnsi="宋体" w:cs="宋体"/>
          <w:sz w:val="24"/>
          <w:szCs w:val="24"/>
          <w:highlight w:val="none"/>
        </w:rPr>
      </w:r>
      <w:r/>
    </w:p>
    <w:p>
      <w:pPr>
        <w:pStyle w:val="1083"/>
        <w:numPr>
          <w:ilvl w:val="0"/>
          <w:numId w:val="0"/>
        </w:numPr>
        <w:ind w:firstLine="482"/>
        <w:spacing w:line="360" w:lineRule="auto"/>
        <w:rPr>
          <w:b/>
          <w:color w:val="000000"/>
          <w:sz w:val="24"/>
          <w:szCs w:val="24"/>
          <w:highlight w:val="none"/>
        </w:rPr>
      </w:pPr>
      <w:r>
        <w:rPr>
          <w:b/>
          <w:color w:val="000000"/>
          <w:sz w:val="24"/>
          <w:szCs w:val="24"/>
          <w:highlight w:val="none"/>
        </w:rPr>
        <w:t xml:space="preserve">注：如招标文件中提供的投标文件格式与苏采云系统内不一致的，以招标文件内的格式为准。</w:t>
      </w:r>
      <w:r>
        <w:rPr>
          <w:b/>
          <w:color w:val="000000"/>
          <w:sz w:val="24"/>
          <w:szCs w:val="24"/>
          <w:highlight w:val="none"/>
        </w:rPr>
      </w:r>
      <w:r/>
    </w:p>
    <w:p>
      <w:pPr>
        <w:pStyle w:val="1063"/>
        <w:ind w:firstLine="420"/>
        <w:jc w:val="center"/>
        <w:spacing w:line="360" w:lineRule="auto"/>
        <w:rPr>
          <w:rFonts w:ascii="宋体" w:hAnsi="宋体" w:cs="宋体"/>
          <w:color w:val="000000"/>
          <w:sz w:val="21"/>
          <w:szCs w:val="21"/>
          <w:highlight w:val="none"/>
        </w:rPr>
        <w:sectPr>
          <w:headerReference w:type="default" r:id="rId12"/>
          <w:footerReference w:type="default" r:id="rId20"/>
          <w:footnotePr/>
          <w:endnotePr/>
          <w:type w:val="nextPage"/>
          <w:pgSz w:w="11906" w:h="16838" w:orient="portrait"/>
          <w:pgMar w:top="1253" w:right="1253" w:bottom="1253" w:left="1253" w:header="624" w:footer="992" w:gutter="0"/>
          <w:lnNumType w:countBy="0" w:start="1"/>
          <w:cols w:num="1" w:sep="0" w:space="1701" w:equalWidth="1"/>
          <w:docGrid w:linePitch="360"/>
        </w:sectPr>
      </w:pPr>
      <w:r>
        <w:rPr>
          <w:rFonts w:ascii="宋体" w:hAnsi="宋体" w:cs="宋体"/>
          <w:color w:val="000000"/>
          <w:sz w:val="21"/>
          <w:szCs w:val="21"/>
          <w:highlight w:val="none"/>
        </w:rPr>
      </w:r>
      <w:r/>
    </w:p>
    <w:p>
      <w:pPr>
        <w:pStyle w:val="1063"/>
        <w:rPr>
          <w:highlight w:val="none"/>
        </w:rPr>
      </w:pPr>
      <w:r>
        <w:rPr>
          <w:highlight w:val="none"/>
        </w:rPr>
      </w:r>
      <w:r/>
    </w:p>
    <w:p>
      <w:pPr>
        <w:pStyle w:val="1124"/>
        <w:numPr>
          <w:ilvl w:val="0"/>
          <w:numId w:val="0"/>
        </w:numPr>
        <w:ind w:left="0" w:firstLine="0"/>
        <w:jc w:val="center"/>
        <w:spacing w:line="360" w:lineRule="auto"/>
        <w:tabs>
          <w:tab w:val="left" w:pos="720" w:leader="none"/>
        </w:tabs>
        <w:rPr>
          <w:rFonts w:ascii="宋体" w:hAnsi="宋体" w:cs="宋体"/>
          <w:color w:val="000000"/>
          <w:sz w:val="36"/>
          <w:szCs w:val="36"/>
          <w:highlight w:val="none"/>
        </w:rPr>
        <w:outlineLvl w:val="0"/>
      </w:pPr>
      <w:r/>
      <w:bookmarkStart w:id="142" w:name="_Toc21166"/>
      <w:r>
        <w:rPr>
          <w:rFonts w:ascii="宋体" w:hAnsi="宋体" w:cs="宋体"/>
          <w:color w:val="000000"/>
          <w:sz w:val="36"/>
          <w:szCs w:val="36"/>
          <w:highlight w:val="none"/>
        </w:rPr>
        <w:t xml:space="preserve">一、资格要求的证明文件</w:t>
      </w:r>
      <w:bookmarkEnd w:id="142"/>
      <w:r>
        <w:rPr>
          <w:rFonts w:ascii="宋体" w:hAnsi="宋体" w:cs="宋体"/>
          <w:color w:val="000000"/>
          <w:sz w:val="36"/>
          <w:szCs w:val="36"/>
          <w:highlight w:val="none"/>
        </w:rPr>
      </w:r>
      <w:r/>
    </w:p>
    <w:p>
      <w:pPr>
        <w:pStyle w:val="1063"/>
        <w:ind w:firstLine="480"/>
        <w:rPr>
          <w:rFonts w:ascii="宋体" w:hAnsi="宋体" w:cs="宋体"/>
          <w:b w:val="0"/>
          <w:bCs w:val="0"/>
          <w:color w:val="000000"/>
          <w:sz w:val="24"/>
          <w:szCs w:val="32"/>
          <w:highlight w:val="none"/>
        </w:rPr>
      </w:pPr>
      <w:r>
        <w:rPr>
          <w:sz w:val="24"/>
          <w:szCs w:val="24"/>
          <w:highlight w:val="none"/>
        </w:rPr>
        <w:t xml:space="preserve">本项目申请人的特定资格要求中要求提供的材料（加盖电子公章）</w:t>
      </w:r>
      <w:r>
        <w:rPr>
          <w:rFonts w:ascii="宋体" w:hAnsi="宋体" w:cs="宋体"/>
          <w:b w:val="0"/>
          <w:bCs w:val="0"/>
          <w:color w:val="000000"/>
          <w:sz w:val="24"/>
          <w:szCs w:val="32"/>
          <w:highlight w:val="none"/>
        </w:rPr>
      </w:r>
      <w:r/>
    </w:p>
    <w:p>
      <w:pPr>
        <w:pStyle w:val="1124"/>
        <w:numPr>
          <w:ilvl w:val="0"/>
          <w:numId w:val="0"/>
        </w:numPr>
        <w:jc w:val="center"/>
        <w:spacing w:line="360" w:lineRule="auto"/>
        <w:tabs>
          <w:tab w:val="left" w:pos="720" w:leader="none"/>
        </w:tabs>
        <w:rPr>
          <w:rFonts w:hint="eastAsia" w:ascii="宋体" w:hAnsi="宋体" w:cs="宋体"/>
          <w:sz w:val="36"/>
          <w:szCs w:val="36"/>
          <w:highlight w:val="none"/>
        </w:rPr>
        <w:sectPr>
          <w:footnotePr/>
          <w:endnotePr/>
          <w:type w:val="nextPage"/>
          <w:pgSz w:w="11906" w:h="16838" w:orient="portrait"/>
          <w:pgMar w:top="1253" w:right="1253" w:bottom="1253" w:left="1253" w:header="851" w:footer="992" w:gutter="0"/>
          <w:cols w:num="1" w:sep="0" w:space="1701" w:equalWidth="1"/>
          <w:docGrid w:linePitch="360"/>
        </w:sectPr>
        <w:outlineLvl w:val="0"/>
      </w:pPr>
      <w:r>
        <w:rPr>
          <w:rFonts w:hint="eastAsia" w:ascii="宋体" w:hAnsi="宋体" w:cs="宋体"/>
          <w:sz w:val="36"/>
          <w:szCs w:val="36"/>
          <w:highlight w:val="none"/>
        </w:rPr>
      </w:r>
      <w:r/>
    </w:p>
    <w:p>
      <w:pPr>
        <w:pStyle w:val="1124"/>
        <w:numPr>
          <w:ilvl w:val="0"/>
          <w:numId w:val="0"/>
        </w:numPr>
        <w:jc w:val="center"/>
        <w:spacing w:line="360" w:lineRule="auto"/>
        <w:tabs>
          <w:tab w:val="left" w:pos="720" w:leader="none"/>
        </w:tabs>
        <w:rPr>
          <w:rFonts w:hint="eastAsia" w:ascii="宋体" w:hAnsi="宋体" w:cs="宋体"/>
          <w:sz w:val="36"/>
          <w:szCs w:val="36"/>
          <w:highlight w:val="none"/>
        </w:rPr>
        <w:outlineLvl w:val="0"/>
      </w:pPr>
      <w:r>
        <w:rPr>
          <w:rFonts w:hint="eastAsia" w:ascii="宋体" w:hAnsi="宋体" w:cs="宋体"/>
          <w:sz w:val="36"/>
          <w:szCs w:val="36"/>
          <w:highlight w:val="none"/>
          <w:lang w:val="en-US" w:eastAsia="zh-CN"/>
        </w:rPr>
        <w:t xml:space="preserve">二</w:t>
      </w:r>
      <w:r>
        <w:rPr>
          <w:rFonts w:hint="eastAsia" w:ascii="宋体" w:hAnsi="宋体" w:cs="宋体"/>
          <w:sz w:val="36"/>
          <w:szCs w:val="36"/>
          <w:highlight w:val="none"/>
        </w:rPr>
        <w:t xml:space="preserve">、投标函</w:t>
      </w:r>
      <w:r>
        <w:rPr>
          <w:rFonts w:hint="eastAsia" w:ascii="宋体" w:hAnsi="宋体" w:cs="宋体"/>
          <w:sz w:val="36"/>
          <w:szCs w:val="36"/>
          <w:highlight w:val="none"/>
        </w:rPr>
      </w:r>
      <w:r/>
    </w:p>
    <w:p>
      <w:pPr>
        <w:pStyle w:val="1120"/>
        <w:ind w:firstLine="0"/>
        <w:spacing w:before="0" w:after="0"/>
        <w:rPr>
          <w:rFonts w:ascii="宋体" w:hAnsi="宋体"/>
          <w:szCs w:val="21"/>
          <w:highlight w:val="none"/>
        </w:rPr>
      </w:pPr>
      <w:r>
        <w:rPr>
          <w:rFonts w:hint="eastAsia" w:ascii="宋体" w:hAnsi="宋体"/>
          <w:szCs w:val="21"/>
          <w:highlight w:val="none"/>
        </w:rPr>
        <w:t xml:space="preserve">致：南京达琛鑫工程咨询有限公司</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根据贵方的</w:t>
      </w:r>
      <w:r>
        <w:rPr>
          <w:rFonts w:hint="eastAsia" w:ascii="宋体" w:hAnsi="宋体"/>
          <w:szCs w:val="21"/>
          <w:highlight w:val="none"/>
          <w:u w:val="single"/>
        </w:rPr>
        <w:t xml:space="preserve">         </w:t>
      </w:r>
      <w:r>
        <w:rPr>
          <w:rFonts w:hint="eastAsia" w:ascii="宋体" w:hAnsi="宋体"/>
          <w:szCs w:val="21"/>
          <w:highlight w:val="none"/>
          <w:lang w:val="zh-CN"/>
        </w:rPr>
        <w:t xml:space="preserve">（项目编号）</w:t>
      </w:r>
      <w:r>
        <w:rPr>
          <w:rFonts w:hint="eastAsia" w:ascii="宋体" w:hAnsi="宋体"/>
          <w:szCs w:val="21"/>
          <w:highlight w:val="none"/>
        </w:rPr>
        <w:t xml:space="preserve">招标文件，正式授权下述签字人</w:t>
      </w:r>
      <w:r>
        <w:rPr>
          <w:rFonts w:hint="eastAsia" w:ascii="宋体" w:hAnsi="宋体"/>
          <w:szCs w:val="21"/>
          <w:highlight w:val="none"/>
          <w:u w:val="single"/>
        </w:rPr>
        <w:t xml:space="preserve">     </w:t>
      </w:r>
      <w:r>
        <w:rPr>
          <w:rFonts w:hint="eastAsia" w:ascii="宋体" w:hAnsi="宋体"/>
          <w:szCs w:val="21"/>
          <w:highlight w:val="none"/>
        </w:rPr>
        <w:t xml:space="preserve">(姓名)代表我方</w:t>
      </w:r>
      <w:r>
        <w:rPr>
          <w:rFonts w:hint="eastAsia" w:ascii="宋体" w:hAnsi="宋体"/>
          <w:szCs w:val="21"/>
          <w:highlight w:val="none"/>
          <w:u w:val="single"/>
        </w:rPr>
        <w:t xml:space="preserve">        </w:t>
      </w:r>
      <w:r>
        <w:rPr>
          <w:rFonts w:hint="eastAsia" w:ascii="宋体" w:hAnsi="宋体"/>
          <w:szCs w:val="21"/>
          <w:highlight w:val="none"/>
        </w:rPr>
        <w:t xml:space="preserve">（投标人的名称），全权处理本次项目投标的有关事宜。</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据此函，签字人兹宣布同意如下：</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1.按招标文件规定的各项要求，向买方提供所需货物（包含与货物相关的服务）。</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2.我们完全理解贵方不一定将合同授予最低报价的投标人。</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3.我们已详细审核全部招标文件及其有效补充文件，我们知道必须放弃提出含糊不清或误解问题的权利。</w:t>
      </w:r>
      <w:r>
        <w:rPr>
          <w:rFonts w:ascii="宋体" w:hAnsi="宋体"/>
          <w:szCs w:val="21"/>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4.我们同意从规定的开标日期起遵循本投标文件，并在规定的投标有效期期满之前均具有约束力。</w:t>
      </w:r>
      <w:r>
        <w:rPr>
          <w:rFonts w:ascii="宋体" w:hAnsi="宋体"/>
          <w:szCs w:val="21"/>
          <w:highlight w:val="none"/>
        </w:rPr>
      </w:r>
      <w:r/>
    </w:p>
    <w:p>
      <w:pPr>
        <w:pStyle w:val="1120"/>
        <w:spacing w:before="0" w:after="0"/>
        <w:rPr>
          <w:rFonts w:ascii="宋体" w:hAnsi="宋体"/>
          <w:szCs w:val="21"/>
          <w:highlight w:val="none"/>
        </w:rPr>
      </w:pPr>
      <w:r>
        <w:rPr>
          <w:rFonts w:ascii="宋体" w:hAnsi="宋体"/>
          <w:szCs w:val="21"/>
          <w:highlight w:val="none"/>
        </w:rPr>
        <w:t xml:space="preserve">5</w:t>
      </w:r>
      <w:r>
        <w:rPr>
          <w:rFonts w:hint="eastAsia" w:ascii="宋体" w:hAnsi="宋体"/>
          <w:szCs w:val="21"/>
          <w:highlight w:val="none"/>
        </w:rPr>
        <w:t xml:space="preserve">.同意向贵方提供贵方可能另外要求的与投标有关的任何证据或资料，并保证我方已提供和将要提供的文件是真实的、准确的。</w:t>
      </w:r>
      <w:r>
        <w:rPr>
          <w:rFonts w:ascii="宋体" w:hAnsi="宋体"/>
          <w:szCs w:val="21"/>
          <w:highlight w:val="none"/>
        </w:rPr>
      </w:r>
      <w:r/>
    </w:p>
    <w:p>
      <w:pPr>
        <w:pStyle w:val="1120"/>
        <w:spacing w:before="0" w:after="0"/>
        <w:rPr>
          <w:rFonts w:ascii="宋体" w:hAnsi="宋体"/>
          <w:szCs w:val="21"/>
          <w:highlight w:val="none"/>
        </w:rPr>
      </w:pPr>
      <w:r>
        <w:rPr>
          <w:rFonts w:ascii="宋体" w:hAnsi="宋体"/>
          <w:szCs w:val="21"/>
          <w:highlight w:val="none"/>
        </w:rPr>
        <w:t xml:space="preserve">6</w:t>
      </w:r>
      <w:r>
        <w:rPr>
          <w:rFonts w:hint="eastAsia" w:ascii="宋体" w:hAnsi="宋体"/>
          <w:szCs w:val="21"/>
          <w:highlight w:val="none"/>
        </w:rPr>
        <w:t xml:space="preserve">.一旦我方中标，我方将根据招标文件的规定，严格履行合同的责任和义务,并保证在招标文件规定的时间完成项目，交付买方验收、使用。</w:t>
      </w:r>
      <w:r>
        <w:rPr>
          <w:rFonts w:ascii="宋体" w:hAnsi="宋体"/>
          <w:szCs w:val="21"/>
          <w:highlight w:val="none"/>
        </w:rPr>
      </w:r>
      <w:r/>
    </w:p>
    <w:p>
      <w:pPr>
        <w:pStyle w:val="1063"/>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内</w:t>
      </w:r>
      <w:r>
        <w:rPr>
          <w:rFonts w:hint="eastAsia" w:ascii="宋体" w:hAnsi="宋体" w:cs="宋体"/>
          <w:sz w:val="24"/>
          <w:szCs w:val="24"/>
          <w:highlight w:val="none"/>
          <w:lang w:val="zh-CN"/>
        </w:rPr>
        <w:t xml:space="preserve">打“√”</w:t>
      </w:r>
      <w:r>
        <w:rPr>
          <w:rFonts w:hint="eastAsia" w:ascii="宋体" w:hAnsi="宋体" w:cs="宋体"/>
          <w:sz w:val="24"/>
          <w:szCs w:val="24"/>
          <w:highlight w:val="none"/>
        </w:rPr>
        <w:t xml:space="preserve">）</w:t>
      </w:r>
      <w:r>
        <w:rPr>
          <w:rFonts w:ascii="宋体" w:hAnsi="宋体"/>
          <w:sz w:val="24"/>
          <w:szCs w:val="24"/>
          <w:highlight w:val="none"/>
        </w:rPr>
      </w:r>
      <w:r/>
    </w:p>
    <w:p>
      <w:pPr>
        <w:pStyle w:val="1120"/>
        <w:spacing w:before="0" w:after="0"/>
        <w:rPr>
          <w:rFonts w:ascii="宋体" w:hAnsi="宋体"/>
          <w:szCs w:val="21"/>
          <w:highlight w:val="none"/>
        </w:rPr>
      </w:pPr>
      <w:r>
        <w:rPr>
          <w:rFonts w:hint="eastAsia" w:ascii="宋体" w:hAnsi="宋体"/>
          <w:szCs w:val="21"/>
          <w:highlight w:val="none"/>
        </w:rPr>
        <w:t xml:space="preserve">8.与本投标有关的正式通讯地址为：</w:t>
      </w:r>
      <w:r>
        <w:rPr>
          <w:rFonts w:ascii="宋体" w:hAnsi="宋体"/>
          <w:szCs w:val="21"/>
          <w:highlight w:val="non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投标人名称：</w:t>
      </w:r>
      <w:r>
        <w:rPr>
          <w:rFonts w:hint="eastAsia" w:ascii="宋体" w:hAnsi="宋体"/>
          <w:szCs w:val="21"/>
          <w:highlight w:val="none"/>
          <w:u w:val="single"/>
        </w:rPr>
        <w:t xml:space="preserve">（加盖CA电子公章）     </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地      址：</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邮      编：</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电      话：</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传      真：</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投标人开户行：</w:t>
      </w:r>
      <w:r>
        <w:rPr>
          <w:rFonts w:ascii="宋体" w:hAnsi="宋体"/>
          <w:szCs w:val="21"/>
          <w:highlight w:val="none"/>
          <w:u w:val="single"/>
        </w:rPr>
      </w:r>
      <w:r/>
    </w:p>
    <w:p>
      <w:pPr>
        <w:pStyle w:val="1120"/>
        <w:ind w:left="420"/>
        <w:spacing w:before="0" w:after="0"/>
        <w:rPr>
          <w:rFonts w:ascii="宋体" w:hAnsi="宋体"/>
          <w:szCs w:val="21"/>
          <w:highlight w:val="none"/>
          <w:u w:val="single"/>
        </w:rPr>
      </w:pPr>
      <w:r>
        <w:rPr>
          <w:rFonts w:hint="eastAsia" w:ascii="宋体" w:hAnsi="宋体"/>
          <w:szCs w:val="21"/>
          <w:highlight w:val="none"/>
        </w:rPr>
        <w:t xml:space="preserve">账      号：</w:t>
      </w:r>
      <w:r>
        <w:rPr>
          <w:rFonts w:ascii="宋体" w:hAnsi="宋体"/>
          <w:szCs w:val="21"/>
          <w:highlight w:val="none"/>
          <w:u w:val="single"/>
        </w:rPr>
      </w:r>
      <w:r/>
    </w:p>
    <w:p>
      <w:pPr>
        <w:pStyle w:val="1120"/>
        <w:ind w:left="420"/>
        <w:spacing w:before="0" w:after="0"/>
        <w:rPr>
          <w:rFonts w:hint="eastAsia" w:ascii="宋体" w:hAnsi="宋体"/>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highlight w:val="none"/>
        </w:rPr>
        <w:t xml:space="preserve">日      期：年月日</w:t>
      </w:r>
      <w:r>
        <w:rPr>
          <w:rFonts w:hint="eastAsia" w:ascii="宋体" w:hAnsi="宋体"/>
          <w:szCs w:val="21"/>
          <w:highlight w:val="none"/>
        </w:rPr>
      </w:r>
      <w:r/>
    </w:p>
    <w:p>
      <w:pPr>
        <w:pStyle w:val="1063"/>
        <w:rPr>
          <w:rFonts w:hint="eastAsia"/>
          <w:highlight w:val="none"/>
        </w:rPr>
      </w:pPr>
      <w:r>
        <w:rPr>
          <w:rFonts w:hint="eastAsia"/>
          <w:highlight w:val="none"/>
        </w:rPr>
      </w:r>
      <w:r/>
    </w:p>
    <w:p>
      <w:pPr>
        <w:pStyle w:val="1124"/>
        <w:numPr>
          <w:ilvl w:val="0"/>
          <w:numId w:val="0"/>
        </w:numPr>
        <w:jc w:val="center"/>
        <w:spacing w:line="360" w:lineRule="auto"/>
        <w:tabs>
          <w:tab w:val="left" w:pos="720" w:leader="none"/>
        </w:tabs>
        <w:rPr>
          <w:rFonts w:ascii="宋体" w:hAnsi="宋体" w:cs="宋体"/>
          <w:sz w:val="36"/>
          <w:szCs w:val="36"/>
          <w:highlight w:val="none"/>
        </w:rPr>
        <w:outlineLvl w:val="0"/>
      </w:pPr>
      <w:r>
        <w:rPr>
          <w:rFonts w:hint="eastAsia" w:ascii="宋体" w:hAnsi="宋体" w:cs="宋体"/>
          <w:sz w:val="36"/>
          <w:szCs w:val="36"/>
          <w:highlight w:val="none"/>
          <w:lang w:val="en-US" w:eastAsia="zh-CN"/>
        </w:rPr>
        <w:t xml:space="preserve">三</w:t>
      </w:r>
      <w:r>
        <w:rPr>
          <w:rFonts w:hint="eastAsia" w:ascii="宋体" w:hAnsi="宋体" w:cs="宋体"/>
          <w:sz w:val="36"/>
          <w:szCs w:val="36"/>
          <w:highlight w:val="none"/>
        </w:rPr>
        <w:t xml:space="preserve">、法定代表人授权委托书</w:t>
      </w:r>
      <w:r>
        <w:rPr>
          <w:rFonts w:ascii="宋体" w:hAnsi="宋体" w:cs="宋体"/>
          <w:sz w:val="36"/>
          <w:szCs w:val="36"/>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本授权书声明：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（投标人名称）授权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（被授权人的姓名）为我方就</w:t>
      </w:r>
      <w:r>
        <w:rPr>
          <w:rFonts w:hint="eastAsia" w:ascii="宋体" w:hAnsi="宋体" w:cs="宋体"/>
          <w:sz w:val="24"/>
          <w:szCs w:val="24"/>
          <w:highlight w:val="none"/>
          <w:u w:val="single"/>
        </w:rPr>
        <w:t xml:space="preserve">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u w:val="none"/>
          <w:lang w:val="en-US" w:eastAsia="zh-CN"/>
        </w:rPr>
        <w:t xml:space="preserve">编</w:t>
      </w:r>
      <w:r>
        <w:rPr>
          <w:rFonts w:hint="eastAsia" w:ascii="宋体" w:hAnsi="宋体" w:cs="宋体"/>
          <w:sz w:val="24"/>
          <w:szCs w:val="24"/>
          <w:highlight w:val="none"/>
        </w:rPr>
        <w:t xml:space="preserve">号项目采购活动的合法代理人，以本单位名义全权处理一切与该项目采购有关的事务。</w:t>
      </w:r>
      <w:r>
        <w:rPr>
          <w:rFonts w:ascii="宋体" w:hAnsi="宋体" w:cs="宋体"/>
          <w:sz w:val="24"/>
          <w:szCs w:val="24"/>
          <w:highlight w:val="none"/>
        </w:rPr>
      </w:r>
      <w:r/>
    </w:p>
    <w:p>
      <w:pPr>
        <w:pStyle w:val="1127"/>
        <w:ind w:firstLine="480"/>
        <w:tabs>
          <w:tab w:val="left" w:pos="360" w:leader="none"/>
        </w:tabs>
        <w:rPr>
          <w:rFonts w:ascii="宋体" w:hAnsi="宋体" w:cs="宋体"/>
          <w:highlight w:val="none"/>
        </w:rPr>
      </w:pPr>
      <w:r>
        <w:rPr>
          <w:rFonts w:hint="eastAsia" w:ascii="宋体" w:hAnsi="宋体" w:cs="宋体"/>
          <w:highlight w:val="none"/>
        </w:rPr>
        <w:t xml:space="preserve">本授权书于______年____月____日起生效，特此声明。</w:t>
      </w:r>
      <w:r>
        <w:rPr>
          <w:rFonts w:ascii="宋体" w:hAnsi="宋体" w:cs="宋体"/>
          <w:highlight w:val="none"/>
        </w:rPr>
      </w:r>
      <w:r/>
    </w:p>
    <w:p>
      <w:pPr>
        <w:pStyle w:val="1127"/>
        <w:ind w:firstLine="480"/>
        <w:tabs>
          <w:tab w:val="left" w:pos="360" w:leader="none"/>
        </w:tabs>
        <w:rPr>
          <w:rFonts w:ascii="宋体" w:hAnsi="宋体" w:cs="宋体"/>
          <w:highlight w:val="none"/>
          <w:u w:val="single"/>
        </w:rPr>
      </w:pPr>
      <w:r>
        <w:rPr>
          <w:rFonts w:hint="eastAsia" w:ascii="宋体" w:hAnsi="宋体" w:cs="宋体"/>
          <w:highlight w:val="none"/>
        </w:rPr>
        <w:t xml:space="preserve">被授权人身份证号码：              </w:t>
      </w:r>
      <w:r>
        <w:rPr>
          <w:rFonts w:hint="eastAsia" w:ascii="宋体" w:hAnsi="宋体" w:cs="宋体"/>
          <w:highlight w:val="none"/>
          <w:u w:val="single"/>
        </w:rPr>
        <w:t xml:space="preserve">          </w:t>
      </w:r>
      <w:r>
        <w:rPr>
          <w:rFonts w:ascii="宋体" w:hAnsi="宋体" w:cs="宋体"/>
          <w:highlight w:val="none"/>
          <w:u w:val="single"/>
        </w:rPr>
      </w:r>
      <w:r/>
    </w:p>
    <w:p>
      <w:pPr>
        <w:pStyle w:val="1127"/>
        <w:ind w:firstLine="480"/>
        <w:tabs>
          <w:tab w:val="left" w:pos="360" w:leader="none"/>
        </w:tabs>
        <w:rPr>
          <w:rFonts w:ascii="宋体" w:hAnsi="宋体" w:cs="宋体"/>
          <w:highlight w:val="none"/>
          <w:u w:val="single"/>
        </w:rPr>
      </w:pPr>
      <w:r>
        <w:rPr>
          <w:rFonts w:hint="eastAsia" w:ascii="宋体" w:hAnsi="宋体" w:cs="宋体"/>
          <w:highlight w:val="none"/>
        </w:rPr>
        <w:t xml:space="preserve">被授权人联系电话：（手机）</w:t>
      </w:r>
      <w:r>
        <w:rPr>
          <w:rFonts w:ascii="宋体" w:hAnsi="宋体" w:cs="宋体"/>
          <w:highlight w:val="none"/>
          <w:u w:val="single"/>
        </w:rPr>
      </w:r>
      <w:r/>
    </w:p>
    <w:p>
      <w:pPr>
        <w:pStyle w:val="1127"/>
        <w:ind w:firstLine="480"/>
        <w:tabs>
          <w:tab w:val="left" w:pos="360" w:leader="none"/>
        </w:tabs>
        <w:rPr>
          <w:rFonts w:hint="eastAsia" w:ascii="宋体" w:hAnsi="宋体" w:cs="宋体"/>
          <w:highlight w:val="none"/>
        </w:rPr>
      </w:pPr>
      <w:r>
        <w:rPr>
          <w:rFonts w:hint="eastAsia" w:ascii="宋体" w:hAnsi="宋体" w:cs="宋体"/>
          <w:highlight w:val="none"/>
        </w:rPr>
        <w:t xml:space="preserve">授权单位名称：</w:t>
      </w:r>
      <w:r>
        <w:rPr>
          <w:rFonts w:hint="eastAsia" w:ascii="宋体" w:hAnsi="宋体" w:cs="宋体"/>
          <w:highlight w:val="none"/>
          <w:u w:val="single"/>
        </w:rPr>
        <w:t xml:space="preserve">                 </w:t>
      </w:r>
      <w:r>
        <w:rPr>
          <w:rFonts w:hint="eastAsia" w:ascii="宋体" w:hAnsi="宋体" w:cs="宋体"/>
          <w:highlight w:val="none"/>
        </w:rPr>
      </w:r>
      <w:r/>
    </w:p>
    <w:p>
      <w:pPr>
        <w:pStyle w:val="1127"/>
        <w:ind w:firstLine="480"/>
        <w:tabs>
          <w:tab w:val="left" w:pos="360" w:leader="none"/>
        </w:tabs>
        <w:rPr>
          <w:rFonts w:ascii="宋体" w:hAnsi="宋体" w:cs="宋体"/>
          <w:highlight w:val="none"/>
        </w:rPr>
      </w:pPr>
      <w:r>
        <w:rPr>
          <w:rFonts w:hint="eastAsia" w:ascii="宋体" w:hAnsi="宋体" w:cs="宋体"/>
          <w:highlight w:val="none"/>
        </w:rPr>
        <w:t xml:space="preserve">单位地址：</w:t>
      </w:r>
      <w:r>
        <w:rPr>
          <w:rFonts w:hint="eastAsia" w:ascii="宋体" w:hAnsi="宋体" w:cs="宋体"/>
          <w:highlight w:val="none"/>
          <w:u w:val="single"/>
        </w:rPr>
        <w:t xml:space="preserve">                     </w:t>
      </w:r>
      <w:r>
        <w:rPr>
          <w:rFonts w:ascii="宋体" w:hAnsi="宋体" w:cs="宋体"/>
          <w:highlight w:val="none"/>
        </w:rPr>
      </w:r>
      <w:r/>
    </w:p>
    <w:p>
      <w:pPr>
        <w:pStyle w:val="1127"/>
        <w:ind w:firstLine="480"/>
        <w:tabs>
          <w:tab w:val="left" w:pos="360" w:leader="none"/>
        </w:tabs>
        <w:rPr>
          <w:rFonts w:ascii="宋体" w:hAnsi="宋体" w:cs="宋体"/>
          <w:highlight w:val="none"/>
        </w:rPr>
      </w:pPr>
      <w:r>
        <w:rPr>
          <w:rFonts w:hint="eastAsia" w:ascii="宋体" w:hAnsi="宋体" w:cs="宋体"/>
          <w:highlight w:val="none"/>
        </w:rPr>
        <w:t xml:space="preserve">日    期：</w:t>
      </w:r>
      <w:r>
        <w:rPr>
          <w:rFonts w:hint="eastAsia" w:ascii="宋体" w:hAnsi="宋体" w:cs="宋体"/>
          <w:highlight w:val="none"/>
          <w:u w:val="single"/>
        </w:rPr>
        <w:t xml:space="preserve">                     </w:t>
      </w:r>
      <w:r>
        <w:rPr>
          <w:rFonts w:ascii="宋体" w:hAnsi="宋体" w:cs="宋体"/>
          <w:highlight w:val="none"/>
        </w:rPr>
      </w:r>
      <w:r/>
    </w:p>
    <w:p>
      <w:pPr>
        <w:pStyle w:val="1063"/>
        <w:ind w:firstLine="482"/>
        <w:spacing w:line="312" w:lineRule="auto"/>
        <w:rPr>
          <w:rFonts w:hint="eastAsia" w:ascii="宋体" w:hAnsi="宋体" w:cs="宋体"/>
          <w:sz w:val="24"/>
          <w:szCs w:val="24"/>
          <w:highlight w:val="none"/>
        </w:rPr>
      </w:pPr>
      <w:r>
        <w:rPr>
          <w:rFonts w:hint="eastAsia" w:ascii="宋体" w:hAnsi="宋体" w:cs="宋体"/>
          <w:sz w:val="24"/>
          <w:szCs w:val="24"/>
          <w:highlight w:val="none"/>
        </w:rPr>
        <w:t xml:space="preserve">附：法定代表人及受托人身份证正反面。</w:t>
      </w:r>
      <w:r>
        <w:rPr>
          <w:rFonts w:hint="eastAsia" w:ascii="宋体" w:hAnsi="宋体" w:cs="宋体"/>
          <w:sz w:val="24"/>
          <w:szCs w:val="24"/>
          <w:highlight w:val="none"/>
        </w:rPr>
      </w:r>
      <w:r/>
    </w:p>
    <w:p>
      <w:pPr>
        <w:pStyle w:val="1127"/>
        <w:ind w:firstLine="480"/>
        <w:tabs>
          <w:tab w:val="left" w:pos="360" w:leader="none"/>
        </w:tabs>
        <w:rPr>
          <w:rFonts w:hint="eastAsia" w:ascii="宋体" w:hAnsi="宋体" w:cs="宋体"/>
          <w:highlight w:val="none"/>
        </w:rPr>
      </w:pPr>
      <w:r>
        <w:rPr>
          <w:rFonts w:hint="eastAsia" w:ascii="宋体" w:hAnsi="宋体" w:cs="宋体"/>
          <w:highlight w:val="none"/>
        </w:rPr>
      </w:r>
      <w:r/>
    </w:p>
    <w:p>
      <w:pPr>
        <w:pStyle w:val="1063"/>
        <w:ind w:firstLine="4560"/>
        <w:rPr>
          <w:rFonts w:hint="eastAsia" w:ascii="宋体" w:hAnsi="宋体" w:cs="宋体"/>
          <w:sz w:val="24"/>
          <w:szCs w:val="24"/>
          <w:highlight w:val="none"/>
        </w:rPr>
      </w:pPr>
      <w:r>
        <w:rPr>
          <w:rFonts w:hint="eastAsia" w:ascii="宋体" w:hAnsi="宋体" w:cs="宋体"/>
          <w:sz w:val="24"/>
          <w:szCs w:val="24"/>
          <w:highlight w:val="none"/>
        </w:rPr>
        <w:t xml:space="preserve">授权单位</w:t>
      </w:r>
      <w:r>
        <w:rPr>
          <w:rFonts w:hint="eastAsia" w:ascii="宋体" w:hAnsi="宋体" w:cs="宋体"/>
          <w:sz w:val="24"/>
          <w:szCs w:val="24"/>
          <w:highlight w:val="none"/>
          <w:u w:val="single"/>
        </w:rPr>
        <w:t xml:space="preserve">（加盖CA电子公章）</w:t>
      </w:r>
      <w:r>
        <w:rPr>
          <w:rFonts w:hint="eastAsia" w:ascii="宋体" w:hAnsi="宋体" w:cs="宋体"/>
          <w:sz w:val="24"/>
          <w:szCs w:val="24"/>
          <w:highlight w:val="none"/>
        </w:rPr>
      </w:r>
      <w:r/>
    </w:p>
    <w:p>
      <w:pPr>
        <w:pStyle w:val="1063"/>
        <w:ind w:left="4070" w:firstLine="48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63"/>
        <w:rPr>
          <w:rFonts w:hint="eastAsia" w:ascii="宋体" w:hAnsi="宋体" w:cs="宋体"/>
          <w:sz w:val="24"/>
          <w:szCs w:val="24"/>
          <w:highlight w:val="none"/>
        </w:rPr>
      </w:pPr>
      <w:r>
        <w:rPr>
          <w:rFonts w:hint="eastAsia" w:ascii="宋体" w:hAnsi="宋体" w:cs="宋体"/>
          <w:sz w:val="24"/>
          <w:szCs w:val="24"/>
          <w:highlight w:val="none"/>
        </w:rPr>
        <w:t xml:space="preserve">                                      法定代表人（签字或签章）</w:t>
      </w:r>
      <w:r>
        <w:rPr>
          <w:rFonts w:hint="eastAsia" w:ascii="宋体" w:hAnsi="宋体" w:cs="宋体"/>
          <w:sz w:val="24"/>
          <w:szCs w:val="24"/>
          <w:highlight w:val="none"/>
        </w:rPr>
      </w:r>
      <w:r/>
    </w:p>
    <w:p>
      <w:pPr>
        <w:pStyle w:val="1063"/>
        <w:ind w:left="4070" w:firstLine="480"/>
        <w:rPr>
          <w:rFonts w:hint="eastAsia" w:ascii="宋体" w:hAnsi="宋体" w:cs="宋体"/>
          <w:sz w:val="24"/>
          <w:szCs w:val="24"/>
          <w:highlight w:val="none"/>
        </w:rPr>
      </w:pP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63"/>
        <w:ind w:left="4070" w:firstLine="480"/>
        <w:rPr>
          <w:rFonts w:hint="eastAsia" w:ascii="宋体" w:hAnsi="宋体" w:cs="宋体"/>
          <w:sz w:val="24"/>
          <w:szCs w:val="24"/>
          <w:highlight w:val="none"/>
        </w:rPr>
      </w:pPr>
      <w:r>
        <w:rPr>
          <w:rFonts w:hint="eastAsia" w:ascii="宋体" w:hAnsi="宋体" w:cs="宋体"/>
          <w:sz w:val="24"/>
          <w:szCs w:val="24"/>
          <w:highlight w:val="none"/>
        </w:rPr>
        <w:t xml:space="preserve">年  月  日</w:t>
      </w:r>
      <w:r>
        <w:rPr>
          <w:rFonts w:hint="eastAsia" w:ascii="宋体" w:hAnsi="宋体" w:cs="宋体"/>
          <w:sz w:val="24"/>
          <w:szCs w:val="24"/>
          <w:highlight w:val="none"/>
        </w:rPr>
      </w:r>
      <w:r/>
    </w:p>
    <w:p>
      <w:pPr>
        <w:pStyle w:val="1120"/>
        <w:ind w:left="420"/>
        <w:spacing w:before="0" w:after="0"/>
        <w:rPr>
          <w:rFonts w:hint="eastAsia" w:ascii="宋体" w:hAnsi="宋体"/>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szCs w:val="21"/>
          <w:highlight w:val="none"/>
        </w:rPr>
      </w:r>
      <w:r/>
    </w:p>
    <w:p>
      <w:pPr>
        <w:pStyle w:val="1120"/>
        <w:ind w:left="420"/>
        <w:spacing w:before="0" w:after="0"/>
        <w:rPr>
          <w:rFonts w:hint="eastAsia" w:ascii="宋体" w:hAnsi="宋体"/>
          <w:szCs w:val="21"/>
          <w:highlight w:val="none"/>
        </w:rPr>
      </w:pPr>
      <w:r>
        <w:rPr>
          <w:rFonts w:hint="eastAsia" w:ascii="宋体" w:hAnsi="宋体"/>
          <w:szCs w:val="21"/>
          <w:highlight w:val="none"/>
        </w:rPr>
      </w:r>
      <w:r/>
    </w:p>
    <w:p>
      <w:pPr>
        <w:pStyle w:val="1124"/>
        <w:numPr>
          <w:ilvl w:val="0"/>
          <w:numId w:val="0"/>
        </w:numPr>
        <w:jc w:val="center"/>
        <w:spacing w:line="360" w:lineRule="auto"/>
        <w:tabs>
          <w:tab w:val="left" w:pos="720" w:leader="none"/>
        </w:tabs>
        <w:rPr>
          <w:rFonts w:hint="eastAsia" w:ascii="宋体" w:hAnsi="宋体" w:cs="宋体"/>
          <w:sz w:val="36"/>
          <w:szCs w:val="36"/>
          <w:highlight w:val="none"/>
        </w:rPr>
        <w:outlineLvl w:val="0"/>
      </w:pPr>
      <w:r>
        <w:rPr>
          <w:rFonts w:hint="eastAsia" w:ascii="宋体" w:hAnsi="宋体" w:cs="宋体"/>
          <w:sz w:val="36"/>
          <w:szCs w:val="36"/>
          <w:highlight w:val="none"/>
          <w:lang w:val="en-US" w:eastAsia="zh-CN"/>
        </w:rPr>
        <w:t xml:space="preserve">四</w:t>
      </w:r>
      <w:r>
        <w:rPr>
          <w:rFonts w:hint="eastAsia" w:ascii="宋体" w:hAnsi="宋体" w:cs="宋体"/>
          <w:sz w:val="36"/>
          <w:szCs w:val="36"/>
          <w:highlight w:val="none"/>
        </w:rPr>
        <w:t xml:space="preserve">、开标一览表</w:t>
      </w:r>
      <w:r>
        <w:rPr>
          <w:rFonts w:hint="eastAsia" w:ascii="宋体" w:hAnsi="宋体" w:cs="宋体"/>
          <w:sz w:val="36"/>
          <w:szCs w:val="36"/>
          <w:highlight w:val="none"/>
        </w:rPr>
      </w:r>
      <w:r/>
    </w:p>
    <w:p>
      <w:pPr>
        <w:pStyle w:val="1133"/>
        <w:ind w:firstLine="320"/>
        <w:spacing w:line="360" w:lineRule="auto"/>
        <w:rPr>
          <w:rFonts w:hint="eastAsia" w:ascii="宋体" w:hAnsi="宋体" w:cs="宋体"/>
          <w:highlight w:val="none"/>
        </w:rPr>
      </w:pPr>
      <w:r>
        <w:rPr>
          <w:rFonts w:hint="eastAsia" w:ascii="宋体" w:hAnsi="宋体" w:cs="宋体"/>
          <w:highlight w:val="none"/>
        </w:rPr>
        <w:t xml:space="preserve">窗体顶端</w:t>
      </w:r>
      <w:r>
        <w:rPr>
          <w:rFonts w:hint="eastAsia" w:ascii="宋体" w:hAnsi="宋体" w:cs="宋体"/>
          <w:highlight w:val="none"/>
        </w:rPr>
      </w:r>
      <w:r/>
    </w:p>
    <w:tbl>
      <w:tblPr>
        <w:tblpPr w:horzAnchor="text" w:tblpXSpec="center" w:vertAnchor="text" w:tblpY="1" w:leftFromText="45" w:topFromText="0" w:rightFromText="45" w:bottomFromText="0"/>
        <w:tblW w:w="8361"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W w:w="1985" w:type="dxa"/>
            <w:vAlign w:val="center"/>
            <w:textDirection w:val="lrTb"/>
            <w:noWrap w:val="false"/>
          </w:tcPr>
          <w:p>
            <w:pPr>
              <w:pStyle w:val="1063"/>
              <w:ind w:firstLine="480"/>
              <w:jc w:val="center"/>
              <w:spacing w:line="360" w:lineRule="auto"/>
              <w:rPr>
                <w:sz w:val="24"/>
                <w:szCs w:val="28"/>
                <w:highlight w:val="none"/>
              </w:rPr>
              <w:framePr w:vAnchor="margin" w:hAnchor="page" w:xAlign="center"/>
            </w:pPr>
            <w:r>
              <w:rPr>
                <w:rFonts w:hint="eastAsia"/>
                <w:sz w:val="24"/>
                <w:szCs w:val="28"/>
                <w:highlight w:val="none"/>
              </w:rPr>
              <w:t xml:space="preserve">项目名称</w:t>
            </w:r>
            <w:r>
              <w:rPr>
                <w:sz w:val="24"/>
                <w:szCs w:val="28"/>
                <w:highlight w:val="none"/>
              </w:rPr>
            </w:r>
            <w:r/>
          </w:p>
        </w:tc>
        <w:tc>
          <w:tcPr>
            <w:tcW w:w="6376" w:type="dxa"/>
            <w:vAlign w:val="center"/>
            <w:textDirection w:val="lrTb"/>
            <w:noWrap w:val="false"/>
          </w:tcPr>
          <w:p>
            <w:pPr>
              <w:pStyle w:val="1063"/>
              <w:jc w:val="center"/>
              <w:rPr>
                <w:highlight w:val="none"/>
              </w:rPr>
              <w:framePr w:vAnchor="margin" w:hAnchor="page" w:xAlign="center"/>
            </w:pPr>
            <w:r>
              <w:rPr>
                <w:rFonts w:hint="eastAsia"/>
                <w:highlight w:val="none"/>
                <w:lang w:eastAsia="zh-CN"/>
              </w:rPr>
              <w:t xml:space="preserve">南京林业大学业余自考助学线下服务采购项目（</w:t>
            </w:r>
            <w:r>
              <w:rPr>
                <w:rFonts w:hint="eastAsia"/>
                <w:highlight w:val="none"/>
                <w:lang w:val="en-US" w:eastAsia="zh-CN"/>
              </w:rPr>
              <w:t xml:space="preserve">分包   </w:t>
            </w:r>
            <w:r>
              <w:rPr>
                <w:rFonts w:hint="eastAsia"/>
                <w:highlight w:val="none"/>
                <w:lang w:eastAsia="zh-CN"/>
              </w:rPr>
              <w:t xml:space="preserve">）</w:t>
            </w:r>
            <w:r>
              <w:rPr>
                <w:highlight w:val="none"/>
              </w:rPr>
            </w:r>
            <w:r/>
          </w:p>
        </w:tc>
      </w:tr>
      <w:tr>
        <w:trPr>
          <w:tblCellSpacing w:w="0" w:type="dxa"/>
          <w:trHeight w:val="1066"/>
        </w:trPr>
        <w:tc>
          <w:tcPr>
            <w:tcW w:w="1985" w:type="dxa"/>
            <w:vAlign w:val="center"/>
            <w:textDirection w:val="lrTb"/>
            <w:noWrap w:val="false"/>
          </w:tcPr>
          <w:p>
            <w:pPr>
              <w:pStyle w:val="1063"/>
              <w:jc w:val="center"/>
              <w:rPr>
                <w:sz w:val="24"/>
                <w:szCs w:val="28"/>
                <w:highlight w:val="none"/>
              </w:rPr>
              <w:framePr w:vAnchor="margin" w:hAnchor="page" w:xAlign="center"/>
            </w:pPr>
            <w:r>
              <w:rPr>
                <w:rFonts w:hint="eastAsia"/>
                <w:sz w:val="24"/>
                <w:szCs w:val="28"/>
                <w:highlight w:val="none"/>
              </w:rPr>
              <w:t xml:space="preserve">项目编号</w:t>
            </w:r>
            <w:r>
              <w:rPr>
                <w:sz w:val="24"/>
                <w:szCs w:val="28"/>
                <w:highlight w:val="none"/>
              </w:rPr>
            </w:r>
            <w:r/>
          </w:p>
        </w:tc>
        <w:tc>
          <w:tcPr>
            <w:tcW w:w="6376" w:type="dxa"/>
            <w:vAlign w:val="center"/>
            <w:textDirection w:val="lrTb"/>
            <w:noWrap w:val="false"/>
          </w:tcPr>
          <w:p>
            <w:pPr>
              <w:pStyle w:val="1063"/>
              <w:jc w:val="center"/>
              <w:rPr>
                <w:highlight w:val="none"/>
              </w:rPr>
              <w:framePr w:vAnchor="margin" w:hAnchor="page" w:xAlign="center"/>
            </w:pPr>
            <w:r>
              <w:rPr>
                <w:highlight w:val="none"/>
              </w:rPr>
            </w:r>
            <w:r/>
          </w:p>
        </w:tc>
      </w:tr>
      <w:tr>
        <w:trPr>
          <w:tblCellSpacing w:w="0" w:type="dxa"/>
          <w:trHeight w:val="1090"/>
        </w:trPr>
        <w:tc>
          <w:tcPr>
            <w:tcW w:w="1985" w:type="dxa"/>
            <w:vAlign w:val="center"/>
            <w:textDirection w:val="lrTb"/>
            <w:noWrap w:val="false"/>
          </w:tcPr>
          <w:p>
            <w:pPr>
              <w:pStyle w:val="1063"/>
              <w:jc w:val="center"/>
              <w:rPr>
                <w:sz w:val="24"/>
                <w:szCs w:val="28"/>
                <w:highlight w:val="none"/>
              </w:rPr>
              <w:framePr w:vAnchor="margin" w:hAnchor="page" w:xAlign="center"/>
            </w:pPr>
            <w:r>
              <w:rPr>
                <w:rFonts w:hint="eastAsia"/>
                <w:color w:val="000000"/>
                <w:highlight w:val="none"/>
                <w:lang w:val="en-US" w:eastAsia="zh-CN"/>
              </w:rPr>
              <w:t xml:space="preserve">服务费率</w:t>
            </w:r>
            <w:r>
              <w:rPr>
                <w:color w:val="000000"/>
                <w:highlight w:val="none"/>
              </w:rPr>
              <w:t xml:space="preserve">报价</w:t>
            </w:r>
            <w:r>
              <w:rPr>
                <w:rFonts w:hint="eastAsia"/>
                <w:color w:val="000000"/>
                <w:highlight w:val="none"/>
              </w:rPr>
              <w:t xml:space="preserve">（%</w:t>
            </w:r>
            <w:r>
              <w:rPr>
                <w:rFonts w:hint="eastAsia"/>
                <w:color w:val="000000"/>
                <w:szCs w:val="24"/>
                <w:highlight w:val="none"/>
              </w:rPr>
              <w:t xml:space="preserve">）</w:t>
            </w:r>
            <w:r>
              <w:rPr>
                <w:sz w:val="24"/>
                <w:szCs w:val="28"/>
                <w:highlight w:val="none"/>
              </w:rPr>
            </w:r>
            <w:r/>
          </w:p>
        </w:tc>
        <w:tc>
          <w:tcPr>
            <w:tcW w:w="6376" w:type="dxa"/>
            <w:vAlign w:val="center"/>
            <w:textDirection w:val="lrTb"/>
            <w:noWrap w:val="false"/>
          </w:tcPr>
          <w:p>
            <w:pPr>
              <w:pStyle w:val="1063"/>
              <w:rPr>
                <w:highlight w:val="none"/>
              </w:rPr>
              <w:framePr w:vAnchor="margin" w:hAnchor="page" w:xAlign="center"/>
            </w:pPr>
            <w:r>
              <w:rPr>
                <w:highlight w:val="none"/>
              </w:rPr>
            </w:r>
            <w:r/>
          </w:p>
          <w:p>
            <w:pPr>
              <w:pStyle w:val="1102"/>
              <w:ind w:firstLine="1200"/>
              <w:jc w:val="both"/>
              <w:spacing w:before="63"/>
              <w:rPr>
                <w:rFonts w:hint="eastAsia" w:eastAsia="宋体"/>
                <w:highlight w:val="none"/>
                <w:lang w:val="en-US" w:eastAsia="zh-CN"/>
              </w:rPr>
              <w:framePr w:vAnchor="margin" w:hAnchor="page" w:xAlign="center"/>
            </w:pPr>
            <w:r>
              <w:rPr>
                <w:rFonts w:hint="eastAsia"/>
                <w:highlight w:val="none"/>
                <w:u w:val="single"/>
              </w:rPr>
              <w:t xml:space="preserve">            </w:t>
            </w:r>
            <w:r>
              <w:rPr>
                <w:rFonts w:hint="eastAsia"/>
                <w:highlight w:val="none"/>
                <w:u w:val="single"/>
                <w:lang w:val="en-US" w:eastAsia="zh-CN"/>
              </w:rPr>
              <w:t xml:space="preserve">%</w:t>
            </w:r>
            <w:r>
              <w:rPr>
                <w:rFonts w:hint="eastAsia" w:eastAsia="宋体"/>
                <w:highlight w:val="none"/>
                <w:lang w:val="en-US" w:eastAsia="zh-CN"/>
              </w:rPr>
            </w:r>
            <w:r/>
          </w:p>
          <w:p>
            <w:pPr>
              <w:pStyle w:val="1102"/>
              <w:ind w:firstLine="1200"/>
              <w:spacing w:before="63"/>
              <w:rPr>
                <w:highlight w:val="none"/>
              </w:rPr>
              <w:framePr w:vAnchor="margin" w:hAnchor="page" w:xAlign="center"/>
            </w:pPr>
            <w:r>
              <w:rPr>
                <w:rFonts w:hint="eastAsia"/>
                <w:highlight w:val="none"/>
              </w:rPr>
              <w:t xml:space="preserve">        </w:t>
            </w:r>
            <w:r>
              <w:rPr>
                <w:highlight w:val="none"/>
              </w:rPr>
            </w:r>
            <w:r/>
          </w:p>
          <w:p>
            <w:pPr>
              <w:pStyle w:val="1063"/>
              <w:rPr>
                <w:highlight w:val="none"/>
              </w:rPr>
              <w:framePr w:vAnchor="margin" w:hAnchor="page" w:xAlign="center"/>
            </w:pPr>
            <w:r>
              <w:rPr>
                <w:highlight w:val="none"/>
              </w:rPr>
            </w:r>
            <w:r/>
          </w:p>
        </w:tc>
      </w:tr>
      <w:tr>
        <w:trPr>
          <w:tblCellSpacing w:w="0" w:type="dxa"/>
          <w:trHeight w:val="1090"/>
        </w:trPr>
        <w:tc>
          <w:tcPr>
            <w:tcW w:w="1985" w:type="dxa"/>
            <w:vAlign w:val="center"/>
            <w:textDirection w:val="lrTb"/>
            <w:noWrap w:val="false"/>
          </w:tcPr>
          <w:p>
            <w:pPr>
              <w:pStyle w:val="1063"/>
              <w:jc w:val="center"/>
              <w:rPr>
                <w:rFonts w:eastAsia="宋体"/>
                <w:color w:val="ff0000"/>
                <w:highlight w:val="none"/>
                <w:lang w:val="en-US" w:eastAsia="zh-CN"/>
              </w:rPr>
              <w:framePr w:vAnchor="margin" w:hAnchor="page" w:xAlign="center"/>
            </w:pPr>
            <w:r>
              <w:rPr>
                <w:rFonts w:eastAsia="宋体"/>
                <w:color w:val="ff0000"/>
                <w:highlight w:val="none"/>
                <w:lang w:val="en-US" w:eastAsia="zh-CN"/>
              </w:rPr>
              <w:t xml:space="preserve">苏采云报价为优惠率报价=1-费率</w:t>
            </w:r>
            <w:r>
              <w:rPr>
                <w:rFonts w:eastAsia="宋体"/>
                <w:color w:val="ff0000"/>
                <w:highlight w:val="none"/>
                <w:lang w:val="en-US" w:eastAsia="zh-CN"/>
              </w:rPr>
            </w:r>
            <w:r/>
          </w:p>
          <w:p>
            <w:pPr>
              <w:pStyle w:val="1063"/>
              <w:jc w:val="center"/>
              <w:rPr>
                <w:rFonts w:eastAsia="宋体"/>
                <w:color w:val="000000"/>
                <w:highlight w:val="none"/>
                <w:lang w:val="en-US" w:eastAsia="zh-CN"/>
              </w:rPr>
              <w:framePr w:vAnchor="margin" w:hAnchor="page" w:xAlign="center"/>
            </w:pPr>
            <w:r>
              <w:rPr>
                <w:rFonts w:eastAsia="宋体"/>
                <w:color w:val="ff0000"/>
                <w:highlight w:val="none"/>
                <w:lang w:val="en-US" w:eastAsia="zh-CN"/>
              </w:rPr>
              <w:t xml:space="preserve">（例如：</w:t>
            </w:r>
            <w:r>
              <w:rPr>
                <w:rFonts w:ascii="Calibri" w:hAnsi="Calibri" w:eastAsia="宋体" w:cs="Calibri"/>
                <w:color w:val="ff0000"/>
                <w:sz w:val="21"/>
                <w:szCs w:val="21"/>
                <w:highlight w:val="none"/>
              </w:rPr>
              <w:t xml:space="preserve">服务</w:t>
            </w:r>
            <w:r>
              <w:rPr>
                <w:rFonts w:ascii="Calibri" w:hAnsi="Calibri" w:eastAsia="宋体" w:cs="Calibri"/>
                <w:color w:val="ff0000"/>
                <w:sz w:val="21"/>
                <w:szCs w:val="21"/>
                <w:highlight w:val="none"/>
                <w:lang w:val="en-US" w:eastAsia="zh-CN"/>
              </w:rPr>
              <w:t xml:space="preserve">费率报价为75%，则苏采云系统优惠率报价为25%）</w:t>
            </w:r>
            <w:r>
              <w:rPr>
                <w:rFonts w:eastAsia="宋体"/>
                <w:color w:val="000000"/>
                <w:highlight w:val="none"/>
                <w:lang w:val="en-US" w:eastAsia="zh-CN"/>
              </w:rPr>
            </w:r>
            <w:r/>
          </w:p>
        </w:tc>
        <w:tc>
          <w:tcPr>
            <w:tcW w:w="6376" w:type="dxa"/>
            <w:vAlign w:val="center"/>
            <w:textDirection w:val="lrTb"/>
            <w:noWrap w:val="false"/>
          </w:tcPr>
          <w:p>
            <w:pPr>
              <w:pStyle w:val="1102"/>
              <w:ind w:firstLine="1200"/>
              <w:jc w:val="both"/>
              <w:spacing w:before="63"/>
              <w:rPr>
                <w:rFonts w:hint="eastAsia" w:eastAsia="宋体"/>
                <w:highlight w:val="none"/>
                <w:lang w:val="en-US" w:eastAsia="zh-CN"/>
              </w:rPr>
              <w:framePr w:vAnchor="margin" w:hAnchor="page" w:xAlign="center"/>
            </w:pPr>
            <w:r>
              <w:rPr>
                <w:rFonts w:hint="eastAsia"/>
                <w:highlight w:val="none"/>
                <w:u w:val="single"/>
              </w:rPr>
              <w:t xml:space="preserve">            </w:t>
            </w:r>
            <w:r>
              <w:rPr>
                <w:rFonts w:hint="eastAsia"/>
                <w:highlight w:val="none"/>
                <w:u w:val="single"/>
                <w:lang w:val="en-US" w:eastAsia="zh-CN"/>
              </w:rPr>
              <w:t xml:space="preserve">%</w:t>
            </w:r>
            <w:r>
              <w:rPr>
                <w:rFonts w:hint="eastAsia" w:eastAsia="宋体"/>
                <w:highlight w:val="none"/>
                <w:lang w:val="en-US" w:eastAsia="zh-CN"/>
              </w:rPr>
            </w:r>
            <w:r/>
          </w:p>
          <w:p>
            <w:pPr>
              <w:pStyle w:val="1063"/>
              <w:jc w:val="center"/>
              <w:rPr>
                <w:rFonts w:eastAsia="宋体"/>
                <w:color w:val="000000"/>
                <w:highlight w:val="none"/>
              </w:rPr>
              <w:framePr w:vAnchor="margin" w:hAnchor="page" w:xAlign="center"/>
            </w:pPr>
            <w:r>
              <w:rPr>
                <w:rFonts w:eastAsia="宋体"/>
                <w:color w:val="000000"/>
                <w:highlight w:val="none"/>
              </w:rPr>
            </w:r>
            <w:r/>
          </w:p>
        </w:tc>
      </w:tr>
      <w:tr>
        <w:trPr>
          <w:tblCellSpacing w:w="0" w:type="dxa"/>
          <w:trHeight w:val="1090"/>
        </w:trPr>
        <w:tc>
          <w:tcPr>
            <w:tcW w:w="1985" w:type="dxa"/>
            <w:vAlign w:val="center"/>
            <w:textDirection w:val="lrTb"/>
            <w:noWrap w:val="false"/>
          </w:tcPr>
          <w:p>
            <w:pPr>
              <w:pStyle w:val="1063"/>
              <w:jc w:val="center"/>
              <w:rPr>
                <w:rFonts w:eastAsia="宋体"/>
                <w:sz w:val="24"/>
                <w:szCs w:val="28"/>
                <w:highlight w:val="none"/>
                <w:lang w:val="en-US" w:eastAsia="zh-CN"/>
              </w:rPr>
              <w:framePr w:vAnchor="margin" w:hAnchor="page" w:xAlign="center"/>
            </w:pPr>
            <w:r>
              <w:rPr>
                <w:rFonts w:hint="eastAsia"/>
                <w:sz w:val="24"/>
                <w:szCs w:val="28"/>
                <w:highlight w:val="none"/>
                <w:lang w:val="en-US" w:eastAsia="zh-CN"/>
              </w:rPr>
              <w:t xml:space="preserve">合同履行期限</w:t>
            </w:r>
            <w:r>
              <w:rPr>
                <w:rFonts w:eastAsia="宋体"/>
                <w:sz w:val="24"/>
                <w:szCs w:val="28"/>
                <w:highlight w:val="none"/>
                <w:lang w:val="en-US" w:eastAsia="zh-CN"/>
              </w:rPr>
            </w:r>
            <w:r/>
          </w:p>
        </w:tc>
        <w:tc>
          <w:tcPr>
            <w:tcW w:w="6376" w:type="dxa"/>
            <w:vAlign w:val="center"/>
            <w:textDirection w:val="lrTb"/>
            <w:noWrap w:val="false"/>
          </w:tcPr>
          <w:p>
            <w:pPr>
              <w:pStyle w:val="1102"/>
              <w:rPr>
                <w:highlight w:val="none"/>
              </w:rPr>
              <w:framePr w:vAnchor="margin" w:hAnchor="page" w:xAlign="center"/>
            </w:pPr>
            <w:r>
              <w:rPr>
                <w:rFonts w:hint="eastAsia"/>
                <w:highlight w:val="none"/>
              </w:rPr>
              <w:t xml:space="preserve">     </w:t>
            </w:r>
            <w:r>
              <w:rPr>
                <w:rFonts w:hint="eastAsia"/>
                <w:highlight w:val="none"/>
                <w:u w:val="single"/>
              </w:rPr>
              <w:t xml:space="preserve">                                </w:t>
            </w:r>
            <w:r>
              <w:rPr>
                <w:rFonts w:hint="eastAsia"/>
                <w:highlight w:val="none"/>
              </w:rPr>
              <w:t xml:space="preserve">         </w:t>
            </w:r>
            <w:r>
              <w:rPr>
                <w:highlight w:val="none"/>
              </w:rPr>
            </w:r>
            <w:r/>
          </w:p>
        </w:tc>
      </w:tr>
      <w:tr>
        <w:trPr>
          <w:tblCellSpacing w:w="0" w:type="dxa"/>
          <w:trHeight w:val="1090"/>
        </w:trPr>
        <w:tc>
          <w:tcPr>
            <w:gridSpan w:val="2"/>
            <w:tcW w:w="8361" w:type="dxa"/>
            <w:vAlign w:val="center"/>
            <w:textDirection w:val="lrTb"/>
            <w:noWrap w:val="false"/>
          </w:tcPr>
          <w:p>
            <w:pPr>
              <w:pStyle w:val="1063"/>
              <w:jc w:val="left"/>
              <w:rPr>
                <w:rFonts w:hint="eastAsia" w:ascii="宋体" w:hAnsi="宋体" w:cs="宋体"/>
                <w:sz w:val="24"/>
                <w:szCs w:val="24"/>
                <w:highlight w:val="none"/>
              </w:rPr>
              <w:framePr w:vAnchor="margin" w:hAnchor="page" w:xAlign="center"/>
            </w:pPr>
            <w:r>
              <w:rPr>
                <w:rFonts w:hint="eastAsia" w:ascii="宋体" w:hAnsi="宋体" w:cs="宋体"/>
                <w:sz w:val="24"/>
                <w:szCs w:val="24"/>
                <w:highlight w:val="none"/>
              </w:rPr>
              <w:t xml:space="preserve">是否为小微企业或其他享受政府采购扶持政策的企业: （是</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     否</w:t>
            </w:r>
            <w:r>
              <w:rPr>
                <w:rFonts w:ascii="Wingdings" w:hAnsi="Wingdings" w:eastAsia="Wingdings" w:cs="Wingdings"/>
                <w:sz w:val="24"/>
                <w:szCs w:val="24"/>
                <w:highlight w:val="none"/>
              </w:rPr>
              <w:t xml:space="preserve">¨</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1102"/>
              <w:rPr>
                <w:rFonts w:hint="eastAsia"/>
                <w:highlight w:val="none"/>
              </w:rPr>
              <w:framePr w:vAnchor="margin" w:hAnchor="page" w:xAlign="center"/>
            </w:pPr>
            <w:r>
              <w:rPr>
                <w:rFonts w:hint="eastAsia"/>
                <w:highlight w:val="none"/>
              </w:rPr>
              <w:t xml:space="preserve">证明材料在投标文件中的页码：</w:t>
            </w:r>
            <w:r>
              <w:rPr>
                <w:rFonts w:hint="eastAsia"/>
                <w:highlight w:val="none"/>
              </w:rPr>
            </w:r>
            <w:r/>
          </w:p>
        </w:tc>
      </w:tr>
    </w:tbl>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ind w:firstLine="480"/>
        <w:spacing w:line="360" w:lineRule="auto"/>
        <w:rPr>
          <w:rFonts w:ascii="宋体" w:hAnsi="宋体"/>
          <w:sz w:val="24"/>
          <w:szCs w:val="24"/>
          <w:highlight w:val="none"/>
        </w:rPr>
      </w:pP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spacing w:line="360" w:lineRule="auto"/>
        <w:rPr>
          <w:rFonts w:hint="eastAsia"/>
          <w:highlight w:val="none"/>
        </w:rPr>
      </w:pPr>
      <w:r>
        <w:rPr>
          <w:rFonts w:hint="eastAsia"/>
          <w:highlight w:val="none"/>
        </w:rPr>
        <w:t xml:space="preserve">    法定代表人或授权代表（签字或签章）： </w:t>
      </w:r>
      <w:r>
        <w:rPr>
          <w:rFonts w:hint="eastAsia"/>
          <w:highlight w:val="none"/>
          <w:u w:val="single"/>
        </w:rPr>
        <w:t xml:space="preserve">                 </w:t>
      </w:r>
      <w:r>
        <w:rPr>
          <w:rFonts w:hint="eastAsia"/>
          <w:highlight w:val="none"/>
        </w:rPr>
        <w:t xml:space="preserve">                                       </w:t>
      </w:r>
      <w:r>
        <w:rPr>
          <w:rFonts w:hint="eastAsia"/>
          <w:highlight w:val="none"/>
        </w:rPr>
      </w:r>
      <w:r/>
    </w:p>
    <w:p>
      <w:pPr>
        <w:pStyle w:val="106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102"/>
        <w:ind w:firstLine="480"/>
        <w:jc w:val="both"/>
        <w:spacing w:before="0" w:beforeAutospacing="0" w:after="0" w:afterAutospacing="0" w:line="360" w:lineRule="auto"/>
        <w:rPr>
          <w:rFonts w:hint="eastAsia"/>
          <w:highlight w:val="none"/>
        </w:rPr>
      </w:pPr>
      <w:r>
        <w:rPr>
          <w:rFonts w:hint="eastAsia"/>
          <w:highlight w:val="none"/>
        </w:rPr>
      </w:r>
      <w:r/>
    </w:p>
    <w:p>
      <w:pPr>
        <w:pStyle w:val="1063"/>
        <w:ind w:firstLine="422"/>
        <w:spacing w:line="360" w:lineRule="auto"/>
        <w:tabs>
          <w:tab w:val="left" w:pos="142" w:leader="none"/>
        </w:tabs>
        <w:rPr>
          <w:rStyle w:val="1108"/>
          <w:rFonts w:hint="eastAsia" w:ascii="宋体" w:hAnsi="宋体" w:cs="宋体"/>
          <w:highlight w:val="none"/>
        </w:rPr>
      </w:pPr>
      <w:r>
        <w:rPr>
          <w:rStyle w:val="1108"/>
          <w:rFonts w:hint="eastAsia" w:ascii="宋体" w:hAnsi="宋体" w:cs="宋体"/>
          <w:highlight w:val="none"/>
        </w:rPr>
      </w:r>
      <w:r/>
    </w:p>
    <w:p>
      <w:pPr>
        <w:pStyle w:val="1117"/>
        <w:ind w:firstLine="422"/>
        <w:spacing w:line="240" w:lineRule="auto"/>
        <w:rPr>
          <w:rFonts w:hint="eastAsia" w:ascii="宋体" w:hAnsi="宋体" w:cs="宋体"/>
          <w:b/>
          <w:bCs/>
          <w:szCs w:val="21"/>
          <w:highlight w:val="none"/>
        </w:rPr>
      </w:pPr>
      <w:r>
        <w:rPr>
          <w:rFonts w:hint="eastAsia" w:ascii="宋体" w:hAnsi="宋体" w:cs="宋体"/>
          <w:b/>
          <w:bCs/>
          <w:szCs w:val="21"/>
          <w:highlight w:val="none"/>
        </w:rPr>
        <w:t xml:space="preserve">注:</w:t>
      </w:r>
      <w:r>
        <w:rPr>
          <w:rFonts w:hint="eastAsia" w:ascii="宋体" w:hAnsi="宋体" w:cs="宋体"/>
          <w:b/>
          <w:bCs/>
          <w:szCs w:val="21"/>
          <w:highlight w:val="none"/>
        </w:rPr>
      </w:r>
      <w:r/>
    </w:p>
    <w:p>
      <w:pPr>
        <w:pStyle w:val="1117"/>
        <w:spacing w:line="240" w:lineRule="auto"/>
        <w:rPr>
          <w:rFonts w:hint="eastAsia" w:ascii="宋体" w:hAnsi="宋体" w:cs="宋体"/>
          <w:szCs w:val="21"/>
          <w:highlight w:val="none"/>
        </w:rPr>
      </w:pPr>
      <w:r>
        <w:rPr>
          <w:rFonts w:hint="eastAsia" w:ascii="宋体" w:hAnsi="宋体" w:cs="宋体"/>
          <w:szCs w:val="21"/>
          <w:highlight w:val="none"/>
        </w:rPr>
        <w:t xml:space="preserve">1、采用人民币报价。</w:t>
      </w:r>
      <w:r>
        <w:rPr>
          <w:rFonts w:hint="eastAsia" w:ascii="宋体" w:hAnsi="宋体" w:cs="宋体"/>
          <w:szCs w:val="21"/>
          <w:highlight w:val="none"/>
        </w:rPr>
      </w:r>
      <w:r/>
    </w:p>
    <w:p>
      <w:pPr>
        <w:pStyle w:val="1117"/>
        <w:spacing w:line="240" w:lineRule="auto"/>
        <w:rPr>
          <w:rFonts w:hint="eastAsia" w:ascii="宋体" w:hAnsi="宋体" w:cs="宋体"/>
          <w:szCs w:val="21"/>
          <w:highlight w:val="none"/>
        </w:rPr>
      </w:pPr>
      <w:r>
        <w:rPr>
          <w:rFonts w:hint="eastAsia" w:ascii="宋体" w:hAnsi="宋体" w:cs="宋体"/>
          <w:szCs w:val="21"/>
          <w:highlight w:val="none"/>
        </w:rPr>
        <w:t xml:space="preserve">2、投标报价应包括招标文件所规定的采购范围的全部内容。</w:t>
      </w:r>
      <w:r>
        <w:rPr>
          <w:rFonts w:hint="eastAsia" w:ascii="宋体" w:hAnsi="宋体" w:cs="宋体"/>
          <w:szCs w:val="21"/>
          <w:highlight w:val="none"/>
        </w:rPr>
      </w:r>
      <w:r/>
    </w:p>
    <w:p>
      <w:pPr>
        <w:pStyle w:val="1117"/>
        <w:spacing w:line="240" w:lineRule="auto"/>
        <w:rPr>
          <w:rFonts w:hint="eastAsia" w:ascii="宋体" w:hAnsi="宋体" w:cs="宋体"/>
          <w:szCs w:val="21"/>
          <w:highlight w:val="none"/>
        </w:rPr>
      </w:pPr>
      <w:r>
        <w:rPr>
          <w:rFonts w:hint="eastAsia" w:ascii="宋体" w:hAnsi="宋体" w:cs="宋体"/>
          <w:szCs w:val="21"/>
          <w:highlight w:val="none"/>
        </w:rPr>
        <w:t xml:space="preserve">3、供应商不得实质性改动报价一览表格式及内容。</w:t>
      </w:r>
      <w:r>
        <w:rPr>
          <w:rFonts w:hint="eastAsia" w:ascii="宋体" w:hAnsi="宋体" w:cs="宋体"/>
          <w:szCs w:val="21"/>
          <w:highlight w:val="none"/>
        </w:rPr>
      </w:r>
      <w:r/>
    </w:p>
    <w:p>
      <w:pPr>
        <w:pStyle w:val="1117"/>
        <w:spacing w:line="240" w:lineRule="auto"/>
        <w:rPr>
          <w:rFonts w:hint="eastAsia" w:ascii="宋体" w:hAnsi="宋体" w:cs="宋体"/>
          <w:highlight w:val="none"/>
        </w:rPr>
      </w:pPr>
      <w:r>
        <w:rPr>
          <w:rFonts w:hint="eastAsia" w:ascii="宋体" w:hAnsi="宋体" w:cs="宋体"/>
          <w:highlight w:val="none"/>
        </w:rPr>
        <w:br w:type="page" w:clear="all"/>
      </w:r>
      <w:r>
        <w:rPr>
          <w:rFonts w:hint="eastAsia" w:ascii="宋体" w:hAnsi="宋体" w:cs="宋体"/>
          <w:highlight w:val="none"/>
        </w:rPr>
      </w:r>
      <w:r/>
    </w:p>
    <w:p>
      <w:pPr>
        <w:pStyle w:val="1124"/>
        <w:numPr>
          <w:ilvl w:val="0"/>
          <w:numId w:val="0"/>
        </w:numPr>
        <w:jc w:val="center"/>
        <w:spacing w:line="360" w:lineRule="auto"/>
        <w:tabs>
          <w:tab w:val="left" w:pos="720" w:leader="none"/>
        </w:tabs>
        <w:rPr>
          <w:rFonts w:hint="eastAsia" w:ascii="宋体" w:hAnsi="宋体" w:cs="宋体"/>
          <w:sz w:val="36"/>
          <w:szCs w:val="36"/>
          <w:highlight w:val="none"/>
        </w:rPr>
        <w:outlineLvl w:val="0"/>
      </w:pPr>
      <w:r>
        <w:rPr>
          <w:rFonts w:hint="eastAsia" w:ascii="宋体" w:hAnsi="宋体" w:cs="宋体"/>
          <w:sz w:val="36"/>
          <w:szCs w:val="36"/>
          <w:highlight w:val="none"/>
          <w:lang w:val="en-US" w:eastAsia="zh-CN"/>
        </w:rPr>
        <w:t xml:space="preserve">五</w:t>
      </w:r>
      <w:r>
        <w:rPr>
          <w:rFonts w:hint="eastAsia" w:ascii="宋体" w:hAnsi="宋体" w:cs="宋体"/>
          <w:sz w:val="36"/>
          <w:szCs w:val="36"/>
          <w:highlight w:val="none"/>
        </w:rPr>
        <w:t xml:space="preserve">、报价明细表</w:t>
      </w:r>
      <w:r>
        <w:rPr>
          <w:rFonts w:hint="eastAsia" w:ascii="宋体" w:hAnsi="宋体" w:cs="宋体"/>
          <w:sz w:val="36"/>
          <w:szCs w:val="36"/>
          <w:highlight w:val="none"/>
        </w:rPr>
      </w:r>
      <w:r/>
    </w:p>
    <w:tbl>
      <w:tblPr>
        <w:tblpPr w:horzAnchor="page" w:tblpX="1689" w:vertAnchor="text" w:tblpY="102" w:leftFromText="180" w:topFromText="0" w:rightFromText="180" w:bottomFromText="0"/>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868"/>
        <w:gridCol w:w="2783"/>
        <w:gridCol w:w="804"/>
        <w:gridCol w:w="1077"/>
        <w:gridCol w:w="1527"/>
      </w:tblGrid>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序号</w:t>
            </w: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eastAsia="宋体" w:cs="宋体"/>
                <w:sz w:val="24"/>
                <w:highlight w:val="none"/>
              </w:rPr>
              <w:t xml:space="preserve">技术（服务）名称</w:t>
            </w: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eastAsia="宋体" w:cs="宋体"/>
                <w:sz w:val="24"/>
                <w:highlight w:val="none"/>
              </w:rPr>
              <w:t xml:space="preserve">技术（服务）内容</w:t>
            </w: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数量</w:t>
            </w: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单价</w:t>
            </w:r>
            <w:r>
              <w:rPr>
                <w:rFonts w:ascii="宋体" w:hAnsi="宋体" w:cs="宋体"/>
                <w:sz w:val="24"/>
                <w:highlight w:val="none"/>
              </w:rPr>
            </w:r>
            <w:r/>
          </w:p>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（元）</w:t>
            </w: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单项合计价</w:t>
            </w:r>
            <w:r>
              <w:rPr>
                <w:rFonts w:ascii="宋体" w:hAnsi="宋体" w:cs="宋体"/>
                <w:sz w:val="24"/>
                <w:highlight w:val="none"/>
              </w:rPr>
            </w:r>
            <w:r/>
          </w:p>
          <w:p>
            <w:pPr>
              <w:pStyle w:val="1063"/>
              <w:jc w:val="center"/>
              <w:spacing w:line="0" w:lineRule="atLeast"/>
              <w:rPr>
                <w:rFonts w:ascii="宋体" w:hAnsi="宋体" w:cs="宋体"/>
                <w:sz w:val="24"/>
                <w:highlight w:val="none"/>
              </w:rPr>
              <w:framePr w:vAnchor="text" w:hAnchor="page" w:x="1689" w:y="102"/>
            </w:pPr>
            <w:r>
              <w:rPr>
                <w:rFonts w:hint="eastAsia" w:ascii="宋体" w:hAnsi="宋体" w:cs="宋体"/>
                <w:sz w:val="24"/>
                <w:highlight w:val="none"/>
              </w:rPr>
              <w:t xml:space="preserve">（元）</w:t>
            </w: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r>
        <w:trPr>
          <w:cantSplit/>
          <w:trHeight w:val="499"/>
        </w:trPr>
        <w:tc>
          <w:tcPr>
            <w:tcW w:w="685"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868"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2783"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804"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07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c>
          <w:tcPr>
            <w:tcW w:w="1527" w:type="dxa"/>
            <w:vAlign w:val="center"/>
            <w:textDirection w:val="lrTb"/>
            <w:noWrap w:val="false"/>
          </w:tcPr>
          <w:p>
            <w:pPr>
              <w:pStyle w:val="1063"/>
              <w:jc w:val="center"/>
              <w:spacing w:line="0" w:lineRule="atLeast"/>
              <w:rPr>
                <w:rFonts w:ascii="宋体" w:hAnsi="宋体" w:cs="宋体"/>
                <w:sz w:val="24"/>
                <w:highlight w:val="none"/>
              </w:rPr>
              <w:framePr w:vAnchor="text" w:hAnchor="page" w:x="1689" w:y="102"/>
            </w:pPr>
            <w:r>
              <w:rPr>
                <w:rFonts w:ascii="宋体" w:hAnsi="宋体" w:cs="宋体"/>
                <w:sz w:val="24"/>
                <w:highlight w:val="none"/>
              </w:rPr>
            </w:r>
            <w:r/>
          </w:p>
        </w:tc>
      </w:tr>
    </w:tbl>
    <w:p>
      <w:pPr>
        <w:pStyle w:val="1063"/>
        <w:ind w:firstLine="480"/>
        <w:spacing w:line="360" w:lineRule="auto"/>
        <w:rPr>
          <w:rFonts w:ascii="宋体" w:hAnsi="宋体"/>
          <w:sz w:val="24"/>
          <w:szCs w:val="24"/>
          <w:highlight w:val="none"/>
        </w:rPr>
      </w:pP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spacing w:line="360" w:lineRule="auto"/>
        <w:rPr>
          <w:rFonts w:hint="eastAsia"/>
          <w:highlight w:val="none"/>
        </w:rPr>
      </w:pPr>
      <w:r>
        <w:rPr>
          <w:rFonts w:hint="eastAsia"/>
          <w:highlight w:val="none"/>
        </w:rPr>
        <w:t xml:space="preserve">    法定代表人或授权代表（签字或签章）： </w:t>
      </w:r>
      <w:r>
        <w:rPr>
          <w:rFonts w:hint="eastAsia"/>
          <w:highlight w:val="none"/>
          <w:u w:val="single"/>
        </w:rPr>
        <w:t xml:space="preserve">                 </w:t>
      </w:r>
      <w:r>
        <w:rPr>
          <w:rFonts w:hint="eastAsia"/>
          <w:highlight w:val="none"/>
        </w:rPr>
        <w:t xml:space="preserve">                                       </w:t>
      </w:r>
      <w:r>
        <w:rPr>
          <w:rFonts w:hint="eastAsia"/>
          <w:highlight w:val="none"/>
        </w:rPr>
      </w:r>
      <w:r/>
    </w:p>
    <w:p>
      <w:pPr>
        <w:pStyle w:val="106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rPr>
          <w:rFonts w:ascii="宋体" w:hAnsi="宋体"/>
          <w:highlight w:val="none"/>
        </w:rPr>
      </w:pPr>
      <w:r>
        <w:rPr>
          <w:rFonts w:hint="eastAsia" w:ascii="宋体" w:hAnsi="宋体"/>
          <w:highlight w:val="none"/>
        </w:rPr>
        <w:t xml:space="preserve">备注：</w:t>
      </w:r>
      <w:r>
        <w:rPr>
          <w:rFonts w:ascii="宋体" w:hAnsi="宋体"/>
          <w:highlight w:val="none"/>
        </w:rPr>
      </w:r>
      <w:r/>
    </w:p>
    <w:p>
      <w:pPr>
        <w:pStyle w:val="1063"/>
        <w:ind w:firstLine="420"/>
        <w:rPr>
          <w:rFonts w:hint="eastAsia" w:ascii="宋体" w:hAnsi="宋体"/>
          <w:highlight w:val="none"/>
        </w:rPr>
      </w:pPr>
      <w:r>
        <w:rPr>
          <w:rFonts w:hint="eastAsia" w:ascii="宋体" w:hAnsi="宋体"/>
          <w:highlight w:val="none"/>
        </w:rPr>
        <w:t xml:space="preserve">1、此表为表样，行数可自行添加，但表式不变；</w:t>
      </w:r>
      <w:r>
        <w:rPr>
          <w:rFonts w:hint="eastAsia" w:ascii="宋体" w:hAnsi="宋体"/>
          <w:highlight w:val="none"/>
        </w:rPr>
      </w:r>
      <w:r/>
    </w:p>
    <w:p>
      <w:pPr>
        <w:pStyle w:val="1063"/>
        <w:ind w:firstLine="420"/>
        <w:rPr>
          <w:rFonts w:hint="eastAsia" w:ascii="宋体" w:hAnsi="宋体"/>
          <w:highlight w:val="none"/>
        </w:rPr>
      </w:pPr>
      <w:r>
        <w:rPr>
          <w:rFonts w:hint="eastAsia" w:ascii="宋体" w:hAnsi="宋体"/>
          <w:highlight w:val="none"/>
        </w:rPr>
        <w:t xml:space="preserve">2、相关食宿、差旅及其他所有费用由投标人自行计算填列；</w:t>
      </w:r>
      <w:r>
        <w:rPr>
          <w:rFonts w:hint="eastAsia" w:ascii="宋体" w:hAnsi="宋体"/>
          <w:highlight w:val="none"/>
        </w:rPr>
      </w:r>
      <w:r/>
    </w:p>
    <w:p>
      <w:pPr>
        <w:pStyle w:val="106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124"/>
        <w:numPr>
          <w:ilvl w:val="0"/>
          <w:numId w:val="0"/>
        </w:numPr>
        <w:jc w:val="center"/>
        <w:spacing w:line="360" w:lineRule="auto"/>
        <w:tabs>
          <w:tab w:val="left" w:pos="720" w:leader="none"/>
        </w:tabs>
        <w:rPr>
          <w:rStyle w:val="1125"/>
          <w:rFonts w:hint="eastAsia" w:ascii="宋体" w:hAnsi="宋体" w:cs="宋体"/>
          <w:b/>
          <w:bCs/>
          <w:highlight w:val="none"/>
        </w:rPr>
        <w:outlineLvl w:val="0"/>
      </w:pPr>
      <w:r>
        <w:rPr>
          <w:rFonts w:hint="eastAsia" w:ascii="宋体" w:hAnsi="宋体" w:cs="宋体"/>
          <w:highlight w:val="none"/>
        </w:rPr>
        <w:br w:type="page" w:clear="all"/>
      </w:r>
      <w:bookmarkStart w:id="143" w:name="_Toc3110"/>
      <w:r/>
      <w:bookmarkStart w:id="144" w:name="_Toc25489"/>
      <w:r/>
      <w:bookmarkStart w:id="145" w:name="_Toc29471"/>
      <w:r/>
      <w:bookmarkStart w:id="146" w:name="_Toc16586"/>
      <w:r/>
      <w:bookmarkStart w:id="147" w:name="_Toc4822"/>
      <w:r/>
      <w:bookmarkStart w:id="148" w:name="_Toc22913"/>
      <w:r/>
      <w:bookmarkStart w:id="149" w:name="_Toc21929"/>
      <w:r/>
      <w:bookmarkStart w:id="150" w:name="_Toc18134"/>
      <w:r/>
      <w:bookmarkStart w:id="151" w:name="_Toc31192"/>
      <w:r/>
      <w:bookmarkStart w:id="152" w:name="_Toc20877"/>
      <w:r/>
      <w:bookmarkStart w:id="153" w:name="_Toc29497"/>
      <w:r/>
      <w:bookmarkStart w:id="154" w:name="_Toc27547"/>
      <w:r/>
      <w:bookmarkStart w:id="155" w:name="_Toc29693"/>
      <w:r/>
      <w:bookmarkStart w:id="156" w:name="_Toc18950"/>
      <w:r/>
      <w:bookmarkStart w:id="157" w:name="_Toc20573"/>
      <w:r/>
      <w:bookmarkStart w:id="158" w:name="_Toc11182"/>
      <w:r/>
      <w:bookmarkStart w:id="159" w:name="_Toc9729"/>
      <w:r/>
      <w:bookmarkStart w:id="160" w:name="_Toc1201"/>
      <w:r/>
      <w:bookmarkStart w:id="161" w:name="_Toc1963"/>
      <w:r/>
      <w:bookmarkStart w:id="162" w:name="_Toc9982"/>
      <w:r/>
      <w:bookmarkStart w:id="163" w:name="_Toc26098"/>
      <w:r/>
      <w:bookmarkStart w:id="164" w:name="_Toc15911"/>
      <w:r/>
      <w:bookmarkStart w:id="165" w:name="_Toc14062"/>
      <w:r/>
      <w:bookmarkStart w:id="166" w:name="_Toc29673"/>
      <w:r/>
      <w:bookmarkStart w:id="167" w:name="_Toc545"/>
      <w:r/>
      <w:bookmarkStart w:id="168" w:name="_Toc20857"/>
      <w:r/>
      <w:bookmarkStart w:id="169" w:name="_Toc27988"/>
      <w:r/>
      <w:bookmarkStart w:id="170" w:name="_Toc24612"/>
      <w:r/>
      <w:bookmarkStart w:id="171" w:name="_Toc28895"/>
      <w:r/>
      <w:bookmarkStart w:id="172" w:name="_Toc15513"/>
      <w:r/>
      <w:bookmarkStart w:id="173" w:name="_Toc26392"/>
      <w:r/>
      <w:bookmarkStart w:id="174" w:name="_Toc9914"/>
      <w:r/>
      <w:bookmarkStart w:id="175" w:name="_Toc27979"/>
      <w:r/>
      <w:bookmarkStart w:id="176" w:name="_Toc31952"/>
      <w:r/>
      <w:bookmarkStart w:id="177" w:name="_Toc4062"/>
      <w:r/>
      <w:bookmarkStart w:id="178" w:name="_Toc7667"/>
      <w:r>
        <w:rPr>
          <w:rFonts w:hint="eastAsia" w:ascii="宋体" w:hAnsi="宋体" w:cs="宋体"/>
          <w:sz w:val="36"/>
          <w:szCs w:val="36"/>
          <w:highlight w:val="none"/>
        </w:rPr>
        <w:t xml:space="preserve">六、</w:t>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rPr>
          <w:rFonts w:hint="eastAsia" w:ascii="宋体" w:hAnsi="宋体" w:cs="宋体"/>
          <w:sz w:val="36"/>
          <w:szCs w:val="36"/>
          <w:highlight w:val="none"/>
        </w:rPr>
        <w:t xml:space="preserve">技术</w:t>
      </w:r>
      <w:r>
        <w:rPr>
          <w:rFonts w:hint="eastAsia" w:ascii="宋体" w:hAnsi="宋体" w:cs="宋体"/>
          <w:sz w:val="36"/>
          <w:szCs w:val="36"/>
          <w:highlight w:val="none"/>
          <w:lang w:val="en-US" w:eastAsia="zh-CN"/>
        </w:rPr>
        <w:t xml:space="preserve">/服务</w:t>
      </w:r>
      <w:r>
        <w:rPr>
          <w:rFonts w:hint="eastAsia" w:ascii="宋体" w:hAnsi="宋体" w:cs="宋体"/>
          <w:sz w:val="36"/>
          <w:szCs w:val="36"/>
          <w:highlight w:val="none"/>
        </w:rPr>
        <w:t xml:space="preserve">要求响应及偏离表</w:t>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rPr>
          <w:rStyle w:val="1125"/>
          <w:rFonts w:hint="eastAsia" w:ascii="宋体" w:hAnsi="宋体" w:cs="宋体"/>
          <w:b/>
          <w:bCs/>
          <w:highlight w:val="none"/>
        </w:rPr>
      </w:r>
      <w:r/>
    </w:p>
    <w:p>
      <w:pPr>
        <w:pStyle w:val="1063"/>
        <w:ind w:firstLine="480"/>
        <w:spacing w:line="360" w:lineRule="auto"/>
        <w:rPr>
          <w:rFonts w:hint="eastAsia" w:ascii="宋体" w:hAnsi="宋体" w:cs="宋体"/>
          <w:sz w:val="24"/>
          <w:highlight w:val="none"/>
        </w:rPr>
      </w:pPr>
      <w:r>
        <w:rPr>
          <w:rFonts w:hint="eastAsia" w:ascii="宋体" w:hAnsi="宋体" w:cs="宋体"/>
          <w:sz w:val="24"/>
          <w:highlight w:val="none"/>
        </w:rPr>
        <w:t xml:space="preserve">填写说明：本表应包含“第四章　项目需求”中的各项技术</w:t>
      </w:r>
      <w:r>
        <w:rPr>
          <w:rFonts w:hint="eastAsia" w:ascii="宋体" w:hAnsi="宋体" w:cs="宋体"/>
          <w:sz w:val="24"/>
          <w:highlight w:val="none"/>
          <w:lang w:val="en-US" w:eastAsia="zh-CN"/>
        </w:rPr>
        <w:t xml:space="preserve">/服务</w:t>
      </w:r>
      <w:r>
        <w:rPr>
          <w:rFonts w:hint="eastAsia" w:ascii="宋体" w:hAnsi="宋体" w:cs="宋体"/>
          <w:sz w:val="24"/>
          <w:highlight w:val="none"/>
        </w:rPr>
        <w:t xml:space="preserve">要求。</w:t>
      </w:r>
      <w:r>
        <w:rPr>
          <w:rFonts w:hint="eastAsia" w:ascii="宋体" w:hAnsi="宋体" w:cs="宋体"/>
          <w:sz w:val="24"/>
          <w:highlight w:val="none"/>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trHeight w:val="643"/>
        </w:trPr>
        <w:tc>
          <w:tcPr>
            <w:tcW w:w="822"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rPr>
                <w:rFonts w:hint="eastAsia" w:ascii="宋体" w:hAnsi="宋体" w:cs="宋体"/>
                <w:sz w:val="24"/>
                <w:szCs w:val="24"/>
                <w:highlight w:val="none"/>
              </w:rPr>
            </w:r>
            <w:r/>
          </w:p>
        </w:tc>
        <w:tc>
          <w:tcPr>
            <w:tcW w:w="1726"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技术</w:t>
            </w:r>
            <w:r>
              <w:rPr>
                <w:rFonts w:hint="eastAsia" w:ascii="宋体" w:hAnsi="宋体" w:cs="宋体"/>
                <w:sz w:val="24"/>
                <w:szCs w:val="24"/>
                <w:highlight w:val="none"/>
                <w:lang w:val="en-US" w:eastAsia="zh-CN"/>
              </w:rPr>
              <w:t xml:space="preserve">/服务</w:t>
            </w:r>
            <w:r>
              <w:rPr>
                <w:rFonts w:hint="eastAsia" w:ascii="宋体" w:hAnsi="宋体" w:cs="宋体"/>
                <w:sz w:val="24"/>
                <w:szCs w:val="24"/>
                <w:highlight w:val="none"/>
              </w:rPr>
              <w:t xml:space="preserve">要求条目</w:t>
            </w:r>
            <w:r>
              <w:rPr>
                <w:rFonts w:hint="eastAsia" w:ascii="宋体" w:hAnsi="宋体" w:cs="宋体"/>
                <w:sz w:val="24"/>
                <w:szCs w:val="24"/>
                <w:highlight w:val="none"/>
              </w:rPr>
            </w:r>
            <w:r/>
          </w:p>
        </w:tc>
        <w:tc>
          <w:tcPr>
            <w:tcW w:w="1778"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招标文件中的</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技术</w:t>
            </w:r>
            <w:r>
              <w:rPr>
                <w:rFonts w:hint="eastAsia" w:ascii="宋体" w:hAnsi="宋体" w:cs="宋体"/>
                <w:sz w:val="24"/>
                <w:szCs w:val="24"/>
                <w:highlight w:val="none"/>
                <w:lang w:val="en-US" w:eastAsia="zh-CN"/>
              </w:rPr>
              <w:t xml:space="preserve">/服务</w:t>
            </w:r>
            <w:r>
              <w:rPr>
                <w:rFonts w:hint="eastAsia" w:ascii="宋体" w:hAnsi="宋体" w:cs="宋体"/>
                <w:sz w:val="24"/>
                <w:szCs w:val="24"/>
                <w:highlight w:val="none"/>
              </w:rPr>
              <w:t xml:space="preserve">要求</w:t>
            </w:r>
            <w:r>
              <w:rPr>
                <w:rFonts w:hint="eastAsia" w:ascii="宋体" w:hAnsi="宋体" w:cs="宋体"/>
                <w:sz w:val="24"/>
                <w:szCs w:val="24"/>
                <w:highlight w:val="none"/>
              </w:rPr>
            </w:r>
            <w:r/>
          </w:p>
        </w:tc>
        <w:tc>
          <w:tcPr>
            <w:tcW w:w="2163"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投标人</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的承诺或说明</w:t>
            </w:r>
            <w:r>
              <w:rPr>
                <w:rFonts w:hint="eastAsia" w:ascii="宋体" w:hAnsi="宋体" w:cs="宋体"/>
                <w:sz w:val="24"/>
                <w:szCs w:val="24"/>
                <w:highlight w:val="none"/>
              </w:rPr>
            </w:r>
            <w:r/>
          </w:p>
        </w:tc>
        <w:tc>
          <w:tcPr>
            <w:tcW w:w="1369"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偏离情况</w:t>
            </w:r>
            <w:r>
              <w:rPr>
                <w:rFonts w:hint="eastAsia" w:ascii="宋体" w:hAnsi="宋体" w:cs="宋体"/>
                <w:sz w:val="24"/>
                <w:szCs w:val="24"/>
                <w:highlight w:val="none"/>
              </w:rPr>
            </w:r>
            <w:r/>
          </w:p>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w:t>
            </w:r>
            <w:r>
              <w:rPr>
                <w:rFonts w:hint="eastAsia" w:ascii="宋体" w:hAnsi="宋体" w:cs="宋体"/>
                <w:sz w:val="24"/>
                <w:szCs w:val="24"/>
                <w:highlight w:val="none"/>
              </w:rPr>
            </w:r>
            <w:r/>
          </w:p>
        </w:tc>
        <w:tc>
          <w:tcPr>
            <w:tcW w:w="1020" w:type="dxa"/>
            <w:vAlign w:val="center"/>
            <w:textDirection w:val="lrTb"/>
            <w:noWrap w:val="false"/>
          </w:tcPr>
          <w:p>
            <w:pPr>
              <w:pStyle w:val="1063"/>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页码</w:t>
            </w:r>
            <w:r>
              <w:rPr>
                <w:rFonts w:hint="eastAsia" w:ascii="宋体" w:hAnsi="宋体" w:cs="宋体"/>
                <w:sz w:val="24"/>
                <w:szCs w:val="24"/>
                <w:highlight w:val="none"/>
              </w:rPr>
            </w:r>
            <w:r/>
          </w:p>
        </w:tc>
      </w:tr>
      <w:tr>
        <w:trPr>
          <w:trHeight w:val="537"/>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512"/>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54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44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576"/>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40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r>
        <w:trPr>
          <w:trHeight w:val="461"/>
        </w:trPr>
        <w:tc>
          <w:tcPr>
            <w:tcW w:w="82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726"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（本表可根据需要自行添加行）</w:t>
            </w:r>
            <w:r>
              <w:rPr>
                <w:rFonts w:hint="eastAsia" w:ascii="宋体" w:hAnsi="宋体" w:cs="宋体"/>
                <w:highlight w:val="none"/>
              </w:rPr>
            </w:r>
            <w:r/>
          </w:p>
        </w:tc>
        <w:tc>
          <w:tcPr>
            <w:tcW w:w="1778"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216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369"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c>
          <w:tcPr>
            <w:tcW w:w="1020"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r>
            <w:r/>
          </w:p>
        </w:tc>
      </w:tr>
    </w:tbl>
    <w:p>
      <w:pPr>
        <w:pStyle w:val="1063"/>
        <w:ind w:firstLine="480"/>
        <w:spacing w:line="360" w:lineRule="auto"/>
        <w:rPr>
          <w:rFonts w:ascii="宋体" w:hAnsi="宋体"/>
          <w:sz w:val="24"/>
          <w:szCs w:val="24"/>
          <w:highlight w:val="none"/>
        </w:rPr>
      </w:pP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ind w:firstLine="480"/>
        <w:spacing w:line="360" w:lineRule="auto"/>
        <w:rPr>
          <w:rFonts w:hint="eastAsia"/>
          <w:highlight w:val="none"/>
        </w:rPr>
      </w:pPr>
      <w:r>
        <w:rPr>
          <w:rFonts w:hint="eastAsia"/>
          <w:highlight w:val="none"/>
        </w:rPr>
        <w:t xml:space="preserve">法定代表人或授权代表（签字或签章）： </w:t>
      </w:r>
      <w:r>
        <w:rPr>
          <w:rFonts w:hint="eastAsia"/>
          <w:highlight w:val="none"/>
          <w:u w:val="single"/>
        </w:rPr>
        <w:t xml:space="preserve">                 </w:t>
      </w:r>
      <w:r>
        <w:rPr>
          <w:rFonts w:hint="eastAsia"/>
          <w:highlight w:val="none"/>
        </w:rPr>
        <w:t xml:space="preserve">                                       </w:t>
      </w:r>
      <w:r>
        <w:rPr>
          <w:rFonts w:hint="eastAsia"/>
          <w:highlight w:val="none"/>
        </w:rPr>
      </w:r>
      <w:r/>
    </w:p>
    <w:p>
      <w:pPr>
        <w:pStyle w:val="106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063"/>
        <w:spacing w:line="360" w:lineRule="auto"/>
        <w:rPr>
          <w:rFonts w:hint="eastAsia" w:ascii="宋体" w:hAnsi="宋体"/>
          <w:sz w:val="24"/>
          <w:szCs w:val="24"/>
          <w:highlight w:val="none"/>
        </w:rPr>
      </w:pPr>
      <w:r>
        <w:rPr>
          <w:rFonts w:hint="eastAsia" w:ascii="宋体" w:hAnsi="宋体"/>
          <w:sz w:val="24"/>
          <w:szCs w:val="24"/>
          <w:highlight w:val="none"/>
        </w:rPr>
      </w:r>
      <w:r/>
    </w:p>
    <w:p>
      <w:pPr>
        <w:pStyle w:val="1063"/>
        <w:ind w:firstLine="440"/>
        <w:rPr>
          <w:sz w:val="22"/>
          <w:szCs w:val="20"/>
          <w:highlight w:val="none"/>
        </w:rPr>
      </w:pPr>
      <w:r>
        <w:rPr>
          <w:rFonts w:hint="eastAsia"/>
          <w:sz w:val="22"/>
          <w:szCs w:val="20"/>
          <w:highlight w:val="none"/>
        </w:rPr>
        <w:t xml:space="preserve">填写说明：</w:t>
      </w:r>
      <w:r>
        <w:rPr>
          <w:sz w:val="22"/>
          <w:szCs w:val="20"/>
          <w:highlight w:val="none"/>
        </w:rPr>
      </w:r>
      <w:r/>
    </w:p>
    <w:p>
      <w:pPr>
        <w:pStyle w:val="1063"/>
        <w:ind w:firstLine="440"/>
        <w:rPr>
          <w:sz w:val="22"/>
          <w:szCs w:val="20"/>
          <w:highlight w:val="none"/>
        </w:rPr>
      </w:pPr>
      <w:r>
        <w:rPr>
          <w:rFonts w:hint="eastAsia"/>
          <w:sz w:val="22"/>
          <w:szCs w:val="20"/>
          <w:highlight w:val="none"/>
        </w:rPr>
        <w:t xml:space="preserve">1、此表为表样，行数可自行添加，但表式不变。</w:t>
      </w:r>
      <w:r>
        <w:rPr>
          <w:sz w:val="22"/>
          <w:szCs w:val="20"/>
          <w:highlight w:val="none"/>
        </w:rPr>
      </w:r>
      <w:r/>
    </w:p>
    <w:p>
      <w:pPr>
        <w:pStyle w:val="1063"/>
        <w:ind w:firstLine="440"/>
        <w:rPr>
          <w:sz w:val="22"/>
          <w:szCs w:val="20"/>
          <w:highlight w:val="none"/>
        </w:rPr>
      </w:pPr>
      <w:r>
        <w:rPr>
          <w:rFonts w:hint="eastAsia"/>
          <w:sz w:val="22"/>
          <w:szCs w:val="20"/>
          <w:highlight w:val="none"/>
        </w:rPr>
        <w:t xml:space="preserve">2、是否偏离用符号“+、-”分别表示正偏离、负偏离。</w:t>
      </w:r>
      <w:r>
        <w:rPr>
          <w:sz w:val="22"/>
          <w:szCs w:val="20"/>
          <w:highlight w:val="none"/>
        </w:rPr>
      </w:r>
      <w:r/>
    </w:p>
    <w:p>
      <w:pPr>
        <w:pStyle w:val="1063"/>
        <w:ind w:firstLine="440"/>
        <w:rPr>
          <w:sz w:val="22"/>
          <w:szCs w:val="20"/>
          <w:highlight w:val="none"/>
        </w:rPr>
      </w:pPr>
      <w:r>
        <w:rPr>
          <w:rFonts w:hint="eastAsia"/>
          <w:sz w:val="22"/>
          <w:szCs w:val="20"/>
          <w:highlight w:val="none"/>
        </w:rPr>
        <w:t xml:space="preserve">3、投标人必须仔细阅读本招标文件中所有</w:t>
      </w:r>
      <w:r>
        <w:rPr>
          <w:rFonts w:hint="eastAsia"/>
          <w:sz w:val="22"/>
          <w:szCs w:val="20"/>
          <w:highlight w:val="none"/>
          <w:lang w:val="en-US" w:eastAsia="zh-CN"/>
        </w:rPr>
        <w:t xml:space="preserve">技术/服务</w:t>
      </w:r>
      <w:r>
        <w:rPr>
          <w:rFonts w:hint="eastAsia"/>
          <w:sz w:val="22"/>
          <w:szCs w:val="20"/>
          <w:highlight w:val="none"/>
        </w:rPr>
        <w:t xml:space="preserve">要求，并列入上表。</w:t>
      </w:r>
      <w:r>
        <w:rPr>
          <w:sz w:val="22"/>
          <w:szCs w:val="20"/>
          <w:highlight w:val="none"/>
        </w:rPr>
      </w:r>
      <w:r/>
    </w:p>
    <w:p>
      <w:pPr>
        <w:pStyle w:val="1063"/>
        <w:ind w:firstLine="440"/>
        <w:rPr>
          <w:sz w:val="22"/>
          <w:szCs w:val="20"/>
          <w:highlight w:val="none"/>
        </w:rPr>
      </w:pPr>
      <w:r>
        <w:rPr>
          <w:rFonts w:hint="eastAsia"/>
          <w:sz w:val="22"/>
          <w:szCs w:val="20"/>
          <w:highlight w:val="none"/>
        </w:rPr>
        <w:t xml:space="preserve">4、若投标文件中出现与此表表述不一致的，以此表为准。</w:t>
      </w:r>
      <w:r>
        <w:rPr>
          <w:sz w:val="22"/>
          <w:szCs w:val="20"/>
          <w:highlight w:val="none"/>
        </w:rPr>
      </w:r>
      <w:r/>
    </w:p>
    <w:p>
      <w:pPr>
        <w:pStyle w:val="1063"/>
        <w:ind w:firstLine="480"/>
        <w:jc w:val="left"/>
        <w:spacing w:line="360" w:lineRule="auto"/>
        <w:tabs>
          <w:tab w:val="left" w:pos="142"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jc w:val="left"/>
        <w:spacing w:line="360" w:lineRule="auto"/>
        <w:tabs>
          <w:tab w:val="left" w:pos="142"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jc w:val="left"/>
        <w:spacing w:line="360" w:lineRule="auto"/>
        <w:tabs>
          <w:tab w:val="left" w:pos="142"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jc w:val="left"/>
        <w:spacing w:line="360" w:lineRule="auto"/>
        <w:tabs>
          <w:tab w:val="left" w:pos="142" w:leader="none"/>
        </w:tabs>
        <w:rPr>
          <w:rFonts w:hint="eastAsia" w:ascii="宋体" w:hAnsi="宋体" w:cs="宋体"/>
          <w:sz w:val="24"/>
          <w:szCs w:val="24"/>
          <w:highlight w:val="none"/>
        </w:rPr>
      </w:pPr>
      <w:r>
        <w:rPr>
          <w:rFonts w:hint="eastAsia" w:ascii="宋体" w:hAnsi="宋体" w:cs="宋体"/>
          <w:sz w:val="24"/>
          <w:szCs w:val="24"/>
          <w:highlight w:val="none"/>
        </w:rPr>
      </w:r>
      <w:r/>
    </w:p>
    <w:p>
      <w:pPr>
        <w:pStyle w:val="1124"/>
        <w:numPr>
          <w:ilvl w:val="0"/>
          <w:numId w:val="0"/>
        </w:numPr>
        <w:jc w:val="center"/>
        <w:spacing w:line="360" w:lineRule="auto"/>
        <w:tabs>
          <w:tab w:val="left" w:pos="720" w:leader="none"/>
        </w:tabs>
        <w:rPr>
          <w:rFonts w:hint="eastAsia" w:ascii="宋体" w:hAnsi="宋体" w:cs="宋体"/>
          <w:sz w:val="24"/>
          <w:highlight w:val="none"/>
        </w:rPr>
        <w:outlineLvl w:val="9"/>
      </w:pPr>
      <w:r>
        <w:rPr>
          <w:rFonts w:hint="eastAsia" w:ascii="宋体" w:hAnsi="宋体" w:cs="宋体"/>
          <w:sz w:val="24"/>
          <w:highlight w:val="none"/>
        </w:rPr>
      </w:r>
      <w:r/>
    </w:p>
    <w:p>
      <w:pPr>
        <w:pStyle w:val="1124"/>
        <w:numPr>
          <w:ilvl w:val="0"/>
          <w:numId w:val="0"/>
        </w:numPr>
        <w:jc w:val="center"/>
        <w:pageBreakBefore/>
        <w:spacing w:line="360" w:lineRule="auto"/>
        <w:widowControl w:val="off"/>
        <w:tabs>
          <w:tab w:val="left" w:pos="720" w:leader="none"/>
        </w:tabs>
        <w:rPr>
          <w:rFonts w:hint="eastAsia" w:ascii="宋体" w:hAnsi="宋体" w:cs="宋体"/>
          <w:sz w:val="36"/>
          <w:szCs w:val="36"/>
          <w:highlight w:val="none"/>
        </w:rPr>
        <w:outlineLvl w:val="0"/>
      </w:pPr>
      <w:r>
        <w:rPr>
          <w:rFonts w:hint="eastAsia" w:ascii="宋体" w:hAnsi="宋体" w:cs="宋体"/>
          <w:sz w:val="36"/>
          <w:szCs w:val="36"/>
          <w:highlight w:val="none"/>
          <w:lang w:val="en-US" w:eastAsia="zh-CN"/>
        </w:rPr>
        <w:t xml:space="preserve">七</w:t>
      </w:r>
      <w:r>
        <w:rPr>
          <w:rFonts w:hint="eastAsia" w:ascii="宋体" w:hAnsi="宋体" w:cs="宋体"/>
          <w:sz w:val="36"/>
          <w:szCs w:val="36"/>
          <w:highlight w:val="none"/>
        </w:rPr>
        <w:t xml:space="preserve">、商务要求响应及偏离表</w:t>
      </w:r>
      <w:r>
        <w:rPr>
          <w:rFonts w:hint="eastAsia" w:ascii="宋体" w:hAnsi="宋体" w:cs="宋体"/>
          <w:sz w:val="36"/>
          <w:szCs w:val="36"/>
          <w:highlight w:val="none"/>
        </w:rPr>
      </w:r>
      <w:r/>
    </w:p>
    <w:p>
      <w:pPr>
        <w:pStyle w:val="1063"/>
        <w:ind w:firstLine="480"/>
        <w:spacing w:line="360" w:lineRule="auto"/>
        <w:rPr>
          <w:rFonts w:hint="eastAsia" w:ascii="宋体" w:hAnsi="宋体" w:cs="宋体"/>
          <w:sz w:val="24"/>
          <w:highlight w:val="none"/>
        </w:rPr>
      </w:pPr>
      <w:r>
        <w:rPr>
          <w:rFonts w:hint="eastAsia" w:ascii="宋体" w:hAnsi="宋体" w:cs="宋体"/>
          <w:sz w:val="24"/>
          <w:highlight w:val="none"/>
        </w:rPr>
        <w:t xml:space="preserve">填写说明：本表应包含招标文件中的各项商务类要求。</w:t>
      </w:r>
      <w:r>
        <w:rPr>
          <w:rFonts w:hint="eastAsia" w:ascii="宋体" w:hAnsi="宋体" w:cs="宋体"/>
          <w:sz w:val="24"/>
          <w:highlight w:val="none"/>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trHeight w:val="64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序号</w:t>
            </w:r>
            <w:r>
              <w:rPr>
                <w:rFonts w:hint="eastAsia" w:ascii="宋体" w:hAnsi="宋体" w:cs="宋体"/>
                <w:highlight w:val="none"/>
              </w:rPr>
            </w:r>
            <w:r/>
          </w:p>
        </w:tc>
        <w:tc>
          <w:tcPr>
            <w:tcW w:w="203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商务要求条目</w:t>
            </w:r>
            <w:r>
              <w:rPr>
                <w:rFonts w:hint="eastAsia" w:ascii="宋体" w:hAnsi="宋体" w:cs="宋体"/>
                <w:highlight w:val="none"/>
              </w:rPr>
            </w:r>
            <w:r/>
          </w:p>
        </w:tc>
        <w:tc>
          <w:tcPr>
            <w:tcW w:w="1784"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招标文件中的</w:t>
            </w:r>
            <w:r>
              <w:rPr>
                <w:rFonts w:hint="eastAsia" w:ascii="宋体" w:hAnsi="宋体" w:cs="宋体"/>
                <w:highlight w:val="none"/>
              </w:rPr>
            </w:r>
            <w:r/>
          </w:p>
          <w:p>
            <w:pPr>
              <w:pStyle w:val="1063"/>
              <w:jc w:val="center"/>
              <w:spacing w:line="360" w:lineRule="auto"/>
              <w:rPr>
                <w:rFonts w:hint="eastAsia" w:ascii="宋体" w:hAnsi="宋体" w:cs="宋体"/>
                <w:highlight w:val="none"/>
              </w:rPr>
            </w:pPr>
            <w:r>
              <w:rPr>
                <w:rFonts w:hint="eastAsia" w:ascii="宋体" w:hAnsi="宋体" w:cs="宋体"/>
                <w:highlight w:val="none"/>
              </w:rPr>
              <w:t xml:space="preserve">商务要求</w:t>
            </w:r>
            <w:r>
              <w:rPr>
                <w:rFonts w:hint="eastAsia" w:ascii="宋体" w:hAnsi="宋体" w:cs="宋体"/>
                <w:highlight w:val="none"/>
              </w:rPr>
            </w:r>
            <w:r/>
          </w:p>
        </w:tc>
        <w:tc>
          <w:tcPr>
            <w:tcW w:w="2483"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投标人的承诺或说明</w:t>
            </w:r>
            <w:r>
              <w:rPr>
                <w:rFonts w:hint="eastAsia" w:ascii="宋体" w:hAnsi="宋体" w:cs="宋体"/>
                <w:highlight w:val="none"/>
              </w:rPr>
            </w:r>
            <w:r/>
          </w:p>
        </w:tc>
        <w:tc>
          <w:tcPr>
            <w:tcW w:w="184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偏离情况</w:t>
            </w:r>
            <w:r>
              <w:rPr>
                <w:rFonts w:hint="eastAsia" w:ascii="宋体" w:hAnsi="宋体" w:cs="宋体"/>
                <w:highlight w:val="none"/>
              </w:rPr>
            </w:r>
            <w:r/>
          </w:p>
          <w:p>
            <w:pPr>
              <w:pStyle w:val="1063"/>
              <w:jc w:val="center"/>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2</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3</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4</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5</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6</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593"/>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7</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r>
        <w:trPr>
          <w:trHeight w:val="461"/>
        </w:trPr>
        <w:tc>
          <w:tcPr>
            <w:tcW w:w="712" w:type="dxa"/>
            <w:vAlign w:val="center"/>
            <w:textDirection w:val="lrTb"/>
            <w:noWrap w:val="false"/>
          </w:tcPr>
          <w:p>
            <w:pPr>
              <w:pStyle w:val="1063"/>
              <w:jc w:val="center"/>
              <w:spacing w:line="360" w:lineRule="auto"/>
              <w:rPr>
                <w:rFonts w:hint="eastAsia" w:ascii="宋体" w:hAnsi="宋体" w:cs="宋体"/>
                <w:highlight w:val="none"/>
              </w:rPr>
            </w:pPr>
            <w:r>
              <w:rPr>
                <w:rFonts w:hint="eastAsia" w:ascii="宋体" w:hAnsi="宋体" w:cs="宋体"/>
                <w:highlight w:val="none"/>
              </w:rPr>
              <w:t xml:space="preserve">8</w:t>
            </w:r>
            <w:r>
              <w:rPr>
                <w:rFonts w:hint="eastAsia" w:ascii="宋体" w:hAnsi="宋体" w:cs="宋体"/>
                <w:highlight w:val="none"/>
              </w:rPr>
            </w:r>
            <w:r/>
          </w:p>
        </w:tc>
        <w:tc>
          <w:tcPr>
            <w:tcW w:w="203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t xml:space="preserve">（本表可根据需要自行添加行）</w:t>
            </w:r>
            <w:r>
              <w:rPr>
                <w:rFonts w:hint="eastAsia" w:ascii="宋体" w:hAnsi="宋体" w:cs="宋体"/>
                <w:highlight w:val="none"/>
              </w:rPr>
            </w:r>
            <w:r/>
          </w:p>
        </w:tc>
        <w:tc>
          <w:tcPr>
            <w:tcW w:w="1784"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2483"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c>
          <w:tcPr>
            <w:tcW w:w="1842" w:type="dxa"/>
            <w:vAlign w:val="center"/>
            <w:textDirection w:val="lrTb"/>
            <w:noWrap w:val="false"/>
          </w:tcPr>
          <w:p>
            <w:pPr>
              <w:pStyle w:val="1063"/>
              <w:spacing w:line="360" w:lineRule="auto"/>
              <w:rPr>
                <w:rFonts w:hint="eastAsia" w:ascii="宋体" w:hAnsi="宋体" w:cs="宋体"/>
                <w:highlight w:val="none"/>
              </w:rPr>
            </w:pPr>
            <w:r>
              <w:rPr>
                <w:rFonts w:hint="eastAsia" w:ascii="宋体" w:hAnsi="宋体" w:cs="宋体"/>
                <w:highlight w:val="none"/>
              </w:rPr>
            </w:r>
            <w:r/>
          </w:p>
        </w:tc>
      </w:tr>
    </w:tbl>
    <w:p>
      <w:pPr>
        <w:pStyle w:val="1063"/>
        <w:ind w:firstLine="480"/>
        <w:spacing w:line="360" w:lineRule="auto"/>
        <w:rPr>
          <w:rFonts w:ascii="宋体" w:hAnsi="宋体"/>
          <w:sz w:val="24"/>
          <w:szCs w:val="24"/>
          <w:highlight w:val="none"/>
        </w:rPr>
      </w:pP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ind w:firstLine="480"/>
        <w:spacing w:line="360" w:lineRule="auto"/>
        <w:rPr>
          <w:rFonts w:hint="eastAsia"/>
          <w:highlight w:val="none"/>
        </w:rPr>
      </w:pPr>
      <w:r>
        <w:rPr>
          <w:rFonts w:hint="eastAsia"/>
          <w:highlight w:val="none"/>
        </w:rPr>
        <w:t xml:space="preserve">法定代表人或授权代表（签字或签章）： </w:t>
      </w:r>
      <w:r>
        <w:rPr>
          <w:rFonts w:hint="eastAsia"/>
          <w:highlight w:val="none"/>
          <w:u w:val="single"/>
        </w:rPr>
        <w:t xml:space="preserve">                 </w:t>
      </w:r>
      <w:r>
        <w:rPr>
          <w:rFonts w:hint="eastAsia"/>
          <w:highlight w:val="none"/>
        </w:rPr>
        <w:t xml:space="preserve">                                       </w:t>
      </w:r>
      <w:r>
        <w:rPr>
          <w:rFonts w:hint="eastAsia"/>
          <w:highlight w:val="none"/>
        </w:rPr>
      </w:r>
      <w:r/>
    </w:p>
    <w:p>
      <w:pPr>
        <w:pStyle w:val="1063"/>
        <w:ind w:firstLine="48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063"/>
        <w:ind w:firstLine="480"/>
        <w:spacing w:line="360" w:lineRule="auto"/>
        <w:rPr>
          <w:rFonts w:hint="eastAsia" w:ascii="宋体" w:hAnsi="宋体" w:cs="宋体"/>
          <w:sz w:val="24"/>
          <w:highlight w:val="none"/>
        </w:rPr>
      </w:pPr>
      <w:r>
        <w:rPr>
          <w:rFonts w:hint="eastAsia" w:ascii="宋体" w:hAnsi="宋体" w:cs="宋体"/>
          <w:sz w:val="24"/>
          <w:highlight w:val="none"/>
        </w:rPr>
      </w:r>
      <w:r/>
    </w:p>
    <w:p>
      <w:pPr>
        <w:pStyle w:val="1063"/>
        <w:ind w:firstLine="480"/>
        <w:rPr>
          <w:rFonts w:hint="eastAsia" w:ascii="宋体" w:hAnsi="宋体" w:cs="宋体"/>
          <w:szCs w:val="18"/>
          <w:highlight w:val="none"/>
        </w:rPr>
      </w:pPr>
      <w:r>
        <w:rPr>
          <w:rFonts w:hint="eastAsia" w:ascii="宋体" w:hAnsi="宋体" w:cs="宋体"/>
          <w:szCs w:val="18"/>
          <w:highlight w:val="none"/>
        </w:rPr>
        <w:t xml:space="preserve">填写说明：</w:t>
      </w:r>
      <w:r>
        <w:rPr>
          <w:rFonts w:hint="eastAsia" w:ascii="宋体" w:hAnsi="宋体" w:cs="宋体"/>
          <w:szCs w:val="18"/>
          <w:highlight w:val="none"/>
        </w:rPr>
      </w:r>
      <w:r/>
    </w:p>
    <w:p>
      <w:pPr>
        <w:pStyle w:val="1063"/>
        <w:ind w:firstLine="420"/>
        <w:rPr>
          <w:rFonts w:hint="eastAsia" w:ascii="宋体" w:hAnsi="宋体" w:cs="宋体"/>
          <w:szCs w:val="18"/>
          <w:highlight w:val="none"/>
        </w:rPr>
      </w:pPr>
      <w:r>
        <w:rPr>
          <w:rFonts w:hint="eastAsia" w:ascii="宋体" w:hAnsi="宋体" w:cs="宋体"/>
          <w:szCs w:val="18"/>
          <w:highlight w:val="none"/>
        </w:rPr>
        <w:t xml:space="preserve">①此表为表样，行数可自行添加，但表式不变。</w:t>
      </w:r>
      <w:r>
        <w:rPr>
          <w:rFonts w:hint="eastAsia" w:ascii="宋体" w:hAnsi="宋体" w:cs="宋体"/>
          <w:szCs w:val="18"/>
          <w:highlight w:val="none"/>
        </w:rPr>
      </w:r>
      <w:r/>
    </w:p>
    <w:p>
      <w:pPr>
        <w:pStyle w:val="1063"/>
        <w:ind w:firstLine="420"/>
        <w:rPr>
          <w:rFonts w:hint="eastAsia" w:ascii="宋体" w:hAnsi="宋体" w:cs="宋体"/>
          <w:szCs w:val="18"/>
          <w:highlight w:val="none"/>
        </w:rPr>
      </w:pPr>
      <w:r>
        <w:rPr>
          <w:rFonts w:hint="eastAsia" w:ascii="宋体" w:hAnsi="宋体" w:cs="宋体"/>
          <w:szCs w:val="18"/>
          <w:highlight w:val="none"/>
        </w:rPr>
        <w:t xml:space="preserve">②是否偏离用符号“+、-”分别表示正偏离、负偏离。</w:t>
      </w:r>
      <w:r>
        <w:rPr>
          <w:rFonts w:hint="eastAsia" w:ascii="宋体" w:hAnsi="宋体" w:cs="宋体"/>
          <w:szCs w:val="18"/>
          <w:highlight w:val="none"/>
        </w:rPr>
      </w:r>
      <w:r/>
    </w:p>
    <w:p>
      <w:pPr>
        <w:pStyle w:val="1063"/>
        <w:ind w:firstLine="420"/>
        <w:rPr>
          <w:rFonts w:hint="eastAsia" w:ascii="宋体" w:hAnsi="宋体" w:cs="宋体"/>
          <w:szCs w:val="18"/>
          <w:highlight w:val="none"/>
        </w:rPr>
      </w:pPr>
      <w:r>
        <w:rPr>
          <w:rFonts w:hint="eastAsia" w:ascii="宋体" w:hAnsi="宋体" w:cs="宋体"/>
          <w:szCs w:val="18"/>
          <w:highlight w:val="none"/>
        </w:rPr>
        <w:t xml:space="preserve">③供应商必须仔细阅读本采购文件中所有商务要求，并列入上表。</w:t>
      </w:r>
      <w:r>
        <w:rPr>
          <w:rFonts w:hint="eastAsia" w:ascii="宋体" w:hAnsi="宋体" w:cs="宋体"/>
          <w:szCs w:val="18"/>
          <w:highlight w:val="none"/>
        </w:rPr>
      </w:r>
      <w:r/>
    </w:p>
    <w:p>
      <w:pPr>
        <w:pStyle w:val="1063"/>
        <w:ind w:firstLine="420"/>
        <w:rPr>
          <w:rFonts w:hint="eastAsia" w:ascii="宋体" w:hAnsi="宋体" w:cs="宋体"/>
          <w:szCs w:val="18"/>
          <w:highlight w:val="none"/>
        </w:rPr>
      </w:pPr>
      <w:r>
        <w:rPr>
          <w:rFonts w:hint="eastAsia" w:ascii="宋体" w:hAnsi="宋体" w:cs="宋体"/>
          <w:szCs w:val="18"/>
          <w:highlight w:val="none"/>
        </w:rPr>
        <w:t xml:space="preserve">④若响应文件中出现与此表表述不一致的，以此表为准。</w:t>
      </w:r>
      <w:r>
        <w:rPr>
          <w:rFonts w:hint="eastAsia" w:ascii="宋体" w:hAnsi="宋体" w:cs="宋体"/>
          <w:szCs w:val="18"/>
          <w:highlight w:val="none"/>
        </w:rPr>
      </w:r>
      <w:r/>
    </w:p>
    <w:p>
      <w:pPr>
        <w:pStyle w:val="1124"/>
        <w:numPr>
          <w:ilvl w:val="0"/>
          <w:numId w:val="0"/>
        </w:numPr>
        <w:jc w:val="center"/>
        <w:spacing w:line="360" w:lineRule="auto"/>
        <w:tabs>
          <w:tab w:val="left" w:pos="720" w:leader="none"/>
        </w:tabs>
        <w:rPr>
          <w:rFonts w:hint="eastAsia" w:ascii="宋体" w:hAnsi="宋体" w:cs="宋体"/>
          <w:sz w:val="24"/>
          <w:highlight w:val="none"/>
        </w:rPr>
        <w:outlineLvl w:val="9"/>
      </w:pPr>
      <w:r>
        <w:rPr>
          <w:rFonts w:hint="eastAsia" w:ascii="宋体" w:hAnsi="宋体" w:cs="宋体"/>
          <w:sz w:val="24"/>
          <w:highlight w:val="none"/>
        </w:rPr>
      </w:r>
      <w:r/>
    </w:p>
    <w:p>
      <w:pPr>
        <w:pStyle w:val="1124"/>
        <w:numPr>
          <w:ilvl w:val="0"/>
          <w:numId w:val="0"/>
        </w:numPr>
        <w:jc w:val="center"/>
        <w:spacing w:line="360" w:lineRule="auto"/>
        <w:tabs>
          <w:tab w:val="left" w:pos="720" w:leader="none"/>
        </w:tabs>
        <w:rPr>
          <w:rFonts w:hint="eastAsia" w:ascii="宋体" w:hAnsi="宋体" w:cs="宋体"/>
          <w:sz w:val="24"/>
          <w:highlight w:val="none"/>
        </w:rPr>
        <w:outlineLvl w:val="9"/>
      </w:pPr>
      <w:r>
        <w:rPr>
          <w:rFonts w:hint="eastAsia" w:ascii="宋体" w:hAnsi="宋体" w:cs="宋体"/>
          <w:sz w:val="24"/>
          <w:highlight w:val="none"/>
        </w:rPr>
      </w:r>
      <w:r/>
    </w:p>
    <w:p>
      <w:pPr>
        <w:pStyle w:val="1124"/>
        <w:numPr>
          <w:ilvl w:val="0"/>
          <w:numId w:val="0"/>
        </w:numPr>
        <w:jc w:val="center"/>
        <w:spacing w:line="360" w:lineRule="auto"/>
        <w:tabs>
          <w:tab w:val="left" w:pos="720" w:leader="none"/>
        </w:tabs>
        <w:rPr>
          <w:rFonts w:hint="eastAsia" w:ascii="宋体" w:hAnsi="宋体" w:cs="宋体"/>
          <w:sz w:val="24"/>
          <w:highlight w:val="none"/>
        </w:rPr>
        <w:outlineLvl w:val="9"/>
      </w:pPr>
      <w:r>
        <w:rPr>
          <w:rFonts w:hint="eastAsia" w:ascii="宋体" w:hAnsi="宋体" w:cs="宋体"/>
          <w:sz w:val="24"/>
          <w:highlight w:val="none"/>
        </w:rPr>
      </w:r>
      <w:r/>
    </w:p>
    <w:p>
      <w:pPr>
        <w:pStyle w:val="1124"/>
        <w:numPr>
          <w:ilvl w:val="0"/>
          <w:numId w:val="0"/>
        </w:numPr>
        <w:jc w:val="center"/>
        <w:spacing w:line="360" w:lineRule="auto"/>
        <w:tabs>
          <w:tab w:val="left" w:pos="720" w:leader="none"/>
        </w:tabs>
        <w:rPr>
          <w:rFonts w:hint="eastAsia"/>
          <w:highlight w:val="none"/>
          <w:lang w:val="en-US" w:eastAsia="zh-CN"/>
        </w:rPr>
        <w:sectPr>
          <w:footnotePr/>
          <w:endnotePr/>
          <w:type w:val="nextPage"/>
          <w:pgSz w:w="11906" w:h="16838" w:orient="portrait"/>
          <w:pgMar w:top="1253" w:right="1253" w:bottom="1253" w:left="1253" w:header="624" w:footer="992" w:gutter="0"/>
          <w:lnNumType w:countBy="0" w:start="1"/>
          <w:cols w:num="1" w:sep="0" w:space="1701" w:equalWidth="1"/>
          <w:docGrid w:linePitch="360"/>
        </w:sectPr>
        <w:outlineLvl w:val="0"/>
      </w:pPr>
      <w:r>
        <w:rPr>
          <w:rFonts w:hint="eastAsia"/>
          <w:highlight w:val="none"/>
        </w:rPr>
      </w:r>
      <w:bookmarkStart w:id="179" w:name="_Toc28430"/>
      <w:r/>
      <w:bookmarkStart w:id="180" w:name="_Toc10794"/>
      <w:r>
        <w:rPr>
          <w:rFonts w:hint="eastAsia" w:ascii="宋体" w:hAnsi="宋体" w:cs="宋体"/>
          <w:color w:val="000000"/>
          <w:sz w:val="30"/>
          <w:szCs w:val="30"/>
          <w:highlight w:val="none"/>
          <w:lang w:val="en-US" w:eastAsia="zh-CN"/>
        </w:rPr>
        <w:t xml:space="preserve">八</w:t>
      </w:r>
      <w:r>
        <w:rPr>
          <w:rFonts w:ascii="宋体" w:hAnsi="宋体" w:cs="宋体"/>
          <w:color w:val="000000"/>
          <w:sz w:val="30"/>
          <w:szCs w:val="30"/>
          <w:highlight w:val="none"/>
        </w:rPr>
        <w:t xml:space="preserve">：</w:t>
      </w:r>
      <w:r>
        <w:rPr>
          <w:rFonts w:hint="eastAsia" w:ascii="宋体" w:hAnsi="宋体" w:cs="宋体"/>
          <w:color w:val="000000"/>
          <w:sz w:val="30"/>
          <w:szCs w:val="30"/>
          <w:highlight w:val="none"/>
          <w:lang w:val="en-US" w:eastAsia="zh-CN"/>
        </w:rPr>
        <w:t xml:space="preserve">业绩（</w:t>
      </w:r>
      <w:r>
        <w:rPr>
          <w:rFonts w:hint="eastAsia" w:ascii="宋体" w:hAnsi="宋体" w:eastAsia="宋体" w:cs="宋体"/>
          <w:color w:val="000000"/>
          <w:highlight w:val="none"/>
          <w:lang w:val="en-US" w:eastAsia="zh-CN"/>
        </w:rPr>
        <w:t xml:space="preserve">加盖电子公章</w:t>
      </w:r>
      <w:bookmarkEnd w:id="179"/>
      <w:r/>
      <w:bookmarkEnd w:id="180"/>
      <w:r>
        <w:rPr>
          <w:rFonts w:hint="eastAsia" w:ascii="宋体" w:hAnsi="宋体" w:eastAsia="宋体" w:cs="宋体"/>
          <w:color w:val="000000"/>
          <w:highlight w:val="none"/>
          <w:lang w:val="en-US" w:eastAsia="zh-CN"/>
        </w:rPr>
        <w:t xml:space="preserve">）</w:t>
      </w:r>
      <w:r>
        <w:rPr>
          <w:rFonts w:hint="eastAsia"/>
          <w:highlight w:val="none"/>
          <w:lang w:val="en-US" w:eastAsia="zh-CN"/>
        </w:rPr>
      </w:r>
      <w:r/>
    </w:p>
    <w:p>
      <w:pPr>
        <w:pStyle w:val="1124"/>
        <w:numPr>
          <w:ilvl w:val="0"/>
          <w:numId w:val="0"/>
        </w:numPr>
        <w:ind w:left="0" w:firstLine="0"/>
        <w:jc w:val="center"/>
        <w:spacing w:line="360" w:lineRule="auto"/>
        <w:tabs>
          <w:tab w:val="left" w:pos="720" w:leader="none"/>
        </w:tabs>
        <w:rPr>
          <w:rFonts w:ascii="宋体" w:hAnsi="宋体" w:cs="宋体"/>
          <w:color w:val="000000"/>
          <w:sz w:val="30"/>
          <w:szCs w:val="30"/>
          <w:highlight w:val="none"/>
          <w:lang w:val="en-US" w:eastAsia="zh-CN"/>
        </w:rPr>
        <w:sectPr>
          <w:footnotePr/>
          <w:endnotePr/>
          <w:type w:val="nextPage"/>
          <w:pgSz w:w="11906" w:h="16838" w:orient="portrait"/>
          <w:pgMar w:top="1253" w:right="1253" w:bottom="1253" w:left="1253" w:header="624" w:footer="992" w:gutter="0"/>
          <w:lnNumType w:countBy="0" w:start="1"/>
          <w:cols w:num="1" w:sep="0" w:space="1701" w:equalWidth="1"/>
          <w:docGrid w:linePitch="360"/>
        </w:sectPr>
        <w:outlineLvl w:val="0"/>
      </w:pPr>
      <w:r/>
      <w:bookmarkStart w:id="181" w:name="_Toc13472"/>
      <w:r/>
      <w:bookmarkStart w:id="182" w:name="_Toc31485"/>
      <w:r>
        <w:rPr>
          <w:rFonts w:hint="eastAsia" w:ascii="宋体" w:hAnsi="宋体" w:cs="宋体"/>
          <w:color w:val="000000"/>
          <w:sz w:val="30"/>
          <w:szCs w:val="30"/>
          <w:highlight w:val="none"/>
          <w:lang w:val="en-US" w:eastAsia="zh-CN"/>
        </w:rPr>
        <w:t xml:space="preserve">九</w:t>
      </w:r>
      <w:r>
        <w:rPr>
          <w:rFonts w:ascii="宋体" w:hAnsi="宋体" w:cs="宋体"/>
          <w:color w:val="000000"/>
          <w:sz w:val="30"/>
          <w:szCs w:val="30"/>
          <w:highlight w:val="none"/>
        </w:rPr>
        <w:t xml:space="preserve">：</w:t>
      </w:r>
      <w:r>
        <w:rPr>
          <w:rFonts w:hint="eastAsia" w:ascii="宋体" w:hAnsi="宋体" w:cs="宋体"/>
          <w:color w:val="000000"/>
          <w:sz w:val="30"/>
          <w:szCs w:val="30"/>
          <w:highlight w:val="none"/>
          <w:lang w:val="en-US" w:eastAsia="zh-CN"/>
        </w:rPr>
        <w:t xml:space="preserve">方案（格式自拟，</w:t>
      </w:r>
      <w:r>
        <w:rPr>
          <w:rFonts w:hint="eastAsia" w:ascii="宋体" w:hAnsi="宋体" w:eastAsia="宋体" w:cs="宋体"/>
          <w:color w:val="000000"/>
          <w:highlight w:val="none"/>
          <w:lang w:val="en-US" w:eastAsia="zh-CN"/>
        </w:rPr>
        <w:t xml:space="preserve">加盖电子公章</w:t>
      </w:r>
      <w:r>
        <w:rPr>
          <w:rFonts w:hint="eastAsia" w:ascii="宋体" w:hAnsi="宋体" w:cs="宋体"/>
          <w:color w:val="000000"/>
          <w:sz w:val="30"/>
          <w:szCs w:val="30"/>
          <w:highlight w:val="none"/>
          <w:lang w:val="en-US" w:eastAsia="zh-CN"/>
        </w:rPr>
        <w:t xml:space="preserve">）</w:t>
      </w:r>
      <w:bookmarkEnd w:id="181"/>
      <w:r/>
      <w:bookmarkEnd w:id="182"/>
      <w:r>
        <w:rPr>
          <w:rFonts w:ascii="宋体" w:hAnsi="宋体" w:cs="宋体"/>
          <w:color w:val="000000"/>
          <w:sz w:val="30"/>
          <w:szCs w:val="30"/>
          <w:highlight w:val="none"/>
          <w:lang w:val="en-US" w:eastAsia="zh-CN"/>
        </w:rPr>
      </w:r>
      <w:r/>
    </w:p>
    <w:p>
      <w:pPr>
        <w:pStyle w:val="1063"/>
        <w:rPr>
          <w:rFonts w:hint="eastAsia"/>
          <w:highlight w:val="none"/>
        </w:rPr>
      </w:pPr>
      <w:r>
        <w:rPr>
          <w:rFonts w:hint="eastAsia"/>
          <w:highlight w:val="none"/>
        </w:rPr>
      </w:r>
      <w:r/>
    </w:p>
    <w:p>
      <w:pPr>
        <w:pStyle w:val="1124"/>
        <w:numPr>
          <w:ilvl w:val="0"/>
          <w:numId w:val="5"/>
        </w:numPr>
        <w:jc w:val="center"/>
        <w:spacing w:line="360" w:lineRule="auto"/>
        <w:tabs>
          <w:tab w:val="left" w:pos="720" w:leader="none"/>
        </w:tabs>
        <w:rPr>
          <w:rFonts w:hint="eastAsia" w:ascii="宋体" w:hAnsi="宋体" w:cs="宋体"/>
          <w:sz w:val="30"/>
          <w:szCs w:val="30"/>
          <w:highlight w:val="none"/>
          <w:lang w:val="en-US" w:eastAsia="zh-CN"/>
        </w:rPr>
        <w:outlineLvl w:val="0"/>
      </w:pPr>
      <w:r>
        <w:rPr>
          <w:rFonts w:hint="eastAsia" w:ascii="宋体" w:hAnsi="宋体" w:cs="宋体"/>
          <w:sz w:val="30"/>
          <w:szCs w:val="30"/>
          <w:highlight w:val="none"/>
          <w:lang w:val="en-US" w:eastAsia="zh-CN"/>
        </w:rPr>
        <w:t xml:space="preserve">相关附件格式</w:t>
      </w:r>
      <w:r>
        <w:rPr>
          <w:rFonts w:hint="eastAsia" w:ascii="宋体" w:hAnsi="宋体" w:cs="宋体"/>
          <w:sz w:val="30"/>
          <w:szCs w:val="30"/>
          <w:highlight w:val="none"/>
          <w:lang w:val="en-US" w:eastAsia="zh-CN"/>
        </w:rPr>
      </w:r>
      <w:r/>
    </w:p>
    <w:p>
      <w:pPr>
        <w:pStyle w:val="1124"/>
        <w:numPr>
          <w:ilvl w:val="0"/>
          <w:numId w:val="0"/>
        </w:numPr>
        <w:ind w:left="0" w:firstLine="0"/>
        <w:jc w:val="both"/>
        <w:spacing w:line="360" w:lineRule="auto"/>
        <w:tabs>
          <w:tab w:val="left" w:pos="720" w:leader="none"/>
        </w:tabs>
        <w:rPr>
          <w:rFonts w:hint="eastAsia" w:ascii="宋体" w:hAnsi="宋体" w:cs="宋体"/>
          <w:sz w:val="30"/>
          <w:szCs w:val="30"/>
          <w:highlight w:val="none"/>
          <w:lang w:val="en-US" w:eastAsia="zh-CN"/>
        </w:rPr>
        <w:outlineLvl w:val="0"/>
      </w:pPr>
      <w:r>
        <w:rPr>
          <w:rFonts w:hint="eastAsia" w:ascii="宋体" w:hAnsi="宋体" w:cs="宋体"/>
          <w:sz w:val="30"/>
          <w:szCs w:val="30"/>
          <w:highlight w:val="none"/>
          <w:lang w:val="en-US" w:eastAsia="zh-CN"/>
        </w:rPr>
      </w:r>
      <w:r/>
    </w:p>
    <w:p>
      <w:pPr>
        <w:pStyle w:val="1124"/>
        <w:numPr>
          <w:ilvl w:val="0"/>
          <w:numId w:val="0"/>
        </w:numPr>
        <w:ind w:left="0" w:firstLine="0"/>
        <w:jc w:val="both"/>
        <w:spacing w:line="360" w:lineRule="auto"/>
        <w:tabs>
          <w:tab w:val="left" w:pos="720" w:leader="none"/>
        </w:tabs>
        <w:rPr>
          <w:rFonts w:hint="eastAsia" w:ascii="宋体" w:hAnsi="宋体" w:cs="宋体"/>
          <w:sz w:val="30"/>
          <w:szCs w:val="30"/>
          <w:highlight w:val="none"/>
        </w:rPr>
        <w:outlineLvl w:val="0"/>
      </w:pPr>
      <w:r>
        <w:rPr>
          <w:rFonts w:hint="eastAsia" w:ascii="宋体" w:hAnsi="宋体" w:cs="宋体"/>
          <w:sz w:val="30"/>
          <w:szCs w:val="30"/>
          <w:highlight w:val="none"/>
        </w:rPr>
        <w:t xml:space="preserve">附 件1：</w:t>
      </w:r>
      <w:r>
        <w:rPr>
          <w:rFonts w:hint="eastAsia" w:ascii="宋体" w:hAnsi="宋体" w:cs="宋体"/>
          <w:sz w:val="30"/>
          <w:szCs w:val="30"/>
          <w:highlight w:val="none"/>
        </w:rPr>
        <w:t xml:space="preserve">具备履行合同所必需的设备和专业技术能力的书面声明</w:t>
      </w:r>
      <w:r>
        <w:rPr>
          <w:rFonts w:hint="eastAsia" w:ascii="宋体" w:hAnsi="宋体" w:cs="宋体"/>
          <w:sz w:val="30"/>
          <w:szCs w:val="30"/>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主要设备有：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主要专业技术能力有：</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ind w:firstLine="3840"/>
        <w:spacing w:line="360" w:lineRule="auto"/>
        <w:rPr>
          <w:rFonts w:hint="eastAsia"/>
          <w:highlight w:val="none"/>
        </w:rPr>
      </w:pPr>
      <w:r>
        <w:rPr>
          <w:rFonts w:hint="eastAsia"/>
          <w:highlight w:val="none"/>
        </w:rPr>
        <w:t xml:space="preserve">法定代表人或授权代表（签字或签章）：                                     </w:t>
      </w:r>
      <w:r>
        <w:rPr>
          <w:rFonts w:hint="eastAsia"/>
          <w:highlight w:val="none"/>
        </w:rPr>
      </w:r>
      <w:r/>
    </w:p>
    <w:p>
      <w:pPr>
        <w:pStyle w:val="1063"/>
        <w:ind w:firstLine="384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063"/>
        <w:ind w:firstLine="456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35"/>
        <w:ind w:firstLine="480"/>
        <w:spacing w:line="360" w:lineRule="auto"/>
        <w:rPr>
          <w:rFonts w:ascii="宋体" w:hAnsi="宋体" w:cs="宋体"/>
          <w:highlight w:val="none"/>
        </w:rPr>
      </w:pPr>
      <w:r>
        <w:rPr>
          <w:rFonts w:hint="eastAsia" w:ascii="宋体" w:hAnsi="宋体" w:cs="宋体"/>
          <w:highlight w:val="none"/>
        </w:rPr>
        <w:br w:type="page" w:clear="all"/>
      </w:r>
      <w:r>
        <w:rPr>
          <w:rFonts w:ascii="宋体" w:hAnsi="宋体" w:cs="宋体"/>
          <w:highlight w:val="none"/>
        </w:rPr>
      </w:r>
      <w:r/>
    </w:p>
    <w:p>
      <w:pPr>
        <w:pStyle w:val="1135"/>
        <w:ind w:firstLine="480"/>
        <w:spacing w:line="360" w:lineRule="auto"/>
        <w:rPr>
          <w:rFonts w:ascii="宋体" w:hAnsi="宋体" w:cs="宋体"/>
          <w:highlight w:val="none"/>
        </w:rPr>
      </w:pPr>
      <w:r>
        <w:rPr>
          <w:rFonts w:ascii="宋体" w:hAnsi="宋体" w:cs="宋体"/>
          <w:highlight w:val="none"/>
        </w:rPr>
      </w:r>
      <w:r/>
    </w:p>
    <w:p>
      <w:pPr>
        <w:pStyle w:val="1124"/>
        <w:numPr>
          <w:ilvl w:val="0"/>
          <w:numId w:val="0"/>
        </w:numPr>
        <w:jc w:val="center"/>
        <w:spacing w:line="360" w:lineRule="auto"/>
        <w:tabs>
          <w:tab w:val="left" w:pos="720" w:leader="none"/>
        </w:tabs>
        <w:rPr>
          <w:rFonts w:hint="eastAsia" w:ascii="宋体" w:hAnsi="宋体" w:cs="宋体"/>
          <w:sz w:val="30"/>
          <w:szCs w:val="30"/>
          <w:highlight w:val="none"/>
        </w:rPr>
        <w:outlineLvl w:val="0"/>
      </w:pPr>
      <w:r>
        <w:rPr>
          <w:rFonts w:hint="eastAsia" w:ascii="宋体" w:hAnsi="宋体" w:cs="宋体"/>
          <w:sz w:val="30"/>
          <w:szCs w:val="30"/>
          <w:highlight w:val="none"/>
        </w:rPr>
        <w:t xml:space="preserve">附 件2：</w:t>
      </w:r>
      <w:r>
        <w:rPr>
          <w:rFonts w:hint="eastAsia" w:ascii="宋体" w:hAnsi="宋体" w:cs="宋体"/>
          <w:sz w:val="30"/>
          <w:szCs w:val="30"/>
          <w:highlight w:val="none"/>
        </w:rPr>
        <w:t xml:space="preserve">三年内无重大违纪声明</w:t>
      </w:r>
      <w:r>
        <w:rPr>
          <w:rFonts w:hint="eastAsia" w:ascii="宋体" w:hAnsi="宋体" w:cs="宋体"/>
          <w:sz w:val="30"/>
          <w:szCs w:val="30"/>
          <w:highlight w:val="none"/>
        </w:rPr>
      </w:r>
      <w:r/>
    </w:p>
    <w:p>
      <w:pPr>
        <w:pStyle w:val="1063"/>
        <w:ind w:firstLine="723"/>
        <w:jc w:val="center"/>
        <w:spacing w:line="360" w:lineRule="auto"/>
        <w:rPr>
          <w:rFonts w:hint="eastAsia" w:ascii="宋体" w:hAnsi="宋体" w:cs="宋体"/>
          <w:sz w:val="36"/>
          <w:szCs w:val="36"/>
          <w:highlight w:val="none"/>
        </w:rPr>
      </w:pPr>
      <w:r>
        <w:rPr>
          <w:rFonts w:hint="eastAsia" w:ascii="宋体" w:hAnsi="宋体" w:cs="宋体"/>
          <w:b/>
          <w:bCs/>
          <w:sz w:val="36"/>
          <w:szCs w:val="36"/>
          <w:highlight w:val="none"/>
        </w:rPr>
        <w:t xml:space="preserve">声  明</w:t>
      </w:r>
      <w:r>
        <w:rPr>
          <w:rFonts w:hint="eastAsia" w:ascii="宋体" w:hAnsi="宋体" w:cs="宋体"/>
          <w:sz w:val="36"/>
          <w:szCs w:val="36"/>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投标人名称（加盖CA电子签章）： </w:t>
      </w:r>
      <w:r>
        <w:rPr>
          <w:rFonts w:hint="eastAsia" w:ascii="宋体" w:hAnsi="宋体"/>
          <w:sz w:val="24"/>
          <w:szCs w:val="24"/>
          <w:highlight w:val="none"/>
          <w:u w:val="single"/>
        </w:rPr>
        <w:t xml:space="preserve">                       </w:t>
      </w:r>
      <w:r>
        <w:rPr>
          <w:rFonts w:ascii="宋体" w:hAnsi="宋体"/>
          <w:sz w:val="24"/>
          <w:szCs w:val="24"/>
          <w:highlight w:val="none"/>
        </w:rPr>
      </w:r>
      <w:r/>
    </w:p>
    <w:p>
      <w:pPr>
        <w:pStyle w:val="1102"/>
        <w:ind w:firstLine="3840"/>
        <w:spacing w:line="360" w:lineRule="auto"/>
        <w:rPr>
          <w:rFonts w:hint="eastAsia"/>
          <w:highlight w:val="none"/>
        </w:rPr>
      </w:pPr>
      <w:r>
        <w:rPr>
          <w:rFonts w:hint="eastAsia"/>
          <w:highlight w:val="none"/>
        </w:rPr>
        <w:t xml:space="preserve">法定代表人或授权代表（签字或签章）：                                     </w:t>
      </w:r>
      <w:r>
        <w:rPr>
          <w:rFonts w:hint="eastAsia"/>
          <w:highlight w:val="none"/>
        </w:rPr>
      </w:r>
      <w:r/>
    </w:p>
    <w:p>
      <w:pPr>
        <w:pStyle w:val="1063"/>
        <w:ind w:firstLine="3840"/>
        <w:spacing w:line="360" w:lineRule="auto"/>
        <w:rPr>
          <w:rFonts w:hint="eastAsia" w:ascii="宋体" w:hAnsi="宋体"/>
          <w:sz w:val="24"/>
          <w:szCs w:val="24"/>
          <w:highlight w:val="none"/>
        </w:rPr>
      </w:pPr>
      <w:r>
        <w:rPr>
          <w:rFonts w:hint="eastAsia" w:ascii="宋体" w:hAnsi="宋体"/>
          <w:sz w:val="24"/>
          <w:szCs w:val="24"/>
          <w:highlight w:val="none"/>
        </w:rPr>
        <w:t xml:space="preserve">日期：  年月日</w:t>
      </w:r>
      <w:r>
        <w:rPr>
          <w:rFonts w:hint="eastAsia" w:ascii="宋体" w:hAnsi="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063"/>
        <w:ind w:firstLine="482"/>
        <w:jc w:val="center"/>
        <w:spacing w:line="360" w:lineRule="auto"/>
        <w:rPr>
          <w:rFonts w:hint="eastAsia" w:ascii="宋体" w:hAnsi="宋体" w:cs="宋体"/>
          <w:b/>
          <w:bCs/>
          <w:sz w:val="24"/>
          <w:szCs w:val="24"/>
          <w:highlight w:val="none"/>
        </w:rPr>
      </w:pPr>
      <w:r>
        <w:rPr>
          <w:rFonts w:hint="eastAsia" w:ascii="宋体" w:hAnsi="宋体" w:cs="宋体"/>
          <w:b/>
          <w:bCs/>
          <w:sz w:val="24"/>
          <w:szCs w:val="24"/>
          <w:highlight w:val="none"/>
        </w:rPr>
        <w:br w:type="page" w:clear="all"/>
      </w:r>
      <w:r>
        <w:rPr>
          <w:rFonts w:hint="eastAsia" w:ascii="宋体" w:hAnsi="宋体" w:cs="宋体"/>
          <w:b/>
          <w:bCs/>
          <w:sz w:val="24"/>
          <w:szCs w:val="24"/>
          <w:highlight w:val="none"/>
        </w:rPr>
      </w:r>
      <w:r/>
    </w:p>
    <w:p>
      <w:pPr>
        <w:pStyle w:val="1124"/>
        <w:numPr>
          <w:ilvl w:val="0"/>
          <w:numId w:val="0"/>
        </w:numPr>
        <w:jc w:val="center"/>
        <w:spacing w:line="360" w:lineRule="auto"/>
        <w:tabs>
          <w:tab w:val="left" w:pos="720" w:leader="none"/>
        </w:tabs>
        <w:rPr>
          <w:rFonts w:hint="eastAsia" w:ascii="宋体" w:hAnsi="宋体" w:cs="宋体"/>
          <w:sz w:val="30"/>
          <w:szCs w:val="30"/>
          <w:highlight w:val="none"/>
        </w:rPr>
        <w:outlineLvl w:val="0"/>
      </w:pPr>
      <w:r>
        <w:rPr>
          <w:rFonts w:hint="eastAsia" w:ascii="宋体" w:hAnsi="宋体" w:cs="宋体"/>
          <w:sz w:val="30"/>
          <w:szCs w:val="30"/>
          <w:highlight w:val="none"/>
          <w:lang w:val="en-US" w:eastAsia="zh-CN"/>
        </w:rPr>
        <w:t xml:space="preserve">附件3 ： </w:t>
      </w:r>
      <w:r>
        <w:rPr>
          <w:rFonts w:hint="eastAsia" w:ascii="宋体" w:hAnsi="宋体" w:cs="宋体"/>
          <w:sz w:val="30"/>
          <w:szCs w:val="30"/>
          <w:highlight w:val="none"/>
        </w:rPr>
        <w:t xml:space="preserve">中小企业声明函格式（</w:t>
      </w:r>
      <w:r>
        <w:rPr>
          <w:rFonts w:hint="eastAsia" w:ascii="宋体" w:hAnsi="宋体" w:cs="宋体"/>
          <w:highlight w:val="none"/>
        </w:rPr>
        <w:t xml:space="preserve">如有</w:t>
      </w:r>
      <w:r>
        <w:rPr>
          <w:rFonts w:hint="eastAsia" w:ascii="宋体" w:hAnsi="宋体" w:cs="宋体"/>
          <w:sz w:val="30"/>
          <w:szCs w:val="30"/>
          <w:highlight w:val="none"/>
        </w:rPr>
        <w:t xml:space="preserve">）</w:t>
      </w:r>
      <w:r>
        <w:rPr>
          <w:rFonts w:hint="eastAsia" w:ascii="宋体" w:hAnsi="宋体" w:cs="宋体"/>
          <w:sz w:val="30"/>
          <w:szCs w:val="30"/>
          <w:highlight w:val="none"/>
        </w:rPr>
      </w:r>
      <w:r/>
    </w:p>
    <w:p>
      <w:pPr>
        <w:pStyle w:val="1063"/>
        <w:jc w:val="center"/>
        <w:spacing w:line="360" w:lineRule="auto"/>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中小企业声明函</w:t>
      </w:r>
      <w:r>
        <w:rPr>
          <w:rFonts w:hint="eastAsia" w:ascii="宋体" w:hAnsi="宋体" w:eastAsia="宋体" w:cs="宋体"/>
          <w:b/>
          <w:bCs/>
          <w:sz w:val="28"/>
          <w:szCs w:val="28"/>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 服务全部由符合政策要求的中小企业承接）。相关企业（含联合体中的中小企业、签订分包意向协议的中小企业）的具体情况如下∶</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1.（标的名称），属于（采购文件中明确的所属行业）;承建（承接）企业为（企业名称），从业人员___人，营业收入为____万元，资产总额为___万元，属于（中型企业、小型企业、微型企业）;</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2.（标的名称），属于（采购文件中明确的所属行业）;承建（承接）企业为（企业名称），从业人员____人，营业收入为___万元，资产总额为___万元，属于（中型企业、小型企业、微型企业）;</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供应商全称（公章）：</w:t>
      </w:r>
      <w:r>
        <w:rPr>
          <w:rFonts w:hint="eastAsia" w:ascii="宋体" w:hAnsi="宋体" w:eastAsia="宋体" w:cs="宋体"/>
          <w:sz w:val="24"/>
          <w:szCs w:val="24"/>
          <w:highlight w:val="none"/>
        </w:rPr>
      </w:r>
      <w:r/>
    </w:p>
    <w:p>
      <w:pPr>
        <w:pStyle w:val="1063"/>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说明：</w:t>
      </w:r>
      <w:r>
        <w:rPr>
          <w:rFonts w:hint="eastAsia" w:ascii="宋体" w:hAnsi="宋体" w:cs="宋体"/>
          <w:sz w:val="24"/>
          <w:szCs w:val="24"/>
          <w:highlight w:val="none"/>
        </w:rPr>
      </w:r>
      <w:r/>
    </w:p>
    <w:p>
      <w:pPr>
        <w:pStyle w:val="1063"/>
        <w:ind w:firstLine="480"/>
        <w:rPr>
          <w:rFonts w:hint="eastAsia" w:ascii="宋体" w:hAnsi="宋体" w:cs="宋体"/>
          <w:sz w:val="24"/>
          <w:szCs w:val="24"/>
          <w:highlight w:val="none"/>
        </w:rPr>
      </w:pPr>
      <w:r>
        <w:rPr>
          <w:rFonts w:hint="eastAsia" w:ascii="宋体" w:hAnsi="宋体" w:cs="宋体"/>
          <w:sz w:val="24"/>
          <w:szCs w:val="24"/>
          <w:highlight w:val="none"/>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cs="宋体"/>
          <w:sz w:val="24"/>
          <w:szCs w:val="24"/>
          <w:highlight w:val="none"/>
        </w:rPr>
      </w:r>
      <w:r/>
    </w:p>
    <w:p>
      <w:pPr>
        <w:pStyle w:val="1063"/>
        <w:ind w:firstLine="360"/>
        <w:rPr>
          <w:rFonts w:hint="eastAsia" w:ascii="宋体" w:hAnsi="宋体" w:cs="宋体"/>
          <w:sz w:val="24"/>
          <w:szCs w:val="24"/>
          <w:highlight w:val="none"/>
        </w:rPr>
      </w:pPr>
      <w:r>
        <w:rPr>
          <w:rFonts w:hint="eastAsia" w:ascii="宋体" w:hAnsi="宋体" w:cs="宋体"/>
          <w:sz w:val="24"/>
          <w:szCs w:val="24"/>
          <w:highlight w:val="none"/>
        </w:rPr>
        <w:t xml:space="preserve">2、从业人员、营业收入、资产总额填报上一年度数据，无上一年度数据的新成立企业可不填报。</w:t>
      </w:r>
      <w:r>
        <w:rPr>
          <w:rFonts w:hint="eastAsia" w:ascii="宋体" w:hAnsi="宋体" w:cs="宋体"/>
          <w:sz w:val="24"/>
          <w:szCs w:val="24"/>
          <w:highlight w:val="none"/>
        </w:rPr>
      </w:r>
      <w:r/>
    </w:p>
    <w:p>
      <w:pPr>
        <w:pStyle w:val="1063"/>
        <w:ind w:firstLine="360"/>
        <w:rPr>
          <w:rFonts w:hint="eastAsia" w:ascii="宋体" w:hAnsi="宋体" w:cs="宋体"/>
          <w:sz w:val="24"/>
          <w:szCs w:val="24"/>
          <w:highlight w:val="none"/>
        </w:rPr>
      </w:pPr>
      <w:r>
        <w:rPr>
          <w:rFonts w:hint="eastAsia" w:ascii="宋体" w:hAnsi="宋体" w:cs="宋体"/>
          <w:sz w:val="24"/>
          <w:szCs w:val="24"/>
          <w:highlight w:val="none"/>
        </w:rPr>
        <w:t xml:space="preserve">3、投标人如不提供此声明函，不得参加专门面向中小企业采购项目或者不得享受小微企业价格扣除政策。此声明函将随成交结果同时公告，接受社会监督。</w:t>
      </w:r>
      <w:r>
        <w:rPr>
          <w:rFonts w:hint="eastAsia" w:ascii="宋体" w:hAnsi="宋体" w:cs="宋体"/>
          <w:sz w:val="24"/>
          <w:szCs w:val="24"/>
          <w:highlight w:val="none"/>
        </w:rPr>
      </w:r>
      <w:r/>
    </w:p>
    <w:p>
      <w:pPr>
        <w:pStyle w:val="1063"/>
        <w:ind w:firstLine="360"/>
        <w:rPr>
          <w:rFonts w:ascii="宋体" w:hAnsi="宋体" w:cs="宋体"/>
          <w:sz w:val="24"/>
          <w:szCs w:val="24"/>
          <w:highlight w:val="none"/>
        </w:rPr>
      </w:pPr>
      <w:r>
        <w:rPr>
          <w:rFonts w:hint="eastAsia" w:ascii="宋体" w:hAnsi="宋体" w:cs="宋体"/>
          <w:sz w:val="24"/>
          <w:szCs w:val="24"/>
          <w:highlight w:val="none"/>
        </w:rPr>
        <w:t xml:space="preserve">4、</w:t>
      </w:r>
      <w:r>
        <w:rPr>
          <w:rFonts w:hint="eastAsia" w:ascii="宋体" w:hAnsi="宋体"/>
          <w:sz w:val="24"/>
          <w:szCs w:val="24"/>
          <w:highlight w:val="none"/>
        </w:rPr>
        <w:t xml:space="preserve">货物采购项目中，货物的制造商应当为中小企业，不对其中涉及的服务的承接商、工程的承建商作出要求。</w:t>
      </w:r>
      <w:r>
        <w:rPr>
          <w:rFonts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15"/>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pStyle w:val="1124"/>
        <w:numPr>
          <w:ilvl w:val="0"/>
          <w:numId w:val="0"/>
        </w:numPr>
        <w:jc w:val="center"/>
        <w:spacing w:line="360" w:lineRule="auto"/>
        <w:tabs>
          <w:tab w:val="left" w:pos="720" w:leader="none"/>
        </w:tabs>
        <w:rPr>
          <w:rFonts w:hint="eastAsia" w:ascii="宋体" w:hAnsi="宋体" w:cs="宋体"/>
          <w:sz w:val="30"/>
          <w:szCs w:val="30"/>
          <w:highlight w:val="none"/>
        </w:rPr>
        <w:outlineLvl w:val="0"/>
      </w:pPr>
      <w:r>
        <w:rPr>
          <w:rFonts w:hint="eastAsia" w:ascii="宋体" w:hAnsi="宋体" w:cs="宋体"/>
          <w:sz w:val="30"/>
          <w:szCs w:val="30"/>
          <w:highlight w:val="none"/>
          <w:lang w:val="en-US" w:eastAsia="zh-CN"/>
        </w:rPr>
        <w:t xml:space="preserve">附件 </w:t>
      </w:r>
      <w:r>
        <w:rPr>
          <w:rFonts w:hint="eastAsia" w:ascii="宋体" w:hAnsi="宋体" w:cs="宋体"/>
          <w:sz w:val="30"/>
          <w:szCs w:val="30"/>
          <w:highlight w:val="none"/>
          <w:lang w:val="en-US" w:eastAsia="zh-CN"/>
        </w:rPr>
        <w:t xml:space="preserve">4</w:t>
      </w:r>
      <w:r>
        <w:rPr>
          <w:rFonts w:hint="eastAsia" w:ascii="宋体" w:hAnsi="宋体" w:cs="宋体"/>
          <w:sz w:val="30"/>
          <w:szCs w:val="30"/>
          <w:highlight w:val="none"/>
          <w:lang w:val="en-US" w:eastAsia="zh-CN"/>
        </w:rPr>
        <w:t xml:space="preserve">  ： </w:t>
      </w:r>
      <w:r>
        <w:rPr>
          <w:rFonts w:hint="eastAsia" w:ascii="宋体" w:hAnsi="宋体" w:cs="宋体"/>
          <w:sz w:val="30"/>
          <w:szCs w:val="30"/>
          <w:highlight w:val="none"/>
        </w:rPr>
        <w:t xml:space="preserve">残疾人福利性单位声明函</w:t>
      </w:r>
      <w:r>
        <w:rPr>
          <w:rFonts w:hint="eastAsia" w:ascii="宋体" w:hAnsi="宋体" w:cs="宋体"/>
          <w:sz w:val="30"/>
          <w:szCs w:val="30"/>
          <w:highlight w:val="none"/>
        </w:rPr>
      </w:r>
      <w:r/>
    </w:p>
    <w:p>
      <w:pPr>
        <w:pStyle w:val="1063"/>
        <w:ind w:firstLine="624"/>
        <w:spacing w:line="360" w:lineRule="auto"/>
        <w:rPr>
          <w:rFonts w:hint="eastAsia" w:ascii="宋体" w:hAnsi="宋体" w:cs="宋体"/>
          <w:spacing w:val="6"/>
          <w:sz w:val="30"/>
          <w:szCs w:val="30"/>
          <w:highlight w:val="none"/>
        </w:rPr>
      </w:pPr>
      <w:r>
        <w:rPr>
          <w:rFonts w:hint="eastAsia" w:ascii="宋体" w:hAnsi="宋体" w:cs="宋体"/>
          <w:spacing w:val="6"/>
          <w:sz w:val="30"/>
          <w:szCs w:val="30"/>
          <w:highlight w:val="none"/>
          <w:lang w:bidi="ar"/>
        </w:rPr>
        <w:t xml:space="preserve"> </w:t>
      </w:r>
      <w:r>
        <w:rPr>
          <w:rFonts w:hint="eastAsia" w:ascii="宋体" w:hAnsi="宋体" w:cs="宋体"/>
          <w:spacing w:val="6"/>
          <w:sz w:val="30"/>
          <w:szCs w:val="30"/>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cs="宋体"/>
          <w:sz w:val="24"/>
          <w:szCs w:val="24"/>
          <w:highlight w:val="none"/>
          <w:u w:val="single"/>
          <w:lang w:bidi="ar"/>
        </w:rPr>
        <w:t xml:space="preserve">       </w:t>
      </w:r>
      <w:r>
        <w:rPr>
          <w:rFonts w:hint="eastAsia" w:ascii="宋体" w:hAnsi="宋体" w:cs="宋体"/>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本单位对上述声明的真实性负责。如有虚假，将依法承担相应责任。</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 </w:t>
      </w:r>
      <w:r>
        <w:rPr>
          <w:rFonts w:hint="eastAsia" w:ascii="宋体" w:hAnsi="宋体" w:cs="宋体"/>
          <w:sz w:val="24"/>
          <w:szCs w:val="24"/>
          <w:highlight w:val="none"/>
        </w:rPr>
      </w:r>
      <w:r/>
    </w:p>
    <w:p>
      <w:pPr>
        <w:pStyle w:val="1063"/>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lang w:bidi="ar"/>
        </w:rPr>
        <w:t xml:space="preserve">（备注：1、供应商如不提供此声明函，价格将不做相应扣除。2、中标供应商为残疾人福利单位的，此声明函将随中标结果同时公告，接受社会监督）</w:t>
      </w:r>
      <w:r>
        <w:rPr>
          <w:rFonts w:hint="eastAsia" w:ascii="宋体" w:hAnsi="宋体" w:cs="宋体"/>
          <w:sz w:val="24"/>
          <w:szCs w:val="24"/>
          <w:highlight w:val="none"/>
        </w:rPr>
      </w:r>
      <w:r/>
    </w:p>
    <w:p>
      <w:pPr>
        <w:pStyle w:val="1063"/>
        <w:ind w:firstLine="624"/>
        <w:spacing w:line="360" w:lineRule="auto"/>
        <w:rPr>
          <w:rFonts w:hint="eastAsia" w:ascii="宋体" w:hAnsi="宋体" w:cs="宋体"/>
          <w:spacing w:val="6"/>
          <w:sz w:val="30"/>
          <w:szCs w:val="30"/>
          <w:highlight w:val="none"/>
        </w:rPr>
      </w:pPr>
      <w:r>
        <w:rPr>
          <w:rFonts w:hint="eastAsia" w:ascii="宋体" w:hAnsi="宋体" w:cs="宋体"/>
          <w:spacing w:val="6"/>
          <w:sz w:val="30"/>
          <w:szCs w:val="30"/>
          <w:highlight w:val="none"/>
          <w:lang w:bidi="ar"/>
        </w:rPr>
        <w:t xml:space="preserve"> </w:t>
      </w:r>
      <w:r>
        <w:rPr>
          <w:rFonts w:hint="eastAsia" w:ascii="宋体" w:hAnsi="宋体" w:cs="宋体"/>
          <w:spacing w:val="6"/>
          <w:sz w:val="30"/>
          <w:szCs w:val="30"/>
          <w:highlight w:val="none"/>
        </w:rPr>
      </w:r>
      <w:r/>
    </w:p>
    <w:p>
      <w:pPr>
        <w:pStyle w:val="1063"/>
        <w:ind w:right="180" w:firstLine="360"/>
        <w:jc w:val="right"/>
        <w:spacing w:line="360" w:lineRule="auto"/>
        <w:rPr>
          <w:rFonts w:ascii="宋体" w:hAnsi="宋体" w:cs="宋体"/>
          <w:sz w:val="24"/>
          <w:szCs w:val="24"/>
          <w:highlight w:val="none"/>
        </w:rPr>
      </w:pPr>
      <w:r>
        <w:rPr>
          <w:rFonts w:hint="eastAsia" w:ascii="宋体" w:hAnsi="宋体" w:cs="宋体"/>
          <w:spacing w:val="6"/>
          <w:sz w:val="30"/>
          <w:szCs w:val="30"/>
          <w:highlight w:val="none"/>
          <w:lang w:bidi="ar"/>
        </w:rPr>
        <w:t xml:space="preserve">             </w:t>
      </w:r>
      <w:r>
        <w:rPr>
          <w:rFonts w:hint="eastAsia" w:ascii="宋体" w:hAnsi="宋体" w:cs="宋体"/>
          <w:sz w:val="24"/>
          <w:szCs w:val="24"/>
          <w:highlight w:val="none"/>
          <w:lang w:bidi="ar"/>
        </w:rPr>
        <w:t xml:space="preserve">          </w:t>
      </w:r>
      <w:r>
        <w:rPr>
          <w:rFonts w:hint="eastAsia" w:ascii="宋体" w:hAnsi="宋体" w:cs="宋体"/>
          <w:sz w:val="24"/>
          <w:szCs w:val="24"/>
          <w:highlight w:val="none"/>
        </w:rPr>
        <w:t xml:space="preserve">企业名称：（加盖CA电子公章）</w:t>
      </w:r>
      <w:r>
        <w:rPr>
          <w:rFonts w:ascii="宋体" w:hAnsi="宋体" w:cs="宋体"/>
          <w:sz w:val="24"/>
          <w:szCs w:val="24"/>
          <w:highlight w:val="none"/>
        </w:rPr>
      </w:r>
      <w:r/>
    </w:p>
    <w:p>
      <w:pPr>
        <w:pStyle w:val="1124"/>
        <w:numPr>
          <w:ilvl w:val="0"/>
          <w:numId w:val="0"/>
        </w:numPr>
        <w:jc w:val="both"/>
        <w:spacing w:line="360" w:lineRule="auto"/>
        <w:tabs>
          <w:tab w:val="left" w:pos="720" w:leader="none"/>
        </w:tabs>
        <w:rPr>
          <w:rFonts w:ascii="宋体" w:hAnsi="宋体" w:cs="宋体"/>
          <w:sz w:val="24"/>
          <w:szCs w:val="24"/>
          <w:highlight w:val="none"/>
          <w:lang w:bidi="ar"/>
        </w:rPr>
        <w:outlineLvl w:val="0"/>
      </w:pPr>
      <w:r>
        <w:rPr>
          <w:rFonts w:hint="eastAsia" w:ascii="宋体" w:hAnsi="宋体" w:cs="宋体"/>
          <w:color w:val="000000"/>
          <w:sz w:val="24"/>
          <w:szCs w:val="24"/>
          <w:highlight w:val="none"/>
        </w:rPr>
        <w:t xml:space="preserve">日  期：年___月___</w:t>
      </w:r>
      <w:r>
        <w:rPr>
          <w:rFonts w:hint="eastAsia" w:ascii="宋体" w:hAnsi="宋体" w:cs="宋体"/>
          <w:sz w:val="24"/>
          <w:szCs w:val="24"/>
          <w:highlight w:val="none"/>
        </w:rPr>
        <w:br w:type="page" w:clear="all"/>
      </w:r>
      <w:r>
        <w:rPr>
          <w:rFonts w:hint="eastAsia" w:ascii="宋体" w:hAnsi="宋体" w:cs="宋体"/>
          <w:sz w:val="24"/>
          <w:szCs w:val="24"/>
          <w:highlight w:val="none"/>
          <w:lang w:val="en-US" w:eastAsia="zh-CN"/>
        </w:rPr>
        <w:t xml:space="preserve">        </w:t>
      </w:r>
      <w:r>
        <w:rPr>
          <w:rFonts w:hint="eastAsia" w:ascii="宋体" w:hAnsi="宋体" w:cs="宋体"/>
          <w:sz w:val="36"/>
          <w:szCs w:val="36"/>
          <w:highlight w:val="none"/>
          <w:lang w:val="en-US" w:eastAsia="zh-CN"/>
        </w:rPr>
        <w:t xml:space="preserve">十一</w:t>
      </w:r>
      <w:r>
        <w:rPr>
          <w:rFonts w:hint="eastAsia" w:ascii="宋体" w:hAnsi="宋体" w:cs="宋体"/>
          <w:sz w:val="36"/>
          <w:szCs w:val="36"/>
          <w:highlight w:val="none"/>
        </w:rPr>
        <w:t xml:space="preserve">、其它</w:t>
      </w:r>
      <w:r>
        <w:rPr>
          <w:rFonts w:ascii="宋体" w:hAnsi="宋体" w:cs="宋体"/>
          <w:color w:val="000000"/>
          <w:sz w:val="36"/>
          <w:szCs w:val="36"/>
          <w:highlight w:val="none"/>
        </w:rPr>
        <w:t xml:space="preserve">（</w:t>
      </w:r>
      <w:r>
        <w:rPr>
          <w:rFonts w:hint="eastAsia" w:ascii="宋体" w:hAnsi="宋体" w:cs="宋体"/>
          <w:color w:val="000000"/>
          <w:sz w:val="36"/>
          <w:szCs w:val="36"/>
          <w:highlight w:val="none"/>
          <w:lang w:val="en-US" w:eastAsia="zh-CN"/>
        </w:rPr>
        <w:t xml:space="preserve">如有，加盖电子公章</w:t>
      </w:r>
      <w:r>
        <w:rPr>
          <w:rFonts w:ascii="宋体" w:hAnsi="宋体" w:cs="宋体"/>
          <w:color w:val="000000"/>
          <w:sz w:val="36"/>
          <w:szCs w:val="36"/>
          <w:highlight w:val="none"/>
        </w:rPr>
        <w:t xml:space="preserve">）</w:t>
      </w:r>
      <w:r>
        <w:rPr>
          <w:rFonts w:ascii="宋体" w:hAnsi="宋体" w:cs="宋体"/>
          <w:sz w:val="24"/>
          <w:szCs w:val="24"/>
          <w:highlight w:val="none"/>
          <w:lang w:bidi="ar"/>
        </w:rPr>
      </w:r>
      <w:r/>
    </w:p>
    <w:p>
      <w:pPr>
        <w:pStyle w:val="1063"/>
        <w:ind w:right="1560" w:firstLine="480"/>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pStyle w:val="1063"/>
        <w:ind w:right="1560" w:firstLine="480"/>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pStyle w:val="1063"/>
        <w:ind w:right="1560" w:firstLine="480"/>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pStyle w:val="1063"/>
        <w:ind w:right="1560" w:firstLine="480"/>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p>
      <w:pPr>
        <w:pStyle w:val="1063"/>
        <w:ind w:right="1560" w:firstLine="480"/>
        <w:jc w:val="center"/>
        <w:spacing w:line="360" w:lineRule="auto"/>
        <w:rPr>
          <w:rFonts w:hint="eastAsia" w:ascii="宋体" w:hAnsi="宋体" w:cs="宋体"/>
          <w:sz w:val="24"/>
          <w:szCs w:val="24"/>
          <w:highlight w:val="none"/>
          <w:lang w:bidi="ar"/>
        </w:rPr>
      </w:pPr>
      <w:r>
        <w:rPr>
          <w:rFonts w:hint="eastAsia" w:ascii="宋体" w:hAnsi="宋体" w:cs="宋体"/>
          <w:sz w:val="24"/>
          <w:szCs w:val="24"/>
          <w:highlight w:val="none"/>
          <w:lang w:bidi="ar"/>
        </w:rPr>
      </w:r>
      <w:r/>
    </w:p>
    <w:sectPr>
      <w:headerReference w:type="default" r:id="rId13"/>
      <w:footerReference w:type="default" r:id="rId21"/>
      <w:footnotePr/>
      <w:endnotePr/>
      <w:type w:val="nextPage"/>
      <w:pgSz w:w="11906" w:h="16838" w:orient="portrait"/>
      <w:pgMar w:top="1253" w:right="1253" w:bottom="1253" w:left="125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Style w:val="1109"/>
        <w:rFonts w:hint="eastAsia"/>
        <w:sz w:val="24"/>
      </w:rPr>
      <w:framePr w:wrap="around" w:vAnchor="text" w:hAnchor="margin" w:xAlign="center" w:y="1"/>
    </w:pPr>
    <w:r>
      <w:rPr>
        <w:sz w:val="24"/>
      </w:rPr>
      <w:fldChar w:fldCharType="begin"/>
    </w:r>
    <w:r>
      <w:rPr>
        <w:rStyle w:val="1109"/>
        <w:sz w:val="24"/>
      </w:rPr>
      <w:instrText xml:space="preserve">PAGE  </w:instrText>
    </w:r>
    <w:r>
      <w:rPr>
        <w:sz w:val="24"/>
      </w:rPr>
      <w:fldChar w:fldCharType="separate"/>
    </w:r>
    <w:r>
      <w:rPr>
        <w:rStyle w:val="1109"/>
        <w:sz w:val="24"/>
      </w:rPr>
      <w:t xml:space="preserve">34</w:t>
    </w:r>
    <w:r>
      <w:rPr>
        <w:sz w:val="24"/>
      </w:rPr>
      <w:fldChar w:fldCharType="end"/>
    </w:r>
    <w:r>
      <w:rPr>
        <w:rStyle w:val="1109"/>
        <w:rFonts w:hint="eastAsia"/>
        <w:sz w:val="24"/>
      </w:rPr>
    </w:r>
    <w:r/>
  </w:p>
  <w:p>
    <w:pPr>
      <w:pStyle w:val="1092"/>
      <w:ind w:right="360" w:firstLine="360"/>
      <w:tabs>
        <w:tab w:val="center" w:pos="4153" w:leader="none"/>
        <w:tab w:val="right" w:pos="8306" w:leader="none"/>
      </w:tabs>
      <w:rPr>
        <w:rFonts w:hint="eastAsia"/>
      </w:rPr>
    </w:pPr>
    <w:r>
      <w:rPr>
        <w:rFonts w:hint="eastAsia"/>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tabs>
        <w:tab w:val="center" w:pos="4153" w:leader="none"/>
        <w:tab w:val="right" w:pos="8306" w:leader="none"/>
      </w:tabs>
      <w:rPr>
        <w:rStyle w:val="1109"/>
        <w:rFonts w:hint="eastAsia"/>
      </w:rPr>
      <w:framePr w:wrap="around" w:vAnchor="text" w:hAnchor="margin" w:xAlign="center" w:y="1"/>
    </w:pPr>
    <w:r>
      <w:fldChar w:fldCharType="begin"/>
    </w:r>
    <w:r>
      <w:rPr>
        <w:rStyle w:val="1109"/>
      </w:rPr>
      <w:instrText xml:space="preserve">PAGE  </w:instrText>
    </w:r>
    <w:r>
      <w:fldChar w:fldCharType="end"/>
    </w:r>
    <w:r>
      <w:rPr>
        <w:rStyle w:val="1109"/>
        <w:rFonts w:hint="eastAsia"/>
      </w:rPr>
    </w:r>
    <w:r/>
  </w:p>
  <w:p>
    <w:pPr>
      <w:pStyle w:val="1092"/>
      <w:ind w:right="360" w:firstLine="360"/>
      <w:tabs>
        <w:tab w:val="center" w:pos="4153" w:leader="none"/>
        <w:tab w:val="right" w:pos="8306" w:leader="none"/>
      </w:tabs>
      <w:rPr>
        <w:rFonts w:hint="eastAsia"/>
      </w:rPr>
    </w:pP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6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6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ind w:firstLine="360"/>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9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6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JSZC-320000-DCXG-G2026-0021</w:t>
    </w:r>
    <w:r>
      <w:rPr>
        <w:rFonts w:hint="eastAsia" w:ascii="宋体" w:hAnsi="宋体" w:cs="宋体"/>
      </w:rPr>
      <w:t xml:space="preserve">                                                  南京达琛鑫工程咨询有限公司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360"/>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JSZC-320000-DCXG-G2026-0021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eastAsia="宋体" w:cs="宋体"/>
        <w:b w:val="0"/>
        <w:bCs w:val="0"/>
        <w:sz w:val="18"/>
        <w:szCs w:val="18"/>
        <w:highlight w:val="none"/>
        <w:u w:val="none"/>
        <w:lang w:eastAsia="zh-CN"/>
      </w:rPr>
      <w:t xml:space="preserve">JSZC-320000-DCXG-G2026-0021</w:t>
    </w:r>
    <w:r>
      <w:rPr>
        <w:rFonts w:hint="eastAsia" w:ascii="宋体" w:hAnsi="宋体" w:eastAsia="宋体" w:cs="宋体"/>
      </w:rPr>
      <w:t xml:space="preserve"> </w:t>
    </w:r>
    <w:r>
      <w:rPr>
        <w:rFonts w:hint="eastAsia" w:ascii="宋体" w:hAnsi="宋体" w:cs="宋体"/>
      </w:rPr>
      <w:t xml:space="preserve">       </w:t>
    </w:r>
    <w:r>
      <w:rPr>
        <w:rFonts w:hint="eastAsia" w:ascii="宋体" w:hAnsi="宋体" w:cs="宋体"/>
        <w:lang w:val="en-US" w:eastAsia="zh-CN"/>
      </w:rPr>
      <w:t xml:space="preserve">                                       </w:t>
    </w:r>
    <w:r>
      <w:rPr>
        <w:rFonts w:hint="eastAsia" w:ascii="宋体" w:hAnsi="宋体" w:cs="宋体"/>
      </w:rPr>
      <w:t xml:space="preserve">    南京达琛鑫工程咨询有限公司</w:t>
    </w:r>
    <w:r>
      <w:rPr>
        <w:rFonts w:hint="eastAsia" w:ascii="宋体" w:hAnsi="宋体" w:cs="宋体"/>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chineseCounting"/>
      <w:isLgl w:val="false"/>
      <w:suff w:val="space"/>
      <w:lvlText w:val="%1、"/>
      <w:lvlJc w:val="left"/>
      <w:pPr>
        <w:pStyle w:val="106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tab"/>
      <w:lvlText w:val="%1、"/>
      <w:lvlJc w:val="left"/>
      <w:pPr>
        <w:pStyle w:val="1063"/>
        <w:ind w:left="2525" w:hanging="425"/>
        <w:tabs>
          <w:tab w:val="num" w:pos="420" w:leader="none"/>
        </w:tabs>
      </w:pPr>
      <w:rPr>
        <w:rFonts w:hint="eastAsia" w:ascii="宋体" w:hAnsi="宋体" w:eastAsia="宋体" w:cs="Tahoma"/>
      </w:rPr>
    </w:lvl>
    <w:lvl w:ilvl="1">
      <w:start w:val="1"/>
      <w:numFmt w:val="decimal"/>
      <w:isLgl w:val="false"/>
      <w:suff w:val="tab"/>
      <w:lvlText w:val="%2."/>
      <w:lvlJc w:val="left"/>
      <w:pPr>
        <w:pStyle w:val="1063"/>
        <w:ind w:left="987" w:hanging="567"/>
        <w:tabs>
          <w:tab w:val="num" w:pos="420" w:leader="none"/>
        </w:tabs>
      </w:pPr>
      <w:rPr>
        <w:rFonts w:ascii="宋体" w:hAnsi="宋体" w:eastAsia="宋体" w:cs="Tahoma"/>
        <w:sz w:val="30"/>
        <w:szCs w:val="30"/>
      </w:rPr>
    </w:lvl>
    <w:lvl w:ilvl="2">
      <w:start w:val="1"/>
      <w:numFmt w:val="decimal"/>
      <w:isLgl w:val="false"/>
      <w:suff w:val="tab"/>
      <w:lvlText w:val="%2.%3."/>
      <w:lvlJc w:val="left"/>
      <w:pPr>
        <w:pStyle w:val="1063"/>
        <w:ind w:left="709" w:hanging="709"/>
        <w:tabs>
          <w:tab w:val="num" w:pos="420" w:leader="none"/>
        </w:tabs>
      </w:pPr>
      <w:rPr>
        <w:rFonts w:hint="eastAsia" w:ascii="宋体" w:hAnsi="宋体" w:eastAsia="宋体" w:cs="Tahoma"/>
      </w:rPr>
    </w:lvl>
    <w:lvl w:ilvl="3">
      <w:start w:val="1"/>
      <w:numFmt w:val="decimal"/>
      <w:isLgl w:val="false"/>
      <w:suff w:val="tab"/>
      <w:lvlText w:val="%2.%3.%4."/>
      <w:lvlJc w:val="left"/>
      <w:pPr>
        <w:pStyle w:val="1063"/>
        <w:ind w:left="850" w:hanging="850"/>
      </w:pPr>
      <w:rPr>
        <w:rFonts w:hint="eastAsia" w:ascii="宋体" w:hAnsi="宋体" w:eastAsia="宋体" w:cs="Tahoma"/>
      </w:rPr>
    </w:lvl>
    <w:lvl w:ilvl="4">
      <w:start w:val="1"/>
      <w:numFmt w:val="decimal"/>
      <w:isLgl w:val="false"/>
      <w:suff w:val="tab"/>
      <w:lvlText w:val="%2.%3.%4.%5."/>
      <w:lvlJc w:val="left"/>
      <w:pPr>
        <w:pStyle w:val="1063"/>
        <w:ind w:left="991" w:hanging="991"/>
      </w:pPr>
      <w:rPr>
        <w:rFonts w:hint="eastAsia" w:ascii="宋体" w:hAnsi="宋体" w:eastAsia="宋体" w:cs="Tahoma"/>
      </w:rPr>
    </w:lvl>
    <w:lvl w:ilvl="5">
      <w:start w:val="1"/>
      <w:numFmt w:val="decimal"/>
      <w:pStyle w:val="1069"/>
      <w:isLgl w:val="false"/>
      <w:suff w:val="tab"/>
      <w:lvlText w:val="%2.%3.%4.%5.%6."/>
      <w:lvlJc w:val="left"/>
      <w:pPr>
        <w:pStyle w:val="1063"/>
        <w:ind w:left="1134" w:hanging="1134"/>
      </w:pPr>
      <w:rPr>
        <w:rFonts w:hint="eastAsia" w:ascii="宋体" w:hAnsi="宋体" w:eastAsia="宋体" w:cs="Tahoma"/>
      </w:rPr>
    </w:lvl>
    <w:lvl w:ilvl="6">
      <w:start w:val="1"/>
      <w:numFmt w:val="decimal"/>
      <w:isLgl w:val="false"/>
      <w:suff w:val="tab"/>
      <w:lvlText w:val="%2.%3.%4.%5.%6.%7."/>
      <w:lvlJc w:val="left"/>
      <w:pPr>
        <w:pStyle w:val="1063"/>
        <w:ind w:left="1275" w:hanging="1275"/>
      </w:pPr>
      <w:rPr>
        <w:rFonts w:hint="eastAsia" w:ascii="宋体" w:hAnsi="宋体" w:eastAsia="宋体" w:cs="Tahoma"/>
      </w:rPr>
    </w:lvl>
    <w:lvl w:ilvl="7">
      <w:start w:val="1"/>
      <w:numFmt w:val="decimal"/>
      <w:isLgl w:val="false"/>
      <w:suff w:val="tab"/>
      <w:lvlText w:val="%2.%3.%4.%5.%6.%7.%8."/>
      <w:lvlJc w:val="left"/>
      <w:pPr>
        <w:pStyle w:val="1063"/>
        <w:ind w:left="1418" w:hanging="1418"/>
      </w:pPr>
      <w:rPr>
        <w:rFonts w:hint="eastAsia" w:ascii="宋体" w:hAnsi="宋体" w:eastAsia="宋体" w:cs="Tahoma"/>
      </w:rPr>
    </w:lvl>
    <w:lvl w:ilvl="8">
      <w:start w:val="1"/>
      <w:numFmt w:val="decimal"/>
      <w:isLgl w:val="false"/>
      <w:suff w:val="tab"/>
      <w:lvlText w:val="%2.%3.%4.%5.%6.%7.%8.%9."/>
      <w:lvlJc w:val="left"/>
      <w:pPr>
        <w:pStyle w:val="1063"/>
        <w:ind w:left="1558" w:hanging="1558"/>
      </w:pPr>
      <w:rPr>
        <w:rFonts w:hint="eastAsia" w:ascii="宋体" w:hAnsi="宋体" w:eastAsia="宋体" w:cs="Tahoma"/>
      </w:rPr>
    </w:lvl>
  </w:abstractNum>
  <w:abstractNum w:abstractNumId="2">
    <w:multiLevelType w:val="hybridMultilevel"/>
    <w:lvl w:ilvl="0">
      <w:start w:val="1"/>
      <w:numFmt w:val="decimal"/>
      <w:pStyle w:val="1064"/>
      <w:isLgl w:val="false"/>
      <w:suff w:val="nothing"/>
      <w:lvlText w:val="第 %1 部分 "/>
      <w:lvlJc w:val="left"/>
      <w:pPr>
        <w:pStyle w:val="1063"/>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1065"/>
      <w:isLgl w:val="false"/>
      <w:suff w:val="nothing"/>
      <w:lvlText w:val="%1.%2 "/>
      <w:lvlJc w:val="left"/>
      <w:pPr>
        <w:pStyle w:val="1063"/>
      </w:pPr>
      <w:rPr>
        <w:rFonts w:hint="eastAsia"/>
      </w:rPr>
    </w:lvl>
    <w:lvl w:ilvl="2">
      <w:start w:val="1"/>
      <w:numFmt w:val="decimal"/>
      <w:pStyle w:val="1066"/>
      <w:isLgl w:val="false"/>
      <w:suff w:val="nothing"/>
      <w:lvlText w:val=""/>
      <w:lvlJc w:val="left"/>
      <w:pPr>
        <w:pStyle w:val="1063"/>
      </w:pPr>
      <w:rPr>
        <w:rFonts w:hint="eastAsia" w:ascii="Arial Unicode MS" w:hAnsi="Arial Unicode MS" w:eastAsia="Arial Unicode MS"/>
        <w:sz w:val="24"/>
        <w:u w:val="none"/>
      </w:rPr>
    </w:lvl>
    <w:lvl w:ilvl="3">
      <w:start w:val="1"/>
      <w:numFmt w:val="decimal"/>
      <w:isLgl w:val="false"/>
      <w:suff w:val="nothing"/>
      <w:lvlText w:val=""/>
      <w:lvlJc w:val="left"/>
      <w:pPr>
        <w:pStyle w:val="1063"/>
      </w:pPr>
      <w:rPr>
        <w:u w:val="none"/>
      </w:rPr>
    </w:lvl>
    <w:lvl w:ilvl="4">
      <w:start w:val="1"/>
      <w:numFmt w:val="decimal"/>
      <w:isLgl w:val="false"/>
      <w:suff w:val="nothing"/>
      <w:lvlText w:val="%1.%2.%3.%4.%5 "/>
      <w:lvlJc w:val="left"/>
      <w:pPr>
        <w:pStyle w:val="1063"/>
      </w:pPr>
      <w:rPr>
        <w:rFonts w:hint="eastAsia"/>
        <w:sz w:val="28"/>
        <w:szCs w:val="28"/>
      </w:rPr>
    </w:lvl>
    <w:lvl w:ilvl="5">
      <w:start w:val="1"/>
      <w:numFmt w:val="decimal"/>
      <w:isLgl w:val="false"/>
      <w:suff w:val="nothing"/>
      <w:lvlText w:val=""/>
      <w:lvlJc w:val="left"/>
      <w:pPr>
        <w:pStyle w:val="1063"/>
      </w:pPr>
      <w:rPr>
        <w:u w:val="none"/>
      </w:rPr>
    </w:lvl>
    <w:lvl w:ilvl="6">
      <w:start w:val="1"/>
      <w:numFmt w:val="decimal"/>
      <w:isLgl w:val="false"/>
      <w:suff w:val="nothing"/>
      <w:lvlText w:val=""/>
      <w:lvlJc w:val="left"/>
      <w:pPr>
        <w:pStyle w:val="1063"/>
      </w:pPr>
      <w:rPr>
        <w:u w:val="none"/>
      </w:rPr>
    </w:lvl>
    <w:lvl w:ilvl="7">
      <w:start w:val="1"/>
      <w:numFmt w:val="decimal"/>
      <w:isLgl w:val="false"/>
      <w:suff w:val="nothing"/>
      <w:lvlText w:val=""/>
      <w:lvlJc w:val="left"/>
      <w:pPr>
        <w:pStyle w:val="1063"/>
      </w:pPr>
      <w:rPr>
        <w:u w:val="none"/>
      </w:rPr>
    </w:lvl>
    <w:lvl w:ilvl="8">
      <w:start w:val="1"/>
      <w:numFmt w:val="decimal"/>
      <w:isLgl w:val="false"/>
      <w:suff w:val="nothing"/>
      <w:lvlText w:val=""/>
      <w:lvlJc w:val="left"/>
      <w:pPr>
        <w:pStyle w:val="1063"/>
      </w:pPr>
      <w:rPr>
        <w:u w:val="none"/>
      </w:rPr>
    </w:lvl>
  </w:abstractNum>
  <w:abstractNum w:abstractNumId="3">
    <w:multiLevelType w:val="hybridMultilevel"/>
    <w:lvl w:ilvl="0">
      <w:start w:val="1"/>
      <w:numFmt w:val="japaneseCounting"/>
      <w:pStyle w:val="1124"/>
      <w:isLgl w:val="false"/>
      <w:suff w:val="tab"/>
      <w:lvlText w:val="%1、"/>
      <w:lvlJc w:val="left"/>
      <w:pPr>
        <w:pStyle w:val="1063"/>
        <w:ind w:left="720" w:hanging="720"/>
        <w:tabs>
          <w:tab w:val="num" w:pos="720" w:leader="none"/>
        </w:tabs>
      </w:pPr>
      <w:rPr>
        <w:rFonts w:hint="eastAsia"/>
      </w:rPr>
    </w:lvl>
    <w:lvl w:ilvl="1">
      <w:start w:val="1"/>
      <w:numFmt w:val="chineseCountingThousand"/>
      <w:isLgl w:val="false"/>
      <w:suff w:val="tab"/>
      <w:lvlText w:val="（%2）"/>
      <w:lvlJc w:val="left"/>
      <w:pPr>
        <w:pStyle w:val="1063"/>
        <w:ind w:left="780" w:hanging="780"/>
        <w:tabs>
          <w:tab w:val="num" w:pos="780" w:leader="none"/>
        </w:tabs>
      </w:pPr>
      <w:rPr>
        <w:rFonts w:hint="eastAsia"/>
      </w:rPr>
    </w:lvl>
    <w:lvl w:ilvl="2">
      <w:start w:val="1"/>
      <w:numFmt w:val="lowerRoman"/>
      <w:isLgl w:val="false"/>
      <w:suff w:val="tab"/>
      <w:lvlText w:val="%3."/>
      <w:lvlJc w:val="right"/>
      <w:pPr>
        <w:pStyle w:val="1063"/>
        <w:ind w:left="1260" w:hanging="420"/>
        <w:tabs>
          <w:tab w:val="num" w:pos="1260" w:leader="none"/>
        </w:tabs>
      </w:pPr>
      <w:rPr>
        <w:rFonts w:hint="eastAsia"/>
      </w:rPr>
    </w:lvl>
    <w:lvl w:ilvl="3">
      <w:start w:val="1"/>
      <w:numFmt w:val="decimal"/>
      <w:isLgl w:val="false"/>
      <w:suff w:val="tab"/>
      <w:lvlText w:val="%4."/>
      <w:lvlJc w:val="left"/>
      <w:pPr>
        <w:pStyle w:val="1063"/>
        <w:ind w:left="1680" w:hanging="420"/>
        <w:tabs>
          <w:tab w:val="num" w:pos="1680" w:leader="none"/>
        </w:tabs>
      </w:pPr>
      <w:rPr>
        <w:rFonts w:hint="eastAsia"/>
      </w:rPr>
    </w:lvl>
    <w:lvl w:ilvl="4">
      <w:start w:val="1"/>
      <w:numFmt w:val="lowerLetter"/>
      <w:isLgl w:val="false"/>
      <w:suff w:val="tab"/>
      <w:lvlText w:val="%5)"/>
      <w:lvlJc w:val="left"/>
      <w:pPr>
        <w:pStyle w:val="1063"/>
        <w:ind w:left="2100" w:hanging="420"/>
        <w:tabs>
          <w:tab w:val="num" w:pos="2100" w:leader="none"/>
        </w:tabs>
      </w:pPr>
      <w:rPr>
        <w:rFonts w:hint="eastAsia"/>
      </w:rPr>
    </w:lvl>
    <w:lvl w:ilvl="5">
      <w:start w:val="1"/>
      <w:numFmt w:val="lowerRoman"/>
      <w:isLgl w:val="false"/>
      <w:suff w:val="tab"/>
      <w:lvlText w:val="%6."/>
      <w:lvlJc w:val="right"/>
      <w:pPr>
        <w:pStyle w:val="1063"/>
        <w:ind w:left="2520" w:hanging="420"/>
        <w:tabs>
          <w:tab w:val="num" w:pos="2520" w:leader="none"/>
        </w:tabs>
      </w:pPr>
      <w:rPr>
        <w:rFonts w:hint="eastAsia"/>
      </w:rPr>
    </w:lvl>
    <w:lvl w:ilvl="6">
      <w:start w:val="1"/>
      <w:numFmt w:val="decimal"/>
      <w:isLgl w:val="false"/>
      <w:suff w:val="tab"/>
      <w:lvlText w:val="%7."/>
      <w:lvlJc w:val="left"/>
      <w:pPr>
        <w:pStyle w:val="1063"/>
        <w:ind w:left="2940" w:hanging="420"/>
        <w:tabs>
          <w:tab w:val="num" w:pos="2940" w:leader="none"/>
        </w:tabs>
      </w:pPr>
      <w:rPr>
        <w:rFonts w:hint="eastAsia"/>
      </w:rPr>
    </w:lvl>
    <w:lvl w:ilvl="7">
      <w:start w:val="1"/>
      <w:numFmt w:val="lowerLetter"/>
      <w:isLgl w:val="false"/>
      <w:suff w:val="tab"/>
      <w:lvlText w:val="%8)"/>
      <w:lvlJc w:val="left"/>
      <w:pPr>
        <w:pStyle w:val="1063"/>
        <w:ind w:left="3360" w:hanging="420"/>
        <w:tabs>
          <w:tab w:val="num" w:pos="3360" w:leader="none"/>
        </w:tabs>
      </w:pPr>
      <w:rPr>
        <w:rFonts w:hint="eastAsia"/>
      </w:rPr>
    </w:lvl>
    <w:lvl w:ilvl="8">
      <w:start w:val="1"/>
      <w:numFmt w:val="lowerRoman"/>
      <w:isLgl w:val="false"/>
      <w:suff w:val="tab"/>
      <w:lvlText w:val="%9."/>
      <w:lvlJc w:val="right"/>
      <w:pPr>
        <w:pStyle w:val="1063"/>
        <w:ind w:left="3780" w:hanging="420"/>
        <w:tabs>
          <w:tab w:val="num" w:pos="3780" w:leader="none"/>
        </w:tabs>
      </w:pPr>
      <w:rPr>
        <w:rFonts w:hint="eastAsia"/>
      </w:rPr>
    </w:lvl>
  </w:abstractNum>
  <w:abstractNum w:abstractNumId="4">
    <w:multiLevelType w:val="hybridMultilevel"/>
    <w:lvl w:ilvl="0">
      <w:start w:val="4"/>
      <w:numFmt w:val="decimal"/>
      <w:isLgl w:val="false"/>
      <w:suff w:val="tab"/>
      <w:lvlText w:val="%1."/>
      <w:lvlJc w:val="left"/>
      <w:pPr>
        <w:pStyle w:val="106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5">
    <w:name w:val="Heading 1"/>
    <w:basedOn w:val="1063"/>
    <w:next w:val="1063"/>
    <w:link w:val="886"/>
    <w:uiPriority w:val="9"/>
    <w:qFormat/>
    <w:pPr>
      <w:keepLines/>
      <w:keepNext/>
      <w:spacing w:before="480" w:after="200"/>
      <w:outlineLvl w:val="0"/>
    </w:pPr>
    <w:rPr>
      <w:rFonts w:ascii="Arial" w:hAnsi="Arial" w:eastAsia="Arial" w:cs="Arial"/>
      <w:sz w:val="40"/>
      <w:szCs w:val="40"/>
    </w:rPr>
  </w:style>
  <w:style w:type="character" w:styleId="886">
    <w:name w:val="Heading 1 Char"/>
    <w:link w:val="885"/>
    <w:uiPriority w:val="9"/>
    <w:rPr>
      <w:rFonts w:ascii="Arial" w:hAnsi="Arial" w:eastAsia="Arial" w:cs="Arial"/>
      <w:sz w:val="40"/>
      <w:szCs w:val="40"/>
    </w:rPr>
  </w:style>
  <w:style w:type="paragraph" w:styleId="887">
    <w:name w:val="Heading 2"/>
    <w:basedOn w:val="1063"/>
    <w:next w:val="1063"/>
    <w:link w:val="888"/>
    <w:uiPriority w:val="9"/>
    <w:unhideWhenUsed/>
    <w:qFormat/>
    <w:pPr>
      <w:keepLines/>
      <w:keepNext/>
      <w:spacing w:before="360" w:after="200"/>
      <w:outlineLvl w:val="1"/>
    </w:pPr>
    <w:rPr>
      <w:rFonts w:ascii="Arial" w:hAnsi="Arial" w:eastAsia="Arial" w:cs="Arial"/>
      <w:sz w:val="34"/>
    </w:rPr>
  </w:style>
  <w:style w:type="character" w:styleId="888">
    <w:name w:val="Heading 2 Char"/>
    <w:link w:val="887"/>
    <w:uiPriority w:val="9"/>
    <w:rPr>
      <w:rFonts w:ascii="Arial" w:hAnsi="Arial" w:eastAsia="Arial" w:cs="Arial"/>
      <w:sz w:val="34"/>
    </w:rPr>
  </w:style>
  <w:style w:type="paragraph" w:styleId="889">
    <w:name w:val="Heading 3"/>
    <w:basedOn w:val="1063"/>
    <w:next w:val="1063"/>
    <w:link w:val="890"/>
    <w:uiPriority w:val="9"/>
    <w:unhideWhenUsed/>
    <w:qFormat/>
    <w:pPr>
      <w:keepLines/>
      <w:keepNext/>
      <w:spacing w:before="320" w:after="200"/>
      <w:outlineLvl w:val="2"/>
    </w:pPr>
    <w:rPr>
      <w:rFonts w:ascii="Arial" w:hAnsi="Arial" w:eastAsia="Arial" w:cs="Arial"/>
      <w:sz w:val="30"/>
      <w:szCs w:val="30"/>
    </w:rPr>
  </w:style>
  <w:style w:type="character" w:styleId="890">
    <w:name w:val="Heading 3 Char"/>
    <w:link w:val="889"/>
    <w:uiPriority w:val="9"/>
    <w:rPr>
      <w:rFonts w:ascii="Arial" w:hAnsi="Arial" w:eastAsia="Arial" w:cs="Arial"/>
      <w:sz w:val="30"/>
      <w:szCs w:val="30"/>
    </w:rPr>
  </w:style>
  <w:style w:type="paragraph" w:styleId="891">
    <w:name w:val="Heading 4"/>
    <w:basedOn w:val="1063"/>
    <w:next w:val="1063"/>
    <w:link w:val="892"/>
    <w:uiPriority w:val="9"/>
    <w:unhideWhenUsed/>
    <w:qFormat/>
    <w:pPr>
      <w:keepLines/>
      <w:keepNext/>
      <w:spacing w:before="320" w:after="200"/>
      <w:outlineLvl w:val="3"/>
    </w:pPr>
    <w:rPr>
      <w:rFonts w:ascii="Arial" w:hAnsi="Arial" w:eastAsia="Arial" w:cs="Arial"/>
      <w:b/>
      <w:bCs/>
      <w:sz w:val="26"/>
      <w:szCs w:val="26"/>
    </w:rPr>
  </w:style>
  <w:style w:type="character" w:styleId="892">
    <w:name w:val="Heading 4 Char"/>
    <w:link w:val="891"/>
    <w:uiPriority w:val="9"/>
    <w:rPr>
      <w:rFonts w:ascii="Arial" w:hAnsi="Arial" w:eastAsia="Arial" w:cs="Arial"/>
      <w:b/>
      <w:bCs/>
      <w:sz w:val="26"/>
      <w:szCs w:val="26"/>
    </w:rPr>
  </w:style>
  <w:style w:type="paragraph" w:styleId="893">
    <w:name w:val="Heading 5"/>
    <w:basedOn w:val="1063"/>
    <w:next w:val="1063"/>
    <w:link w:val="894"/>
    <w:uiPriority w:val="9"/>
    <w:unhideWhenUsed/>
    <w:qFormat/>
    <w:pPr>
      <w:keepLines/>
      <w:keepNext/>
      <w:spacing w:before="320" w:after="200"/>
      <w:outlineLvl w:val="4"/>
    </w:pPr>
    <w:rPr>
      <w:rFonts w:ascii="Arial" w:hAnsi="Arial" w:eastAsia="Arial" w:cs="Arial"/>
      <w:b/>
      <w:bCs/>
      <w:sz w:val="24"/>
      <w:szCs w:val="24"/>
    </w:rPr>
  </w:style>
  <w:style w:type="character" w:styleId="894">
    <w:name w:val="Heading 5 Char"/>
    <w:link w:val="893"/>
    <w:uiPriority w:val="9"/>
    <w:rPr>
      <w:rFonts w:ascii="Arial" w:hAnsi="Arial" w:eastAsia="Arial" w:cs="Arial"/>
      <w:b/>
      <w:bCs/>
      <w:sz w:val="24"/>
      <w:szCs w:val="24"/>
    </w:rPr>
  </w:style>
  <w:style w:type="paragraph" w:styleId="895">
    <w:name w:val="Heading 6"/>
    <w:basedOn w:val="1063"/>
    <w:next w:val="1063"/>
    <w:link w:val="896"/>
    <w:uiPriority w:val="9"/>
    <w:unhideWhenUsed/>
    <w:qFormat/>
    <w:pPr>
      <w:keepLines/>
      <w:keepNext/>
      <w:spacing w:before="320" w:after="200"/>
      <w:outlineLvl w:val="5"/>
    </w:pPr>
    <w:rPr>
      <w:rFonts w:ascii="Arial" w:hAnsi="Arial" w:eastAsia="Arial" w:cs="Arial"/>
      <w:b/>
      <w:bCs/>
      <w:sz w:val="22"/>
      <w:szCs w:val="22"/>
    </w:rPr>
  </w:style>
  <w:style w:type="character" w:styleId="896">
    <w:name w:val="Heading 6 Char"/>
    <w:link w:val="895"/>
    <w:uiPriority w:val="9"/>
    <w:rPr>
      <w:rFonts w:ascii="Arial" w:hAnsi="Arial" w:eastAsia="Arial" w:cs="Arial"/>
      <w:b/>
      <w:bCs/>
      <w:sz w:val="22"/>
      <w:szCs w:val="22"/>
    </w:rPr>
  </w:style>
  <w:style w:type="paragraph" w:styleId="897">
    <w:name w:val="Heading 7"/>
    <w:basedOn w:val="1063"/>
    <w:next w:val="1063"/>
    <w:link w:val="898"/>
    <w:uiPriority w:val="9"/>
    <w:unhideWhenUsed/>
    <w:qFormat/>
    <w:pPr>
      <w:keepLines/>
      <w:keepNext/>
      <w:spacing w:before="320" w:after="200"/>
      <w:outlineLvl w:val="6"/>
    </w:pPr>
    <w:rPr>
      <w:rFonts w:ascii="Arial" w:hAnsi="Arial" w:eastAsia="Arial" w:cs="Arial"/>
      <w:b/>
      <w:bCs/>
      <w:i/>
      <w:iCs/>
      <w:sz w:val="22"/>
      <w:szCs w:val="22"/>
    </w:rPr>
  </w:style>
  <w:style w:type="character" w:styleId="898">
    <w:name w:val="Heading 7 Char"/>
    <w:link w:val="897"/>
    <w:uiPriority w:val="9"/>
    <w:rPr>
      <w:rFonts w:ascii="Arial" w:hAnsi="Arial" w:eastAsia="Arial" w:cs="Arial"/>
      <w:b/>
      <w:bCs/>
      <w:i/>
      <w:iCs/>
      <w:sz w:val="22"/>
      <w:szCs w:val="22"/>
    </w:rPr>
  </w:style>
  <w:style w:type="paragraph" w:styleId="899">
    <w:name w:val="Heading 8"/>
    <w:basedOn w:val="1063"/>
    <w:next w:val="1063"/>
    <w:link w:val="900"/>
    <w:uiPriority w:val="9"/>
    <w:unhideWhenUsed/>
    <w:qFormat/>
    <w:pPr>
      <w:keepLines/>
      <w:keepNext/>
      <w:spacing w:before="320" w:after="200"/>
      <w:outlineLvl w:val="7"/>
    </w:pPr>
    <w:rPr>
      <w:rFonts w:ascii="Arial" w:hAnsi="Arial" w:eastAsia="Arial" w:cs="Arial"/>
      <w:i/>
      <w:iCs/>
      <w:sz w:val="22"/>
      <w:szCs w:val="22"/>
    </w:rPr>
  </w:style>
  <w:style w:type="character" w:styleId="900">
    <w:name w:val="Heading 8 Char"/>
    <w:link w:val="899"/>
    <w:uiPriority w:val="9"/>
    <w:rPr>
      <w:rFonts w:ascii="Arial" w:hAnsi="Arial" w:eastAsia="Arial" w:cs="Arial"/>
      <w:i/>
      <w:iCs/>
      <w:sz w:val="22"/>
      <w:szCs w:val="22"/>
    </w:rPr>
  </w:style>
  <w:style w:type="paragraph" w:styleId="901">
    <w:name w:val="Heading 9"/>
    <w:basedOn w:val="1063"/>
    <w:next w:val="1063"/>
    <w:link w:val="902"/>
    <w:uiPriority w:val="9"/>
    <w:unhideWhenUsed/>
    <w:qFormat/>
    <w:pPr>
      <w:keepLines/>
      <w:keepNext/>
      <w:spacing w:before="320" w:after="200"/>
      <w:outlineLvl w:val="8"/>
    </w:pPr>
    <w:rPr>
      <w:rFonts w:ascii="Arial" w:hAnsi="Arial" w:eastAsia="Arial" w:cs="Arial"/>
      <w:i/>
      <w:iCs/>
      <w:sz w:val="21"/>
      <w:szCs w:val="21"/>
    </w:rPr>
  </w:style>
  <w:style w:type="character" w:styleId="902">
    <w:name w:val="Heading 9 Char"/>
    <w:link w:val="901"/>
    <w:uiPriority w:val="9"/>
    <w:rPr>
      <w:rFonts w:ascii="Arial" w:hAnsi="Arial" w:eastAsia="Arial" w:cs="Arial"/>
      <w:i/>
      <w:iCs/>
      <w:sz w:val="21"/>
      <w:szCs w:val="21"/>
    </w:rPr>
  </w:style>
  <w:style w:type="paragraph" w:styleId="903">
    <w:name w:val="List Paragraph"/>
    <w:basedOn w:val="1063"/>
    <w:uiPriority w:val="34"/>
    <w:qFormat/>
    <w:pPr>
      <w:contextualSpacing/>
      <w:ind w:left="720"/>
    </w:pPr>
  </w:style>
  <w:style w:type="paragraph" w:styleId="904">
    <w:name w:val="No Spacing"/>
    <w:uiPriority w:val="1"/>
    <w:qFormat/>
    <w:pPr>
      <w:spacing w:before="0" w:after="0" w:line="240" w:lineRule="auto"/>
    </w:pPr>
  </w:style>
  <w:style w:type="paragraph" w:styleId="905">
    <w:name w:val="Title"/>
    <w:basedOn w:val="1063"/>
    <w:next w:val="1063"/>
    <w:link w:val="906"/>
    <w:uiPriority w:val="10"/>
    <w:qFormat/>
    <w:pPr>
      <w:contextualSpacing/>
      <w:spacing w:before="300" w:after="200"/>
    </w:pPr>
    <w:rPr>
      <w:sz w:val="48"/>
      <w:szCs w:val="48"/>
    </w:rPr>
  </w:style>
  <w:style w:type="character" w:styleId="906">
    <w:name w:val="Title Char"/>
    <w:link w:val="905"/>
    <w:uiPriority w:val="10"/>
    <w:rPr>
      <w:sz w:val="48"/>
      <w:szCs w:val="48"/>
    </w:rPr>
  </w:style>
  <w:style w:type="paragraph" w:styleId="907">
    <w:name w:val="Subtitle"/>
    <w:basedOn w:val="1063"/>
    <w:next w:val="1063"/>
    <w:link w:val="908"/>
    <w:uiPriority w:val="11"/>
    <w:qFormat/>
    <w:pPr>
      <w:spacing w:before="200" w:after="200"/>
    </w:pPr>
    <w:rPr>
      <w:sz w:val="24"/>
      <w:szCs w:val="24"/>
    </w:rPr>
  </w:style>
  <w:style w:type="character" w:styleId="908">
    <w:name w:val="Subtitle Char"/>
    <w:link w:val="907"/>
    <w:uiPriority w:val="11"/>
    <w:rPr>
      <w:sz w:val="24"/>
      <w:szCs w:val="24"/>
    </w:rPr>
  </w:style>
  <w:style w:type="paragraph" w:styleId="909">
    <w:name w:val="Quote"/>
    <w:basedOn w:val="1063"/>
    <w:next w:val="1063"/>
    <w:link w:val="910"/>
    <w:uiPriority w:val="29"/>
    <w:qFormat/>
    <w:pPr>
      <w:ind w:left="720" w:right="720"/>
    </w:pPr>
    <w:rPr>
      <w:i/>
    </w:rPr>
  </w:style>
  <w:style w:type="character" w:styleId="910">
    <w:name w:val="Quote Char"/>
    <w:link w:val="909"/>
    <w:uiPriority w:val="29"/>
    <w:rPr>
      <w:i/>
    </w:rPr>
  </w:style>
  <w:style w:type="paragraph" w:styleId="911">
    <w:name w:val="Intense Quote"/>
    <w:basedOn w:val="1063"/>
    <w:next w:val="1063"/>
    <w:link w:val="9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2">
    <w:name w:val="Intense Quote Char"/>
    <w:link w:val="911"/>
    <w:uiPriority w:val="30"/>
    <w:rPr>
      <w:i/>
    </w:rPr>
  </w:style>
  <w:style w:type="paragraph" w:styleId="913">
    <w:name w:val="Header"/>
    <w:basedOn w:val="1063"/>
    <w:link w:val="914"/>
    <w:uiPriority w:val="99"/>
    <w:unhideWhenUsed/>
    <w:pPr>
      <w:spacing w:after="0" w:line="240" w:lineRule="auto"/>
      <w:tabs>
        <w:tab w:val="center" w:pos="7143" w:leader="none"/>
        <w:tab w:val="right" w:pos="14287" w:leader="none"/>
      </w:tabs>
    </w:pPr>
  </w:style>
  <w:style w:type="character" w:styleId="914">
    <w:name w:val="Header Char"/>
    <w:link w:val="913"/>
    <w:uiPriority w:val="99"/>
  </w:style>
  <w:style w:type="paragraph" w:styleId="915">
    <w:name w:val="Footer"/>
    <w:basedOn w:val="1063"/>
    <w:link w:val="918"/>
    <w:uiPriority w:val="99"/>
    <w:unhideWhenUsed/>
    <w:pPr>
      <w:spacing w:after="0" w:line="240" w:lineRule="auto"/>
      <w:tabs>
        <w:tab w:val="center" w:pos="7143" w:leader="none"/>
        <w:tab w:val="right" w:pos="14287" w:leader="none"/>
      </w:tabs>
    </w:pPr>
  </w:style>
  <w:style w:type="character" w:styleId="916">
    <w:name w:val="Footer Char"/>
    <w:link w:val="915"/>
    <w:uiPriority w:val="99"/>
  </w:style>
  <w:style w:type="paragraph" w:styleId="917">
    <w:name w:val="Caption"/>
    <w:basedOn w:val="1063"/>
    <w:next w:val="1063"/>
    <w:uiPriority w:val="35"/>
    <w:semiHidden/>
    <w:unhideWhenUsed/>
    <w:qFormat/>
    <w:pPr>
      <w:spacing w:line="276" w:lineRule="auto"/>
    </w:pPr>
    <w:rPr>
      <w:b/>
      <w:bCs/>
      <w:color w:val="4f81bd" w:themeColor="accent1"/>
      <w:sz w:val="18"/>
      <w:szCs w:val="18"/>
    </w:rPr>
  </w:style>
  <w:style w:type="character" w:styleId="918">
    <w:name w:val="Caption Char"/>
    <w:basedOn w:val="917"/>
    <w:link w:val="915"/>
    <w:uiPriority w:val="99"/>
  </w:style>
  <w:style w:type="table" w:styleId="91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2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2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2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2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2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2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2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2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3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3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3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3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3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3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3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3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4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4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5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5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5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5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5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5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5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5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6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6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6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6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6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6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7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7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7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7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7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7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7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7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7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8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8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8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8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8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8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8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8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8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9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9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9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9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9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9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9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0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0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0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1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1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1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1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1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1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1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1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1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2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2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2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2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3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3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4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4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4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4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45">
    <w:name w:val="Hyperlink"/>
    <w:uiPriority w:val="99"/>
    <w:unhideWhenUsed/>
    <w:rPr>
      <w:color w:val="0000ff" w:themeColor="hyperlink"/>
      <w:u w:val="single"/>
    </w:rPr>
  </w:style>
  <w:style w:type="paragraph" w:styleId="1046">
    <w:name w:val="footnote text"/>
    <w:basedOn w:val="1063"/>
    <w:link w:val="1047"/>
    <w:uiPriority w:val="99"/>
    <w:semiHidden/>
    <w:unhideWhenUsed/>
    <w:pPr>
      <w:spacing w:after="40" w:line="240" w:lineRule="auto"/>
    </w:pPr>
    <w:rPr>
      <w:sz w:val="18"/>
    </w:rPr>
  </w:style>
  <w:style w:type="character" w:styleId="1047">
    <w:name w:val="Footnote Text Char"/>
    <w:link w:val="1046"/>
    <w:uiPriority w:val="99"/>
    <w:rPr>
      <w:sz w:val="18"/>
    </w:rPr>
  </w:style>
  <w:style w:type="character" w:styleId="1048">
    <w:name w:val="footnote reference"/>
    <w:uiPriority w:val="99"/>
    <w:unhideWhenUsed/>
    <w:rPr>
      <w:vertAlign w:val="superscript"/>
    </w:rPr>
  </w:style>
  <w:style w:type="paragraph" w:styleId="1049">
    <w:name w:val="endnote text"/>
    <w:basedOn w:val="1063"/>
    <w:link w:val="1050"/>
    <w:uiPriority w:val="99"/>
    <w:semiHidden/>
    <w:unhideWhenUsed/>
    <w:pPr>
      <w:spacing w:after="0" w:line="240" w:lineRule="auto"/>
    </w:pPr>
    <w:rPr>
      <w:sz w:val="20"/>
    </w:rPr>
  </w:style>
  <w:style w:type="character" w:styleId="1050">
    <w:name w:val="Endnote Text Char"/>
    <w:link w:val="1049"/>
    <w:uiPriority w:val="99"/>
    <w:rPr>
      <w:sz w:val="20"/>
    </w:rPr>
  </w:style>
  <w:style w:type="character" w:styleId="1051">
    <w:name w:val="endnote reference"/>
    <w:uiPriority w:val="99"/>
    <w:semiHidden/>
    <w:unhideWhenUsed/>
    <w:rPr>
      <w:vertAlign w:val="superscript"/>
    </w:rPr>
  </w:style>
  <w:style w:type="paragraph" w:styleId="1052">
    <w:name w:val="toc 1"/>
    <w:basedOn w:val="1063"/>
    <w:next w:val="1063"/>
    <w:uiPriority w:val="39"/>
    <w:unhideWhenUsed/>
    <w:pPr>
      <w:ind w:left="0" w:right="0" w:firstLine="0"/>
      <w:spacing w:after="57"/>
    </w:pPr>
  </w:style>
  <w:style w:type="paragraph" w:styleId="1053">
    <w:name w:val="toc 2"/>
    <w:basedOn w:val="1063"/>
    <w:next w:val="1063"/>
    <w:uiPriority w:val="39"/>
    <w:unhideWhenUsed/>
    <w:pPr>
      <w:ind w:left="283" w:right="0" w:firstLine="0"/>
      <w:spacing w:after="57"/>
    </w:pPr>
  </w:style>
  <w:style w:type="paragraph" w:styleId="1054">
    <w:name w:val="toc 3"/>
    <w:basedOn w:val="1063"/>
    <w:next w:val="1063"/>
    <w:uiPriority w:val="39"/>
    <w:unhideWhenUsed/>
    <w:pPr>
      <w:ind w:left="567" w:right="0" w:firstLine="0"/>
      <w:spacing w:after="57"/>
    </w:pPr>
  </w:style>
  <w:style w:type="paragraph" w:styleId="1055">
    <w:name w:val="toc 4"/>
    <w:basedOn w:val="1063"/>
    <w:next w:val="1063"/>
    <w:uiPriority w:val="39"/>
    <w:unhideWhenUsed/>
    <w:pPr>
      <w:ind w:left="850" w:right="0" w:firstLine="0"/>
      <w:spacing w:after="57"/>
    </w:pPr>
  </w:style>
  <w:style w:type="paragraph" w:styleId="1056">
    <w:name w:val="toc 5"/>
    <w:basedOn w:val="1063"/>
    <w:next w:val="1063"/>
    <w:uiPriority w:val="39"/>
    <w:unhideWhenUsed/>
    <w:pPr>
      <w:ind w:left="1134" w:right="0" w:firstLine="0"/>
      <w:spacing w:after="57"/>
    </w:pPr>
  </w:style>
  <w:style w:type="paragraph" w:styleId="1057">
    <w:name w:val="toc 6"/>
    <w:basedOn w:val="1063"/>
    <w:next w:val="1063"/>
    <w:uiPriority w:val="39"/>
    <w:unhideWhenUsed/>
    <w:pPr>
      <w:ind w:left="1417" w:right="0" w:firstLine="0"/>
      <w:spacing w:after="57"/>
    </w:pPr>
  </w:style>
  <w:style w:type="paragraph" w:styleId="1058">
    <w:name w:val="toc 7"/>
    <w:basedOn w:val="1063"/>
    <w:next w:val="1063"/>
    <w:uiPriority w:val="39"/>
    <w:unhideWhenUsed/>
    <w:pPr>
      <w:ind w:left="1701" w:right="0" w:firstLine="0"/>
      <w:spacing w:after="57"/>
    </w:pPr>
  </w:style>
  <w:style w:type="paragraph" w:styleId="1059">
    <w:name w:val="toc 8"/>
    <w:basedOn w:val="1063"/>
    <w:next w:val="1063"/>
    <w:uiPriority w:val="39"/>
    <w:unhideWhenUsed/>
    <w:pPr>
      <w:ind w:left="1984" w:right="0" w:firstLine="0"/>
      <w:spacing w:after="57"/>
    </w:pPr>
  </w:style>
  <w:style w:type="paragraph" w:styleId="1060">
    <w:name w:val="toc 9"/>
    <w:basedOn w:val="1063"/>
    <w:next w:val="1063"/>
    <w:uiPriority w:val="39"/>
    <w:unhideWhenUsed/>
    <w:pPr>
      <w:ind w:left="2268" w:right="0" w:firstLine="0"/>
      <w:spacing w:after="57"/>
    </w:pPr>
  </w:style>
  <w:style w:type="paragraph" w:styleId="1061">
    <w:name w:val="TOC Heading"/>
    <w:uiPriority w:val="39"/>
    <w:unhideWhenUsed/>
  </w:style>
  <w:style w:type="paragraph" w:styleId="1062">
    <w:name w:val="table of figures"/>
    <w:basedOn w:val="1063"/>
    <w:next w:val="1063"/>
    <w:uiPriority w:val="99"/>
    <w:unhideWhenUsed/>
    <w:pPr>
      <w:spacing w:after="0" w:afterAutospacing="0"/>
    </w:pPr>
  </w:style>
  <w:style w:type="paragraph" w:styleId="1063" w:default="1">
    <w:name w:val="Normal"/>
    <w:next w:val="1063"/>
    <w:link w:val="1063"/>
    <w:qFormat/>
    <w:pPr>
      <w:jc w:val="both"/>
      <w:widowControl w:val="off"/>
    </w:pPr>
    <w:rPr>
      <w:rFonts w:ascii="Calibri" w:hAnsi="Calibri" w:cs="Calibri"/>
      <w:sz w:val="21"/>
      <w:szCs w:val="21"/>
      <w:lang w:val="en-US" w:eastAsia="zh-CN" w:bidi="ar-SA"/>
    </w:rPr>
  </w:style>
  <w:style w:type="paragraph" w:styleId="1064">
    <w:name w:val="标题 1"/>
    <w:basedOn w:val="1063"/>
    <w:next w:val="1063"/>
    <w:link w:val="1072"/>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1065">
    <w:name w:val="标题 2"/>
    <w:basedOn w:val="1063"/>
    <w:next w:val="1063"/>
    <w:link w:val="1073"/>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1066">
    <w:name w:val="标题 3"/>
    <w:basedOn w:val="1063"/>
    <w:next w:val="1063"/>
    <w:link w:val="1074"/>
    <w:uiPriority w:val="99"/>
    <w:qFormat/>
    <w:pPr>
      <w:numPr>
        <w:ilvl w:val="2"/>
        <w:numId w:val="1"/>
      </w:numPr>
      <w:keepLines/>
      <w:keepNext/>
      <w:spacing w:before="260" w:after="260" w:line="415" w:lineRule="auto"/>
      <w:outlineLvl w:val="2"/>
    </w:pPr>
    <w:rPr>
      <w:b/>
      <w:bCs/>
      <w:sz w:val="32"/>
      <w:szCs w:val="32"/>
    </w:rPr>
  </w:style>
  <w:style w:type="paragraph" w:styleId="1067">
    <w:name w:val="标题 4"/>
    <w:basedOn w:val="1063"/>
    <w:next w:val="1063"/>
    <w:link w:val="1075"/>
    <w:uiPriority w:val="99"/>
    <w:qFormat/>
    <w:pPr>
      <w:keepLines/>
      <w:keepNext/>
      <w:spacing w:before="280" w:after="290" w:line="376" w:lineRule="auto"/>
      <w:outlineLvl w:val="3"/>
    </w:pPr>
    <w:rPr>
      <w:rFonts w:ascii="Calibri Light" w:hAnsi="Calibri Light" w:cs="Calibri Light"/>
      <w:b/>
      <w:bCs/>
      <w:sz w:val="28"/>
      <w:szCs w:val="28"/>
    </w:rPr>
  </w:style>
  <w:style w:type="paragraph" w:styleId="1068">
    <w:name w:val="标题 5"/>
    <w:basedOn w:val="1063"/>
    <w:next w:val="1063"/>
    <w:link w:val="1076"/>
    <w:qFormat/>
    <w:pPr>
      <w:keepLines/>
      <w:keepNext/>
      <w:spacing w:before="280" w:after="290" w:line="376" w:lineRule="auto"/>
      <w:outlineLvl w:val="4"/>
    </w:pPr>
    <w:rPr>
      <w:b/>
      <w:bCs/>
      <w:sz w:val="28"/>
      <w:szCs w:val="28"/>
    </w:rPr>
  </w:style>
  <w:style w:type="paragraph" w:styleId="1069">
    <w:name w:val="标题 6"/>
    <w:basedOn w:val="1063"/>
    <w:next w:val="1063"/>
    <w:link w:val="1063"/>
    <w:qFormat/>
    <w:pPr>
      <w:numPr>
        <w:ilvl w:val="5"/>
        <w:numId w:val="2"/>
      </w:numPr>
      <w:keepLines/>
      <w:keepNext/>
      <w:spacing w:before="240" w:after="64" w:line="317" w:lineRule="auto"/>
      <w:outlineLvl w:val="5"/>
    </w:pPr>
    <w:rPr>
      <w:rFonts w:ascii="Arial" w:hAnsi="Arial" w:eastAsia="黑体"/>
      <w:b/>
      <w:sz w:val="24"/>
    </w:rPr>
  </w:style>
  <w:style w:type="character" w:styleId="1070">
    <w:name w:val="默认段落字体"/>
    <w:next w:val="1070"/>
    <w:link w:val="1063"/>
    <w:uiPriority w:val="1"/>
    <w:unhideWhenUsed/>
    <w:qFormat/>
  </w:style>
  <w:style w:type="table" w:styleId="1071">
    <w:name w:val="普通表格"/>
    <w:next w:val="1071"/>
    <w:link w:val="1063"/>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72">
    <w:name w:val="标题 1 字符"/>
    <w:next w:val="1072"/>
    <w:link w:val="1064"/>
    <w:uiPriority w:val="9"/>
    <w:qFormat/>
    <w:rPr>
      <w:rFonts w:ascii="Calibri" w:hAnsi="Calibri" w:cs="Calibri"/>
      <w:b/>
      <w:bCs/>
      <w:sz w:val="44"/>
      <w:szCs w:val="44"/>
    </w:rPr>
  </w:style>
  <w:style w:type="character" w:styleId="1073">
    <w:name w:val="标题 2 字符"/>
    <w:next w:val="1073"/>
    <w:link w:val="1065"/>
    <w:uiPriority w:val="9"/>
    <w:qFormat/>
    <w:rPr>
      <w:rFonts w:ascii="Arial" w:hAnsi="Arial" w:eastAsia="楷体" w:cs="Times New Roman"/>
      <w:b/>
      <w:bCs/>
      <w:sz w:val="72"/>
      <w:szCs w:val="32"/>
    </w:rPr>
  </w:style>
  <w:style w:type="character" w:styleId="1074">
    <w:name w:val="标题 3 字符"/>
    <w:next w:val="1074"/>
    <w:link w:val="1066"/>
    <w:qFormat/>
    <w:rPr>
      <w:b/>
      <w:bCs/>
      <w:sz w:val="32"/>
      <w:szCs w:val="32"/>
    </w:rPr>
  </w:style>
  <w:style w:type="character" w:styleId="1075">
    <w:name w:val="标题 4 字符"/>
    <w:next w:val="1075"/>
    <w:link w:val="1067"/>
    <w:uiPriority w:val="9"/>
    <w:qFormat/>
    <w:rPr>
      <w:rFonts w:ascii="Cambria" w:hAnsi="Cambria" w:eastAsia="宋体" w:cs="Times New Roman"/>
      <w:b/>
      <w:bCs/>
      <w:sz w:val="28"/>
      <w:szCs w:val="28"/>
    </w:rPr>
  </w:style>
  <w:style w:type="character" w:styleId="1076">
    <w:name w:val="标题 5 字符"/>
    <w:next w:val="1076"/>
    <w:link w:val="1068"/>
    <w:qFormat/>
    <w:rPr>
      <w:rFonts w:ascii="Calibri" w:hAnsi="Calibri" w:cs="Calibri"/>
      <w:b/>
      <w:bCs/>
      <w:sz w:val="28"/>
      <w:szCs w:val="28"/>
    </w:rPr>
  </w:style>
  <w:style w:type="paragraph" w:styleId="1077">
    <w:name w:val="目录 7"/>
    <w:basedOn w:val="1063"/>
    <w:next w:val="1063"/>
    <w:link w:val="1063"/>
    <w:uiPriority w:val="39"/>
    <w:unhideWhenUsed/>
    <w:qFormat/>
    <w:pPr>
      <w:ind w:left="1701"/>
      <w:spacing w:after="57"/>
    </w:pPr>
  </w:style>
  <w:style w:type="paragraph" w:styleId="1078">
    <w:name w:val="正文缩进"/>
    <w:basedOn w:val="1063"/>
    <w:next w:val="1078"/>
    <w:link w:val="1063"/>
    <w:qFormat/>
    <w:pPr>
      <w:ind w:firstLine="420"/>
      <w:spacing w:line="360" w:lineRule="auto"/>
    </w:pPr>
    <w:rPr>
      <w:rFonts w:ascii="Times New Roman" w:hAnsi="Times New Roman" w:cs="Times New Roman"/>
      <w:sz w:val="24"/>
      <w:szCs w:val="24"/>
    </w:rPr>
  </w:style>
  <w:style w:type="paragraph" w:styleId="1079">
    <w:name w:val="批注文字"/>
    <w:basedOn w:val="1063"/>
    <w:next w:val="1079"/>
    <w:link w:val="1080"/>
    <w:unhideWhenUsed/>
    <w:qFormat/>
    <w:pPr>
      <w:jc w:val="left"/>
    </w:pPr>
  </w:style>
  <w:style w:type="character" w:styleId="1080">
    <w:name w:val="批注文字 字符"/>
    <w:next w:val="1080"/>
    <w:link w:val="1079"/>
    <w:qFormat/>
    <w:rPr>
      <w:rFonts w:ascii="Calibri" w:hAnsi="Calibri" w:cs="Calibri"/>
      <w:sz w:val="21"/>
      <w:szCs w:val="21"/>
    </w:rPr>
  </w:style>
  <w:style w:type="paragraph" w:styleId="1081">
    <w:name w:val="正文文本"/>
    <w:basedOn w:val="1063"/>
    <w:next w:val="1063"/>
    <w:link w:val="1082"/>
    <w:uiPriority w:val="99"/>
    <w:qFormat/>
    <w:pPr>
      <w:ind w:firstLine="200"/>
      <w:spacing w:line="360" w:lineRule="auto"/>
    </w:pPr>
    <w:rPr>
      <w:rFonts w:ascii="楷体_GB2312" w:hAnsi="Arial" w:eastAsia="楷体_GB2312" w:cs="楷体_GB2312"/>
      <w:sz w:val="28"/>
      <w:szCs w:val="28"/>
    </w:rPr>
  </w:style>
  <w:style w:type="character" w:styleId="1082">
    <w:name w:val="正文文本 字符"/>
    <w:next w:val="1082"/>
    <w:link w:val="1081"/>
    <w:uiPriority w:val="99"/>
    <w:qFormat/>
    <w:rPr>
      <w:rFonts w:ascii="Calibri" w:hAnsi="Calibri" w:cs="Calibri"/>
      <w:szCs w:val="21"/>
    </w:rPr>
  </w:style>
  <w:style w:type="paragraph" w:styleId="1083">
    <w:name w:val="正文文本缩进"/>
    <w:basedOn w:val="1063"/>
    <w:next w:val="1084"/>
    <w:link w:val="1063"/>
    <w:uiPriority w:val="99"/>
    <w:qFormat/>
    <w:pPr>
      <w:ind w:firstLine="403"/>
      <w:spacing w:line="440" w:lineRule="exact"/>
    </w:pPr>
    <w:rPr>
      <w:rFonts w:ascii="宋体" w:hAnsi="宋体" w:cs="宋体"/>
    </w:rPr>
  </w:style>
  <w:style w:type="paragraph" w:styleId="1084">
    <w:name w:val="寄信人地址"/>
    <w:basedOn w:val="1063"/>
    <w:next w:val="1077"/>
    <w:link w:val="1063"/>
    <w:qFormat/>
    <w:rPr>
      <w:rFonts w:ascii="Arial" w:hAnsi="Arial"/>
    </w:rPr>
  </w:style>
  <w:style w:type="paragraph" w:styleId="1085">
    <w:name w:val="索引 4"/>
    <w:basedOn w:val="1063"/>
    <w:next w:val="1063"/>
    <w:link w:val="1063"/>
    <w:uiPriority w:val="99"/>
    <w:qFormat/>
    <w:pPr>
      <w:ind w:left="600"/>
    </w:pPr>
    <w:rPr>
      <w:rFonts w:ascii="Verdana" w:hAnsi="Verdana"/>
      <w:szCs w:val="20"/>
    </w:rPr>
  </w:style>
  <w:style w:type="paragraph" w:styleId="1086">
    <w:name w:val="纯文本"/>
    <w:basedOn w:val="1063"/>
    <w:next w:val="1086"/>
    <w:link w:val="1087"/>
    <w:uiPriority w:val="99"/>
    <w:qFormat/>
    <w:pPr>
      <w:ind w:firstLine="200"/>
      <w:spacing w:line="360" w:lineRule="auto"/>
    </w:pPr>
    <w:rPr>
      <w:rFonts w:ascii="宋体" w:hAnsi="Courier New" w:cs="宋体"/>
      <w:sz w:val="24"/>
      <w:szCs w:val="24"/>
    </w:rPr>
  </w:style>
  <w:style w:type="character" w:styleId="1087">
    <w:name w:val="纯文本 字符"/>
    <w:next w:val="1087"/>
    <w:link w:val="1086"/>
    <w:uiPriority w:val="99"/>
    <w:qFormat/>
    <w:rPr>
      <w:rFonts w:ascii="宋体" w:hAnsi="Courier New" w:cs="Courier New"/>
      <w:szCs w:val="21"/>
    </w:rPr>
  </w:style>
  <w:style w:type="paragraph" w:styleId="1088">
    <w:name w:val="日期"/>
    <w:basedOn w:val="1063"/>
    <w:next w:val="1063"/>
    <w:link w:val="1089"/>
    <w:uiPriority w:val="99"/>
    <w:qFormat/>
    <w:pPr>
      <w:ind w:firstLine="200"/>
      <w:spacing w:line="360" w:lineRule="auto"/>
    </w:pPr>
    <w:rPr>
      <w:rFonts w:ascii="Times New Roman" w:hAnsi="Times New Roman" w:cs="Times New Roman"/>
      <w:sz w:val="24"/>
      <w:szCs w:val="24"/>
    </w:rPr>
  </w:style>
  <w:style w:type="character" w:styleId="1089">
    <w:name w:val="日期 字符"/>
    <w:next w:val="1089"/>
    <w:link w:val="1088"/>
    <w:uiPriority w:val="99"/>
    <w:qFormat/>
    <w:rPr>
      <w:rFonts w:ascii="Calibri" w:hAnsi="Calibri" w:cs="Calibri"/>
      <w:szCs w:val="21"/>
    </w:rPr>
  </w:style>
  <w:style w:type="paragraph" w:styleId="1090">
    <w:name w:val="批注框文本"/>
    <w:basedOn w:val="1063"/>
    <w:next w:val="1090"/>
    <w:link w:val="1091"/>
    <w:qFormat/>
    <w:rPr>
      <w:sz w:val="18"/>
      <w:szCs w:val="18"/>
    </w:rPr>
  </w:style>
  <w:style w:type="character" w:styleId="1091">
    <w:name w:val="批注框文本 字符"/>
    <w:next w:val="1091"/>
    <w:link w:val="1090"/>
    <w:qFormat/>
    <w:rPr>
      <w:rFonts w:ascii="Calibri" w:hAnsi="Calibri" w:cs="Calibri"/>
      <w:sz w:val="18"/>
      <w:szCs w:val="18"/>
    </w:rPr>
  </w:style>
  <w:style w:type="paragraph" w:styleId="1092">
    <w:name w:val="页脚"/>
    <w:basedOn w:val="1063"/>
    <w:next w:val="1092"/>
    <w:link w:val="1093"/>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1093">
    <w:name w:val="页脚 字符"/>
    <w:next w:val="1093"/>
    <w:link w:val="1092"/>
    <w:uiPriority w:val="99"/>
    <w:qFormat/>
    <w:rPr>
      <w:rFonts w:ascii="Calibri" w:hAnsi="Calibri" w:cs="Calibri"/>
      <w:sz w:val="18"/>
      <w:szCs w:val="18"/>
    </w:rPr>
  </w:style>
  <w:style w:type="paragraph" w:styleId="1094">
    <w:name w:val="页眉"/>
    <w:basedOn w:val="1063"/>
    <w:next w:val="1063"/>
    <w:link w:val="1095"/>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95">
    <w:name w:val="页眉 字符"/>
    <w:next w:val="1095"/>
    <w:link w:val="1094"/>
    <w:uiPriority w:val="99"/>
    <w:qFormat/>
    <w:rPr>
      <w:rFonts w:ascii="Calibri" w:hAnsi="Calibri" w:cs="Calibri"/>
      <w:sz w:val="18"/>
      <w:szCs w:val="18"/>
    </w:rPr>
  </w:style>
  <w:style w:type="paragraph" w:styleId="1096">
    <w:name w:val="目录 1"/>
    <w:basedOn w:val="1063"/>
    <w:next w:val="1063"/>
    <w:link w:val="1063"/>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1097">
    <w:name w:val="副标题"/>
    <w:basedOn w:val="1063"/>
    <w:next w:val="1063"/>
    <w:link w:val="1098"/>
    <w:qFormat/>
    <w:pPr>
      <w:jc w:val="center"/>
      <w:spacing w:before="240" w:after="60" w:line="312" w:lineRule="auto"/>
      <w:outlineLvl w:val="1"/>
    </w:pPr>
    <w:rPr>
      <w:rFonts w:ascii="Cambria" w:hAnsi="Cambria" w:cs="Times New Roman"/>
      <w:b/>
      <w:bCs/>
      <w:sz w:val="32"/>
      <w:szCs w:val="32"/>
    </w:rPr>
  </w:style>
  <w:style w:type="character" w:styleId="1098">
    <w:name w:val="副标题 字符"/>
    <w:next w:val="1098"/>
    <w:link w:val="1097"/>
    <w:qFormat/>
    <w:rPr>
      <w:rFonts w:ascii="Cambria" w:hAnsi="Cambria" w:cs="Times New Roman"/>
      <w:b/>
      <w:bCs/>
      <w:sz w:val="32"/>
      <w:szCs w:val="32"/>
    </w:rPr>
  </w:style>
  <w:style w:type="paragraph" w:styleId="1099">
    <w:name w:val="目录 2"/>
    <w:basedOn w:val="1063"/>
    <w:next w:val="1063"/>
    <w:link w:val="1063"/>
    <w:uiPriority w:val="39"/>
    <w:qFormat/>
    <w:pPr>
      <w:ind w:left="420"/>
    </w:pPr>
  </w:style>
  <w:style w:type="paragraph" w:styleId="1100">
    <w:name w:val="正文文本 2"/>
    <w:basedOn w:val="1063"/>
    <w:next w:val="1100"/>
    <w:link w:val="1063"/>
    <w:uiPriority w:val="99"/>
    <w:unhideWhenUsed/>
    <w:qFormat/>
    <w:pPr>
      <w:spacing w:after="120" w:line="480" w:lineRule="auto"/>
    </w:pPr>
  </w:style>
  <w:style w:type="paragraph" w:styleId="1101">
    <w:name w:val="HTML 预设格式"/>
    <w:basedOn w:val="1063"/>
    <w:next w:val="1101"/>
    <w:link w:val="1063"/>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1102">
    <w:name w:val="普通(网站)"/>
    <w:basedOn w:val="1063"/>
    <w:next w:val="1102"/>
    <w:link w:val="1063"/>
    <w:qFormat/>
    <w:pPr>
      <w:jc w:val="left"/>
      <w:spacing w:before="100" w:beforeAutospacing="1" w:after="100" w:afterAutospacing="1"/>
      <w:widowControl/>
    </w:pPr>
    <w:rPr>
      <w:rFonts w:ascii="宋体" w:hAnsi="宋体" w:cs="宋体"/>
      <w:sz w:val="24"/>
      <w:szCs w:val="24"/>
    </w:rPr>
  </w:style>
  <w:style w:type="paragraph" w:styleId="1103">
    <w:name w:val="批注主题"/>
    <w:basedOn w:val="1079"/>
    <w:next w:val="1079"/>
    <w:link w:val="1104"/>
    <w:unhideWhenUsed/>
    <w:qFormat/>
    <w:rPr>
      <w:b/>
      <w:bCs/>
    </w:rPr>
  </w:style>
  <w:style w:type="character" w:styleId="1104">
    <w:name w:val="批注主题 字符"/>
    <w:next w:val="1104"/>
    <w:link w:val="1103"/>
    <w:semiHidden/>
    <w:qFormat/>
    <w:rPr>
      <w:rFonts w:ascii="Calibri" w:hAnsi="Calibri" w:cs="Calibri"/>
      <w:b/>
      <w:bCs/>
      <w:sz w:val="21"/>
      <w:szCs w:val="21"/>
    </w:rPr>
  </w:style>
  <w:style w:type="paragraph" w:styleId="1105">
    <w:name w:val="正文首行缩进"/>
    <w:basedOn w:val="1081"/>
    <w:next w:val="1063"/>
    <w:link w:val="1063"/>
    <w:unhideWhenUsed/>
    <w:qFormat/>
    <w:pPr>
      <w:ind w:firstLine="420"/>
    </w:pPr>
    <w:rPr>
      <w:rFonts w:ascii="Calibri" w:hAnsi="Calibri" w:eastAsia="宋体"/>
      <w:sz w:val="28"/>
      <w:szCs w:val="28"/>
    </w:rPr>
  </w:style>
  <w:style w:type="paragraph" w:styleId="1106">
    <w:name w:val="正文首行缩进 2"/>
    <w:basedOn w:val="1063"/>
    <w:next w:val="1063"/>
    <w:link w:val="1063"/>
    <w:uiPriority w:val="99"/>
    <w:qFormat/>
    <w:pPr>
      <w:ind w:firstLine="420"/>
    </w:pPr>
  </w:style>
  <w:style w:type="table" w:styleId="1107">
    <w:name w:val="网格型"/>
    <w:basedOn w:val="1071"/>
    <w:next w:val="1107"/>
    <w:link w:val="1063"/>
    <w:uiPriority w:val="99"/>
    <w:qFormat/>
    <w:pPr>
      <w:jc w:val="both"/>
      <w:widowControl w:val="off"/>
    </w:pPr>
    <w:tblPr/>
  </w:style>
  <w:style w:type="character" w:styleId="1108">
    <w:name w:val="要点"/>
    <w:next w:val="1108"/>
    <w:link w:val="1063"/>
    <w:uiPriority w:val="99"/>
    <w:qFormat/>
    <w:rPr>
      <w:b/>
      <w:bCs/>
    </w:rPr>
  </w:style>
  <w:style w:type="character" w:styleId="1109">
    <w:name w:val="页码"/>
    <w:next w:val="1109"/>
    <w:link w:val="1063"/>
    <w:uiPriority w:val="99"/>
    <w:qFormat/>
    <w:rPr>
      <w:rFonts w:ascii="Times New Roman" w:hAnsi="Times New Roman" w:eastAsia="宋体" w:cs="Times New Roman"/>
    </w:rPr>
  </w:style>
  <w:style w:type="character" w:styleId="1110">
    <w:name w:val="强调"/>
    <w:next w:val="1110"/>
    <w:link w:val="1063"/>
    <w:qFormat/>
    <w:rPr>
      <w:i/>
    </w:rPr>
  </w:style>
  <w:style w:type="character" w:styleId="1111">
    <w:name w:val="超链接"/>
    <w:next w:val="1111"/>
    <w:link w:val="1063"/>
    <w:uiPriority w:val="99"/>
    <w:qFormat/>
    <w:rPr>
      <w:color w:val="0000ff"/>
      <w:u w:val="single"/>
    </w:rPr>
  </w:style>
  <w:style w:type="character" w:styleId="1112">
    <w:name w:val="HTML 代码"/>
    <w:next w:val="1112"/>
    <w:link w:val="1063"/>
    <w:qFormat/>
    <w:rPr>
      <w:rFonts w:ascii="Courier New" w:hAnsi="Courier New"/>
      <w:sz w:val="20"/>
    </w:rPr>
  </w:style>
  <w:style w:type="character" w:styleId="1113">
    <w:name w:val="批注引用"/>
    <w:next w:val="1113"/>
    <w:link w:val="1063"/>
    <w:qFormat/>
    <w:rPr>
      <w:sz w:val="21"/>
      <w:szCs w:val="21"/>
    </w:rPr>
  </w:style>
  <w:style w:type="character" w:styleId="1114">
    <w:name w:val="默认段落字体1"/>
    <w:next w:val="1114"/>
    <w:link w:val="1063"/>
    <w:uiPriority w:val="1"/>
    <w:unhideWhenUsed/>
    <w:qFormat/>
  </w:style>
  <w:style w:type="paragraph" w:styleId="1115">
    <w:name w:val="列表段落"/>
    <w:basedOn w:val="1063"/>
    <w:next w:val="1115"/>
    <w:link w:val="1063"/>
    <w:uiPriority w:val="34"/>
    <w:qFormat/>
    <w:pPr>
      <w:ind w:firstLine="420"/>
    </w:pPr>
  </w:style>
  <w:style w:type="paragraph" w:styleId="1116">
    <w:name w:val="_Style 1"/>
    <w:basedOn w:val="1063"/>
    <w:next w:val="1116"/>
    <w:link w:val="1063"/>
    <w:qFormat/>
    <w:pPr>
      <w:ind w:firstLine="420"/>
    </w:pPr>
    <w:rPr>
      <w:sz w:val="20"/>
    </w:rPr>
  </w:style>
  <w:style w:type="paragraph" w:styleId="1117">
    <w:name w:val="DAS正文"/>
    <w:next w:val="1117"/>
    <w:link w:val="1063"/>
    <w:qFormat/>
    <w:pPr>
      <w:ind w:right="181" w:firstLine="480"/>
      <w:jc w:val="both"/>
      <w:spacing w:line="360" w:lineRule="auto"/>
      <w:widowControl w:val="off"/>
    </w:pPr>
    <w:rPr>
      <w:rFonts w:ascii="Verdana" w:hAnsi="Verdana"/>
      <w:sz w:val="21"/>
      <w:szCs w:val="24"/>
      <w:lang w:val="en-US" w:eastAsia="zh-CN" w:bidi="ar-SA"/>
    </w:rPr>
  </w:style>
  <w:style w:type="paragraph" w:styleId="1118">
    <w:name w:val="报告正文"/>
    <w:basedOn w:val="1063"/>
    <w:next w:val="1118"/>
    <w:link w:val="1063"/>
    <w:qFormat/>
    <w:pPr>
      <w:ind w:firstLine="560"/>
    </w:pPr>
    <w:rPr>
      <w:szCs w:val="20"/>
      <w:lang w:val="zh-CN"/>
    </w:rPr>
  </w:style>
  <w:style w:type="character" w:styleId="1119">
    <w:name w:val="标题 3 Char"/>
    <w:next w:val="1119"/>
    <w:link w:val="1063"/>
    <w:uiPriority w:val="9"/>
    <w:qFormat/>
    <w:rPr>
      <w:rFonts w:ascii="Calibri" w:hAnsi="Calibri" w:cs="Calibri"/>
      <w:b/>
      <w:bCs/>
      <w:sz w:val="32"/>
      <w:szCs w:val="32"/>
    </w:rPr>
  </w:style>
  <w:style w:type="paragraph" w:styleId="1120">
    <w:name w:val="普通正文"/>
    <w:basedOn w:val="1063"/>
    <w:next w:val="1120"/>
    <w:link w:val="1121"/>
    <w:uiPriority w:val="99"/>
    <w:qFormat/>
    <w:pPr>
      <w:ind w:firstLine="480"/>
      <w:jc w:val="left"/>
      <w:spacing w:before="120" w:after="120" w:line="360" w:lineRule="auto"/>
    </w:pPr>
    <w:rPr>
      <w:rFonts w:ascii="Arial" w:hAnsi="Arial" w:cs="Arial"/>
      <w:sz w:val="24"/>
      <w:szCs w:val="24"/>
    </w:rPr>
  </w:style>
  <w:style w:type="character" w:styleId="1121">
    <w:name w:val="普通正文 Char"/>
    <w:next w:val="1121"/>
    <w:link w:val="1120"/>
    <w:uiPriority w:val="99"/>
    <w:qFormat/>
    <w:rPr>
      <w:rFonts w:ascii="Arial" w:hAnsi="Arial" w:cs="Arial"/>
      <w:sz w:val="24"/>
      <w:szCs w:val="24"/>
    </w:rPr>
  </w:style>
  <w:style w:type="paragraph" w:styleId="1122">
    <w:name w:val="一级目录"/>
    <w:next w:val="1063"/>
    <w:link w:val="1123"/>
    <w:uiPriority w:val="99"/>
    <w:qFormat/>
    <w:pPr>
      <w:jc w:val="center"/>
      <w:outlineLvl w:val="0"/>
    </w:pPr>
    <w:rPr>
      <w:rFonts w:ascii="黑体" w:eastAsia="黑体"/>
      <w:b/>
      <w:bCs/>
      <w:sz w:val="44"/>
      <w:szCs w:val="44"/>
      <w:lang w:val="en-US" w:eastAsia="zh-CN" w:bidi="ar-SA"/>
    </w:rPr>
  </w:style>
  <w:style w:type="character" w:styleId="1123">
    <w:name w:val="一级目录 Char"/>
    <w:next w:val="1123"/>
    <w:link w:val="1122"/>
    <w:uiPriority w:val="99"/>
    <w:qFormat/>
    <w:rPr>
      <w:rFonts w:ascii="黑体" w:eastAsia="黑体"/>
      <w:b/>
      <w:bCs/>
      <w:sz w:val="44"/>
      <w:szCs w:val="44"/>
      <w:lang w:val="en-US" w:eastAsia="zh-CN" w:bidi="ar-SA"/>
    </w:rPr>
  </w:style>
  <w:style w:type="paragraph" w:styleId="1124">
    <w:name w:val="二级目录"/>
    <w:next w:val="1063"/>
    <w:link w:val="1125"/>
    <w:uiPriority w:val="99"/>
    <w:qFormat/>
    <w:pPr>
      <w:numPr>
        <w:ilvl w:val="0"/>
        <w:numId w:val="3"/>
      </w:numPr>
      <w:tabs>
        <w:tab w:val="left" w:pos="720" w:leader="none"/>
      </w:tabs>
      <w:outlineLvl w:val="1"/>
    </w:pPr>
    <w:rPr>
      <w:rFonts w:ascii="Calibri" w:hAnsi="Calibri"/>
      <w:b/>
      <w:bCs/>
      <w:sz w:val="28"/>
      <w:szCs w:val="28"/>
      <w:lang w:val="en-US" w:eastAsia="zh-CN" w:bidi="ar-SA"/>
    </w:rPr>
  </w:style>
  <w:style w:type="character" w:styleId="1125">
    <w:name w:val="二级目录 Char"/>
    <w:next w:val="1125"/>
    <w:link w:val="1124"/>
    <w:uiPriority w:val="99"/>
    <w:qFormat/>
    <w:rPr>
      <w:rFonts w:ascii="Calibri" w:hAnsi="Calibri"/>
      <w:b/>
      <w:bCs/>
      <w:sz w:val="28"/>
      <w:szCs w:val="28"/>
      <w:lang w:val="en-US" w:eastAsia="zh-CN" w:bidi="ar-SA"/>
    </w:rPr>
  </w:style>
  <w:style w:type="paragraph" w:styleId="1126">
    <w:name w:val="列出段落1"/>
    <w:basedOn w:val="1063"/>
    <w:next w:val="1126"/>
    <w:link w:val="1063"/>
    <w:uiPriority w:val="99"/>
    <w:qFormat/>
    <w:pPr>
      <w:ind w:firstLine="420"/>
    </w:pPr>
  </w:style>
  <w:style w:type="paragraph" w:styleId="1127">
    <w:name w:val="Char"/>
    <w:basedOn w:val="1063"/>
    <w:next w:val="1127"/>
    <w:link w:val="1063"/>
    <w:uiPriority w:val="99"/>
    <w:qFormat/>
    <w:pPr>
      <w:ind w:firstLine="200"/>
      <w:spacing w:line="360" w:lineRule="auto"/>
      <w:tabs>
        <w:tab w:val="left" w:pos="360" w:leader="none"/>
      </w:tabs>
    </w:pPr>
    <w:rPr>
      <w:rFonts w:ascii="Times New Roman" w:hAnsi="Times New Roman" w:cs="Times New Roman"/>
      <w:sz w:val="24"/>
      <w:szCs w:val="24"/>
    </w:rPr>
  </w:style>
  <w:style w:type="paragraph" w:styleId="1128">
    <w:name w:val="☆ 正文"/>
    <w:basedOn w:val="1063"/>
    <w:next w:val="1128"/>
    <w:link w:val="1063"/>
    <w:uiPriority w:val="99"/>
    <w:qFormat/>
  </w:style>
  <w:style w:type="paragraph" w:styleId="1129">
    <w:name w:val="p0"/>
    <w:basedOn w:val="1063"/>
    <w:next w:val="1129"/>
    <w:link w:val="1063"/>
    <w:uiPriority w:val="99"/>
    <w:qFormat/>
    <w:pPr>
      <w:widowControl/>
    </w:pPr>
    <w:rPr>
      <w:rFonts w:ascii="Times New Roman" w:hAnsi="Times New Roman" w:cs="Times New Roman"/>
    </w:rPr>
  </w:style>
  <w:style w:type="paragraph" w:styleId="1130">
    <w:name w:val="_Style 5"/>
    <w:basedOn w:val="1063"/>
    <w:next w:val="1063"/>
    <w:link w:val="1063"/>
    <w:uiPriority w:val="99"/>
    <w:qFormat/>
    <w:pPr>
      <w:jc w:val="center"/>
      <w:widowControl/>
      <w:pBdr>
        <w:bottom w:val="single" w:color="000000" w:sz="6" w:space="1"/>
      </w:pBdr>
    </w:pPr>
    <w:rPr>
      <w:rFonts w:ascii="Arial" w:hAnsi="Arial" w:cs="Arial"/>
      <w:vanish/>
      <w:sz w:val="16"/>
      <w:szCs w:val="16"/>
    </w:rPr>
  </w:style>
  <w:style w:type="paragraph" w:styleId="1131">
    <w:name w:val="_Style 8"/>
    <w:basedOn w:val="1063"/>
    <w:next w:val="1063"/>
    <w:link w:val="1063"/>
    <w:uiPriority w:val="99"/>
    <w:qFormat/>
    <w:pPr>
      <w:jc w:val="center"/>
      <w:widowControl/>
      <w:pBdr>
        <w:top w:val="single" w:color="000000" w:sz="6" w:space="1"/>
      </w:pBdr>
    </w:pPr>
    <w:rPr>
      <w:rFonts w:ascii="Arial" w:hAnsi="Arial" w:cs="Arial"/>
      <w:vanish/>
      <w:sz w:val="16"/>
      <w:szCs w:val="16"/>
    </w:rPr>
  </w:style>
  <w:style w:type="paragraph" w:styleId="1132">
    <w:name w:val="Default"/>
    <w:next w:val="1132"/>
    <w:link w:val="1063"/>
    <w:uiPriority w:val="99"/>
    <w:qFormat/>
    <w:pPr>
      <w:widowControl w:val="off"/>
    </w:pPr>
    <w:rPr>
      <w:rFonts w:ascii="仿宋" w:hAnsi="仿宋" w:eastAsia="仿宋" w:cs="仿宋"/>
      <w:color w:val="000000"/>
      <w:sz w:val="24"/>
      <w:szCs w:val="24"/>
      <w:lang w:val="en-US" w:eastAsia="zh-CN" w:bidi="ar-SA"/>
    </w:rPr>
  </w:style>
  <w:style w:type="paragraph" w:styleId="1133">
    <w:name w:val="_Style 3"/>
    <w:basedOn w:val="1063"/>
    <w:next w:val="1133"/>
    <w:link w:val="1063"/>
    <w:uiPriority w:val="99"/>
    <w:qFormat/>
    <w:pPr>
      <w:jc w:val="center"/>
      <w:widowControl/>
      <w:pBdr>
        <w:bottom w:val="single" w:color="000000" w:sz="6" w:space="1"/>
      </w:pBdr>
    </w:pPr>
    <w:rPr>
      <w:rFonts w:ascii="Arial" w:hAnsi="Arial" w:cs="Arial"/>
      <w:vanish/>
      <w:sz w:val="16"/>
      <w:szCs w:val="16"/>
    </w:rPr>
  </w:style>
  <w:style w:type="paragraph" w:styleId="1134">
    <w:name w:val="正文1"/>
    <w:next w:val="1134"/>
    <w:link w:val="1063"/>
    <w:uiPriority w:val="99"/>
    <w:qFormat/>
    <w:rPr>
      <w:rFonts w:ascii="Calibri" w:hAnsi="Calibri" w:cs="Calibri"/>
      <w:sz w:val="24"/>
      <w:szCs w:val="24"/>
      <w:lang w:val="en-US" w:eastAsia="zh-CN" w:bidi="ar-SA"/>
    </w:rPr>
  </w:style>
  <w:style w:type="paragraph" w:styleId="1135">
    <w:name w:val="Char1"/>
    <w:basedOn w:val="1063"/>
    <w:next w:val="1135"/>
    <w:link w:val="1063"/>
    <w:uiPriority w:val="99"/>
    <w:qFormat/>
    <w:rPr>
      <w:rFonts w:ascii="Tahoma" w:hAnsi="Tahoma" w:cs="Tahoma"/>
      <w:sz w:val="24"/>
      <w:szCs w:val="24"/>
    </w:rPr>
  </w:style>
  <w:style w:type="character" w:styleId="1136">
    <w:name w:val="项目编号A Char Char"/>
    <w:next w:val="1136"/>
    <w:link w:val="1137"/>
    <w:qFormat/>
    <w:rPr>
      <w:rFonts w:ascii="Arial" w:hAnsi="Arial"/>
      <w:sz w:val="24"/>
      <w:szCs w:val="24"/>
    </w:rPr>
  </w:style>
  <w:style w:type="paragraph" w:styleId="1137">
    <w:name w:val="项目编号A"/>
    <w:basedOn w:val="1063"/>
    <w:next w:val="1137"/>
    <w:link w:val="1136"/>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138">
    <w:name w:val="方案文档 Char Char"/>
    <w:next w:val="1138"/>
    <w:link w:val="1139"/>
    <w:qFormat/>
    <w:rPr>
      <w:rFonts w:ascii="Arial" w:hAnsi="Arial"/>
      <w:color w:val="ff00ff"/>
      <w:sz w:val="24"/>
      <w:lang w:val="zh-CN"/>
    </w:rPr>
  </w:style>
  <w:style w:type="paragraph" w:styleId="1139">
    <w:name w:val="方案文档"/>
    <w:basedOn w:val="1063"/>
    <w:next w:val="1139"/>
    <w:link w:val="1138"/>
    <w:qFormat/>
    <w:pPr>
      <w:ind w:right="32"/>
      <w:spacing w:before="120" w:after="120" w:line="360" w:lineRule="auto"/>
    </w:pPr>
    <w:rPr>
      <w:rFonts w:ascii="Arial" w:hAnsi="Arial" w:cs="Times New Roman"/>
      <w:color w:val="ff00ff"/>
      <w:sz w:val="24"/>
      <w:szCs w:val="20"/>
      <w:lang w:val="zh-CN"/>
    </w:rPr>
  </w:style>
  <w:style w:type="paragraph" w:styleId="1140">
    <w:name w:val="列出段落2"/>
    <w:basedOn w:val="1063"/>
    <w:next w:val="1140"/>
    <w:link w:val="1063"/>
    <w:uiPriority w:val="34"/>
    <w:qFormat/>
    <w:pPr>
      <w:ind w:firstLine="420"/>
    </w:pPr>
  </w:style>
  <w:style w:type="paragraph" w:styleId="1141">
    <w:name w:val="列出段落3"/>
    <w:basedOn w:val="1063"/>
    <w:next w:val="1141"/>
    <w:link w:val="1063"/>
    <w:uiPriority w:val="34"/>
    <w:qFormat/>
    <w:pPr>
      <w:ind w:left="720"/>
      <w:jc w:val="left"/>
      <w:widowControl/>
    </w:pPr>
    <w:rPr>
      <w:sz w:val="24"/>
      <w:szCs w:val="24"/>
      <w:lang w:eastAsia="en-US" w:bidi="en-US"/>
    </w:rPr>
  </w:style>
  <w:style w:type="character" w:styleId="1142">
    <w:name w:val="font71"/>
    <w:next w:val="1142"/>
    <w:link w:val="1063"/>
    <w:qFormat/>
    <w:rPr>
      <w:rFonts w:hint="eastAsia" w:ascii="微软雅黑" w:hAnsi="微软雅黑" w:eastAsia="微软雅黑" w:cs="微软雅黑"/>
      <w:color w:val="ff0000"/>
      <w:sz w:val="28"/>
      <w:szCs w:val="28"/>
      <w:u w:val="none"/>
    </w:rPr>
  </w:style>
  <w:style w:type="character" w:styleId="1143">
    <w:name w:val="font11"/>
    <w:next w:val="1143"/>
    <w:link w:val="1063"/>
    <w:qFormat/>
    <w:rPr>
      <w:rFonts w:hint="eastAsia" w:ascii="微软雅黑" w:hAnsi="微软雅黑" w:eastAsia="微软雅黑" w:cs="微软雅黑"/>
      <w:color w:val="000000"/>
      <w:sz w:val="28"/>
      <w:szCs w:val="28"/>
      <w:u w:val="none"/>
    </w:rPr>
  </w:style>
  <w:style w:type="paragraph" w:styleId="1144">
    <w:name w:val="_Style 2"/>
    <w:basedOn w:val="1063"/>
    <w:next w:val="1144"/>
    <w:link w:val="1063"/>
    <w:uiPriority w:val="34"/>
    <w:qFormat/>
    <w:pPr>
      <w:contextualSpacing/>
      <w:ind w:left="720"/>
      <w:jc w:val="left"/>
      <w:widowControl/>
    </w:pPr>
    <w:rPr>
      <w:sz w:val="24"/>
      <w:szCs w:val="24"/>
      <w:lang w:eastAsia="en-US" w:bidi="en-US"/>
    </w:rPr>
  </w:style>
  <w:style w:type="character" w:styleId="1145">
    <w:name w:val="font61"/>
    <w:next w:val="1145"/>
    <w:link w:val="1063"/>
    <w:qFormat/>
    <w:rPr>
      <w:rFonts w:hint="eastAsia" w:ascii="宋体" w:hAnsi="宋体" w:eastAsia="宋体" w:cs="宋体"/>
      <w:color w:val="000000"/>
      <w:sz w:val="17"/>
      <w:szCs w:val="17"/>
      <w:u w:val="none"/>
    </w:rPr>
  </w:style>
  <w:style w:type="character" w:styleId="1146">
    <w:name w:val="font81"/>
    <w:next w:val="1146"/>
    <w:link w:val="1063"/>
    <w:qFormat/>
    <w:rPr>
      <w:rFonts w:hint="eastAsia" w:ascii="宋体" w:hAnsi="宋体" w:eastAsia="宋体" w:cs="宋体"/>
      <w:color w:val="000000"/>
      <w:sz w:val="17"/>
      <w:szCs w:val="17"/>
      <w:u w:val="none"/>
    </w:rPr>
  </w:style>
  <w:style w:type="paragraph" w:styleId="1147">
    <w:name w:val="表中文字"/>
    <w:basedOn w:val="1063"/>
    <w:next w:val="1147"/>
    <w:link w:val="1063"/>
    <w:qFormat/>
    <w:rPr>
      <w:rFonts w:ascii="Times New Roman" w:hAnsi="Times New Roman" w:cs="Times New Roman"/>
      <w:sz w:val="24"/>
      <w:szCs w:val="24"/>
    </w:rPr>
  </w:style>
  <w:style w:type="paragraph" w:styleId="1148">
    <w:name w:val="标准文本"/>
    <w:basedOn w:val="1063"/>
    <w:next w:val="1148"/>
    <w:link w:val="1063"/>
    <w:qFormat/>
    <w:pPr>
      <w:ind w:firstLine="480"/>
      <w:spacing w:line="360" w:lineRule="auto"/>
    </w:pPr>
    <w:rPr>
      <w:rFonts w:cs="宋体"/>
      <w:sz w:val="24"/>
      <w:szCs w:val="20"/>
    </w:rPr>
  </w:style>
  <w:style w:type="paragraph" w:styleId="1149">
    <w:name w:val="标准文件_标准正文"/>
    <w:basedOn w:val="1063"/>
    <w:next w:val="1149"/>
    <w:link w:val="1063"/>
    <w:uiPriority w:val="99"/>
    <w:qFormat/>
    <w:pPr>
      <w:ind w:firstLine="560"/>
      <w:jc w:val="left"/>
      <w:spacing w:line="300" w:lineRule="auto"/>
      <w:widowControl/>
    </w:pPr>
    <w:rPr>
      <w:rFonts w:ascii="宋体" w:hAnsi="宋体"/>
      <w:bCs/>
      <w:color w:val="000000"/>
      <w:sz w:val="28"/>
      <w:szCs w:val="28"/>
    </w:rPr>
  </w:style>
  <w:style w:type="character" w:styleId="1150">
    <w:name w:val="15"/>
    <w:next w:val="1150"/>
    <w:link w:val="1063"/>
    <w:qFormat/>
    <w:rPr>
      <w:rFonts w:ascii="Times New Roman" w:hAnsi="Times New Roman" w:cs="Times New Roman"/>
    </w:rPr>
  </w:style>
  <w:style w:type="paragraph" w:styleId="1151">
    <w:name w:val="WPSOffice手动目录 1"/>
    <w:next w:val="1151"/>
    <w:link w:val="1063"/>
    <w:qFormat/>
    <w:rPr>
      <w:lang w:val="en-US" w:eastAsia="zh-CN" w:bidi="ar-SA"/>
    </w:rPr>
  </w:style>
  <w:style w:type="paragraph" w:styleId="1152">
    <w:name w:val="表内文字"/>
    <w:basedOn w:val="1063"/>
    <w:next w:val="1152"/>
    <w:link w:val="1063"/>
    <w:uiPriority w:val="99"/>
    <w:qFormat/>
    <w:rPr>
      <w:rFonts w:ascii="仿宋_GB2312"/>
    </w:rPr>
  </w:style>
  <w:style w:type="paragraph" w:styleId="1153">
    <w:name w:val="修订1"/>
    <w:next w:val="1153"/>
    <w:link w:val="1063"/>
    <w:uiPriority w:val="99"/>
    <w:unhideWhenUsed/>
    <w:qFormat/>
    <w:rPr>
      <w:rFonts w:ascii="Calibri" w:hAnsi="Calibri" w:cs="Calibri"/>
      <w:sz w:val="21"/>
      <w:szCs w:val="21"/>
      <w:lang w:val="en-US" w:eastAsia="zh-CN" w:bidi="ar-SA"/>
    </w:rPr>
  </w:style>
  <w:style w:type="paragraph" w:styleId="1154">
    <w:name w:val="样式 样式 首行缩进:  2 字符 + 行距: 1.5 倍行距"/>
    <w:basedOn w:val="1063"/>
    <w:next w:val="1154"/>
    <w:link w:val="1063"/>
    <w:qFormat/>
    <w:pPr>
      <w:ind w:firstLine="470"/>
      <w:spacing w:line="360" w:lineRule="auto"/>
    </w:pPr>
    <w:rPr>
      <w:rFonts w:eastAsia="Calibri" w:cs="宋体"/>
      <w:sz w:val="24"/>
      <w:szCs w:val="20"/>
      <w:lang w:val="zh-CN"/>
    </w:rPr>
  </w:style>
  <w:style w:type="paragraph" w:styleId="1155">
    <w:name w:val="招标"/>
    <w:basedOn w:val="1063"/>
    <w:next w:val="1155"/>
    <w:link w:val="1063"/>
    <w:qFormat/>
    <w:pPr>
      <w:ind w:firstLine="420"/>
      <w:jc w:val="left"/>
      <w:spacing w:line="400" w:lineRule="exact"/>
    </w:pPr>
    <w:rPr>
      <w:rFonts w:ascii="宋体" w:hAnsi="宋体"/>
    </w:rPr>
  </w:style>
  <w:style w:type="paragraph" w:styleId="1156">
    <w:name w:val="修订"/>
    <w:next w:val="1156"/>
    <w:link w:val="1063"/>
    <w:uiPriority w:val="99"/>
    <w:unhideWhenUsed/>
    <w:rPr>
      <w:rFonts w:ascii="Calibri" w:hAnsi="Calibri" w:cs="Calibri"/>
      <w:sz w:val="21"/>
      <w:szCs w:val="21"/>
      <w:lang w:val="en-US" w:eastAsia="zh-CN" w:bidi="ar-SA"/>
    </w:rPr>
  </w:style>
  <w:style w:type="paragraph" w:styleId="1157">
    <w:name w:val="首行缩进"/>
    <w:basedOn w:val="1063"/>
    <w:next w:val="1157"/>
    <w:link w:val="1063"/>
    <w:qFormat/>
    <w:pPr>
      <w:ind w:firstLine="480"/>
    </w:pPr>
    <w:rPr>
      <w:rFonts w:cs="宋体"/>
      <w:sz w:val="20"/>
      <w:szCs w:val="20"/>
    </w:rPr>
  </w:style>
  <w:style w:type="table" w:styleId="1158">
    <w:name w:val="Table Normal"/>
    <w:next w:val="1158"/>
    <w:link w:val="1063"/>
    <w:uiPriority w:val="2"/>
    <w:qFormat/>
    <w:rPr>
      <w:lang w:val="en-US" w:eastAsia="zh-CN" w:bidi="ar-SA"/>
    </w:rPr>
    <w:tblPr/>
  </w:style>
  <w:style w:type="paragraph" w:styleId="1159">
    <w:name w:val="Table Text"/>
    <w:basedOn w:val="1063"/>
    <w:next w:val="1159"/>
    <w:link w:val="1063"/>
    <w:semiHidden/>
    <w:qFormat/>
    <w:rPr>
      <w:rFonts w:ascii="宋体" w:hAnsi="宋体" w:cs="宋体"/>
      <w:lang w:eastAsia="en-US"/>
    </w:rPr>
  </w:style>
  <w:style w:type="paragraph" w:styleId="1160">
    <w:name w:val="纯文本1"/>
    <w:basedOn w:val="1063"/>
    <w:next w:val="1160"/>
    <w:link w:val="1063"/>
    <w:qFormat/>
    <w:rPr>
      <w:rFonts w:ascii="宋体" w:hAnsi="Courier New"/>
      <w:sz w:val="20"/>
      <w:szCs w:val="21"/>
    </w:rPr>
  </w:style>
  <w:style w:type="paragraph" w:styleId="1161">
    <w:name w:val="普通(网站)1"/>
    <w:basedOn w:val="1063"/>
    <w:next w:val="1161"/>
    <w:link w:val="1063"/>
    <w:uiPriority w:val="99"/>
    <w:unhideWhenUsed/>
    <w:qFormat/>
    <w:pPr>
      <w:spacing w:before="100" w:beforeAutospacing="1" w:after="100" w:afterAutospacing="1"/>
      <w:widowControl/>
    </w:pPr>
    <w:rPr>
      <w:sz w:val="24"/>
      <w:szCs w:val="24"/>
    </w:rPr>
  </w:style>
  <w:style w:type="character" w:styleId="1162">
    <w:name w:val="要点1"/>
    <w:next w:val="1162"/>
    <w:link w:val="1063"/>
    <w:uiPriority w:val="22"/>
    <w:qFormat/>
    <w:rPr>
      <w:rFonts w:ascii="Calibri" w:hAnsi="Calibri" w:cs="Calibri"/>
      <w:sz w:val="21"/>
      <w:szCs w:val="21"/>
      <w:lang w:val="en-US" w:eastAsia="zh-CN" w:bidi="ar-SA"/>
    </w:rPr>
  </w:style>
  <w:style w:type="character" w:styleId="1163">
    <w:name w:val="强调1"/>
    <w:next w:val="1163"/>
    <w:link w:val="1063"/>
    <w:uiPriority w:val="20"/>
    <w:qFormat/>
    <w:rPr>
      <w:i/>
    </w:rPr>
  </w:style>
  <w:style w:type="paragraph" w:styleId="1164">
    <w:name w:val="页脚1"/>
    <w:basedOn w:val="1063"/>
    <w:next w:val="1164"/>
    <w:link w:val="1063"/>
    <w:uiPriority w:val="99"/>
    <w:qFormat/>
    <w:pPr>
      <w:jc w:val="left"/>
      <w:tabs>
        <w:tab w:val="center" w:pos="4153" w:leader="none"/>
        <w:tab w:val="right" w:pos="8306" w:leader="none"/>
      </w:tabs>
    </w:pPr>
    <w:rPr>
      <w:sz w:val="18"/>
    </w:rPr>
  </w:style>
  <w:style w:type="table" w:styleId="1165">
    <w:name w:val="table"/>
    <w:basedOn w:val="1071"/>
    <w:next w:val="1165"/>
    <w:link w:val="1063"/>
    <w:qFormat/>
    <w:tblPr/>
  </w:style>
  <w:style w:type="paragraph" w:styleId="1166">
    <w:name w:val="正文文本1"/>
    <w:basedOn w:val="1063"/>
    <w:next w:val="1166"/>
    <w:link w:val="1063"/>
    <w:uiPriority w:val="1"/>
    <w:qFormat/>
    <w:rPr>
      <w:sz w:val="21"/>
      <w:szCs w:val="21"/>
    </w:rPr>
  </w:style>
  <w:style w:type="paragraph" w:styleId="1167">
    <w:name w:val="标题 31"/>
    <w:basedOn w:val="1063"/>
    <w:next w:val="1168"/>
    <w:link w:val="1063"/>
    <w:qFormat/>
    <w:pPr>
      <w:keepLines/>
      <w:keepNext/>
      <w:spacing w:before="260" w:after="260" w:line="416" w:lineRule="auto"/>
      <w:outlineLvl w:val="2"/>
    </w:pPr>
    <w:rPr>
      <w:b/>
      <w:bCs/>
      <w:sz w:val="32"/>
      <w:szCs w:val="32"/>
    </w:rPr>
  </w:style>
  <w:style w:type="paragraph" w:styleId="1168">
    <w:name w:val="正文缩进1"/>
    <w:basedOn w:val="1063"/>
    <w:next w:val="1168"/>
    <w:link w:val="1063"/>
    <w:qFormat/>
    <w:pPr>
      <w:ind w:firstLine="420"/>
    </w:pPr>
    <w:rPr>
      <w:sz w:val="20"/>
      <w:szCs w:val="21"/>
    </w:rPr>
  </w:style>
  <w:style w:type="paragraph" w:styleId="1169">
    <w:name w:val="标题 41"/>
    <w:basedOn w:val="1063"/>
    <w:next w:val="1168"/>
    <w:link w:val="1063"/>
    <w:qFormat/>
    <w:pPr>
      <w:keepLines/>
      <w:keepNext/>
      <w:spacing w:before="280" w:after="290" w:line="376" w:lineRule="auto"/>
      <w:outlineLvl w:val="3"/>
    </w:pPr>
    <w:rPr>
      <w:rFonts w:ascii="Arial" w:hAnsi="Arial" w:eastAsia="黑体"/>
      <w:b/>
      <w:bCs/>
      <w:sz w:val="28"/>
      <w:szCs w:val="28"/>
    </w:rPr>
  </w:style>
  <w:style w:type="paragraph" w:styleId="1170">
    <w:name w:val="普通(网站)11"/>
    <w:basedOn w:val="1063"/>
    <w:next w:val="1170"/>
    <w:link w:val="1063"/>
    <w:qFormat/>
    <w:pPr>
      <w:jc w:val="left"/>
      <w:spacing w:before="100" w:beforeAutospacing="1" w:after="100" w:afterAutospacing="1"/>
    </w:pPr>
    <w:rPr>
      <w:sz w:val="24"/>
    </w:rPr>
  </w:style>
  <w:style w:type="paragraph" w:styleId="1171">
    <w:name w:val="列表段落1"/>
    <w:basedOn w:val="1063"/>
    <w:next w:val="1171"/>
    <w:link w:val="1063"/>
    <w:uiPriority w:val="34"/>
    <w:qFormat/>
    <w:pPr>
      <w:ind w:firstLine="420"/>
    </w:pPr>
  </w:style>
  <w:style w:type="character" w:styleId="1172" w:default="1">
    <w:name w:val="Default Paragraph Font"/>
    <w:uiPriority w:val="1"/>
    <w:semiHidden/>
    <w:unhideWhenUsed/>
  </w:style>
  <w:style w:type="numbering" w:styleId="1173" w:default="1">
    <w:name w:val="No List"/>
    <w:uiPriority w:val="99"/>
    <w:semiHidden/>
    <w:unhideWhenUsed/>
  </w:style>
  <w:style w:type="table" w:styleId="117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footer" Target="footer8.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周燮</cp:lastModifiedBy>
  <cp:revision>8</cp:revision>
  <dcterms:created xsi:type="dcterms:W3CDTF">2026-04-19T13:02:00Z</dcterms:created>
  <dcterms:modified xsi:type="dcterms:W3CDTF">2026-08-13T09:14:34Z</dcterms:modified>
</cp:coreProperties>
</file>