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JSZC-320500-HWZX-G2026-0491</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：细胞能量代谢分析仪</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6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八</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8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细胞能量代谢分析仪</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中标供应商应当在合同签订后7个月内</w:t>
            </w:r>
            <w:r>
              <w:rPr>
                <w:rFonts w:hint="eastAsia" w:ascii="宋体" w:hAnsi="宋体" w:eastAsia="宋体" w:cs="宋体"/>
                <w:sz w:val="24"/>
                <w:highlight w:val="none"/>
              </w:rPr>
              <w:t xml:space="preserve">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人民币380万元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人民币380万元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highlight w:val="none"/>
              </w:rPr>
              <w:t xml:space="preserve">支付金额的收费标准为以下方式差额累计法计算后3折计取：</w:t>
            </w:r>
            <w:r>
              <w:rPr>
                <w:rFonts w:ascii="宋体" w:hAnsi="宋体" w:eastAsia="宋体" w:cs="宋体"/>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1.374</w:t>
            </w:r>
            <w:r>
              <w:rPr>
                <w:rFonts w:ascii="宋体" w:hAnsi="宋体" w:eastAsia="宋体" w:cs="宋体"/>
                <w:sz w:val="24"/>
                <w:highlight w:val="none"/>
              </w:rPr>
              <w:t xml:space="preserve">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2026年09月16日13时30分（北京时间）</w:t>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2026年09月16日13时30分（北京时间）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4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rFonts w:hint="eastAsia"/>
              <w:highlight w:val="none"/>
            </w:rPr>
            <w:fldChar w:fldCharType="begin"/>
          </w:r>
          <w:r>
            <w:rPr>
              <w:highlight w:val="none"/>
            </w:rPr>
            <w:instrText xml:space="preserve"> HYPERLINK \l "_Toc3769" </w:instrText>
          </w:r>
          <w:r>
            <w:rPr>
              <w:rFonts w:hint="eastAsia"/>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rFonts w:hint="eastAsia"/>
              <w:highlight w:val="none"/>
            </w:rPr>
            <w:fldChar w:fldCharType="begin"/>
          </w:r>
          <w:r>
            <w:rPr>
              <w:highlight w:val="none"/>
            </w:rPr>
            <w:instrText xml:space="preserve"> HYPERLINK \l "_Toc9204" </w:instrText>
          </w:r>
          <w:r>
            <w:rPr>
              <w:rFonts w:hint="eastAsia"/>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细胞能量代谢分析仪</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u w:val="single"/>
        </w:rPr>
        <w:t xml:space="preserve">2026年09月16日13时30分（北京时间）</w:t>
      </w:r>
      <w:r>
        <w:rPr>
          <w:rFonts w:ascii="宋体" w:hAnsi="宋体" w:eastAsia="宋体" w:cs="宋体"/>
          <w:sz w:val="24"/>
          <w:highlight w:val="none"/>
        </w:rPr>
        <w:t xml:space="preserve">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JSZC-320500-HWZX-G2026-0491</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细胞能量代谢分析仪</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人民币380万元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人民币380万元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细胞能量代谢分析仪1套。本项目接受进口产品投标。具体采购需求详见招标文件。</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w:t>
      </w:r>
      <w:r>
        <w:rPr>
          <w:rFonts w:ascii="宋体" w:hAnsi="宋体" w:eastAsia="宋体" w:cs="宋体"/>
          <w:sz w:val="24"/>
          <w:highlight w:val="none"/>
        </w:rPr>
        <w:t xml:space="preserve">7</w:t>
      </w:r>
      <w:r>
        <w:rPr>
          <w:rFonts w:hint="eastAsia" w:ascii="宋体" w:hAnsi="宋体" w:eastAsia="宋体" w:cs="宋体"/>
          <w:sz w:val="24"/>
          <w:highlight w:val="none"/>
        </w:rPr>
        <w:t xml:space="preserve">个月内将货物运送至采购人指定实验室（采购方另行约定的时间除外，但最迟不得晚于2027年3月31日）。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本项目(是/否)接受联合体投标:否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75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rPr>
        <w:t xml:space="preserve">2026年09月16日13时30分（北京时间）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15.18所投产品的合法代理证明的证明材料（国产产品投标的可不提供）；</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7"/>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41.1本国产品标准</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7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7"/>
        <w:jc w:val="center"/>
        <w:spacing w:before="20" w:beforeAutospacing="0" w:after="20" w:afterAutospacing="0" w:line="320" w:lineRule="atLeast"/>
        <w:rPr>
          <w:rFonts w:ascii="宋体" w:hAnsi="宋体" w:eastAsia="宋体" w:cs="宋体"/>
          <w:sz w:val="16"/>
          <w:szCs w:val="16"/>
          <w:highlight w:val="none"/>
        </w:rPr>
      </w:pPr>
      <w:r>
        <w:rPr>
          <w:rStyle w:val="782"/>
          <w:rFonts w:hint="eastAsia" w:ascii="宋体" w:hAnsi="宋体" w:eastAsia="宋体" w:cs="宋体"/>
          <w:szCs w:val="24"/>
          <w:highlight w:val="none"/>
          <w:shd w:val="clear" w:color="auto" w:fill="ffffff"/>
        </w:rPr>
        <w:t xml:space="preserve">中国境内生产的组件成本核算基本规则</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77"/>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41.2本国产品标准的适用范围</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7"/>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8"/>
        <w:ind w:left="0"/>
        <w:rPr>
          <w:rFonts w:hint="eastAsia"/>
          <w:highlight w:val="none"/>
        </w:rPr>
      </w:pPr>
      <w:r>
        <w:rPr>
          <w:rFonts w:hint="eastAsia"/>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w:t>
      </w:r>
      <w:r>
        <w:rPr>
          <w:rFonts w:hint="eastAsia" w:ascii="宋体" w:hAnsi="宋体" w:eastAsia="宋体" w:cs="宋体"/>
          <w:sz w:val="24"/>
          <w:szCs w:val="24"/>
          <w:highlight w:val="none"/>
          <w:lang w:val="en-US" w:eastAsia="zh-CN"/>
        </w:rPr>
        <w:t xml:space="preserve">谋取</w:t>
      </w:r>
      <w:bookmarkStart w:id="6" w:name="_GoBack"/>
      <w:r/>
      <w:bookmarkEnd w:id="6"/>
      <w:r>
        <w:rPr>
          <w:rFonts w:hint="eastAsia" w:ascii="宋体" w:hAnsi="宋体" w:eastAsia="宋体" w:cs="宋体"/>
          <w:sz w:val="24"/>
          <w:szCs w:val="24"/>
          <w:highlight w:val="none"/>
        </w:rPr>
        <w:t xml:space="preserve">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8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4"/>
          <w:rFonts w:hint="eastAsia" w:ascii="宋体" w:hAnsi="宋体" w:eastAsia="宋体" w:cs="宋体"/>
          <w:i w:val="0"/>
          <w:szCs w:val="24"/>
          <w:highlight w:val="none"/>
          <w:u w:val="single"/>
          <w:shd w:val="clear" w:color="auto" w:fill="ffffff"/>
        </w:rPr>
        <w:t xml:space="preserve">（产品名称1）</w:t>
      </w:r>
      <w:r>
        <w:rPr>
          <w:rStyle w:val="784"/>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4"/>
          <w:rFonts w:hint="eastAsia" w:ascii="宋体" w:hAnsi="宋体" w:eastAsia="宋体" w:cs="宋体"/>
          <w:i w:val="0"/>
          <w:szCs w:val="24"/>
          <w:highlight w:val="none"/>
          <w:u w:val="single"/>
          <w:shd w:val="clear" w:color="auto" w:fill="ffffff"/>
        </w:rPr>
        <w:t xml:space="preserve">（厂名）</w:t>
      </w:r>
      <w:r>
        <w:rPr>
          <w:rStyle w:val="784"/>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4"/>
          <w:rFonts w:hint="eastAsia" w:ascii="宋体" w:hAnsi="宋体" w:eastAsia="宋体" w:cs="宋体"/>
          <w:i w:val="0"/>
          <w:szCs w:val="24"/>
          <w:highlight w:val="none"/>
          <w:u w:val="single"/>
          <w:shd w:val="clear" w:color="auto" w:fill="ffffff"/>
        </w:rPr>
        <w:t xml:space="preserve">（规定比例）</w:t>
      </w:r>
      <w:r>
        <w:rPr>
          <w:rStyle w:val="784"/>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（关键组件）</w:t>
      </w:r>
      <w:r>
        <w:rPr>
          <w:rStyle w:val="784"/>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（关键工序）</w:t>
      </w:r>
      <w:r>
        <w:rPr>
          <w:rStyle w:val="784"/>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4"/>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4"/>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7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7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细胞能量代谢分析仪</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JSZC-320500-HWZX-G2026-0491</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细胞能量代谢分析仪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人民币380万元；最高限价：人民币380万元。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本项目核心产品：</w:t>
      </w:r>
      <w:r>
        <w:rPr>
          <w:rFonts w:hint="eastAsia" w:ascii="宋体" w:hAnsi="宋体" w:eastAsia="宋体" w:cs="宋体"/>
          <w:b/>
          <w:bCs/>
          <w:sz w:val="24"/>
          <w:szCs w:val="24"/>
          <w:highlight w:val="none"/>
        </w:rPr>
        <w:t xml:space="preserve">细胞能量代</w:t>
      </w:r>
      <w:r>
        <w:rPr>
          <w:rFonts w:hint="eastAsia" w:ascii="Times New Roman" w:hAnsi="Times New Roman" w:eastAsia="宋体" w:cs="Times New Roman"/>
          <w:b/>
          <w:bCs/>
          <w:sz w:val="24"/>
          <w:szCs w:val="24"/>
          <w:highlight w:val="none"/>
        </w:rPr>
        <w:t xml:space="preserve">谢分析仪</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ascii="宋体" w:hAnsi="宋体" w:eastAsia="宋体" w:cs="宋体"/>
          <w:b/>
          <w:color w:val="000000"/>
          <w:sz w:val="24"/>
          <w:szCs w:val="24"/>
          <w:highlight w:val="none"/>
        </w:rPr>
        <w:t xml:space="preserve">技术性能指标</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Segoe UI" w:hAnsi="Segoe UI" w:eastAsia="Segoe UI" w:cs="Segoe UI"/>
          <w:b/>
          <w:bCs/>
          <w:color w:val="0f1115"/>
          <w:sz w:val="24"/>
          <w:szCs w:val="24"/>
          <w:highlight w:val="none"/>
          <w:shd w:val="clear" w:color="auto" w:fill="ffffff"/>
        </w:rPr>
        <w:t xml:space="preserve">★</w:t>
      </w:r>
      <w:r>
        <w:rPr>
          <w:rFonts w:ascii="宋体" w:hAnsi="宋体" w:eastAsia="宋体" w:cs="宋体"/>
          <w:bCs/>
          <w:color w:val="000000"/>
          <w:sz w:val="24"/>
          <w:szCs w:val="24"/>
          <w:highlight w:val="none"/>
        </w:rPr>
        <w:t xml:space="preserve">1.平行检测样品量：96 孔高通量检测，具备多通道同步采集机制，降低孔间信号时差</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2.可同时进行有氧呼吸与糖酵解检测，即在同一反应体系中同时得到耗氧速率OCR与产酸速率ECAR值，进而获得细胞代谢表型图谱</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3.检测方法对细胞无其他影响，不干扰细胞的正常生理活动</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4.支持免疫细胞在线激活检测，单次检测时长≤25 分钟</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5.检测项目:基础代谢速率、极限呼吸速率、呼吸储备能力、质子漏水平等参数</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6.探针类型：支持无外源性荧光染料标记检测，可实现长时间连续稳定采集 OCR、ECAR 信号，连续检测≥4h</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7.可进行代谢底物偏好性分析，判断细胞对葡萄糖、脂肪酸、氨基酸的利用度</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8.全自动加药:无需在检测过程中手动操作加入药物</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9.可检测样品类型，可检测悬浮，贴壁细胞，组织样品及分离线粒体样品</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10.最低样本量：每孔样本数量≤1×10</w:t>
      </w:r>
      <w:r>
        <w:rPr>
          <w:rFonts w:hint="eastAsia" w:ascii="微软雅黑" w:hAnsi="微软雅黑" w:eastAsia="微软雅黑" w:cs="微软雅黑"/>
          <w:bCs/>
          <w:color w:val="000000"/>
          <w:sz w:val="24"/>
          <w:szCs w:val="24"/>
          <w:highlight w:val="none"/>
        </w:rPr>
        <w:t xml:space="preserve">⁴</w:t>
      </w:r>
      <w:r>
        <w:rPr>
          <w:rFonts w:ascii="宋体" w:hAnsi="宋体" w:eastAsia="宋体" w:cs="宋体"/>
          <w:bCs/>
          <w:color w:val="000000"/>
          <w:sz w:val="24"/>
          <w:szCs w:val="24"/>
          <w:highlight w:val="none"/>
        </w:rPr>
        <w:t xml:space="preserve">个细胞可稳定检出有效 OCR/ECAR 信号；</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11.每孔检测体积≤250uL。</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12.OCR/ECAR信噪比≥3:1，重复孔间CV≤20%</w:t>
      </w:r>
      <w:r>
        <w:rPr>
          <w:rFonts w:hint="eastAsia" w:ascii="宋体" w:hAnsi="宋体" w:eastAsia="宋体" w:cs="宋体"/>
          <w:bCs/>
          <w:color w:val="000000"/>
          <w:sz w:val="24"/>
          <w:szCs w:val="24"/>
          <w:highlight w:val="none"/>
        </w:rPr>
        <w:t xml:space="preserve">。</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13.安装验收</w:t>
      </w:r>
      <w:r>
        <w:rPr>
          <w:rFonts w:hint="eastAsia" w:ascii="宋体" w:hAnsi="宋体" w:eastAsia="宋体" w:cs="宋体"/>
          <w:bCs/>
          <w:color w:val="000000"/>
          <w:sz w:val="24"/>
          <w:szCs w:val="24"/>
          <w:highlight w:val="none"/>
        </w:rPr>
        <w:t xml:space="preserve">当</w:t>
      </w:r>
      <w:r>
        <w:rPr>
          <w:rFonts w:ascii="宋体" w:hAnsi="宋体" w:eastAsia="宋体" w:cs="宋体"/>
          <w:bCs/>
          <w:color w:val="000000"/>
          <w:sz w:val="24"/>
          <w:szCs w:val="24"/>
          <w:highlight w:val="none"/>
        </w:rPr>
        <w:t xml:space="preserve">日需提供IQ和OQ验证服务及报告。</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（二）配置要求</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1.分析仪主机，1个</w:t>
      </w:r>
      <w:r/>
    </w:p>
    <w:p>
      <w:pPr>
        <w:ind w:firstLine="480"/>
        <w:spacing w:line="360" w:lineRule="auto"/>
        <w:tabs>
          <w:tab w:val="left" w:pos="36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2.系统分析控制系统，1个</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（三）付款方式</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3）每次付款前，中标单位均须提供对应金额的、合法有效增值税专用发票。</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中标供应商须在签订合同前，向采购人缴纳合同金额的</w:t>
      </w:r>
      <w:r>
        <w:rPr>
          <w:rFonts w:ascii="宋体" w:hAnsi="宋体" w:eastAsia="宋体" w:cs="宋体"/>
          <w:color w:val="000000"/>
          <w:sz w:val="24"/>
          <w:szCs w:val="24"/>
          <w:highlight w:val="none"/>
        </w:rPr>
        <w:t xml:space="preserve">10%作为履约保证金，至采购人签署最终验收合格证明之日起稳定运行1年后无息退还。</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（五）交付及安装调试</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1．交付流程：中标供应商应当在合同签订后7个月内将货物运送至采购人指定实验室（采购方另行约定的时间除外，但最迟不得晚于2027年3月31日）。</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（六）验收标准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货物安装调试完成后，按如下指标进行逐项测试：</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1.可同时进行有氧呼吸与糖酵解检测</w:t>
      </w:r>
      <w:r>
        <w:rPr>
          <w:rFonts w:hint="eastAsia"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2.支持无外源性荧光染料标记检测，可实现长时间连续稳定采集 OCR、ECAR 信号，连续检测≥4h。</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3.最低样本量：每孔样本数量≤1×10</w:t>
      </w:r>
      <w:r>
        <w:rPr>
          <w:rFonts w:hint="eastAsia" w:ascii="微软雅黑" w:hAnsi="微软雅黑" w:eastAsia="微软雅黑" w:cs="微软雅黑"/>
          <w:color w:val="000000"/>
          <w:sz w:val="24"/>
          <w:szCs w:val="24"/>
          <w:highlight w:val="none"/>
        </w:rPr>
        <w:t xml:space="preserve">⁴</w:t>
      </w:r>
      <w:r>
        <w:rPr>
          <w:rFonts w:ascii="宋体" w:hAnsi="宋体" w:eastAsia="宋体" w:cs="宋体"/>
          <w:color w:val="000000"/>
          <w:sz w:val="24"/>
          <w:szCs w:val="24"/>
          <w:highlight w:val="none"/>
        </w:rPr>
        <w:t xml:space="preserve">个细胞可稳定检出有效 OCR/ECAR 信号</w:t>
      </w:r>
      <w:r>
        <w:rPr>
          <w:rFonts w:hint="eastAsia"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4.OCR/ECAR信噪比≥3:1，重复孔间CV≤20%。</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5.安装验收</w:t>
      </w:r>
      <w:r>
        <w:rPr>
          <w:rFonts w:hint="eastAsia" w:ascii="宋体" w:hAnsi="宋体" w:eastAsia="宋体" w:cs="宋体"/>
          <w:color w:val="000000"/>
          <w:sz w:val="24"/>
          <w:szCs w:val="24"/>
          <w:highlight w:val="none"/>
        </w:rPr>
        <w:t xml:space="preserve">当</w:t>
      </w:r>
      <w:r>
        <w:rPr>
          <w:rFonts w:ascii="宋体" w:hAnsi="宋体" w:eastAsia="宋体" w:cs="宋体"/>
          <w:color w:val="000000"/>
          <w:sz w:val="24"/>
          <w:szCs w:val="24"/>
          <w:highlight w:val="none"/>
        </w:rPr>
        <w:t xml:space="preserve">日需提供IQ和OQ验证服务及报告。</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6.平行检测样品量：96 孔高通量检测</w:t>
      </w:r>
      <w:r>
        <w:rPr>
          <w:rFonts w:hint="eastAsia"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7.支持免疫细胞在线激活检测，单次检测时长≤25 分钟</w:t>
      </w:r>
      <w:r>
        <w:rPr>
          <w:rFonts w:hint="eastAsia"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除满足上述技术指标外，本合同未规定的其他指标应按国际、国家相关标准、行业通行标准及厂方出厂标准进行验收。</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（七）质保服务要求</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1．设备免费质保期不少于5年，自最终验收完成合格之日起算，终身维修；</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（八）报价要求</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1.报价币种为人民币。</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3.投标产品为进口产品时，报价必须为人民币含税价，即在采购人指定地点交货所需的所有费用，包含但不限于进口关税、进口增值税、进口代理服务费及安装、调试、培训和检测等的全部费用。</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2）本次采购的产品使用场景不符合免税办理条件，如响应报价的进口产品，即使在免税清单内，报价也必须为含税价，不接受免税报价。</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甲方：苏州大学 </w:t>
      </w:r>
      <w:r/>
    </w:p>
    <w:p>
      <w:pPr>
        <w:ind w:firstLine="425"/>
        <w:spacing w:line="400" w:lineRule="exact"/>
        <w:rPr>
          <w:rFonts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乙方：</w:t>
      </w:r>
      <w:r>
        <w:rPr>
          <w:rFonts w:hint="eastAsia" w:ascii="宋体" w:hAnsi="宋体" w:eastAsia="宋体" w:cs="宋体"/>
          <w:sz w:val="24"/>
          <w:szCs w:val="24"/>
          <w:highlight w:val="none"/>
          <w:u w:val="single"/>
          <w:lang w:val="zh-CN"/>
        </w:rPr>
        <w:t xml:space="preserve">                </w:t>
      </w:r>
      <w:r/>
    </w:p>
    <w:p>
      <w:pPr>
        <w:ind w:firstLine="425"/>
        <w:spacing w:line="400" w:lineRule="exact"/>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25"/>
        <w:spacing w:line="400" w:lineRule="exact"/>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25"/>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根据政府采购编号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号采购文件及乙方中标的投标文件和中标通知书，甲乙双方就此次中标的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事宜，签订本合同书。</w:t>
      </w:r>
      <w:r/>
    </w:p>
    <w:p>
      <w:pPr>
        <w:ind w:left="1325" w:hanging="765"/>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第一条 </w:t>
      </w:r>
      <w:r>
        <w:rPr>
          <w:rFonts w:hint="eastAsia" w:ascii="宋体" w:hAnsi="宋体" w:eastAsia="宋体" w:cs="宋体"/>
          <w:sz w:val="24"/>
          <w:szCs w:val="24"/>
          <w:highlight w:val="none"/>
        </w:rPr>
        <w:t xml:space="preserve">乙方根据甲方需求提供下列货物：</w:t>
      </w:r>
      <w:r/>
    </w:p>
    <w:tbl>
      <w:tblPr>
        <w:tblStyle w:val="75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31"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701"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型号、规格</w:t>
            </w:r>
            <w:r/>
          </w:p>
        </w:tc>
        <w:tc>
          <w:tcPr>
            <w:tcW w:w="850"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right w:val="single" w:color="auto" w:sz="4" w:space="0"/>
            </w:tcBorders>
            <w:tcW w:w="1517"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1099"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bottom w:val="single" w:color="auto" w:sz="4" w:space="0"/>
            </w:tcBorders>
            <w:tcW w:w="1331"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701"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850"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099"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r>
    </w:tbl>
    <w:p>
      <w:pPr>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设备配置、技术指标、安装条件及验收指标等详见附件一技术协议。</w:t>
      </w:r>
      <w:r/>
    </w:p>
    <w:p>
      <w:pPr>
        <w:ind w:left="1325" w:hanging="76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第二条 合同总价款   </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本合同总价款是</w:t>
      </w:r>
      <w:r>
        <w:rPr>
          <w:rFonts w:hint="eastAsia" w:ascii="宋体" w:hAnsi="宋体" w:eastAsia="宋体" w:cs="宋体"/>
          <w:color w:val="000000"/>
          <w:sz w:val="24"/>
          <w:szCs w:val="24"/>
          <w:highlight w:val="none"/>
        </w:rPr>
        <w:t xml:space="preserve">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highlight w:val="none"/>
        </w:rPr>
        <w:t xml:space="preserve">。</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乙方须在签订合同前，向甲方缴纳合同金额的</w:t>
      </w:r>
      <w:r>
        <w:rPr>
          <w:rFonts w:ascii="宋体" w:hAnsi="宋体" w:eastAsia="宋体" w:cs="宋体"/>
          <w:color w:val="000000"/>
          <w:sz w:val="24"/>
          <w:szCs w:val="24"/>
          <w:highlight w:val="none"/>
        </w:rPr>
        <w:t xml:space="preserve">10%作为履约保证金，至</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签署最终验收合格证明之日起稳定运行1年后无息退还。</w:t>
      </w:r>
      <w:r/>
    </w:p>
    <w:p>
      <w:pPr>
        <w:ind w:firstLine="560"/>
        <w:spacing w:line="360" w:lineRule="auto"/>
        <w:rPr>
          <w:rFonts w:ascii="宋体" w:hAnsi="宋体" w:eastAsia="宋体" w:cs="宋体"/>
          <w:b/>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交付流程：</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应当在合同签订后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个月内将货物运送至</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指定实验室（采购方另行约定的时间除外，但最迟不得晚于2027年3月31日）。</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将设备运送至指定地点后的7个工作日内，采购方与供应方应确认安装调试日期，采购方应根据供应方要求准备好安装调试条件，</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派专人到现场进行安装调试，并对采购方人员进行相关培训。</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2、甲方应当在乙方安装调试完成后的 5个工作日内对货物进行验收，验收合格的，由甲方签署验收单并加盖单位公章。特殊情况，甲乙双方协商解决。</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3、验收条款</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货物安装调试完成后，按如下指标进行逐项测试：</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1.可同时进行有氧呼吸与糖酵解检测</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2.支持无外源性荧光染料标记检测，可实现长时间连续稳定采集 OCR、ECAR 信号，连续检测≥4h 信号波动满足实验要求。</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3.最低样本量：每孔样本数量≤1×10</w:t>
      </w:r>
      <w:r>
        <w:rPr>
          <w:rFonts w:hint="eastAsia" w:ascii="微软雅黑" w:hAnsi="微软雅黑" w:eastAsia="微软雅黑" w:cs="微软雅黑"/>
          <w:color w:val="000000"/>
          <w:sz w:val="24"/>
          <w:szCs w:val="24"/>
          <w:highlight w:val="none"/>
        </w:rPr>
        <w:t xml:space="preserve">⁴</w:t>
      </w:r>
      <w:r>
        <w:rPr>
          <w:rFonts w:ascii="宋体" w:hAnsi="宋体" w:eastAsia="宋体" w:cs="宋体"/>
          <w:color w:val="000000"/>
          <w:sz w:val="24"/>
          <w:szCs w:val="24"/>
          <w:highlight w:val="none"/>
        </w:rPr>
        <w:t xml:space="preserve">个细胞可稳定检出有效 OCR/ECAR 信号</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4.OCR/ECAR信噪比≥3:1，重复孔间CV≤20%。</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5.安装验收单日需提供IQ和OQ验证服务及报告。</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6.平行检测样品量：96 孔高通量检测，</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7.支持免疫细胞在线激活检测，单次检测时长≤25 分钟；</w:t>
      </w:r>
      <w:r/>
    </w:p>
    <w:p>
      <w:pPr>
        <w:ind w:firstLine="560"/>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除满足上述技术指标外，本合同未规定的其他指标应按国际、国家相关标准、行业通行标准及厂方出厂标准进行验收。</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4、货物故障报修的响应时间为：质保期内设备发生任何部件故障，乙方须在48小时内上门免费维修。</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5、若货物故障在维修48小时后仍无法排除，乙方应在72小时内免费提供不低于故障货物规格型号档次的备用货物供甲方使用，直至故障货物修复。</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560"/>
        <w:spacing w:line="360" w:lineRule="auto"/>
        <w:tabs>
          <w:tab w:val="left" w:pos="162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1）在合同签订后30日内，</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支付合同总价90%的预付款。</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须在收到预付款前（一般为合同签订后5天内），向</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提供与该预付款等额的、由商业银行出具的不可撤销的、无条件的见索即付独立预付款保函（保函格式及内容须事先经</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确认）。该保函在设备最终验收合格后30日内无息退还； </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2）全部设备完成安装、调试并正常运行后，经</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签署最终验收合格证明文件（以</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统一制式标准及签章为准），</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再行支付合同总价10%的尾款；</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3）每次付款前，</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均须提供对应金额的、合法有效增值税专用发票。</w:t>
      </w:r>
      <w:r/>
    </w:p>
    <w:p>
      <w:pPr>
        <w:ind w:firstLine="560"/>
        <w:spacing w:line="360" w:lineRule="auto"/>
        <w:tabs>
          <w:tab w:val="left" w:pos="1620" w:leader="none"/>
        </w:tabs>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乙方开户银行：</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560"/>
        <w:spacing w:line="360" w:lineRule="auto"/>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4、增值税专用发票开票信息</w:t>
      </w:r>
      <w:r/>
    </w:p>
    <w:tbl>
      <w:tblPr>
        <w:tblStyle w:val="75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785"/>
        <w:gridCol w:w="272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433" w:type="pct"/>
            <w:vAlign w:val="center"/>
            <w:vMerge w:val="restart"/>
            <w:textDirection w:val="lrTb"/>
            <w:noWrap/>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566"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433"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7"/>
        <w:spacing w:before="120"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第十一条  违约责任</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4、乙方未按本合同的规定和“服务承诺”提供伴随服务/售后服务的，应按合同总价款的5%向甲方承担违约责任。</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不可抗力</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2、因不可抗力致使完全不能履行合同的，本协议终止，双方无须承担任何责任，但本协议另有规定的除外。</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5、因合同一方延迟履行合同后发生不可抗力的，不能免除延迟履行方的相应责任。</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第十三条　合同的变更和终止</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本合同一经签订，甲乙双方不得擅自变更、中止或终止合同。</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第十四条　合同的转让</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未经甲方书面同意，乙方不得擅自部分或全部转让其应履行的合同义务。</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第十五条  争议的解决</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第十六条   合同生效及其他</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1、下列文件作为本合同不可分割的部分：</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采购文件及其附件；</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乙方的投标文件；</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乙方在采购过程中所作的其他承诺、声明、书面澄清等；</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合同附件等。</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2、本合同自合同双方签字、盖章之日起生效。</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3、本合同一式5 份，甲方执 3 份，乙方执 1 份，代理机构执1份，具有同等法律效力。</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r/>
    </w:p>
    <w:p>
      <w:pPr>
        <w:ind w:firstLine="54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 </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设备购置负责人：                 授权代表：</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采购部门经办人：                 经办人：</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审核人：</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                           电话：                          </w:t>
      </w:r>
      <w:r/>
    </w:p>
    <w:p>
      <w:pPr>
        <w:ind w:firstLine="56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         日期：   年     月    日          </w:t>
      </w:r>
      <w:r/>
    </w:p>
    <w:p>
      <w:pPr>
        <w:ind w:firstLine="560"/>
        <w:spacing w:line="360" w:lineRule="auto"/>
        <w:rPr>
          <w:rFonts w:ascii="宋体" w:hAnsi="宋体" w:eastAsia="宋体" w:cs="宋体"/>
          <w:color w:val="ff0000"/>
          <w:sz w:val="24"/>
          <w:szCs w:val="24"/>
          <w:highlight w:val="none"/>
        </w:rPr>
      </w:pPr>
      <w:r>
        <w:rPr>
          <w:rFonts w:hint="eastAsia" w:ascii="宋体" w:hAnsi="宋体" w:eastAsia="宋体" w:cs="宋体"/>
          <w:sz w:val="24"/>
          <w:szCs w:val="24"/>
          <w:highlight w:val="none"/>
        </w:rPr>
        <w:t xml:space="preserve">           </w:t>
      </w:r>
      <w:r/>
    </w:p>
    <w:p>
      <w:pPr>
        <w:rPr>
          <w:sz w:val="24"/>
          <w:highlight w:val="none"/>
        </w:rPr>
      </w:pPr>
      <w:r>
        <w:rPr>
          <w:rFonts w:hint="eastAsia"/>
          <w:sz w:val="24"/>
          <w:highlight w:val="none"/>
        </w:rPr>
        <w:br w:type="page" w:clear="all"/>
      </w:r>
      <w:r/>
    </w:p>
    <w:p>
      <w:pPr>
        <w:ind w:firstLine="560"/>
        <w:spacing w:line="360" w:lineRule="auto"/>
        <w:rPr>
          <w:b/>
          <w:bCs/>
          <w:color w:val="ff0000"/>
          <w:sz w:val="24"/>
          <w:highlight w:val="none"/>
        </w:rPr>
      </w:pPr>
      <w:r>
        <w:rPr>
          <w:rFonts w:hint="eastAsia"/>
          <w:b/>
          <w:bCs/>
          <w:sz w:val="24"/>
          <w:highlight w:val="none"/>
        </w:rPr>
        <w:t xml:space="preserve">附件一 技术协议</w:t>
      </w:r>
      <w:r/>
    </w:p>
    <w:p>
      <w:pPr>
        <w:rPr>
          <w:highlight w:val="none"/>
        </w:rPr>
      </w:pPr>
      <w:r>
        <w:rPr>
          <w:highlight w:val="none"/>
        </w:rPr>
      </w:r>
      <w:r/>
    </w:p>
    <w:p>
      <w:pPr>
        <w:rPr>
          <w:rFonts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5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75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82"/>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（二）技术参数及技术方案（</w:t>
      </w:r>
      <w:r>
        <w:rPr>
          <w:rFonts w:ascii="宋体" w:hAnsi="宋体" w:eastAsia="宋体" w:cs="宋体"/>
          <w:b/>
          <w:bCs/>
          <w:color w:val="000000"/>
          <w:sz w:val="24"/>
          <w:szCs w:val="24"/>
          <w:highlight w:val="none"/>
        </w:rPr>
        <w:t xml:space="preserve">30分）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技术参数及配置（20分）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技术参数中“★”技术条款为关键参数指标，所提供产品对应技术内容不得负偏离，否则为无效投标。</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其他技术参数中，所提供产品不满足招标文件要求（负偏离）、配置不详、技术参数不明确、缺漏项的，每处扣</w:t>
      </w:r>
      <w:r>
        <w:rPr>
          <w:rFonts w:ascii="宋体" w:hAnsi="宋体" w:eastAsia="宋体" w:cs="宋体"/>
          <w:color w:val="000000"/>
          <w:sz w:val="24"/>
          <w:szCs w:val="24"/>
          <w:highlight w:val="none"/>
        </w:rPr>
        <w:t xml:space="preserve">2分，扣完为止。（20分）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技术方案（10分）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技术方案详尽、合理、针对性强，能完全符合用户科研需求的得</w:t>
      </w:r>
      <w:r>
        <w:rPr>
          <w:rFonts w:ascii="宋体" w:hAnsi="宋体" w:eastAsia="宋体" w:cs="宋体"/>
          <w:color w:val="000000"/>
          <w:sz w:val="24"/>
          <w:szCs w:val="24"/>
          <w:highlight w:val="none"/>
        </w:rPr>
        <w:t xml:space="preserve">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技术方案规范、较合理、针对性一般，能符合用户科研需求的得</w:t>
      </w:r>
      <w:r>
        <w:rPr>
          <w:rFonts w:ascii="宋体" w:hAnsi="宋体" w:eastAsia="宋体" w:cs="宋体"/>
          <w:color w:val="000000"/>
          <w:sz w:val="24"/>
          <w:szCs w:val="24"/>
          <w:highlight w:val="none"/>
        </w:rPr>
        <w:t xml:space="preserve">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技术方案有疏漏、合理性一般、没有针对性，部分符合用户科研需求的得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技术方案完全不能符合用户科研需求或未提供技术方案的不得分。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（三）项目实施方案（</w:t>
      </w:r>
      <w:r>
        <w:rPr>
          <w:rFonts w:ascii="宋体" w:hAnsi="宋体" w:eastAsia="宋体" w:cs="宋体"/>
          <w:b/>
          <w:bCs/>
          <w:color w:val="000000"/>
          <w:sz w:val="24"/>
          <w:szCs w:val="24"/>
          <w:highlight w:val="none"/>
        </w:rPr>
        <w:t xml:space="preserve">9分）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应包括但不限于（</w:t>
      </w:r>
      <w:r>
        <w:rPr>
          <w:rFonts w:ascii="宋体" w:hAnsi="宋体" w:eastAsia="宋体" w:cs="宋体"/>
          <w:color w:val="000000"/>
          <w:sz w:val="24"/>
          <w:szCs w:val="24"/>
          <w:highlight w:val="none"/>
        </w:rPr>
        <w:t xml:space="preserve">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3分；方案合理性较弱、可行性有所欠缺、操作性不强、与项目实际贴合度不高的得1分；每项叙述内容完全脱离采购需求或未作完整叙述的不得分。本项最高得9分。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（四）综合商务（</w:t>
      </w:r>
      <w:r>
        <w:rPr>
          <w:rFonts w:ascii="宋体" w:hAnsi="宋体" w:eastAsia="宋体" w:cs="宋体"/>
          <w:b/>
          <w:bCs/>
          <w:color w:val="000000"/>
          <w:sz w:val="24"/>
          <w:szCs w:val="24"/>
          <w:highlight w:val="none"/>
        </w:rPr>
        <w:t xml:space="preserve">31分）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1.业绩（4分）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供应商提供自</w:t>
      </w:r>
      <w:r>
        <w:rPr>
          <w:rFonts w:ascii="宋体" w:hAnsi="宋体" w:eastAsia="宋体" w:cs="宋体"/>
          <w:color w:val="000000"/>
          <w:sz w:val="24"/>
          <w:szCs w:val="24"/>
          <w:highlight w:val="none"/>
        </w:rPr>
        <w:t xml:space="preserve">2023年</w:t>
      </w: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月起至今同类型设备销售业绩，每提供1份业绩得1分，满分4分。（注：①提供业绩合同复印件；②以合同签订日期为准；③同一单位业绩不重复计分。）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2.市场反馈情况（5分）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供应商提供同型号设备现有用户反馈情况，每提供</w:t>
      </w:r>
      <w:r>
        <w:rPr>
          <w:rFonts w:ascii="宋体" w:hAnsi="宋体" w:eastAsia="宋体" w:cs="宋体"/>
          <w:color w:val="000000"/>
          <w:sz w:val="24"/>
          <w:szCs w:val="24"/>
          <w:highlight w:val="none"/>
        </w:rPr>
        <w:t xml:space="preserve">1份得1分，满分5分。反馈情况需含项目名称、型号、采购时间、满意度、联系人及电话（注：材料须加盖所属用户单位公章）。</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3.售后服务（20分）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t xml:space="preserve">1）售后服务方案（12分）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4分；方案合理性较弱、可行性有所欠缺、操作性不强、与项目实际贴合度不高的得2分；每项叙述内容完全脱离采购需求或未作完整叙述的不得分。本项最高得12分。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t xml:space="preserve">2）投标人培训方案情况比较（8分）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4分；方案合理性较弱、可行性有所欠缺、操作性不强、与项目实际贴合度不高的得2分；每项叙述内容完全脱离采购需求或未作完整叙述的不得分。本项最高得8分。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4．其它优惠措施（2分）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优惠措施内容具体明确，具有实际价值及可行性高的得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优惠措施内容较为具体明确，实际价值及可行性较高的得</w:t>
      </w:r>
      <w:r>
        <w:rPr>
          <w:rFonts w:ascii="宋体" w:hAnsi="宋体" w:eastAsia="宋体" w:cs="宋体"/>
          <w:color w:val="000000"/>
          <w:sz w:val="24"/>
          <w:szCs w:val="24"/>
          <w:highlight w:val="none"/>
        </w:rPr>
        <w:t xml:space="preserve">1分；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优惠措施内容不够具体明确，实际价值及可行性较低的得</w:t>
      </w:r>
      <w:r>
        <w:rPr>
          <w:rFonts w:ascii="宋体" w:hAnsi="宋体" w:eastAsia="宋体" w:cs="宋体"/>
          <w:color w:val="000000"/>
          <w:sz w:val="24"/>
          <w:szCs w:val="24"/>
          <w:highlight w:val="none"/>
        </w:rPr>
        <w:t xml:space="preserve">0.5分；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不具备可行性或未提供具体内容的不得分。</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仿宋">
    <w:panose1 w:val="02010609060101010101"/>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8"/>
    <w:uiPriority w:val="10"/>
    <w:rPr>
      <w:sz w:val="48"/>
      <w:szCs w:val="48"/>
    </w:rPr>
  </w:style>
  <w:style w:type="character" w:styleId="714">
    <w:name w:val="Subtitle Char"/>
    <w:basedOn w:val="751"/>
    <w:link w:val="771"/>
    <w:uiPriority w:val="11"/>
    <w:rPr>
      <w:sz w:val="24"/>
      <w:szCs w:val="24"/>
    </w:rPr>
  </w:style>
  <w:style w:type="character" w:styleId="715">
    <w:name w:val="Quote Char"/>
    <w:link w:val="801"/>
    <w:uiPriority w:val="29"/>
    <w:rPr>
      <w:i/>
    </w:rPr>
  </w:style>
  <w:style w:type="character" w:styleId="716">
    <w:name w:val="Intense Quote Char"/>
    <w:link w:val="803"/>
    <w:uiPriority w:val="30"/>
    <w:rPr>
      <w:i/>
    </w:rPr>
  </w:style>
  <w:style w:type="character" w:styleId="717">
    <w:name w:val="Header Char"/>
    <w:basedOn w:val="751"/>
    <w:link w:val="768"/>
    <w:uiPriority w:val="99"/>
  </w:style>
  <w:style w:type="character" w:styleId="718">
    <w:name w:val="Caption Char"/>
    <w:basedOn w:val="755"/>
    <w:link w:val="766"/>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2"/>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88"/>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9"/>
    <w:uiPriority w:val="9"/>
    <w:unhideWhenUsed/>
    <w:qFormat/>
    <w:pPr>
      <w:keepLines/>
      <w:keepNext/>
      <w:spacing w:before="360" w:after="200"/>
      <w:outlineLvl w:val="1"/>
    </w:pPr>
    <w:rPr>
      <w:rFonts w:ascii="Arial" w:hAnsi="Arial" w:eastAsia="Arial" w:cs="Arial"/>
      <w:sz w:val="34"/>
    </w:rPr>
  </w:style>
  <w:style w:type="paragraph" w:styleId="744">
    <w:name w:val="Heading 3"/>
    <w:link w:val="79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5">
    <w:name w:val="Heading 4"/>
    <w:link w:val="79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4">
    <w:name w:val="Normal Indent"/>
    <w:basedOn w:val="741"/>
    <w:next w:val="741"/>
    <w:uiPriority w:val="0"/>
    <w:unhideWhenUsed/>
    <w:qFormat/>
    <w:pPr>
      <w:ind w:firstLine="420"/>
    </w:pPr>
    <w:rPr>
      <w:sz w:val="24"/>
    </w:rPr>
  </w:style>
  <w:style w:type="paragraph" w:styleId="75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6">
    <w:name w:val="annotation text"/>
    <w:basedOn w:val="741"/>
    <w:uiPriority w:val="99"/>
    <w:semiHidden/>
    <w:unhideWhenUsed/>
    <w:qFormat/>
    <w:rPr>
      <w:rFonts w:eastAsia="宋体"/>
      <w:b/>
      <w:sz w:val="24"/>
    </w:rPr>
  </w:style>
  <w:style w:type="paragraph" w:styleId="757">
    <w:name w:val="Body Text"/>
    <w:basedOn w:val="741"/>
    <w:next w:val="741"/>
    <w:uiPriority w:val="0"/>
    <w:unhideWhenUsed/>
    <w:qFormat/>
    <w:pPr>
      <w:spacing w:after="120"/>
    </w:pPr>
    <w:rPr>
      <w:rFonts w:ascii="Times New Roman" w:hAnsi="Times New Roman"/>
    </w:rPr>
  </w:style>
  <w:style w:type="paragraph" w:styleId="758">
    <w:name w:val="Body Text Indent"/>
    <w:basedOn w:val="741"/>
    <w:next w:val="741"/>
    <w:link w:val="951"/>
    <w:uiPriority w:val="0"/>
    <w:qFormat/>
    <w:pPr>
      <w:ind w:left="570"/>
      <w:spacing w:line="520" w:lineRule="exact"/>
    </w:pPr>
    <w:rPr>
      <w:rFonts w:ascii="方正仿宋简体" w:hAnsi="创艺简仿宋" w:eastAsia="方正仿宋简体"/>
      <w:sz w:val="24"/>
      <w:szCs w:val="20"/>
    </w:rPr>
  </w:style>
  <w:style w:type="paragraph" w:styleId="759">
    <w:name w:val="Block Text"/>
    <w:basedOn w:val="741"/>
    <w:uiPriority w:val="0"/>
    <w:qFormat/>
    <w:pPr>
      <w:ind w:left="630" w:right="-609" w:firstLine="420"/>
      <w:spacing w:line="360" w:lineRule="auto"/>
    </w:pPr>
    <w:rPr>
      <w:rFonts w:hint="eastAsia" w:ascii="仿宋_GB2312" w:eastAsia="仿宋_GB2312"/>
    </w:rPr>
  </w:style>
  <w:style w:type="paragraph" w:styleId="76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2">
    <w:name w:val="Plain Text"/>
    <w:basedOn w:val="741"/>
    <w:uiPriority w:val="0"/>
    <w:qFormat/>
    <w:rPr>
      <w:rFonts w:hint="eastAsia" w:ascii="宋体" w:hAnsi="Courier New"/>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4"/>
    <w:uiPriority w:val="99"/>
    <w:semiHidden/>
    <w:unhideWhenUsed/>
    <w:qFormat/>
    <w:rPr>
      <w:rFonts w:asciiTheme="minorHAnsi" w:hAnsiTheme="minorHAnsi" w:eastAsiaTheme="minorEastAsia" w:cstheme="minorBidi"/>
      <w:szCs w:val="22"/>
      <w:lang w:val="en-US" w:eastAsia="zh-CN" w:bidi="ar-SA"/>
    </w:rPr>
  </w:style>
  <w:style w:type="paragraph" w:styleId="765">
    <w:name w:val="Balloon Text"/>
    <w:basedOn w:val="741"/>
    <w:link w:val="950"/>
    <w:uiPriority w:val="99"/>
    <w:semiHidden/>
    <w:unhideWhenUsed/>
    <w:qFormat/>
    <w:rPr>
      <w:sz w:val="18"/>
      <w:szCs w:val="18"/>
    </w:rPr>
  </w:style>
  <w:style w:type="paragraph" w:styleId="766">
    <w:name w:val="Footer"/>
    <w:link w:val="80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7">
    <w:name w:val="envelope return"/>
    <w:basedOn w:val="741"/>
    <w:uiPriority w:val="0"/>
    <w:qFormat/>
    <w:rPr>
      <w:rFonts w:ascii="Arial" w:hAnsi="Arial" w:eastAsia="宋体"/>
      <w:szCs w:val="24"/>
    </w:rPr>
  </w:style>
  <w:style w:type="paragraph" w:styleId="768">
    <w:name w:val="Header"/>
    <w:link w:val="80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7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1">
    <w:name w:val="Subtitle"/>
    <w:link w:val="800"/>
    <w:uiPriority w:val="11"/>
    <w:qFormat/>
    <w:pPr>
      <w:spacing w:before="200" w:after="200"/>
    </w:pPr>
    <w:rPr>
      <w:rFonts w:asciiTheme="minorHAnsi" w:hAnsiTheme="minorHAnsi" w:eastAsiaTheme="minorEastAsia" w:cstheme="minorBidi"/>
      <w:sz w:val="24"/>
      <w:szCs w:val="24"/>
      <w:lang w:val="en-US" w:eastAsia="zh-CN" w:bidi="ar-SA"/>
    </w:rPr>
  </w:style>
  <w:style w:type="paragraph" w:styleId="772">
    <w:name w:val="footnote text"/>
    <w:link w:val="93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7">
    <w:name w:val="Normal (Web)"/>
    <w:basedOn w:val="741"/>
    <w:uiPriority w:val="0"/>
    <w:qFormat/>
    <w:pPr>
      <w:spacing w:before="100" w:beforeAutospacing="1" w:after="100" w:afterAutospacing="1"/>
    </w:pPr>
    <w:rPr>
      <w:rFonts w:cs="Times New Roman"/>
      <w:sz w:val="24"/>
    </w:rPr>
  </w:style>
  <w:style w:type="paragraph" w:styleId="778">
    <w:name w:val="Title"/>
    <w:link w:val="79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9">
    <w:name w:val="Body Text First Indent"/>
    <w:basedOn w:val="757"/>
    <w:uiPriority w:val="0"/>
    <w:qFormat/>
    <w:pPr>
      <w:ind w:firstLine="420"/>
    </w:pPr>
  </w:style>
  <w:style w:type="paragraph" w:styleId="780">
    <w:name w:val="Body Text First Indent 2"/>
    <w:basedOn w:val="758"/>
    <w:next w:val="741"/>
    <w:uiPriority w:val="0"/>
    <w:qFormat/>
    <w:pPr>
      <w:ind w:firstLine="42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1"/>
    <w:uiPriority w:val="0"/>
    <w:qFormat/>
    <w:rPr>
      <w:b/>
    </w:rPr>
  </w:style>
  <w:style w:type="character" w:styleId="783">
    <w:name w:val="endnote reference"/>
    <w:uiPriority w:val="99"/>
    <w:semiHidden/>
    <w:unhideWhenUsed/>
    <w:qFormat/>
    <w:rPr>
      <w:vertAlign w:val="superscript"/>
    </w:rPr>
  </w:style>
  <w:style w:type="character" w:styleId="784">
    <w:name w:val="Emphasis"/>
    <w:basedOn w:val="751"/>
    <w:uiPriority w:val="0"/>
    <w:qFormat/>
    <w:rPr>
      <w:i/>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annotation reference"/>
    <w:basedOn w:val="751"/>
    <w:uiPriority w:val="0"/>
    <w:qFormat/>
    <w:rPr>
      <w:sz w:val="21"/>
      <w:szCs w:val="21"/>
    </w:rPr>
  </w:style>
  <w:style w:type="character" w:styleId="787">
    <w:name w:val="footnote reference"/>
    <w:uiPriority w:val="99"/>
    <w:unhideWhenUsed/>
    <w:qFormat/>
    <w:rPr>
      <w:vertAlign w:val="superscript"/>
    </w:rPr>
  </w:style>
  <w:style w:type="character" w:styleId="788" w:customStyle="1">
    <w:name w:val="标题 1 字符"/>
    <w:link w:val="742"/>
    <w:uiPriority w:val="9"/>
    <w:qFormat/>
    <w:rPr>
      <w:rFonts w:ascii="Arial" w:hAnsi="Arial" w:eastAsia="Arial" w:cs="Arial"/>
      <w:sz w:val="40"/>
      <w:szCs w:val="40"/>
    </w:rPr>
  </w:style>
  <w:style w:type="character" w:styleId="789" w:customStyle="1">
    <w:name w:val="标题 2 字符"/>
    <w:link w:val="743"/>
    <w:uiPriority w:val="9"/>
    <w:qFormat/>
    <w:rPr>
      <w:rFonts w:ascii="Arial" w:hAnsi="Arial" w:eastAsia="Arial" w:cs="Arial"/>
      <w:sz w:val="34"/>
    </w:rPr>
  </w:style>
  <w:style w:type="character" w:styleId="790" w:customStyle="1">
    <w:name w:val="标题 3 字符"/>
    <w:link w:val="744"/>
    <w:uiPriority w:val="9"/>
    <w:qFormat/>
    <w:rPr>
      <w:rFonts w:ascii="Arial" w:hAnsi="Arial" w:eastAsia="Arial" w:cs="Arial"/>
      <w:sz w:val="30"/>
      <w:szCs w:val="30"/>
    </w:rPr>
  </w:style>
  <w:style w:type="character" w:styleId="791" w:customStyle="1">
    <w:name w:val="标题 4 字符"/>
    <w:link w:val="745"/>
    <w:uiPriority w:val="9"/>
    <w:qFormat/>
    <w:rPr>
      <w:rFonts w:ascii="Arial" w:hAnsi="Arial" w:eastAsia="Arial" w:cs="Arial"/>
      <w:b/>
      <w:bCs/>
      <w:sz w:val="26"/>
      <w:szCs w:val="26"/>
    </w:rPr>
  </w:style>
  <w:style w:type="character" w:styleId="792" w:customStyle="1">
    <w:name w:val="标题 5 字符"/>
    <w:link w:val="746"/>
    <w:uiPriority w:val="9"/>
    <w:qFormat/>
    <w:rPr>
      <w:rFonts w:ascii="Arial" w:hAnsi="Arial" w:eastAsia="Arial" w:cs="Arial"/>
      <w:b/>
      <w:bCs/>
      <w:sz w:val="24"/>
      <w:szCs w:val="24"/>
    </w:rPr>
  </w:style>
  <w:style w:type="character" w:styleId="793" w:customStyle="1">
    <w:name w:val="标题 6 字符"/>
    <w:link w:val="747"/>
    <w:uiPriority w:val="9"/>
    <w:qFormat/>
    <w:rPr>
      <w:rFonts w:ascii="Arial" w:hAnsi="Arial" w:eastAsia="Arial" w:cs="Arial"/>
      <w:b/>
      <w:bCs/>
      <w:sz w:val="22"/>
      <w:szCs w:val="22"/>
    </w:rPr>
  </w:style>
  <w:style w:type="character" w:styleId="794" w:customStyle="1">
    <w:name w:val="标题 7 字符"/>
    <w:link w:val="748"/>
    <w:uiPriority w:val="9"/>
    <w:qFormat/>
    <w:rPr>
      <w:rFonts w:ascii="Arial" w:hAnsi="Arial" w:eastAsia="Arial" w:cs="Arial"/>
      <w:b/>
      <w:bCs/>
      <w:i/>
      <w:iCs/>
      <w:sz w:val="22"/>
      <w:szCs w:val="22"/>
    </w:rPr>
  </w:style>
  <w:style w:type="character" w:styleId="795" w:customStyle="1">
    <w:name w:val="标题 8 字符"/>
    <w:link w:val="749"/>
    <w:uiPriority w:val="9"/>
    <w:qFormat/>
    <w:rPr>
      <w:rFonts w:ascii="Arial" w:hAnsi="Arial" w:eastAsia="Arial" w:cs="Arial"/>
      <w:i/>
      <w:iCs/>
      <w:sz w:val="22"/>
      <w:szCs w:val="22"/>
    </w:rPr>
  </w:style>
  <w:style w:type="character" w:styleId="796" w:customStyle="1">
    <w:name w:val="标题 9 字符"/>
    <w:link w:val="750"/>
    <w:uiPriority w:val="9"/>
    <w:qFormat/>
    <w:rPr>
      <w:rFonts w:ascii="Arial" w:hAnsi="Arial" w:eastAsia="Arial" w:cs="Arial"/>
      <w:i/>
      <w:iCs/>
      <w:sz w:val="21"/>
      <w:szCs w:val="21"/>
    </w:rPr>
  </w:style>
  <w:style w:type="paragraph" w:styleId="797">
    <w:name w:val="List Paragraph"/>
    <w:basedOn w:val="741"/>
    <w:uiPriority w:val="34"/>
    <w:qFormat/>
    <w:pPr>
      <w:contextualSpacing/>
      <w:ind w:left="720"/>
    </w:pPr>
  </w:style>
  <w:style w:type="paragraph" w:styleId="798">
    <w:name w:val="No Spacing"/>
    <w:uiPriority w:val="1"/>
    <w:qFormat/>
    <w:rPr>
      <w:rFonts w:asciiTheme="minorHAnsi" w:hAnsiTheme="minorHAnsi" w:eastAsiaTheme="minorEastAsia" w:cstheme="minorBidi"/>
      <w:sz w:val="21"/>
      <w:szCs w:val="22"/>
      <w:lang w:val="en-US" w:eastAsia="zh-CN" w:bidi="ar-SA"/>
    </w:rPr>
  </w:style>
  <w:style w:type="character" w:styleId="799" w:customStyle="1">
    <w:name w:val="标题 字符"/>
    <w:link w:val="778"/>
    <w:uiPriority w:val="10"/>
    <w:qFormat/>
    <w:rPr>
      <w:sz w:val="48"/>
      <w:szCs w:val="48"/>
    </w:rPr>
  </w:style>
  <w:style w:type="character" w:styleId="800" w:customStyle="1">
    <w:name w:val="副标题 字符"/>
    <w:link w:val="771"/>
    <w:uiPriority w:val="11"/>
    <w:qFormat/>
    <w:rPr>
      <w:sz w:val="24"/>
      <w:szCs w:val="24"/>
    </w:rPr>
  </w:style>
  <w:style w:type="paragraph" w:styleId="801">
    <w:name w:val="Quote"/>
    <w:link w:val="802"/>
    <w:uiPriority w:val="29"/>
    <w:qFormat/>
    <w:pPr>
      <w:ind w:left="720" w:right="720"/>
    </w:pPr>
    <w:rPr>
      <w:rFonts w:asciiTheme="minorHAnsi" w:hAnsiTheme="minorHAnsi" w:eastAsiaTheme="minorEastAsia" w:cstheme="minorBidi"/>
      <w:i/>
      <w:sz w:val="21"/>
      <w:szCs w:val="22"/>
      <w:lang w:val="en-US" w:eastAsia="zh-CN" w:bidi="ar-SA"/>
    </w:rPr>
  </w:style>
  <w:style w:type="character" w:styleId="802" w:customStyle="1">
    <w:name w:val="引用 字符"/>
    <w:link w:val="801"/>
    <w:uiPriority w:val="29"/>
    <w:qFormat/>
    <w:rPr>
      <w:i/>
    </w:rPr>
  </w:style>
  <w:style w:type="paragraph" w:styleId="803">
    <w:name w:val="Intense Quote"/>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4" w:customStyle="1">
    <w:name w:val="明显引用 字符"/>
    <w:link w:val="803"/>
    <w:uiPriority w:val="30"/>
    <w:qFormat/>
    <w:rPr>
      <w:i/>
    </w:rPr>
  </w:style>
  <w:style w:type="character" w:styleId="805" w:customStyle="1">
    <w:name w:val="页眉 字符"/>
    <w:link w:val="768"/>
    <w:uiPriority w:val="99"/>
    <w:qFormat/>
  </w:style>
  <w:style w:type="character" w:styleId="806" w:customStyle="1">
    <w:name w:val="Footer Char"/>
    <w:uiPriority w:val="99"/>
    <w:qFormat/>
  </w:style>
  <w:style w:type="character" w:styleId="807" w:customStyle="1">
    <w:name w:val="页脚 字符"/>
    <w:link w:val="766"/>
    <w:uiPriority w:val="99"/>
    <w:qFormat/>
  </w:style>
  <w:style w:type="table" w:styleId="8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72"/>
    <w:uiPriority w:val="99"/>
    <w:qFormat/>
    <w:rPr>
      <w:sz w:val="18"/>
    </w:rPr>
  </w:style>
  <w:style w:type="character" w:styleId="934" w:customStyle="1">
    <w:name w:val="尾注文本 字符"/>
    <w:link w:val="764"/>
    <w:uiPriority w:val="99"/>
    <w:qFormat/>
    <w:rPr>
      <w:sz w:val="20"/>
    </w:rPr>
  </w:style>
  <w:style w:type="paragraph" w:styleId="93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6" w:customStyle="1">
    <w:name w:val="WPSOffice手动目录 1"/>
    <w:uiPriority w:val="0"/>
    <w:qFormat/>
    <w:rPr>
      <w:rFonts w:asciiTheme="minorHAnsi" w:hAnsiTheme="minorHAnsi" w:eastAsiaTheme="minorEastAsia" w:cstheme="minorBidi"/>
      <w:lang w:val="en-US" w:eastAsia="zh-CN" w:bidi="ar-SA"/>
    </w:rPr>
  </w:style>
  <w:style w:type="character" w:styleId="937" w:customStyle="1">
    <w:name w:val="font71"/>
    <w:basedOn w:val="751"/>
    <w:uiPriority w:val="0"/>
    <w:qFormat/>
    <w:rPr>
      <w:rFonts w:ascii="Arial" w:hAnsi="Arial" w:cs="Arial"/>
      <w:color w:val="000000"/>
      <w:sz w:val="20"/>
      <w:szCs w:val="20"/>
      <w:u w:val="none"/>
    </w:rPr>
  </w:style>
  <w:style w:type="character" w:styleId="938" w:customStyle="1">
    <w:name w:val="font11"/>
    <w:basedOn w:val="751"/>
    <w:uiPriority w:val="0"/>
    <w:qFormat/>
    <w:rPr>
      <w:rFonts w:hint="eastAsia" w:ascii="宋体" w:hAnsi="宋体" w:eastAsia="宋体" w:cs="宋体"/>
      <w:color w:val="000000"/>
      <w:sz w:val="20"/>
      <w:szCs w:val="20"/>
      <w:u w:val="none"/>
    </w:rPr>
  </w:style>
  <w:style w:type="character" w:styleId="939" w:customStyle="1">
    <w:name w:val="font81"/>
    <w:basedOn w:val="751"/>
    <w:uiPriority w:val="0"/>
    <w:qFormat/>
    <w:rPr>
      <w:rFonts w:hint="default" w:ascii="Times New Roman" w:hAnsi="Times New Roman" w:cs="Times New Roman"/>
      <w:color w:val="000000"/>
      <w:sz w:val="20"/>
      <w:szCs w:val="20"/>
      <w:u w:val="none"/>
    </w:rPr>
  </w:style>
  <w:style w:type="paragraph" w:styleId="940" w:customStyle="1">
    <w:name w:val="Normal_17"/>
    <w:uiPriority w:val="0"/>
    <w:qFormat/>
    <w:rPr>
      <w:rFonts w:ascii="Times New Roman" w:hAnsi="Times New Roman" w:eastAsia="Times New Roman" w:cs="Times New Roman"/>
      <w:sz w:val="24"/>
      <w:szCs w:val="24"/>
      <w:lang w:val="en-US" w:eastAsia="zh-CN" w:bidi="ar-SA"/>
    </w:rPr>
  </w:style>
  <w:style w:type="character" w:styleId="941" w:customStyle="1">
    <w:name w:val="font21"/>
    <w:basedOn w:val="751"/>
    <w:uiPriority w:val="0"/>
    <w:qFormat/>
    <w:rPr>
      <w:rFonts w:hint="eastAsia" w:ascii="宋体" w:hAnsi="宋体" w:eastAsia="宋体" w:cs="宋体"/>
      <w:color w:val="ff0000"/>
      <w:sz w:val="20"/>
      <w:szCs w:val="20"/>
      <w:u w:val="none"/>
    </w:rPr>
  </w:style>
  <w:style w:type="paragraph" w:styleId="942" w:customStyle="1">
    <w:name w:val="纯文本1"/>
    <w:basedOn w:val="741"/>
    <w:uiPriority w:val="0"/>
    <w:qFormat/>
    <w:rPr>
      <w:rFonts w:ascii="宋体" w:hAnsi="Courier New" w:eastAsia="楷体_GB2312"/>
      <w:sz w:val="26"/>
    </w:rPr>
  </w:style>
  <w:style w:type="character" w:styleId="943"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4"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5" w:customStyle="1">
    <w:name w:val="Table Paragraph"/>
    <w:basedOn w:val="741"/>
    <w:uiPriority w:val="1"/>
    <w:qFormat/>
    <w:rPr>
      <w:sz w:val="24"/>
    </w:rPr>
  </w:style>
  <w:style w:type="paragraph" w:styleId="946" w:customStyle="1">
    <w:name w:val="首行缩进"/>
    <w:basedOn w:val="741"/>
    <w:uiPriority w:val="0"/>
    <w:qFormat/>
    <w:pPr>
      <w:ind w:firstLine="480"/>
    </w:pPr>
    <w:rPr>
      <w:lang w:val="zh-CN"/>
    </w:rPr>
  </w:style>
  <w:style w:type="paragraph" w:styleId="947" w:customStyle="1">
    <w:name w:val="Table Text"/>
    <w:basedOn w:val="741"/>
    <w:uiPriority w:val="0"/>
    <w:semiHidden/>
    <w:qFormat/>
    <w:rPr>
      <w:rFonts w:ascii="仿宋" w:hAnsi="仿宋" w:eastAsia="仿宋" w:cs="宋体"/>
      <w:color w:val="000000"/>
      <w:sz w:val="28"/>
      <w:szCs w:val="28"/>
    </w:rPr>
  </w:style>
  <w:style w:type="paragraph" w:styleId="94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4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50" w:customStyle="1">
    <w:name w:val="批注框文本 字符"/>
    <w:basedOn w:val="751"/>
    <w:link w:val="765"/>
    <w:uiPriority w:val="99"/>
    <w:semiHidden/>
    <w:qFormat/>
    <w:rPr>
      <w:rFonts w:asciiTheme="minorHAnsi" w:hAnsiTheme="minorHAnsi" w:eastAsiaTheme="minorEastAsia" w:cstheme="minorBidi"/>
      <w:sz w:val="18"/>
      <w:szCs w:val="18"/>
    </w:rPr>
  </w:style>
  <w:style w:type="character" w:styleId="951" w:customStyle="1">
    <w:name w:val="正文文本缩进 字符"/>
    <w:basedOn w:val="751"/>
    <w:link w:val="758"/>
    <w:uiPriority w:val="0"/>
    <w:qFormat/>
    <w:rPr>
      <w:rFonts w:ascii="方正仿宋简体" w:hAnsi="创艺简仿宋" w:eastAsia="方正仿宋简体" w:cstheme="minorBidi"/>
      <w:sz w:val="24"/>
    </w:rPr>
  </w:style>
  <w:style w:type="paragraph" w:styleId="952" w:customStyle="1">
    <w:name w:val="段"/>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5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54" w:customStyle="1">
    <w:name w:val="p_text_indent_2"/>
    <w:basedOn w:val="741"/>
    <w:uiPriority w:val="0"/>
    <w:qFormat/>
    <w:pPr>
      <w:spacing w:before="100" w:beforeAutospacing="1" w:after="100" w:afterAutospacing="1"/>
    </w:pPr>
    <w:rPr>
      <w:rFonts w:ascii="宋体" w:hAnsi="宋体" w:eastAsia="宋体" w:cs="宋体"/>
      <w:sz w:val="24"/>
      <w:szCs w:val="24"/>
    </w:rPr>
  </w:style>
  <w:style w:type="paragraph" w:styleId="95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56" w:customStyle="1">
    <w:name w:val="列表段落1"/>
    <w:basedOn w:val="741"/>
    <w:uiPriority w:val="34"/>
    <w:qFormat/>
    <w:pPr>
      <w:ind w:firstLine="420"/>
      <w:spacing w:line="360" w:lineRule="auto"/>
    </w:pPr>
    <w:rPr>
      <w:rFonts w:ascii="Tahoma" w:hAnsi="Tahoma" w:eastAsia="宋体"/>
      <w:sz w:val="22"/>
    </w:rPr>
  </w:style>
  <w:style w:type="paragraph" w:styleId="95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58" w:customStyle="1">
    <w:name w:val="修订5"/>
    <w:hidden/>
    <w:uiPriority w:val="99"/>
    <w:unhideWhenUsed/>
    <w:qFormat/>
    <w:rPr>
      <w:rFonts w:asciiTheme="minorHAnsi" w:hAnsiTheme="minorHAnsi" w:eastAsiaTheme="minorEastAsia" w:cstheme="minorBidi"/>
      <w:sz w:val="21"/>
      <w:szCs w:val="22"/>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10</cp:revision>
  <dcterms:created xsi:type="dcterms:W3CDTF">2026-08-24T01:06:00Z</dcterms:created>
  <dcterms:modified xsi:type="dcterms:W3CDTF">2026-08-25T08:44:29Z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39A662DDD8D84FCBBAAD4BDA7B221EAB_13</vt:lpwstr>
  </property>
  <property fmtid="{D5CDD505-2E9C-101B-9397-08002B2CF9AE}" pid="4" name="KSOTemplateDocerSaveRecord">
    <vt:lpwstr>eyJoZGlkIjoiMjI3NzRiYzFjN2ZmNzdjZjA2Nzg2OTM4N2EwMGI1NjIiLCJ1c2VySWQiOiIxMTAwNzg1MTUyIn0=</vt:lpwstr>
  </property>
</Properties>
</file>