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JSZC-320500-JZCG-G2026-0292</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江苏省2025年县域医共体设备更新项目（血透机）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江苏省2025年县域医共体设备更新项目（血透机）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w:t>
            </w:r>
            <w:r>
              <w:rPr>
                <w:rFonts w:ascii="宋体" w:hAnsi="宋体"/>
                <w:sz w:val="21"/>
                <w:szCs w:val="21"/>
              </w:rPr>
              <w:t xml:space="preserve">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
              <w:rPr>
                <w:rFonts w:ascii="宋体" w:hAnsi="宋体" w:cs="Times New Roman"/>
                <w:sz w:val="21"/>
                <w:szCs w:val="21"/>
                <w:u w:val="single"/>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
              <w:rPr>
                <w:rFonts w:ascii="宋体" w:hAnsi="宋体" w:cs="Times New Roman"/>
                <w:sz w:val="21"/>
                <w:szCs w:val="21"/>
                <w:u w:val="single"/>
              </w:rPr>
            </w:r>
            <w:r>
              <w:rPr>
                <w:rFonts w:hint="eastAsia" w:ascii="宋体" w:hAnsi="宋体" w:cs="Times New Roman"/>
                <w:sz w:val="21"/>
                <w:szCs w:val="21"/>
                <w:u w:val="single"/>
              </w:rPr>
              <w:t xml:space="preserve">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江苏省2025年县域医共体设备更新项目（血透机）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10月16日</w:t>
      </w:r>
      <w:r>
        <w:rPr>
          <w:rFonts w:hint="eastAsia" w:ascii="宋体" w:hAnsi="宋体"/>
          <w:b/>
          <w:sz w:val="21"/>
          <w:szCs w:val="21"/>
          <w:u w:val="single"/>
        </w:rPr>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JSZC-320500-JZCG-G2026-0292</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江苏省2025年县域医共体设备更新项目（血透机）</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人民币壹佰柒拾陆万元整（￥1</w:t>
      </w:r>
      <w:r>
        <w:rPr>
          <w:rFonts w:ascii="宋体" w:hAnsi="宋体"/>
          <w:sz w:val="21"/>
        </w:rPr>
        <w:t xml:space="preserve">,760,000.00</w:t>
      </w:r>
      <w:r>
        <w:rPr>
          <w:rFonts w:hint="eastAsia" w:ascii="宋体" w:hAnsi="宋体"/>
          <w:sz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人民币壹佰陆拾捌万元整（￥1</w:t>
      </w:r>
      <w:r>
        <w:rPr>
          <w:rFonts w:ascii="宋体" w:hAnsi="宋体"/>
          <w:sz w:val="21"/>
        </w:rPr>
        <w:t xml:space="preserve">,680,000.00</w:t>
      </w:r>
      <w:r>
        <w:rPr>
          <w:rFonts w:hint="eastAsia" w:ascii="宋体" w:hAnsi="宋体"/>
          <w:sz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具体详见招标文件第四章</w:t>
      </w:r>
      <w:r>
        <w:rPr>
          <w:rFonts w:hint="eastAsia" w:ascii="宋体" w:hAnsi="宋体"/>
          <w:sz w:val="21"/>
          <w:szCs w:val="21"/>
        </w:rPr>
        <w:t xml:space="preserve">。</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
        <w:rPr>
          <w:rFonts w:hint="eastAsia" w:ascii="宋体" w:hAnsi="宋体"/>
          <w:sz w:val="21"/>
          <w:szCs w:val="21"/>
          <w:u w:val="single"/>
        </w:rPr>
      </w:r>
      <w:r>
        <w:rPr>
          <w:rFonts w:hint="eastAsia" w:ascii="宋体" w:hAnsi="宋体"/>
          <w:sz w:val="21"/>
          <w:szCs w:val="21"/>
          <w:u w:val="single"/>
        </w:rPr>
        <w:t xml:space="preserve">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月16</w:t>
      </w:r>
      <w:r>
        <w:rPr>
          <w:rFonts w:hint="eastAsia" w:ascii="宋体" w:hAnsi="宋体" w:cs="Times New Roman"/>
          <w:sz w:val="21"/>
          <w:szCs w:val="21"/>
          <w:u w:val="single"/>
        </w:rPr>
        <w:t xml:space="preserve">日</w:t>
      </w:r>
      <w:r/>
      <w:r>
        <w:rPr>
          <w:rFonts w:ascii="宋体" w:hAnsi="宋体"/>
          <w:sz w:val="21"/>
          <w:szCs w:val="21"/>
          <w:u w:val="single"/>
        </w:rPr>
      </w:r>
      <w:r>
        <w:rPr>
          <w:rFonts w:hint="eastAsia" w:ascii="宋体" w:hAnsi="宋体"/>
          <w:sz w:val="21"/>
          <w:szCs w:val="21"/>
          <w:u w:val="single"/>
        </w:rPr>
        <w:t xml:space="preserve">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15"/>
        <w:ind w:left="0" w:firstLine="420"/>
        <w:spacing w:line="360" w:lineRule="auto"/>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1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 </w:t>
      </w:r>
      <w:r/>
    </w:p>
    <w:p>
      <w:pPr>
        <w:pStyle w:val="1015"/>
        <w:ind w:left="0" w:firstLine="420"/>
        <w:spacing w:line="360" w:lineRule="auto"/>
        <w:rPr>
          <w:rFonts w:ascii="宋体" w:hAnsi="宋体"/>
          <w:sz w:val="21"/>
          <w:szCs w:val="21"/>
        </w:rPr>
      </w:pPr>
      <w:r>
        <w:rPr>
          <w:rFonts w:hint="eastAsia" w:ascii="宋体" w:hAnsi="宋体"/>
          <w:sz w:val="21"/>
          <w:szCs w:val="21"/>
        </w:rPr>
        <w:t xml:space="preserve">联系方式：0512-69820</w:t>
      </w:r>
      <w:r>
        <w:rPr>
          <w:rFonts w:ascii="宋体" w:hAnsi="宋体"/>
          <w:sz w:val="21"/>
          <w:szCs w:val="21"/>
        </w:rPr>
        <w:t xml:space="preserve">921</w:t>
      </w:r>
      <w:r/>
    </w:p>
    <w:p>
      <w:pPr>
        <w:pStyle w:val="101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15"/>
        <w:ind w:left="0" w:firstLine="420"/>
        <w:spacing w:line="360" w:lineRule="auto"/>
        <w:rPr>
          <w:rFonts w:ascii="宋体" w:hAnsi="宋体"/>
          <w:sz w:val="21"/>
          <w:szCs w:val="21"/>
        </w:rPr>
      </w:pPr>
      <w:r>
        <w:rPr>
          <w:rFonts w:hint="eastAsia" w:ascii="宋体" w:hAnsi="宋体"/>
          <w:sz w:val="21"/>
          <w:szCs w:val="21"/>
        </w:rPr>
        <w:t xml:space="preserve">电话：0512-69820</w:t>
      </w:r>
      <w:r>
        <w:rPr>
          <w:rFonts w:ascii="宋体" w:hAnsi="宋体"/>
          <w:sz w:val="21"/>
          <w:szCs w:val="21"/>
        </w:rPr>
        <w:t xml:space="preserve">921</w:t>
      </w:r>
      <w:r/>
    </w:p>
    <w:p>
      <w:pPr>
        <w:pStyle w:val="1015"/>
        <w:ind w:left="0" w:firstLine="420"/>
        <w:spacing w:line="360" w:lineRule="auto"/>
        <w:rPr>
          <w:rFonts w:ascii="宋体" w:hAnsi="宋体"/>
          <w:sz w:val="21"/>
          <w:szCs w:val="21"/>
        </w:rPr>
      </w:pPr>
      <w:r>
        <w:rPr>
          <w:rFonts w:ascii="宋体" w:hAnsi="宋体"/>
          <w:sz w:val="21"/>
          <w:szCs w:val="21"/>
        </w:rPr>
      </w:r>
      <w:r/>
    </w:p>
    <w:p>
      <w:pPr>
        <w:ind w:left="0"/>
        <w:jc w:val="left"/>
        <w:rPr>
          <w:rFonts w:ascii="宋体" w:hAnsi="宋体"/>
          <w:b/>
          <w:sz w:val="44"/>
          <w:szCs w:val="22"/>
        </w:rPr>
      </w:pPr>
      <w:r/>
      <w:bookmarkStart w:id="10" w:name="_Toc2412"/>
      <w:r/>
      <w:bookmarkStart w:id="11" w:name="_Toc6217"/>
      <w:r/>
      <w:bookmarkStart w:id="12" w:name="_Toc229748358"/>
      <w:r>
        <w:rPr>
          <w:rFonts w:ascii="宋体" w:hAnsi="宋体"/>
          <w:b/>
          <w:sz w:val="44"/>
          <w:szCs w:val="22"/>
        </w:rPr>
        <w:br w:type="page" w:clear="all"/>
      </w:r>
      <w:r/>
    </w:p>
    <w:p>
      <w:pPr>
        <w:pStyle w:val="84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8" w:name="OLE_LINK33"/>
      <w:r/>
      <w:bookmarkStart w:id="29" w:name="OLE_LINK32"/>
      <w:r/>
      <w:bookmarkStart w:id="30" w:name="OLE_LINK22"/>
      <w:r/>
      <w:bookmarkStart w:id="31"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2"/>
      <w:r/>
      <w:bookmarkStart w:id="42" w:name="OLE_LINK1"/>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bookmarkStart w:id="57" w:name="_Toc22974836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8"/>
      <w:r/>
      <w:bookmarkStart w:id="76" w:name="OLE_LINK27"/>
      <w:r>
        <w:rPr>
          <w:rFonts w:hint="eastAsia" w:ascii="宋体" w:hAnsi="宋体"/>
          <w:b/>
          <w:sz w:val="21"/>
          <w:szCs w:val="21"/>
        </w:rPr>
        <w:t xml:space="preserve">公开分项报价</w:t>
      </w:r>
      <w:bookmarkEnd w:id="75"/>
      <w:r/>
      <w:bookmarkEnd w:id="76"/>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before="100" w:beforeAutospacing="1" w:after="100" w:afterAutospacing="1" w:line="360" w:lineRule="auto"/>
              <w:widowControl w:val="off"/>
              <w:rPr>
                <w:rFonts w:ascii="宋体" w:hAnsi="宋体"/>
                <w:sz w:val="21"/>
                <w:szCs w:val="21"/>
              </w:rPr>
            </w:pPr>
            <w:r>
              <w:rPr>
                <w:rFonts w:hint="eastAsia" w:ascii="宋体" w:hAnsi="宋体"/>
                <w:color w:val="000000"/>
                <w:sz w:val="22"/>
                <w:szCs w:val="22"/>
                <w:lang w:bidi="ar"/>
              </w:rPr>
              <w:t xml:space="preserve">张家港市第一人民医院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color w:val="000000"/>
                <w:sz w:val="22"/>
                <w:szCs w:val="22"/>
                <w:lang w:bidi="ar"/>
              </w:rPr>
              <w:t xml:space="preserve">苏州市吴中区第二人民医院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b/>
              </w:rPr>
              <w:t xml:space="preserve">投标总报价</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before="100" w:beforeAutospacing="1" w:after="100" w:afterAutospacing="1" w:line="360" w:lineRule="auto"/>
              <w:widowControl w:val="off"/>
              <w:rPr>
                <w:rFonts w:ascii="宋体" w:hAnsi="宋体"/>
                <w:b/>
              </w:rPr>
            </w:pPr>
            <w:r>
              <w:rPr>
                <w:rFonts w:hint="eastAsia" w:ascii="宋体" w:hAnsi="宋体"/>
                <w:b/>
              </w:rPr>
              <w:t xml:space="preserve">本采购包中提供的符合本国产品标准的产品成本之和占该采购包提供的全部产品成本之和的比例为</w:t>
            </w:r>
            <w:r>
              <w:rPr>
                <w:rFonts w:hint="eastAsia" w:ascii="宋体" w:hAnsi="宋体"/>
                <w:b/>
                <w:u w:val="single"/>
              </w:rPr>
              <w:t xml:space="preserve">    </w:t>
            </w:r>
            <w:r>
              <w:rPr>
                <w:rFonts w:hint="eastAsia" w:ascii="宋体" w:hAnsi="宋体"/>
                <w:b/>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b/>
        </w:rPr>
      </w:pPr>
      <w:r>
        <w:rPr>
          <w:rFonts w:hint="eastAsia" w:ascii="宋体" w:hAnsi="宋体"/>
          <w:b/>
          <w:sz w:val="21"/>
          <w:szCs w:val="21"/>
        </w:rPr>
        <w:t xml:space="preserve">4.</w:t>
      </w:r>
      <w:r>
        <w:rPr>
          <w:rFonts w:hint="eastAsia" w:ascii="宋体" w:hAnsi="宋体"/>
          <w:b/>
          <w:sz w:val="21"/>
          <w:szCs w:val="21"/>
        </w:rPr>
        <w:t xml:space="preserve">投标人须按不同医院分开进行报价，每家医院的报价不得超过其对应最高限价</w:t>
      </w:r>
      <w:r>
        <w:rPr>
          <w:rFonts w:hint="eastAsia" w:ascii="宋体" w:hAnsi="宋体" w:cs="Times New Roman"/>
          <w:b/>
          <w:sz w:val="21"/>
          <w:szCs w:val="21"/>
          <w14:ligatures w14:val="standardContextual"/>
        </w:rPr>
        <w:t xml:space="preserve">，否则视为无效投标。</w:t>
      </w:r>
      <w:r/>
    </w:p>
    <w:p>
      <w:pPr>
        <w:ind w:left="0" w:firstLine="420"/>
        <w:spacing w:line="360" w:lineRule="auto"/>
        <w:widowControl w:val="off"/>
        <w:rPr>
          <w:b/>
        </w:rPr>
      </w:pPr>
      <w:r>
        <w:rPr>
          <w:rFonts w:ascii="宋体" w:hAnsi="宋体" w:cs="Times New Roman"/>
          <w:b/>
          <w:sz w:val="21"/>
          <w:szCs w:val="21"/>
          <w14:ligatures w14:val="standardContextual"/>
        </w:rPr>
        <w:t xml:space="preserve">5.</w:t>
      </w:r>
      <w:r>
        <w:rPr>
          <w:rFonts w:hint="eastAsia" w:ascii="宋体" w:hAnsi="宋体" w:cs="Times New Roman"/>
          <w:b/>
          <w:sz w:val="21"/>
          <w:szCs w:val="21"/>
          <w14:ligatures w14:val="standardContextual"/>
        </w:rPr>
        <w:t xml:space="preserve">本项目中报价需按血液透</w:t>
      </w:r>
      <w:r>
        <w:rPr>
          <w:rFonts w:hint="eastAsia" w:ascii="宋体" w:hAnsi="宋体" w:cs="Times New Roman"/>
          <w:b/>
          <w:sz w:val="21"/>
          <w:szCs w:val="21"/>
          <w14:ligatures w14:val="standardContextual"/>
        </w:rPr>
        <w:t xml:space="preserve">析整机、细菌过滤装置、血压计、在线清除率监测模块四部分分项报价，</w:t>
      </w:r>
      <w:r>
        <w:rPr>
          <w:rFonts w:hint="eastAsia" w:ascii="宋体" w:hAnsi="宋体" w:cs="Times New Roman"/>
          <w:b/>
          <w:sz w:val="21"/>
          <w:szCs w:val="21"/>
          <w14:ligatures w14:val="standardContextual"/>
        </w:rPr>
        <w:t xml:space="preserve">否则视为无效投标。</w:t>
      </w:r>
      <w:r/>
    </w:p>
    <w:p>
      <w:pPr>
        <w:ind w:left="0" w:firstLine="420"/>
        <w:spacing w:line="36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bookmarkStart w:id="79"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21574"/>
      <w:r/>
      <w:bookmarkStart w:id="81" w:name="_Toc71810484"/>
      <w:r/>
      <w:bookmarkStart w:id="82" w:name="_Toc105397783"/>
      <w:r/>
      <w:bookmarkStart w:id="83" w:name="_Toc19621"/>
      <w:r/>
      <w:bookmarkStart w:id="84"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江苏省2025年县域医共体设备更新项目（血透机）</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b/>
          <w:sz w:val="21"/>
          <w:szCs w:val="21"/>
          <w:u w:val="single"/>
          <w:lang w:val="zh-CN"/>
        </w:rPr>
        <w:t xml:space="preserve">）</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sz w:val="21"/>
          <w:szCs w:val="21"/>
        </w:rPr>
      </w:pPr>
      <w:r/>
      <w:bookmarkStart w:id="86" w:name="_Toc105397784"/>
      <w:r/>
      <w:bookmarkStart w:id="87"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5"/>
      <w:r/>
      <w:bookmarkStart w:id="93"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09"/>
      </w:pPr>
      <w:r/>
      <w:r/>
    </w:p>
    <w:p>
      <w:r/>
      <w:r/>
    </w:p>
    <w:p>
      <w:pPr>
        <w:pStyle w:val="1009"/>
      </w:pPr>
      <w:r/>
      <w:r/>
    </w:p>
    <w:p>
      <w:r/>
      <w:r/>
    </w:p>
    <w:p>
      <w:pPr>
        <w:pStyle w:val="1009"/>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09"/>
      </w:pPr>
      <w:r/>
      <w:r/>
    </w:p>
    <w:p>
      <w:r/>
      <w:r/>
    </w:p>
    <w:p>
      <w:pPr>
        <w:pStyle w:val="1009"/>
      </w:pPr>
      <w:r/>
      <w:r/>
    </w:p>
    <w:p>
      <w:pPr>
        <w:pStyle w:val="1009"/>
      </w:pPr>
      <w:r/>
      <w:r/>
    </w:p>
    <w:p>
      <w:pPr>
        <w:rPr>
          <w:rFonts w:ascii="宋体" w:hAnsi="宋体"/>
        </w:rPr>
      </w:pPr>
      <w:r/>
      <w:bookmarkStart w:id="102" w:name="_Toc71810490"/>
      <w:r/>
      <w:bookmarkEnd w:id="94"/>
      <w:r/>
      <w:bookmarkEnd w:id="95"/>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pStyle w:val="849"/>
        <w:ind w:left="0" w:firstLine="0"/>
        <w:jc w:val="center"/>
        <w:rPr>
          <w:rFonts w:ascii="宋体" w:hAnsi="宋体"/>
          <w:b/>
          <w:sz w:val="44"/>
          <w:szCs w:val="22"/>
        </w:rPr>
      </w:pPr>
      <w:r/>
      <w:bookmarkStart w:id="109" w:name="_Toc4098"/>
      <w:r/>
      <w:bookmarkStart w:id="110" w:name="_Toc23660"/>
      <w:r/>
      <w:bookmarkStart w:id="111" w:name="_Toc229748373"/>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ascii="Segoe UI" w:hAnsi="Segoe UI" w:cs="Segoe UI"/>
          <w:sz w:val="21"/>
          <w:szCs w:val="21"/>
          <w:u w:val="single"/>
          <w:shd w:val="clear" w:color="auto" w:fill="ffffff"/>
        </w:rPr>
        <w:t xml:space="preserve">江苏省</w:t>
      </w:r>
      <w:r>
        <w:rPr>
          <w:rFonts w:ascii="Segoe UI" w:hAnsi="Segoe UI" w:cs="Segoe UI"/>
          <w:sz w:val="21"/>
          <w:szCs w:val="21"/>
          <w:u w:val="single"/>
          <w:shd w:val="clear" w:color="auto" w:fill="ffffff"/>
        </w:rPr>
        <w:t xml:space="preserve">2025</w:t>
      </w:r>
      <w:r>
        <w:rPr>
          <w:rFonts w:ascii="Segoe UI" w:hAnsi="Segoe UI" w:cs="Segoe UI"/>
          <w:sz w:val="21"/>
          <w:szCs w:val="21"/>
          <w:u w:val="single"/>
          <w:shd w:val="clear" w:color="auto" w:fill="ffffff"/>
        </w:rPr>
        <w:t xml:space="preserve">年县域医共体设备更新项目（血透机）</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JSZC-320500-JZCG-G2026-0292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宋体" w:hAnsi="宋体" w:cs="Segoe UI"/>
          <w:sz w:val="21"/>
          <w:szCs w:val="21"/>
          <w:shd w:val="clear" w:color="auto" w:fill="ffffff"/>
        </w:rPr>
        <w:t xml:space="preserve">江苏省2025年县域医共体设备更新项目（血透机）</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bookmarkStart w:id="113" w:name="OLE_LINK20"/>
      <w:r>
        <w:rPr>
          <w:rFonts w:hint="eastAsia" w:ascii="宋体" w:hAnsi="宋体"/>
          <w:sz w:val="21"/>
        </w:rPr>
        <w:t xml:space="preserve">人民币</w:t>
      </w:r>
      <w:r>
        <w:rPr>
          <w:rFonts w:hint="eastAsia" w:ascii="宋体" w:hAnsi="宋体"/>
          <w:sz w:val="21"/>
        </w:rPr>
        <w:t xml:space="preserve">壹佰柒拾陆万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,760,000.00</w:t>
      </w:r>
      <w:r>
        <w:rPr>
          <w:rFonts w:hint="eastAsia" w:ascii="宋体" w:hAnsi="宋体"/>
          <w:sz w:val="21"/>
        </w:rPr>
        <w:t xml:space="preserve">元）</w:t>
      </w:r>
      <w:bookmarkEnd w:id="113"/>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rPr>
        <w:t xml:space="preserve">壹佰陆拾捌万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,680,000.00</w:t>
      </w:r>
      <w:r>
        <w:rPr>
          <w:rFonts w:hint="eastAsia" w:ascii="宋体" w:hAnsi="宋体"/>
          <w:sz w:val="21"/>
        </w:rPr>
        <w:t xml:space="preserve">元）</w:t>
      </w:r>
      <w:r>
        <w:rPr>
          <w:rFonts w:ascii="宋体" w:hAnsi="宋体"/>
          <w:sz w:val="21"/>
          <w:szCs w:val="21"/>
        </w:rPr>
        <w:t xml:space="preserve"> </w:t>
      </w:r>
      <w:r/>
    </w:p>
    <w:p>
      <w:pPr>
        <w:pStyle w:val="1015"/>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W w:w="10065" w:type="dxa"/>
        <w:tblInd w:w="-5" w:type="dxa"/>
        <w:tblLook w:val="04A0" w:firstRow="1" w:lastRow="0" w:firstColumn="1" w:lastColumn="0" w:noHBand="0" w:noVBand="1"/>
      </w:tblPr>
      <w:tblGrid>
        <w:gridCol w:w="1985"/>
        <w:gridCol w:w="1417"/>
        <w:gridCol w:w="1560"/>
        <w:gridCol w:w="1134"/>
        <w:gridCol w:w="1701"/>
        <w:gridCol w:w="1134"/>
        <w:gridCol w:w="1134"/>
      </w:tblGrid>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医疗机构名称</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4"/>
                <w:szCs w:val="24"/>
              </w:rPr>
            </w:pPr>
            <w:r>
              <w:rPr>
                <w:rFonts w:hint="eastAsia" w:ascii="宋体" w:hAnsi="宋体"/>
                <w:color w:val="000000"/>
                <w:sz w:val="24"/>
                <w:szCs w:val="24"/>
                <w:lang w:bidi="ar"/>
              </w:rPr>
              <w:t xml:space="preserve">血液透析整机（个）</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jc w:val="center"/>
              <w:rPr>
                <w:rFonts w:ascii="宋体" w:hAnsi="宋体"/>
                <w:color w:val="000000"/>
                <w:sz w:val="24"/>
                <w:szCs w:val="24"/>
              </w:rPr>
            </w:pPr>
            <w:r>
              <w:rPr>
                <w:rFonts w:hint="eastAsia" w:ascii="宋体" w:hAnsi="宋体"/>
                <w:color w:val="000000"/>
                <w:sz w:val="24"/>
                <w:szCs w:val="24"/>
                <w:lang w:bidi="ar"/>
              </w:rPr>
              <w:t xml:space="preserve">细菌过滤装置（组）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4"/>
                <w:szCs w:val="24"/>
              </w:rPr>
            </w:pPr>
            <w:r>
              <w:rPr>
                <w:rFonts w:hint="eastAsia" w:ascii="宋体" w:hAnsi="宋体"/>
                <w:color w:val="000000"/>
                <w:sz w:val="24"/>
                <w:szCs w:val="24"/>
                <w:lang w:bidi="ar"/>
              </w:rPr>
              <w:t xml:space="preserve">血压计（个）</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jc w:val="center"/>
              <w:rPr>
                <w:rFonts w:ascii="宋体" w:hAnsi="宋体"/>
                <w:color w:val="000000"/>
                <w:sz w:val="24"/>
                <w:szCs w:val="24"/>
              </w:rPr>
            </w:pPr>
            <w:r>
              <w:rPr>
                <w:rFonts w:hint="eastAsia" w:ascii="宋体" w:hAnsi="宋体"/>
                <w:color w:val="000000"/>
                <w:sz w:val="24"/>
                <w:szCs w:val="24"/>
                <w:lang w:bidi="ar"/>
              </w:rPr>
              <w:t xml:space="preserve">在线清除率监测模块（个）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预算</w:t>
            </w:r>
            <w:r/>
          </w:p>
          <w:p>
            <w:pPr>
              <w:ind w:left="0"/>
              <w:jc w:val="center"/>
              <w:rPr>
                <w:rFonts w:ascii="宋体" w:hAnsi="宋体"/>
                <w:color w:val="000000"/>
                <w:sz w:val="24"/>
                <w:szCs w:val="24"/>
                <w:lang w:bidi="ar"/>
              </w:rPr>
            </w:pPr>
            <w:r>
              <w:rPr>
                <w:rFonts w:hint="eastAsia" w:ascii="宋体" w:hAnsi="宋体"/>
                <w:color w:val="000000"/>
                <w:sz w:val="22"/>
                <w:szCs w:val="22"/>
                <w:lang w:bidi="ar"/>
              </w:rPr>
              <w:t xml:space="preserve">（万元）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Pr>
                <w:rFonts w:ascii="宋体" w:hAnsi="宋体"/>
                <w:color w:val="000000"/>
                <w:sz w:val="22"/>
                <w:szCs w:val="22"/>
                <w:lang w:bidi="ar"/>
              </w:rPr>
            </w:pPr>
            <w:r>
              <w:rPr>
                <w:rFonts w:hint="eastAsia" w:ascii="宋体" w:hAnsi="宋体"/>
                <w:color w:val="000000"/>
                <w:sz w:val="22"/>
                <w:szCs w:val="22"/>
                <w:lang w:bidi="ar"/>
              </w:rPr>
              <w:t xml:space="preserve">最高</w:t>
            </w:r>
            <w:r>
              <w:rPr>
                <w:rFonts w:hint="eastAsia" w:ascii="宋体" w:hAnsi="宋体"/>
                <w:color w:val="000000"/>
                <w:sz w:val="22"/>
                <w:szCs w:val="22"/>
                <w:lang w:bidi="ar"/>
              </w:rPr>
              <w:t xml:space="preserve">限价</w:t>
            </w:r>
            <w:r/>
          </w:p>
          <w:p>
            <w:pPr>
              <w:ind w:left="0"/>
              <w:rPr>
                <w:rFonts w:ascii="宋体" w:hAnsi="宋体"/>
                <w:color w:val="000000"/>
                <w:sz w:val="22"/>
                <w:szCs w:val="22"/>
                <w:lang w:bidi="ar"/>
              </w:rPr>
            </w:pPr>
            <w:r>
              <w:rPr>
                <w:rFonts w:hint="eastAsia" w:ascii="宋体" w:hAnsi="宋体"/>
                <w:color w:val="000000"/>
                <w:sz w:val="22"/>
                <w:szCs w:val="22"/>
                <w:lang w:bidi="ar"/>
              </w:rPr>
              <w:t xml:space="preserve">（万元）</w:t>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lang w:bidi="ar"/>
              </w:rPr>
              <w:t xml:space="preserve">张家港市第一人民医院</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48</w:t>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lang w:bidi="ar"/>
              </w:rPr>
              <w:t xml:space="preserve">苏州市吴中区第二人民医院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120</w:t>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168</w:t>
            </w:r>
            <w:r/>
          </w:p>
        </w:tc>
      </w:tr>
    </w:tbl>
    <w:p>
      <w:pPr>
        <w:ind w:left="0" w:firstLine="420"/>
        <w:spacing w:line="360" w:lineRule="auto"/>
        <w:tabs>
          <w:tab w:val="left" w:pos="0" w:leader="none"/>
        </w:tabs>
        <w:rPr>
          <w:rFonts w:ascii="宋体" w:hAnsi="宋体" w:cs="Times New Roman"/>
          <w:sz w:val="21"/>
          <w:szCs w:val="21"/>
          <w14:ligatures w14:val="standardContextual"/>
        </w:rPr>
      </w:pPr>
      <w:r>
        <w:rPr>
          <w:rFonts w:ascii="宋体" w:hAnsi="宋体" w:cs="Times New Roman"/>
          <w:sz w:val="21"/>
          <w:szCs w:val="21"/>
          <w14:ligatures w14:val="standardContextual"/>
        </w:rPr>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注：1</w:t>
      </w:r>
      <w:r>
        <w:rPr>
          <w:rFonts w:ascii="宋体" w:hAnsi="宋体" w:cs="Times New Roman"/>
          <w:b/>
          <w:sz w:val="21"/>
          <w:szCs w:val="21"/>
          <w14:ligatures w14:val="standardContextual"/>
        </w:rPr>
        <w:t xml:space="preserve">.</w:t>
      </w:r>
      <w:r>
        <w:rPr>
          <w:rFonts w:hint="eastAsia" w:ascii="宋体" w:hAnsi="宋体" w:cs="Times New Roman"/>
          <w:b/>
          <w:sz w:val="21"/>
          <w:szCs w:val="21"/>
          <w14:ligatures w14:val="standardContextual"/>
        </w:rPr>
        <w:t xml:space="preserve">本</w:t>
      </w:r>
      <w:r>
        <w:rPr>
          <w:rFonts w:hint="eastAsia" w:ascii="宋体" w:hAnsi="宋体" w:cs="Times New Roman"/>
          <w:b/>
          <w:sz w:val="21"/>
          <w:szCs w:val="21"/>
          <w14:ligatures w14:val="standardContextual"/>
        </w:rPr>
        <w:t xml:space="preserve">项目的</w:t>
      </w:r>
      <w:r>
        <w:rPr>
          <w:rFonts w:hint="eastAsia" w:ascii="宋体" w:hAnsi="宋体" w:cs="Times New Roman"/>
          <w:b/>
          <w:sz w:val="21"/>
          <w:szCs w:val="21"/>
          <w14:ligatures w14:val="standardContextual"/>
        </w:rPr>
        <w:t xml:space="preserve">核心产品为：</w:t>
      </w:r>
      <w:r>
        <w:rPr>
          <w:rFonts w:ascii="宋体" w:hAnsi="宋体" w:cs="Times New Roman"/>
          <w:b/>
          <w:sz w:val="21"/>
          <w:szCs w:val="21"/>
          <w14:ligatures w14:val="standardContextual"/>
        </w:rPr>
        <w:t xml:space="preserve"> </w:t>
      </w:r>
      <w:bookmarkStart w:id="114" w:name="OLE_LINK21"/>
      <w:r/>
      <w:bookmarkStart w:id="115" w:name="OLE_LINK23"/>
      <w:r>
        <w:rPr>
          <w:rFonts w:hint="eastAsia" w:ascii="宋体" w:hAnsi="宋体" w:cs="Times New Roman"/>
          <w:b/>
          <w:sz w:val="21"/>
          <w:szCs w:val="21"/>
          <w14:ligatures w14:val="standardContextual"/>
        </w:rPr>
        <w:t xml:space="preserve">血液透析整机</w:t>
      </w:r>
      <w:bookmarkEnd w:id="114"/>
      <w:r/>
      <w:bookmarkEnd w:id="115"/>
      <w:r>
        <w:rPr>
          <w:rFonts w:hint="eastAsia" w:ascii="宋体" w:hAnsi="宋体" w:cs="Times New Roman"/>
          <w:b/>
          <w:sz w:val="21"/>
          <w:szCs w:val="21"/>
          <w14:ligatures w14:val="standardContextual"/>
        </w:rPr>
        <w:t xml:space="preserve">。</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投标人须按不同医院分开进行报价，每家医院的报价不得超过其对应最高限价</w:t>
      </w:r>
      <w:r>
        <w:rPr>
          <w:rFonts w:hint="eastAsia" w:ascii="宋体" w:hAnsi="宋体" w:cs="Times New Roman"/>
          <w:b/>
          <w:sz w:val="21"/>
          <w:szCs w:val="21"/>
          <w14:ligatures w14:val="standardContextual"/>
        </w:rPr>
        <w:t xml:space="preserve">，否则视为无效投标。</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3</w:t>
      </w:r>
      <w:r>
        <w:rPr>
          <w:rFonts w:ascii="宋体" w:hAnsi="宋体" w:cs="Times New Roman"/>
          <w:b/>
          <w:sz w:val="21"/>
          <w:szCs w:val="21"/>
          <w14:ligatures w14:val="standardContextual"/>
        </w:rPr>
        <w:t xml:space="preserve">.</w:t>
      </w:r>
      <w:r>
        <w:rPr>
          <w:rFonts w:hint="eastAsia" w:ascii="宋体" w:hAnsi="宋体" w:cs="Times New Roman"/>
          <w:b/>
          <w:sz w:val="21"/>
          <w:szCs w:val="21"/>
          <w14:ligatures w14:val="standardContextual"/>
        </w:rPr>
        <w:t xml:space="preserve">本项目中报价需按血液透</w:t>
      </w:r>
      <w:r>
        <w:rPr>
          <w:rFonts w:hint="eastAsia" w:ascii="宋体" w:hAnsi="宋体" w:cs="Times New Roman"/>
          <w:b/>
          <w:sz w:val="21"/>
          <w:szCs w:val="21"/>
          <w14:ligatures w14:val="standardContextual"/>
        </w:rPr>
        <w:t xml:space="preserve">析整机、细菌过滤装置、血压计、在线清除率监测模块四部分分项报价，</w:t>
      </w:r>
      <w:r>
        <w:rPr>
          <w:rFonts w:hint="eastAsia" w:ascii="宋体" w:hAnsi="宋体" w:cs="Times New Roman"/>
          <w:b/>
          <w:sz w:val="21"/>
          <w:szCs w:val="21"/>
          <w14:ligatures w14:val="standardContextual"/>
        </w:rPr>
        <w:t xml:space="preserve">否则视为无效投标。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1.产品具备三类《医疗器械注册证》，投标文件中需提供产品的医疗器械注册证复印件并加盖公章，否则视为未实质性响应。</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2</w:t>
      </w:r>
      <w:r>
        <w:rPr>
          <w:rFonts w:hint="eastAsia" w:ascii="宋体" w:hAnsi="宋体" w:cs="Times New Roman"/>
          <w:b/>
          <w:sz w:val="21"/>
          <w:szCs w:val="24"/>
        </w:rPr>
        <w:t xml:space="preserve">.</w:t>
      </w:r>
      <w:r>
        <w:rPr>
          <w:rFonts w:hint="eastAsia" w:ascii="宋体" w:hAnsi="宋体" w:cs="Times New Roman"/>
          <w:b/>
          <w:sz w:val="21"/>
          <w:szCs w:val="24"/>
        </w:rPr>
        <w:t xml:space="preserve">设备可用于慢性肾功能不全患者进行血液透析HD或单纯超滤ISO-UF治疗。</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w:t>
      </w:r>
      <w:r>
        <w:rPr>
          <w:rFonts w:hint="eastAsia" w:ascii="宋体" w:hAnsi="宋体" w:cs="等线"/>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3</w:t>
      </w:r>
      <w:r>
        <w:rPr>
          <w:rFonts w:hint="eastAsia" w:ascii="宋体" w:hAnsi="宋体" w:cs="Times New Roman"/>
          <w:b/>
          <w:sz w:val="21"/>
          <w:szCs w:val="24"/>
        </w:rPr>
        <w:t xml:space="preserve">.</w:t>
      </w:r>
      <w:r>
        <w:rPr>
          <w:rFonts w:hint="eastAsia" w:ascii="宋体" w:hAnsi="宋体" w:cs="Times New Roman"/>
          <w:b/>
          <w:sz w:val="21"/>
          <w:szCs w:val="24"/>
        </w:rPr>
        <w:t xml:space="preserve">透析治疗前无需安装透析管路即可完成安全系统的自动检测，同时检测密闭系统的完整性，治疗结束后具备自动关机功能。</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w:t>
      </w:r>
      <w:r>
        <w:rPr>
          <w:rFonts w:hint="eastAsia" w:ascii="宋体" w:hAnsi="宋体" w:cs="等线"/>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4</w:t>
      </w:r>
      <w:r>
        <w:rPr>
          <w:rFonts w:hint="eastAsia" w:ascii="宋体" w:hAnsi="宋体" w:cs="Times New Roman"/>
          <w:b/>
          <w:sz w:val="21"/>
          <w:szCs w:val="24"/>
        </w:rPr>
        <w:t xml:space="preserve">.</w:t>
      </w:r>
      <w:r>
        <w:rPr>
          <w:rFonts w:hint="eastAsia" w:ascii="宋体" w:hAnsi="宋体" w:cs="Times New Roman"/>
          <w:b/>
          <w:sz w:val="21"/>
          <w:szCs w:val="24"/>
        </w:rPr>
        <w:t xml:space="preserve">至少具有碳酸盐、醋酸盐、单超透析等透析模式，超滤曲线≥6个，钠曲线可调。</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w:t>
      </w:r>
      <w:r>
        <w:rPr>
          <w:rFonts w:hint="eastAsia" w:ascii="宋体" w:hAnsi="宋体" w:cs="等线"/>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5</w:t>
      </w:r>
      <w:r>
        <w:rPr>
          <w:rFonts w:hint="eastAsia" w:ascii="宋体" w:hAnsi="宋体" w:cs="Times New Roman"/>
          <w:b/>
          <w:sz w:val="21"/>
          <w:szCs w:val="24"/>
        </w:rPr>
        <w:t xml:space="preserve">.</w:t>
      </w:r>
      <w:r>
        <w:rPr>
          <w:rFonts w:hint="eastAsia" w:ascii="宋体" w:hAnsi="宋体" w:cs="Times New Roman"/>
          <w:b/>
          <w:sz w:val="21"/>
          <w:szCs w:val="24"/>
        </w:rPr>
        <w:t xml:space="preserve">具备全自动的清洗、脱脂功能，化学加热消毒可加热到90℃及以上，热消毒时间≤45分钟。</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w:t>
      </w:r>
      <w:r>
        <w:rPr>
          <w:rFonts w:hint="eastAsia" w:ascii="宋体" w:hAnsi="宋体" w:cs="等线"/>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6</w:t>
      </w:r>
      <w:r>
        <w:rPr>
          <w:rFonts w:hint="eastAsia" w:ascii="宋体" w:hAnsi="宋体" w:cs="Times New Roman"/>
          <w:b/>
          <w:sz w:val="21"/>
          <w:szCs w:val="24"/>
        </w:rPr>
        <w:t xml:space="preserve">.</w:t>
      </w:r>
      <w:r>
        <w:rPr>
          <w:rFonts w:hint="eastAsia" w:ascii="宋体" w:hAnsi="宋体" w:cs="Times New Roman"/>
          <w:b/>
          <w:sz w:val="21"/>
          <w:szCs w:val="24"/>
        </w:rPr>
        <w:t xml:space="preserve">适配各品牌耗材，无专机专用耗材限制。投标单位需提供承诺函并加盖投标单位公章，否则视为未实质性响应。（承诺函格式自拟）</w:t>
      </w:r>
      <w:r/>
    </w:p>
    <w:p>
      <w:pPr>
        <w:ind w:left="0" w:firstLine="422"/>
        <w:spacing w:line="360" w:lineRule="auto"/>
        <w:widowControl w:val="off"/>
        <w:tabs>
          <w:tab w:val="left" w:pos="420" w:leader="none"/>
        </w:tabs>
        <w:rPr>
          <w:rFonts w:ascii="宋体" w:hAnsi="宋体" w:cs="Times New Roman"/>
          <w:b/>
          <w:sz w:val="21"/>
          <w:szCs w:val="24"/>
        </w:rPr>
      </w:pPr>
      <w:r>
        <w:rPr>
          <w:rFonts w:hint="eastAsia" w:ascii="宋体" w:hAnsi="宋体" w:cs="Times New Roman"/>
          <w:b/>
          <w:sz w:val="21"/>
          <w:szCs w:val="24"/>
        </w:rPr>
        <w:t xml:space="preserve">7</w:t>
      </w:r>
      <w:r>
        <w:rPr>
          <w:rFonts w:hint="eastAsia" w:ascii="宋体" w:hAnsi="宋体" w:cs="Times New Roman"/>
          <w:b/>
          <w:sz w:val="21"/>
          <w:szCs w:val="24"/>
        </w:rPr>
        <w:t xml:space="preserve">.</w:t>
      </w:r>
      <w:r>
        <w:rPr>
          <w:rFonts w:hint="eastAsia" w:ascii="宋体" w:hAnsi="宋体" w:cs="Times New Roman"/>
          <w:b/>
          <w:sz w:val="21"/>
          <w:szCs w:val="24"/>
        </w:rPr>
        <w:t xml:space="preserve">提供原厂免费质保期≥5年。投标单位需提供承诺函并加盖投标单位公章，否则视为未实质性响应。（承诺函格式自拟）</w:t>
      </w:r>
      <w:r/>
    </w:p>
    <w:p>
      <w:pPr>
        <w:ind w:left="0" w:firstLine="422"/>
        <w:spacing w:line="360" w:lineRule="auto"/>
        <w:widowControl w:val="off"/>
        <w:tabs>
          <w:tab w:val="left" w:pos="420" w:leader="none"/>
        </w:tabs>
        <w:rPr>
          <w:rFonts w:ascii="宋体" w:hAnsi="宋体" w:cs="Times New Roman"/>
          <w:b/>
          <w:sz w:val="21"/>
          <w:szCs w:val="22"/>
        </w:rPr>
      </w:pPr>
      <w:r>
        <w:rPr>
          <w:rFonts w:hint="eastAsia" w:ascii="宋体" w:hAnsi="宋体" w:cs="Times New Roman"/>
          <w:b/>
          <w:sz w:val="21"/>
          <w:szCs w:val="24"/>
        </w:rPr>
        <w:t xml:space="preserve">注：上述1.-5.项按要求提供证明材料；6.-7.项提供承诺函，承诺满足相关要求，承诺函格式自拟，未按要求提供证明材料或承诺函视为未实质性响应</w:t>
      </w:r>
      <w:r>
        <w:rPr>
          <w:rFonts w:hint="eastAsia" w:ascii="宋体" w:hAnsi="宋体" w:cs="Times New Roman"/>
          <w:b/>
          <w:sz w:val="21"/>
          <w:szCs w:val="22"/>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1、机器宽度≤600 mm，厚度≤700mm。</w:t>
      </w:r>
      <w:r/>
    </w:p>
    <w:p>
      <w:pPr>
        <w:ind w:left="0" w:firstLine="420"/>
        <w:spacing w:line="360" w:lineRule="auto"/>
        <w:tabs>
          <w:tab w:val="left" w:pos="0" w:leader="none"/>
        </w:tabs>
        <w:rPr>
          <w:rFonts w:ascii="宋体" w:hAnsi="宋体"/>
          <w:sz w:val="21"/>
        </w:rPr>
      </w:pPr>
      <w:r>
        <w:rPr>
          <w:rFonts w:hint="eastAsia" w:ascii="宋体" w:hAnsi="宋体"/>
          <w:sz w:val="21"/>
        </w:rPr>
        <w:t xml:space="preserve">2、准备灌充/预充时，最低冲洗容量≤900ml，可设置范围至少可覆盖 400-4000ml，单位增量为100ml，便于调整设置。</w:t>
      </w:r>
      <w:r/>
    </w:p>
    <w:p>
      <w:pPr>
        <w:ind w:left="0" w:firstLine="420"/>
        <w:spacing w:line="360" w:lineRule="auto"/>
        <w:tabs>
          <w:tab w:val="left" w:pos="0" w:leader="none"/>
        </w:tabs>
        <w:rPr>
          <w:rFonts w:ascii="宋体" w:hAnsi="宋体"/>
          <w:sz w:val="21"/>
        </w:rPr>
      </w:pPr>
      <w:r>
        <w:rPr>
          <w:rFonts w:hint="eastAsia" w:ascii="宋体" w:hAnsi="宋体"/>
          <w:sz w:val="21"/>
        </w:rPr>
        <w:t xml:space="preserve">3、超滤泵容量精度为超滤量±1%或超滤误差≤±10ml/h。</w:t>
      </w:r>
      <w:r/>
    </w:p>
    <w:p>
      <w:pPr>
        <w:ind w:left="0" w:firstLine="420"/>
        <w:spacing w:line="360" w:lineRule="auto"/>
        <w:tabs>
          <w:tab w:val="left" w:pos="0" w:leader="none"/>
        </w:tabs>
        <w:rPr>
          <w:rFonts w:ascii="宋体" w:hAnsi="宋体"/>
          <w:sz w:val="21"/>
        </w:rPr>
      </w:pPr>
      <w:r>
        <w:rPr>
          <w:rFonts w:hint="eastAsia" w:ascii="宋体" w:hAnsi="宋体"/>
          <w:sz w:val="21"/>
        </w:rPr>
        <w:t xml:space="preserve">4、配备细菌过滤器，具备过滤器使用寿命监测及提示更换功能，具有空气探测器且可防止≥20μL气泡通过。</w:t>
      </w:r>
      <w:r/>
    </w:p>
    <w:p>
      <w:pPr>
        <w:ind w:left="0" w:firstLine="420"/>
        <w:spacing w:line="360" w:lineRule="auto"/>
        <w:tabs>
          <w:tab w:val="left" w:pos="0" w:leader="none"/>
        </w:tabs>
        <w:rPr>
          <w:rFonts w:ascii="宋体" w:hAnsi="宋体"/>
          <w:sz w:val="21"/>
        </w:rPr>
      </w:pPr>
      <w:r>
        <w:rPr>
          <w:rFonts w:hint="eastAsia" w:ascii="宋体" w:hAnsi="宋体"/>
          <w:sz w:val="21"/>
        </w:rPr>
        <w:t xml:space="preserve">5、漏血探测器在治疗过程中可持续监测，灵敏度：可监测≤0.35mL/min的漏血（HCT 32%）</w:t>
      </w:r>
      <w:r/>
    </w:p>
    <w:p>
      <w:pPr>
        <w:ind w:left="0" w:firstLine="420"/>
        <w:spacing w:line="360" w:lineRule="auto"/>
        <w:tabs>
          <w:tab w:val="left" w:pos="0" w:leader="none"/>
        </w:tabs>
        <w:rPr>
          <w:rFonts w:ascii="宋体" w:hAnsi="宋体"/>
          <w:sz w:val="21"/>
        </w:rPr>
      </w:pPr>
      <w:r>
        <w:rPr>
          <w:rFonts w:hint="eastAsia" w:ascii="宋体" w:hAnsi="宋体"/>
          <w:sz w:val="21"/>
        </w:rPr>
        <w:t xml:space="preserve">6、可根据透析器输出端的血压、透析液压力等，计算可调限值跨膜压，可统一监测透析器进出口的压力变化。</w:t>
      </w:r>
      <w:r/>
    </w:p>
    <w:p>
      <w:pPr>
        <w:ind w:left="0" w:firstLine="420"/>
        <w:spacing w:line="360" w:lineRule="auto"/>
        <w:tabs>
          <w:tab w:val="left" w:pos="0" w:leader="none"/>
        </w:tabs>
        <w:rPr>
          <w:rFonts w:ascii="宋体" w:hAnsi="宋体"/>
          <w:sz w:val="21"/>
        </w:rPr>
      </w:pPr>
      <w:r>
        <w:rPr>
          <w:rFonts w:hint="eastAsia" w:ascii="宋体" w:hAnsi="宋体"/>
          <w:sz w:val="21"/>
        </w:rPr>
        <w:t xml:space="preserve">7、跨膜压监测范围包含-50~500mmHg，分辨率为10mmHg，最大可调监视窗口宽度≥100mmHg时，跨膜压差的精度≤±10mmHg。</w:t>
      </w:r>
      <w:r/>
    </w:p>
    <w:p>
      <w:pPr>
        <w:ind w:left="0" w:firstLine="420"/>
        <w:spacing w:line="360" w:lineRule="auto"/>
        <w:tabs>
          <w:tab w:val="left" w:pos="0" w:leader="none"/>
        </w:tabs>
        <w:rPr>
          <w:rFonts w:ascii="宋体" w:hAnsi="宋体"/>
          <w:sz w:val="21"/>
        </w:rPr>
      </w:pPr>
      <w:r>
        <w:rPr>
          <w:rFonts w:hint="eastAsia" w:ascii="宋体" w:hAnsi="宋体"/>
          <w:sz w:val="21"/>
        </w:rPr>
        <w:t xml:space="preserve">8、动脉压监测范围包含-200mmHg~+280mmHg，精确度≤±10mmHg，显示分辨率≤±10mmHg。</w:t>
      </w:r>
      <w:r/>
    </w:p>
    <w:p>
      <w:pPr>
        <w:ind w:left="0" w:firstLine="420"/>
        <w:spacing w:line="360" w:lineRule="auto"/>
        <w:tabs>
          <w:tab w:val="left" w:pos="0" w:leader="none"/>
        </w:tabs>
        <w:rPr>
          <w:rFonts w:ascii="宋体" w:hAnsi="宋体"/>
          <w:sz w:val="21"/>
        </w:rPr>
      </w:pPr>
      <w:r>
        <w:rPr>
          <w:rFonts w:hint="eastAsia" w:ascii="宋体" w:hAnsi="宋体"/>
          <w:sz w:val="21"/>
        </w:rPr>
        <w:t xml:space="preserve">9、静脉压监测范围包含-50mmHg~+400mmHg，精确度≤±10mmHg，显示分辨率≤±10mmHg。</w:t>
      </w:r>
      <w:r/>
    </w:p>
    <w:p>
      <w:pPr>
        <w:ind w:left="0" w:firstLine="420"/>
        <w:spacing w:line="360" w:lineRule="auto"/>
        <w:tabs>
          <w:tab w:val="left" w:pos="0" w:leader="none"/>
        </w:tabs>
        <w:rPr>
          <w:rFonts w:ascii="宋体" w:hAnsi="宋体"/>
          <w:sz w:val="21"/>
        </w:rPr>
      </w:pPr>
      <w:r>
        <w:rPr>
          <w:rFonts w:hint="eastAsia" w:ascii="宋体" w:hAnsi="宋体"/>
          <w:sz w:val="21"/>
        </w:rPr>
        <w:t xml:space="preserve">10、血泵输送设定范围为（0，30-500ml/min），可设置数值，显示分辨率≤10ml/min，血泵管路内径为8mm。</w:t>
      </w:r>
      <w:r/>
    </w:p>
    <w:p>
      <w:pPr>
        <w:ind w:left="0" w:firstLine="420"/>
        <w:spacing w:line="360" w:lineRule="auto"/>
        <w:tabs>
          <w:tab w:val="left" w:pos="0" w:leader="none"/>
        </w:tabs>
        <w:rPr>
          <w:rFonts w:ascii="宋体" w:hAnsi="宋体"/>
          <w:sz w:val="21"/>
        </w:rPr>
      </w:pPr>
      <w:r>
        <w:rPr>
          <w:rFonts w:hint="eastAsia" w:ascii="宋体" w:hAnsi="宋体"/>
          <w:sz w:val="21"/>
        </w:rPr>
        <w:t xml:space="preserve">11、标配碳酸氢盐B干粉支架，具备透析液浓度控制和监测功能。消毒方式可采用化学消毒、热消毒、化学加热消毒，消毒、脱钙一体化设计。透析液温度监控（具备超温报警）：温度调节范围设定35℃~39℃，每0.5℃连续可调，精度±0.5℃，报警范围：包含33.5℃至 40.0℃。</w:t>
      </w:r>
      <w:r/>
    </w:p>
    <w:p>
      <w:pPr>
        <w:ind w:left="0" w:firstLine="420"/>
        <w:spacing w:line="360" w:lineRule="auto"/>
        <w:tabs>
          <w:tab w:val="left" w:pos="0" w:leader="none"/>
        </w:tabs>
        <w:rPr>
          <w:rFonts w:ascii="宋体" w:hAnsi="宋体"/>
          <w:sz w:val="21"/>
        </w:rPr>
      </w:pPr>
      <w:r>
        <w:rPr>
          <w:rFonts w:hint="eastAsia" w:ascii="宋体" w:hAnsi="宋体"/>
          <w:sz w:val="21"/>
        </w:rPr>
        <w:t xml:space="preserve">12、肝素注入速度设定范围包含0.5-10ml/h，分辨率≤0.1ml/h，精度≤±0.5ml或所输送注射器容量的±5%。</w:t>
      </w:r>
      <w:r/>
    </w:p>
    <w:p>
      <w:pPr>
        <w:ind w:left="0" w:firstLine="420"/>
        <w:spacing w:line="360" w:lineRule="auto"/>
        <w:tabs>
          <w:tab w:val="left" w:pos="0" w:leader="none"/>
        </w:tabs>
        <w:rPr>
          <w:rFonts w:ascii="宋体" w:hAnsi="宋体"/>
          <w:sz w:val="21"/>
        </w:rPr>
      </w:pPr>
      <w:r>
        <w:rPr>
          <w:rFonts w:hint="eastAsia" w:ascii="宋体" w:hAnsi="宋体"/>
          <w:sz w:val="21"/>
        </w:rPr>
        <w:t xml:space="preserve">13、使用肝素泵时可与20ml、10ml注射器配合使用。</w:t>
      </w:r>
      <w:r/>
    </w:p>
    <w:p>
      <w:pPr>
        <w:ind w:left="0" w:firstLine="420"/>
        <w:spacing w:line="360" w:lineRule="auto"/>
        <w:tabs>
          <w:tab w:val="left" w:pos="0" w:leader="none"/>
        </w:tabs>
        <w:rPr>
          <w:rFonts w:ascii="宋体" w:hAnsi="宋体"/>
          <w:sz w:val="21"/>
        </w:rPr>
      </w:pPr>
      <w:r>
        <w:rPr>
          <w:rFonts w:hint="eastAsia" w:ascii="宋体" w:hAnsi="宋体"/>
          <w:sz w:val="21"/>
        </w:rPr>
        <w:t xml:space="preserve">14、设备预期使用寿命≥10年，并于设备铭牌显示。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15、具备后备电池，每次治疗前自检续航能力≥15分钟。当供电中断时，蓄电池可无延迟供电。</w:t>
      </w:r>
      <w:r/>
    </w:p>
    <w:p>
      <w:pPr>
        <w:ind w:left="0" w:firstLine="420"/>
        <w:spacing w:line="360" w:lineRule="auto"/>
        <w:tabs>
          <w:tab w:val="left" w:pos="0" w:leader="none"/>
        </w:tabs>
        <w:rPr>
          <w:rFonts w:ascii="宋体" w:hAnsi="宋体"/>
          <w:sz w:val="21"/>
        </w:rPr>
      </w:pPr>
      <w:r>
        <w:rPr>
          <w:rFonts w:hint="eastAsia" w:ascii="宋体" w:hAnsi="宋体"/>
          <w:sz w:val="21"/>
        </w:rPr>
        <w:t xml:space="preserve">16、设备运行状态及屏幕显示状态有颜色区分，可协助操作者区别设备运行实际情况。</w:t>
      </w:r>
      <w:r/>
    </w:p>
    <w:p>
      <w:pPr>
        <w:ind w:left="0" w:firstLine="420"/>
        <w:spacing w:line="360" w:lineRule="auto"/>
        <w:tabs>
          <w:tab w:val="left" w:pos="0" w:leader="none"/>
        </w:tabs>
        <w:rPr>
          <w:rFonts w:ascii="宋体" w:hAnsi="宋体"/>
          <w:sz w:val="21"/>
        </w:rPr>
      </w:pPr>
      <w:r>
        <w:rPr>
          <w:rFonts w:hint="eastAsia" w:ascii="宋体" w:hAnsi="宋体"/>
          <w:sz w:val="21"/>
        </w:rPr>
        <w:t xml:space="preserve">17、设备标配数据软件接口，具备数据接口及网络安全鉴别等功能，设备配备对功能和患者安全必要的全部安全系统。</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1、超滤系统的超滤速度连续可调，超滤目标可调范围最小可调≤10ml，且最大可调值≥4000ml。</w:t>
      </w:r>
      <w:r/>
    </w:p>
    <w:p>
      <w:pPr>
        <w:ind w:left="0" w:firstLine="420"/>
        <w:spacing w:line="360" w:lineRule="auto"/>
        <w:tabs>
          <w:tab w:val="left" w:pos="0" w:leader="none"/>
        </w:tabs>
        <w:rPr>
          <w:rFonts w:ascii="宋体" w:hAnsi="宋体"/>
          <w:sz w:val="21"/>
        </w:rPr>
      </w:pPr>
      <w:r>
        <w:rPr>
          <w:rFonts w:hint="eastAsia" w:ascii="宋体" w:hAnsi="宋体"/>
          <w:sz w:val="21"/>
        </w:rPr>
        <w:t xml:space="preserve">2、平衡误差及最大平衡误差满足临床需求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3、每台机器配备无创血压脉搏监测功能模块。</w:t>
      </w:r>
      <w:r/>
    </w:p>
    <w:p>
      <w:pPr>
        <w:ind w:left="0" w:firstLine="420"/>
        <w:spacing w:line="360" w:lineRule="auto"/>
        <w:tabs>
          <w:tab w:val="left" w:pos="0" w:leader="none"/>
        </w:tabs>
        <w:rPr>
          <w:rFonts w:ascii="宋体" w:hAnsi="宋体"/>
          <w:sz w:val="21"/>
        </w:rPr>
      </w:pPr>
      <w:r>
        <w:rPr>
          <w:rFonts w:hint="eastAsia" w:ascii="宋体" w:hAnsi="宋体"/>
          <w:sz w:val="21"/>
        </w:rPr>
        <w:t xml:space="preserve">4、设备水路密闭式检测功能满足临床需求。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5、静脉压最小值监测范围≤50mmHg。</w:t>
      </w:r>
      <w:r/>
    </w:p>
    <w:p>
      <w:pPr>
        <w:ind w:left="0" w:firstLine="420"/>
        <w:spacing w:line="360" w:lineRule="auto"/>
        <w:tabs>
          <w:tab w:val="left" w:pos="0" w:leader="none"/>
        </w:tabs>
        <w:rPr>
          <w:rFonts w:ascii="宋体" w:hAnsi="宋体"/>
          <w:sz w:val="21"/>
        </w:rPr>
      </w:pPr>
      <w:r>
        <w:rPr>
          <w:rFonts w:hint="eastAsia" w:ascii="宋体" w:hAnsi="宋体"/>
          <w:sz w:val="21"/>
        </w:rPr>
        <w:t xml:space="preserve">6、透析相关功能符合临床要求</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6" w:name="OLE_LINK31"/>
      <w:r/>
      <w:bookmarkStart w:id="11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6"/>
      <w:r/>
      <w:bookmarkEnd w:id="11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left"/>
        <w:rPr>
          <w:rFonts w:ascii="宋体" w:hAnsi="宋体"/>
          <w:b/>
          <w:sz w:val="21"/>
          <w:szCs w:val="21"/>
        </w:rPr>
      </w:pPr>
      <w:r/>
      <w:bookmarkStart w:id="118" w:name="_Hlk55741158"/>
      <w:r/>
      <w:bookmarkStart w:id="119" w:name="_Toc11789"/>
      <w:r/>
      <w:bookmarkStart w:id="120" w:name="_Toc5111"/>
      <w:r>
        <w:rPr>
          <w:rFonts w:hint="eastAsia" w:ascii="宋体" w:hAnsi="宋体"/>
          <w:b/>
          <w:sz w:val="44"/>
          <w:szCs w:val="22"/>
        </w:rPr>
        <w:br w:type="page" w:clear="all"/>
      </w:r>
      <w:bookmarkStart w:id="121" w:name="_Toc8564"/>
      <w:r/>
      <w:bookmarkStart w:id="122" w:name="_Toc57376410"/>
      <w:r/>
      <w:bookmarkStart w:id="123" w:name="_Toc27667"/>
      <w:r/>
      <w:bookmarkEnd w:id="118"/>
      <w:r/>
      <w:bookmarkEnd w:id="119"/>
      <w:r/>
      <w:bookmarkEnd w:id="120"/>
      <w:r/>
      <w:r/>
    </w:p>
    <w:p>
      <w:pPr>
        <w:pStyle w:val="849"/>
        <w:ind w:left="0" w:firstLine="0"/>
        <w:jc w:val="center"/>
        <w:rPr>
          <w:rFonts w:ascii="宋体" w:hAnsi="宋体"/>
          <w:b/>
          <w:sz w:val="44"/>
          <w:szCs w:val="22"/>
        </w:rPr>
      </w:pPr>
      <w:r/>
      <w:bookmarkStart w:id="124" w:name="_Toc229748375"/>
      <w:r>
        <w:rPr>
          <w:rFonts w:hint="eastAsia" w:ascii="宋体" w:hAnsi="宋体"/>
          <w:b/>
          <w:sz w:val="44"/>
          <w:szCs w:val="22"/>
        </w:rPr>
        <w:t xml:space="preserve">第五章 </w:t>
      </w:r>
      <w:bookmarkStart w:id="125" w:name="合同的特殊条款"/>
      <w:r/>
      <w:bookmarkEnd w:id="125"/>
      <w:r>
        <w:rPr>
          <w:rFonts w:hint="eastAsia" w:ascii="宋体" w:hAnsi="宋体"/>
          <w:b/>
          <w:sz w:val="44"/>
          <w:szCs w:val="22"/>
        </w:rPr>
        <w:t xml:space="preserve">合同及主要条款</w:t>
      </w:r>
      <w:bookmarkEnd w:id="12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江苏省2025年县域医共体设备更新项目（血透机）</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JSZC-320500-JZCG-G2026-0292</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0512-69820921</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w:t>
      </w:r>
      <w:r>
        <w:rPr>
          <w:rFonts w:ascii="宋体" w:hAnsi="宋体"/>
          <w:sz w:val="21"/>
          <w:szCs w:val="21"/>
        </w:rPr>
        <w:t xml:space="preserve">5</w:t>
      </w:r>
      <w:r>
        <w:rPr>
          <w:rFonts w:ascii="宋体" w:hAnsi="宋体"/>
          <w:sz w:val="21"/>
          <w:szCs w:val="21"/>
        </w:rPr>
        <w:t xml:space="preserve">0%，待全部货物到达甲方指定地点，经验收合格30个工作日内，由甲方向乙方按合同总价支付</w:t>
      </w:r>
      <w:r>
        <w:rPr>
          <w:rFonts w:ascii="宋体" w:hAnsi="宋体"/>
          <w:sz w:val="21"/>
          <w:szCs w:val="21"/>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49"/>
        <w:ind w:left="0" w:firstLine="0"/>
        <w:jc w:val="center"/>
        <w:rPr>
          <w:rFonts w:ascii="宋体" w:hAnsi="宋体"/>
          <w:b/>
          <w:sz w:val="44"/>
          <w:szCs w:val="22"/>
        </w:rPr>
      </w:pPr>
      <w:r/>
      <w:bookmarkStart w:id="126" w:name="_Toc229748376"/>
      <w:r>
        <w:rPr>
          <w:rFonts w:hint="eastAsia" w:ascii="宋体" w:hAnsi="宋体"/>
          <w:b/>
          <w:sz w:val="44"/>
          <w:szCs w:val="22"/>
        </w:rPr>
        <w:t xml:space="preserve">第六章 </w:t>
      </w:r>
      <w:bookmarkStart w:id="127" w:name="评分要点"/>
      <w:r/>
      <w:bookmarkEnd w:id="127"/>
      <w:r>
        <w:rPr>
          <w:rFonts w:hint="eastAsia" w:ascii="宋体" w:hAnsi="宋体"/>
          <w:b/>
          <w:sz w:val="44"/>
          <w:szCs w:val="22"/>
        </w:rPr>
        <w:t xml:space="preserve">评标办法和评分标准</w:t>
      </w:r>
      <w:bookmarkEnd w:id="121"/>
      <w:r/>
      <w:bookmarkEnd w:id="122"/>
      <w:r/>
      <w:bookmarkEnd w:id="123"/>
      <w:r/>
      <w:bookmarkEnd w:id="126"/>
      <w:r/>
      <w:r/>
    </w:p>
    <w:p>
      <w:pPr>
        <w:ind w:left="0" w:firstLine="422"/>
        <w:spacing w:line="360" w:lineRule="auto"/>
        <w:rPr>
          <w:rFonts w:ascii="宋体" w:hAnsi="宋体"/>
          <w:b/>
          <w:sz w:val="21"/>
          <w:szCs w:val="21"/>
        </w:rPr>
      </w:pPr>
      <w:r/>
      <w:bookmarkStart w:id="128" w:name="_Toc16264"/>
      <w:r/>
      <w:bookmarkStart w:id="129" w:name="_Toc698"/>
      <w:r/>
      <w:bookmarkStart w:id="130" w:name="_Toc17476"/>
      <w:r>
        <w:rPr>
          <w:rFonts w:hint="eastAsia" w:ascii="宋体" w:hAnsi="宋体"/>
          <w:b/>
          <w:sz w:val="21"/>
          <w:szCs w:val="21"/>
        </w:rPr>
        <w:t xml:space="preserve">一、评标办法：</w:t>
      </w:r>
      <w:bookmarkEnd w:id="128"/>
      <w:r/>
      <w:bookmarkEnd w:id="129"/>
      <w:r/>
      <w:bookmarkEnd w:id="130"/>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bookmarkStart w:id="131" w:name="_GoBack"/>
      <w:r/>
      <w:bookmarkEnd w:id="131"/>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2" w:name="OLE_LINK13"/>
      <w:r/>
      <w:bookmarkStart w:id="133"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2"/>
      <w:r/>
      <w:bookmarkEnd w:id="133"/>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4" w:name="OLE_LINK29"/>
      <w:r/>
      <w:bookmarkStart w:id="135"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6" w:name="OLE_LINK25"/>
      <w:r/>
      <w:bookmarkStart w:id="137" w:name="OLE_LINK17"/>
      <w:r>
        <w:rPr>
          <w:rFonts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w:t>
      </w:r>
      <w:r>
        <w:rPr>
          <w:rFonts w:hint="eastAsia" w:ascii="宋体" w:hAnsi="宋体"/>
          <w:sz w:val="21"/>
          <w:szCs w:val="21"/>
        </w:rPr>
        <w:t xml:space="preserve">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8"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6"/>
      <w:r/>
      <w:bookmarkEnd w:id="137"/>
      <w:r/>
      <w:bookmarkEnd w:id="138"/>
      <w:r/>
      <w:r/>
    </w:p>
    <w:p>
      <w:pPr>
        <w:ind w:left="0" w:firstLine="420"/>
        <w:spacing w:line="360" w:lineRule="auto"/>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4"/>
      <w:r/>
      <w:bookmarkEnd w:id="135"/>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229"/>
        <w:gridCol w:w="6379"/>
        <w:gridCol w:w="1134"/>
      </w:tblGrid>
      <w:tr>
        <w:trPr>
          <w:trHeight w:val="719"/>
        </w:trPr>
        <w:tc>
          <w:tcPr>
            <w:tcW w:w="1178"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评审</w:t>
            </w:r>
            <w:r/>
          </w:p>
          <w:p>
            <w:pPr>
              <w:ind w:left="0"/>
              <w:jc w:val="center"/>
              <w:rPr>
                <w:rFonts w:ascii="宋体" w:hAnsi="宋体" w:cs="Times New Roman"/>
                <w:b/>
                <w:bCs/>
                <w:sz w:val="21"/>
                <w:szCs w:val="22"/>
              </w:rPr>
            </w:pPr>
            <w:r>
              <w:rPr>
                <w:rFonts w:ascii="宋体" w:hAnsi="宋体" w:cs="Times New Roman"/>
                <w:b/>
                <w:bCs/>
                <w:sz w:val="21"/>
                <w:szCs w:val="22"/>
              </w:rPr>
              <w:t xml:space="preserve">类别</w:t>
            </w:r>
            <w:r/>
          </w:p>
        </w:tc>
        <w:tc>
          <w:tcPr>
            <w:tcW w:w="1229"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评审项</w:t>
            </w:r>
            <w:r/>
          </w:p>
        </w:tc>
        <w:tc>
          <w:tcPr>
            <w:tcW w:w="6379"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评审规则</w:t>
            </w:r>
            <w:r/>
          </w:p>
        </w:tc>
        <w:tc>
          <w:tcPr>
            <w:tcW w:w="1134" w:type="dxa"/>
            <w:vAlign w:val="center"/>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ascii="宋体" w:hAnsi="宋体" w:cs="Times New Roman"/>
                <w:b/>
                <w:bCs/>
                <w:sz w:val="21"/>
                <w:szCs w:val="22"/>
              </w:rPr>
              <w:t xml:space="preserve">(3</w:t>
            </w:r>
            <w:r>
              <w:rPr>
                <w:rFonts w:hint="eastAsia" w:ascii="宋体" w:hAnsi="宋体" w:cs="Times New Roman"/>
                <w:b/>
                <w:bCs/>
                <w:sz w:val="21"/>
                <w:szCs w:val="22"/>
              </w:rPr>
              <w:t xml:space="preserve">0</w:t>
            </w:r>
            <w:r>
              <w:rPr>
                <w:rFonts w:ascii="宋体" w:hAnsi="宋体" w:cs="Times New Roman"/>
                <w:b/>
                <w:bCs/>
                <w:sz w:val="21"/>
                <w:szCs w:val="22"/>
              </w:rPr>
              <w:t xml:space="preserve">分)</w:t>
            </w:r>
            <w:r/>
          </w:p>
        </w:tc>
        <w:tc>
          <w:tcPr>
            <w:tcW w:w="122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637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ascii="宋体" w:hAnsi="宋体" w:cs="Times New Roman"/>
                <w:b/>
                <w:bCs/>
                <w:sz w:val="21"/>
                <w:szCs w:val="22"/>
              </w:rPr>
              <w:t xml:space="preserve">(7</w:t>
            </w:r>
            <w:r>
              <w:rPr>
                <w:rFonts w:hint="eastAsia" w:ascii="宋体" w:hAnsi="宋体" w:cs="Times New Roman"/>
                <w:b/>
                <w:bCs/>
                <w:sz w:val="21"/>
                <w:szCs w:val="22"/>
              </w:rPr>
              <w:t xml:space="preserve">0</w:t>
            </w:r>
            <w:r>
              <w:rPr>
                <w:rFonts w:ascii="宋体" w:hAnsi="宋体" w:cs="Times New Roman"/>
                <w:b/>
                <w:bCs/>
                <w:sz w:val="21"/>
                <w:szCs w:val="22"/>
              </w:rPr>
              <w:t xml:space="preserve">分)</w:t>
            </w:r>
            <w:r/>
          </w:p>
        </w:tc>
        <w:tc>
          <w:tcPr>
            <w:tcW w:w="1229"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技术参数符合性</w:t>
            </w:r>
            <w:r/>
          </w:p>
          <w:p>
            <w:pPr>
              <w:ind w:left="0"/>
              <w:jc w:val="center"/>
              <w:rPr>
                <w:rFonts w:ascii="宋体" w:hAnsi="宋体" w:cs="Times New Roman"/>
                <w:b/>
                <w:bCs/>
                <w:sz w:val="21"/>
                <w:szCs w:val="21"/>
              </w:rPr>
            </w:pPr>
            <w:r>
              <w:rPr>
                <w:rFonts w:hint="eastAsia" w:ascii="宋体" w:hAnsi="宋体"/>
                <w:sz w:val="21"/>
                <w:szCs w:val="21"/>
              </w:rPr>
              <w:t xml:space="preserve">比较</w:t>
            </w:r>
            <w:r/>
          </w:p>
        </w:tc>
        <w:tc>
          <w:tcPr>
            <w:tcW w:w="637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hint="eastAsia" w:ascii="宋体" w:hAnsi="宋体"/>
                <w:sz w:val="21"/>
              </w:rPr>
              <w:t xml:space="preserve">1</w:t>
            </w:r>
            <w:r>
              <w:rPr>
                <w:rFonts w:ascii="宋体" w:hAnsi="宋体"/>
                <w:sz w:val="21"/>
              </w:rPr>
              <w:t xml:space="preserve">7</w:t>
            </w:r>
            <w:r>
              <w:rPr>
                <w:rFonts w:hint="eastAsia" w:ascii="宋体" w:hAnsi="宋体"/>
                <w:sz w:val="21"/>
              </w:rPr>
              <w:t xml:space="preserve">条)，若出现负偏离每项扣1分，本项最高得</w:t>
            </w:r>
            <w:r>
              <w:rPr>
                <w:rFonts w:hint="eastAsia" w:ascii="宋体" w:hAnsi="宋体"/>
                <w:sz w:val="21"/>
              </w:rPr>
              <w:t xml:space="preserve">1</w:t>
            </w:r>
            <w:r>
              <w:rPr>
                <w:rFonts w:ascii="宋体" w:hAnsi="宋体"/>
                <w:sz w:val="21"/>
              </w:rPr>
              <w:t xml:space="preserve">7</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w:t>
            </w:r>
            <w:r>
              <w:rPr>
                <w:rFonts w:ascii="宋体" w:hAnsi="宋体"/>
                <w:sz w:val="21"/>
                <w:szCs w:val="21"/>
              </w:rPr>
              <w:t xml:space="preserve">18</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（1）超滤系统的超滤速度连续可调，超滤目标可调范围最小可调≤10ml，且最大可调值≥4000ml。</w:t>
            </w:r>
            <w:r/>
          </w:p>
          <w:p>
            <w:pPr>
              <w:ind w:left="0"/>
              <w:jc w:val="left"/>
              <w:rPr>
                <w:rFonts w:ascii="宋体" w:hAnsi="宋体"/>
                <w:sz w:val="21"/>
                <w:szCs w:val="21"/>
              </w:rPr>
            </w:pPr>
            <w:r>
              <w:rPr>
                <w:rFonts w:hint="eastAsia" w:ascii="宋体" w:hAnsi="宋体"/>
                <w:sz w:val="21"/>
                <w:szCs w:val="21"/>
              </w:rPr>
              <w:t xml:space="preserve">①超滤目标可调范围最小可调≤10ml，且4000ml≤超滤目标可调范围最大可调值＜6000ml，得1分；</w:t>
            </w:r>
            <w:r/>
          </w:p>
          <w:p>
            <w:pPr>
              <w:ind w:left="0"/>
              <w:jc w:val="left"/>
              <w:rPr>
                <w:rFonts w:ascii="宋体" w:hAnsi="宋体"/>
                <w:sz w:val="21"/>
                <w:szCs w:val="21"/>
              </w:rPr>
            </w:pPr>
            <w:r>
              <w:rPr>
                <w:rFonts w:hint="eastAsia" w:ascii="宋体" w:hAnsi="宋体"/>
                <w:sz w:val="21"/>
                <w:szCs w:val="21"/>
              </w:rPr>
              <w:t xml:space="preserve">②超滤目标可调范围最小可调≤10ml，且6000ml≤超滤目标可调范围最大可调值＜8000ml，得2分；</w:t>
            </w:r>
            <w:r/>
          </w:p>
          <w:p>
            <w:pPr>
              <w:ind w:left="0"/>
              <w:jc w:val="left"/>
              <w:rPr>
                <w:rFonts w:ascii="宋体" w:hAnsi="宋体"/>
                <w:sz w:val="21"/>
                <w:szCs w:val="21"/>
              </w:rPr>
            </w:pPr>
            <w:r>
              <w:rPr>
                <w:rFonts w:hint="eastAsia" w:ascii="宋体" w:hAnsi="宋体"/>
                <w:sz w:val="21"/>
                <w:szCs w:val="21"/>
              </w:rPr>
              <w:t xml:space="preserve">③超滤目标可调范围最小可调≤10ml，且超滤目标可调范围最大可调值≥8000ml，得3分；</w:t>
            </w:r>
            <w:r/>
          </w:p>
          <w:p>
            <w:pPr>
              <w:ind w:left="0"/>
              <w:jc w:val="left"/>
              <w:rPr>
                <w:rFonts w:ascii="宋体" w:hAnsi="宋体"/>
                <w:sz w:val="21"/>
                <w:szCs w:val="21"/>
              </w:rPr>
            </w:pPr>
            <w:r>
              <w:rPr>
                <w:rFonts w:hint="eastAsia" w:ascii="宋体" w:hAnsi="宋体"/>
                <w:sz w:val="21"/>
                <w:szCs w:val="21"/>
              </w:rPr>
              <w:t xml:space="preserve">本项最高得3分。</w:t>
            </w:r>
            <w:r/>
          </w:p>
          <w:p>
            <w:pPr>
              <w:ind w:left="0"/>
              <w:jc w:val="left"/>
              <w:rPr>
                <w:rFonts w:ascii="宋体" w:hAnsi="宋体"/>
                <w:sz w:val="21"/>
                <w:szCs w:val="21"/>
              </w:rPr>
            </w:pPr>
            <w:r>
              <w:rPr>
                <w:rFonts w:hint="eastAsia" w:ascii="宋体" w:hAnsi="宋体"/>
                <w:sz w:val="21"/>
                <w:szCs w:val="21"/>
              </w:rPr>
              <w:t xml:space="preserve">（2）平衡误差及最大平衡误差满足临床需求。</w:t>
            </w:r>
            <w:r/>
          </w:p>
          <w:p>
            <w:pPr>
              <w:ind w:left="0"/>
              <w:jc w:val="left"/>
              <w:rPr>
                <w:rFonts w:ascii="宋体" w:hAnsi="宋体"/>
                <w:sz w:val="21"/>
                <w:szCs w:val="21"/>
              </w:rPr>
            </w:pPr>
            <w:r>
              <w:rPr>
                <w:rFonts w:hint="eastAsia" w:ascii="宋体" w:hAnsi="宋体"/>
                <w:sz w:val="21"/>
                <w:szCs w:val="21"/>
              </w:rPr>
              <w:t xml:space="preserve">在治疗过程中，透析液流量的平衡误差≤±30ml/h，最大平衡误差（超滤误差+平衡误差）≤±40ml/h。</w:t>
            </w:r>
            <w:r/>
          </w:p>
          <w:p>
            <w:pPr>
              <w:ind w:left="0"/>
              <w:jc w:val="left"/>
              <w:rPr>
                <w:rFonts w:ascii="宋体" w:hAnsi="宋体"/>
                <w:sz w:val="21"/>
                <w:szCs w:val="21"/>
              </w:rPr>
            </w:pPr>
            <w:r>
              <w:rPr>
                <w:rFonts w:hint="eastAsia" w:ascii="宋体" w:hAnsi="宋体"/>
                <w:sz w:val="21"/>
                <w:szCs w:val="21"/>
              </w:rPr>
              <w:t xml:space="preserve">满足上述要求的，得3分，不满足上述要求的，得0分。本项最高得3分。</w:t>
            </w:r>
            <w:r/>
          </w:p>
          <w:p>
            <w:pPr>
              <w:ind w:left="0"/>
              <w:jc w:val="left"/>
              <w:rPr>
                <w:rFonts w:ascii="宋体" w:hAnsi="宋体"/>
                <w:sz w:val="21"/>
                <w:szCs w:val="21"/>
              </w:rPr>
            </w:pPr>
            <w:r>
              <w:rPr>
                <w:rFonts w:hint="eastAsia" w:ascii="宋体" w:hAnsi="宋体"/>
                <w:sz w:val="21"/>
                <w:szCs w:val="21"/>
              </w:rPr>
              <w:t xml:space="preserve">（3）每台机器配备无创血压脉搏监测功能模块。</w:t>
            </w:r>
            <w:r/>
          </w:p>
          <w:p>
            <w:pPr>
              <w:ind w:left="0"/>
              <w:jc w:val="left"/>
              <w:rPr>
                <w:rFonts w:ascii="宋体" w:hAnsi="宋体"/>
                <w:sz w:val="21"/>
                <w:szCs w:val="21"/>
              </w:rPr>
            </w:pPr>
            <w:r>
              <w:rPr>
                <w:rFonts w:hint="eastAsia" w:ascii="宋体" w:hAnsi="宋体"/>
                <w:sz w:val="21"/>
                <w:szCs w:val="21"/>
              </w:rPr>
              <w:t xml:space="preserve">①配备无创血压脉搏监测功能模块的，得3分；</w:t>
            </w:r>
            <w:r/>
          </w:p>
          <w:p>
            <w:pPr>
              <w:ind w:left="0"/>
              <w:jc w:val="left"/>
              <w:rPr>
                <w:rFonts w:ascii="宋体" w:hAnsi="宋体"/>
                <w:sz w:val="21"/>
                <w:szCs w:val="21"/>
              </w:rPr>
            </w:pPr>
            <w:r>
              <w:rPr>
                <w:rFonts w:hint="eastAsia" w:ascii="宋体" w:hAnsi="宋体"/>
                <w:sz w:val="21"/>
                <w:szCs w:val="21"/>
              </w:rPr>
              <w:t xml:space="preserve">②未配备无创血压脉搏监测功能模块的，得0分。</w:t>
            </w:r>
            <w:r/>
          </w:p>
          <w:p>
            <w:pPr>
              <w:ind w:left="0"/>
              <w:jc w:val="left"/>
              <w:rPr>
                <w:rFonts w:ascii="宋体" w:hAnsi="宋体"/>
                <w:sz w:val="21"/>
                <w:szCs w:val="21"/>
              </w:rPr>
            </w:pPr>
            <w:r>
              <w:rPr>
                <w:rFonts w:hint="eastAsia" w:ascii="宋体" w:hAnsi="宋体"/>
                <w:sz w:val="21"/>
                <w:szCs w:val="21"/>
              </w:rPr>
              <w:t xml:space="preserve">本项最高得3分。</w:t>
            </w:r>
            <w:r/>
          </w:p>
          <w:p>
            <w:pPr>
              <w:ind w:left="0"/>
              <w:jc w:val="left"/>
              <w:rPr>
                <w:rFonts w:ascii="宋体" w:hAnsi="宋体"/>
                <w:sz w:val="21"/>
                <w:szCs w:val="21"/>
              </w:rPr>
            </w:pPr>
            <w:r>
              <w:rPr>
                <w:rFonts w:hint="eastAsia" w:ascii="宋体" w:hAnsi="宋体"/>
                <w:sz w:val="21"/>
                <w:szCs w:val="21"/>
              </w:rPr>
              <w:t xml:space="preserve">（4）设备水路密闭式检测功能。</w:t>
            </w:r>
            <w:r/>
          </w:p>
          <w:p>
            <w:pPr>
              <w:ind w:left="0"/>
              <w:jc w:val="left"/>
              <w:rPr>
                <w:rFonts w:ascii="宋体" w:hAnsi="宋体"/>
                <w:sz w:val="21"/>
                <w:szCs w:val="21"/>
              </w:rPr>
            </w:pPr>
            <w:r>
              <w:rPr>
                <w:rFonts w:hint="eastAsia" w:ascii="宋体" w:hAnsi="宋体"/>
                <w:sz w:val="21"/>
                <w:szCs w:val="21"/>
              </w:rPr>
              <w:t xml:space="preserve">①设备自检过程中具备水路密闭式检测功能，得1分；</w:t>
            </w:r>
            <w:r/>
          </w:p>
          <w:p>
            <w:pPr>
              <w:ind w:left="0"/>
              <w:jc w:val="left"/>
              <w:rPr>
                <w:rFonts w:ascii="宋体" w:hAnsi="宋体"/>
                <w:sz w:val="21"/>
                <w:szCs w:val="21"/>
              </w:rPr>
            </w:pPr>
            <w:r>
              <w:rPr>
                <w:rFonts w:hint="eastAsia" w:ascii="宋体" w:hAnsi="宋体"/>
                <w:sz w:val="21"/>
                <w:szCs w:val="21"/>
              </w:rPr>
              <w:t xml:space="preserve">②设备在治疗过程中具备水路密闭式检测功能，得2分；</w:t>
            </w:r>
            <w:r/>
          </w:p>
          <w:p>
            <w:pPr>
              <w:ind w:left="0"/>
              <w:jc w:val="left"/>
              <w:rPr>
                <w:rFonts w:ascii="宋体" w:hAnsi="宋体"/>
                <w:sz w:val="21"/>
                <w:szCs w:val="21"/>
              </w:rPr>
            </w:pPr>
            <w:r>
              <w:rPr>
                <w:rFonts w:hint="eastAsia" w:ascii="宋体" w:hAnsi="宋体"/>
                <w:sz w:val="21"/>
                <w:szCs w:val="21"/>
              </w:rPr>
              <w:t xml:space="preserve">③设备在自检及治疗过程中可定时自动进行水路密闭式检测，得3分；</w:t>
            </w:r>
            <w:r/>
          </w:p>
          <w:p>
            <w:pPr>
              <w:ind w:left="0"/>
              <w:jc w:val="left"/>
              <w:rPr>
                <w:rFonts w:ascii="宋体" w:hAnsi="宋体"/>
                <w:sz w:val="21"/>
                <w:szCs w:val="21"/>
              </w:rPr>
            </w:pPr>
            <w:r>
              <w:rPr>
                <w:rFonts w:hint="eastAsia" w:ascii="宋体" w:hAnsi="宋体"/>
                <w:sz w:val="21"/>
                <w:szCs w:val="21"/>
              </w:rPr>
              <w:t xml:space="preserve">本项最高得3分。</w:t>
            </w:r>
            <w:r/>
          </w:p>
          <w:p>
            <w:pPr>
              <w:ind w:left="0"/>
              <w:jc w:val="left"/>
              <w:rPr>
                <w:rFonts w:ascii="宋体" w:hAnsi="宋体"/>
                <w:sz w:val="21"/>
                <w:szCs w:val="21"/>
              </w:rPr>
            </w:pPr>
            <w:r>
              <w:rPr>
                <w:rFonts w:hint="eastAsia" w:ascii="宋体" w:hAnsi="宋体"/>
                <w:sz w:val="21"/>
                <w:szCs w:val="21"/>
              </w:rPr>
              <w:t xml:space="preserve">（5）静脉压最小值监测范围。</w:t>
            </w:r>
            <w:r/>
          </w:p>
          <w:p>
            <w:pPr>
              <w:ind w:left="0"/>
              <w:jc w:val="left"/>
              <w:rPr>
                <w:rFonts w:ascii="宋体" w:hAnsi="宋体"/>
                <w:sz w:val="21"/>
                <w:szCs w:val="21"/>
              </w:rPr>
            </w:pPr>
            <w:r>
              <w:rPr>
                <w:rFonts w:hint="eastAsia" w:ascii="宋体" w:hAnsi="宋体"/>
                <w:sz w:val="21"/>
                <w:szCs w:val="21"/>
              </w:rPr>
              <w:t xml:space="preserve">①35mmHg&lt;静脉压最小值监测范围≤50mmHg，得1分；</w:t>
            </w:r>
            <w:r/>
          </w:p>
          <w:p>
            <w:pPr>
              <w:ind w:left="0"/>
              <w:jc w:val="left"/>
              <w:rPr>
                <w:rFonts w:ascii="宋体" w:hAnsi="宋体"/>
                <w:sz w:val="21"/>
                <w:szCs w:val="21"/>
              </w:rPr>
            </w:pPr>
            <w:r>
              <w:rPr>
                <w:rFonts w:hint="eastAsia" w:ascii="宋体" w:hAnsi="宋体"/>
                <w:sz w:val="21"/>
                <w:szCs w:val="21"/>
              </w:rPr>
              <w:t xml:space="preserve">②20mmHg&lt;静脉压最小值监测范围≤35mmHg，得2分；</w:t>
            </w:r>
            <w:r/>
          </w:p>
          <w:p>
            <w:pPr>
              <w:ind w:left="0"/>
              <w:jc w:val="left"/>
              <w:rPr>
                <w:rFonts w:ascii="宋体" w:hAnsi="宋体"/>
                <w:sz w:val="21"/>
                <w:szCs w:val="21"/>
              </w:rPr>
            </w:pPr>
            <w:r>
              <w:rPr>
                <w:rFonts w:hint="eastAsia" w:ascii="宋体" w:hAnsi="宋体"/>
                <w:sz w:val="21"/>
                <w:szCs w:val="21"/>
              </w:rPr>
              <w:t xml:space="preserve">③0&lt;静脉压最小值监测范围≤20mmHg，得3分；</w:t>
            </w:r>
            <w:r/>
          </w:p>
          <w:p>
            <w:pPr>
              <w:ind w:left="0"/>
              <w:jc w:val="left"/>
              <w:rPr>
                <w:rFonts w:ascii="宋体" w:hAnsi="宋体"/>
                <w:sz w:val="21"/>
                <w:szCs w:val="21"/>
              </w:rPr>
            </w:pPr>
            <w:r>
              <w:rPr>
                <w:rFonts w:hint="eastAsia" w:ascii="宋体" w:hAnsi="宋体"/>
                <w:sz w:val="21"/>
                <w:szCs w:val="21"/>
              </w:rPr>
              <w:t xml:space="preserve">本项最高得3分。</w:t>
            </w:r>
            <w:r/>
          </w:p>
          <w:p>
            <w:pPr>
              <w:ind w:left="0"/>
              <w:jc w:val="left"/>
              <w:rPr>
                <w:rFonts w:ascii="宋体" w:hAnsi="宋体"/>
                <w:sz w:val="21"/>
                <w:szCs w:val="21"/>
              </w:rPr>
            </w:pPr>
            <w:r>
              <w:rPr>
                <w:rFonts w:hint="eastAsia" w:ascii="宋体" w:hAnsi="宋体"/>
                <w:sz w:val="21"/>
                <w:szCs w:val="21"/>
              </w:rPr>
              <w:t xml:space="preserve">（6）透析相关功能。</w:t>
            </w:r>
            <w:r/>
          </w:p>
          <w:p>
            <w:pPr>
              <w:ind w:left="0"/>
              <w:jc w:val="left"/>
              <w:rPr>
                <w:rFonts w:ascii="宋体" w:hAnsi="宋体"/>
                <w:sz w:val="21"/>
                <w:szCs w:val="21"/>
              </w:rPr>
            </w:pPr>
            <w:r>
              <w:rPr>
                <w:rFonts w:hint="eastAsia" w:ascii="宋体" w:hAnsi="宋体"/>
                <w:sz w:val="21"/>
                <w:szCs w:val="21"/>
              </w:rPr>
              <w:t xml:space="preserve">①透析液配制为容积式连续配制方式，可使用多种不同透析液配方，透析液流量有300、500ml/min可选。</w:t>
            </w:r>
            <w:r/>
          </w:p>
          <w:p>
            <w:pPr>
              <w:ind w:left="0"/>
              <w:jc w:val="left"/>
              <w:rPr>
                <w:rFonts w:ascii="宋体" w:hAnsi="宋体"/>
                <w:sz w:val="21"/>
                <w:szCs w:val="21"/>
              </w:rPr>
            </w:pPr>
            <w:r>
              <w:rPr>
                <w:rFonts w:hint="eastAsia" w:ascii="宋体" w:hAnsi="宋体"/>
                <w:sz w:val="21"/>
                <w:szCs w:val="21"/>
              </w:rPr>
              <w:t xml:space="preserve">②透析液电导率显示范围在12.0-16.0mS/cm之间，精度≤±0.2mS/cm。</w:t>
            </w:r>
            <w:r/>
          </w:p>
          <w:p>
            <w:pPr>
              <w:ind w:left="0"/>
              <w:jc w:val="left"/>
              <w:rPr>
                <w:rFonts w:ascii="宋体" w:hAnsi="宋体"/>
                <w:sz w:val="21"/>
                <w:szCs w:val="21"/>
              </w:rPr>
            </w:pPr>
            <w:r>
              <w:rPr>
                <w:rFonts w:hint="eastAsia" w:ascii="宋体" w:hAnsi="宋体"/>
                <w:sz w:val="21"/>
                <w:szCs w:val="21"/>
              </w:rPr>
              <w:t xml:space="preserve">③在治疗过程中可持续计算 Kt/V，且相关功能模块无后续耗材损耗成本。</w:t>
            </w:r>
            <w:r/>
          </w:p>
          <w:p>
            <w:pPr>
              <w:ind w:left="0"/>
              <w:jc w:val="left"/>
              <w:rPr>
                <w:rFonts w:ascii="宋体" w:hAnsi="宋体"/>
                <w:sz w:val="21"/>
                <w:szCs w:val="21"/>
              </w:rPr>
            </w:pPr>
            <w:r>
              <w:rPr>
                <w:rFonts w:hint="eastAsia" w:ascii="宋体" w:hAnsi="宋体"/>
                <w:sz w:val="21"/>
                <w:szCs w:val="21"/>
              </w:rPr>
              <w:t xml:space="preserve">上述要求满足一项得1分，满足两项得2分，满足三项得3分。本项最高得3分。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w:t>
            </w:r>
            <w:r>
              <w:rPr>
                <w:rFonts w:hint="eastAsia" w:ascii="宋体" w:hAnsi="宋体"/>
                <w:b/>
                <w:sz w:val="21"/>
              </w:rPr>
              <w:t xml:space="preserve">；</w:t>
            </w:r>
            <w:r>
              <w:rPr>
                <w:rFonts w:hint="eastAsia" w:ascii="宋体" w:hAnsi="宋体"/>
                <w:b/>
                <w:sz w:val="21"/>
              </w:rPr>
              <w:t xml:space="preserve">2.功能官网截图和链接，相关证明材料复印件并加盖投标单位公章</w:t>
            </w:r>
            <w:r>
              <w:rPr>
                <w:rFonts w:hint="eastAsia" w:ascii="宋体" w:hAnsi="宋体"/>
                <w:b/>
                <w:sz w:val="21"/>
              </w:rPr>
              <w:t xml:space="preserve">；</w:t>
            </w:r>
            <w:r>
              <w:rPr>
                <w:rFonts w:hint="eastAsia" w:ascii="宋体" w:hAnsi="宋体"/>
                <w:b/>
                <w:sz w:val="21"/>
              </w:rPr>
              <w:t xml:space="preserve">3.技术参数彩页或药监备案的说明书证明文件复印件并加盖投标单位公章</w:t>
            </w: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其中</w:t>
            </w:r>
            <w:r>
              <w:rPr>
                <w:rFonts w:hint="eastAsia" w:ascii="宋体" w:hAnsi="宋体"/>
                <w:b/>
                <w:sz w:val="21"/>
              </w:rPr>
              <w:t xml:space="preserve">普通参数</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条提供设备铭牌照片</w:t>
            </w:r>
            <w:r>
              <w:rPr>
                <w:rFonts w:hint="eastAsia" w:ascii="宋体" w:hAnsi="宋体"/>
                <w:b/>
                <w:sz w:val="21"/>
              </w:rPr>
              <w:t xml:space="preserve">复印件并加盖投标单位公章</w:t>
            </w:r>
            <w:r>
              <w:rPr>
                <w:rFonts w:hint="eastAsia" w:ascii="宋体" w:hAnsi="宋体"/>
                <w:b/>
                <w:sz w:val="21"/>
              </w:rPr>
              <w:t xml:space="preserve">。</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22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6379"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6379"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6379"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637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2"/>
              </w:rPr>
              <w:t xml:space="preserve">▲综合实力</w:t>
            </w:r>
            <w:r/>
          </w:p>
        </w:tc>
        <w:tc>
          <w:tcPr>
            <w:tcW w:w="637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229" w:type="dxa"/>
            <w:vAlign w:val="center"/>
            <w:textDirection w:val="lrTb"/>
            <w:noWrap w:val="false"/>
          </w:tcPr>
          <w:p>
            <w:pPr>
              <w:ind w:left="0"/>
              <w:jc w:val="center"/>
              <w:rPr>
                <w:rFonts w:ascii="宋体" w:hAnsi="宋体" w:cs="Times New Roman"/>
                <w:bCs/>
                <w:sz w:val="21"/>
                <w:szCs w:val="22"/>
              </w:rPr>
            </w:pPr>
            <w:r>
              <w:rPr>
                <w:rFonts w:ascii="宋体" w:hAnsi="宋体" w:cs="Times New Roman"/>
                <w:sz w:val="21"/>
                <w:szCs w:val="22"/>
              </w:rPr>
              <w:t xml:space="preserve">▲</w:t>
            </w:r>
            <w:r>
              <w:rPr>
                <w:rFonts w:hint="eastAsia" w:ascii="宋体" w:hAnsi="宋体"/>
                <w:bCs/>
                <w:sz w:val="21"/>
                <w:szCs w:val="22"/>
              </w:rPr>
              <w:t xml:space="preserve">类似项目业绩</w:t>
            </w:r>
            <w:r/>
          </w:p>
        </w:tc>
        <w:tc>
          <w:tcPr>
            <w:tcW w:w="637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113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character" w:styleId="34">
    <w:name w:val="Title Char"/>
    <w:basedOn w:val="858"/>
    <w:link w:val="871"/>
    <w:uiPriority w:val="10"/>
    <w:rPr>
      <w:sz w:val="48"/>
      <w:szCs w:val="48"/>
    </w:rPr>
  </w:style>
  <w:style w:type="character" w:styleId="36">
    <w:name w:val="Subtitle Char"/>
    <w:basedOn w:val="858"/>
    <w:link w:val="1043"/>
    <w:uiPriority w:val="11"/>
    <w:rPr>
      <w:sz w:val="24"/>
      <w:szCs w:val="24"/>
    </w:rPr>
  </w:style>
  <w:style w:type="character" w:styleId="38">
    <w:name w:val="Quote Char"/>
    <w:link w:val="1248"/>
    <w:uiPriority w:val="29"/>
    <w:rPr>
      <w:i/>
    </w:rPr>
  </w:style>
  <w:style w:type="character" w:styleId="40">
    <w:name w:val="Intense Quote Char"/>
    <w:link w:val="1374"/>
    <w:uiPriority w:val="30"/>
    <w:rPr>
      <w:i/>
    </w:rPr>
  </w:style>
  <w:style w:type="character" w:styleId="175">
    <w:name w:val="Footnote Text Char"/>
    <w:link w:val="1046"/>
    <w:uiPriority w:val="99"/>
    <w:rPr>
      <w:sz w:val="18"/>
    </w:rPr>
  </w:style>
  <w:style w:type="character" w:styleId="178">
    <w:name w:val="Endnote Text Char"/>
    <w:link w:val="1036"/>
    <w:uiPriority w:val="99"/>
    <w:rPr>
      <w:sz w:val="20"/>
    </w:rPr>
  </w:style>
  <w:style w:type="paragraph" w:styleId="848" w:default="1">
    <w:name w:val="Normal"/>
    <w:next w:val="1009"/>
    <w:qFormat/>
    <w:pPr>
      <w:ind w:left="1024"/>
      <w:jc w:val="both"/>
    </w:pPr>
    <w:rPr>
      <w:rFonts w:ascii="Calibri" w:hAnsi="Calibri"/>
    </w:rPr>
  </w:style>
  <w:style w:type="paragraph" w:styleId="849">
    <w:name w:val="Heading 1"/>
    <w:basedOn w:val="848"/>
    <w:next w:val="848"/>
    <w:link w:val="861"/>
    <w:qFormat/>
    <w:pPr>
      <w:ind w:left="432" w:firstLine="18"/>
      <w:spacing w:before="340" w:after="330" w:line="578" w:lineRule="auto"/>
      <w:outlineLvl w:val="0"/>
    </w:pPr>
  </w:style>
  <w:style w:type="paragraph" w:styleId="850">
    <w:name w:val="Heading 2"/>
    <w:basedOn w:val="848"/>
    <w:next w:val="848"/>
    <w:link w:val="862"/>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1010"/>
    <w:link w:val="863"/>
    <w:qFormat/>
    <w:pPr>
      <w:ind w:left="720"/>
      <w:spacing w:before="260" w:after="260" w:line="416" w:lineRule="auto"/>
      <w:outlineLvl w:val="2"/>
    </w:pPr>
    <w:rPr>
      <w:rFonts w:ascii="Times New Roman" w:hAnsi="Times New Roman" w:cs="Times New Roman"/>
    </w:rPr>
  </w:style>
  <w:style w:type="paragraph" w:styleId="852">
    <w:name w:val="Heading 4"/>
    <w:basedOn w:val="849"/>
    <w:next w:val="848"/>
    <w:link w:val="864"/>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link w:val="865"/>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link w:val="866"/>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link w:val="867"/>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link w:val="86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link w:val="869"/>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字符"/>
    <w:basedOn w:val="858"/>
    <w:link w:val="849"/>
    <w:uiPriority w:val="9"/>
    <w:rPr>
      <w:rFonts w:ascii="Arial" w:hAnsi="Arial" w:eastAsia="Arial" w:cs="Arial"/>
      <w:sz w:val="40"/>
      <w:szCs w:val="40"/>
    </w:rPr>
  </w:style>
  <w:style w:type="character" w:styleId="862" w:customStyle="1">
    <w:name w:val="标题 2 字符"/>
    <w:basedOn w:val="858"/>
    <w:link w:val="850"/>
    <w:uiPriority w:val="9"/>
    <w:rPr>
      <w:rFonts w:ascii="Arial" w:hAnsi="Arial" w:eastAsia="Arial" w:cs="Arial"/>
      <w:sz w:val="34"/>
    </w:rPr>
  </w:style>
  <w:style w:type="character" w:styleId="863" w:customStyle="1">
    <w:name w:val="标题 3 字符"/>
    <w:basedOn w:val="858"/>
    <w:link w:val="851"/>
    <w:uiPriority w:val="9"/>
    <w:rPr>
      <w:rFonts w:ascii="Arial" w:hAnsi="Arial" w:eastAsia="Arial" w:cs="Arial"/>
      <w:sz w:val="30"/>
      <w:szCs w:val="30"/>
    </w:rPr>
  </w:style>
  <w:style w:type="character" w:styleId="864" w:customStyle="1">
    <w:name w:val="标题 4 字符"/>
    <w:basedOn w:val="858"/>
    <w:link w:val="852"/>
    <w:uiPriority w:val="9"/>
    <w:rPr>
      <w:rFonts w:ascii="Arial" w:hAnsi="Arial" w:eastAsia="Arial" w:cs="Arial"/>
      <w:b/>
      <w:bCs/>
      <w:sz w:val="26"/>
      <w:szCs w:val="26"/>
    </w:rPr>
  </w:style>
  <w:style w:type="character" w:styleId="865" w:customStyle="1">
    <w:name w:val="标题 5 字符"/>
    <w:basedOn w:val="858"/>
    <w:link w:val="853"/>
    <w:uiPriority w:val="9"/>
    <w:rPr>
      <w:rFonts w:ascii="Arial" w:hAnsi="Arial" w:eastAsia="Arial" w:cs="Arial"/>
      <w:b/>
      <w:bCs/>
      <w:sz w:val="24"/>
      <w:szCs w:val="24"/>
    </w:rPr>
  </w:style>
  <w:style w:type="character" w:styleId="866" w:customStyle="1">
    <w:name w:val="标题 6 字符"/>
    <w:basedOn w:val="858"/>
    <w:link w:val="854"/>
    <w:uiPriority w:val="9"/>
    <w:rPr>
      <w:rFonts w:ascii="Arial" w:hAnsi="Arial" w:eastAsia="Arial" w:cs="Arial"/>
      <w:b/>
      <w:bCs/>
      <w:sz w:val="22"/>
      <w:szCs w:val="22"/>
    </w:rPr>
  </w:style>
  <w:style w:type="character" w:styleId="867" w:customStyle="1">
    <w:name w:val="标题 7 字符"/>
    <w:basedOn w:val="858"/>
    <w:link w:val="855"/>
    <w:uiPriority w:val="9"/>
    <w:rPr>
      <w:rFonts w:ascii="Arial" w:hAnsi="Arial" w:eastAsia="Arial" w:cs="Arial"/>
      <w:b/>
      <w:bCs/>
      <w:i/>
      <w:iCs/>
      <w:sz w:val="22"/>
      <w:szCs w:val="22"/>
    </w:rPr>
  </w:style>
  <w:style w:type="character" w:styleId="868" w:customStyle="1">
    <w:name w:val="标题 8 字符"/>
    <w:basedOn w:val="858"/>
    <w:link w:val="856"/>
    <w:uiPriority w:val="9"/>
    <w:rPr>
      <w:rFonts w:ascii="Arial" w:hAnsi="Arial" w:eastAsia="Arial" w:cs="Arial"/>
      <w:i/>
      <w:iCs/>
      <w:sz w:val="22"/>
      <w:szCs w:val="22"/>
    </w:rPr>
  </w:style>
  <w:style w:type="character" w:styleId="869" w:customStyle="1">
    <w:name w:val="标题 9 字符"/>
    <w:basedOn w:val="858"/>
    <w:link w:val="857"/>
    <w:uiPriority w:val="9"/>
    <w:rPr>
      <w:rFonts w:ascii="Arial" w:hAnsi="Arial" w:eastAsia="Arial" w:cs="Arial"/>
      <w:i/>
      <w:iCs/>
      <w:sz w:val="21"/>
      <w:szCs w:val="21"/>
    </w:rPr>
  </w:style>
  <w:style w:type="paragraph" w:styleId="870">
    <w:name w:val="No Spacing"/>
    <w:uiPriority w:val="1"/>
    <w:qFormat/>
  </w:style>
  <w:style w:type="paragraph" w:styleId="871">
    <w:name w:val="Title"/>
    <w:basedOn w:val="848"/>
    <w:next w:val="848"/>
    <w:link w:val="872"/>
    <w:uiPriority w:val="10"/>
    <w:qFormat/>
    <w:pPr>
      <w:contextualSpacing/>
      <w:spacing w:before="300" w:after="200"/>
    </w:pPr>
    <w:rPr>
      <w:sz w:val="48"/>
      <w:szCs w:val="48"/>
    </w:rPr>
  </w:style>
  <w:style w:type="character" w:styleId="872" w:customStyle="1">
    <w:name w:val="标题 字符"/>
    <w:basedOn w:val="858"/>
    <w:link w:val="871"/>
    <w:uiPriority w:val="10"/>
    <w:rPr>
      <w:sz w:val="48"/>
      <w:szCs w:val="48"/>
    </w:rPr>
  </w:style>
  <w:style w:type="character" w:styleId="873" w:customStyle="1">
    <w:name w:val="副标题 字符"/>
    <w:basedOn w:val="858"/>
    <w:link w:val="1043"/>
    <w:uiPriority w:val="11"/>
    <w:rPr>
      <w:sz w:val="24"/>
      <w:szCs w:val="24"/>
    </w:rPr>
  </w:style>
  <w:style w:type="character" w:styleId="874" w:customStyle="1">
    <w:name w:val="引用 字符"/>
    <w:link w:val="1248"/>
    <w:uiPriority w:val="29"/>
    <w:rPr>
      <w:i/>
    </w:rPr>
  </w:style>
  <w:style w:type="character" w:styleId="875" w:customStyle="1">
    <w:name w:val="明显引用 字符"/>
    <w:link w:val="1374"/>
    <w:uiPriority w:val="30"/>
    <w:rPr>
      <w:i/>
    </w:rPr>
  </w:style>
  <w:style w:type="character" w:styleId="876" w:customStyle="1">
    <w:name w:val="Header Char"/>
    <w:basedOn w:val="858"/>
    <w:uiPriority w:val="99"/>
  </w:style>
  <w:style w:type="character" w:styleId="877" w:customStyle="1">
    <w:name w:val="Footer Char"/>
    <w:basedOn w:val="858"/>
    <w:uiPriority w:val="99"/>
  </w:style>
  <w:style w:type="character" w:styleId="878" w:customStyle="1">
    <w:name w:val="Caption Char"/>
    <w:uiPriority w:val="99"/>
  </w:style>
  <w:style w:type="table" w:styleId="879" w:customStyle="1">
    <w:name w:val="Table Grid Light"/>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0">
    <w:name w:val="Plain Table 1"/>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8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name w:val="Grid Table 1 Light"/>
    <w:basedOn w:val="8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name w:val="Grid Table 3"/>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8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basedOn w:val="8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basedOn w:val="8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basedOn w:val="8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8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8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name w:val="Grid Table 5 Dark"/>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name w:val="Grid Table 6 Colorful"/>
    <w:basedOn w:val="8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1" w:customStyle="1">
    <w:name w:val="Grid Table 6 Colorful - Accent 1"/>
    <w:basedOn w:val="8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3" w:customStyle="1">
    <w:name w:val="Grid Table 6 Colorful - Accent 3"/>
    <w:basedOn w:val="8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4" w:customStyle="1">
    <w:name w:val="Grid Table 6 Colorful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basedOn w:val="8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basedOn w:val="8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name w:val="Grid Table 7 Colorful"/>
    <w:basedOn w:val="8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8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name w:val="List Table 2"/>
    <w:basedOn w:val="8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basedOn w:val="8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8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basedOn w:val="8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8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8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8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name w:val="List Table 3"/>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name w:val="List Table 4"/>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8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8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8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8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8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8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basedOn w:val="8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basedOn w:val="8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basedOn w:val="8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basedOn w:val="8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basedOn w:val="8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basedOn w:val="8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name w:val="List Table 6 Colorful"/>
    <w:basedOn w:val="8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basedOn w:val="8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1" w:customStyle="1">
    <w:name w:val="List Table 6 Colorful - Accent 2"/>
    <w:basedOn w:val="8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2" w:customStyle="1">
    <w:name w:val="List Table 6 Colorful - Accent 3"/>
    <w:basedOn w:val="8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3" w:customStyle="1">
    <w:name w:val="List Table 6 Colorful - Accent 4"/>
    <w:basedOn w:val="8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basedOn w:val="8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basedOn w:val="8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name w:val="List Table 7 Colorful"/>
    <w:basedOn w:val="8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8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basedOn w:val="8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basedOn w:val="8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basedOn w:val="8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basedOn w:val="8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8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8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8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1046"/>
    <w:uiPriority w:val="99"/>
    <w:rPr>
      <w:sz w:val="18"/>
    </w:rPr>
  </w:style>
  <w:style w:type="character" w:styleId="1005" w:customStyle="1">
    <w:name w:val="尾注文本 字符"/>
    <w:link w:val="1036"/>
    <w:uiPriority w:val="99"/>
    <w:rPr>
      <w:sz w:val="20"/>
    </w:rPr>
  </w:style>
  <w:style w:type="character" w:styleId="1006">
    <w:name w:val="endnote reference"/>
    <w:basedOn w:val="858"/>
    <w:uiPriority w:val="99"/>
    <w:semiHidden/>
    <w:unhideWhenUsed/>
    <w:rPr>
      <w:vertAlign w:val="superscript"/>
    </w:rPr>
  </w:style>
  <w:style w:type="paragraph" w:styleId="1007">
    <w:name w:val="TOC Heading"/>
    <w:uiPriority w:val="39"/>
    <w:unhideWhenUsed/>
  </w:style>
  <w:style w:type="paragraph" w:styleId="1008">
    <w:name w:val="table of figures"/>
    <w:basedOn w:val="848"/>
    <w:next w:val="848"/>
    <w:uiPriority w:val="99"/>
    <w:unhideWhenUsed/>
  </w:style>
  <w:style w:type="paragraph" w:styleId="1009">
    <w:name w:val="Body Text Indent"/>
    <w:basedOn w:val="848"/>
    <w:next w:val="848"/>
    <w:qFormat/>
    <w:pPr>
      <w:ind w:left="420" w:firstLine="1188"/>
      <w:spacing w:line="360" w:lineRule="exact"/>
    </w:pPr>
    <w:rPr>
      <w:rFonts w:ascii="Times New Roman" w:hAnsi="Times New Roman" w:cs="Times New Roman"/>
    </w:rPr>
  </w:style>
  <w:style w:type="paragraph" w:styleId="1010" w:customStyle="1">
    <w:name w:val="正文2"/>
    <w:basedOn w:val="848"/>
    <w:next w:val="848"/>
    <w:qFormat/>
    <w:pPr>
      <w:ind w:left="0" w:hanging="2155"/>
      <w:spacing w:line="360" w:lineRule="auto"/>
      <w:shd w:val="clear" w:color="auto" w:fill="ffffff"/>
    </w:pPr>
    <w:rPr>
      <w:rFonts w:ascii="宋体" w:hAnsi="宋体"/>
    </w:rPr>
  </w:style>
  <w:style w:type="paragraph" w:styleId="1011">
    <w:name w:val="toc 7"/>
    <w:basedOn w:val="849"/>
    <w:next w:val="848"/>
    <w:qFormat/>
    <w:pPr>
      <w:ind w:left="1640" w:firstLine="3784"/>
      <w:spacing w:before="0" w:after="0" w:line="360" w:lineRule="auto"/>
    </w:pPr>
    <w:rPr>
      <w:rFonts w:ascii="Times New Roman" w:hAnsi="Times New Roman" w:cs="Times New Roman"/>
    </w:rPr>
  </w:style>
  <w:style w:type="paragraph" w:styleId="1012">
    <w:name w:val="List Bullet 4"/>
    <w:basedOn w:val="849"/>
    <w:next w:val="1013"/>
    <w:qFormat/>
    <w:pPr>
      <w:ind w:left="1620" w:firstLine="2652"/>
      <w:spacing w:before="0" w:after="0" w:line="360" w:lineRule="auto"/>
    </w:pPr>
    <w:rPr>
      <w:rFonts w:ascii="Times New Roman" w:hAnsi="Times New Roman" w:cs="Times New Roman"/>
    </w:rPr>
  </w:style>
  <w:style w:type="paragraph" w:styleId="1013">
    <w:name w:val="List Bullet 2"/>
    <w:basedOn w:val="849"/>
    <w:next w:val="848"/>
    <w:qFormat/>
    <w:pPr>
      <w:ind w:left="900" w:firstLine="2652"/>
      <w:spacing w:before="0" w:after="0" w:line="360" w:lineRule="auto"/>
    </w:pPr>
    <w:rPr>
      <w:rFonts w:ascii="Times New Roman" w:hAnsi="Times New Roman" w:cs="Times New Roman"/>
    </w:rPr>
  </w:style>
  <w:style w:type="paragraph" w:styleId="1014">
    <w:name w:val="List Number"/>
    <w:basedOn w:val="849"/>
    <w:next w:val="848"/>
    <w:qFormat/>
    <w:pPr>
      <w:ind w:left="454" w:firstLine="2788"/>
      <w:spacing w:before="0" w:after="0" w:line="240" w:lineRule="auto"/>
    </w:pPr>
    <w:rPr>
      <w:rFonts w:ascii="Times New Roman" w:hAnsi="Times New Roman" w:cs="Times New Roman"/>
    </w:rPr>
  </w:style>
  <w:style w:type="paragraph" w:styleId="1015">
    <w:name w:val="Normal Indent"/>
    <w:basedOn w:val="848"/>
    <w:next w:val="848"/>
    <w:link w:val="1065"/>
    <w:qFormat/>
    <w:pPr>
      <w:ind w:left="420" w:firstLine="4772"/>
    </w:pPr>
  </w:style>
  <w:style w:type="paragraph" w:styleId="1016">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1017">
    <w:name w:val="List Bullet"/>
    <w:basedOn w:val="849"/>
    <w:next w:val="848"/>
    <w:qFormat/>
    <w:pPr>
      <w:ind w:left="900" w:firstLine="2652"/>
      <w:spacing w:before="0" w:after="0" w:line="360" w:lineRule="auto"/>
    </w:pPr>
    <w:rPr>
      <w:rFonts w:ascii="Times New Roman" w:hAnsi="Times New Roman" w:cs="Times New Roman"/>
    </w:rPr>
  </w:style>
  <w:style w:type="paragraph" w:styleId="1018">
    <w:name w:val="Document Map"/>
    <w:basedOn w:val="849"/>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848"/>
    <w:qFormat/>
    <w:pPr>
      <w:ind w:firstLine="4608"/>
      <w:spacing w:line="360" w:lineRule="auto"/>
    </w:pPr>
    <w:rPr>
      <w:rFonts w:ascii="Calibri" w:hAnsi="Calibri"/>
    </w:rPr>
  </w:style>
  <w:style w:type="paragraph" w:styleId="1020">
    <w:name w:val="annotation text"/>
    <w:basedOn w:val="849"/>
    <w:next w:val="848"/>
    <w:qFormat/>
    <w:pPr>
      <w:ind w:left="0" w:firstLine="3584"/>
      <w:spacing w:before="0" w:after="0" w:line="360" w:lineRule="auto"/>
    </w:pPr>
    <w:rPr>
      <w:rFonts w:ascii="Times New Roman" w:hAnsi="Times New Roman" w:cs="Times New Roman"/>
    </w:rPr>
  </w:style>
  <w:style w:type="paragraph" w:styleId="1021">
    <w:name w:val="Body Text 3"/>
    <w:basedOn w:val="849"/>
    <w:next w:val="848"/>
    <w:qFormat/>
    <w:pPr>
      <w:ind w:left="0" w:firstLine="2048"/>
      <w:spacing w:before="0" w:after="0" w:line="500" w:lineRule="exact"/>
    </w:pPr>
    <w:rPr>
      <w:rFonts w:ascii="Times New Roman" w:hAnsi="Times New Roman" w:cs="Times New Roman"/>
    </w:rPr>
  </w:style>
  <w:style w:type="paragraph" w:styleId="1022">
    <w:name w:val="List Bullet 3"/>
    <w:basedOn w:val="849"/>
    <w:next w:val="848"/>
    <w:qFormat/>
    <w:pPr>
      <w:ind w:left="900" w:firstLine="2652"/>
      <w:spacing w:before="0" w:after="0" w:line="360" w:lineRule="auto"/>
    </w:pPr>
    <w:rPr>
      <w:rFonts w:ascii="Times New Roman" w:hAnsi="Times New Roman" w:cs="Times New Roman"/>
    </w:rPr>
  </w:style>
  <w:style w:type="paragraph" w:styleId="1023">
    <w:name w:val="Body Text"/>
    <w:basedOn w:val="848"/>
    <w:next w:val="848"/>
    <w:qFormat/>
    <w:pPr>
      <w:ind w:left="0" w:firstLine="2560"/>
    </w:pPr>
    <w:rPr>
      <w:rFonts w:ascii="Times New Roman" w:hAnsi="Times New Roman" w:cs="Times New Roman"/>
    </w:rPr>
  </w:style>
  <w:style w:type="paragraph" w:styleId="1024">
    <w:name w:val="List Number 3"/>
    <w:basedOn w:val="849"/>
    <w:next w:val="848"/>
    <w:qFormat/>
    <w:pPr>
      <w:ind w:left="420" w:firstLine="3584"/>
      <w:spacing w:before="0" w:after="0" w:line="240" w:lineRule="auto"/>
    </w:pPr>
    <w:rPr>
      <w:rFonts w:ascii="Times New Roman" w:hAnsi="Times New Roman" w:cs="Times New Roman"/>
    </w:rPr>
  </w:style>
  <w:style w:type="paragraph" w:styleId="1025">
    <w:name w:val="List 2"/>
    <w:basedOn w:val="849"/>
    <w:next w:val="1011"/>
    <w:qFormat/>
    <w:pPr>
      <w:ind w:left="100" w:firstLine="3640"/>
      <w:spacing w:before="0" w:after="0" w:line="240" w:lineRule="auto"/>
    </w:pPr>
    <w:rPr>
      <w:rFonts w:ascii="Times New Roman" w:hAnsi="Times New Roman" w:cs="Times New Roman"/>
    </w:rPr>
  </w:style>
  <w:style w:type="paragraph" w:styleId="1026">
    <w:name w:val="Block Text"/>
    <w:basedOn w:val="849"/>
    <w:next w:val="848"/>
    <w:qFormat/>
    <w:pPr>
      <w:ind w:left="420" w:right="33" w:firstLine="2560"/>
      <w:spacing w:before="0" w:after="0" w:line="240" w:lineRule="auto"/>
    </w:pPr>
    <w:rPr>
      <w:rFonts w:ascii="Times New Roman" w:hAnsi="Times New Roman" w:cs="Times New Roman"/>
    </w:rPr>
  </w:style>
  <w:style w:type="paragraph" w:styleId="1027">
    <w:name w:val="toc 5"/>
    <w:basedOn w:val="849"/>
    <w:next w:val="848"/>
    <w:qFormat/>
    <w:pPr>
      <w:ind w:left="1160" w:firstLine="3784"/>
      <w:spacing w:before="0" w:after="0" w:line="360" w:lineRule="auto"/>
    </w:pPr>
    <w:rPr>
      <w:rFonts w:ascii="Times New Roman" w:hAnsi="Times New Roman" w:cs="Times New Roman"/>
    </w:rPr>
  </w:style>
  <w:style w:type="paragraph" w:styleId="1028">
    <w:name w:val="toc 3"/>
    <w:basedOn w:val="849"/>
    <w:next w:val="848"/>
    <w:qFormat/>
    <w:pPr>
      <w:ind w:left="0" w:firstLine="1024"/>
      <w:spacing w:before="0" w:after="0" w:line="360" w:lineRule="auto"/>
    </w:pPr>
    <w:rPr>
      <w:rFonts w:ascii="Times New Roman" w:hAnsi="Times New Roman" w:cs="Times New Roman"/>
    </w:rPr>
  </w:style>
  <w:style w:type="paragraph" w:styleId="1029">
    <w:name w:val="Plain Text"/>
    <w:basedOn w:val="849"/>
    <w:next w:val="1030"/>
    <w:qFormat/>
    <w:pPr>
      <w:ind w:left="0" w:firstLine="2048"/>
      <w:spacing w:before="0" w:after="0" w:line="240" w:lineRule="auto"/>
    </w:pPr>
    <w:rPr>
      <w:rFonts w:ascii="Times New Roman" w:hAnsi="Times New Roman" w:cs="Times New Roman"/>
    </w:rPr>
  </w:style>
  <w:style w:type="paragraph" w:styleId="1030">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1031">
    <w:name w:val="List Bullet 5"/>
    <w:basedOn w:val="849"/>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849"/>
    <w:next w:val="848"/>
    <w:qFormat/>
    <w:pPr>
      <w:ind w:left="1880" w:firstLine="3784"/>
      <w:spacing w:before="0" w:after="0" w:line="360" w:lineRule="auto"/>
    </w:pPr>
    <w:rPr>
      <w:rFonts w:ascii="Times New Roman" w:hAnsi="Times New Roman" w:cs="Times New Roman"/>
    </w:rPr>
  </w:style>
  <w:style w:type="paragraph" w:styleId="1034">
    <w:name w:val="Date"/>
    <w:basedOn w:val="849"/>
    <w:next w:val="848"/>
    <w:qFormat/>
    <w:pPr>
      <w:ind w:left="0" w:firstLine="2560"/>
      <w:spacing w:before="0" w:after="0" w:line="240" w:lineRule="auto"/>
    </w:pPr>
    <w:rPr>
      <w:rFonts w:ascii="Times New Roman" w:hAnsi="Times New Roman" w:cs="Times New Roman"/>
    </w:rPr>
  </w:style>
  <w:style w:type="paragraph" w:styleId="1035">
    <w:name w:val="Body Text Indent 2"/>
    <w:basedOn w:val="849"/>
    <w:next w:val="1009"/>
    <w:qFormat/>
    <w:pPr>
      <w:ind w:left="481" w:firstLine="2784"/>
      <w:spacing w:before="0" w:after="0" w:line="400" w:lineRule="exact"/>
    </w:pPr>
    <w:rPr>
      <w:rFonts w:ascii="Times New Roman" w:hAnsi="Times New Roman" w:cs="Times New Roman"/>
    </w:rPr>
  </w:style>
  <w:style w:type="paragraph" w:styleId="1036">
    <w:name w:val="endnote text"/>
    <w:basedOn w:val="849"/>
    <w:next w:val="1037"/>
    <w:link w:val="1005"/>
    <w:qFormat/>
    <w:pPr>
      <w:ind w:left="0" w:firstLine="2560"/>
      <w:spacing w:before="0" w:after="0" w:line="360" w:lineRule="auto"/>
    </w:pPr>
    <w:rPr>
      <w:rFonts w:ascii="Times New Roman" w:hAnsi="Times New Roman" w:cs="Times New Roman"/>
    </w:rPr>
  </w:style>
  <w:style w:type="paragraph" w:styleId="1037" w:customStyle="1">
    <w:name w:val="Char11"/>
    <w:basedOn w:val="849"/>
    <w:next w:val="848"/>
    <w:qFormat/>
    <w:pPr>
      <w:ind w:left="0" w:firstLine="3584"/>
      <w:spacing w:before="0" w:after="0" w:line="240" w:lineRule="auto"/>
    </w:pPr>
    <w:rPr>
      <w:rFonts w:ascii="Times New Roman" w:hAnsi="Times New Roman" w:cs="Times New Roman"/>
    </w:rPr>
  </w:style>
  <w:style w:type="paragraph" w:styleId="1038">
    <w:name w:val="Balloon Text"/>
    <w:basedOn w:val="849"/>
    <w:next w:val="1014"/>
    <w:qFormat/>
    <w:pPr>
      <w:ind w:left="0" w:firstLine="2048"/>
      <w:spacing w:before="0" w:after="0" w:line="240" w:lineRule="auto"/>
    </w:pPr>
    <w:rPr>
      <w:rFonts w:ascii="Times New Roman" w:hAnsi="Times New Roman" w:cs="Times New Roman"/>
    </w:rPr>
  </w:style>
  <w:style w:type="paragraph" w:styleId="1039">
    <w:name w:val="Footer"/>
    <w:basedOn w:val="848"/>
    <w:next w:val="1040"/>
    <w:link w:val="1066"/>
    <w:qFormat/>
    <w:pPr>
      <w:ind w:left="0" w:firstLine="3584"/>
    </w:pPr>
  </w:style>
  <w:style w:type="paragraph" w:styleId="1040"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1041">
    <w:name w:val="Header"/>
    <w:basedOn w:val="849"/>
    <w:next w:val="1034"/>
    <w:link w:val="1067"/>
    <w:qFormat/>
    <w:pPr>
      <w:ind w:left="0" w:firstLine="3584"/>
      <w:jc w:val="center"/>
      <w:spacing w:before="0" w:after="0" w:line="240" w:lineRule="auto"/>
    </w:pPr>
  </w:style>
  <w:style w:type="paragraph" w:styleId="1042">
    <w:name w:val="toc 4"/>
    <w:basedOn w:val="849"/>
    <w:next w:val="848"/>
    <w:qFormat/>
    <w:pPr>
      <w:ind w:left="1260" w:firstLine="1024"/>
      <w:spacing w:before="0" w:after="0" w:line="240" w:lineRule="auto"/>
    </w:pPr>
    <w:rPr>
      <w:rFonts w:ascii="Times New Roman" w:hAnsi="Times New Roman" w:cs="Times New Roman"/>
    </w:rPr>
  </w:style>
  <w:style w:type="paragraph" w:styleId="1043">
    <w:name w:val="Subtitle"/>
    <w:next w:val="848"/>
    <w:link w:val="873"/>
    <w:qFormat/>
    <w:pPr>
      <w:ind w:left="1024"/>
      <w:jc w:val="center"/>
      <w:spacing w:after="60"/>
    </w:pPr>
    <w:rPr>
      <w:rFonts w:ascii="Calibri" w:hAnsi="Calibri"/>
    </w:rPr>
  </w:style>
  <w:style w:type="paragraph" w:styleId="1044">
    <w:name w:val="List"/>
    <w:basedOn w:val="849"/>
    <w:next w:val="1045"/>
    <w:qFormat/>
    <w:pPr>
      <w:ind w:left="200" w:firstLine="3640"/>
      <w:spacing w:before="0" w:after="0" w:line="240" w:lineRule="auto"/>
    </w:pPr>
    <w:rPr>
      <w:rFonts w:ascii="Times New Roman" w:hAnsi="Times New Roman" w:cs="Times New Roman"/>
    </w:rPr>
  </w:style>
  <w:style w:type="paragraph" w:styleId="1045">
    <w:name w:val="Body Text First Indent"/>
    <w:next w:val="848"/>
    <w:qFormat/>
    <w:pPr>
      <w:ind w:left="420" w:firstLine="3748"/>
      <w:spacing w:after="120"/>
    </w:pPr>
    <w:rPr>
      <w:rFonts w:ascii="Calibri" w:hAnsi="Calibri"/>
    </w:rPr>
  </w:style>
  <w:style w:type="paragraph" w:styleId="1046">
    <w:name w:val="footnote text"/>
    <w:basedOn w:val="849"/>
    <w:next w:val="1026"/>
    <w:link w:val="1004"/>
    <w:qFormat/>
    <w:pPr>
      <w:ind w:left="0" w:firstLine="3584"/>
      <w:spacing w:before="0" w:after="0" w:line="360" w:lineRule="auto"/>
    </w:pPr>
    <w:rPr>
      <w:rFonts w:ascii="Times New Roman" w:hAnsi="Times New Roman" w:cs="Times New Roman"/>
    </w:rPr>
  </w:style>
  <w:style w:type="paragraph" w:styleId="1047">
    <w:name w:val="toc 6"/>
    <w:basedOn w:val="849"/>
    <w:next w:val="848"/>
    <w:qFormat/>
    <w:pPr>
      <w:ind w:left="1400" w:firstLine="3784"/>
      <w:spacing w:before="0" w:after="0" w:line="360" w:lineRule="auto"/>
    </w:pPr>
    <w:rPr>
      <w:rFonts w:ascii="Times New Roman" w:hAnsi="Times New Roman" w:cs="Times New Roman"/>
    </w:rPr>
  </w:style>
  <w:style w:type="paragraph" w:styleId="1048">
    <w:name w:val="List 5"/>
    <w:basedOn w:val="849"/>
    <w:next w:val="1023"/>
    <w:qFormat/>
    <w:pPr>
      <w:ind w:left="2100" w:firstLine="3676"/>
      <w:spacing w:before="0" w:after="0" w:line="240" w:lineRule="auto"/>
    </w:pPr>
    <w:rPr>
      <w:rFonts w:ascii="Times New Roman" w:hAnsi="Times New Roman" w:cs="Times New Roman"/>
    </w:rPr>
  </w:style>
  <w:style w:type="paragraph" w:styleId="1049">
    <w:name w:val="Body Text Indent 3"/>
    <w:basedOn w:val="849"/>
    <w:next w:val="1047"/>
    <w:qFormat/>
    <w:pPr>
      <w:ind w:left="480" w:firstLine="2784"/>
      <w:spacing w:before="0" w:after="0" w:line="400" w:lineRule="exact"/>
    </w:pPr>
    <w:rPr>
      <w:rFonts w:ascii="Times New Roman" w:hAnsi="Times New Roman" w:cs="Times New Roman"/>
    </w:rPr>
  </w:style>
  <w:style w:type="paragraph" w:styleId="1050">
    <w:name w:val="toc 2"/>
    <w:basedOn w:val="849"/>
    <w:next w:val="848"/>
    <w:qFormat/>
    <w:pPr>
      <w:ind w:left="0" w:firstLine="1024"/>
      <w:spacing w:before="0" w:after="0" w:line="360" w:lineRule="auto"/>
    </w:pPr>
    <w:rPr>
      <w:rFonts w:ascii="Times New Roman" w:hAnsi="Times New Roman" w:cs="Times New Roman"/>
    </w:rPr>
  </w:style>
  <w:style w:type="paragraph" w:styleId="1051">
    <w:name w:val="toc 9"/>
    <w:basedOn w:val="849"/>
    <w:next w:val="848"/>
    <w:qFormat/>
    <w:pPr>
      <w:ind w:left="2120" w:firstLine="3784"/>
      <w:spacing w:before="0" w:after="0" w:line="360" w:lineRule="auto"/>
    </w:pPr>
    <w:rPr>
      <w:rFonts w:ascii="Times New Roman" w:hAnsi="Times New Roman" w:cs="Times New Roman"/>
    </w:rPr>
  </w:style>
  <w:style w:type="paragraph" w:styleId="1052">
    <w:name w:val="Body Text 2"/>
    <w:basedOn w:val="849"/>
    <w:next w:val="1017"/>
    <w:qFormat/>
    <w:pPr>
      <w:ind w:left="0" w:firstLine="1024"/>
      <w:spacing w:before="0" w:after="120" w:line="480" w:lineRule="auto"/>
    </w:pPr>
    <w:rPr>
      <w:rFonts w:ascii="Times New Roman" w:hAnsi="Times New Roman" w:cs="Times New Roman"/>
    </w:rPr>
  </w:style>
  <w:style w:type="paragraph" w:styleId="1053">
    <w:name w:val="HTML Preformatted"/>
    <w:basedOn w:val="849"/>
    <w:next w:val="1016"/>
    <w:qFormat/>
    <w:pPr>
      <w:ind w:left="0" w:firstLine="2048"/>
      <w:spacing w:before="0" w:after="0" w:line="253" w:lineRule="atLeast"/>
    </w:pPr>
    <w:rPr>
      <w:rFonts w:ascii="Times New Roman" w:hAnsi="Times New Roman" w:cs="Times New Roman"/>
    </w:rPr>
  </w:style>
  <w:style w:type="paragraph" w:styleId="1054">
    <w:name w:val="Normal (Web)"/>
    <w:basedOn w:val="848"/>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849"/>
    <w:next w:val="848"/>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9"/>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5"/>
    <w:next w:val="848"/>
    <w:qFormat/>
    <w:pPr>
      <w:ind w:left="1134" w:firstLine="20"/>
      <w:spacing w:before="280" w:after="280" w:line="360" w:lineRule="auto"/>
      <w:outlineLvl w:val="5"/>
    </w:pPr>
  </w:style>
  <w:style w:type="paragraph" w:styleId="1179" w:customStyle="1">
    <w:name w:val="正文段"/>
    <w:basedOn w:val="849"/>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8"/>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9"/>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9"/>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9"/>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9"/>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9"/>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9"/>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2"/>
    <w:next w:val="1055"/>
    <w:qFormat/>
    <w:pPr>
      <w:ind w:left="200" w:firstLine="18"/>
      <w:spacing w:before="0" w:after="0" w:line="360" w:lineRule="auto"/>
      <w:outlineLvl w:val="2"/>
    </w:pPr>
  </w:style>
  <w:style w:type="paragraph" w:styleId="1193" w:customStyle="1">
    <w:name w:val="xl76"/>
    <w:basedOn w:val="849"/>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9"/>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9"/>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849"/>
    <w:next w:val="1197"/>
    <w:qFormat/>
    <w:pPr>
      <w:ind w:left="0" w:firstLine="3584"/>
      <w:spacing w:before="0" w:after="0" w:line="240" w:lineRule="auto"/>
    </w:pPr>
    <w:rPr>
      <w:rFonts w:ascii="Times New Roman" w:hAnsi="Times New Roman" w:cs="Times New Roman"/>
    </w:rPr>
  </w:style>
  <w:style w:type="paragraph" w:styleId="1197" w:customStyle="1">
    <w:name w:val="xl69"/>
    <w:basedOn w:val="849"/>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9"/>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9"/>
    <w:next w:val="1194"/>
    <w:qFormat/>
    <w:pPr>
      <w:ind w:left="0" w:firstLine="2560"/>
      <w:spacing w:before="0" w:after="0" w:line="360" w:lineRule="auto"/>
    </w:pPr>
    <w:rPr>
      <w:rFonts w:ascii="Times New Roman" w:hAnsi="Times New Roman" w:cs="Times New Roman"/>
    </w:rPr>
  </w:style>
  <w:style w:type="paragraph" w:styleId="1200" w:customStyle="1">
    <w:name w:val="xl68"/>
    <w:basedOn w:val="849"/>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9"/>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9"/>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9"/>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9"/>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9"/>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854"/>
    <w:next w:val="848"/>
    <w:qFormat/>
    <w:pPr>
      <w:ind w:left="992" w:firstLine="18"/>
      <w:spacing w:before="280" w:after="280" w:line="360" w:lineRule="auto"/>
      <w:outlineLvl w:val="4"/>
    </w:pPr>
  </w:style>
  <w:style w:type="paragraph" w:styleId="1207" w:customStyle="1">
    <w:name w:val="样式 加粗 居中"/>
    <w:basedOn w:val="849"/>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9"/>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9"/>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849"/>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9"/>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9"/>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9"/>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9"/>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9"/>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9"/>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9"/>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9"/>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9"/>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849"/>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51"/>
    <w:next w:val="1229"/>
    <w:qFormat/>
    <w:pPr>
      <w:ind w:left="0" w:firstLine="24"/>
      <w:jc w:val="center"/>
      <w:spacing w:before="0" w:after="0" w:line="360" w:lineRule="auto"/>
      <w:outlineLvl w:val="1"/>
    </w:pPr>
  </w:style>
  <w:style w:type="paragraph" w:styleId="1229" w:customStyle="1">
    <w:name w:val="应答文本"/>
    <w:basedOn w:val="849"/>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8"/>
    <w:qFormat/>
    <w:pPr>
      <w:ind w:firstLine="480"/>
    </w:pPr>
    <w:rPr>
      <w:rFonts w:ascii="Times New Roman" w:hAnsi="Times New Roman" w:cs="Times New Roman"/>
      <w:lang w:val="zh-CN"/>
    </w:rPr>
  </w:style>
  <w:style w:type="paragraph" w:styleId="1232" w:customStyle="1">
    <w:name w:val="font9"/>
    <w:basedOn w:val="849"/>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2"/>
    <w:next w:val="1234"/>
    <w:qFormat/>
    <w:pPr>
      <w:ind w:left="0"/>
      <w:spacing w:before="0" w:after="0" w:line="400" w:lineRule="exact"/>
      <w:outlineLvl w:val="2"/>
    </w:pPr>
  </w:style>
  <w:style w:type="paragraph" w:styleId="1234" w:customStyle="1">
    <w:name w:val="标书正文"/>
    <w:basedOn w:val="849"/>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9"/>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238" w:customStyle="1">
    <w:name w:val="xl90"/>
    <w:basedOn w:val="849"/>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50"/>
    <w:next w:val="1219"/>
    <w:qFormat/>
    <w:pPr>
      <w:ind w:left="0" w:firstLine="18"/>
      <w:jc w:val="center"/>
      <w:spacing w:before="0" w:after="0" w:line="240" w:lineRule="auto"/>
      <w:outlineLvl w:val="0"/>
    </w:pPr>
  </w:style>
  <w:style w:type="paragraph" w:styleId="1241"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8"/>
    <w:next w:val="848"/>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9"/>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9"/>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9"/>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9"/>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248">
    <w:name w:val="Quote"/>
    <w:next w:val="848"/>
    <w:link w:val="874"/>
    <w:qFormat/>
    <w:pPr>
      <w:ind w:left="3680" w:right="864"/>
      <w:jc w:val="center"/>
      <w:spacing w:before="200" w:after="160"/>
    </w:pPr>
    <w:rPr>
      <w:rFonts w:ascii="Calibri" w:hAnsi="Calibri"/>
      <w:i/>
    </w:rPr>
  </w:style>
  <w:style w:type="paragraph" w:styleId="1249" w:customStyle="1">
    <w:name w:val="Default Paragraph Font Para Char Char Char Char Char Char"/>
    <w:basedOn w:val="849"/>
    <w:next w:val="1250"/>
    <w:qFormat/>
    <w:pPr>
      <w:ind w:left="0" w:firstLine="3584"/>
      <w:spacing w:before="0" w:after="160" w:line="240" w:lineRule="exact"/>
    </w:pPr>
    <w:rPr>
      <w:rFonts w:ascii="Times New Roman" w:hAnsi="Times New Roman" w:cs="Times New Roman"/>
    </w:rPr>
  </w:style>
  <w:style w:type="paragraph" w:styleId="1250" w:customStyle="1">
    <w:name w:val="xl23"/>
    <w:basedOn w:val="849"/>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849"/>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851"/>
    <w:next w:val="1253"/>
    <w:qFormat/>
    <w:pPr>
      <w:ind w:left="0" w:firstLine="24"/>
      <w:jc w:val="center"/>
      <w:spacing w:line="412" w:lineRule="auto"/>
      <w:outlineLvl w:val="1"/>
    </w:pPr>
  </w:style>
  <w:style w:type="paragraph" w:styleId="1253" w:customStyle="1">
    <w:name w:val="页脚 Char Char"/>
    <w:basedOn w:val="849"/>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850"/>
    <w:next w:val="1255"/>
    <w:qFormat/>
    <w:pPr>
      <w:ind w:left="0" w:firstLine="18"/>
      <w:jc w:val="center"/>
      <w:spacing w:before="120" w:after="0" w:line="360" w:lineRule="auto"/>
      <w:outlineLvl w:val="0"/>
    </w:pPr>
  </w:style>
  <w:style w:type="paragraph" w:styleId="1255" w:customStyle="1">
    <w:name w:val="Char1 Char Char Char Char Char Char"/>
    <w:basedOn w:val="849"/>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853"/>
    <w:next w:val="848"/>
    <w:qFormat/>
    <w:pPr>
      <w:ind w:left="851" w:firstLine="30"/>
      <w:spacing w:after="280" w:line="360" w:lineRule="auto"/>
      <w:outlineLvl w:val="3"/>
    </w:pPr>
  </w:style>
  <w:style w:type="paragraph" w:styleId="1257" w:customStyle="1">
    <w:name w:val="font0"/>
    <w:basedOn w:val="849"/>
    <w:next w:val="1232"/>
    <w:qFormat/>
    <w:pPr>
      <w:ind w:left="0" w:firstLine="1024"/>
      <w:spacing w:before="280" w:after="280" w:line="240" w:lineRule="auto"/>
    </w:pPr>
    <w:rPr>
      <w:rFonts w:ascii="Times New Roman" w:hAnsi="Times New Roman" w:cs="Times New Roman"/>
    </w:rPr>
  </w:style>
  <w:style w:type="paragraph" w:styleId="1258" w:customStyle="1">
    <w:name w:val="CM5"/>
    <w:basedOn w:val="849"/>
    <w:next w:val="848"/>
    <w:qFormat/>
    <w:pPr>
      <w:ind w:left="200" w:firstLine="2760"/>
      <w:spacing w:before="0" w:after="0" w:line="400" w:lineRule="atLeast"/>
    </w:pPr>
    <w:rPr>
      <w:rFonts w:ascii="Times New Roman" w:hAnsi="Times New Roman" w:cs="Times New Roman"/>
    </w:rPr>
  </w:style>
  <w:style w:type="paragraph" w:styleId="1259" w:customStyle="1">
    <w:name w:val="Pa0"/>
    <w:basedOn w:val="849"/>
    <w:next w:val="848"/>
    <w:qFormat/>
    <w:pPr>
      <w:ind w:left="0" w:firstLine="4608"/>
      <w:spacing w:before="0" w:after="0" w:line="241" w:lineRule="atLeast"/>
    </w:pPr>
    <w:rPr>
      <w:rFonts w:ascii="Times New Roman" w:hAnsi="Times New Roman" w:cs="Times New Roman"/>
    </w:rPr>
  </w:style>
  <w:style w:type="paragraph" w:styleId="1260" w:customStyle="1">
    <w:name w:val="招标文件》"/>
    <w:basedOn w:val="849"/>
    <w:next w:val="1196"/>
    <w:qFormat/>
    <w:pPr>
      <w:ind w:left="420" w:firstLine="2140"/>
      <w:spacing w:before="120" w:after="120" w:line="300" w:lineRule="auto"/>
    </w:pPr>
    <w:rPr>
      <w:rFonts w:ascii="Times New Roman" w:hAnsi="Times New Roman" w:cs="Times New Roman"/>
    </w:rPr>
  </w:style>
  <w:style w:type="paragraph" w:styleId="1261" w:customStyle="1">
    <w:name w:val="段"/>
    <w:next w:val="848"/>
    <w:qFormat/>
    <w:pPr>
      <w:ind w:firstLine="200"/>
      <w:jc w:val="both"/>
      <w:spacing w:line="360" w:lineRule="auto"/>
    </w:pPr>
    <w:rPr>
      <w:sz w:val="24"/>
      <w:szCs w:val="22"/>
    </w:rPr>
  </w:style>
  <w:style w:type="paragraph" w:styleId="1262" w:customStyle="1">
    <w:name w:val="标书_正文"/>
    <w:basedOn w:val="849"/>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851"/>
    <w:next w:val="1211"/>
    <w:qFormat/>
    <w:pPr>
      <w:ind w:left="0" w:firstLine="24"/>
      <w:spacing w:before="100" w:after="0" w:line="400" w:lineRule="exact"/>
      <w:outlineLvl w:val="1"/>
    </w:pPr>
  </w:style>
  <w:style w:type="paragraph" w:styleId="1264" w:customStyle="1">
    <w:name w:val="图片0"/>
    <w:basedOn w:val="849"/>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849"/>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849"/>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849"/>
    <w:next w:val="1269"/>
    <w:qFormat/>
    <w:pPr>
      <w:ind w:left="0" w:firstLine="2560"/>
      <w:spacing w:before="0" w:after="0" w:line="240" w:lineRule="auto"/>
    </w:pPr>
    <w:rPr>
      <w:rFonts w:ascii="Times New Roman" w:hAnsi="Times New Roman" w:cs="Times New Roman"/>
    </w:rPr>
  </w:style>
  <w:style w:type="paragraph" w:styleId="1269"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270" w:customStyle="1">
    <w:name w:val="文档结构图1"/>
    <w:basedOn w:val="849"/>
    <w:next w:val="1271"/>
    <w:qFormat/>
    <w:pPr>
      <w:ind w:left="200" w:firstLine="2248"/>
      <w:spacing w:before="0" w:after="0" w:line="360" w:lineRule="auto"/>
    </w:pPr>
    <w:rPr>
      <w:rFonts w:ascii="Times New Roman" w:hAnsi="Times New Roman" w:cs="Times New Roman"/>
    </w:rPr>
  </w:style>
  <w:style w:type="paragraph" w:styleId="1271" w:customStyle="1">
    <w:name w:val="2ji"/>
    <w:basedOn w:val="851"/>
    <w:next w:val="1039"/>
    <w:qFormat/>
    <w:pPr>
      <w:ind w:left="0" w:firstLine="24"/>
      <w:spacing w:before="0" w:after="0" w:line="360" w:lineRule="auto"/>
      <w:outlineLvl w:val="1"/>
    </w:pPr>
  </w:style>
  <w:style w:type="paragraph" w:styleId="1272" w:customStyle="1">
    <w:name w:val="xl91"/>
    <w:basedOn w:val="849"/>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849"/>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849"/>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852"/>
    <w:next w:val="1277"/>
    <w:qFormat/>
    <w:pPr>
      <w:ind w:left="1429" w:firstLine="18"/>
      <w:spacing w:before="100" w:after="100" w:line="360" w:lineRule="auto"/>
      <w:outlineLvl w:val="2"/>
    </w:pPr>
  </w:style>
  <w:style w:type="paragraph" w:styleId="1277" w:customStyle="1">
    <w:name w:val="xl22"/>
    <w:basedOn w:val="849"/>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849"/>
    <w:next w:val="848"/>
    <w:qFormat/>
    <w:pPr>
      <w:ind w:left="0"/>
      <w:spacing w:before="0" w:after="0" w:line="360" w:lineRule="auto"/>
    </w:pPr>
    <w:rPr>
      <w:rFonts w:ascii="Times New Roman" w:hAnsi="Times New Roman" w:cs="Times New Roman"/>
    </w:rPr>
  </w:style>
  <w:style w:type="paragraph" w:styleId="1279" w:customStyle="1">
    <w:name w:val="xl78"/>
    <w:basedOn w:val="849"/>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848"/>
    <w:qFormat/>
    <w:pPr>
      <w:ind w:left="2560"/>
    </w:pPr>
    <w:rPr>
      <w:rFonts w:ascii="Calibri" w:hAnsi="Calibri"/>
    </w:rPr>
  </w:style>
  <w:style w:type="paragraph" w:styleId="1282" w:customStyle="1">
    <w:name w:val="样式 小四 行距: 1.5 倍行距 首行缩进:  2 字符"/>
    <w:basedOn w:val="849"/>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284"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849"/>
    <w:next w:val="1286"/>
    <w:qFormat/>
    <w:pPr>
      <w:ind w:left="0" w:firstLine="3584"/>
      <w:spacing w:before="0" w:after="0" w:line="240" w:lineRule="auto"/>
    </w:pPr>
    <w:rPr>
      <w:rFonts w:ascii="Times New Roman" w:hAnsi="Times New Roman" w:cs="Times New Roman"/>
    </w:rPr>
  </w:style>
  <w:style w:type="paragraph" w:styleId="1286" w:customStyle="1">
    <w:name w:val="Char"/>
    <w:basedOn w:val="849"/>
    <w:next w:val="1265"/>
    <w:qFormat/>
    <w:pPr>
      <w:ind w:left="900" w:firstLine="2608"/>
      <w:spacing w:before="0" w:after="0" w:line="240" w:lineRule="auto"/>
    </w:pPr>
    <w:rPr>
      <w:rFonts w:ascii="Times New Roman" w:hAnsi="Times New Roman" w:cs="Times New Roman"/>
    </w:rPr>
  </w:style>
  <w:style w:type="paragraph" w:styleId="1287" w:customStyle="1">
    <w:name w:val="xl86"/>
    <w:basedOn w:val="849"/>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849"/>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849"/>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849"/>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849"/>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296" w:customStyle="1">
    <w:name w:val="p15"/>
    <w:basedOn w:val="848"/>
    <w:qFormat/>
    <w:pPr>
      <w:ind w:left="0"/>
    </w:pPr>
    <w:rPr>
      <w:rFonts w:ascii="宋体" w:hAnsi="宋体"/>
      <w:sz w:val="28"/>
      <w:szCs w:val="28"/>
    </w:rPr>
  </w:style>
  <w:style w:type="paragraph" w:styleId="1297" w:customStyle="1">
    <w:name w:val="四号 居中"/>
    <w:basedOn w:val="849"/>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848"/>
    <w:qFormat/>
    <w:pPr>
      <w:ind w:firstLine="2048"/>
      <w:spacing w:line="360" w:lineRule="auto"/>
    </w:pPr>
    <w:rPr>
      <w:rFonts w:ascii="Calibri" w:hAnsi="Calibri"/>
    </w:rPr>
  </w:style>
  <w:style w:type="paragraph" w:styleId="1299" w:customStyle="1">
    <w:name w:val="列表编号 21"/>
    <w:basedOn w:val="849"/>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849"/>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849"/>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849"/>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849"/>
    <w:next w:val="1304"/>
    <w:qFormat/>
    <w:pPr>
      <w:ind w:left="0" w:firstLine="2560"/>
      <w:spacing w:before="0" w:after="0" w:line="240" w:lineRule="auto"/>
    </w:pPr>
    <w:rPr>
      <w:rFonts w:ascii="Times New Roman" w:hAnsi="Times New Roman" w:cs="Times New Roman"/>
    </w:rPr>
  </w:style>
  <w:style w:type="paragraph" w:styleId="1304" w:customStyle="1">
    <w:name w:val="xl87"/>
    <w:basedOn w:val="849"/>
    <w:next w:val="1260"/>
    <w:qFormat/>
    <w:pPr>
      <w:ind w:left="0" w:firstLine="5120"/>
      <w:spacing w:before="280" w:after="280" w:line="240" w:lineRule="auto"/>
    </w:pPr>
    <w:rPr>
      <w:rFonts w:ascii="Times New Roman" w:hAnsi="Times New Roman" w:cs="Times New Roman"/>
    </w:rPr>
  </w:style>
  <w:style w:type="paragraph" w:styleId="1305" w:customStyle="1">
    <w:name w:val="444"/>
    <w:basedOn w:val="849"/>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849"/>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849"/>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849"/>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849"/>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313" w:customStyle="1">
    <w:name w:val="xl79"/>
    <w:basedOn w:val="849"/>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849"/>
    <w:next w:val="1282"/>
    <w:qFormat/>
    <w:pPr>
      <w:ind w:left="600" w:firstLine="5212"/>
      <w:spacing w:before="0" w:after="0" w:line="360" w:lineRule="auto"/>
    </w:pPr>
    <w:rPr>
      <w:rFonts w:ascii="Times New Roman" w:hAnsi="Times New Roman" w:cs="Times New Roman"/>
    </w:rPr>
  </w:style>
  <w:style w:type="paragraph" w:styleId="1316" w:customStyle="1">
    <w:name w:val="xl75"/>
    <w:basedOn w:val="849"/>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849"/>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849"/>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849"/>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849"/>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853"/>
    <w:next w:val="1322"/>
    <w:qFormat/>
    <w:pPr>
      <w:ind w:left="426" w:firstLine="24"/>
      <w:spacing w:before="0" w:after="0" w:line="360" w:lineRule="auto"/>
      <w:outlineLvl w:val="3"/>
    </w:pPr>
  </w:style>
  <w:style w:type="paragraph" w:styleId="1322" w:customStyle="1">
    <w:name w:val="xl82"/>
    <w:basedOn w:val="849"/>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849"/>
    <w:next w:val="1325"/>
    <w:qFormat/>
    <w:pPr>
      <w:ind w:left="0" w:firstLine="2560"/>
      <w:spacing w:before="0" w:after="0" w:line="240" w:lineRule="auto"/>
    </w:pPr>
    <w:rPr>
      <w:rFonts w:ascii="Times New Roman" w:hAnsi="Times New Roman" w:cs="Times New Roman"/>
    </w:rPr>
  </w:style>
  <w:style w:type="paragraph" w:styleId="1325" w:customStyle="1">
    <w:name w:val="样式1"/>
    <w:basedOn w:val="849"/>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849"/>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849"/>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849"/>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849"/>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849"/>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848"/>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849"/>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849"/>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850"/>
    <w:next w:val="1340"/>
    <w:qFormat/>
    <w:pPr>
      <w:ind w:left="432" w:firstLine="18"/>
      <w:spacing w:before="40" w:after="40" w:line="360" w:lineRule="auto"/>
      <w:outlineLvl w:val="0"/>
    </w:pPr>
  </w:style>
  <w:style w:type="paragraph" w:styleId="1340" w:customStyle="1">
    <w:name w:val="表格用"/>
    <w:basedOn w:val="849"/>
    <w:next w:val="1297"/>
    <w:qFormat/>
    <w:pPr>
      <w:ind w:left="0" w:firstLine="1024"/>
      <w:spacing w:before="0" w:after="0" w:line="360" w:lineRule="auto"/>
    </w:pPr>
    <w:rPr>
      <w:rFonts w:ascii="Times New Roman" w:hAnsi="Times New Roman" w:cs="Times New Roman"/>
    </w:rPr>
  </w:style>
  <w:style w:type="paragraph" w:styleId="1341" w:customStyle="1">
    <w:name w:val="xl71"/>
    <w:basedOn w:val="849"/>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849"/>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849"/>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849"/>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849"/>
    <w:next w:val="1295"/>
    <w:qFormat/>
    <w:pPr>
      <w:ind w:left="0" w:firstLine="2560"/>
      <w:spacing w:before="0" w:after="0" w:line="240" w:lineRule="auto"/>
    </w:pPr>
    <w:rPr>
      <w:rFonts w:ascii="Times New Roman" w:hAnsi="Times New Roman" w:cs="Times New Roman"/>
    </w:rPr>
  </w:style>
  <w:style w:type="paragraph" w:styleId="1347" w:customStyle="1">
    <w:name w:val="样式"/>
    <w:next w:val="848"/>
    <w:qFormat/>
    <w:pPr>
      <w:ind w:firstLine="3584"/>
      <w:widowControl w:val="off"/>
    </w:pPr>
    <w:rPr>
      <w:rFonts w:ascii="Calibri" w:hAnsi="Calibri"/>
    </w:rPr>
  </w:style>
  <w:style w:type="paragraph" w:styleId="1348" w:customStyle="1">
    <w:name w:val="TOC 标题1"/>
    <w:basedOn w:val="850"/>
    <w:next w:val="848"/>
    <w:qFormat/>
    <w:pPr>
      <w:ind w:left="0" w:firstLine="6144"/>
      <w:spacing w:before="480" w:after="0" w:line="276" w:lineRule="auto"/>
    </w:pPr>
    <w:rPr>
      <w:b/>
      <w:sz w:val="30"/>
    </w:rPr>
  </w:style>
  <w:style w:type="paragraph" w:styleId="1349" w:customStyle="1">
    <w:name w:val="纯文本3"/>
    <w:basedOn w:val="848"/>
    <w:qFormat/>
    <w:rPr>
      <w:rFonts w:ascii="宋体" w:hAnsi="Courier New" w:cs="Times New Roman"/>
    </w:rPr>
  </w:style>
  <w:style w:type="paragraph" w:styleId="1350" w:customStyle="1">
    <w:name w:val="afont"/>
    <w:basedOn w:val="849"/>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849"/>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849"/>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849"/>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848"/>
    <w:qFormat/>
    <w:pPr>
      <w:ind w:left="0"/>
      <w:jc w:val="left"/>
    </w:pPr>
    <w:rPr>
      <w:rFonts w:ascii="宋体" w:hAnsi="宋体" w:eastAsia="楷体_GB2312" w:cs="Courier New"/>
      <w:sz w:val="26"/>
      <w:lang w:val="zh-CN"/>
    </w:rPr>
  </w:style>
  <w:style w:type="paragraph" w:styleId="1356" w:customStyle="1">
    <w:name w:val="样式 加粗 居中2"/>
    <w:basedOn w:val="849"/>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849"/>
    <w:next w:val="1311"/>
    <w:qFormat/>
    <w:pPr>
      <w:ind w:left="480" w:firstLine="2784"/>
      <w:spacing w:before="0" w:after="0" w:line="360" w:lineRule="auto"/>
    </w:pPr>
    <w:rPr>
      <w:rFonts w:ascii="Times New Roman" w:hAnsi="Times New Roman" w:cs="Times New Roman"/>
    </w:rPr>
  </w:style>
  <w:style w:type="paragraph" w:styleId="1358" w:customStyle="1">
    <w:name w:val="font5"/>
    <w:basedOn w:val="849"/>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849"/>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849"/>
    <w:next w:val="1361"/>
    <w:qFormat/>
    <w:pPr>
      <w:ind w:left="0" w:firstLine="2560"/>
      <w:spacing w:before="0" w:after="0" w:line="240" w:lineRule="auto"/>
    </w:pPr>
    <w:rPr>
      <w:rFonts w:ascii="Times New Roman" w:hAnsi="Times New Roman" w:cs="Times New Roman"/>
    </w:rPr>
  </w:style>
  <w:style w:type="paragraph" w:styleId="1361" w:customStyle="1">
    <w:name w:val="1正文"/>
    <w:basedOn w:val="849"/>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363"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364" w:customStyle="1">
    <w:name w:val="xl63"/>
    <w:basedOn w:val="849"/>
    <w:next w:val="1314"/>
    <w:qFormat/>
    <w:pPr>
      <w:ind w:left="0" w:firstLine="5120"/>
      <w:spacing w:before="280" w:after="280" w:line="240" w:lineRule="auto"/>
    </w:pPr>
    <w:rPr>
      <w:rFonts w:ascii="Times New Roman" w:hAnsi="Times New Roman" w:cs="Times New Roman"/>
    </w:rPr>
  </w:style>
  <w:style w:type="paragraph" w:styleId="1365">
    <w:name w:val="List Paragraph"/>
    <w:basedOn w:val="848"/>
    <w:next w:val="1272"/>
    <w:qFormat/>
    <w:pPr>
      <w:ind w:left="420" w:firstLine="3748"/>
    </w:pPr>
    <w:rPr>
      <w:rFonts w:ascii="Times New Roman" w:hAnsi="Times New Roman" w:cs="Times New Roman"/>
    </w:rPr>
  </w:style>
  <w:style w:type="paragraph" w:styleId="1366" w:customStyle="1">
    <w:name w:val="xl73"/>
    <w:basedOn w:val="849"/>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849"/>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854"/>
    <w:next w:val="1369"/>
    <w:qFormat/>
    <w:pPr>
      <w:ind w:left="1134" w:firstLine="18"/>
      <w:spacing w:before="0" w:after="0" w:line="360" w:lineRule="auto"/>
      <w:outlineLvl w:val="4"/>
    </w:pPr>
  </w:style>
  <w:style w:type="paragraph" w:styleId="1369"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370"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849"/>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849"/>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849"/>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848"/>
    <w:link w:val="875"/>
    <w:qFormat/>
    <w:pPr>
      <w:ind w:left="3766" w:right="950"/>
      <w:jc w:val="center"/>
      <w:spacing w:before="360" w:after="360"/>
    </w:pPr>
    <w:rPr>
      <w:rFonts w:ascii="Calibri" w:hAnsi="Calibri"/>
      <w:i/>
    </w:rPr>
  </w:style>
  <w:style w:type="paragraph" w:styleId="1375"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849"/>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849"/>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849"/>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849"/>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849"/>
    <w:next w:val="1387"/>
    <w:qFormat/>
    <w:pPr>
      <w:ind w:left="0" w:firstLine="2560"/>
      <w:spacing w:before="0" w:after="0" w:line="240" w:lineRule="auto"/>
    </w:pPr>
    <w:rPr>
      <w:rFonts w:ascii="Times New Roman" w:hAnsi="Times New Roman" w:cs="Times New Roman"/>
    </w:rPr>
  </w:style>
  <w:style w:type="paragraph" w:styleId="1387" w:customStyle="1">
    <w:name w:val="xl64"/>
    <w:basedOn w:val="849"/>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849"/>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390" w:customStyle="1">
    <w:name w:val="H 3"/>
    <w:basedOn w:val="852"/>
    <w:next w:val="1391"/>
    <w:qFormat/>
    <w:pPr>
      <w:ind w:left="1429" w:firstLine="18"/>
      <w:spacing w:before="0" w:after="0" w:line="360" w:lineRule="auto"/>
      <w:outlineLvl w:val="2"/>
    </w:pPr>
  </w:style>
  <w:style w:type="paragraph" w:styleId="1391" w:customStyle="1">
    <w:name w:val="xl83"/>
    <w:basedOn w:val="849"/>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849"/>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849"/>
    <w:next w:val="1375"/>
    <w:qFormat/>
    <w:pPr>
      <w:ind w:left="200" w:firstLine="3784"/>
      <w:spacing w:before="0" w:after="0" w:line="360" w:lineRule="auto"/>
    </w:pPr>
    <w:rPr>
      <w:rFonts w:ascii="Times New Roman" w:hAnsi="Times New Roman" w:cs="Times New Roman"/>
    </w:rPr>
  </w:style>
  <w:style w:type="paragraph" w:styleId="1394" w:customStyle="1">
    <w:name w:val="1"/>
    <w:basedOn w:val="849"/>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848"/>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849"/>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849"/>
    <w:next w:val="1401"/>
    <w:qFormat/>
    <w:pPr>
      <w:ind w:left="0" w:firstLine="2560"/>
      <w:spacing w:before="0" w:after="0" w:line="240" w:lineRule="auto"/>
    </w:pPr>
    <w:rPr>
      <w:rFonts w:ascii="Times New Roman" w:hAnsi="Times New Roman" w:cs="Times New Roman"/>
    </w:rPr>
  </w:style>
  <w:style w:type="paragraph" w:styleId="1401" w:customStyle="1">
    <w:name w:val="xl24"/>
    <w:basedOn w:val="849"/>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849"/>
    <w:next w:val="1259"/>
    <w:qFormat/>
    <w:pPr>
      <w:ind w:left="0" w:firstLine="3584"/>
      <w:spacing w:before="280" w:after="280" w:line="240" w:lineRule="auto"/>
    </w:pPr>
    <w:rPr>
      <w:rFonts w:ascii="Times New Roman" w:hAnsi="Times New Roman" w:cs="Times New Roman"/>
    </w:rPr>
  </w:style>
  <w:style w:type="paragraph" w:styleId="1404" w:customStyle="1">
    <w:name w:val="插图"/>
    <w:next w:val="848"/>
    <w:qFormat/>
    <w:pPr>
      <w:ind w:firstLine="4608"/>
      <w:jc w:val="center"/>
    </w:pPr>
    <w:rPr>
      <w:rFonts w:ascii="Calibri" w:hAnsi="Calibri"/>
    </w:rPr>
  </w:style>
  <w:style w:type="paragraph" w:styleId="1405" w:customStyle="1">
    <w:name w:val="列出段落3"/>
    <w:basedOn w:val="849"/>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849"/>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849"/>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849"/>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849"/>
    <w:next w:val="1305"/>
    <w:qFormat/>
    <w:pPr>
      <w:ind w:left="0" w:firstLine="2815"/>
      <w:spacing w:before="0" w:after="0" w:line="360" w:lineRule="auto"/>
    </w:pPr>
    <w:rPr>
      <w:rFonts w:ascii="Times New Roman" w:hAnsi="Times New Roman" w:cs="Times New Roman"/>
    </w:rPr>
  </w:style>
  <w:style w:type="table" w:styleId="1413"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3FB979F-0B6F-4940-8DFA-0D7B0C25EFF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17</cp:revision>
  <dcterms:created xsi:type="dcterms:W3CDTF">2026-09-15T02:45:00Z</dcterms:created>
  <dcterms:modified xsi:type="dcterms:W3CDTF">2026-09-23T05:36:54Z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