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883"/>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JSZC-320500-HWZX-G2026-0582</w:t>
      </w:r>
      <w:r/>
    </w:p>
    <w:p>
      <w:pPr>
        <w:ind w:firstLine="1883"/>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3049" w:hanging="1197"/>
        <w:jc w:val="both"/>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：核酸制备</w:t>
      </w:r>
      <w:r/>
    </w:p>
    <w:p>
      <w:pPr>
        <w:ind w:firstLine="1883"/>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九</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851"/>
        <w:tblW w:w="5170" w:type="pct"/>
        <w:tblInd w:w="-3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2246"/>
        <w:gridCol w:w="6630"/>
      </w:tblGrid>
      <w:tr>
        <w:trPr>
          <w:trHeight w:val="472"/>
        </w:trPr>
        <w:tc>
          <w:tcPr>
            <w:tcMar>
              <w:left w:w="108" w:type="dxa"/>
              <w:top w:w="0" w:type="dxa"/>
              <w:right w:w="108" w:type="dxa"/>
              <w:bottom w:w="0" w:type="dxa"/>
            </w:tcMar>
            <w:tcW w:w="37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16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45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37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451"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核酸制备</w:t>
            </w:r>
            <w:r/>
          </w:p>
        </w:tc>
      </w:tr>
      <w:tr>
        <w:trPr>
          <w:trHeight w:val="622"/>
        </w:trPr>
        <w:tc>
          <w:tcPr>
            <w:tcMar>
              <w:left w:w="108" w:type="dxa"/>
              <w:top w:w="0" w:type="dxa"/>
              <w:right w:w="108" w:type="dxa"/>
              <w:bottom w:w="0" w:type="dxa"/>
            </w:tcMar>
            <w:tcW w:w="37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451"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中标单位应当在合同签订后60天内将货物运送至采购人指定仓库，由双方对货物进行预验收。</w:t>
            </w:r>
            <w:r/>
          </w:p>
        </w:tc>
      </w:tr>
      <w:tr>
        <w:trPr>
          <w:trHeight w:val="405"/>
        </w:trPr>
        <w:tc>
          <w:tcPr>
            <w:tcMar>
              <w:left w:w="108" w:type="dxa"/>
              <w:top w:w="0" w:type="dxa"/>
              <w:right w:w="108" w:type="dxa"/>
              <w:bottom w:w="0" w:type="dxa"/>
            </w:tcMar>
            <w:tcW w:w="37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6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采购预算</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本项目采购预算：人民币185万元</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其中，</w:t>
            </w:r>
            <w:r>
              <w:rPr>
                <w:rFonts w:ascii="宋体" w:hAnsi="宋体" w:eastAsia="宋体" w:cs="宋体"/>
                <w:sz w:val="24"/>
                <w:highlight w:val="none"/>
              </w:rPr>
              <w:t xml:space="preserve">采购包1</w:t>
            </w:r>
            <w:r>
              <w:rPr>
                <w:rFonts w:hint="eastAsia" w:ascii="宋体" w:hAnsi="宋体" w:eastAsia="宋体" w:cs="宋体"/>
                <w:sz w:val="24"/>
                <w:highlight w:val="none"/>
              </w:rPr>
              <w:t xml:space="preserve">：125万元；</w:t>
            </w:r>
            <w:r>
              <w:rPr>
                <w:rFonts w:ascii="宋体" w:hAnsi="宋体" w:eastAsia="宋体" w:cs="宋体"/>
                <w:sz w:val="24"/>
                <w:highlight w:val="none"/>
              </w:rPr>
              <w:t xml:space="preserve">采购包2</w:t>
            </w:r>
            <w:r>
              <w:rPr>
                <w:rFonts w:hint="eastAsia" w:ascii="宋体" w:hAnsi="宋体" w:eastAsia="宋体" w:cs="宋体"/>
                <w:sz w:val="24"/>
                <w:highlight w:val="none"/>
              </w:rPr>
              <w:t xml:space="preserve">：60万元</w:t>
            </w:r>
            <w:r/>
          </w:p>
        </w:tc>
      </w:tr>
      <w:tr>
        <w:trPr>
          <w:trHeight w:val="405"/>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宋体" w:hAnsi="宋体" w:eastAsia="宋体" w:cs="宋体"/>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1169"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最高限价</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w:t>
            </w:r>
            <w:r>
              <w:rPr>
                <w:rFonts w:hint="eastAsia" w:ascii="宋体" w:hAnsi="宋体" w:eastAsia="宋体" w:cs="宋体"/>
                <w:sz w:val="24"/>
                <w:szCs w:val="24"/>
                <w:highlight w:val="none"/>
              </w:rPr>
              <w:t xml:space="preserve">最高限价</w:t>
            </w:r>
            <w:r>
              <w:rPr>
                <w:rFonts w:hint="eastAsia" w:ascii="宋体" w:hAnsi="宋体" w:eastAsia="宋体" w:cs="宋体"/>
                <w:sz w:val="24"/>
                <w:highlight w:val="none"/>
              </w:rPr>
              <w:t xml:space="preserve">：人民币185万元</w:t>
            </w:r>
            <w:r/>
          </w:p>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其中，</w:t>
            </w:r>
            <w:r>
              <w:rPr>
                <w:rFonts w:ascii="宋体" w:hAnsi="宋体" w:eastAsia="宋体" w:cs="宋体"/>
                <w:sz w:val="24"/>
                <w:highlight w:val="none"/>
              </w:rPr>
              <w:t xml:space="preserve">采购包1</w:t>
            </w:r>
            <w:r>
              <w:rPr>
                <w:rFonts w:hint="eastAsia" w:ascii="宋体" w:hAnsi="宋体" w:eastAsia="宋体" w:cs="宋体"/>
                <w:sz w:val="24"/>
                <w:highlight w:val="none"/>
              </w:rPr>
              <w:t xml:space="preserve">：125万元；</w:t>
            </w:r>
            <w:r>
              <w:rPr>
                <w:rFonts w:ascii="宋体" w:hAnsi="宋体" w:eastAsia="宋体" w:cs="宋体"/>
                <w:sz w:val="24"/>
                <w:highlight w:val="none"/>
              </w:rPr>
              <w:t xml:space="preserve">采购包2</w:t>
            </w:r>
            <w:r>
              <w:rPr>
                <w:rFonts w:hint="eastAsia" w:ascii="宋体" w:hAnsi="宋体" w:eastAsia="宋体" w:cs="宋体"/>
                <w:sz w:val="24"/>
                <w:highlight w:val="none"/>
              </w:rPr>
              <w:t xml:space="preserve">：60万元</w:t>
            </w:r>
            <w:r/>
          </w:p>
        </w:tc>
      </w:tr>
      <w:tr>
        <w:trPr>
          <w:trHeight w:val="90"/>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宋体" w:hAnsi="宋体" w:eastAsia="宋体" w:cs="宋体"/>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申请人的资格要求</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451"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772"/>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451"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不接受进口产品投标</w:t>
            </w:r>
            <w:r/>
          </w:p>
        </w:tc>
      </w:tr>
      <w:tr>
        <w:trPr>
          <w:trHeight w:val="636"/>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451"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451"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415"/>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451"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中标后，中标单位</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提供纸质投标文件，送至招标代理机构。</w:t>
            </w:r>
            <w:r/>
          </w:p>
        </w:tc>
      </w:tr>
      <w:tr>
        <w:trPr>
          <w:trHeight w:val="568"/>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996"/>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代理服务费</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各采购包代理服务费由该采购包中标（成交）人支付，供应商报价内应包含代理服务费，支付金额的收费标准为：固定收费；收取方式：中标（成交）人在领取中标（成交）通知书前，一次性向采购代理机构足额支付；支付方式为银行转账。</w:t>
            </w:r>
            <w:r>
              <w:rPr>
                <w:rFonts w:hint="eastAsia" w:ascii="宋体" w:hAnsi="宋体" w:eastAsia="宋体" w:cs="宋体"/>
                <w:sz w:val="24"/>
                <w:highlight w:val="none"/>
                <w:lang w:val="en-US" w:eastAsia="zh-CN"/>
              </w:rPr>
              <w:t xml:space="preserve">服务费</w:t>
            </w:r>
            <w:r>
              <w:rPr>
                <w:rFonts w:hint="eastAsia" w:ascii="宋体" w:hAnsi="宋体" w:eastAsia="宋体" w:cs="宋体"/>
                <w:sz w:val="24"/>
                <w:highlight w:val="none"/>
              </w:rPr>
              <w:t xml:space="preserve">金额：采购包1为4936元，采购包2为2369元。</w:t>
            </w:r>
            <w:r/>
          </w:p>
        </w:tc>
      </w:tr>
      <w:tr>
        <w:trPr>
          <w:trHeight w:val="557"/>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投标文件有效期</w:t>
            </w:r>
            <w:r/>
          </w:p>
        </w:tc>
        <w:tc>
          <w:tcPr>
            <w:tcMar>
              <w:left w:w="108" w:type="dxa"/>
              <w:top w:w="0" w:type="dxa"/>
              <w:right w:w="108" w:type="dxa"/>
              <w:bottom w:w="0" w:type="dxa"/>
            </w:tcMar>
            <w:tcW w:w="3451"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379" w:type="pct"/>
            <w:vAlign w:val="center"/>
            <w:vMerge w:val="restart"/>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投标截止时间</w:t>
            </w:r>
            <w:r/>
          </w:p>
        </w:tc>
        <w:tc>
          <w:tcPr>
            <w:tcMar>
              <w:left w:w="108" w:type="dxa"/>
              <w:top w:w="0" w:type="dxa"/>
              <w:right w:w="108" w:type="dxa"/>
              <w:bottom w:w="0" w:type="dxa"/>
            </w:tcMar>
            <w:tcW w:w="3451"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2026年10月16日13时30分（北京时间）</w:t>
            </w:r>
            <w:r/>
          </w:p>
        </w:tc>
      </w:tr>
      <w:tr>
        <w:trPr>
          <w:trHeight w:val="399"/>
        </w:trPr>
        <w:tc>
          <w:tcPr>
            <w:shd w:val="clear" w:color="auto" w:fill="auto"/>
            <w:tcW w:w="379" w:type="pct"/>
            <w:vAlign w:val="center"/>
            <w:vMerge w:val="continue"/>
            <w:textDirection w:val="lrTb"/>
            <w:noWrap w:val="false"/>
          </w:tcPr>
          <w:p>
            <w:pPr>
              <w:jc w:val="center"/>
              <w:spacing w:line="360" w:lineRule="auto"/>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val="en-US" w:eastAsia="zh-CN" w:bidi="ar-SA"/>
              </w:rPr>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投标地点</w:t>
            </w:r>
            <w:r/>
          </w:p>
        </w:tc>
        <w:tc>
          <w:tcPr>
            <w:tcMar>
              <w:left w:w="108" w:type="dxa"/>
              <w:top w:w="0" w:type="dxa"/>
              <w:right w:w="108" w:type="dxa"/>
              <w:bottom w:w="0" w:type="dxa"/>
            </w:tcMar>
            <w:tcW w:w="3451" w:type="pct"/>
            <w:vAlign w:val="center"/>
            <w:textDirection w:val="lrTb"/>
            <w:noWrap w:val="false"/>
          </w:tcPr>
          <w:p>
            <w:pPr>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color w:val="000000"/>
                <w:sz w:val="24"/>
                <w:szCs w:val="24"/>
                <w:highlight w:val="none"/>
              </w:rPr>
              <w:t xml:space="preserve">“</w:t>
            </w:r>
            <w:r>
              <w:rPr>
                <w:rFonts w:ascii="宋体" w:hAnsi="宋体" w:eastAsia="宋体" w:cs="宋体"/>
                <w:sz w:val="24"/>
                <w:highlight w:val="none"/>
              </w:rPr>
              <w:t xml:space="preserve">苏采云”系统</w:t>
            </w:r>
            <w:r/>
          </w:p>
        </w:tc>
      </w:tr>
      <w:tr>
        <w:trPr>
          <w:trHeight w:val="888"/>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开标时间和地点</w:t>
            </w:r>
            <w:r/>
          </w:p>
        </w:tc>
        <w:tc>
          <w:tcPr>
            <w:tcMar>
              <w:left w:w="108" w:type="dxa"/>
              <w:top w:w="0" w:type="dxa"/>
              <w:right w:w="108" w:type="dxa"/>
              <w:bottom w:w="0" w:type="dxa"/>
            </w:tcMar>
            <w:tcW w:w="3451"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2026年10月16日13时30分（北京时间）</w:t>
            </w:r>
            <w:r/>
          </w:p>
          <w:p>
            <w:pPr>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color w:val="000000"/>
                <w:sz w:val="24"/>
                <w:szCs w:val="24"/>
                <w:highlight w:val="none"/>
              </w:rPr>
              <w:t xml:space="preserve">“</w:t>
            </w:r>
            <w:r>
              <w:rPr>
                <w:rFonts w:ascii="宋体" w:hAnsi="宋体" w:eastAsia="宋体" w:cs="宋体"/>
                <w:sz w:val="24"/>
                <w:highlight w:val="none"/>
              </w:rPr>
              <w:t xml:space="preserve">苏采云”系统</w:t>
            </w:r>
            <w:r/>
          </w:p>
        </w:tc>
      </w:tr>
      <w:tr>
        <w:trPr>
          <w:trHeight w:val="416"/>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451"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49"/>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定标办法</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采购人授权评标委员会按照采购文件要求确定中标单位。</w:t>
            </w:r>
            <w:r/>
          </w:p>
        </w:tc>
      </w:tr>
      <w:tr>
        <w:trPr>
          <w:trHeight w:val="1051"/>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履约保证金</w:t>
            </w:r>
            <w:r/>
          </w:p>
        </w:tc>
        <w:tc>
          <w:tcPr>
            <w:tcMar>
              <w:left w:w="108" w:type="dxa"/>
              <w:top w:w="0" w:type="dxa"/>
              <w:right w:w="108" w:type="dxa"/>
              <w:bottom w:w="0" w:type="dxa"/>
            </w:tcMar>
            <w:tcW w:w="3451" w:type="pct"/>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（√）提交</w:t>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金额：合同金额的10%，相关条款详见招标文件。</w:t>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（）不提交</w:t>
            </w:r>
            <w:r/>
          </w:p>
        </w:tc>
      </w:tr>
      <w:tr>
        <w:trPr>
          <w:trHeight w:val="3335"/>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1169"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451" w:type="pct"/>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采购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31"/>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451"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451"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3159"/>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451" w:type="pct"/>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本项目为不见面开标</w:t>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线上参加开标（开启）会方式：供应商登录“苏采云”系统在平台首页点击“开标大厅”，进入江苏省政府采购一体化不见面开标（采购）大厅，在今日项目列表，点击项目，进入不见面开标系统。本项目为不见面招标项目，开启阶段供应商在【供应商解密】环节必须使用CA证书解密电子投标文件，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2、请供应商确保电脑、系统及其他设备（视频输入输出设备等</w:t>
            </w:r>
            <w:r>
              <w:rPr>
                <w:rFonts w:hint="eastAsia" w:ascii="宋体" w:hAnsi="宋体" w:eastAsia="宋体" w:cs="宋体"/>
                <w:sz w:val="24"/>
                <w:szCs w:val="24"/>
                <w:highlight w:val="none"/>
              </w:rPr>
              <w:t xml:space="preserve">）无误，且开启直至项目结束始终保持系统在线状态。</w:t>
            </w:r>
            <w:r/>
          </w:p>
        </w:tc>
      </w:tr>
      <w:tr>
        <w:trPr>
          <w:trHeight w:val="571"/>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hint="default" w:eastAsiaTheme="minorEastAsia"/>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25</w:t>
            </w:r>
            <w:r/>
          </w:p>
        </w:tc>
        <w:tc>
          <w:tcPr>
            <w:tcMar>
              <w:left w:w="108" w:type="dxa"/>
              <w:top w:w="0" w:type="dxa"/>
              <w:right w:w="108" w:type="dxa"/>
              <w:bottom w:w="0" w:type="dxa"/>
            </w:tcMar>
            <w:tcW w:w="116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其他</w:t>
            </w:r>
            <w:r/>
          </w:p>
        </w:tc>
        <w:tc>
          <w:tcPr>
            <w:tcMar>
              <w:left w:w="108" w:type="dxa"/>
              <w:top w:w="0" w:type="dxa"/>
              <w:right w:w="108" w:type="dxa"/>
              <w:bottom w:w="0" w:type="dxa"/>
            </w:tcMar>
            <w:tcW w:w="3451" w:type="pct"/>
            <w:vAlign w:val="center"/>
            <w:textDirection w:val="lrTb"/>
            <w:noWrap w:val="false"/>
          </w:tcPr>
          <w:p>
            <w:pPr>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1.本项目成交供应商数量：1家/采购包</w:t>
            </w:r>
            <w:r/>
          </w:p>
          <w:p>
            <w:pPr>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供应商的报价不得超过每采购包的预算金额和最高限价，否则作无效投标。本项目兼投不兼中，供应商可以选择一个采购包或者多个采购包进行投标，但只能中其中一个采购包，进入每个采购包评审的实质性响应且具有得标权的供应商不得少于3家（已中标的供应商不再计入其他采购包的供应商数量且不参与其他采购包评审），否则应认定该采购包采购失败。开评标顺序为采购包1、采购包2。</w:t>
            </w:r>
            <w:r/>
          </w:p>
        </w:tc>
      </w:tr>
    </w:tbl>
    <w:p>
      <w:pPr>
        <w:rPr>
          <w:rFonts w:ascii="宋体" w:hAnsi="宋体" w:eastAsia="宋体" w:cs="宋体"/>
          <w:b/>
          <w:sz w:val="36"/>
          <w:highlight w:val="none"/>
        </w:rPr>
      </w:pPr>
      <w:r>
        <w:rPr>
          <w:rFonts w:ascii="宋体" w:hAnsi="宋体" w:eastAsia="宋体" w:cs="宋体"/>
          <w:b/>
          <w:sz w:val="36"/>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839"/>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3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3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3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3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3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36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 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szCs w:val="28"/>
          <w:highlight w:val="none"/>
        </w:rPr>
        <w:t xml:space="preserve">招标公告</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核酸制备</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获取采购文件，并于</w:t>
      </w:r>
      <w:r>
        <w:rPr>
          <w:rFonts w:hint="eastAsia" w:ascii="宋体" w:hAnsi="宋体" w:eastAsia="宋体" w:cs="宋体"/>
          <w:sz w:val="24"/>
          <w:highlight w:val="none"/>
          <w:u w:val="single"/>
        </w:rPr>
        <w:t xml:space="preserve">2026年10月16日13时30分</w:t>
      </w:r>
      <w:r>
        <w:rPr>
          <w:rFonts w:ascii="宋体" w:hAnsi="宋体" w:eastAsia="宋体" w:cs="宋体"/>
          <w:sz w:val="24"/>
          <w:highlight w:val="none"/>
          <w:u w:val="single"/>
        </w:rPr>
        <w:t xml:space="preserve">（北京时间）</w:t>
      </w:r>
      <w:r>
        <w:rPr>
          <w:rFonts w:ascii="宋体" w:hAnsi="宋体" w:eastAsia="宋体" w:cs="宋体"/>
          <w:sz w:val="24"/>
          <w:highlight w:val="none"/>
        </w:rPr>
        <w:t xml:space="preserve">前递交投标文件。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JSZC-320500-HWZX-G2026-0582</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核酸制备</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人民币185万元（其中，</w:t>
      </w:r>
      <w:r>
        <w:rPr>
          <w:rFonts w:ascii="宋体" w:hAnsi="宋体" w:eastAsia="宋体" w:cs="宋体"/>
          <w:sz w:val="24"/>
          <w:highlight w:val="none"/>
        </w:rPr>
        <w:t xml:space="preserve">采购包</w:t>
      </w:r>
      <w:r>
        <w:rPr>
          <w:rFonts w:hint="eastAsia" w:ascii="宋体" w:hAnsi="宋体" w:eastAsia="宋体" w:cs="宋体"/>
          <w:sz w:val="24"/>
          <w:highlight w:val="none"/>
        </w:rPr>
        <w:t xml:space="preserve">1：125万元；</w:t>
      </w:r>
      <w:r>
        <w:rPr>
          <w:rFonts w:ascii="宋体" w:hAnsi="宋体" w:eastAsia="宋体" w:cs="宋体"/>
          <w:sz w:val="24"/>
          <w:highlight w:val="none"/>
        </w:rPr>
        <w:t xml:space="preserve">采购包</w:t>
      </w:r>
      <w:r>
        <w:rPr>
          <w:rFonts w:hint="eastAsia" w:ascii="宋体" w:hAnsi="宋体" w:eastAsia="宋体" w:cs="宋体"/>
          <w:sz w:val="24"/>
          <w:highlight w:val="none"/>
        </w:rPr>
        <w:t xml:space="preserve">2：60万元）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人民币185万元（其中，采购包1：125万元；采购包2：60万元）</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采购需求</w:t>
      </w:r>
      <w:r>
        <w:rPr>
          <w:rFonts w:ascii="宋体" w:hAnsi="宋体" w:eastAsia="宋体" w:cs="宋体"/>
          <w:sz w:val="24"/>
          <w:highlight w:val="none"/>
        </w:rPr>
        <w:t xml:space="preserve">：</w:t>
      </w:r>
      <w:r>
        <w:rPr>
          <w:rFonts w:hint="eastAsia" w:ascii="宋体" w:hAnsi="宋体" w:eastAsia="宋体" w:cs="宋体"/>
          <w:sz w:val="24"/>
          <w:highlight w:val="none"/>
        </w:rPr>
        <w:t xml:space="preserve">核酸制备，具体采购需求详见招标文件</w:t>
      </w:r>
      <w:bookmarkStart w:id="7" w:name="_GoBack"/>
      <w:r/>
      <w:bookmarkEnd w:id="7"/>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中标单位应当在合同签订后60天内将货物运送至采购人指定仓库，由双方对货物进行预验收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Cs/>
          <w:color w:val="000000"/>
          <w:sz w:val="24"/>
          <w:highlight w:val="none"/>
        </w:rPr>
        <w:t xml:space="preserve">无</w:t>
      </w:r>
      <w:r>
        <w:rPr>
          <w:rFonts w:ascii="宋体" w:hAnsi="宋体" w:cs="宋体"/>
          <w:bCs/>
          <w:color w:val="000000"/>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本项目的特定资格要求：无</w:t>
      </w:r>
      <w:r/>
    </w:p>
    <w:p>
      <w:pPr>
        <w:pStyle w:val="830"/>
        <w:ind w:left="0" w:right="0" w:firstLine="480"/>
        <w:rPr>
          <w:rFonts w:hint="default"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三、获取采购文件：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rPr>
        <w:t xml:space="preserve">2026年10月16日13时30分</w:t>
      </w:r>
      <w:r>
        <w:rPr>
          <w:rFonts w:ascii="宋体" w:hAnsi="宋体" w:eastAsia="宋体" w:cs="宋体"/>
          <w:sz w:val="24"/>
          <w:highlight w:val="none"/>
        </w:rPr>
        <w:t xml:space="preserve">（北京时间）</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线上获取方式：</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（2）参与采购活动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highlight w:val="none"/>
        </w:rPr>
        <w:t xml:space="preserve">（具体详见《苏采云系统供应商操作手册》，网址链接https://czju.suzhou.gov.cn/zfcg/html/content/20231220161910031.shtml）</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rPr>
        <w:t xml:space="preserve">.</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w:t>
      </w:r>
      <w:r>
        <w:rPr>
          <w:rFonts w:hint="eastAsia" w:ascii="宋体" w:hAnsi="宋体" w:eastAsia="宋体" w:cs="宋体"/>
          <w:sz w:val="24"/>
          <w:highlight w:val="none"/>
        </w:rPr>
        <w:t xml:space="preserve">.</w:t>
      </w:r>
      <w:r>
        <w:rPr>
          <w:rFonts w:ascii="宋体" w:hAnsi="宋体" w:eastAsia="宋体" w:cs="宋体"/>
          <w:sz w:val="24"/>
          <w:highlight w:val="none"/>
        </w:rPr>
        <w:t xml:space="preserve">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w:t>
      </w:r>
      <w:r>
        <w:rPr>
          <w:rFonts w:hint="eastAsia" w:ascii="宋体" w:hAnsi="宋体" w:eastAsia="宋体" w:cs="宋体"/>
          <w:sz w:val="24"/>
          <w:highlight w:val="none"/>
        </w:rPr>
        <w:t xml:space="preserve">.</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p>
    <w:p>
      <w:pPr>
        <w:ind w:firstLine="482"/>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七、对本次招标提出的询问，请按以下方式联系。</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采购包1、采购包2</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联系人：秦老师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：0512-67169460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814"/>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14"/>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14"/>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14"/>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9.2招标文件及其更正文件不是直接从采购代理机构处获得的，招标采购单位对招标文件及其补遗的真实性、完整性不承担任何责任。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依法缴纳税收的凭据；提供近一年内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15.16供应商具备履行合同所必需的设备和专业技术能力的证明材料或承诺（格式自拟）。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15.21《开标一览表》(统一格式，用于唱标)。</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15.25招标（采购）文件评分标准中规定提交的其他相关材料。</w:t>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15.27关于符合本国产品标准的声明函。</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完成对应采购包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供应商企业利润、税金和政策性文件规定及合同包含的所有风险、责任等各项应有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对应采购包内所要采购的全部内容进行报价，只投其中部分内容者，其标书将被拒绝。但如果招标文件要求分采购包投标的，则供应商可以按招标文件要求有选择地只投其中一个或几个采购包，也可以投全部采购包，但各采购包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21.8至投标文件提交截止时间，递交投标文件的供应商不足三家的采购包，不得开标。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3）投标文件载明的招标项目完成期限不满足招标文件规定；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30.1.1该采购包符合招标文件按要求的供应商或者对招标文件作实质响应的供应商不足三家的；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30.1.3供应商的报价均超过了采购预算或者最高限价的，招标人不能支付的；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32.中标单位的确认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单位（采购人授权评标委员会直接确定中标人的情形除外）。中标候选人并列的，根据相关法规及采购文件规定确定中标单位。采购人在收到评标报告5个工作日内未按评标报告推荐的中标候选人顺序确定中标单位，又不能说明合法理由的，视同按评标报告推荐的顺序确定排名第一的中标候选人为中标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32.3本项目中标单位数量：1家/采购包。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32.4采购人或者采购代理机构自中标单位确定之日起2个工作日内在省级以上财政部门指定的媒体上公告中标结果。中标公告期限为1个工作日。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单位发出中标通知书，中标通知书对采购人和中标单位具有同等法律效力。中标通知书发出后，采购人不得违法改变中标结果，中标单位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单位发放未中标通知书（如有），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37.1采购人应当自中标通知书发出之日起30日内，按照招标文件和中标单位投标文件的规定，与中标单位签订书面合同。所签订的合同不得对招标文件确定的事项和中标单位投标文件作实质性修改。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38.2中标单位如果未按规定支付招标代理服务费，招标采购单位将不予退还其投标保证金，并保留诉讼的权利。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highlight w:val="none"/>
        </w:rPr>
      </w:pPr>
      <w:r>
        <w:rPr>
          <w:rFonts w:hint="eastAsia" w:ascii="宋体" w:hAnsi="宋体" w:eastAsia="宋体" w:cs="宋体"/>
          <w:color w:val="000000"/>
          <w:sz w:val="24"/>
          <w:highlight w:val="none"/>
        </w:rPr>
        <w:t xml:space="preserve">价格的折扣：</w:t>
      </w:r>
      <w:r>
        <w:rPr>
          <w:rFonts w:hint="eastAsia" w:ascii="宋体" w:hAnsi="宋体" w:eastAsia="宋体" w:cs="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hint="eastAsia" w:ascii="宋体" w:hAnsi="宋体" w:eastAsia="宋体" w:cs="宋体"/>
          <w:color w:val="000000"/>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40.4采购文件的质疑、澄清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40.4.2本次采购文件要求供应商在法定质疑期内一次性提出针对同一采购程序环节的质疑。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若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847"/>
        <w:ind w:firstLine="482"/>
        <w:spacing w:before="0" w:beforeAutospacing="0" w:after="0" w:afterAutospacing="0" w:line="360" w:lineRule="auto"/>
        <w:rPr>
          <w:rFonts w:ascii="宋体" w:hAnsi="宋体" w:eastAsia="宋体" w:cs="宋体"/>
          <w:szCs w:val="24"/>
          <w:highlight w:val="none"/>
        </w:rPr>
      </w:pPr>
      <w:r>
        <w:rPr>
          <w:rStyle w:val="852"/>
          <w:rFonts w:hint="eastAsia" w:ascii="宋体" w:hAnsi="宋体" w:eastAsia="宋体" w:cs="宋体"/>
          <w:szCs w:val="24"/>
          <w:highlight w:val="none"/>
          <w:shd w:val="clear" w:color="auto" w:fill="ffffff"/>
        </w:rPr>
        <w:t xml:space="preserve">41.1本国产品标准</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847"/>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r/>
                      </pic:nvPicPr>
                      <pic:blipFill>
                        <a:blip r:embed="rId18">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8" o:title=""/>
              </v:shape>
            </w:pict>
          </mc:Fallback>
        </mc:AlternateConten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847"/>
        <w:ind w:firstLine="480"/>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847"/>
        <w:ind w:firstLine="480"/>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847"/>
        <w:ind w:firstLine="482"/>
        <w:jc w:val="center"/>
        <w:spacing w:before="0" w:beforeAutospacing="0" w:after="0" w:afterAutospacing="0" w:line="360" w:lineRule="auto"/>
        <w:rPr>
          <w:rFonts w:ascii="宋体" w:hAnsi="宋体" w:eastAsia="宋体" w:cs="宋体"/>
          <w:sz w:val="16"/>
          <w:szCs w:val="16"/>
          <w:highlight w:val="none"/>
        </w:rPr>
      </w:pPr>
      <w:r>
        <w:rPr>
          <w:rStyle w:val="852"/>
          <w:rFonts w:hint="eastAsia" w:ascii="宋体" w:hAnsi="宋体" w:eastAsia="宋体" w:cs="宋体"/>
          <w:szCs w:val="24"/>
          <w:highlight w:val="none"/>
          <w:shd w:val="clear" w:color="auto" w:fill="ffffff"/>
        </w:rPr>
        <w:t xml:space="preserve">中国境内生产的组件成本核算基本规则</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847"/>
        <w:ind w:firstLine="482"/>
        <w:spacing w:before="0" w:beforeAutospacing="0" w:after="0" w:afterAutospacing="0" w:line="360" w:lineRule="auto"/>
        <w:rPr>
          <w:rFonts w:ascii="宋体" w:hAnsi="宋体" w:eastAsia="宋体" w:cs="宋体"/>
          <w:szCs w:val="24"/>
          <w:highlight w:val="none"/>
        </w:rPr>
      </w:pPr>
      <w:r>
        <w:rPr>
          <w:rStyle w:val="852"/>
          <w:rFonts w:hint="eastAsia" w:ascii="宋体" w:hAnsi="宋体" w:eastAsia="宋体" w:cs="宋体"/>
          <w:szCs w:val="24"/>
          <w:highlight w:val="none"/>
          <w:shd w:val="clear" w:color="auto" w:fill="ffffff"/>
        </w:rPr>
        <w:t xml:space="preserve">41.2本国产品标准的适用范围</w:t>
      </w:r>
      <w:r/>
    </w:p>
    <w:p>
      <w:pPr>
        <w:pStyle w:val="84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7"/>
        <w:ind w:firstLine="482"/>
        <w:spacing w:before="0" w:beforeAutospacing="0" w:after="0" w:afterAutospacing="0" w:line="360" w:lineRule="auto"/>
        <w:rPr>
          <w:rFonts w:ascii="宋体" w:hAnsi="宋体" w:eastAsia="宋体" w:cs="宋体"/>
          <w:szCs w:val="24"/>
          <w:highlight w:val="none"/>
        </w:rPr>
      </w:pPr>
      <w:r>
        <w:rPr>
          <w:rStyle w:val="852"/>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829"/>
        <w:ind w:left="0"/>
        <w:rPr>
          <w:rFonts w:hint="eastAsia"/>
          <w:highlight w:val="none"/>
        </w:rPr>
      </w:pPr>
      <w:r>
        <w:rPr>
          <w:rFonts w:hint="eastAsia"/>
          <w:highlight w:val="none"/>
        </w:rPr>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我方全面研究了</w:t>
      </w:r>
      <w:r>
        <w:rPr>
          <w:rFonts w:ascii="宋体" w:hAnsi="宋体" w:eastAsia="宋体" w:cs="宋体"/>
          <w:b/>
          <w:i/>
          <w:sz w:val="24"/>
          <w:highlight w:val="none"/>
          <w:u w:val="single"/>
        </w:rPr>
        <w:t xml:space="preserve">（招标编号）</w:t>
      </w:r>
      <w:r>
        <w:rPr>
          <w:rFonts w:ascii="宋体" w:hAnsi="宋体" w:eastAsia="宋体" w:cs="宋体"/>
          <w:sz w:val="24"/>
          <w:highlight w:val="none"/>
        </w:rPr>
        <w:t xml:space="preserve">项目招标文件，决定参加贵单位组织的本项目的投标。</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highlight w:val="none"/>
        </w:rPr>
        <w:t xml:space="preserve">1、</w:t>
      </w:r>
      <w:r>
        <w:rPr>
          <w:rFonts w:ascii="宋体" w:hAnsi="宋体" w:eastAsia="宋体" w:cs="宋体"/>
          <w:sz w:val="24"/>
          <w:highlight w:val="none"/>
        </w:rPr>
        <w:t xml:space="preserve">我方自愿按照招标文件规定的各项要求向采购人提供所需货物和服务。我方的投标报价已</w:t>
      </w:r>
      <w:r>
        <w:rPr>
          <w:rFonts w:hint="eastAsia" w:ascii="宋体" w:hAnsi="宋体" w:eastAsia="宋体" w:cs="宋体"/>
          <w:sz w:val="24"/>
          <w:highlight w:val="none"/>
        </w:rPr>
        <w:t xml:space="preserve">包括本项目所有货物的供货、辅助材料、人工、运输、检验、送货、保险、装卸、仓储、代理服务费、保管、各种税费及其他伴随服务等一切必须费用。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2、一旦我方中标，我们将严格履行招标文件中规定的每一项要求，按期、按质、按量履行合同的义务。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4、我们同意按招标文件中的规定，本投标书的有效期限为自投标截止之日起____天。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5、我们愿意提供招标采购单位在招标文件中要求的所有资料。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6、我们愿意遵守招标公告及招标文件中所列的收费标准。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7、我们承诺该项投标在开标后的全过程中保持有效，不作任何更改和变动。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通讯地址：邮政编码：</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ascii="宋体" w:hAnsi="宋体" w:eastAsia="宋体" w:cs="宋体"/>
          <w:sz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pStyle w:val="826"/>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本授权委托书声明：我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（姓名）系</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（供应商名称）的法定代表人，现授权委托</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单位名称）的</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（姓名）为我公司授权委托人（即代理人），以本公司的名义参加江苏海外集团国际工程咨询有限公司组织实施的编号为</w:t>
      </w:r>
      <w:r>
        <w:rPr>
          <w:rFonts w:hint="eastAsia" w:ascii="宋体" w:hAnsi="宋体" w:eastAsia="宋体" w:cs="宋体"/>
          <w:szCs w:val="24"/>
          <w:highlight w:val="none"/>
          <w:u w:val="single"/>
        </w:rPr>
        <w:t xml:space="preserve">  （项目编号）   </w:t>
      </w:r>
      <w:r>
        <w:rPr>
          <w:rFonts w:hint="eastAsia" w:ascii="宋体" w:hAnsi="宋体" w:eastAsia="宋体" w:cs="宋体"/>
          <w:szCs w:val="24"/>
          <w:highlight w:val="none"/>
        </w:rPr>
        <w:t xml:space="preserve">号的</w:t>
      </w:r>
      <w:r>
        <w:rPr>
          <w:rFonts w:hint="eastAsia" w:ascii="宋体" w:hAnsi="宋体" w:eastAsia="宋体" w:cs="宋体"/>
          <w:szCs w:val="24"/>
          <w:highlight w:val="none"/>
          <w:u w:val="single"/>
        </w:rPr>
        <w:t xml:space="preserve">采购包      </w:t>
      </w:r>
      <w:r>
        <w:rPr>
          <w:rFonts w:hint="eastAsia" w:ascii="宋体" w:hAnsi="宋体" w:eastAsia="宋体" w:cs="宋体"/>
          <w:szCs w:val="24"/>
          <w:highlight w:val="none"/>
        </w:rPr>
        <w:t xml:space="preserve">的招标活动。代理人在开标、评标、合同谈判过程中所签署的一切文件和处理与这有关的一切事务，我均予以承认。</w:t>
      </w:r>
      <w:r/>
    </w:p>
    <w:p>
      <w:pPr>
        <w:pStyle w:val="826"/>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826"/>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代理人无转委托权。特此委托。</w:t>
      </w:r>
      <w:r/>
    </w:p>
    <w:p>
      <w:pPr>
        <w:pStyle w:val="826"/>
        <w:ind w:firstLine="0"/>
        <w:spacing w:line="360" w:lineRule="auto"/>
        <w:rPr>
          <w:rFonts w:ascii="宋体" w:hAnsi="宋体" w:eastAsia="宋体" w:cs="宋体"/>
          <w:szCs w:val="24"/>
          <w:highlight w:val="none"/>
        </w:rPr>
      </w:pPr>
      <w:r>
        <w:rPr>
          <w:rFonts w:ascii="宋体" w:hAnsi="宋体" w:eastAsia="宋体" w:cs="宋体"/>
          <w:szCs w:val="24"/>
          <w:highlight w:val="none"/>
        </w:rPr>
      </w:r>
      <w:r/>
    </w:p>
    <w:p>
      <w:pPr>
        <w:pStyle w:val="826"/>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供应商：（公章）</w:t>
      </w:r>
      <w:r/>
    </w:p>
    <w:p>
      <w:pPr>
        <w:pStyle w:val="826"/>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法定代表人：（签字或盖章）</w:t>
      </w:r>
      <w:r/>
    </w:p>
    <w:p>
      <w:pPr>
        <w:pStyle w:val="826"/>
        <w:ind w:firstLine="0"/>
        <w:spacing w:line="360" w:lineRule="auto"/>
        <w:rPr>
          <w:rFonts w:ascii="宋体" w:hAnsi="宋体" w:eastAsia="宋体" w:cs="宋体"/>
          <w:sz w:val="21"/>
          <w:highlight w:val="none"/>
        </w:rPr>
      </w:pPr>
      <w:r>
        <w:rPr>
          <w:rFonts w:hint="eastAsia" w:ascii="宋体" w:hAnsi="宋体" w:eastAsia="宋体" w:cs="宋体"/>
          <w:szCs w:val="24"/>
          <w:highlight w:val="none"/>
        </w:rPr>
        <w:t xml:space="preserve">代理人：（签字）</w:t>
      </w:r>
      <w:r>
        <w:rPr>
          <w:rFonts w:hint="eastAsia" w:ascii="宋体" w:hAnsi="宋体" w:eastAsia="宋体" w:cs="宋体"/>
          <w:sz w:val="21"/>
          <w:highlight w:val="none"/>
        </w:rPr>
        <w:t xml:space="preserve"> </w:t>
      </w:r>
      <w:r/>
    </w:p>
    <w:p>
      <w:pPr>
        <w:pStyle w:val="826"/>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日期：       年    月     日</w:t>
      </w:r>
      <w:r/>
    </w:p>
    <w:p>
      <w:pPr>
        <w:ind w:firstLine="420"/>
        <w:jc w:val="righ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right"/>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85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388"/>
        <w:gridCol w:w="1663"/>
        <w:gridCol w:w="1780"/>
        <w:gridCol w:w="2161"/>
        <w:gridCol w:w="1663"/>
      </w:tblGrid>
      <w:tr>
        <w:trPr>
          <w:trHeight w:val="680"/>
        </w:trPr>
        <w:tc>
          <w:tcPr>
            <w:tcMar>
              <w:left w:w="108" w:type="dxa"/>
              <w:top w:w="0" w:type="dxa"/>
              <w:right w:w="108" w:type="dxa"/>
              <w:bottom w:w="0" w:type="dxa"/>
            </w:tcMar>
            <w:tcW w:w="33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74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896"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959" w:type="pct"/>
            <w:vAlign w:val="center"/>
            <w:textDirection w:val="lrTb"/>
            <w:noWrap w:val="false"/>
          </w:tcPr>
          <w:p>
            <w:pPr>
              <w:jc w:val="center"/>
              <w:spacing w:line="400"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采购包号</w:t>
            </w:r>
            <w:r/>
          </w:p>
        </w:tc>
        <w:tc>
          <w:tcPr>
            <w:tcMar>
              <w:left w:w="108" w:type="dxa"/>
              <w:top w:w="0" w:type="dxa"/>
              <w:right w:w="108" w:type="dxa"/>
              <w:bottom w:w="0" w:type="dxa"/>
            </w:tcMar>
            <w:tcW w:w="1164"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892" w:type="pct"/>
            <w:vAlign w:val="center"/>
            <w:textDirection w:val="lrTb"/>
            <w:noWrap w:val="false"/>
          </w:tcPr>
          <w:p>
            <w:pPr>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337"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48"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96"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59" w:type="pct"/>
            <w:vAlign w:val="center"/>
            <w:textDirection w:val="lrTb"/>
            <w:noWrap w:val="false"/>
          </w:tcPr>
          <w:p>
            <w:pPr>
              <w:jc w:val="both"/>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采购包</w:t>
            </w:r>
            <w:r>
              <w:rPr>
                <w:rFonts w:hint="eastAsia" w:ascii="宋体" w:hAnsi="宋体" w:eastAsia="宋体" w:cs="宋体"/>
                <w:sz w:val="24"/>
                <w:szCs w:val="24"/>
                <w:highlight w:val="none"/>
                <w:u w:val="single"/>
              </w:rPr>
              <w:t xml:space="preserve">      </w:t>
            </w:r>
            <w:r/>
          </w:p>
        </w:tc>
        <w:tc>
          <w:tcPr>
            <w:tcMar>
              <w:left w:w="108" w:type="dxa"/>
              <w:top w:w="0" w:type="dxa"/>
              <w:right w:w="108" w:type="dxa"/>
              <w:bottom w:w="0" w:type="dxa"/>
            </w:tcMar>
            <w:tcW w:w="1164"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9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6"/>
            <w:tcMar>
              <w:left w:w="108" w:type="dxa"/>
              <w:top w:w="0" w:type="dxa"/>
              <w:right w:w="108" w:type="dxa"/>
              <w:bottom w:w="0" w:type="dxa"/>
            </w:tcMar>
            <w:tcW w:w="5000" w:type="pct"/>
            <w:vAlign w:val="center"/>
            <w:textDirection w:val="lrTb"/>
            <w:noWrap w:val="false"/>
          </w:tcPr>
          <w:p>
            <w:pP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jc w:val="both"/>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after="156"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85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line="360" w:lineRule="auto"/>
        <w:tabs>
          <w:tab w:val="left" w:pos="7560" w:leader="none"/>
        </w:tabs>
        <w:rPr>
          <w:rFonts w:ascii="宋体" w:hAnsi="宋体" w:cs="宋体"/>
          <w:sz w:val="24"/>
          <w:szCs w:val="24"/>
          <w:highlight w:val="none"/>
        </w:rPr>
      </w:pPr>
      <w:r>
        <w:rPr>
          <w:rFonts w:ascii="宋体" w:hAnsi="宋体" w:cs="宋体"/>
          <w:sz w:val="24"/>
          <w:szCs w:val="24"/>
          <w:highlight w:val="none"/>
        </w:rPr>
      </w:r>
      <w:r/>
    </w:p>
    <w:p>
      <w:pPr>
        <w:ind w:firstLine="480"/>
        <w:spacing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w:t>
      </w:r>
      <w:r>
        <w:rPr>
          <w:rFonts w:hint="eastAsia" w:ascii="宋体" w:hAnsi="宋体" w:eastAsia="宋体" w:cs="宋体"/>
          <w:sz w:val="24"/>
          <w:szCs w:val="24"/>
          <w:highlight w:val="none"/>
          <w:lang w:val="en-US" w:eastAsia="zh-CN"/>
        </w:rPr>
        <w:t xml:space="preserve">谋取</w:t>
      </w:r>
      <w:r>
        <w:rPr>
          <w:rFonts w:hint="eastAsia" w:ascii="宋体" w:hAnsi="宋体" w:eastAsia="宋体" w:cs="宋体"/>
          <w:sz w:val="24"/>
          <w:szCs w:val="24"/>
          <w:highlight w:val="none"/>
        </w:rPr>
        <w:t xml:space="preserve">入围的，按“政府采购法”相关规定处理。</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1807"/>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8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after="156"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85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745"/>
        <w:gridCol w:w="758"/>
        <w:gridCol w:w="1216"/>
        <w:gridCol w:w="1436"/>
        <w:gridCol w:w="1428"/>
        <w:gridCol w:w="1556"/>
        <w:gridCol w:w="1566"/>
      </w:tblGrid>
      <w:tr>
        <w:trPr>
          <w:trHeight w:val="525"/>
        </w:trPr>
        <w:tc>
          <w:tcPr>
            <w:tcMar>
              <w:left w:w="108" w:type="dxa"/>
              <w:top w:w="0" w:type="dxa"/>
              <w:right w:w="108" w:type="dxa"/>
              <w:bottom w:w="0" w:type="dxa"/>
            </w:tcMar>
            <w:tcW w:w="309"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0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姓名</w:t>
            </w:r>
            <w:r/>
          </w:p>
        </w:tc>
        <w:tc>
          <w:tcPr>
            <w:tcMar>
              <w:left w:w="108" w:type="dxa"/>
              <w:top w:w="0" w:type="dxa"/>
              <w:right w:w="108" w:type="dxa"/>
              <w:bottom w:w="0" w:type="dxa"/>
            </w:tcMar>
            <w:tcW w:w="408" w:type="pct"/>
            <w:vAlign w:val="center"/>
            <w:textDirection w:val="lrTb"/>
            <w:noWrap w:val="false"/>
          </w:tcPr>
          <w:p>
            <w:pPr>
              <w:jc w:val="cente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性别</w:t>
            </w:r>
            <w:r/>
          </w:p>
        </w:tc>
        <w:tc>
          <w:tcPr>
            <w:tcMar>
              <w:left w:w="108" w:type="dxa"/>
              <w:top w:w="0" w:type="dxa"/>
              <w:right w:w="108" w:type="dxa"/>
              <w:bottom w:w="0" w:type="dxa"/>
            </w:tcMar>
            <w:tcW w:w="655" w:type="pct"/>
            <w:vAlign w:val="center"/>
            <w:textDirection w:val="lrTb"/>
            <w:noWrap w:val="false"/>
          </w:tcPr>
          <w:p>
            <w:pPr>
              <w:jc w:val="cente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年龄</w:t>
            </w:r>
            <w:r/>
          </w:p>
        </w:tc>
        <w:tc>
          <w:tcPr>
            <w:tcMar>
              <w:left w:w="108" w:type="dxa"/>
              <w:top w:w="0" w:type="dxa"/>
              <w:right w:w="108" w:type="dxa"/>
              <w:bottom w:w="0" w:type="dxa"/>
            </w:tcMar>
            <w:tcW w:w="773" w:type="pct"/>
            <w:vAlign w:val="center"/>
            <w:textDirection w:val="lrTb"/>
            <w:noWrap w:val="false"/>
          </w:tcPr>
          <w:p>
            <w:pPr>
              <w:jc w:val="cente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在本项目中的岗位</w:t>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工作年限</w:t>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曾</w:t>
            </w:r>
            <w:r>
              <w:rPr>
                <w:rFonts w:hint="eastAsia" w:ascii="宋体" w:hAnsi="宋体" w:eastAsia="宋体" w:cs="宋体"/>
                <w:sz w:val="24"/>
                <w:highlight w:val="none"/>
              </w:rPr>
              <w:t xml:space="preserve">参与过</w:t>
            </w:r>
            <w:r>
              <w:rPr>
                <w:rFonts w:ascii="宋体" w:hAnsi="宋体" w:eastAsia="宋体" w:cs="宋体"/>
                <w:sz w:val="24"/>
                <w:highlight w:val="none"/>
              </w:rPr>
              <w:t xml:space="preserve">的</w:t>
            </w:r>
            <w:r>
              <w:rPr>
                <w:rFonts w:hint="eastAsia" w:ascii="宋体" w:hAnsi="宋体" w:eastAsia="宋体" w:cs="宋体"/>
                <w:sz w:val="24"/>
                <w:highlight w:val="none"/>
              </w:rPr>
              <w:t xml:space="preserve">类似项目</w:t>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在曾</w:t>
            </w:r>
            <w:r>
              <w:rPr>
                <w:rFonts w:hint="eastAsia" w:ascii="宋体" w:hAnsi="宋体" w:eastAsia="宋体" w:cs="宋体"/>
                <w:sz w:val="24"/>
                <w:highlight w:val="none"/>
              </w:rPr>
              <w:t xml:space="preserve">参与过</w:t>
            </w:r>
            <w:r>
              <w:rPr>
                <w:rFonts w:ascii="宋体" w:hAnsi="宋体" w:eastAsia="宋体" w:cs="宋体"/>
                <w:sz w:val="24"/>
                <w:highlight w:val="none"/>
              </w:rPr>
              <w:t xml:space="preserve">的</w:t>
            </w:r>
            <w:r>
              <w:rPr>
                <w:rFonts w:hint="eastAsia" w:ascii="宋体" w:hAnsi="宋体" w:eastAsia="宋体" w:cs="宋体"/>
                <w:sz w:val="24"/>
                <w:highlight w:val="none"/>
              </w:rPr>
              <w:t xml:space="preserve">项目</w:t>
            </w:r>
            <w:r>
              <w:rPr>
                <w:rFonts w:ascii="宋体" w:hAnsi="宋体" w:eastAsia="宋体" w:cs="宋体"/>
                <w:sz w:val="24"/>
                <w:highlight w:val="none"/>
              </w:rPr>
              <w:t xml:space="preserve">中担任的职务</w:t>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7.1关于资格文件的声明函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w:t>
      </w:r>
      <w:r>
        <w:rPr>
          <w:rFonts w:hint="eastAsia" w:ascii="宋体" w:hAnsi="宋体" w:eastAsia="宋体" w:cs="宋体"/>
          <w:sz w:val="24"/>
          <w:szCs w:val="24"/>
          <w:highlight w:val="none"/>
          <w:u w:val="single"/>
        </w:rPr>
        <w:t xml:space="preserve">采购包       </w:t>
      </w:r>
      <w:r>
        <w:rPr>
          <w:rFonts w:ascii="宋体" w:hAnsi="宋体" w:eastAsia="宋体" w:cs="宋体"/>
          <w:sz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投标供应商：（单位盖章）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156"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824"/>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5"/>
        <w:gridCol w:w="1951"/>
        <w:gridCol w:w="1472"/>
        <w:gridCol w:w="1940"/>
        <w:gridCol w:w="1242"/>
      </w:tblGrid>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826"/>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c>
          <w:tcPr>
            <w:gridSpan w:val="2"/>
            <w:tcW w:w="1838"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826"/>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826"/>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826"/>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826"/>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826"/>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826"/>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826"/>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826"/>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826"/>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826"/>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826"/>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826"/>
              <w:ind w:firstLine="0"/>
              <w:rPr>
                <w:rFonts w:ascii="宋体" w:hAnsi="宋体" w:eastAsia="宋体" w:cs="宋体"/>
                <w:highlight w:val="none"/>
              </w:rPr>
            </w:pPr>
            <w:r>
              <w:rPr>
                <w:rFonts w:ascii="宋体" w:hAnsi="宋体" w:eastAsia="宋体" w:cs="宋体"/>
                <w:highlight w:val="none"/>
              </w:rPr>
            </w:r>
            <w:r/>
          </w:p>
        </w:tc>
      </w:tr>
    </w:tbl>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85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85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85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before="10" w:after="25"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spacing w:before="10" w:after="25"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840"/>
        <w:spacing w:before="25" w:after="25"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before="25" w:after="25"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21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21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highlight w:val="none"/>
        </w:rPr>
        <w:t xml:space="preserve">代理人</w:t>
      </w:r>
      <w:r>
        <w:rPr>
          <w:rFonts w:ascii="宋体" w:hAnsi="宋体" w:eastAsia="宋体" w:cs="宋体"/>
          <w:sz w:val="24"/>
          <w:highlight w:val="none"/>
        </w:rPr>
        <w:t xml:space="preserve">：（签字或签章）</w:t>
      </w:r>
      <w:r/>
    </w:p>
    <w:p>
      <w:pPr>
        <w:ind w:firstLine="21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十一、中小企业声明函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 （企业名称）</w:t>
      </w:r>
      <w:r>
        <w:rPr>
          <w:rFonts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 （企业名称）</w:t>
      </w:r>
      <w:r>
        <w:rPr>
          <w:rFonts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5、供应商应对照中小企业划分标准和采购标的所属行业：</w:t>
      </w:r>
      <w:r>
        <w:rPr>
          <w:rFonts w:hint="eastAsia" w:ascii="宋体" w:hAnsi="宋体" w:eastAsia="宋体" w:cs="宋体"/>
          <w:b/>
          <w:sz w:val="24"/>
          <w:szCs w:val="24"/>
          <w:highlight w:val="none"/>
          <w:u w:val="single"/>
        </w:rPr>
        <w:t xml:space="preserve">工业</w:t>
      </w:r>
      <w:r>
        <w:rPr>
          <w:rFonts w:ascii="宋体" w:hAnsi="宋体" w:eastAsia="宋体" w:cs="宋体"/>
          <w:b/>
          <w:sz w:val="24"/>
          <w:szCs w:val="24"/>
          <w:highlight w:val="none"/>
          <w:u w:val="single"/>
        </w:rPr>
        <w:t xml:space="preserve"> </w:t>
      </w:r>
      <w:r>
        <w:rPr>
          <w:rFonts w:ascii="宋体" w:hAnsi="宋体" w:eastAsia="宋体" w:cs="宋体"/>
          <w:b/>
          <w:sz w:val="24"/>
          <w:szCs w:val="24"/>
          <w:highlight w:val="none"/>
        </w:rPr>
        <w:t xml:space="preserve">，如实、完整填报《中小企业声明函》，如未对（中型企业、小型企业、微型企业）进行勾选，视同非中、小、微企业，不享受相应扶持政策。</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 </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 </w:t>
      </w:r>
      <w:r/>
    </w:p>
    <w:p>
      <w:pPr>
        <w:ind w:firstLine="50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 </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 </w:t>
      </w:r>
      <w:r/>
    </w:p>
    <w:p>
      <w:pPr>
        <w:ind w:firstLine="480"/>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480"/>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十三、关于符合本国产品标准的声明函</w:t>
      </w:r>
      <w:r/>
    </w:p>
    <w:p>
      <w:pPr>
        <w:pStyle w:val="847"/>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84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854"/>
          <w:rFonts w:hint="eastAsia" w:ascii="宋体" w:hAnsi="宋体" w:eastAsia="宋体" w:cs="宋体"/>
          <w:i w:val="0"/>
          <w:szCs w:val="24"/>
          <w:highlight w:val="none"/>
          <w:u w:val="single"/>
          <w:shd w:val="clear" w:color="auto" w:fill="ffffff"/>
        </w:rPr>
        <w:t xml:space="preserve">（产品名称1）</w:t>
      </w:r>
      <w:r>
        <w:rPr>
          <w:rStyle w:val="854"/>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854"/>
          <w:rFonts w:hint="eastAsia" w:ascii="宋体" w:hAnsi="宋体" w:eastAsia="宋体" w:cs="宋体"/>
          <w:i w:val="0"/>
          <w:szCs w:val="24"/>
          <w:highlight w:val="none"/>
          <w:u w:val="single"/>
          <w:shd w:val="clear" w:color="auto" w:fill="ffffff"/>
        </w:rPr>
        <w:t xml:space="preserve">（厂名）</w:t>
      </w:r>
      <w:r>
        <w:rPr>
          <w:rStyle w:val="854"/>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85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85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854"/>
          <w:rFonts w:hint="eastAsia" w:ascii="宋体" w:hAnsi="宋体" w:eastAsia="宋体" w:cs="宋体"/>
          <w:i w:val="0"/>
          <w:szCs w:val="24"/>
          <w:highlight w:val="none"/>
          <w:u w:val="single"/>
          <w:shd w:val="clear" w:color="auto" w:fill="ffffff"/>
        </w:rPr>
        <w:t xml:space="preserve">（规定比例）</w:t>
      </w:r>
      <w:r>
        <w:rPr>
          <w:rStyle w:val="854"/>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85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854"/>
          <w:rFonts w:hint="eastAsia" w:ascii="宋体" w:hAnsi="宋体" w:eastAsia="宋体" w:cs="宋体"/>
          <w:i w:val="0"/>
          <w:szCs w:val="24"/>
          <w:highlight w:val="none"/>
          <w:u w:val="single"/>
          <w:shd w:val="clear" w:color="auto" w:fill="ffffff"/>
        </w:rPr>
        <w:t xml:space="preserve">（关键组件）</w:t>
      </w:r>
      <w:r>
        <w:rPr>
          <w:rStyle w:val="854"/>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85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854"/>
          <w:rFonts w:hint="eastAsia" w:ascii="宋体" w:hAnsi="宋体" w:eastAsia="宋体" w:cs="宋体"/>
          <w:i w:val="0"/>
          <w:szCs w:val="24"/>
          <w:highlight w:val="none"/>
          <w:u w:val="single"/>
          <w:shd w:val="clear" w:color="auto" w:fill="ffffff"/>
        </w:rPr>
        <w:t xml:space="preserve">（关键工序）</w:t>
      </w:r>
      <w:r>
        <w:rPr>
          <w:rStyle w:val="854"/>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84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85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854"/>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85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85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854"/>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85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854"/>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85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854"/>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84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84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847"/>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84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　</w:t>
      </w:r>
      <w:r/>
    </w:p>
    <w:p>
      <w:pPr>
        <w:pStyle w:val="84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847"/>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84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84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84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84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84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134" w:right="1304" w:bottom="1134" w:left="1304" w:header="851" w:footer="850" w:gutter="0"/>
          <w:pgNumType w:start="1"/>
          <w:cols w:num="1" w:sep="0" w:space="425" w:equalWidth="1"/>
          <w:docGrid w:linePitch="360"/>
          <w:titlePg/>
        </w:sectPr>
      </w:pPr>
      <w:r>
        <w:rPr>
          <w:rFonts w:ascii="宋体" w:hAnsi="宋体" w:eastAsia="宋体" w:cs="宋体"/>
          <w:sz w:val="24"/>
          <w:highlight w:val="none"/>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作为招标</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核酸制备</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JSZC-320500-HWZX-G2026-0582</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Cs/>
          <w:sz w:val="24"/>
          <w:szCs w:val="24"/>
          <w:highlight w:val="none"/>
        </w:rPr>
        <w:t xml:space="preserve">核酸制备</w:t>
      </w:r>
      <w:r/>
    </w:p>
    <w:p>
      <w:pPr>
        <w:ind w:firstLine="482"/>
        <w:spacing w:line="360" w:lineRule="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三、预算金额</w:t>
      </w:r>
      <w:r>
        <w:rPr>
          <w:rFonts w:hint="eastAsia" w:ascii="宋体" w:hAnsi="宋体" w:eastAsia="宋体" w:cs="宋体"/>
          <w:b/>
          <w:sz w:val="24"/>
          <w:szCs w:val="24"/>
          <w:highlight w:val="none"/>
          <w:lang w:val="en-US" w:eastAsia="zh-CN"/>
        </w:rPr>
        <w:t xml:space="preserve">和最高限价</w:t>
      </w:r>
      <w:r/>
    </w:p>
    <w:p>
      <w:pPr>
        <w:ind w:firstLine="480"/>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预算金额：本项目采购预算：人民币185万元（其中，</w:t>
      </w:r>
      <w:r>
        <w:rPr>
          <w:rFonts w:ascii="宋体" w:hAnsi="宋体" w:eastAsia="宋体" w:cs="宋体"/>
          <w:sz w:val="24"/>
          <w:szCs w:val="24"/>
          <w:highlight w:val="none"/>
        </w:rPr>
        <w:t xml:space="preserve">采购包1</w:t>
      </w:r>
      <w:r>
        <w:rPr>
          <w:rFonts w:hint="eastAsia" w:ascii="宋体" w:hAnsi="宋体" w:eastAsia="宋体" w:cs="宋体"/>
          <w:sz w:val="24"/>
          <w:szCs w:val="24"/>
          <w:highlight w:val="none"/>
        </w:rPr>
        <w:t xml:space="preserve">：125万元；</w:t>
      </w:r>
      <w:r>
        <w:rPr>
          <w:rFonts w:ascii="宋体" w:hAnsi="宋体" w:eastAsia="宋体" w:cs="宋体"/>
          <w:sz w:val="24"/>
          <w:szCs w:val="24"/>
          <w:highlight w:val="none"/>
        </w:rPr>
        <w:t xml:space="preserve">采购包</w:t>
      </w:r>
      <w:r>
        <w:rPr>
          <w:rFonts w:hint="eastAsia" w:ascii="宋体" w:hAnsi="宋体" w:eastAsia="宋体" w:cs="宋体"/>
          <w:sz w:val="24"/>
          <w:szCs w:val="24"/>
          <w:highlight w:val="none"/>
        </w:rPr>
        <w:t xml:space="preserve">2：60万元），其中：</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采购包1：全自动核酸合成仪  1台  85万</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rFonts w:ascii="宋体" w:hAnsi="宋体" w:eastAsia="宋体" w:cs="宋体"/>
          <w:b/>
          <w:sz w:val="24"/>
          <w:szCs w:val="24"/>
          <w:highlight w:val="none"/>
        </w:rPr>
        <w:t xml:space="preserve"> </w:t>
      </w:r>
      <w:r>
        <w:rPr>
          <w:rFonts w:hint="eastAsia" w:ascii="宋体" w:hAnsi="宋体" w:eastAsia="宋体" w:cs="宋体"/>
          <w:b/>
          <w:sz w:val="24"/>
          <w:szCs w:val="24"/>
          <w:highlight w:val="none"/>
        </w:rPr>
        <w:t xml:space="preserve">     16通道核酸合成仪  1台  40万</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采购包2：高通量核酸提取仪  1台  60万</w:t>
      </w:r>
      <w:r/>
    </w:p>
    <w:p>
      <w:pPr>
        <w:ind w:firstLine="480"/>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2.最高限价</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eastAsia="zh-CN"/>
        </w:rPr>
        <w:t xml:space="preserve">最高限价</w:t>
      </w:r>
      <w:r>
        <w:rPr>
          <w:rFonts w:hint="eastAsia" w:ascii="宋体" w:hAnsi="宋体" w:eastAsia="宋体" w:cs="宋体"/>
          <w:sz w:val="24"/>
          <w:szCs w:val="24"/>
          <w:highlight w:val="none"/>
        </w:rPr>
        <w:t xml:space="preserve">：人民币185万元（其中，</w:t>
      </w:r>
      <w:r>
        <w:rPr>
          <w:rFonts w:ascii="宋体" w:hAnsi="宋体" w:eastAsia="宋体" w:cs="宋体"/>
          <w:sz w:val="24"/>
          <w:szCs w:val="24"/>
          <w:highlight w:val="none"/>
        </w:rPr>
        <w:t xml:space="preserve">采购包1</w:t>
      </w:r>
      <w:r>
        <w:rPr>
          <w:rFonts w:hint="eastAsia" w:ascii="宋体" w:hAnsi="宋体" w:eastAsia="宋体" w:cs="宋体"/>
          <w:sz w:val="24"/>
          <w:szCs w:val="24"/>
          <w:highlight w:val="none"/>
        </w:rPr>
        <w:t xml:space="preserve">：125万元；</w:t>
      </w:r>
      <w:r>
        <w:rPr>
          <w:rFonts w:ascii="宋体" w:hAnsi="宋体" w:eastAsia="宋体" w:cs="宋体"/>
          <w:sz w:val="24"/>
          <w:szCs w:val="24"/>
          <w:highlight w:val="none"/>
        </w:rPr>
        <w:t xml:space="preserve">采购包</w:t>
      </w:r>
      <w:r>
        <w:rPr>
          <w:rFonts w:hint="eastAsia" w:ascii="宋体" w:hAnsi="宋体" w:eastAsia="宋体" w:cs="宋体"/>
          <w:sz w:val="24"/>
          <w:szCs w:val="24"/>
          <w:highlight w:val="none"/>
        </w:rPr>
        <w:t xml:space="preserve">2：60万元），其中：</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采购包1：全自动核酸合成仪  1台  85万</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rFonts w:ascii="宋体" w:hAnsi="宋体" w:eastAsia="宋体" w:cs="宋体"/>
          <w:b/>
          <w:sz w:val="24"/>
          <w:szCs w:val="24"/>
          <w:highlight w:val="none"/>
        </w:rPr>
        <w:t xml:space="preserve"> </w:t>
      </w:r>
      <w:r>
        <w:rPr>
          <w:rFonts w:hint="eastAsia" w:ascii="宋体" w:hAnsi="宋体" w:eastAsia="宋体" w:cs="宋体"/>
          <w:b/>
          <w:sz w:val="24"/>
          <w:szCs w:val="24"/>
          <w:highlight w:val="none"/>
        </w:rPr>
        <w:t xml:space="preserve">     16通道核酸合成仪  1台  40万</w:t>
      </w:r>
      <w:r/>
    </w:p>
    <w:p>
      <w:pPr>
        <w:ind w:firstLine="482"/>
        <w:spacing w:line="360" w:lineRule="auto"/>
        <w:rPr>
          <w:rFonts w:hint="eastAsia" w:ascii="宋体" w:hAnsi="宋体" w:eastAsia="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采购包2：高通量核酸提取仪  1台  60万</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注：各采购包供应商的各设备报价不得超过该设备预算金额或最高限价，否则视为无效投标。</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采购包1</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本采购包核心产品为：</w:t>
      </w:r>
      <w:r>
        <w:rPr>
          <w:rFonts w:hint="eastAsia" w:ascii="宋体" w:hAnsi="宋体" w:eastAsia="宋体" w:cs="宋体"/>
          <w:b/>
          <w:sz w:val="24"/>
          <w:szCs w:val="24"/>
          <w:highlight w:val="none"/>
        </w:rPr>
        <w:t xml:space="preserve">全自动核酸合成仪</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全自动核酸合成仪</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（一）技术参数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 系统输液泵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1.1.1配置高精度输液系统，支持双泵梯度及叠加输液模式。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1.1.2双泵梯度运行模式：流速范围不低于0.01-100ml/min。</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1.1.3双泵叠加运行模式：流速范围不低于0.01–200ml/min。</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1.1.4压力范围：0–10 MPa (100bar，1450 psi)</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1.1.5流速重复性：条件：0.25–100 ml/min,流速准确度：不低于±1.2%，流速精度：RSD&lt;0.5%</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1.1.6梯度精度: ±0.5%, 梯度流速范围：0.1-100ml/min</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1.1.7粘度：优于</w:t>
      </w:r>
      <w:r>
        <w:rPr>
          <w:rFonts w:ascii="宋体" w:hAnsi="宋体" w:eastAsia="宋体" w:cs="宋体"/>
          <w:sz w:val="24"/>
          <w:szCs w:val="24"/>
          <w:highlight w:val="none"/>
        </w:rPr>
        <w:t xml:space="preserve">0.35–5 cP</w:t>
      </w:r>
      <w:r>
        <w:rPr>
          <w:rFonts w:hint="eastAsia" w:ascii="宋体" w:hAnsi="宋体" w:eastAsia="宋体" w:cs="宋体"/>
          <w:sz w:val="24"/>
          <w:szCs w:val="24"/>
          <w:highlight w:val="none"/>
        </w:rPr>
        <w:t xml:space="preserve">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1.1.8支持体积流速、压力流速、线性流速的设置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2.紫外检测器</w:t>
      </w:r>
      <w:r/>
    </w:p>
    <w:p>
      <w:pPr>
        <w:ind w:firstLine="48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2.1 配置二极管阵列检测器（DAD），支持同时检测四个波长，波长范围不低于200nm-600nm</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 波长精度：不低于±1nm</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 波长重复性：不低于±0.5 nm</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2.4 噪声：≤±1×10</w:t>
      </w:r>
      <w:r>
        <w:rPr>
          <w:rFonts w:ascii="宋体" w:hAnsi="宋体" w:eastAsia="宋体" w:cs="宋体"/>
          <w:sz w:val="24"/>
          <w:szCs w:val="24"/>
          <w:highlight w:val="none"/>
          <w:vertAlign w:val="superscript"/>
        </w:rPr>
        <w:t xml:space="preserve">-</w:t>
      </w:r>
      <w:r>
        <w:rPr>
          <w:rFonts w:hint="eastAsia" w:ascii="宋体" w:hAnsi="宋体" w:eastAsia="宋体" w:cs="宋体"/>
          <w:sz w:val="24"/>
          <w:szCs w:val="24"/>
          <w:highlight w:val="none"/>
          <w:vertAlign w:val="superscript"/>
        </w:rPr>
        <w:t xml:space="preserve">4</w:t>
      </w:r>
      <w:r>
        <w:rPr>
          <w:rFonts w:hint="eastAsia" w:ascii="宋体" w:hAnsi="宋体" w:eastAsia="宋体" w:cs="宋体"/>
          <w:sz w:val="24"/>
          <w:szCs w:val="24"/>
          <w:highlight w:val="none"/>
        </w:rPr>
        <w:t xml:space="preserve">AU （@254nm，1s）</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 标准流通池：光径≥1mm，流通池死体积不高于10ul。</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 电导检测器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 检测范围：不低于0.001mS/cm－999.9mS/cm</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 检测池体积：≤2</w:t>
      </w:r>
      <w:r>
        <w:rPr>
          <w:rFonts w:ascii="宋体" w:hAnsi="宋体" w:eastAsia="宋体" w:cs="宋体"/>
          <w:sz w:val="24"/>
          <w:szCs w:val="24"/>
          <w:highlight w:val="none"/>
        </w:rPr>
        <w:t xml:space="preserve">0</w:t>
      </w:r>
      <w:r>
        <w:rPr>
          <w:rFonts w:hint="eastAsia" w:ascii="宋体" w:hAnsi="宋体" w:eastAsia="宋体" w:cs="宋体"/>
          <w:sz w:val="24"/>
          <w:szCs w:val="24"/>
          <w:highlight w:val="none"/>
        </w:rPr>
        <w:t xml:space="preserve">ul</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3.3 电导精确度：≤±2%，0-200mS/cm,实时自动检测，配置温度检测器，利用校正因子做自动校正。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3.4 电导率内置温度传感器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温度检测器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4.1 温度范围：0- 99℃</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4.2 温度准确度：±0.5℃ （在 4℃–45℃ 之间）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流路</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5.1 整个流路兼容DNA、RNA合成常用试剂，乙腈、偶联试剂、脱帽剂、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氧化试剂、盖帽剂、硫代试剂等（不兼容四氢呋喃）；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5.2系统具备反应液循环功能，可提高偶联反应效率；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5.3</w:t>
      </w:r>
      <w:r>
        <w:rPr>
          <w:rFonts w:ascii="Segoe UI" w:hAnsi="Segoe UI" w:eastAsia="Segoe UI" w:cs="Segoe UI"/>
          <w:color w:val="0f1115"/>
          <w:sz w:val="24"/>
          <w:szCs w:val="24"/>
          <w:highlight w:val="none"/>
          <w:shd w:val="clear" w:color="auto" w:fill="ffffff"/>
        </w:rPr>
        <w:t xml:space="preserve">流动相选择阀：具备不少于4个多口阀，单体入口≥12个，溶剂入口≥</w:t>
      </w:r>
      <w:r>
        <w:rPr>
          <w:rFonts w:hint="eastAsia" w:ascii="Segoe UI" w:hAnsi="Segoe UI" w:eastAsia="宋体" w:cs="Segoe UI"/>
          <w:color w:val="0f1115"/>
          <w:sz w:val="24"/>
          <w:szCs w:val="24"/>
          <w:highlight w:val="none"/>
          <w:shd w:val="clear" w:color="auto" w:fill="ffffff"/>
        </w:rPr>
        <w:t xml:space="preserve">8</w:t>
      </w:r>
      <w:r>
        <w:rPr>
          <w:rFonts w:ascii="Segoe UI" w:hAnsi="Segoe UI" w:eastAsia="Segoe UI" w:cs="Segoe UI"/>
          <w:color w:val="0f1115"/>
          <w:sz w:val="24"/>
          <w:szCs w:val="24"/>
          <w:highlight w:val="none"/>
          <w:shd w:val="clear" w:color="auto" w:fill="ffffff"/>
        </w:rPr>
        <w:t xml:space="preserve">个，支持多种试剂和单体的自动切换</w:t>
      </w:r>
      <w:r>
        <w:rPr>
          <w:rFonts w:hint="eastAsia" w:ascii="宋体" w:hAnsi="宋体" w:eastAsia="宋体" w:cs="宋体"/>
          <w:sz w:val="24"/>
          <w:szCs w:val="24"/>
          <w:highlight w:val="none"/>
        </w:rPr>
        <w:t xml:space="preserve">；</w:t>
      </w:r>
      <w:r/>
    </w:p>
    <w:p>
      <w:pPr>
        <w:ind w:firstLine="480"/>
        <w:spacing w:line="360" w:lineRule="auto"/>
        <w:rPr>
          <w:rFonts w:ascii="Segoe UI" w:hAnsi="Segoe UI" w:eastAsia="Segoe UI" w:cs="Segoe UI"/>
          <w:color w:val="0f1115"/>
          <w:sz w:val="24"/>
          <w:szCs w:val="24"/>
          <w:highlight w:val="none"/>
          <w:shd w:val="clear" w:color="auto" w:fill="ffffff"/>
        </w:rPr>
      </w:pPr>
      <w:r>
        <w:rPr>
          <w:rFonts w:hint="eastAsia" w:ascii="宋体" w:hAnsi="宋体" w:eastAsia="宋体" w:cs="宋体"/>
          <w:sz w:val="24"/>
          <w:szCs w:val="24"/>
          <w:highlight w:val="none"/>
        </w:rPr>
        <w:t xml:space="preserve">5.4柱位阀：</w:t>
      </w:r>
      <w:r>
        <w:rPr>
          <w:rFonts w:hint="eastAsia" w:ascii="Segoe UI" w:hAnsi="Segoe UI" w:eastAsia="Segoe UI" w:cs="Segoe UI"/>
          <w:color w:val="0f1115"/>
          <w:sz w:val="24"/>
          <w:szCs w:val="24"/>
          <w:highlight w:val="none"/>
          <w:shd w:val="clear" w:color="auto" w:fill="ffffff"/>
        </w:rPr>
        <w:t xml:space="preserve">支持单柱位（可扩展至多柱位），具备</w:t>
      </w:r>
      <w:r>
        <w:rPr>
          <w:rFonts w:ascii="Segoe UI" w:hAnsi="Segoe UI" w:eastAsia="Segoe UI" w:cs="Segoe UI"/>
          <w:color w:val="0f1115"/>
          <w:sz w:val="24"/>
          <w:szCs w:val="24"/>
          <w:highlight w:val="none"/>
          <w:shd w:val="clear" w:color="auto" w:fill="ffffff"/>
        </w:rPr>
        <w:t xml:space="preserve">Column</w:t>
      </w:r>
      <w:r>
        <w:rPr>
          <w:rFonts w:hint="eastAsia" w:ascii="Segoe UI" w:hAnsi="Segoe UI" w:eastAsia="Segoe UI" w:cs="Segoe UI"/>
          <w:color w:val="0f1115"/>
          <w:sz w:val="24"/>
          <w:szCs w:val="24"/>
          <w:highlight w:val="none"/>
          <w:shd w:val="clear" w:color="auto" w:fill="ffffff"/>
        </w:rPr>
        <w:t xml:space="preserve">和</w:t>
      </w:r>
      <w:r>
        <w:rPr>
          <w:rFonts w:ascii="Segoe UI" w:hAnsi="Segoe UI" w:eastAsia="Segoe UI" w:cs="Segoe UI"/>
          <w:color w:val="0f1115"/>
          <w:sz w:val="24"/>
          <w:szCs w:val="24"/>
          <w:highlight w:val="none"/>
          <w:shd w:val="clear" w:color="auto" w:fill="ffffff"/>
        </w:rPr>
        <w:t xml:space="preserve">ByPass</w:t>
      </w:r>
      <w:r>
        <w:rPr>
          <w:rFonts w:hint="eastAsia" w:ascii="Segoe UI" w:hAnsi="Segoe UI" w:eastAsia="Segoe UI" w:cs="Segoe UI"/>
          <w:color w:val="0f1115"/>
          <w:sz w:val="24"/>
          <w:szCs w:val="24"/>
          <w:highlight w:val="none"/>
          <w:shd w:val="clear" w:color="auto" w:fill="ffffff"/>
        </w:rPr>
        <w:t xml:space="preserve">切换功能，可连接</w:t>
      </w:r>
      <w:r>
        <w:rPr>
          <w:rFonts w:ascii="Segoe UI" w:hAnsi="Segoe UI" w:eastAsia="Segoe UI" w:cs="Segoe UI"/>
          <w:color w:val="0f1115"/>
          <w:sz w:val="24"/>
          <w:szCs w:val="24"/>
          <w:highlight w:val="none"/>
          <w:shd w:val="clear" w:color="auto" w:fill="ffffff"/>
        </w:rPr>
        <w:t xml:space="preserve">6.3mL</w:t>
      </w:r>
      <w:r>
        <w:rPr>
          <w:rFonts w:hint="eastAsia" w:ascii="Segoe UI" w:hAnsi="Segoe UI" w:eastAsia="Segoe UI" w:cs="Segoe UI"/>
          <w:color w:val="0f1115"/>
          <w:sz w:val="24"/>
          <w:szCs w:val="24"/>
          <w:highlight w:val="none"/>
          <w:shd w:val="clear" w:color="auto" w:fill="ffffff"/>
        </w:rPr>
        <w:t xml:space="preserve">、</w:t>
      </w:r>
      <w:r>
        <w:rPr>
          <w:rFonts w:ascii="Segoe UI" w:hAnsi="Segoe UI" w:eastAsia="Segoe UI" w:cs="Segoe UI"/>
          <w:color w:val="0f1115"/>
          <w:sz w:val="24"/>
          <w:szCs w:val="24"/>
          <w:highlight w:val="none"/>
          <w:shd w:val="clear" w:color="auto" w:fill="ffffff"/>
        </w:rPr>
        <w:t xml:space="preserve">12mL</w:t>
      </w:r>
      <w:r>
        <w:rPr>
          <w:rFonts w:hint="eastAsia" w:ascii="Segoe UI" w:hAnsi="Segoe UI" w:eastAsia="Segoe UI" w:cs="Segoe UI"/>
          <w:color w:val="0f1115"/>
          <w:sz w:val="24"/>
          <w:szCs w:val="24"/>
          <w:highlight w:val="none"/>
          <w:shd w:val="clear" w:color="auto" w:fill="ffffff"/>
        </w:rPr>
        <w:t xml:space="preserve">、</w:t>
      </w:r>
      <w:r>
        <w:rPr>
          <w:rFonts w:ascii="Segoe UI" w:hAnsi="Segoe UI" w:eastAsia="Segoe UI" w:cs="Segoe UI"/>
          <w:color w:val="0f1115"/>
          <w:sz w:val="24"/>
          <w:szCs w:val="24"/>
          <w:highlight w:val="none"/>
          <w:shd w:val="clear" w:color="auto" w:fill="ffffff"/>
        </w:rPr>
        <w:t xml:space="preserve">24mL</w:t>
      </w:r>
      <w:r>
        <w:rPr>
          <w:rFonts w:hint="eastAsia" w:ascii="Segoe UI" w:hAnsi="Segoe UI" w:eastAsia="Segoe UI" w:cs="Segoe UI"/>
          <w:color w:val="0f1115"/>
          <w:sz w:val="24"/>
          <w:szCs w:val="24"/>
          <w:highlight w:val="none"/>
          <w:shd w:val="clear" w:color="auto" w:fill="ffffff"/>
        </w:rPr>
        <w:t xml:space="preserve">、</w:t>
      </w:r>
      <w:r>
        <w:rPr>
          <w:rFonts w:ascii="Segoe UI" w:hAnsi="Segoe UI" w:eastAsia="Segoe UI" w:cs="Segoe UI"/>
          <w:color w:val="0f1115"/>
          <w:sz w:val="24"/>
          <w:szCs w:val="24"/>
          <w:highlight w:val="none"/>
          <w:shd w:val="clear" w:color="auto" w:fill="ffffff"/>
        </w:rPr>
        <w:t xml:space="preserve">48mL</w:t>
      </w:r>
      <w:r>
        <w:rPr>
          <w:rFonts w:hint="eastAsia" w:ascii="Segoe UI" w:hAnsi="Segoe UI" w:eastAsia="Segoe UI" w:cs="Segoe UI"/>
          <w:color w:val="0f1115"/>
          <w:sz w:val="24"/>
          <w:szCs w:val="24"/>
          <w:highlight w:val="none"/>
          <w:shd w:val="clear" w:color="auto" w:fill="ffffff"/>
        </w:rPr>
        <w:t xml:space="preserve">等规格合成柱，合成规模</w:t>
      </w:r>
      <w:r>
        <w:rPr>
          <w:rFonts w:ascii="Segoe UI" w:hAnsi="Segoe UI" w:eastAsia="Segoe UI" w:cs="Segoe UI"/>
          <w:color w:val="0f1115"/>
          <w:sz w:val="24"/>
          <w:szCs w:val="24"/>
          <w:highlight w:val="none"/>
          <w:shd w:val="clear" w:color="auto" w:fill="ffffff"/>
        </w:rPr>
        <w:t xml:space="preserve">10μmol~9mmol</w:t>
      </w:r>
      <w:r>
        <w:rPr>
          <w:rFonts w:hint="eastAsia" w:ascii="Segoe UI" w:hAnsi="Segoe UI" w:eastAsia="Segoe UI" w:cs="Segoe UI"/>
          <w:color w:val="0f1115"/>
          <w:sz w:val="24"/>
          <w:szCs w:val="24"/>
          <w:highlight w:val="none"/>
          <w:shd w:val="clear" w:color="auto" w:fill="ffffff"/>
        </w:rPr>
        <w:t xml:space="preserve">，合成效率：</w:t>
      </w:r>
      <w:r>
        <w:rPr>
          <w:rFonts w:ascii="Segoe UI" w:hAnsi="Segoe UI" w:eastAsia="Segoe UI" w:cs="Segoe UI"/>
          <w:color w:val="0f1115"/>
          <w:sz w:val="24"/>
          <w:szCs w:val="24"/>
          <w:highlight w:val="none"/>
          <w:shd w:val="clear" w:color="auto" w:fill="ffffff"/>
        </w:rPr>
        <w:t xml:space="preserve">DNA</w:t>
      </w:r>
      <w:r>
        <w:rPr>
          <w:rFonts w:hint="eastAsia" w:ascii="Segoe UI" w:hAnsi="Segoe UI" w:eastAsia="Segoe UI" w:cs="Segoe UI"/>
          <w:color w:val="0f1115"/>
          <w:sz w:val="24"/>
          <w:szCs w:val="24"/>
          <w:highlight w:val="none"/>
          <w:shd w:val="clear" w:color="auto" w:fill="ffffff"/>
        </w:rPr>
        <w:t xml:space="preserve">＞</w:t>
      </w:r>
      <w:r>
        <w:rPr>
          <w:rFonts w:ascii="Segoe UI" w:hAnsi="Segoe UI" w:eastAsia="Segoe UI" w:cs="Segoe UI"/>
          <w:color w:val="0f1115"/>
          <w:sz w:val="24"/>
          <w:szCs w:val="24"/>
          <w:highlight w:val="none"/>
          <w:shd w:val="clear" w:color="auto" w:fill="ffffff"/>
        </w:rPr>
        <w:t xml:space="preserve">99%</w:t>
      </w:r>
      <w:r>
        <w:rPr>
          <w:rFonts w:hint="eastAsia" w:ascii="Segoe UI" w:hAnsi="Segoe UI" w:eastAsia="Segoe UI" w:cs="Segoe UI"/>
          <w:color w:val="0f1115"/>
          <w:sz w:val="24"/>
          <w:szCs w:val="24"/>
          <w:highlight w:val="none"/>
          <w:shd w:val="clear" w:color="auto" w:fill="ffffff"/>
        </w:rPr>
        <w:t xml:space="preserve">，</w:t>
      </w:r>
      <w:r>
        <w:rPr>
          <w:rFonts w:ascii="Segoe UI" w:hAnsi="Segoe UI" w:eastAsia="Segoe UI" w:cs="Segoe UI"/>
          <w:color w:val="0f1115"/>
          <w:sz w:val="24"/>
          <w:szCs w:val="24"/>
          <w:highlight w:val="none"/>
          <w:shd w:val="clear" w:color="auto" w:fill="ffffff"/>
        </w:rPr>
        <w:t xml:space="preserve">RNA</w:t>
      </w:r>
      <w:r>
        <w:rPr>
          <w:rFonts w:hint="eastAsia" w:ascii="Segoe UI" w:hAnsi="Segoe UI" w:eastAsia="Segoe UI" w:cs="Segoe UI"/>
          <w:color w:val="0f1115"/>
          <w:sz w:val="24"/>
          <w:szCs w:val="24"/>
          <w:highlight w:val="none"/>
          <w:shd w:val="clear" w:color="auto" w:fill="ffffff"/>
        </w:rPr>
        <w:t xml:space="preserve">＞</w:t>
      </w:r>
      <w:r>
        <w:rPr>
          <w:rFonts w:ascii="Segoe UI" w:hAnsi="Segoe UI" w:eastAsia="Segoe UI" w:cs="Segoe UI"/>
          <w:color w:val="0f1115"/>
          <w:sz w:val="24"/>
          <w:szCs w:val="24"/>
          <w:highlight w:val="none"/>
          <w:shd w:val="clear" w:color="auto" w:fill="ffffff"/>
        </w:rPr>
        <w:t xml:space="preserve">98%</w:t>
      </w:r>
      <w:r>
        <w:rPr>
          <w:rFonts w:hint="eastAsia" w:ascii="Segoe UI" w:hAnsi="Segoe UI" w:eastAsia="Segoe UI" w:cs="Segoe UI"/>
          <w:color w:val="0f1115"/>
          <w:sz w:val="24"/>
          <w:szCs w:val="24"/>
          <w:highlight w:val="none"/>
          <w:shd w:val="clear" w:color="auto" w:fill="ffffff"/>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5.5出口阀：≥2通道</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 其它部件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6.1压力感应器：在线实时监测系统压力，保证系统及工艺安全性。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6.2 合成柱柱架： 固定合成柱，可用于支撑6.3-48ml合成柱。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 惰性气体保护系统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7.1一般采用氮气或氩气作为保护气体；</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7.2系统气体控制允许惰性气体压力至0.30-0.35 bar，气体供应管道入口压力为0.45-0.50 bar；</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7.3 惰性保护气体用于确保试剂的无水环境。系统具备气体分配模块，可将保护气体分配至各试剂瓶。</w:t>
      </w:r>
      <w:r>
        <w:rPr>
          <w:rFonts w:hint="eastAsia" w:ascii="宋体" w:hAnsi="宋体" w:eastAsia="宋体" w:cs="宋体"/>
          <w:sz w:val="24"/>
          <w:szCs w:val="24"/>
          <w:highlight w:val="none"/>
        </w:rPr>
        <w:tab/>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 控制系统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8.1 配置工作站与中文操作系统。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8.2软件可在中文系统下流畅运行。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8.3 方法编辑可以采用阶段属性模式和文本模式，方便工艺开发。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8.4可在方法编辑阶段完成序列中某个单体的偶联/盖帽次数设置。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8.5自动记录，显示，保存所有操作。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8.6 流路实时监控和控制，手动模式下可随时修改参数设置。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8.7 支持远程数据存储，可自动备份，保证数据安全性。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8.8 序列合成程序与操作界面联动，可对运行步骤增加运行时间，可批量修改序列中相同碱基的合成方法，可单独修改某个特殊碱基合成条件；可独立编辑阶段内容并单独保存</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（二）配置清单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 全自动核酸合成仪主机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 高精度输液泵 2套；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 二极管阵列（DAD）紫外检测器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 电导检测器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 温度检测模块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 惰性气体保护系统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 核酸合成柱支架及配套合成柱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 软件控制系统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 计算工作站1套；</w:t>
      </w:r>
      <w:r/>
    </w:p>
    <w:p>
      <w:pPr>
        <w:ind w:firstLine="482"/>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16通道核酸合成仪</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（一）技术参数要求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 合成参数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 合成柱位数量：不少于16个柱位。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 合成柱规格：兼容1 mL、3 mL、6 mL三种规格的合成柱。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 排废口：不少于1个。</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1.4 单步耦合率≥ 99%。</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1.5 合成规模支持10 nmol</w:t>
      </w:r>
      <w:r>
        <w:rPr>
          <w:rFonts w:ascii="宋体" w:hAnsi="宋体" w:eastAsia="宋体" w:cs="宋体"/>
          <w:sz w:val="24"/>
          <w:szCs w:val="24"/>
          <w:highlight w:val="none"/>
        </w:rPr>
        <w:t xml:space="preserve"> </w:t>
      </w:r>
      <w:r>
        <w:rPr>
          <w:rFonts w:ascii="Calibri" w:hAnsi="Calibri" w:eastAsia="宋体" w:cs="Calibri"/>
          <w:sz w:val="24"/>
          <w:szCs w:val="24"/>
          <w:highlight w:val="none"/>
        </w:rPr>
        <w:t xml:space="preserve">~ </w:t>
      </w:r>
      <w:r>
        <w:rPr>
          <w:rFonts w:hint="eastAsia" w:ascii="宋体" w:hAnsi="宋体" w:eastAsia="宋体" w:cs="宋体"/>
          <w:sz w:val="24"/>
          <w:szCs w:val="24"/>
          <w:highlight w:val="none"/>
        </w:rPr>
        <w:t xml:space="preserve">20 μmol范围：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 nmol</w:t>
      </w:r>
      <w:r>
        <w:rPr>
          <w:rFonts w:ascii="宋体" w:hAnsi="宋体" w:eastAsia="宋体" w:cs="宋体"/>
          <w:sz w:val="24"/>
          <w:szCs w:val="24"/>
          <w:highlight w:val="none"/>
        </w:rPr>
        <w:t xml:space="preserve"> </w:t>
      </w:r>
      <w:r>
        <w:rPr>
          <w:rFonts w:ascii="Calibri" w:hAnsi="Calibri" w:eastAsia="宋体" w:cs="Calibri"/>
          <w:sz w:val="24"/>
          <w:szCs w:val="24"/>
          <w:highlight w:val="none"/>
        </w:rPr>
        <w:t xml:space="preserve">~ </w:t>
      </w:r>
      <w:r>
        <w:rPr>
          <w:rFonts w:hint="eastAsia" w:ascii="宋体" w:hAnsi="宋体" w:eastAsia="宋体" w:cs="宋体"/>
          <w:sz w:val="24"/>
          <w:szCs w:val="24"/>
          <w:highlight w:val="none"/>
        </w:rPr>
        <w:t xml:space="preserve">3 μmol（适配1 mL合成柱）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3μmol </w:t>
      </w:r>
      <w:r>
        <w:rPr>
          <w:rFonts w:ascii="Calibri" w:hAnsi="Calibri" w:eastAsia="宋体" w:cs="Calibri"/>
          <w:sz w:val="24"/>
          <w:szCs w:val="24"/>
          <w:highlight w:val="none"/>
        </w:rPr>
        <w:t xml:space="preserve">~</w:t>
      </w:r>
      <w:r>
        <w:rPr>
          <w:rFonts w:hint="eastAsia" w:ascii="宋体" w:hAnsi="宋体" w:eastAsia="宋体" w:cs="宋体"/>
          <w:sz w:val="24"/>
          <w:szCs w:val="24"/>
          <w:highlight w:val="none"/>
        </w:rPr>
        <w:t xml:space="preserve"> 10 μmol（适配3 mL合成柱）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10μmol </w:t>
      </w:r>
      <w:r>
        <w:rPr>
          <w:rFonts w:ascii="Calibri" w:hAnsi="Calibri" w:eastAsia="宋体" w:cs="Calibri"/>
          <w:sz w:val="24"/>
          <w:szCs w:val="24"/>
          <w:highlight w:val="none"/>
        </w:rPr>
        <w:t xml:space="preserve">~</w:t>
      </w:r>
      <w:r>
        <w:rPr>
          <w:rFonts w:hint="eastAsia" w:ascii="宋体" w:hAnsi="宋体" w:eastAsia="宋体" w:cs="宋体"/>
          <w:sz w:val="24"/>
          <w:szCs w:val="24"/>
          <w:highlight w:val="none"/>
        </w:rPr>
        <w:t xml:space="preserve"> 20 μmol（适配6 mL合成柱）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 进样系统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 气路系统：具备不少于四路独立气压控制通道，支持合成腔室、试剂瓶、单体瓶的分路压力控制，确保各环节压力独立可调。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 压力控制精度≤ 0.5 kPa。</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 进样控制：采用电磁阀精密控制进样量，进样精度 ≤ 1 μL。</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 试剂与单体</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 试剂位点：不少于8个。</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 单体位点：不少于10个。</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3.3 合成种类：支持DNA和RNA合成。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3.4 支持自动合成兼并碱基。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 排液系统</w:t>
      </w:r>
      <w:r/>
    </w:p>
    <w:p>
      <w:pPr>
        <w:ind w:firstLine="48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采用注射泵排液及反推，控制精度 ≤ 2 μL。</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 照明系统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合成腔室内应配备照明系统，可通过软件控制开启和关闭。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 二维运动进样系统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采用X轴、Y轴闭环步进电机驱动，可快速准确定位进样口及合成柱位置。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 控制软件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7.1 设备可通过软件实现自动化控制，具备用户管理、数据记录、设备控制及审计追踪功能，支持开始、停止、锁屏等操作。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7.2 系统支持软件自动控制及手动控制两种模式。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7.3 用户权限管理：不少于三级权限。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7.4 密码安全保护：管理员可设置密码复杂度等级、输入次数限制及密码修改提醒。</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7.5 审计追踪：可记录人员登录/登出、运行参数、报警信息、错误信息及对应时间。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7.6 实时显示：系统运行状态、合成进度及运行数据可实时显示。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7.7 断电记忆功能：断电或异常停机后，软件具备记忆功能，重新启动后可继续执行未完成的合成程序。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 工作站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不低于以下配置：Intel i5-12400处理器或同级；正版Windows专业版操作系统；内存≥16 GB；硬盘≥512 GB SSD；配备独立显卡、扬声器及无线网卡。</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（二）配置清单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1.核酸合成仪主机 1台（含合成腔室、二维运动进样系统、气路系统及照明系统）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2.合成柱位模块：适配1 mL、3 mL、6 mL合成柱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3.电磁阀组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4.试剂瓶及单体瓶（含瓶盖及管路接口）1套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5.注射泵排液系统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6.正版控制软件 1套（含用户管理、审计追踪、数据记录等功能）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7.设备管路附件包 1套（含合成柱密封圈、管路接头等常用易损件）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8.计算工作站 1套</w:t>
      </w:r>
      <w:r/>
    </w:p>
    <w:p>
      <w:pPr>
        <w:ind w:firstLine="482"/>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采购包2</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本采购包核心产品：高通量核酸提取仪</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高通量核酸提取仪</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（一）技术参数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1.单次运行可纯化不少于24个样本。全过程由全自动机械臂操作，无需离心、过滤等人工干预步骤。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 适用样本类型：支持全血、血浆、血清、新鲜冰冻组织、培养细胞、尿液、拭子、痰液、脑脊液、粪便等多种样本类型；单次运行可支持多种不同类型样本（如全血、血浆、血清、组织、细胞、拭子等）同时提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 纯化方式：分离纯化全过程在专用样本处理架内完成，确保高产率、高纯度地分离纯化核酸。</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 样本管兼容性：支持原始样本管直接上机（如采血管、2 mL离心管等）；洗脱产物可收集于8联管、PCR管或2 mL离心管中。</w:t>
      </w:r>
      <w:r/>
    </w:p>
    <w:p>
      <w:pPr>
        <w:ind w:firstLine="48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5. 自动分液功能：具备洗脱产物自动分液功能，支持PCR体系构建，便于核酸保存及下游检测双重需求。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 液体处理体积</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6.1 起始样本体积：200</w:t>
      </w:r>
      <w:r>
        <w:rPr>
          <w:rFonts w:ascii="宋体" w:hAnsi="宋体" w:eastAsia="宋体" w:cs="宋体"/>
          <w:sz w:val="24"/>
          <w:szCs w:val="24"/>
          <w:highlight w:val="none"/>
        </w:rPr>
        <w:t xml:space="preserve"> </w:t>
      </w:r>
      <w:r>
        <w:rPr>
          <w:rFonts w:ascii="Calibri" w:hAnsi="Calibri" w:eastAsia="宋体" w:cs="Calibri"/>
          <w:sz w:val="24"/>
          <w:szCs w:val="24"/>
          <w:highlight w:val="none"/>
        </w:rPr>
        <w:t xml:space="preserve">~ </w:t>
      </w:r>
      <w:r>
        <w:rPr>
          <w:rFonts w:hint="eastAsia" w:ascii="宋体" w:hAnsi="宋体" w:eastAsia="宋体" w:cs="宋体"/>
          <w:sz w:val="24"/>
          <w:szCs w:val="24"/>
          <w:highlight w:val="none"/>
        </w:rPr>
        <w:t xml:space="preserve">4000 μL</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6.2 洗脱体积：50</w:t>
      </w:r>
      <w:r>
        <w:rPr>
          <w:rFonts w:ascii="宋体" w:hAnsi="宋体" w:eastAsia="宋体" w:cs="宋体"/>
          <w:sz w:val="24"/>
          <w:szCs w:val="24"/>
          <w:highlight w:val="none"/>
        </w:rPr>
        <w:t xml:space="preserve"> </w:t>
      </w:r>
      <w:r>
        <w:rPr>
          <w:rFonts w:ascii="Calibri" w:hAnsi="Calibri" w:eastAsia="宋体" w:cs="Calibri"/>
          <w:sz w:val="24"/>
          <w:szCs w:val="24"/>
          <w:highlight w:val="none"/>
        </w:rPr>
        <w:t xml:space="preserve">~ </w:t>
      </w:r>
      <w:r>
        <w:rPr>
          <w:rFonts w:hint="eastAsia" w:ascii="宋体" w:hAnsi="宋体" w:eastAsia="宋体" w:cs="宋体"/>
          <w:sz w:val="24"/>
          <w:szCs w:val="24"/>
          <w:highlight w:val="none"/>
        </w:rPr>
        <w:t xml:space="preserve">200 μL</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 移液系统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7.1 内置不少于8通道移液吸嘴，吸嘴角度可调整，具备枪头感应检测及液面检测传感器，保证移液精确性。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7.2 吸嘴具备可靠的密封和适配检测技术，确保枪头良好契合及移液过程准确性。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7.3 移液体积范围：5</w:t>
      </w:r>
      <w:r>
        <w:rPr>
          <w:rFonts w:ascii="宋体" w:hAnsi="宋体" w:eastAsia="宋体" w:cs="宋体"/>
          <w:sz w:val="24"/>
          <w:szCs w:val="24"/>
          <w:highlight w:val="none"/>
        </w:rPr>
        <w:t xml:space="preserve"> </w:t>
      </w:r>
      <w:r>
        <w:rPr>
          <w:rFonts w:ascii="Calibri" w:hAnsi="Calibri" w:eastAsia="宋体" w:cs="Calibri"/>
          <w:sz w:val="24"/>
          <w:szCs w:val="24"/>
          <w:highlight w:val="none"/>
        </w:rPr>
        <w:t xml:space="preserve">~ </w:t>
      </w:r>
      <w:r>
        <w:rPr>
          <w:rFonts w:hint="eastAsia" w:ascii="宋体" w:hAnsi="宋体" w:eastAsia="宋体" w:cs="宋体"/>
          <w:sz w:val="24"/>
          <w:szCs w:val="24"/>
          <w:highlight w:val="none"/>
        </w:rPr>
        <w:t xml:space="preserve">1000 μL</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 洗脱产物保存模块：洗脱产物处设有制冷模块，可冷却至5</w:t>
      </w:r>
      <w:r>
        <w:rPr>
          <w:rFonts w:ascii="宋体" w:hAnsi="宋体" w:eastAsia="宋体" w:cs="宋体"/>
          <w:sz w:val="24"/>
          <w:szCs w:val="24"/>
          <w:highlight w:val="none"/>
        </w:rPr>
        <w:t xml:space="preserve"> </w:t>
      </w:r>
      <w:r>
        <w:rPr>
          <w:rFonts w:ascii="Calibri" w:hAnsi="Calibri" w:eastAsia="宋体" w:cs="Calibri"/>
          <w:sz w:val="24"/>
          <w:szCs w:val="24"/>
          <w:highlight w:val="none"/>
        </w:rPr>
        <w:t xml:space="preserve">~ </w:t>
      </w:r>
      <w:r>
        <w:rPr>
          <w:rFonts w:hint="eastAsia" w:ascii="宋体" w:hAnsi="宋体" w:eastAsia="宋体" w:cs="宋体"/>
          <w:sz w:val="24"/>
          <w:szCs w:val="24"/>
          <w:highlight w:val="none"/>
        </w:rPr>
        <w:t xml:space="preserve">10℃，用于抽提实验完成后核酸的短期保存。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 安全与防污染设计</w:t>
      </w:r>
      <w:r/>
    </w:p>
    <w:p>
      <w:pPr>
        <w:ind w:firstLine="48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9.1 系统具备红外感应器和液面监测功能，可实时监控运行状态，检测枪头是否缺失及是否存在凝块堵塞等异常；配有内置式紫外灯，有效防止样品间交叉污染；工作台面内置一次性枪头停放架，防止液滴散落。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9.2 配备专用废液收集及废弃耗材收集装置，位置设计合理，严格实现固液分离，避免扩散污染。</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9.3 配置条码扫描器，可对纯化试剂、样本、耗材进行全程识别与记录。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9.4 全过程无需手动开盖操作，无人工干预步骤，防止样品间污染和生物危害。</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 配套质控解决方案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 可提供宿主细胞DNA残留检测方案（可由主机供应商或第三方专业供应商提供）。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10.2 可提供支原体检测试剂盒方案（可由主机供应商或第三方专业供应商提供）。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 软件数据管理与可追溯性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11.1 硬件/软件系统：标配内置一体化彩色触摸屏操作界面，机身内置条码扫描器。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11.2 全流程审计追踪：可自动扫描并记录样本ID、试剂盒批号、耗材状态及操作人员信息。支持全流程数据追溯，运行报告可自动导出，文件格式兼容实验室信息管理系统（LIMS/LIS）。</w:t>
      </w:r>
      <w:r/>
    </w:p>
    <w:p>
      <w:pPr>
        <w:ind w:firstLine="48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11.3 内置独立控制系统，软件具备审计追踪、权限管理及数据完整性功能（如符合FDA 21 CFR Part 11相关要求，具体符合程度以验收时的功能测试为准）。</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（二）配置清单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1.全自动核酸提取仪主机 1台（含机械臂、样本处理架、磁分离模块、加热/制冷模块及紫外灯）</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2.内置控制单元及彩色触摸屏操作界面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3.全自动核酸提取控制软件 1套（含用户管理、审计追踪、数据记录及报告导出功能）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4.8通道移液吸头组件 1套（含配套枪头，数量满足开机及验收测试需求）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5.条码扫描器（内置或外置） 1个</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6.废液收集及废弃耗材收集装置 1套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7.配套启动及验证试剂盒 1套</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五、付款条款（适用于所有采购包）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1.合同签订且采购人收到中标单位缴纳的履约保证金后支付10%预付款；设备运至采购人指定仓库且预验收合格后支付40%货款；</w:t>
      </w:r>
      <w:bookmarkStart w:id="4" w:name="_Hlk234655163"/>
      <w:r>
        <w:rPr>
          <w:rFonts w:hint="eastAsia" w:ascii="宋体" w:hAnsi="宋体" w:eastAsia="宋体" w:cs="宋体"/>
          <w:sz w:val="24"/>
          <w:szCs w:val="24"/>
          <w:highlight w:val="none"/>
        </w:rPr>
        <w:t xml:space="preserve">设备完成二次运输、安装、调试，双方签署最终验收合格证明后支付50%货款。</w:t>
      </w:r>
      <w:bookmarkEnd w:id="4"/>
      <w:r>
        <w:rPr>
          <w:rFonts w:hint="eastAsia" w:ascii="宋体" w:hAnsi="宋体" w:eastAsia="宋体" w:cs="宋体"/>
          <w:sz w:val="24"/>
          <w:szCs w:val="24"/>
          <w:highlight w:val="none"/>
        </w:rPr>
        <w:t xml:space="preserve">每次付款前，中标单位均须提供对应的等额增值税专用发票。</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2.履约保证金：中标单位须在签订合同前向采购方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六、交付及安装调试（适用于所有采购包）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交付流程：中标单位应当在合同签订后60天内将货物运送至采购人指定仓库，由双方对货物进行预验收。预验收合格后，供应商应在接到采购人通知后5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安装、调试及培训：供应商完成二次运输后的5个工作日内，采购方与供应方应确认安装调试日期，采购方应根据供应商要求准备好安装调试条件，供应商派专人到现场进行安装调试，并对采购方人员进行相关培训。</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七、验收标准（适用于所有采购包）</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（1）预验收</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货物到达采购人指定的仓库后，对货物包装是否完好进行验收。若货物包装存在损坏，采购人有权拒收，供应商应在7个工作日内重新送达。</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（2）最终验收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安装调试完毕，由采购人组织最终验收，设备配置、所有技术参数须符合招标文件和中标商投标响应文件要求。验收内容还包括资料完整性、设备“三漏”</w:t>
      </w:r>
      <w:r>
        <w:rPr>
          <w:rFonts w:ascii="宋体" w:hAnsi="宋体" w:eastAsia="宋体" w:cs="宋体"/>
          <w:sz w:val="24"/>
          <w:szCs w:val="24"/>
          <w:highlight w:val="none"/>
        </w:rPr>
        <w:t xml:space="preserve">(漏水、漏电、漏气)检查、设备运行稳定性、技术规格</w:t>
      </w:r>
      <w:r>
        <w:rPr>
          <w:rFonts w:hint="eastAsia" w:ascii="宋体" w:hAnsi="宋体" w:eastAsia="宋体" w:cs="宋体"/>
          <w:sz w:val="24"/>
          <w:szCs w:val="24"/>
          <w:highlight w:val="none"/>
        </w:rPr>
        <w:t xml:space="preserve">符合性</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各项指标还应符合国家质量和安全标准，设备可以在现有条件下安全稳定运行。</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八、质保服务要求（适用于所有采购包）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设备免费质保期不少于5年，自最终验收完成合格之日起算</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80"/>
        <w:spacing w:line="360" w:lineRule="auto"/>
        <w:rPr>
          <w:rFonts w:ascii="宋体" w:hAnsi="宋体" w:eastAsia="宋体" w:cs="宋体"/>
          <w:b/>
          <w:bCs/>
          <w:color w:val="333333"/>
          <w:sz w:val="24"/>
          <w:szCs w:val="24"/>
          <w:highlight w:val="none"/>
        </w:rPr>
      </w:pPr>
      <w:r>
        <w:rPr>
          <w:rFonts w:hint="eastAsia" w:ascii="宋体" w:hAnsi="宋体" w:eastAsia="宋体" w:cs="宋体"/>
          <w:b/>
          <w:bCs/>
          <w:color w:val="333333"/>
          <w:sz w:val="24"/>
          <w:szCs w:val="24"/>
          <w:highlight w:val="none"/>
        </w:rPr>
        <w:t xml:space="preserve">九、</w:t>
      </w:r>
      <w:r>
        <w:rPr>
          <w:rFonts w:hint="eastAsia" w:ascii="宋体" w:hAnsi="宋体" w:eastAsia="宋体" w:cs="宋体"/>
          <w:b/>
          <w:bCs/>
          <w:sz w:val="24"/>
          <w:szCs w:val="24"/>
          <w:highlight w:val="none"/>
        </w:rPr>
        <w:t xml:space="preserve">采购主要标的物数量、交付期及交付方式、付款方式、质保期、质保方式及★参数属于实质性响应要求，不得出现负偏离，否则视为无效投标。</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十、综合说明及其它要求</w:t>
      </w:r>
      <w:r>
        <w:rPr>
          <w:rFonts w:hint="eastAsia" w:ascii="宋体" w:hAnsi="宋体" w:eastAsia="宋体" w:cs="宋体"/>
          <w:b/>
          <w:bCs/>
          <w:sz w:val="24"/>
          <w:szCs w:val="24"/>
          <w:highlight w:val="none"/>
        </w:rPr>
        <w:t xml:space="preserve">（适用于所有采购包）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在投标时应注明所投货物的生产厂家、品牌、规格和型号，提供货物配置清单，提供所用材质、配件的生产厂家、品牌清单等。供应商必须承诺招标文件中提出的全部技术要求；如果其中某些条款不响应时，应在文件中逐条列出，未列出的视同响应。</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中标单位应保证采购人免除且中标单位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4.售后服务：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质保期内根据采购人需要提供免费保养服务，质保期满后每年提供一次免费保养，软件终身免费升级，保证零配件的供给。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5.报价要求：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（1）报价币种为人民币。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次采购共两个采购包，各采购包投标总报价一次报定，投标总报价应包括完成对应采购包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供应商企业利润、税金和政策性文件规定及合同包含的所有风险、责任等各项应有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（3）报价为固定价格，在合同执行过程中不因交货时间更改、物价变动、政策变动、供应商漏项或少报等风险因素而调整。</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6.单位负责人为同一人或者存在直接控股、管理关系的不同供应商，不得参加同一合同项下的政府采购活动。</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7.为本项目提供整体设计、规范编制或者项目管理、监理、监测等服务的供应商，不得再参加该采购项目的其他采购活动。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8.如接受进口产品投标的项目，优先采购向我国企业转让技术、与我国企业签订消化吸收再创新方案的供应商的进口产品。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9.采购项目需要落实的政府采购政策：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9.1根据财政部、工业和信息化部关于印发《政府采购促进中小企业发展管理办法》的规定执行。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9.2根据财政部、司法部《关于政府采购支持监狱企业发展有关问题的通知》（财库〔2014〕68号）的规定执行。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9.3根据财政部、民政部、中国残疾人联合会《关于促进残疾人就业政府采购政策的通知》（财库〔2017〕141号）的规定执行。 </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9.4绿色采购</w:t>
      </w:r>
      <w:r>
        <w:rPr>
          <w:rFonts w:hint="eastAsia" w:ascii="宋体" w:hAnsi="宋体" w:eastAsia="宋体" w:cs="宋体"/>
          <w:b/>
          <w:bCs/>
          <w:sz w:val="24"/>
          <w:szCs w:val="24"/>
          <w:highlight w:val="none"/>
        </w:rPr>
        <w:t xml:space="preserve">（本项目不涉及节能环保产品采购）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10.凡涉及采购文件的补充说明和修改，均以政府采购网所发布的公告为准</w:t>
      </w:r>
      <w:r>
        <w:rPr>
          <w:rFonts w:hint="eastAsia" w:ascii="宋体" w:hAnsi="宋体" w:eastAsia="宋体" w:cs="宋体"/>
          <w:bCs/>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5"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5"/>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合同主要条款</w:t>
      </w:r>
      <w:r/>
    </w:p>
    <w:p>
      <w:pPr>
        <w:ind w:firstLine="425"/>
        <w:spacing w:line="400" w:lineRule="exact"/>
        <w:rPr>
          <w:rFonts w:ascii="宋体" w:hAnsi="宋体" w:eastAsia="宋体" w:cs="宋体"/>
          <w:szCs w:val="21"/>
          <w:highlight w:val="none"/>
        </w:rPr>
      </w:pPr>
      <w:r>
        <w:rPr>
          <w:rFonts w:ascii="宋体" w:hAnsi="宋体" w:eastAsia="宋体" w:cs="宋体"/>
          <w:szCs w:val="21"/>
          <w:highlight w:val="none"/>
        </w:rPr>
      </w:r>
      <w:r/>
    </w:p>
    <w:p>
      <w:pPr>
        <w:jc w:val="center"/>
        <w:rPr>
          <w:rFonts w:ascii="宋体" w:hAnsi="宋体" w:eastAsia="宋体" w:cs="宋体"/>
          <w:b/>
          <w:szCs w:val="21"/>
          <w:highlight w:val="none"/>
        </w:rPr>
      </w:pPr>
      <w:r>
        <w:rPr>
          <w:rFonts w:hint="eastAsia" w:ascii="宋体" w:hAnsi="宋体" w:eastAsia="宋体" w:cs="宋体"/>
          <w:b/>
          <w:szCs w:val="21"/>
          <w:highlight w:val="none"/>
        </w:rPr>
        <w:t xml:space="preserve">合同编号：</w:t>
      </w:r>
      <w:r/>
    </w:p>
    <w:p>
      <w:pPr>
        <w:ind w:firstLine="4604"/>
        <w:rPr>
          <w:rFonts w:ascii="宋体" w:hAnsi="宋体" w:eastAsia="宋体" w:cs="宋体"/>
          <w:b/>
          <w:szCs w:val="21"/>
          <w:highlight w:val="none"/>
        </w:rPr>
      </w:pPr>
      <w:r>
        <w:rPr>
          <w:rFonts w:ascii="宋体" w:hAnsi="宋体" w:eastAsia="宋体" w:cs="宋体"/>
          <w:b/>
          <w:szCs w:val="21"/>
          <w:highlight w:val="none"/>
        </w:rPr>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lang w:val="zh-CN"/>
        </w:rPr>
        <w:t xml:space="preserve">甲方：苏州大学 </w:t>
      </w:r>
      <w:r/>
    </w:p>
    <w:p>
      <w:pPr>
        <w:ind w:firstLine="420"/>
        <w:spacing w:line="360" w:lineRule="auto"/>
        <w:rPr>
          <w:rFonts w:ascii="宋体" w:hAnsi="宋体" w:eastAsia="宋体" w:cs="宋体"/>
          <w:szCs w:val="21"/>
          <w:highlight w:val="none"/>
          <w:u w:val="single"/>
        </w:rPr>
      </w:pPr>
      <w:r>
        <w:rPr>
          <w:rFonts w:hint="eastAsia" w:ascii="宋体" w:hAnsi="宋体" w:eastAsia="宋体" w:cs="宋体"/>
          <w:szCs w:val="21"/>
          <w:highlight w:val="none"/>
          <w:lang w:val="zh-CN"/>
        </w:rPr>
        <w:t xml:space="preserve">乙方：</w:t>
      </w:r>
      <w:r>
        <w:rPr>
          <w:rFonts w:hint="eastAsia" w:ascii="宋体" w:hAnsi="宋体" w:eastAsia="宋体" w:cs="宋体"/>
          <w:szCs w:val="21"/>
          <w:highlight w:val="none"/>
          <w:u w:val="single"/>
          <w:lang w:val="zh-CN"/>
        </w:rPr>
        <w:t xml:space="preserve">                </w:t>
      </w:r>
      <w:r/>
    </w:p>
    <w:p>
      <w:pPr>
        <w:ind w:firstLine="420"/>
        <w:spacing w:line="360" w:lineRule="auto"/>
        <w:rPr>
          <w:rFonts w:ascii="宋体" w:hAnsi="宋体" w:eastAsia="宋体" w:cs="宋体"/>
          <w:szCs w:val="21"/>
          <w:highlight w:val="none"/>
          <w:lang w:val="zh-CN"/>
        </w:rPr>
      </w:pPr>
      <w:r>
        <w:rPr>
          <w:rFonts w:ascii="宋体" w:hAnsi="宋体" w:eastAsia="宋体" w:cs="宋体"/>
          <w:szCs w:val="21"/>
          <w:highlight w:val="none"/>
          <w:lang w:val="zh-CN"/>
        </w:rPr>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lang w:val="zh-CN"/>
        </w:rPr>
        <w:t xml:space="preserve">根据政府采购编号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zh-CN"/>
        </w:rPr>
        <w:t xml:space="preserve">号采购文件及乙方中标的投标文件和中标通知书，甲乙双方就此次中标的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zh-CN"/>
        </w:rPr>
        <w:t xml:space="preserve">事宜，签订本合同书。</w:t>
      </w:r>
      <w:r/>
    </w:p>
    <w:p>
      <w:pPr>
        <w:ind w:firstLine="422"/>
        <w:spacing w:line="360" w:lineRule="auto"/>
        <w:rPr>
          <w:rFonts w:ascii="宋体" w:hAnsi="宋体" w:eastAsia="宋体" w:cs="宋体"/>
          <w:szCs w:val="21"/>
          <w:highlight w:val="none"/>
        </w:rPr>
      </w:pPr>
      <w:r>
        <w:rPr>
          <w:rFonts w:hint="eastAsia" w:ascii="宋体" w:hAnsi="宋体" w:eastAsia="宋体" w:cs="宋体"/>
          <w:b/>
          <w:szCs w:val="21"/>
          <w:highlight w:val="none"/>
        </w:rPr>
        <w:t xml:space="preserve">第一条 </w:t>
      </w:r>
      <w:r>
        <w:rPr>
          <w:rFonts w:hint="eastAsia" w:ascii="宋体" w:hAnsi="宋体" w:eastAsia="宋体" w:cs="宋体"/>
          <w:szCs w:val="21"/>
          <w:highlight w:val="none"/>
        </w:rPr>
        <w:t xml:space="preserve">乙方根据甲方需求提供下列货物：</w:t>
      </w:r>
      <w:r/>
    </w:p>
    <w:tbl>
      <w:tblPr>
        <w:tblStyle w:val="82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1294"/>
        <w:gridCol w:w="1653"/>
        <w:gridCol w:w="827"/>
        <w:gridCol w:w="1476"/>
        <w:gridCol w:w="1419"/>
        <w:gridCol w:w="689"/>
        <w:gridCol w:w="1068"/>
      </w:tblGrid>
      <w:tr>
        <w:trPr/>
        <w:tc>
          <w:tcPr>
            <w:tcW w:w="348"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tcW w:w="714"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名称</w:t>
            </w:r>
            <w:r/>
          </w:p>
        </w:tc>
        <w:tc>
          <w:tcPr>
            <w:tcW w:w="912"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型号、规格</w:t>
            </w:r>
            <w:r/>
          </w:p>
        </w:tc>
        <w:tc>
          <w:tcPr>
            <w:tcW w:w="456"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数量</w:t>
            </w:r>
            <w:r/>
          </w:p>
        </w:tc>
        <w:tc>
          <w:tcPr>
            <w:tcBorders>
              <w:right w:val="single" w:color="auto" w:sz="4" w:space="0"/>
            </w:tcBorders>
            <w:tcW w:w="814"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单价（万元人民币）</w:t>
            </w:r>
            <w:r/>
          </w:p>
        </w:tc>
        <w:tc>
          <w:tcPr>
            <w:tcBorders>
              <w:left w:val="single" w:color="auto" w:sz="4" w:space="0"/>
              <w:right w:val="single" w:color="auto" w:sz="4" w:space="0"/>
            </w:tcBorders>
            <w:tcW w:w="783"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总价（万元人民币）</w:t>
            </w:r>
            <w:r/>
          </w:p>
        </w:tc>
        <w:tc>
          <w:tcPr>
            <w:tcBorders>
              <w:left w:val="single" w:color="auto" w:sz="4" w:space="0"/>
            </w:tcBorders>
            <w:tcW w:w="380"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品牌</w:t>
            </w:r>
            <w:r/>
          </w:p>
        </w:tc>
        <w:tc>
          <w:tcPr>
            <w:tcW w:w="589"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产地</w:t>
            </w:r>
            <w:r/>
          </w:p>
        </w:tc>
      </w:tr>
      <w:tr>
        <w:trPr>
          <w:trHeight w:val="300"/>
        </w:trPr>
        <w:tc>
          <w:tcPr>
            <w:tcBorders>
              <w:bottom w:val="single" w:color="auto" w:sz="4" w:space="0"/>
            </w:tcBorders>
            <w:tcW w:w="348"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1</w:t>
            </w:r>
            <w:r/>
          </w:p>
        </w:tc>
        <w:tc>
          <w:tcPr>
            <w:tcBorders>
              <w:bottom w:val="single" w:color="auto" w:sz="4" w:space="0"/>
            </w:tcBorders>
            <w:tcW w:w="714"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bottom w:val="single" w:color="auto" w:sz="4" w:space="0"/>
            </w:tcBorders>
            <w:tcW w:w="912"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bottom w:val="single" w:color="auto" w:sz="4" w:space="0"/>
            </w:tcBorders>
            <w:tcW w:w="456"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bottom w:val="single" w:color="auto" w:sz="4" w:space="0"/>
              <w:right w:val="single" w:color="auto" w:sz="4" w:space="0"/>
            </w:tcBorders>
            <w:tcW w:w="814"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left w:val="single" w:color="auto" w:sz="4" w:space="0"/>
              <w:bottom w:val="single" w:color="auto" w:sz="4" w:space="0"/>
            </w:tcBorders>
            <w:tcW w:w="380"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bottom w:val="single" w:color="auto" w:sz="4" w:space="0"/>
            </w:tcBorders>
            <w:tcW w:w="589"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r>
      <w:tr>
        <w:trPr>
          <w:trHeight w:val="300"/>
        </w:trPr>
        <w:tc>
          <w:tcPr>
            <w:tcBorders>
              <w:bottom w:val="single" w:color="auto" w:sz="4" w:space="0"/>
              <w:right w:val="single" w:color="auto" w:sz="4" w:space="0"/>
            </w:tcBorders>
            <w:tcW w:w="348" w:type="pc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2</w:t>
            </w:r>
            <w:r/>
          </w:p>
        </w:tc>
        <w:tc>
          <w:tcPr>
            <w:tcBorders>
              <w:left w:val="single" w:color="auto" w:sz="4" w:space="0"/>
              <w:bottom w:val="single" w:color="auto" w:sz="4" w:space="0"/>
              <w:right w:val="single" w:color="auto" w:sz="4" w:space="0"/>
            </w:tcBorders>
            <w:tcW w:w="714"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left w:val="single" w:color="auto" w:sz="4" w:space="0"/>
              <w:bottom w:val="single" w:color="auto" w:sz="4" w:space="0"/>
              <w:right w:val="single" w:color="auto" w:sz="4" w:space="0"/>
            </w:tcBorders>
            <w:tcW w:w="912"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left w:val="single" w:color="auto" w:sz="4" w:space="0"/>
              <w:bottom w:val="single" w:color="auto" w:sz="4" w:space="0"/>
              <w:right w:val="single" w:color="auto" w:sz="4" w:space="0"/>
            </w:tcBorders>
            <w:tcW w:w="456"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left w:val="single" w:color="auto" w:sz="4" w:space="0"/>
              <w:bottom w:val="single" w:color="auto" w:sz="4" w:space="0"/>
              <w:right w:val="single" w:color="auto" w:sz="4" w:space="0"/>
            </w:tcBorders>
            <w:tcW w:w="814"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left w:val="single" w:color="auto" w:sz="4" w:space="0"/>
              <w:bottom w:val="single" w:color="auto" w:sz="4" w:space="0"/>
              <w:right w:val="single" w:color="auto" w:sz="4" w:space="0"/>
            </w:tcBorders>
            <w:tcW w:w="380"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c>
          <w:tcPr>
            <w:tcBorders>
              <w:left w:val="single" w:color="auto" w:sz="4" w:space="0"/>
              <w:bottom w:val="single" w:color="auto" w:sz="4" w:space="0"/>
            </w:tcBorders>
            <w:tcW w:w="589" w:type="pct"/>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p>
        </w:tc>
      </w:tr>
      <w:tr>
        <w:trPr>
          <w:trHeight w:val="150"/>
        </w:trPr>
        <w:tc>
          <w:tcPr>
            <w:tcBorders>
              <w:top w:val="single" w:color="auto" w:sz="4" w:space="0"/>
              <w:right w:val="single" w:color="auto" w:sz="4" w:space="0"/>
            </w:tcBorders>
            <w:tcW w:w="348" w:type="pct"/>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top w:val="single" w:color="auto" w:sz="4" w:space="0"/>
              <w:left w:val="single" w:color="auto" w:sz="4" w:space="0"/>
              <w:right w:val="single" w:color="auto" w:sz="4" w:space="0"/>
            </w:tcBorders>
            <w:tcW w:w="714" w:type="pct"/>
            <w:textDirection w:val="lrTb"/>
            <w:noWrap w:val="false"/>
          </w:tcPr>
          <w:p>
            <w:pPr>
              <w:jc w:val="center"/>
              <w:rPr>
                <w:rFonts w:ascii="宋体" w:hAnsi="宋体" w:eastAsia="宋体" w:cs="宋体"/>
                <w:b/>
                <w:szCs w:val="21"/>
                <w:highlight w:val="none"/>
                <w:u w:val="single"/>
              </w:rPr>
            </w:pPr>
            <w:r>
              <w:rPr>
                <w:rFonts w:ascii="宋体" w:hAnsi="宋体" w:eastAsia="宋体" w:cs="宋体"/>
                <w:b/>
                <w:szCs w:val="21"/>
                <w:highlight w:val="none"/>
                <w:u w:val="single"/>
              </w:rPr>
            </w:r>
            <w:r/>
          </w:p>
        </w:tc>
        <w:tc>
          <w:tcPr>
            <w:tcBorders>
              <w:top w:val="single" w:color="auto" w:sz="4" w:space="0"/>
              <w:left w:val="single" w:color="auto" w:sz="4" w:space="0"/>
              <w:right w:val="single" w:color="auto" w:sz="4" w:space="0"/>
            </w:tcBorders>
            <w:tcW w:w="912" w:type="pct"/>
            <w:textDirection w:val="lrTb"/>
            <w:noWrap w:val="false"/>
          </w:tcPr>
          <w:p>
            <w:pPr>
              <w:jc w:val="center"/>
              <w:rPr>
                <w:rFonts w:ascii="宋体" w:hAnsi="宋体" w:eastAsia="宋体" w:cs="宋体"/>
                <w:b/>
                <w:szCs w:val="21"/>
                <w:highlight w:val="none"/>
                <w:u w:val="single"/>
              </w:rPr>
            </w:pPr>
            <w:r>
              <w:rPr>
                <w:rFonts w:ascii="宋体" w:hAnsi="宋体" w:eastAsia="宋体" w:cs="宋体"/>
                <w:b/>
                <w:szCs w:val="21"/>
                <w:highlight w:val="none"/>
                <w:u w:val="single"/>
              </w:rPr>
            </w:r>
            <w:r/>
          </w:p>
        </w:tc>
        <w:tc>
          <w:tcPr>
            <w:tcBorders>
              <w:top w:val="single" w:color="auto" w:sz="4" w:space="0"/>
              <w:left w:val="single" w:color="auto" w:sz="4" w:space="0"/>
              <w:right w:val="single" w:color="auto" w:sz="4" w:space="0"/>
            </w:tcBorders>
            <w:tcW w:w="456" w:type="pct"/>
            <w:textDirection w:val="lrTb"/>
            <w:noWrap w:val="false"/>
          </w:tcPr>
          <w:p>
            <w:pPr>
              <w:jc w:val="center"/>
              <w:rPr>
                <w:rFonts w:ascii="宋体" w:hAnsi="宋体" w:eastAsia="宋体" w:cs="宋体"/>
                <w:b/>
                <w:szCs w:val="21"/>
                <w:highlight w:val="none"/>
                <w:u w:val="single"/>
              </w:rPr>
            </w:pPr>
            <w:r>
              <w:rPr>
                <w:rFonts w:ascii="宋体" w:hAnsi="宋体" w:eastAsia="宋体" w:cs="宋体"/>
                <w:b/>
                <w:szCs w:val="21"/>
                <w:highlight w:val="none"/>
                <w:u w:val="single"/>
              </w:rPr>
            </w:r>
            <w:r/>
          </w:p>
        </w:tc>
        <w:tc>
          <w:tcPr>
            <w:tcBorders>
              <w:top w:val="single" w:color="auto" w:sz="4" w:space="0"/>
              <w:left w:val="single" w:color="auto" w:sz="4" w:space="0"/>
              <w:right w:val="single" w:color="auto" w:sz="4" w:space="0"/>
            </w:tcBorders>
            <w:tcW w:w="814" w:type="pct"/>
            <w:textDirection w:val="lrTb"/>
            <w:noWrap w:val="false"/>
          </w:tcPr>
          <w:p>
            <w:pPr>
              <w:jc w:val="center"/>
              <w:rPr>
                <w:rFonts w:ascii="宋体" w:hAnsi="宋体" w:eastAsia="宋体" w:cs="宋体"/>
                <w:b/>
                <w:szCs w:val="21"/>
                <w:highlight w:val="none"/>
                <w:u w:val="single"/>
              </w:rPr>
            </w:pPr>
            <w:r>
              <w:rPr>
                <w:rFonts w:ascii="宋体" w:hAnsi="宋体" w:eastAsia="宋体" w:cs="宋体"/>
                <w:b/>
                <w:szCs w:val="21"/>
                <w:highlight w:val="none"/>
                <w:u w:val="single"/>
              </w:rPr>
            </w:r>
            <w:r/>
          </w:p>
        </w:tc>
        <w:tc>
          <w:tcPr>
            <w:tcBorders>
              <w:top w:val="single" w:color="auto" w:sz="4" w:space="0"/>
              <w:left w:val="single" w:color="auto" w:sz="4" w:space="0"/>
              <w:right w:val="single" w:color="auto" w:sz="4" w:space="0"/>
            </w:tcBorders>
            <w:tcW w:w="783" w:type="pct"/>
            <w:textDirection w:val="lrTb"/>
            <w:noWrap w:val="false"/>
          </w:tcPr>
          <w:p>
            <w:pPr>
              <w:jc w:val="center"/>
              <w:rPr>
                <w:rFonts w:ascii="宋体" w:hAnsi="宋体" w:eastAsia="宋体" w:cs="宋体"/>
                <w:b/>
                <w:szCs w:val="21"/>
                <w:highlight w:val="none"/>
                <w:u w:val="single"/>
              </w:rPr>
            </w:pPr>
            <w:r>
              <w:rPr>
                <w:rFonts w:ascii="宋体" w:hAnsi="宋体" w:eastAsia="宋体" w:cs="宋体"/>
                <w:b/>
                <w:szCs w:val="21"/>
                <w:highlight w:val="none"/>
                <w:u w:val="single"/>
              </w:rPr>
            </w:r>
            <w:r/>
          </w:p>
        </w:tc>
        <w:tc>
          <w:tcPr>
            <w:tcBorders>
              <w:top w:val="single" w:color="auto" w:sz="4" w:space="0"/>
              <w:left w:val="single" w:color="auto" w:sz="4" w:space="0"/>
              <w:right w:val="single" w:color="auto" w:sz="4" w:space="0"/>
            </w:tcBorders>
            <w:tcW w:w="380" w:type="pct"/>
            <w:textDirection w:val="lrTb"/>
            <w:noWrap w:val="false"/>
          </w:tcPr>
          <w:p>
            <w:pPr>
              <w:jc w:val="center"/>
              <w:rPr>
                <w:rFonts w:ascii="宋体" w:hAnsi="宋体" w:eastAsia="宋体" w:cs="宋体"/>
                <w:b/>
                <w:szCs w:val="21"/>
                <w:highlight w:val="none"/>
                <w:u w:val="single"/>
              </w:rPr>
            </w:pPr>
            <w:r>
              <w:rPr>
                <w:rFonts w:ascii="宋体" w:hAnsi="宋体" w:eastAsia="宋体" w:cs="宋体"/>
                <w:b/>
                <w:szCs w:val="21"/>
                <w:highlight w:val="none"/>
                <w:u w:val="single"/>
              </w:rPr>
            </w:r>
            <w:r/>
          </w:p>
        </w:tc>
        <w:tc>
          <w:tcPr>
            <w:tcBorders>
              <w:top w:val="single" w:color="auto" w:sz="4" w:space="0"/>
              <w:left w:val="single" w:color="auto" w:sz="4" w:space="0"/>
            </w:tcBorders>
            <w:tcW w:w="589" w:type="pct"/>
            <w:textDirection w:val="lrTb"/>
            <w:noWrap w:val="false"/>
          </w:tcPr>
          <w:p>
            <w:pPr>
              <w:jc w:val="center"/>
              <w:rPr>
                <w:rFonts w:ascii="宋体" w:hAnsi="宋体" w:eastAsia="宋体" w:cs="宋体"/>
                <w:b/>
                <w:szCs w:val="21"/>
                <w:highlight w:val="none"/>
                <w:u w:val="single"/>
              </w:rPr>
            </w:pPr>
            <w:r>
              <w:rPr>
                <w:rFonts w:ascii="宋体" w:hAnsi="宋体" w:eastAsia="宋体" w:cs="宋体"/>
                <w:b/>
                <w:szCs w:val="21"/>
                <w:highlight w:val="none"/>
                <w:u w:val="single"/>
              </w:rPr>
            </w:r>
            <w:r/>
          </w:p>
        </w:tc>
      </w:tr>
    </w:tbl>
    <w:p>
      <w:pPr>
        <w:ind w:firstLine="42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设备配置、技术指标、安装条件及验收指标等详见附件一技术协议。</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第二条 合同总价款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本合同项下货物总价款为人民币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（大写）。</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合同总价款是包括完成本合同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乙方企业利润、税金和政策性文件规定及合同包含的所有风险、责任等各项应有费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本合同总价款还包含乙方应当提供的伴随服务/售后服务费用。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本合同执行期间合同总价款不变。</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第三条  履约保证金</w:t>
      </w:r>
      <w:r/>
    </w:p>
    <w:p>
      <w:pPr>
        <w:ind w:firstLine="420"/>
        <w:spacing w:line="360" w:lineRule="auto"/>
        <w:rPr>
          <w:rFonts w:ascii="宋体" w:hAnsi="宋体" w:eastAsia="宋体" w:cs="宋体"/>
          <w:b/>
          <w:szCs w:val="21"/>
          <w:highlight w:val="none"/>
        </w:rPr>
      </w:pPr>
      <w:r>
        <w:rPr>
          <w:rFonts w:hint="eastAsia" w:ascii="宋体" w:hAnsi="宋体" w:eastAsia="宋体" w:cs="宋体"/>
          <w:szCs w:val="21"/>
          <w:highlight w:val="none"/>
        </w:rPr>
        <w:t xml:space="preserve">乙方须在签订合同前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第四条  权利保证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第五条  质量保证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3、设备的质保期为甲乙双方最终验收合格之日起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个月。质保期内仪器设备本身所发生的问题（人为因素除外），由乙方提供完全无偿的维修服务。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第六条  包装要求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2、每一包装单元内应附详细的装箱单、质量合格凭证以及其他必须的相关材料。</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第七条  交货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1、乙方应在本合同生效后</w:t>
      </w:r>
      <w:r>
        <w:rPr>
          <w:rFonts w:hint="eastAsia" w:ascii="宋体" w:hAnsi="宋体" w:eastAsia="宋体" w:cs="宋体"/>
          <w:szCs w:val="21"/>
          <w:highlight w:val="none"/>
          <w:u w:val="single"/>
        </w:rPr>
        <w:t xml:space="preserve">60</w:t>
      </w:r>
      <w:r>
        <w:rPr>
          <w:rFonts w:hint="eastAsia" w:ascii="宋体" w:hAnsi="宋体" w:eastAsia="宋体" w:cs="宋体"/>
          <w:szCs w:val="21"/>
          <w:highlight w:val="none"/>
        </w:rPr>
        <w:t xml:space="preserve">天内按照甲方要求将货物运送至指定仓库开展预验收。预验收合格后，乙方应当在接到甲方通知后5天内，约定二次运输日期（最晚不晚于合同签订后的一年）到甲方指定的仓库开展二次运输，将货物从指定仓库运送至最终安装地点（指定仓库和最终安装地点位于同一建筑的不同楼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第八条 安装调试、培训和验收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1、甲方在乙方完成二次运输后</w:t>
      </w:r>
      <w:r>
        <w:rPr>
          <w:rFonts w:ascii="宋体" w:hAnsi="宋体" w:eastAsia="宋体" w:cs="宋体"/>
          <w:szCs w:val="21"/>
          <w:highlight w:val="none"/>
        </w:rPr>
        <w:t xml:space="preserve">5个</w:t>
      </w:r>
      <w:r>
        <w:rPr>
          <w:rFonts w:hint="eastAsia" w:ascii="宋体" w:hAnsi="宋体" w:eastAsia="宋体" w:cs="宋体"/>
          <w:szCs w:val="21"/>
          <w:highlight w:val="none"/>
        </w:rPr>
        <w:t xml:space="preserve">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420"/>
        <w:spacing w:line="360" w:lineRule="auto"/>
        <w:rPr>
          <w:rFonts w:ascii="宋体" w:hAnsi="宋体" w:eastAsia="宋体" w:cs="宋体"/>
          <w:szCs w:val="21"/>
          <w:highlight w:val="none"/>
        </w:rPr>
      </w:pPr>
      <w:r>
        <w:rPr>
          <w:rFonts w:ascii="宋体" w:hAnsi="宋体" w:eastAsia="宋体" w:cs="宋体"/>
          <w:szCs w:val="21"/>
          <w:highlight w:val="none"/>
        </w:rPr>
        <w:t xml:space="preserve">2、</w:t>
      </w:r>
      <w:r>
        <w:rPr>
          <w:rFonts w:hint="eastAsia" w:ascii="宋体" w:hAnsi="宋体" w:eastAsia="宋体" w:cs="宋体"/>
          <w:szCs w:val="21"/>
          <w:highlight w:val="none"/>
        </w:rPr>
        <w:t xml:space="preserve">验收条款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（1）预验收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货物到达甲方指定的仓库后，对货物包装是否完好进行验收。若货物包装存在损坏，甲方有权拒收，乙方应在7个工作日内重新送达。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（2）最终验收</w:t>
      </w:r>
      <w:r/>
    </w:p>
    <w:p>
      <w:pPr>
        <w:ind w:firstLine="420"/>
        <w:spacing w:line="360" w:lineRule="auto"/>
        <w:rPr>
          <w:rFonts w:ascii="宋体" w:hAnsi="宋体" w:cs="宋体"/>
          <w:sz w:val="24"/>
          <w:szCs w:val="24"/>
          <w:highlight w:val="none"/>
        </w:rPr>
      </w:pPr>
      <w:r>
        <w:rPr>
          <w:rFonts w:hint="eastAsia" w:ascii="宋体" w:hAnsi="宋体" w:eastAsia="宋体" w:cs="宋体"/>
          <w:szCs w:val="21"/>
          <w:highlight w:val="none"/>
        </w:rPr>
        <w:t xml:space="preserve">安装调试完毕，由甲方组织最终验收，设备配置、所有技术参数须符合招标文件和乙方投标响应文件要求。验收内容还包括资料完整性、设备“三漏”</w:t>
      </w:r>
      <w:r>
        <w:rPr>
          <w:rFonts w:ascii="宋体" w:hAnsi="宋体" w:eastAsia="宋体" w:cs="宋体"/>
          <w:szCs w:val="21"/>
          <w:highlight w:val="none"/>
        </w:rPr>
        <w:t xml:space="preserve">(漏水、漏电、漏气)检查、设备运行稳定性、技术规格</w:t>
      </w:r>
      <w:r>
        <w:rPr>
          <w:rFonts w:hint="eastAsia" w:ascii="宋体" w:hAnsi="宋体" w:eastAsia="宋体" w:cs="宋体"/>
          <w:szCs w:val="21"/>
          <w:highlight w:val="none"/>
        </w:rPr>
        <w:t xml:space="preserve">符合性</w:t>
      </w:r>
      <w:r>
        <w:rPr>
          <w:rFonts w:ascii="宋体" w:hAnsi="宋体" w:eastAsia="宋体" w:cs="宋体"/>
          <w:szCs w:val="21"/>
          <w:highlight w:val="none"/>
        </w:rPr>
        <w:t xml:space="preserve">。</w:t>
      </w:r>
      <w:r>
        <w:rPr>
          <w:rFonts w:hint="eastAsia" w:ascii="宋体" w:hAnsi="宋体" w:eastAsia="宋体" w:cs="宋体"/>
          <w:szCs w:val="21"/>
          <w:highlight w:val="none"/>
        </w:rPr>
        <w:t xml:space="preserve">各项指标还应符合国家质量和安全标准，设备可以在现有条件下安全稳定运行。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（3）如果双方对验收结果有争议，可委托双方一致认可的国家相关权威检测中心进行检测，以检测结果作为最终验收结果，费用由乙方承担。</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第九条  伴随服务／售后服务</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1、乙方应按照国家有关法律法规规章和“三包”规定以及合同所附的“服务承诺”（如果有）提供服务。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2、除前款规定外，乙方还应提供下列服务：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（1）货物的现场安装、调试和/或启动监督；</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（2）就货物的安装、启动、运行及维护等对甲方人员进行免费培训。</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3、质保期内，乙方负责对其提供的货物整机进行维修和系统维护（乙方上门服务），不再收取任何费用。</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4、货物故障报修的响应时间为：质保期内设备发生任何部件故障，供应商须在48小时内上门免费维修。</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6、质保期后的货物维护由双方协商确定。</w:t>
      </w:r>
      <w:r/>
    </w:p>
    <w:p>
      <w:pPr>
        <w:ind w:firstLine="422"/>
        <w:spacing w:line="360" w:lineRule="auto"/>
        <w:tabs>
          <w:tab w:val="left" w:pos="162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第十条   货款支付</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1、本合同项下所有款项均以人民币支付。</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2、本合同按照以下付款节点及条件支付：</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（1）合同签订且甲方收到乙方缴纳的履约保证金后支付合同总金额的10%作为预付款；</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（2）设备运至甲方指定仓库且预验收合格后支付合同总金额的40%；</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（3）设备完成二次运输、安装、调试，双方签署最终验收合格证明后支付合同总金额的50%。 </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（4）每次付款前，乙方均须提供对应的等额增值税专用发票。</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乙方开户银行：</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银行账号：</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3、付款方式：银行汇票或转账</w:t>
      </w:r>
      <w:r/>
    </w:p>
    <w:p>
      <w:pPr>
        <w:ind w:firstLine="420"/>
        <w:spacing w:line="360" w:lineRule="auto"/>
        <w:tabs>
          <w:tab w:val="left" w:pos="1620" w:leader="none"/>
        </w:tabs>
        <w:rPr>
          <w:rFonts w:ascii="宋体" w:hAnsi="宋体" w:eastAsia="宋体" w:cs="宋体"/>
          <w:szCs w:val="21"/>
          <w:highlight w:val="none"/>
        </w:rPr>
      </w:pPr>
      <w:r>
        <w:rPr>
          <w:rFonts w:hint="eastAsia" w:ascii="宋体" w:hAnsi="宋体" w:eastAsia="宋体" w:cs="宋体"/>
          <w:szCs w:val="21"/>
          <w:highlight w:val="none"/>
        </w:rPr>
        <w:t xml:space="preserve">4、增值税专用发票开票信息</w:t>
      </w:r>
      <w:r/>
    </w:p>
    <w:tbl>
      <w:tblPr>
        <w:tblStyle w:val="824"/>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316"/>
        <w:gridCol w:w="2754"/>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9"/>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9"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第十一条　违约责任</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1、乙方逾期将货物运送至甲方指定仓库的，每逾期1周（不足1周按1周计算），乙方向甲方偿付逾期交货部分货款总额的5‰的滞纳金。如乙方逾期</w:t>
      </w:r>
      <w:r>
        <w:rPr>
          <w:rFonts w:hint="eastAsia" w:ascii="宋体" w:hAnsi="宋体" w:eastAsia="宋体" w:cs="宋体"/>
          <w:szCs w:val="21"/>
          <w:highlight w:val="none"/>
          <w:u w:val="single"/>
        </w:rPr>
        <w:t xml:space="preserve">15</w:t>
      </w:r>
      <w:r>
        <w:rPr>
          <w:rFonts w:hint="eastAsia" w:ascii="宋体" w:hAnsi="宋体" w:eastAsia="宋体" w:cs="宋体"/>
          <w:szCs w:val="21"/>
          <w:highlight w:val="none"/>
        </w:rPr>
        <w:t xml:space="preserve">天仍未交齐货物的，甲方有权终止合同，乙方则应按合同总价的5%向甲方支付违约金，并全额退还甲方所有预付给乙方的货款。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4、乙方未按本合同的规定和“服务承诺”提供伴随服务/售后服务的，应按合同总价款的5%向甲方承担违约责任。</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第十二条  不可抗力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2、因不可抗力致使完全不能履行合同的，本协议终止，双方无须承担任何责任，但本协议另有规定的除外。</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3、因发生不可抗力致使部分不能履行本合同的（包括导致延期履行），根据不可抗力的影响，免除相应的责任，但本合同另有规定的除外。</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5、因合同一方延迟履行合同后发生不可抗力的，不能免除延迟履行方的相应责任。</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第十三条　合同的变更和终止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本合同一经签订，甲乙双方不得擅自变更、中止或终止合同。</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第十四条　合同的转让</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未经甲方书面同意，乙方不得擅自部分或全部转让其应履行的合同义务。</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第十五条  争议的解决</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第十六条   合同生效及其他</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1、下列文件作为本合同不可分割的部分：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采购文件及其附件；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乙方的响应文件；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乙方在采购过程中所作的其他承诺、声明、书面澄清等；</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合同附件等。</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2、本合同自合同双方签字、盖章之日起生效。</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3、本合同一式5 份，甲方执 3 份，乙方执 1 份，代理机构执1份，具有同等法律效力。</w:t>
      </w:r>
      <w:r/>
    </w:p>
    <w:p>
      <w:pPr>
        <w:ind w:firstLine="420"/>
        <w:spacing w:line="360" w:lineRule="auto"/>
        <w:rPr>
          <w:rFonts w:ascii="宋体" w:hAnsi="宋体" w:eastAsia="宋体" w:cs="宋体"/>
          <w:szCs w:val="21"/>
          <w:highlight w:val="none"/>
        </w:rPr>
      </w:pPr>
      <w:r>
        <w:rPr>
          <w:rFonts w:ascii="宋体" w:hAnsi="宋体" w:eastAsia="宋体" w:cs="宋体"/>
          <w:szCs w:val="21"/>
          <w:highlight w:val="none"/>
        </w:rPr>
      </w:r>
      <w:r/>
    </w:p>
    <w:p>
      <w:pPr>
        <w:ind w:firstLine="420"/>
        <w:spacing w:line="360" w:lineRule="auto"/>
        <w:rPr>
          <w:rFonts w:ascii="宋体" w:hAnsi="宋体" w:eastAsia="宋体" w:cs="宋体"/>
          <w:szCs w:val="21"/>
          <w:highlight w:val="none"/>
        </w:rPr>
      </w:pPr>
      <w:r>
        <w:rPr>
          <w:rFonts w:ascii="宋体" w:hAnsi="宋体" w:eastAsia="宋体" w:cs="宋体"/>
          <w:szCs w:val="21"/>
          <w:highlight w:val="none"/>
        </w:rPr>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甲方（盖章）：                   乙方（盖章）：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单位地址：                       单位地址：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设备购置负责人：                 授权代表：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电话：                           电话：</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采购部门经办人：                 经办人：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审核人：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电话：                           电话：                          </w:t>
      </w:r>
      <w:r/>
    </w:p>
    <w:p>
      <w:pPr>
        <w:ind w:firstLine="420"/>
        <w:spacing w:line="360" w:lineRule="auto"/>
        <w:rPr>
          <w:rFonts w:ascii="宋体" w:hAnsi="宋体" w:eastAsia="宋体" w:cs="宋体"/>
          <w:szCs w:val="24"/>
          <w:highlight w:val="none"/>
        </w:rPr>
      </w:pPr>
      <w:r>
        <w:rPr>
          <w:rFonts w:hint="eastAsia" w:ascii="宋体" w:hAnsi="宋体" w:eastAsia="宋体" w:cs="宋体"/>
          <w:szCs w:val="21"/>
          <w:highlight w:val="none"/>
        </w:rPr>
        <w:t xml:space="preserve">日期：   年     月    日         日期：   年     月    日           </w:t>
      </w:r>
      <w:r/>
    </w:p>
    <w:p>
      <w:pPr>
        <w:rPr>
          <w:rFonts w:ascii="宋体" w:hAnsi="宋体" w:eastAsia="宋体" w:cs="宋体"/>
          <w:b/>
          <w:sz w:val="44"/>
          <w:highlight w:val="none"/>
        </w:rPr>
      </w:pPr>
      <w:r/>
      <w:bookmarkStart w:id="6" w:name="_Toc9204"/>
      <w:r>
        <w:rPr>
          <w:rFonts w:ascii="宋体" w:hAnsi="宋体" w:eastAsia="宋体" w:cs="宋体"/>
          <w:b/>
          <w:sz w:val="44"/>
          <w:highlight w:val="none"/>
        </w:rPr>
        <w:br w:type="page" w:clear="all"/>
      </w:r>
      <w:r/>
    </w:p>
    <w:p>
      <w:pPr>
        <w:pStyle w:val="814"/>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814"/>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814"/>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6"/>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rPr>
          <w:rFonts w:hint="eastAsia" w:ascii="宋体" w:hAnsi="宋体" w:eastAsia="宋体" w:cs="宋体"/>
          <w:b/>
          <w:sz w:val="24"/>
          <w:highlight w:val="none"/>
        </w:rPr>
        <w:t xml:space="preserve">（适用于所有采购包）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本次招标评标采用为</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w:t>
      </w:r>
      <w:r>
        <w:rPr>
          <w:rFonts w:hint="eastAsia" w:ascii="宋体" w:hAnsi="宋体" w:eastAsia="宋体" w:cs="宋体"/>
          <w:sz w:val="24"/>
          <w:highlight w:val="none"/>
        </w:rPr>
        <w:t xml:space="preserve">（核心品牌）</w:t>
      </w:r>
      <w:r>
        <w:rPr>
          <w:rFonts w:ascii="宋体" w:hAnsi="宋体" w:eastAsia="宋体" w:cs="宋体"/>
          <w:sz w:val="24"/>
          <w:highlight w:val="none"/>
        </w:rPr>
        <w:t xml:space="preserve">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w:t>
      </w:r>
      <w:r>
        <w:rPr>
          <w:rFonts w:hint="eastAsia" w:ascii="宋体" w:hAnsi="宋体" w:eastAsia="宋体" w:cs="宋体"/>
          <w:sz w:val="24"/>
          <w:highlight w:val="none"/>
        </w:rPr>
        <w:t xml:space="preserve">中标单位</w:t>
      </w:r>
      <w:r>
        <w:rPr>
          <w:rFonts w:ascii="宋体" w:hAnsi="宋体" w:eastAsia="宋体" w:cs="宋体"/>
          <w:sz w:val="24"/>
          <w:highlight w:val="none"/>
        </w:rPr>
        <w:t xml:space="preserve">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w:t>
      </w:r>
      <w:r>
        <w:rPr>
          <w:rFonts w:hint="eastAsia" w:ascii="宋体" w:hAnsi="宋体" w:eastAsia="宋体" w:cs="宋体"/>
          <w:sz w:val="24"/>
          <w:highlight w:val="none"/>
        </w:rPr>
        <w:t xml:space="preserve">中标单位</w:t>
      </w:r>
      <w:r>
        <w:rPr>
          <w:rFonts w:ascii="宋体" w:hAnsi="宋体" w:eastAsia="宋体" w:cs="宋体"/>
          <w:sz w:val="24"/>
          <w:highlight w:val="none"/>
        </w:rPr>
        <w:t xml:space="preserve">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w:t>
      </w:r>
      <w:r>
        <w:rPr>
          <w:rFonts w:hint="eastAsia" w:ascii="宋体" w:hAnsi="宋体" w:eastAsia="宋体" w:cs="宋体"/>
          <w:sz w:val="24"/>
          <w:highlight w:val="none"/>
        </w:rPr>
        <w:t xml:space="preserve">中标单位</w:t>
      </w:r>
      <w:r>
        <w:rPr>
          <w:rFonts w:ascii="宋体" w:hAnsi="宋体" w:eastAsia="宋体" w:cs="宋体"/>
          <w:sz w:val="24"/>
          <w:highlight w:val="none"/>
        </w:rPr>
        <w:t xml:space="preserve">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评审要求（适用于所有采购包）</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0"/>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830"/>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highlight w:val="none"/>
        </w:rPr>
        <w:t xml:space="preserve">对小型和微型企业产品或服务的价格给予10%的扣除，用扣除后的价格参与评审。</w:t>
      </w:r>
      <w:r/>
    </w:p>
    <w:p>
      <w:pPr>
        <w:pStyle w:val="830"/>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852"/>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szCs w:val="24"/>
          <w:highlight w:val="none"/>
        </w:rPr>
        <w:t xml:space="preserve">20%的价格扣除</w:t>
      </w:r>
      <w:r>
        <w:rPr>
          <w:rFonts w:hint="eastAsia" w:ascii="宋体" w:hAnsi="宋体" w:eastAsia="宋体" w:cs="宋体"/>
          <w:sz w:val="24"/>
          <w:szCs w:val="24"/>
          <w:highlight w:val="none"/>
        </w:rPr>
        <w:t xml:space="preserve">，用扣除后的价格参与评审。</w:t>
      </w:r>
      <w:r/>
    </w:p>
    <w:p>
      <w:pPr>
        <w:pStyle w:val="830"/>
        <w:ind w:left="0" w:right="0" w:firstLine="480"/>
        <w:rPr>
          <w:rFonts w:hint="default" w:ascii="宋体" w:hAnsi="宋体" w:eastAsia="宋体" w:cs="宋体"/>
          <w:b/>
          <w:bCs/>
          <w:color w:val="000000"/>
          <w:sz w:val="24"/>
          <w:szCs w:val="24"/>
          <w:highlight w:val="none"/>
        </w:rPr>
      </w:pPr>
      <w:r>
        <w:rPr>
          <w:rFonts w:ascii="宋体" w:hAnsi="宋体" w:eastAsia="宋体" w:cs="宋体"/>
          <w:sz w:val="24"/>
          <w:szCs w:val="24"/>
          <w:highlight w:val="none"/>
        </w:rPr>
        <w:t xml:space="preserve">当采购项目或者采购包中含有多种产品，供应商为该采购项目或者采购包提供的</w:t>
      </w:r>
      <w:r>
        <w:rPr>
          <w:rFonts w:ascii="宋体" w:hAnsi="宋体" w:eastAsia="宋体" w:cs="宋体"/>
          <w:b/>
          <w:bCs/>
          <w:sz w:val="24"/>
          <w:szCs w:val="24"/>
          <w:highlight w:val="none"/>
        </w:rPr>
        <w:t xml:space="preserve">符合本国产品标准的产品成本之和占该供应商提供的全部产品成本之和的比例达到80%以上</w:t>
      </w:r>
      <w:r>
        <w:rPr>
          <w:rFonts w:ascii="宋体" w:hAnsi="宋体" w:eastAsia="宋体" w:cs="宋体"/>
          <w:sz w:val="24"/>
          <w:szCs w:val="24"/>
          <w:highlight w:val="none"/>
        </w:rPr>
        <w:t xml:space="preserve">时，依法对该供应商提供的全部产品给予价格评审优惠，即</w:t>
      </w:r>
      <w:r>
        <w:rPr>
          <w:rFonts w:ascii="宋体" w:hAnsi="宋体" w:eastAsia="宋体" w:cs="宋体"/>
          <w:b/>
          <w:bCs/>
          <w:sz w:val="24"/>
          <w:szCs w:val="24"/>
          <w:highlight w:val="none"/>
        </w:rPr>
        <w:t xml:space="preserve">对该供应商提供的全部产品的总报价给予20%的价格扣除</w:t>
      </w:r>
      <w:r>
        <w:rPr>
          <w:rFonts w:ascii="宋体" w:hAnsi="宋体" w:eastAsia="宋体" w:cs="宋体"/>
          <w:sz w:val="24"/>
          <w:szCs w:val="24"/>
          <w:highlight w:val="none"/>
        </w:rPr>
        <w:t xml:space="preserve">，用扣除后的价格参与评审。</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三、评分标准（适用于所有采购包）</w:t>
      </w:r>
      <w:r/>
    </w:p>
    <w:p>
      <w:pPr>
        <w:ind w:firstLine="482"/>
        <w:spacing w:line="360" w:lineRule="auto"/>
        <w:widowControl w:val="off"/>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（一）价格（30分）</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以通过评标初审，实质性响应采购文件要求且报价最低的投标报价为评标基准价（须未超过采购预算或最高限价，其价格分为满分30分。其他投标人的价格分统一按照下列公式计算：</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投标报价得分=（评标基准价/投标报价）×价格权值×100（价格权值为30%）</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（二）技术参数及技术方案（30分）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1.技术参数及配置（20分）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所提供产品不满足招标文件要求（负偏离）、配置不详、技术参数不明确、缺漏项的，每处扣2分，扣完为止。（20分）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2.技术方案（10分）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供应商提供为实现本项目招标文件技术参数要求而制定的技术方案。</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技术方案详尽合理、针对性强，能完全符合用户科研需求的得10分。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技术方案基本规范合理、具有较强针对性，能基本符合用户科研需求的得6分。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技术方案有疏漏、合理性及针对性较差，仅能符合用户部分科研需求的得2分。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技术方案完全不能符合用户科研需求或未提供技术方案的不得分。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（三）项目实施方案（9分）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（四）综合商务（31分）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1.业绩（4分）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提供所投产品（同型号设备）自2023年</w:t>
      </w:r>
      <w:r>
        <w:rPr>
          <w:rFonts w:ascii="宋体" w:hAnsi="宋体" w:eastAsia="宋体" w:cs="宋体"/>
          <w:bCs/>
          <w:sz w:val="24"/>
          <w:szCs w:val="24"/>
          <w:highlight w:val="none"/>
        </w:rPr>
        <w:t xml:space="preserve">10</w:t>
      </w:r>
      <w:r>
        <w:rPr>
          <w:rFonts w:hint="eastAsia" w:ascii="宋体" w:hAnsi="宋体" w:eastAsia="宋体" w:cs="宋体"/>
          <w:bCs/>
          <w:sz w:val="24"/>
          <w:szCs w:val="24"/>
          <w:highlight w:val="none"/>
        </w:rPr>
        <w:t xml:space="preserve">月起至今的销售业绩，每提供1份业绩得1分，满分4分。（注：①提供业绩合同复印件；②以合同签订日期为准；③同一单位业绩不重复计分。）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2.市场反馈情况（5分）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3.售后服务（20分）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（1）售后服务方案（12分）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包括①针对本项目制定的售后服务响应机制及响应时间；②针对投标人服务体系的完备性；③投入本项目专业技术服务人员及技术力量保障性。</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（2）培训方案（8分）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包括（1）培训内容、时间、地点、人次、安装维护、调试、配置；（2）使用技能、业务人员培训、应用操作及使用等。</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4．其它优惠措施（2分）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根据供应商提供的在招标文件要求范围以外，评标委员会认可的优惠措施综合评定。</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优惠措施内容具体明确，具有实际价值及可行性高的得2分；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优惠措施内容较为具体明确，实际价值及可行性较高的得1分；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优惠措施内容不够具体明确，实际价值及可行性较低的得0.5分；</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不具备可行性或未提供具体内容的不得分。</w:t>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（全文完）</w:t>
      </w:r>
      <w:r/>
    </w:p>
    <w:sectPr>
      <w:footnotePr/>
      <w:endnotePr/>
      <w:type w:val="nextPage"/>
      <w:pgSz w:w="11906" w:h="16838" w:orient="portrait"/>
      <w:pgMar w:top="1417" w:right="1417" w:bottom="1417" w:left="1417"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Segoe UI">
    <w:panose1 w:val="020B0502040204020203"/>
  </w:font>
  <w:font w:name="华文细黑">
    <w:panose1 w:val="02010600040101010101"/>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41</w:t>
                          </w:r>
                          <w:r>
                            <w:fldChar w:fldCharType="end"/>
                          </w:r>
                          <w:r>
                            <w:t xml:space="preserve"> / </w:t>
                          </w:r>
                          <w:r>
                            <w:fldChar w:fldCharType="begin"/>
                          </w:r>
                          <w:r>
                            <w:instrText xml:space="preserve"> NUMPAGES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41</w:t>
                    </w:r>
                    <w:r>
                      <w:fldChar w:fldCharType="end"/>
                    </w:r>
                    <w:r>
                      <w:t xml:space="preserve"> / </w:t>
                    </w:r>
                    <w:r>
                      <w:fldChar w:fldCharType="begin"/>
                    </w:r>
                    <w:r>
                      <w:instrText xml:space="preserve"> NUMPAGES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823"/>
    <w:link w:val="814"/>
    <w:uiPriority w:val="9"/>
    <w:rPr>
      <w:rFonts w:ascii="Arial" w:hAnsi="Arial" w:eastAsia="Arial" w:cs="Arial"/>
      <w:sz w:val="40"/>
      <w:szCs w:val="40"/>
    </w:rPr>
  </w:style>
  <w:style w:type="character" w:styleId="777">
    <w:name w:val="Heading 2 Char"/>
    <w:basedOn w:val="823"/>
    <w:link w:val="815"/>
    <w:uiPriority w:val="9"/>
    <w:rPr>
      <w:rFonts w:ascii="Arial" w:hAnsi="Arial" w:eastAsia="Arial" w:cs="Arial"/>
      <w:sz w:val="34"/>
    </w:rPr>
  </w:style>
  <w:style w:type="character" w:styleId="778">
    <w:name w:val="Heading 3 Char"/>
    <w:basedOn w:val="823"/>
    <w:link w:val="816"/>
    <w:uiPriority w:val="9"/>
    <w:rPr>
      <w:rFonts w:ascii="Arial" w:hAnsi="Arial" w:eastAsia="Arial" w:cs="Arial"/>
      <w:sz w:val="30"/>
      <w:szCs w:val="30"/>
    </w:rPr>
  </w:style>
  <w:style w:type="character" w:styleId="779">
    <w:name w:val="Heading 4 Char"/>
    <w:basedOn w:val="823"/>
    <w:link w:val="817"/>
    <w:uiPriority w:val="9"/>
    <w:rPr>
      <w:rFonts w:ascii="Arial" w:hAnsi="Arial" w:eastAsia="Arial" w:cs="Arial"/>
      <w:b/>
      <w:bCs/>
      <w:sz w:val="26"/>
      <w:szCs w:val="26"/>
    </w:rPr>
  </w:style>
  <w:style w:type="character" w:styleId="780">
    <w:name w:val="Heading 5 Char"/>
    <w:basedOn w:val="823"/>
    <w:link w:val="818"/>
    <w:uiPriority w:val="9"/>
    <w:rPr>
      <w:rFonts w:ascii="Arial" w:hAnsi="Arial" w:eastAsia="Arial" w:cs="Arial"/>
      <w:b/>
      <w:bCs/>
      <w:sz w:val="24"/>
      <w:szCs w:val="24"/>
    </w:rPr>
  </w:style>
  <w:style w:type="character" w:styleId="781">
    <w:name w:val="Heading 6 Char"/>
    <w:basedOn w:val="823"/>
    <w:link w:val="819"/>
    <w:uiPriority w:val="9"/>
    <w:rPr>
      <w:rFonts w:ascii="Arial" w:hAnsi="Arial" w:eastAsia="Arial" w:cs="Arial"/>
      <w:b/>
      <w:bCs/>
      <w:sz w:val="22"/>
      <w:szCs w:val="22"/>
    </w:rPr>
  </w:style>
  <w:style w:type="character" w:styleId="782">
    <w:name w:val="Heading 7 Char"/>
    <w:basedOn w:val="823"/>
    <w:link w:val="820"/>
    <w:uiPriority w:val="9"/>
    <w:rPr>
      <w:rFonts w:ascii="Arial" w:hAnsi="Arial" w:eastAsia="Arial" w:cs="Arial"/>
      <w:b/>
      <w:bCs/>
      <w:i/>
      <w:iCs/>
      <w:sz w:val="22"/>
      <w:szCs w:val="22"/>
    </w:rPr>
  </w:style>
  <w:style w:type="character" w:styleId="783">
    <w:name w:val="Heading 8 Char"/>
    <w:basedOn w:val="823"/>
    <w:link w:val="821"/>
    <w:uiPriority w:val="9"/>
    <w:rPr>
      <w:rFonts w:ascii="Arial" w:hAnsi="Arial" w:eastAsia="Arial" w:cs="Arial"/>
      <w:i/>
      <w:iCs/>
      <w:sz w:val="22"/>
      <w:szCs w:val="22"/>
    </w:rPr>
  </w:style>
  <w:style w:type="character" w:styleId="784">
    <w:name w:val="Heading 9 Char"/>
    <w:basedOn w:val="823"/>
    <w:link w:val="822"/>
    <w:uiPriority w:val="9"/>
    <w:rPr>
      <w:rFonts w:ascii="Arial" w:hAnsi="Arial" w:eastAsia="Arial" w:cs="Arial"/>
      <w:i/>
      <w:iCs/>
      <w:sz w:val="21"/>
      <w:szCs w:val="21"/>
    </w:rPr>
  </w:style>
  <w:style w:type="character" w:styleId="785">
    <w:name w:val="Title Char"/>
    <w:basedOn w:val="823"/>
    <w:link w:val="848"/>
    <w:uiPriority w:val="10"/>
    <w:rPr>
      <w:sz w:val="48"/>
      <w:szCs w:val="48"/>
    </w:rPr>
  </w:style>
  <w:style w:type="character" w:styleId="786">
    <w:name w:val="Subtitle Char"/>
    <w:basedOn w:val="823"/>
    <w:link w:val="841"/>
    <w:uiPriority w:val="11"/>
    <w:rPr>
      <w:sz w:val="24"/>
      <w:szCs w:val="24"/>
    </w:rPr>
  </w:style>
  <w:style w:type="character" w:styleId="787">
    <w:name w:val="Quote Char"/>
    <w:link w:val="872"/>
    <w:uiPriority w:val="29"/>
    <w:rPr>
      <w:i/>
    </w:rPr>
  </w:style>
  <w:style w:type="character" w:styleId="788">
    <w:name w:val="Intense Quote Char"/>
    <w:link w:val="874"/>
    <w:uiPriority w:val="30"/>
    <w:rPr>
      <w:i/>
    </w:rPr>
  </w:style>
  <w:style w:type="character" w:styleId="789">
    <w:name w:val="Header Char"/>
    <w:basedOn w:val="823"/>
    <w:link w:val="838"/>
    <w:uiPriority w:val="99"/>
  </w:style>
  <w:style w:type="character" w:styleId="790">
    <w:name w:val="Caption Char"/>
    <w:basedOn w:val="827"/>
    <w:link w:val="836"/>
    <w:uiPriority w:val="99"/>
  </w:style>
  <w:style w:type="table" w:styleId="791">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0">
    <w:name w:val="Footnote Text Char"/>
    <w:link w:val="842"/>
    <w:uiPriority w:val="99"/>
    <w:rPr>
      <w:sz w:val="18"/>
    </w:rPr>
  </w:style>
  <w:style w:type="character" w:styleId="811">
    <w:name w:val="Endnote Text Char"/>
    <w:link w:val="834"/>
    <w:uiPriority w:val="99"/>
    <w:rPr>
      <w:sz w:val="20"/>
    </w:rPr>
  </w:style>
  <w:style w:type="paragraph" w:styleId="812">
    <w:name w:val="TOC Heading"/>
    <w:uiPriority w:val="39"/>
    <w:unhideWhenUsed/>
  </w:style>
  <w:style w:type="paragraph" w:styleId="813" w:default="1">
    <w:name w:val="Normal"/>
    <w:uiPriority w:val="0"/>
    <w:qFormat/>
    <w:rPr>
      <w:rFonts w:asciiTheme="minorHAnsi" w:hAnsiTheme="minorHAnsi" w:eastAsiaTheme="minorEastAsia" w:cstheme="minorBidi"/>
      <w:sz w:val="21"/>
      <w:szCs w:val="22"/>
      <w:lang w:val="en-US" w:eastAsia="zh-CN" w:bidi="ar-SA"/>
    </w:rPr>
  </w:style>
  <w:style w:type="paragraph" w:styleId="814">
    <w:name w:val="Heading 1"/>
    <w:basedOn w:val="813"/>
    <w:next w:val="813"/>
    <w:link w:val="859"/>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link w:val="860"/>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link w:val="861"/>
    <w:uiPriority w:val="9"/>
    <w:unhideWhenUsed/>
    <w:qFormat/>
    <w:pPr>
      <w:keepLines/>
      <w:keepNext/>
      <w:spacing w:before="320" w:after="200"/>
      <w:outlineLvl w:val="2"/>
    </w:pPr>
    <w:rPr>
      <w:rFonts w:ascii="Arial" w:hAnsi="Arial" w:eastAsia="Arial" w:cs="Arial"/>
      <w:sz w:val="30"/>
      <w:szCs w:val="30"/>
    </w:rPr>
  </w:style>
  <w:style w:type="paragraph" w:styleId="817">
    <w:name w:val="Heading 4"/>
    <w:link w:val="86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18">
    <w:name w:val="Heading 5"/>
    <w:link w:val="86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19">
    <w:name w:val="Heading 6"/>
    <w:link w:val="86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20">
    <w:name w:val="Heading 7"/>
    <w:link w:val="86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21">
    <w:name w:val="Heading 8"/>
    <w:link w:val="86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22">
    <w:name w:val="Heading 9"/>
    <w:link w:val="86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826">
    <w:name w:val="Normal Indent"/>
    <w:basedOn w:val="813"/>
    <w:next w:val="813"/>
    <w:uiPriority w:val="0"/>
    <w:unhideWhenUsed/>
    <w:qFormat/>
    <w:pPr>
      <w:ind w:firstLine="420"/>
    </w:pPr>
    <w:rPr>
      <w:sz w:val="24"/>
    </w:rPr>
  </w:style>
  <w:style w:type="paragraph" w:styleId="827">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828">
    <w:name w:val="annotation text"/>
    <w:basedOn w:val="813"/>
    <w:link w:val="858"/>
    <w:uiPriority w:val="0"/>
    <w:unhideWhenUsed/>
    <w:qFormat/>
    <w:rPr>
      <w:rFonts w:eastAsia="宋体"/>
      <w:b/>
      <w:sz w:val="24"/>
    </w:rPr>
  </w:style>
  <w:style w:type="paragraph" w:styleId="829">
    <w:name w:val="Body Text Indent"/>
    <w:basedOn w:val="813"/>
    <w:next w:val="813"/>
    <w:uiPriority w:val="0"/>
    <w:qFormat/>
    <w:pPr>
      <w:ind w:left="570"/>
      <w:spacing w:line="520" w:lineRule="exact"/>
    </w:pPr>
    <w:rPr>
      <w:rFonts w:ascii="方正仿宋简体" w:hAnsi="创艺简仿宋" w:eastAsia="方正仿宋简体"/>
      <w:sz w:val="24"/>
      <w:szCs w:val="20"/>
    </w:rPr>
  </w:style>
  <w:style w:type="paragraph" w:styleId="830">
    <w:name w:val="Block Text"/>
    <w:basedOn w:val="813"/>
    <w:uiPriority w:val="0"/>
    <w:qFormat/>
    <w:pPr>
      <w:ind w:left="630" w:right="-609" w:firstLine="420"/>
      <w:spacing w:line="360" w:lineRule="auto"/>
    </w:pPr>
    <w:rPr>
      <w:rFonts w:hint="eastAsia" w:ascii="仿宋_GB2312" w:eastAsia="仿宋_GB2312"/>
    </w:rPr>
  </w:style>
  <w:style w:type="paragraph" w:styleId="831">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832">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83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834">
    <w:name w:val="endnote text"/>
    <w:link w:val="1005"/>
    <w:uiPriority w:val="99"/>
    <w:semiHidden/>
    <w:unhideWhenUsed/>
    <w:qFormat/>
    <w:rPr>
      <w:rFonts w:asciiTheme="minorHAnsi" w:hAnsiTheme="minorHAnsi" w:eastAsiaTheme="minorEastAsia" w:cstheme="minorBidi"/>
      <w:szCs w:val="22"/>
      <w:lang w:val="en-US" w:eastAsia="zh-CN" w:bidi="ar-SA"/>
    </w:rPr>
  </w:style>
  <w:style w:type="paragraph" w:styleId="835">
    <w:name w:val="Balloon Text"/>
    <w:basedOn w:val="813"/>
    <w:link w:val="1016"/>
    <w:uiPriority w:val="99"/>
    <w:semiHidden/>
    <w:unhideWhenUsed/>
    <w:qFormat/>
    <w:rPr>
      <w:sz w:val="18"/>
      <w:szCs w:val="18"/>
    </w:rPr>
  </w:style>
  <w:style w:type="paragraph" w:styleId="836">
    <w:name w:val="Footer"/>
    <w:link w:val="87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837">
    <w:name w:val="envelope return"/>
    <w:basedOn w:val="813"/>
    <w:uiPriority w:val="0"/>
    <w:qFormat/>
    <w:rPr>
      <w:rFonts w:ascii="Arial" w:hAnsi="Arial" w:eastAsia="宋体"/>
      <w:szCs w:val="24"/>
    </w:rPr>
  </w:style>
  <w:style w:type="paragraph" w:styleId="838">
    <w:name w:val="Header"/>
    <w:link w:val="87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83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84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841">
    <w:name w:val="Subtitle"/>
    <w:link w:val="871"/>
    <w:uiPriority w:val="11"/>
    <w:qFormat/>
    <w:pPr>
      <w:spacing w:before="200" w:after="200"/>
    </w:pPr>
    <w:rPr>
      <w:rFonts w:asciiTheme="minorHAnsi" w:hAnsiTheme="minorHAnsi" w:eastAsiaTheme="minorEastAsia" w:cstheme="minorBidi"/>
      <w:sz w:val="24"/>
      <w:szCs w:val="24"/>
      <w:lang w:val="en-US" w:eastAsia="zh-CN" w:bidi="ar-SA"/>
    </w:rPr>
  </w:style>
  <w:style w:type="paragraph" w:styleId="842">
    <w:name w:val="footnote text"/>
    <w:link w:val="1004"/>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84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84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84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84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847">
    <w:name w:val="Normal (Web)"/>
    <w:basedOn w:val="813"/>
    <w:uiPriority w:val="0"/>
    <w:qFormat/>
    <w:pPr>
      <w:spacing w:before="100" w:beforeAutospacing="1" w:after="100" w:afterAutospacing="1"/>
    </w:pPr>
    <w:rPr>
      <w:rFonts w:cs="Times New Roman"/>
      <w:sz w:val="24"/>
    </w:rPr>
  </w:style>
  <w:style w:type="paragraph" w:styleId="848">
    <w:name w:val="Title"/>
    <w:basedOn w:val="813"/>
    <w:link w:val="870"/>
    <w:uiPriority w:val="10"/>
    <w:qFormat/>
    <w:pPr>
      <w:contextualSpacing/>
      <w:spacing w:before="300" w:after="200"/>
    </w:pPr>
    <w:rPr>
      <w:sz w:val="48"/>
      <w:szCs w:val="48"/>
    </w:rPr>
  </w:style>
  <w:style w:type="paragraph" w:styleId="849">
    <w:name w:val="annotation subject"/>
    <w:basedOn w:val="828"/>
    <w:next w:val="828"/>
    <w:link w:val="1017"/>
    <w:uiPriority w:val="99"/>
    <w:semiHidden/>
    <w:unhideWhenUsed/>
    <w:qFormat/>
    <w:rPr>
      <w:rFonts w:eastAsiaTheme="minorEastAsia"/>
      <w:bCs/>
      <w:sz w:val="21"/>
    </w:rPr>
  </w:style>
  <w:style w:type="paragraph" w:styleId="850">
    <w:name w:val="Body Text First Indent 2"/>
    <w:basedOn w:val="829"/>
    <w:next w:val="813"/>
    <w:uiPriority w:val="0"/>
    <w:qFormat/>
    <w:pPr>
      <w:ind w:firstLine="420"/>
    </w:p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Strong"/>
    <w:basedOn w:val="823"/>
    <w:uiPriority w:val="22"/>
    <w:qFormat/>
    <w:rPr>
      <w:b/>
    </w:rPr>
  </w:style>
  <w:style w:type="character" w:styleId="853">
    <w:name w:val="endnote reference"/>
    <w:uiPriority w:val="99"/>
    <w:semiHidden/>
    <w:unhideWhenUsed/>
    <w:qFormat/>
    <w:rPr>
      <w:vertAlign w:val="superscript"/>
    </w:rPr>
  </w:style>
  <w:style w:type="character" w:styleId="854">
    <w:name w:val="Emphasis"/>
    <w:basedOn w:val="823"/>
    <w:uiPriority w:val="0"/>
    <w:qFormat/>
    <w:rPr>
      <w:i/>
    </w:rPr>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annotation reference"/>
    <w:basedOn w:val="823"/>
    <w:uiPriority w:val="0"/>
    <w:qFormat/>
    <w:rPr>
      <w:sz w:val="21"/>
      <w:szCs w:val="21"/>
    </w:rPr>
  </w:style>
  <w:style w:type="character" w:styleId="857">
    <w:name w:val="footnote reference"/>
    <w:uiPriority w:val="99"/>
    <w:unhideWhenUsed/>
    <w:qFormat/>
    <w:rPr>
      <w:vertAlign w:val="superscript"/>
    </w:rPr>
  </w:style>
  <w:style w:type="character" w:styleId="858" w:customStyle="1">
    <w:name w:val="批注文字 字符"/>
    <w:basedOn w:val="823"/>
    <w:link w:val="828"/>
    <w:uiPriority w:val="99"/>
    <w:semiHidden/>
    <w:qFormat/>
    <w:rPr>
      <w:rFonts w:asciiTheme="minorHAnsi" w:hAnsiTheme="minorHAnsi" w:cstheme="minorBidi"/>
      <w:b/>
      <w:sz w:val="24"/>
      <w:szCs w:val="22"/>
    </w:rPr>
  </w:style>
  <w:style w:type="character" w:styleId="859" w:customStyle="1">
    <w:name w:val="标题 1 字符"/>
    <w:link w:val="814"/>
    <w:uiPriority w:val="9"/>
    <w:qFormat/>
    <w:rPr>
      <w:rFonts w:ascii="Arial" w:hAnsi="Arial" w:eastAsia="Arial" w:cs="Arial"/>
      <w:sz w:val="40"/>
      <w:szCs w:val="40"/>
    </w:rPr>
  </w:style>
  <w:style w:type="character" w:styleId="860" w:customStyle="1">
    <w:name w:val="标题 2 字符"/>
    <w:link w:val="815"/>
    <w:uiPriority w:val="9"/>
    <w:qFormat/>
    <w:rPr>
      <w:rFonts w:ascii="Arial" w:hAnsi="Arial" w:eastAsia="Arial" w:cs="Arial"/>
      <w:sz w:val="34"/>
    </w:rPr>
  </w:style>
  <w:style w:type="character" w:styleId="861" w:customStyle="1">
    <w:name w:val="标题 3 字符"/>
    <w:link w:val="816"/>
    <w:uiPriority w:val="9"/>
    <w:qFormat/>
    <w:rPr>
      <w:rFonts w:ascii="Arial" w:hAnsi="Arial" w:eastAsia="Arial" w:cs="Arial"/>
      <w:sz w:val="30"/>
      <w:szCs w:val="30"/>
    </w:rPr>
  </w:style>
  <w:style w:type="character" w:styleId="862" w:customStyle="1">
    <w:name w:val="标题 4 字符"/>
    <w:link w:val="817"/>
    <w:uiPriority w:val="9"/>
    <w:qFormat/>
    <w:rPr>
      <w:rFonts w:ascii="Arial" w:hAnsi="Arial" w:eastAsia="Arial" w:cs="Arial"/>
      <w:b/>
      <w:bCs/>
      <w:sz w:val="26"/>
      <w:szCs w:val="26"/>
    </w:rPr>
  </w:style>
  <w:style w:type="character" w:styleId="863" w:customStyle="1">
    <w:name w:val="标题 5 字符"/>
    <w:link w:val="818"/>
    <w:uiPriority w:val="9"/>
    <w:qFormat/>
    <w:rPr>
      <w:rFonts w:ascii="Arial" w:hAnsi="Arial" w:eastAsia="Arial" w:cs="Arial"/>
      <w:b/>
      <w:bCs/>
      <w:sz w:val="24"/>
      <w:szCs w:val="24"/>
    </w:rPr>
  </w:style>
  <w:style w:type="character" w:styleId="864" w:customStyle="1">
    <w:name w:val="标题 6 字符"/>
    <w:link w:val="819"/>
    <w:uiPriority w:val="9"/>
    <w:qFormat/>
    <w:rPr>
      <w:rFonts w:ascii="Arial" w:hAnsi="Arial" w:eastAsia="Arial" w:cs="Arial"/>
      <w:b/>
      <w:bCs/>
      <w:sz w:val="22"/>
      <w:szCs w:val="22"/>
    </w:rPr>
  </w:style>
  <w:style w:type="character" w:styleId="865" w:customStyle="1">
    <w:name w:val="标题 7 字符"/>
    <w:link w:val="820"/>
    <w:uiPriority w:val="9"/>
    <w:qFormat/>
    <w:rPr>
      <w:rFonts w:ascii="Arial" w:hAnsi="Arial" w:eastAsia="Arial" w:cs="Arial"/>
      <w:b/>
      <w:bCs/>
      <w:i/>
      <w:iCs/>
      <w:sz w:val="22"/>
      <w:szCs w:val="22"/>
    </w:rPr>
  </w:style>
  <w:style w:type="character" w:styleId="866" w:customStyle="1">
    <w:name w:val="标题 8 字符"/>
    <w:link w:val="821"/>
    <w:uiPriority w:val="9"/>
    <w:qFormat/>
    <w:rPr>
      <w:rFonts w:ascii="Arial" w:hAnsi="Arial" w:eastAsia="Arial" w:cs="Arial"/>
      <w:i/>
      <w:iCs/>
      <w:sz w:val="22"/>
      <w:szCs w:val="22"/>
    </w:rPr>
  </w:style>
  <w:style w:type="character" w:styleId="867" w:customStyle="1">
    <w:name w:val="标题 9 字符"/>
    <w:link w:val="822"/>
    <w:uiPriority w:val="9"/>
    <w:qFormat/>
    <w:rPr>
      <w:rFonts w:ascii="Arial" w:hAnsi="Arial" w:eastAsia="Arial" w:cs="Arial"/>
      <w:i/>
      <w:iCs/>
      <w:sz w:val="21"/>
      <w:szCs w:val="21"/>
    </w:rPr>
  </w:style>
  <w:style w:type="paragraph" w:styleId="868">
    <w:name w:val="List Paragraph"/>
    <w:basedOn w:val="813"/>
    <w:uiPriority w:val="34"/>
    <w:qFormat/>
    <w:pPr>
      <w:contextualSpacing/>
      <w:ind w:left="720"/>
    </w:pPr>
  </w:style>
  <w:style w:type="paragraph" w:styleId="869">
    <w:name w:val="No Spacing"/>
    <w:uiPriority w:val="1"/>
    <w:qFormat/>
    <w:rPr>
      <w:rFonts w:asciiTheme="minorHAnsi" w:hAnsiTheme="minorHAnsi" w:eastAsiaTheme="minorEastAsia" w:cstheme="minorBidi"/>
      <w:sz w:val="21"/>
      <w:szCs w:val="22"/>
      <w:lang w:val="en-US" w:eastAsia="zh-CN" w:bidi="ar-SA"/>
    </w:rPr>
  </w:style>
  <w:style w:type="character" w:styleId="870" w:customStyle="1">
    <w:name w:val="标题 字符"/>
    <w:link w:val="848"/>
    <w:uiPriority w:val="10"/>
    <w:qFormat/>
    <w:rPr>
      <w:sz w:val="48"/>
      <w:szCs w:val="48"/>
    </w:rPr>
  </w:style>
  <w:style w:type="character" w:styleId="871" w:customStyle="1">
    <w:name w:val="副标题 字符"/>
    <w:link w:val="841"/>
    <w:uiPriority w:val="11"/>
    <w:qFormat/>
    <w:rPr>
      <w:sz w:val="24"/>
      <w:szCs w:val="24"/>
    </w:rPr>
  </w:style>
  <w:style w:type="paragraph" w:styleId="872">
    <w:name w:val="Quote"/>
    <w:link w:val="873"/>
    <w:uiPriority w:val="29"/>
    <w:qFormat/>
    <w:pPr>
      <w:ind w:left="720" w:right="720"/>
    </w:pPr>
    <w:rPr>
      <w:rFonts w:asciiTheme="minorHAnsi" w:hAnsiTheme="minorHAnsi" w:eastAsiaTheme="minorEastAsia" w:cstheme="minorBidi"/>
      <w:i/>
      <w:sz w:val="21"/>
      <w:szCs w:val="22"/>
      <w:lang w:val="en-US" w:eastAsia="zh-CN" w:bidi="ar-SA"/>
    </w:rPr>
  </w:style>
  <w:style w:type="character" w:styleId="873" w:customStyle="1">
    <w:name w:val="引用 字符"/>
    <w:link w:val="872"/>
    <w:uiPriority w:val="29"/>
    <w:qFormat/>
    <w:rPr>
      <w:i/>
    </w:rPr>
  </w:style>
  <w:style w:type="paragraph" w:styleId="874">
    <w:name w:val="Intense Quote"/>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75" w:customStyle="1">
    <w:name w:val="明显引用 字符"/>
    <w:link w:val="874"/>
    <w:uiPriority w:val="30"/>
    <w:qFormat/>
    <w:rPr>
      <w:i/>
    </w:rPr>
  </w:style>
  <w:style w:type="character" w:styleId="876" w:customStyle="1">
    <w:name w:val="页眉 字符"/>
    <w:link w:val="838"/>
    <w:uiPriority w:val="99"/>
    <w:qFormat/>
  </w:style>
  <w:style w:type="character" w:styleId="877" w:customStyle="1">
    <w:name w:val="Footer Char"/>
    <w:uiPriority w:val="99"/>
    <w:qFormat/>
  </w:style>
  <w:style w:type="character" w:styleId="878" w:customStyle="1">
    <w:name w:val="页脚 字符"/>
    <w:link w:val="836"/>
    <w:uiPriority w:val="99"/>
    <w:qFormat/>
  </w:style>
  <w:style w:type="table" w:styleId="8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842"/>
    <w:uiPriority w:val="99"/>
    <w:qFormat/>
    <w:rPr>
      <w:sz w:val="18"/>
    </w:rPr>
  </w:style>
  <w:style w:type="character" w:styleId="1005" w:customStyle="1">
    <w:name w:val="尾注文本 字符"/>
    <w:link w:val="834"/>
    <w:uiPriority w:val="99"/>
    <w:qFormat/>
    <w:rPr>
      <w:sz w:val="20"/>
    </w:rPr>
  </w:style>
  <w:style w:type="paragraph" w:styleId="1006"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1007" w:customStyle="1">
    <w:name w:val="WPSOffice手动目录 1"/>
    <w:uiPriority w:val="0"/>
    <w:qFormat/>
    <w:rPr>
      <w:rFonts w:asciiTheme="minorHAnsi" w:hAnsiTheme="minorHAnsi" w:eastAsiaTheme="minorEastAsia" w:cstheme="minorBidi"/>
      <w:lang w:val="en-US" w:eastAsia="zh-CN" w:bidi="ar-SA"/>
    </w:rPr>
  </w:style>
  <w:style w:type="character" w:styleId="1008" w:customStyle="1">
    <w:name w:val="font71"/>
    <w:basedOn w:val="823"/>
    <w:uiPriority w:val="0"/>
    <w:qFormat/>
    <w:rPr>
      <w:rFonts w:ascii="Arial" w:hAnsi="Arial" w:cs="Arial"/>
      <w:color w:val="000000"/>
      <w:sz w:val="20"/>
      <w:szCs w:val="20"/>
      <w:u w:val="none"/>
    </w:rPr>
  </w:style>
  <w:style w:type="character" w:styleId="1009" w:customStyle="1">
    <w:name w:val="font11"/>
    <w:basedOn w:val="823"/>
    <w:uiPriority w:val="0"/>
    <w:qFormat/>
    <w:rPr>
      <w:rFonts w:hint="eastAsia" w:ascii="宋体" w:hAnsi="宋体" w:eastAsia="宋体" w:cs="宋体"/>
      <w:color w:val="000000"/>
      <w:sz w:val="20"/>
      <w:szCs w:val="20"/>
      <w:u w:val="none"/>
    </w:rPr>
  </w:style>
  <w:style w:type="character" w:styleId="1010" w:customStyle="1">
    <w:name w:val="font81"/>
    <w:basedOn w:val="823"/>
    <w:uiPriority w:val="0"/>
    <w:qFormat/>
    <w:rPr>
      <w:rFonts w:hint="default" w:ascii="Times New Roman" w:hAnsi="Times New Roman" w:cs="Times New Roman"/>
      <w:color w:val="000000"/>
      <w:sz w:val="20"/>
      <w:szCs w:val="20"/>
      <w:u w:val="none"/>
    </w:rPr>
  </w:style>
  <w:style w:type="paragraph" w:styleId="1011" w:customStyle="1">
    <w:name w:val="Normal_17"/>
    <w:uiPriority w:val="0"/>
    <w:qFormat/>
    <w:rPr>
      <w:rFonts w:ascii="Times New Roman" w:hAnsi="Times New Roman" w:eastAsia="Times New Roman" w:cs="Times New Roman"/>
      <w:sz w:val="24"/>
      <w:szCs w:val="24"/>
      <w:lang w:val="en-US" w:eastAsia="zh-CN" w:bidi="ar-SA"/>
    </w:rPr>
  </w:style>
  <w:style w:type="character" w:styleId="1012" w:customStyle="1">
    <w:name w:val="font21"/>
    <w:basedOn w:val="823"/>
    <w:uiPriority w:val="0"/>
    <w:qFormat/>
    <w:rPr>
      <w:rFonts w:hint="eastAsia" w:ascii="宋体" w:hAnsi="宋体" w:eastAsia="宋体" w:cs="宋体"/>
      <w:color w:val="ff0000"/>
      <w:sz w:val="20"/>
      <w:szCs w:val="20"/>
      <w:u w:val="none"/>
    </w:rPr>
  </w:style>
  <w:style w:type="paragraph" w:styleId="1013" w:customStyle="1">
    <w:name w:val="纯文本1"/>
    <w:basedOn w:val="813"/>
    <w:uiPriority w:val="0"/>
    <w:qFormat/>
    <w:rPr>
      <w:rFonts w:ascii="宋体" w:hAnsi="Courier New" w:eastAsia="楷体_GB2312"/>
      <w:sz w:val="26"/>
    </w:rPr>
  </w:style>
  <w:style w:type="character" w:styleId="1014" w:customStyle="1">
    <w:name w:val="font51"/>
    <w:basedOn w:val="823"/>
    <w:uiPriority w:val="0"/>
    <w:qFormat/>
    <w:rPr>
      <w:rFonts w:hint="eastAsia" w:ascii="华文细黑" w:hAnsi="华文细黑" w:eastAsia="华文细黑" w:cs="华文细黑"/>
      <w:color w:val="000000"/>
      <w:sz w:val="20"/>
      <w:szCs w:val="20"/>
      <w:u w:val="none"/>
      <w:vertAlign w:val="superscript"/>
    </w:rPr>
  </w:style>
  <w:style w:type="table" w:styleId="1015"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1016" w:customStyle="1">
    <w:name w:val="批注框文本 字符"/>
    <w:basedOn w:val="823"/>
    <w:link w:val="835"/>
    <w:uiPriority w:val="99"/>
    <w:semiHidden/>
    <w:qFormat/>
    <w:rPr>
      <w:rFonts w:asciiTheme="minorHAnsi" w:hAnsiTheme="minorHAnsi" w:eastAsiaTheme="minorEastAsia" w:cstheme="minorBidi"/>
      <w:sz w:val="18"/>
      <w:szCs w:val="18"/>
    </w:rPr>
  </w:style>
  <w:style w:type="character" w:styleId="1017" w:customStyle="1">
    <w:name w:val="批注主题 字符"/>
    <w:basedOn w:val="858"/>
    <w:link w:val="849"/>
    <w:uiPriority w:val="99"/>
    <w:semiHidden/>
    <w:qFormat/>
    <w:rPr>
      <w:rFonts w:asciiTheme="minorHAnsi" w:hAnsiTheme="minorHAnsi" w:eastAsiaTheme="minorEastAsia" w:cstheme="minorBidi"/>
      <w:bCs/>
      <w:sz w:val="21"/>
      <w:szCs w:val="22"/>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B3D8D09-8B81-4546-9DF3-648C9DEE4D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王雅</cp:lastModifiedBy>
  <cp:revision>4</cp:revision>
  <dcterms:created xsi:type="dcterms:W3CDTF">2026-09-21T01:38:00Z</dcterms:created>
  <dcterms:modified xsi:type="dcterms:W3CDTF">2026-09-23T09:00:24Z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A77B752DAABA40CCA8AA1F6C5A2D78BC_13</vt:lpwstr>
  </property>
  <property fmtid="{D5CDD505-2E9C-101B-9397-08002B2CF9AE}" pid="4" name="KSOTemplateDocerSaveRecord">
    <vt:lpwstr>eyJoZGlkIjoiNGNlZTA2NjJlZTA2ZmVhYWE5ODQyYzMyZWNiMzkyMWUiLCJ1c2VySWQiOiI0MTQ1MjkwNzEifQ==</vt:lpwstr>
  </property>
</Properties>
</file>