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56"/>
          <w:szCs w:val="56"/>
        </w:rPr>
      </w:pPr>
      <w:r>
        <w:rPr>
          <w:rFonts w:eastAsia="隶书"/>
          <w:b/>
          <w:bCs/>
          <w:color w:val="000000"/>
          <w:sz w:val="56"/>
          <w:szCs w:val="56"/>
        </w:rPr>
      </w:r>
      <w:r/>
    </w:p>
    <w:p>
      <w:pPr>
        <w:jc w:val="center"/>
        <w:spacing w:line="360" w:lineRule="auto"/>
        <w:rPr>
          <w:rFonts w:eastAsia="隶书"/>
          <w:sz w:val="72"/>
          <w:szCs w:val="22"/>
        </w:rPr>
      </w:pPr>
      <w:r>
        <w:rPr>
          <w:rFonts w:eastAsia="隶书"/>
          <w:sz w:val="72"/>
          <w:szCs w:val="22"/>
        </w:rPr>
        <w:t xml:space="preserve">江苏省特种设备安全监督检验研究院</w:t>
      </w:r>
      <w:r/>
    </w:p>
    <w:p>
      <w:pPr>
        <w:jc w:val="center"/>
        <w:spacing w:line="360" w:lineRule="auto"/>
        <w:rPr>
          <w:rFonts w:eastAsia="隶书"/>
          <w:color w:val="000000"/>
          <w:sz w:val="52"/>
          <w:szCs w:val="52"/>
        </w:rPr>
      </w:pPr>
      <w:r>
        <w:rPr>
          <w:rFonts w:eastAsia="隶书"/>
          <w:color w:val="000000"/>
          <w:sz w:val="52"/>
          <w:szCs w:val="52"/>
        </w:rPr>
      </w:r>
      <w:r/>
    </w:p>
    <w:p>
      <w:pPr>
        <w:jc w:val="center"/>
        <w:spacing w:line="360" w:lineRule="auto"/>
        <w:rPr>
          <w:rFonts w:eastAsia="隶书"/>
          <w:color w:val="000000"/>
          <w:sz w:val="72"/>
        </w:rPr>
      </w:pPr>
      <w:r>
        <w:rPr>
          <w:rFonts w:hint="eastAsia" w:eastAsia="隶书"/>
          <w:sz w:val="48"/>
          <w:szCs w:val="48"/>
        </w:rPr>
        <w:t xml:space="preserve">手持式热偶真空计等3项设备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spacing w:line="360" w:lineRule="auto"/>
        <w:rPr>
          <w:rFonts w:eastAsia="隶书"/>
          <w:color w:val="000000"/>
          <w:sz w:val="56"/>
          <w:szCs w:val="56"/>
        </w:rPr>
      </w:pPr>
      <w:r>
        <w:rPr>
          <w:rFonts w:eastAsia="隶书"/>
          <w:color w:val="000000"/>
          <w:sz w:val="56"/>
          <w:szCs w:val="56"/>
        </w:rPr>
      </w:r>
      <w:r/>
    </w:p>
    <w:p>
      <w:pPr>
        <w:jc w:val="center"/>
        <w:spacing w:line="360" w:lineRule="auto"/>
        <w:rPr>
          <w:rFonts w:eastAsia="隶书"/>
          <w:color w:val="000000"/>
          <w:sz w:val="36"/>
        </w:rPr>
      </w:pPr>
      <w:r>
        <w:rPr>
          <w:rFonts w:eastAsia="隶书"/>
          <w:color w:val="000000"/>
          <w:sz w:val="36"/>
        </w:rPr>
        <w:t xml:space="preserve">招标编号：</w:t>
      </w:r>
      <w:r>
        <w:rPr>
          <w:rFonts w:hint="eastAsia" w:eastAsia="隶书"/>
          <w:color w:val="000000"/>
          <w:sz w:val="36"/>
        </w:rPr>
        <w:t xml:space="preserve">4297-2641SUMEC310</w:t>
      </w:r>
      <w:r/>
    </w:p>
    <w:p>
      <w:pPr>
        <w:jc w:val="center"/>
        <w:spacing w:line="360" w:lineRule="auto"/>
        <w:rPr>
          <w:rFonts w:eastAsia="隶书"/>
          <w:color w:val="000000"/>
          <w:sz w:val="36"/>
        </w:rPr>
      </w:pPr>
      <w:r>
        <w:rPr>
          <w:rFonts w:eastAsia="隶书"/>
          <w:color w:val="000000"/>
          <w:sz w:val="36"/>
        </w:rPr>
        <w:t xml:space="preserve">（公告编号：</w:t>
      </w:r>
      <w:bookmarkStart w:id="240" w:name="_GoBack"/>
      <w:r>
        <w:rPr>
          <w:rFonts w:hint="eastAsia" w:eastAsia="隶书"/>
          <w:color w:val="000000"/>
          <w:sz w:val="36"/>
        </w:rPr>
        <w:t xml:space="preserve">JSZC-320000-JSSB-G2026-0006</w:t>
      </w:r>
      <w:bookmarkEnd w:id="240"/>
      <w:r>
        <w:rPr>
          <w:rFonts w:eastAsia="隶书"/>
          <w:color w:val="000000"/>
          <w:sz w:val="36"/>
        </w:rPr>
        <w:t xml:space="preserve">）</w:t>
      </w:r>
      <w:r/>
    </w:p>
    <w:p>
      <w:pPr>
        <w:jc w:val="center"/>
        <w:spacing w:line="360" w:lineRule="auto"/>
        <w:rPr>
          <w:rFonts w:eastAsia="隶书"/>
          <w:color w:val="000000"/>
          <w:sz w:val="36"/>
        </w:rPr>
      </w:pPr>
      <w:r>
        <w:rPr>
          <w:rFonts w:eastAsia="隶书"/>
          <w:color w:val="000000"/>
          <w:sz w:val="36"/>
        </w:rPr>
      </w:r>
      <w:r/>
    </w:p>
    <w:p>
      <w:pPr>
        <w:jc w:val="center"/>
        <w:spacing w:line="360" w:lineRule="auto"/>
        <w:rPr>
          <w:rFonts w:eastAsia="隶书"/>
          <w:color w:val="000000"/>
          <w:sz w:val="36"/>
        </w:rPr>
      </w:pPr>
      <w:r>
        <w:rPr>
          <w:rFonts w:eastAsia="隶书"/>
          <w:color w:val="000000"/>
          <w:sz w:val="36"/>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w:t>
      </w:r>
      <w:r>
        <w:rPr>
          <w:rFonts w:hint="eastAsia" w:eastAsia="隶书"/>
          <w:color w:val="000000"/>
          <w:sz w:val="32"/>
        </w:rPr>
        <w:t xml:space="preserve">9</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260"/>
        <w:tabs>
          <w:tab w:val="right" w:pos="9406" w:leader="dot"/>
        </w:tabs>
        <w:rPr>
          <w:sz w:val="24"/>
          <w:szCs w:val="24"/>
          <w14:ligatures w14:val="standardContextual"/>
        </w:rPr>
      </w:pPr>
      <w:r>
        <w:rPr>
          <w:bCs/>
          <w:color w:val="000000"/>
          <w:sz w:val="24"/>
          <w:szCs w:val="24"/>
        </w:rPr>
        <w:fldChar w:fldCharType="begin"/>
      </w:r>
      <w:r>
        <w:rPr>
          <w:bCs/>
          <w:color w:val="000000"/>
          <w:sz w:val="24"/>
          <w:szCs w:val="24"/>
        </w:rPr>
        <w:instrText xml:space="preserve">TOC \o "1-3" \h \u </w:instrText>
      </w:r>
      <w:r>
        <w:rPr>
          <w:bCs/>
          <w:color w:val="000000"/>
          <w:sz w:val="24"/>
          <w:szCs w:val="24"/>
        </w:rPr>
        <w:fldChar w:fldCharType="separate"/>
      </w:r>
      <w:r>
        <w:fldChar w:fldCharType="begin"/>
      </w:r>
      <w:r>
        <w:instrText xml:space="preserve"> HYPERLINK \l "_Toc231822725" </w:instrText>
      </w:r>
      <w:r>
        <w:fldChar w:fldCharType="separate"/>
      </w:r>
      <w:r>
        <w:rPr>
          <w:rStyle w:val="1279"/>
          <w:b/>
          <w:sz w:val="24"/>
          <w:szCs w:val="24"/>
        </w:rPr>
        <w:t xml:space="preserve">第一章 招标公告</w:t>
      </w:r>
      <w:r>
        <w:rPr>
          <w:sz w:val="24"/>
          <w:szCs w:val="24"/>
        </w:rPr>
        <w:tab/>
      </w:r>
      <w:r>
        <w:rPr>
          <w:sz w:val="24"/>
          <w:szCs w:val="24"/>
        </w:rPr>
        <w:fldChar w:fldCharType="begin"/>
      </w:r>
      <w:r>
        <w:rPr>
          <w:sz w:val="24"/>
          <w:szCs w:val="24"/>
        </w:rPr>
        <w:instrText xml:space="preserve"> PAGEREF _Toc231822725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"_Toc231822726" </w:instrText>
      </w:r>
      <w:r>
        <w:fldChar w:fldCharType="separate"/>
      </w:r>
      <w:r>
        <w:rPr>
          <w:rStyle w:val="1279"/>
          <w:sz w:val="24"/>
          <w:szCs w:val="24"/>
        </w:rPr>
        <w:t xml:space="preserve">一、项目基本情况</w:t>
      </w:r>
      <w:r>
        <w:rPr>
          <w:sz w:val="24"/>
          <w:szCs w:val="24"/>
        </w:rPr>
        <w:tab/>
      </w:r>
      <w:r>
        <w:rPr>
          <w:sz w:val="24"/>
          <w:szCs w:val="24"/>
        </w:rPr>
        <w:fldChar w:fldCharType="begin"/>
      </w:r>
      <w:r>
        <w:rPr>
          <w:sz w:val="24"/>
          <w:szCs w:val="24"/>
        </w:rPr>
        <w:instrText xml:space="preserve"> PAGEREF _Toc231822726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"_Toc231822727" </w:instrText>
      </w:r>
      <w:r>
        <w:fldChar w:fldCharType="separate"/>
      </w:r>
      <w:r>
        <w:rPr>
          <w:rStyle w:val="1279"/>
          <w:sz w:val="24"/>
          <w:szCs w:val="24"/>
        </w:rPr>
        <w:t xml:space="preserve">二、申请人的资格要求：</w:t>
      </w:r>
      <w:r>
        <w:rPr>
          <w:sz w:val="24"/>
          <w:szCs w:val="24"/>
        </w:rPr>
        <w:tab/>
      </w:r>
      <w:r>
        <w:rPr>
          <w:sz w:val="24"/>
          <w:szCs w:val="24"/>
        </w:rPr>
        <w:fldChar w:fldCharType="begin"/>
      </w:r>
      <w:r>
        <w:rPr>
          <w:sz w:val="24"/>
          <w:szCs w:val="24"/>
        </w:rPr>
        <w:instrText xml:space="preserve"> PAGEREF _Toc231822727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"_Toc231822728" </w:instrText>
      </w:r>
      <w:r>
        <w:fldChar w:fldCharType="separate"/>
      </w:r>
      <w:r>
        <w:rPr>
          <w:rStyle w:val="1279"/>
          <w:sz w:val="24"/>
          <w:szCs w:val="24"/>
        </w:rPr>
        <w:t xml:space="preserve">三、获取招标文件</w:t>
      </w:r>
      <w:r>
        <w:rPr>
          <w:sz w:val="24"/>
          <w:szCs w:val="24"/>
        </w:rPr>
        <w:tab/>
      </w:r>
      <w:r>
        <w:rPr>
          <w:sz w:val="24"/>
          <w:szCs w:val="24"/>
        </w:rPr>
        <w:fldChar w:fldCharType="begin"/>
      </w:r>
      <w:r>
        <w:rPr>
          <w:sz w:val="24"/>
          <w:szCs w:val="24"/>
        </w:rPr>
        <w:instrText xml:space="preserve"> PAGEREF _Toc231822728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"_Toc231822729" </w:instrText>
      </w:r>
      <w:r>
        <w:fldChar w:fldCharType="separate"/>
      </w:r>
      <w:r>
        <w:rPr>
          <w:rStyle w:val="1279"/>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_Toc231822729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"_Toc231822730" </w:instrText>
      </w:r>
      <w:r>
        <w:fldChar w:fldCharType="separate"/>
      </w:r>
      <w:r>
        <w:rPr>
          <w:rStyle w:val="1279"/>
          <w:sz w:val="24"/>
          <w:szCs w:val="24"/>
        </w:rPr>
        <w:t xml:space="preserve">五、公告期限</w:t>
      </w:r>
      <w:r>
        <w:rPr>
          <w:sz w:val="24"/>
          <w:szCs w:val="24"/>
        </w:rPr>
        <w:tab/>
      </w:r>
      <w:r>
        <w:rPr>
          <w:sz w:val="24"/>
          <w:szCs w:val="24"/>
        </w:rPr>
        <w:fldChar w:fldCharType="begin"/>
      </w:r>
      <w:r>
        <w:rPr>
          <w:sz w:val="24"/>
          <w:szCs w:val="24"/>
        </w:rPr>
        <w:instrText xml:space="preserve"> PAGEREF _Toc231822730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"_Toc231822731" </w:instrText>
      </w:r>
      <w:r>
        <w:fldChar w:fldCharType="separate"/>
      </w:r>
      <w:r>
        <w:rPr>
          <w:rStyle w:val="1279"/>
          <w:sz w:val="24"/>
          <w:szCs w:val="24"/>
        </w:rPr>
        <w:t xml:space="preserve">六、其他补充事宜</w:t>
      </w:r>
      <w:r>
        <w:rPr>
          <w:sz w:val="24"/>
          <w:szCs w:val="24"/>
        </w:rPr>
        <w:tab/>
      </w:r>
      <w:r>
        <w:rPr>
          <w:sz w:val="24"/>
          <w:szCs w:val="24"/>
        </w:rPr>
        <w:fldChar w:fldCharType="begin"/>
      </w:r>
      <w:r>
        <w:rPr>
          <w:sz w:val="24"/>
          <w:szCs w:val="24"/>
        </w:rPr>
        <w:instrText xml:space="preserve"> PAGEREF _Toc231822731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"_Toc231822732" </w:instrText>
      </w:r>
      <w:r>
        <w:fldChar w:fldCharType="separate"/>
      </w:r>
      <w:r>
        <w:rPr>
          <w:rStyle w:val="1279"/>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_Toc231822732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260"/>
        <w:tabs>
          <w:tab w:val="right" w:pos="9406" w:leader="dot"/>
        </w:tabs>
        <w:rPr>
          <w:sz w:val="24"/>
          <w:szCs w:val="24"/>
          <w14:ligatures w14:val="standardContextual"/>
        </w:rPr>
      </w:pPr>
      <w:r>
        <w:fldChar w:fldCharType="begin"/>
      </w:r>
      <w:r>
        <w:instrText xml:space="preserve"> HYPERLINK \l "_Toc231822733" </w:instrText>
      </w:r>
      <w:r>
        <w:fldChar w:fldCharType="separate"/>
      </w:r>
      <w:r>
        <w:rPr>
          <w:rStyle w:val="1279"/>
          <w:b/>
          <w:sz w:val="24"/>
          <w:szCs w:val="24"/>
        </w:rPr>
        <w:t xml:space="preserve">第二章 投标人须知</w:t>
      </w:r>
      <w:r>
        <w:rPr>
          <w:sz w:val="24"/>
          <w:szCs w:val="24"/>
        </w:rPr>
        <w:tab/>
      </w:r>
      <w:r>
        <w:rPr>
          <w:sz w:val="24"/>
          <w:szCs w:val="24"/>
        </w:rPr>
        <w:fldChar w:fldCharType="begin"/>
      </w:r>
      <w:r>
        <w:rPr>
          <w:sz w:val="24"/>
          <w:szCs w:val="24"/>
        </w:rPr>
        <w:instrText xml:space="preserve"> PAGEREF _Toc231822733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"_Toc231822734" </w:instrText>
      </w:r>
      <w:r>
        <w:fldChar w:fldCharType="separate"/>
      </w:r>
      <w:r>
        <w:rPr>
          <w:rStyle w:val="1279"/>
          <w:sz w:val="24"/>
          <w:szCs w:val="24"/>
        </w:rPr>
        <w:t xml:space="preserve">一、总则</w:t>
      </w:r>
      <w:r>
        <w:rPr>
          <w:sz w:val="24"/>
          <w:szCs w:val="24"/>
        </w:rPr>
        <w:tab/>
      </w:r>
      <w:r>
        <w:rPr>
          <w:sz w:val="24"/>
          <w:szCs w:val="24"/>
        </w:rPr>
        <w:fldChar w:fldCharType="begin"/>
      </w:r>
      <w:r>
        <w:rPr>
          <w:sz w:val="24"/>
          <w:szCs w:val="24"/>
        </w:rPr>
        <w:instrText xml:space="preserve"> PAGEREF _Toc231822734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"_Toc231822735" </w:instrText>
      </w:r>
      <w:r>
        <w:fldChar w:fldCharType="separate"/>
      </w:r>
      <w:r>
        <w:rPr>
          <w:rStyle w:val="1279"/>
          <w:sz w:val="24"/>
          <w:szCs w:val="24"/>
        </w:rPr>
        <w:t xml:space="preserve">二、招标文件</w:t>
      </w:r>
      <w:r>
        <w:rPr>
          <w:sz w:val="24"/>
          <w:szCs w:val="24"/>
        </w:rPr>
        <w:tab/>
      </w:r>
      <w:r>
        <w:rPr>
          <w:sz w:val="24"/>
          <w:szCs w:val="24"/>
        </w:rPr>
        <w:fldChar w:fldCharType="begin"/>
      </w:r>
      <w:r>
        <w:rPr>
          <w:sz w:val="24"/>
          <w:szCs w:val="24"/>
        </w:rPr>
        <w:instrText xml:space="preserve"> PAGEREF _Toc231822735 \h </w:instrText>
      </w:r>
      <w:r>
        <w:rPr>
          <w:sz w:val="24"/>
          <w:szCs w:val="24"/>
        </w:rPr>
        <w:fldChar w:fldCharType="separate"/>
      </w:r>
      <w:r>
        <w:rPr>
          <w:sz w:val="24"/>
          <w:szCs w:val="24"/>
        </w:rPr>
        <w:t xml:space="preserve">10</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"_Toc231822736" </w:instrText>
      </w:r>
      <w:r>
        <w:fldChar w:fldCharType="separate"/>
      </w:r>
      <w:r>
        <w:rPr>
          <w:rStyle w:val="1279"/>
          <w:sz w:val="24"/>
          <w:szCs w:val="24"/>
        </w:rPr>
        <w:t xml:space="preserve">三、投标文件的编制</w:t>
      </w:r>
      <w:r>
        <w:rPr>
          <w:sz w:val="24"/>
          <w:szCs w:val="24"/>
        </w:rPr>
        <w:tab/>
      </w:r>
      <w:r>
        <w:rPr>
          <w:sz w:val="24"/>
          <w:szCs w:val="24"/>
        </w:rPr>
        <w:fldChar w:fldCharType="begin"/>
      </w:r>
      <w:r>
        <w:rPr>
          <w:sz w:val="24"/>
          <w:szCs w:val="24"/>
        </w:rPr>
        <w:instrText xml:space="preserve"> PAGEREF _Toc231822736 \h </w:instrText>
      </w:r>
      <w:r>
        <w:rPr>
          <w:sz w:val="24"/>
          <w:szCs w:val="24"/>
        </w:rPr>
        <w:fldChar w:fldCharType="separate"/>
      </w:r>
      <w:r>
        <w:rPr>
          <w:sz w:val="24"/>
          <w:szCs w:val="24"/>
        </w:rPr>
        <w:t xml:space="preserve">11</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"_Toc231822737" </w:instrText>
      </w:r>
      <w:r>
        <w:fldChar w:fldCharType="separate"/>
      </w:r>
      <w:r>
        <w:rPr>
          <w:rStyle w:val="1279"/>
          <w:sz w:val="24"/>
          <w:szCs w:val="24"/>
        </w:rPr>
        <w:t xml:space="preserve">四、投标文件的递交</w:t>
      </w:r>
      <w:r>
        <w:rPr>
          <w:sz w:val="24"/>
          <w:szCs w:val="24"/>
        </w:rPr>
        <w:tab/>
      </w:r>
      <w:r>
        <w:rPr>
          <w:sz w:val="24"/>
          <w:szCs w:val="24"/>
        </w:rPr>
        <w:fldChar w:fldCharType="begin"/>
      </w:r>
      <w:r>
        <w:rPr>
          <w:sz w:val="24"/>
          <w:szCs w:val="24"/>
        </w:rPr>
        <w:instrText xml:space="preserve"> PAGEREF _Toc231822737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"_Toc231822738" </w:instrText>
      </w:r>
      <w:r>
        <w:fldChar w:fldCharType="separate"/>
      </w:r>
      <w:r>
        <w:rPr>
          <w:rStyle w:val="1279"/>
          <w:sz w:val="24"/>
          <w:szCs w:val="24"/>
        </w:rPr>
        <w:t xml:space="preserve">五、开标与评标</w:t>
      </w:r>
      <w:r>
        <w:rPr>
          <w:sz w:val="24"/>
          <w:szCs w:val="24"/>
        </w:rPr>
        <w:tab/>
      </w:r>
      <w:r>
        <w:rPr>
          <w:sz w:val="24"/>
          <w:szCs w:val="24"/>
        </w:rPr>
        <w:fldChar w:fldCharType="begin"/>
      </w:r>
      <w:r>
        <w:rPr>
          <w:sz w:val="24"/>
          <w:szCs w:val="24"/>
        </w:rPr>
        <w:instrText xml:space="preserve"> PAGEREF _Toc231822738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"_Toc231822739" </w:instrText>
      </w:r>
      <w:r>
        <w:fldChar w:fldCharType="separate"/>
      </w:r>
      <w:r>
        <w:rPr>
          <w:rStyle w:val="1279"/>
          <w:sz w:val="24"/>
          <w:szCs w:val="24"/>
        </w:rPr>
        <w:t xml:space="preserve">六、授标</w:t>
      </w:r>
      <w:r>
        <w:rPr>
          <w:sz w:val="24"/>
          <w:szCs w:val="24"/>
        </w:rPr>
        <w:tab/>
      </w:r>
      <w:r>
        <w:rPr>
          <w:sz w:val="24"/>
          <w:szCs w:val="24"/>
        </w:rPr>
        <w:fldChar w:fldCharType="begin"/>
      </w:r>
      <w:r>
        <w:rPr>
          <w:sz w:val="24"/>
          <w:szCs w:val="24"/>
        </w:rPr>
        <w:instrText xml:space="preserve"> PAGEREF _Toc231822739 \h </w:instrText>
      </w:r>
      <w:r>
        <w:rPr>
          <w:sz w:val="24"/>
          <w:szCs w:val="24"/>
        </w:rPr>
        <w:fldChar w:fldCharType="separate"/>
      </w:r>
      <w:r>
        <w:rPr>
          <w:sz w:val="24"/>
          <w:szCs w:val="24"/>
        </w:rPr>
        <w:t xml:space="preserve">19</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"_Toc231822740" </w:instrText>
      </w:r>
      <w:r>
        <w:fldChar w:fldCharType="separate"/>
      </w:r>
      <w:r>
        <w:rPr>
          <w:rStyle w:val="1279"/>
          <w:sz w:val="24"/>
          <w:szCs w:val="24"/>
        </w:rPr>
        <w:t xml:space="preserve">七、质疑</w:t>
      </w:r>
      <w:r>
        <w:rPr>
          <w:sz w:val="24"/>
          <w:szCs w:val="24"/>
        </w:rPr>
        <w:tab/>
      </w:r>
      <w:r>
        <w:rPr>
          <w:sz w:val="24"/>
          <w:szCs w:val="24"/>
        </w:rPr>
        <w:fldChar w:fldCharType="begin"/>
      </w:r>
      <w:r>
        <w:rPr>
          <w:sz w:val="24"/>
          <w:szCs w:val="24"/>
        </w:rPr>
        <w:instrText xml:space="preserve"> PAGEREF _Toc231822740 \h </w:instrText>
      </w:r>
      <w:r>
        <w:rPr>
          <w:sz w:val="24"/>
          <w:szCs w:val="24"/>
        </w:rPr>
        <w:fldChar w:fldCharType="separate"/>
      </w:r>
      <w:r>
        <w:rPr>
          <w:sz w:val="24"/>
          <w:szCs w:val="24"/>
        </w:rPr>
        <w:t xml:space="preserve">20</w:t>
      </w:r>
      <w:r>
        <w:rPr>
          <w:sz w:val="24"/>
          <w:szCs w:val="24"/>
        </w:rPr>
        <w:fldChar w:fldCharType="end"/>
      </w:r>
      <w:r>
        <w:rPr>
          <w:sz w:val="24"/>
          <w:szCs w:val="24"/>
        </w:rPr>
        <w:fldChar w:fldCharType="end"/>
      </w:r>
      <w:r/>
    </w:p>
    <w:p>
      <w:pPr>
        <w:pStyle w:val="1260"/>
        <w:tabs>
          <w:tab w:val="right" w:pos="9406" w:leader="dot"/>
        </w:tabs>
        <w:rPr>
          <w:sz w:val="24"/>
          <w:szCs w:val="24"/>
          <w14:ligatures w14:val="standardContextual"/>
        </w:rPr>
      </w:pPr>
      <w:r>
        <w:fldChar w:fldCharType="begin"/>
      </w:r>
      <w:r>
        <w:instrText xml:space="preserve"> HYPERLINK \l "_Toc231822741" </w:instrText>
      </w:r>
      <w:r>
        <w:fldChar w:fldCharType="separate"/>
      </w:r>
      <w:r>
        <w:rPr>
          <w:rStyle w:val="1279"/>
          <w:b/>
          <w:sz w:val="24"/>
          <w:szCs w:val="24"/>
        </w:rPr>
        <w:t xml:space="preserve">第三章 评标标准</w:t>
      </w:r>
      <w:r>
        <w:rPr>
          <w:sz w:val="24"/>
          <w:szCs w:val="24"/>
        </w:rPr>
        <w:tab/>
      </w:r>
      <w:r>
        <w:rPr>
          <w:sz w:val="24"/>
          <w:szCs w:val="24"/>
        </w:rPr>
        <w:fldChar w:fldCharType="begin"/>
      </w:r>
      <w:r>
        <w:rPr>
          <w:sz w:val="24"/>
          <w:szCs w:val="24"/>
        </w:rPr>
        <w:instrText xml:space="preserve"> PAGEREF _Toc231822741 \h </w:instrText>
      </w:r>
      <w:r>
        <w:rPr>
          <w:sz w:val="24"/>
          <w:szCs w:val="24"/>
        </w:rPr>
        <w:fldChar w:fldCharType="separate"/>
      </w:r>
      <w:r>
        <w:rPr>
          <w:sz w:val="24"/>
          <w:szCs w:val="24"/>
        </w:rPr>
        <w:t xml:space="preserve">22</w:t>
      </w:r>
      <w:r>
        <w:rPr>
          <w:sz w:val="24"/>
          <w:szCs w:val="24"/>
        </w:rPr>
        <w:fldChar w:fldCharType="end"/>
      </w:r>
      <w:r>
        <w:rPr>
          <w:sz w:val="24"/>
          <w:szCs w:val="24"/>
        </w:rPr>
        <w:fldChar w:fldCharType="end"/>
      </w:r>
      <w:r/>
    </w:p>
    <w:p>
      <w:pPr>
        <w:pStyle w:val="1260"/>
        <w:tabs>
          <w:tab w:val="right" w:pos="9406" w:leader="dot"/>
        </w:tabs>
        <w:rPr>
          <w:sz w:val="24"/>
          <w:szCs w:val="24"/>
          <w14:ligatures w14:val="standardContextual"/>
        </w:rPr>
      </w:pPr>
      <w:r>
        <w:fldChar w:fldCharType="begin"/>
      </w:r>
      <w:r>
        <w:instrText xml:space="preserve"> HYPERLINK \l "_Toc231822742" </w:instrText>
      </w:r>
      <w:r>
        <w:fldChar w:fldCharType="separate"/>
      </w:r>
      <w:r>
        <w:rPr>
          <w:rStyle w:val="1279"/>
          <w:b/>
          <w:sz w:val="24"/>
          <w:szCs w:val="24"/>
        </w:rPr>
        <w:t xml:space="preserve">第四章 招标技术规格及要求</w:t>
      </w:r>
      <w:r>
        <w:rPr>
          <w:sz w:val="24"/>
          <w:szCs w:val="24"/>
        </w:rPr>
        <w:tab/>
      </w:r>
      <w:r>
        <w:rPr>
          <w:sz w:val="24"/>
          <w:szCs w:val="24"/>
        </w:rPr>
        <w:fldChar w:fldCharType="begin"/>
      </w:r>
      <w:r>
        <w:rPr>
          <w:sz w:val="24"/>
          <w:szCs w:val="24"/>
        </w:rPr>
        <w:instrText xml:space="preserve"> PAGEREF _Toc231822742 \h </w:instrText>
      </w:r>
      <w:r>
        <w:rPr>
          <w:sz w:val="24"/>
          <w:szCs w:val="24"/>
        </w:rPr>
        <w:fldChar w:fldCharType="separate"/>
      </w:r>
      <w:r>
        <w:rPr>
          <w:sz w:val="24"/>
          <w:szCs w:val="24"/>
        </w:rPr>
        <w:t xml:space="preserve">24</w:t>
      </w:r>
      <w:r>
        <w:rPr>
          <w:sz w:val="24"/>
          <w:szCs w:val="24"/>
        </w:rPr>
        <w:fldChar w:fldCharType="end"/>
      </w:r>
      <w:r>
        <w:rPr>
          <w:sz w:val="24"/>
          <w:szCs w:val="24"/>
        </w:rPr>
        <w:fldChar w:fldCharType="end"/>
      </w:r>
      <w:r/>
    </w:p>
    <w:p>
      <w:pPr>
        <w:pStyle w:val="1260"/>
        <w:tabs>
          <w:tab w:val="right" w:pos="9406" w:leader="dot"/>
        </w:tabs>
        <w:rPr>
          <w:sz w:val="24"/>
          <w:szCs w:val="24"/>
          <w14:ligatures w14:val="standardContextual"/>
        </w:rPr>
      </w:pPr>
      <w:r>
        <w:fldChar w:fldCharType="begin"/>
      </w:r>
      <w:r>
        <w:instrText xml:space="preserve"> HYPERLINK \l "_Toc231822743" </w:instrText>
      </w:r>
      <w:r>
        <w:fldChar w:fldCharType="separate"/>
      </w:r>
      <w:r>
        <w:rPr>
          <w:rStyle w:val="1279"/>
          <w:b/>
          <w:sz w:val="24"/>
          <w:szCs w:val="24"/>
        </w:rPr>
        <w:t xml:space="preserve">第五章 政府采购合同</w:t>
      </w:r>
      <w:r>
        <w:rPr>
          <w:sz w:val="24"/>
          <w:szCs w:val="24"/>
        </w:rPr>
        <w:tab/>
      </w:r>
      <w:r>
        <w:rPr>
          <w:sz w:val="24"/>
          <w:szCs w:val="24"/>
        </w:rPr>
        <w:fldChar w:fldCharType="begin"/>
      </w:r>
      <w:r>
        <w:rPr>
          <w:sz w:val="24"/>
          <w:szCs w:val="24"/>
        </w:rPr>
        <w:instrText xml:space="preserve"> PAGEREF _Toc231822743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p>
    <w:p>
      <w:pPr>
        <w:pStyle w:val="1260"/>
        <w:tabs>
          <w:tab w:val="right" w:pos="9406" w:leader="dot"/>
        </w:tabs>
        <w:rPr>
          <w:sz w:val="24"/>
          <w:szCs w:val="24"/>
          <w14:ligatures w14:val="standardContextual"/>
        </w:rPr>
      </w:pPr>
      <w:r>
        <w:fldChar w:fldCharType="begin"/>
      </w:r>
      <w:r>
        <w:instrText xml:space="preserve"> HYPERLINK \l "_Toc231822744" </w:instrText>
      </w:r>
      <w:r>
        <w:fldChar w:fldCharType="separate"/>
      </w:r>
      <w:r>
        <w:rPr>
          <w:rStyle w:val="1279"/>
          <w:b/>
          <w:sz w:val="24"/>
          <w:szCs w:val="24"/>
        </w:rPr>
        <w:t xml:space="preserve">第六章 投标文件格式及附件</w:t>
      </w:r>
      <w:r>
        <w:rPr>
          <w:sz w:val="24"/>
          <w:szCs w:val="24"/>
        </w:rPr>
        <w:tab/>
      </w:r>
      <w:r>
        <w:rPr>
          <w:sz w:val="24"/>
          <w:szCs w:val="24"/>
        </w:rPr>
        <w:fldChar w:fldCharType="begin"/>
      </w:r>
      <w:r>
        <w:rPr>
          <w:sz w:val="24"/>
          <w:szCs w:val="24"/>
        </w:rPr>
        <w:instrText xml:space="preserve"> PAGEREF _Toc231822744 \h </w:instrText>
      </w:r>
      <w:r>
        <w:rPr>
          <w:sz w:val="24"/>
          <w:szCs w:val="24"/>
        </w:rPr>
        <w:fldChar w:fldCharType="separate"/>
      </w:r>
      <w:r>
        <w:rPr>
          <w:sz w:val="24"/>
          <w:szCs w:val="24"/>
        </w:rPr>
        <w:t xml:space="preserve">34</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"_Toc231822745" </w:instrText>
      </w:r>
      <w:r>
        <w:fldChar w:fldCharType="separate"/>
      </w:r>
      <w:r>
        <w:rPr>
          <w:rStyle w:val="1279"/>
          <w:sz w:val="24"/>
          <w:szCs w:val="24"/>
        </w:rPr>
        <w:t xml:space="preserve">附件一 投标函格式</w:t>
      </w:r>
      <w:r>
        <w:rPr>
          <w:sz w:val="24"/>
          <w:szCs w:val="24"/>
        </w:rPr>
        <w:tab/>
      </w:r>
      <w:r>
        <w:rPr>
          <w:sz w:val="24"/>
          <w:szCs w:val="24"/>
        </w:rPr>
        <w:fldChar w:fldCharType="begin"/>
      </w:r>
      <w:r>
        <w:rPr>
          <w:sz w:val="24"/>
          <w:szCs w:val="24"/>
        </w:rPr>
        <w:instrText xml:space="preserve"> PAGEREF _Toc231822745 \h </w:instrText>
      </w:r>
      <w:r>
        <w:rPr>
          <w:sz w:val="24"/>
          <w:szCs w:val="24"/>
        </w:rPr>
        <w:fldChar w:fldCharType="separate"/>
      </w:r>
      <w:r>
        <w:rPr>
          <w:sz w:val="24"/>
          <w:szCs w:val="24"/>
        </w:rPr>
        <w:t xml:space="preserve">36</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"_Toc231822746" </w:instrText>
      </w:r>
      <w:r>
        <w:fldChar w:fldCharType="separate"/>
      </w:r>
      <w:r>
        <w:rPr>
          <w:rStyle w:val="1279"/>
          <w:sz w:val="24"/>
          <w:szCs w:val="24"/>
        </w:rPr>
        <w:t xml:space="preserve">附件二 开标一览表</w:t>
      </w:r>
      <w:r>
        <w:rPr>
          <w:sz w:val="24"/>
          <w:szCs w:val="24"/>
        </w:rPr>
        <w:tab/>
      </w:r>
      <w:r>
        <w:rPr>
          <w:sz w:val="24"/>
          <w:szCs w:val="24"/>
        </w:rPr>
        <w:fldChar w:fldCharType="begin"/>
      </w:r>
      <w:r>
        <w:rPr>
          <w:sz w:val="24"/>
          <w:szCs w:val="24"/>
        </w:rPr>
        <w:instrText xml:space="preserve"> PAGEREF _Toc231822746 \h </w:instrText>
      </w:r>
      <w:r>
        <w:rPr>
          <w:sz w:val="24"/>
          <w:szCs w:val="24"/>
        </w:rPr>
        <w:fldChar w:fldCharType="separate"/>
      </w:r>
      <w:r>
        <w:rPr>
          <w:sz w:val="24"/>
          <w:szCs w:val="24"/>
        </w:rPr>
        <w:t xml:space="preserve">37</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"_Toc231822747" </w:instrText>
      </w:r>
      <w:r>
        <w:fldChar w:fldCharType="separate"/>
      </w:r>
      <w:r>
        <w:rPr>
          <w:rStyle w:val="1279"/>
          <w:sz w:val="24"/>
          <w:szCs w:val="24"/>
        </w:rPr>
        <w:t xml:space="preserve">附件三 分项报价表</w:t>
      </w:r>
      <w:r>
        <w:rPr>
          <w:sz w:val="24"/>
          <w:szCs w:val="24"/>
        </w:rPr>
        <w:tab/>
      </w:r>
      <w:r>
        <w:rPr>
          <w:sz w:val="24"/>
          <w:szCs w:val="24"/>
        </w:rPr>
        <w:fldChar w:fldCharType="begin"/>
      </w:r>
      <w:r>
        <w:rPr>
          <w:sz w:val="24"/>
          <w:szCs w:val="24"/>
        </w:rPr>
        <w:instrText xml:space="preserve"> PAGEREF _Toc231822747 \h </w:instrText>
      </w:r>
      <w:r>
        <w:rPr>
          <w:sz w:val="24"/>
          <w:szCs w:val="24"/>
        </w:rPr>
        <w:fldChar w:fldCharType="separate"/>
      </w:r>
      <w:r>
        <w:rPr>
          <w:sz w:val="24"/>
          <w:szCs w:val="24"/>
        </w:rPr>
        <w:t xml:space="preserve">38</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"_Toc231822748" </w:instrText>
      </w:r>
      <w:r>
        <w:fldChar w:fldCharType="separate"/>
      </w:r>
      <w:r>
        <w:rPr>
          <w:rStyle w:val="1279"/>
          <w:sz w:val="24"/>
          <w:szCs w:val="24"/>
        </w:rPr>
        <w:t xml:space="preserve">附件四 商务条款偏离表</w:t>
      </w:r>
      <w:r>
        <w:rPr>
          <w:sz w:val="24"/>
          <w:szCs w:val="24"/>
        </w:rPr>
        <w:tab/>
      </w:r>
      <w:r>
        <w:rPr>
          <w:sz w:val="24"/>
          <w:szCs w:val="24"/>
        </w:rPr>
        <w:fldChar w:fldCharType="begin"/>
      </w:r>
      <w:r>
        <w:rPr>
          <w:sz w:val="24"/>
          <w:szCs w:val="24"/>
        </w:rPr>
        <w:instrText xml:space="preserve"> PAGEREF _Toc231822748 \h </w:instrText>
      </w:r>
      <w:r>
        <w:rPr>
          <w:sz w:val="24"/>
          <w:szCs w:val="24"/>
        </w:rPr>
        <w:fldChar w:fldCharType="separate"/>
      </w:r>
      <w:r>
        <w:rPr>
          <w:sz w:val="24"/>
          <w:szCs w:val="24"/>
        </w:rPr>
        <w:t xml:space="preserve">39</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"_Toc231822749" </w:instrText>
      </w:r>
      <w:r>
        <w:fldChar w:fldCharType="separate"/>
      </w:r>
      <w:r>
        <w:rPr>
          <w:rStyle w:val="1279"/>
          <w:sz w:val="24"/>
          <w:szCs w:val="24"/>
        </w:rPr>
        <w:t xml:space="preserve">附件五 技术条款偏离表</w:t>
      </w:r>
      <w:r>
        <w:rPr>
          <w:sz w:val="24"/>
          <w:szCs w:val="24"/>
        </w:rPr>
        <w:tab/>
      </w:r>
      <w:r>
        <w:rPr>
          <w:sz w:val="24"/>
          <w:szCs w:val="24"/>
        </w:rPr>
        <w:fldChar w:fldCharType="begin"/>
      </w:r>
      <w:r>
        <w:rPr>
          <w:sz w:val="24"/>
          <w:szCs w:val="24"/>
        </w:rPr>
        <w:instrText xml:space="preserve"> PAGEREF _Toc231822749 \h </w:instrText>
      </w:r>
      <w:r>
        <w:rPr>
          <w:sz w:val="24"/>
          <w:szCs w:val="24"/>
        </w:rPr>
        <w:fldChar w:fldCharType="separate"/>
      </w:r>
      <w:r>
        <w:rPr>
          <w:sz w:val="24"/>
          <w:szCs w:val="24"/>
        </w:rPr>
        <w:t xml:space="preserve">40</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"_Toc231822750" </w:instrText>
      </w:r>
      <w:r>
        <w:fldChar w:fldCharType="separate"/>
      </w:r>
      <w:r>
        <w:rPr>
          <w:rStyle w:val="1279"/>
          <w:sz w:val="24"/>
          <w:szCs w:val="24"/>
        </w:rPr>
        <w:t xml:space="preserve">附件六 拟参与本项目服务人员一览表</w:t>
      </w:r>
      <w:r>
        <w:rPr>
          <w:sz w:val="24"/>
          <w:szCs w:val="24"/>
        </w:rPr>
        <w:tab/>
      </w:r>
      <w:r>
        <w:rPr>
          <w:sz w:val="24"/>
          <w:szCs w:val="24"/>
        </w:rPr>
        <w:fldChar w:fldCharType="begin"/>
      </w:r>
      <w:r>
        <w:rPr>
          <w:sz w:val="24"/>
          <w:szCs w:val="24"/>
        </w:rPr>
        <w:instrText xml:space="preserve"> PAGEREF _Toc231822750 \h </w:instrText>
      </w:r>
      <w:r>
        <w:rPr>
          <w:sz w:val="24"/>
          <w:szCs w:val="24"/>
        </w:rPr>
        <w:fldChar w:fldCharType="separate"/>
      </w:r>
      <w:r>
        <w:rPr>
          <w:sz w:val="24"/>
          <w:szCs w:val="24"/>
        </w:rPr>
        <w:t xml:space="preserve">41</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"_Toc231822751" </w:instrText>
      </w:r>
      <w:r>
        <w:fldChar w:fldCharType="separate"/>
      </w:r>
      <w:r>
        <w:rPr>
          <w:rStyle w:val="1279"/>
          <w:sz w:val="24"/>
          <w:szCs w:val="24"/>
        </w:rPr>
        <w:t xml:space="preserve">附件七 投标人类似业绩情况表</w:t>
      </w:r>
      <w:r>
        <w:rPr>
          <w:sz w:val="24"/>
          <w:szCs w:val="24"/>
        </w:rPr>
        <w:tab/>
      </w:r>
      <w:r>
        <w:rPr>
          <w:sz w:val="24"/>
          <w:szCs w:val="24"/>
        </w:rPr>
        <w:fldChar w:fldCharType="begin"/>
      </w:r>
      <w:r>
        <w:rPr>
          <w:sz w:val="24"/>
          <w:szCs w:val="24"/>
        </w:rPr>
        <w:instrText xml:space="preserve"> PAGEREF _Toc231822751 \h </w:instrText>
      </w:r>
      <w:r>
        <w:rPr>
          <w:sz w:val="24"/>
          <w:szCs w:val="24"/>
        </w:rPr>
        <w:fldChar w:fldCharType="separate"/>
      </w:r>
      <w:r>
        <w:rPr>
          <w:sz w:val="24"/>
          <w:szCs w:val="24"/>
        </w:rPr>
        <w:t xml:space="preserve">42</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"_Toc231822752" </w:instrText>
      </w:r>
      <w:r>
        <w:fldChar w:fldCharType="separate"/>
      </w:r>
      <w:r>
        <w:rPr>
          <w:rStyle w:val="1279"/>
          <w:sz w:val="24"/>
          <w:szCs w:val="24"/>
        </w:rPr>
        <w:t xml:space="preserve">附件八 政府采购政策</w:t>
      </w:r>
      <w:r>
        <w:rPr>
          <w:sz w:val="24"/>
          <w:szCs w:val="24"/>
        </w:rPr>
        <w:tab/>
      </w:r>
      <w:r>
        <w:rPr>
          <w:sz w:val="24"/>
          <w:szCs w:val="24"/>
        </w:rPr>
        <w:fldChar w:fldCharType="begin"/>
      </w:r>
      <w:r>
        <w:rPr>
          <w:sz w:val="24"/>
          <w:szCs w:val="24"/>
        </w:rPr>
        <w:instrText xml:space="preserve"> PAGEREF _Toc231822752 \h </w:instrText>
      </w:r>
      <w:r>
        <w:rPr>
          <w:sz w:val="24"/>
          <w:szCs w:val="24"/>
        </w:rPr>
        <w:fldChar w:fldCharType="separate"/>
      </w:r>
      <w:r>
        <w:rPr>
          <w:sz w:val="24"/>
          <w:szCs w:val="24"/>
        </w:rPr>
        <w:t xml:space="preserve">43</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"_Toc231822753" </w:instrText>
      </w:r>
      <w:r>
        <w:fldChar w:fldCharType="separate"/>
      </w:r>
      <w:r>
        <w:rPr>
          <w:rStyle w:val="1279"/>
          <w:sz w:val="24"/>
          <w:szCs w:val="24"/>
          <w:lang w:val="zh-CN"/>
        </w:rPr>
        <w:t xml:space="preserve">附件</w:t>
      </w:r>
      <w:r>
        <w:rPr>
          <w:rStyle w:val="1279"/>
          <w:sz w:val="24"/>
          <w:szCs w:val="24"/>
        </w:rPr>
        <w:t xml:space="preserve">九</w:t>
      </w:r>
      <w:r>
        <w:rPr>
          <w:rStyle w:val="1279"/>
          <w:sz w:val="24"/>
          <w:szCs w:val="24"/>
          <w:lang w:val="zh-CN"/>
        </w:rPr>
        <w:t xml:space="preserve"> 资格证明文件</w:t>
      </w:r>
      <w:r>
        <w:rPr>
          <w:sz w:val="24"/>
          <w:szCs w:val="24"/>
        </w:rPr>
        <w:tab/>
      </w:r>
      <w:r>
        <w:rPr>
          <w:sz w:val="24"/>
          <w:szCs w:val="24"/>
        </w:rPr>
        <w:fldChar w:fldCharType="begin"/>
      </w:r>
      <w:r>
        <w:rPr>
          <w:sz w:val="24"/>
          <w:szCs w:val="24"/>
        </w:rPr>
        <w:instrText xml:space="preserve"> PAGEREF _Toc231822753 \h </w:instrText>
      </w:r>
      <w:r>
        <w:rPr>
          <w:sz w:val="24"/>
          <w:szCs w:val="24"/>
        </w:rPr>
        <w:fldChar w:fldCharType="separate"/>
      </w:r>
      <w:r>
        <w:rPr>
          <w:sz w:val="24"/>
          <w:szCs w:val="24"/>
        </w:rPr>
        <w:t xml:space="preserve">46</w:t>
      </w:r>
      <w:r>
        <w:rPr>
          <w:sz w:val="24"/>
          <w:szCs w:val="24"/>
        </w:rPr>
        <w:fldChar w:fldCharType="end"/>
      </w:r>
      <w:r>
        <w:rPr>
          <w:sz w:val="24"/>
          <w:szCs w:val="24"/>
        </w:rPr>
        <w:fldChar w:fldCharType="end"/>
      </w:r>
      <w:r/>
    </w:p>
    <w:p>
      <w:pPr>
        <w:pStyle w:val="1267"/>
        <w:ind w:left="420"/>
        <w:tabs>
          <w:tab w:val="right" w:pos="9406" w:leader="dot"/>
        </w:tabs>
        <w:rPr>
          <w:sz w:val="24"/>
          <w:szCs w:val="24"/>
          <w14:ligatures w14:val="standardContextual"/>
        </w:rPr>
      </w:pPr>
      <w:r>
        <w:fldChar w:fldCharType="begin"/>
      </w:r>
      <w:r>
        <w:instrText xml:space="preserve"> HYPERLINK \l "_Toc231822754" </w:instrText>
      </w:r>
      <w:r>
        <w:fldChar w:fldCharType="separate"/>
      </w:r>
      <w:r>
        <w:rPr>
          <w:rStyle w:val="1279"/>
          <w:sz w:val="24"/>
          <w:szCs w:val="24"/>
        </w:rPr>
        <w:t xml:space="preserve">附件十 其他相关文件</w:t>
      </w:r>
      <w:r>
        <w:rPr>
          <w:sz w:val="24"/>
          <w:szCs w:val="24"/>
        </w:rPr>
        <w:tab/>
      </w:r>
      <w:r>
        <w:rPr>
          <w:sz w:val="24"/>
          <w:szCs w:val="24"/>
        </w:rPr>
        <w:fldChar w:fldCharType="begin"/>
      </w:r>
      <w:r>
        <w:rPr>
          <w:sz w:val="24"/>
          <w:szCs w:val="24"/>
        </w:rPr>
        <w:instrText xml:space="preserve"> PAGEREF _Toc231822754 \h </w:instrText>
      </w:r>
      <w:r>
        <w:rPr>
          <w:sz w:val="24"/>
          <w:szCs w:val="24"/>
        </w:rPr>
        <w:fldChar w:fldCharType="separate"/>
      </w:r>
      <w:r>
        <w:rPr>
          <w:sz w:val="24"/>
          <w:szCs w:val="24"/>
        </w:rPr>
        <w:t xml:space="preserve">57</w:t>
      </w:r>
      <w:r>
        <w:rPr>
          <w:sz w:val="24"/>
          <w:szCs w:val="24"/>
        </w:rPr>
        <w:fldChar w:fldCharType="end"/>
      </w:r>
      <w:r>
        <w:rPr>
          <w:sz w:val="24"/>
          <w:szCs w:val="24"/>
        </w:rPr>
        <w:fldChar w:fldCharType="end"/>
      </w:r>
      <w:r/>
    </w:p>
    <w:p>
      <w:pPr>
        <w:jc w:val="center"/>
        <w:spacing w:line="440" w:lineRule="exact"/>
        <w:rPr>
          <w:bCs/>
          <w:color w:val="000000"/>
          <w:sz w:val="24"/>
          <w:szCs w:val="24"/>
        </w:rPr>
      </w:pPr>
      <w:r>
        <w:rPr>
          <w:bCs/>
          <w:color w:val="000000"/>
          <w:sz w:val="24"/>
          <w:szCs w:val="24"/>
        </w:rPr>
        <w:fldChar w:fldCharType="end"/>
      </w:r>
      <w:bookmarkStart w:id="0" w:name="_Toc20619"/>
      <w:r/>
      <w:bookmarkStart w:id="1" w:name="_Toc4696384"/>
      <w:r/>
      <w:bookmarkStart w:id="2" w:name="_Toc11991"/>
      <w:r/>
      <w:bookmarkStart w:id="3" w:name="_Toc24606"/>
      <w:r/>
      <w:bookmarkStart w:id="4" w:name="_Toc13535"/>
      <w:r/>
      <w:bookmarkStart w:id="5" w:name="_Toc22298"/>
      <w:r/>
      <w:bookmarkStart w:id="6" w:name="_Toc7777"/>
      <w:r/>
      <w:bookmarkStart w:id="7" w:name="_Toc19726"/>
      <w:r/>
      <w:bookmarkStart w:id="8" w:name="_Toc20112"/>
      <w:r/>
      <w:bookmarkStart w:id="9" w:name="_Toc15509"/>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231822725"/>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35393621"/>
      <w:r/>
      <w:bookmarkStart w:id="13" w:name="_Toc28359079"/>
      <w:r/>
      <w:bookmarkStart w:id="14" w:name="_Toc15613"/>
      <w:r/>
      <w:bookmarkStart w:id="15" w:name="_Toc20859"/>
      <w:r/>
      <w:bookmarkStart w:id="16" w:name="_Toc35393790"/>
      <w:r/>
      <w:bookmarkStart w:id="17" w:name="_Toc28359002"/>
      <w:r/>
      <w:bookmarkStart w:id="18" w:name="_Hlk24379207"/>
      <w:r>
        <w:rPr>
          <w:szCs w:val="21"/>
          <w:u w:val="single"/>
        </w:rPr>
        <w:t xml:space="preserve">江苏省特种设备安全监督检验研究院 </w:t>
      </w:r>
      <w:r>
        <w:rPr>
          <w:rFonts w:hint="eastAsia"/>
          <w:szCs w:val="21"/>
          <w:u w:val="single"/>
        </w:rPr>
        <w:t xml:space="preserve">手持式热偶真空计等3项设备</w:t>
      </w:r>
      <w:r>
        <w:rPr>
          <w:szCs w:val="21"/>
          <w:u w:val="single"/>
        </w:rPr>
        <w:t xml:space="preserve">招标项目的潜在投标人应在江苏省南京市长江路198号苏美达大厦6楼西获取招标文件，并于2026年0</w:t>
      </w:r>
      <w:r>
        <w:rPr>
          <w:rFonts w:hint="eastAsia"/>
          <w:szCs w:val="21"/>
          <w:u w:val="single"/>
        </w:rPr>
        <w:t xml:space="preserve">9</w:t>
      </w:r>
      <w:r>
        <w:rPr>
          <w:szCs w:val="21"/>
          <w:u w:val="single"/>
        </w:rPr>
        <w:t xml:space="preserve">月</w:t>
      </w:r>
      <w:r>
        <w:rPr>
          <w:rFonts w:hint="eastAsia"/>
          <w:szCs w:val="21"/>
          <w:u w:val="single"/>
          <w:lang w:val="en-US" w:eastAsia="zh-CN"/>
        </w:rPr>
        <w:t xml:space="preserve">28</w:t>
      </w:r>
      <w:r>
        <w:rPr>
          <w:szCs w:val="21"/>
          <w:u w:val="single"/>
        </w:rPr>
        <w:t xml:space="preserve">日09点30分（北京时间）前递交投标文件。</w:t>
      </w:r>
      <w:bookmarkEnd w:id="12"/>
      <w:r/>
      <w:bookmarkEnd w:id="13"/>
      <w:r/>
      <w:bookmarkEnd w:id="14"/>
      <w:r/>
      <w:bookmarkEnd w:id="15"/>
      <w:r/>
      <w:bookmarkEnd w:id="16"/>
      <w:r/>
      <w:bookmarkEnd w:id="17"/>
      <w:r/>
      <w:bookmarkEnd w:id="18"/>
      <w:r/>
      <w:r/>
    </w:p>
    <w:p>
      <w:pPr>
        <w:pStyle w:val="1226"/>
      </w:pPr>
      <w:r/>
      <w:bookmarkStart w:id="19" w:name="_Toc231822726"/>
      <w:r/>
      <w:bookmarkStart w:id="20" w:name="_Toc35393791"/>
      <w:r/>
      <w:bookmarkStart w:id="21" w:name="_Toc28359080"/>
      <w:r/>
      <w:bookmarkStart w:id="22" w:name="_Toc28359003"/>
      <w:r/>
      <w:bookmarkStart w:id="23" w:name="_Toc35393622"/>
      <w:r/>
      <w:bookmarkStart w:id="24" w:name="_Toc3342"/>
      <w:r/>
      <w:bookmarkStart w:id="25" w:name="_Toc5396"/>
      <w:r>
        <w:t xml:space="preserve">一、项目基本情况</w:t>
      </w:r>
      <w:bookmarkEnd w:id="19"/>
      <w:r/>
      <w:r/>
    </w:p>
    <w:p>
      <w:pPr>
        <w:ind w:firstLine="210"/>
        <w:spacing w:line="360" w:lineRule="auto"/>
        <w:rPr>
          <w:szCs w:val="21"/>
        </w:rPr>
      </w:pPr>
      <w:r>
        <w:rPr>
          <w:szCs w:val="21"/>
        </w:rPr>
        <w:t xml:space="preserve">1、项目编号：</w:t>
      </w:r>
      <w:r>
        <w:rPr>
          <w:rFonts w:hint="eastAsia"/>
          <w:szCs w:val="21"/>
        </w:rPr>
        <w:t xml:space="preserve">4297-2641SUMEC310</w:t>
      </w:r>
      <w:r>
        <w:rPr>
          <w:szCs w:val="21"/>
        </w:rPr>
        <w:t xml:space="preserve">（公告编号：</w:t>
      </w:r>
      <w:r>
        <w:rPr>
          <w:rFonts w:hint="eastAsia"/>
          <w:szCs w:val="21"/>
        </w:rPr>
        <w:t xml:space="preserve">JSZC-320000-JSSB-G2026-0006</w:t>
      </w:r>
      <w:r>
        <w:rPr>
          <w:szCs w:val="21"/>
        </w:rPr>
        <w:t xml:space="preserve">）</w:t>
      </w:r>
      <w:r/>
    </w:p>
    <w:p>
      <w:pPr>
        <w:ind w:firstLine="210"/>
        <w:spacing w:line="360" w:lineRule="auto"/>
        <w:rPr>
          <w:szCs w:val="21"/>
        </w:rPr>
      </w:pPr>
      <w:r>
        <w:rPr>
          <w:szCs w:val="21"/>
        </w:rPr>
        <w:t xml:space="preserve">2、项目名称：</w:t>
      </w:r>
      <w:r>
        <w:rPr>
          <w:rFonts w:hint="eastAsia"/>
          <w:szCs w:val="21"/>
        </w:rPr>
        <w:t xml:space="preserve">手持式热偶真空计等3项设备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4、预算金额：12.35万元（单位：人民币）</w:t>
      </w:r>
      <w:r/>
    </w:p>
    <w:p>
      <w:pPr>
        <w:ind w:firstLine="210"/>
        <w:spacing w:line="360" w:lineRule="auto"/>
        <w:rPr>
          <w:szCs w:val="21"/>
        </w:rPr>
      </w:pPr>
      <w:r>
        <w:rPr>
          <w:szCs w:val="21"/>
        </w:rPr>
        <w:t xml:space="preserve">5、</w:t>
      </w:r>
      <w:bookmarkStart w:id="26" w:name="OLE_LINK7"/>
      <w:r>
        <w:rPr>
          <w:szCs w:val="21"/>
        </w:rPr>
        <w:t xml:space="preserve">最高限价：12.35万元（单位：人民币），</w:t>
      </w:r>
      <w:r>
        <w:rPr>
          <w:b/>
          <w:szCs w:val="21"/>
        </w:rPr>
        <w:t xml:space="preserve">投标人所投报价不得超过每个品目所对应的预算金额，否则作无效投标处理。</w:t>
      </w:r>
      <w:bookmarkEnd w:id="26"/>
      <w:r/>
      <w:r/>
    </w:p>
    <w:p>
      <w:pPr>
        <w:ind w:firstLine="210"/>
        <w:spacing w:line="360" w:lineRule="auto"/>
        <w:rPr>
          <w:szCs w:val="21"/>
        </w:rPr>
      </w:pPr>
      <w:r>
        <w:rPr>
          <w:szCs w:val="21"/>
        </w:rPr>
        <w:t xml:space="preserve">6、采购需求：</w:t>
      </w:r>
      <w:r/>
    </w:p>
    <w:tbl>
      <w:tblPr>
        <w:tblStyle w:val="1235"/>
        <w:tblpPr w:horzAnchor="page" w:tblpXSpec="center" w:vertAnchor="text" w:tblpY="-14" w:leftFromText="180" w:topFromText="0" w:rightFromText="180" w:bottomFromText="0"/>
        <w:tblW w:w="5197" w:type="pct"/>
        <w:jc w:val="center"/>
        <w:tblLayout w:type="fixed"/>
        <w:tblCellMar>
          <w:left w:w="108" w:type="dxa"/>
          <w:top w:w="0" w:type="dxa"/>
          <w:right w:w="108" w:type="dxa"/>
          <w:bottom w:w="0" w:type="dxa"/>
        </w:tblCellMar>
        <w:tblLook w:val="04A0" w:firstRow="1" w:lastRow="0" w:firstColumn="1" w:lastColumn="0" w:noHBand="0" w:noVBand="1"/>
      </w:tblPr>
      <w:tblGrid>
        <w:gridCol w:w="348"/>
        <w:gridCol w:w="2451"/>
        <w:gridCol w:w="777"/>
        <w:gridCol w:w="1278"/>
        <w:gridCol w:w="393"/>
        <w:gridCol w:w="1446"/>
        <w:gridCol w:w="2032"/>
        <w:gridCol w:w="1061"/>
      </w:tblGrid>
      <w:tr>
        <w:trPr>
          <w:jc w:val="center"/>
          <w:trHeight w:val="747"/>
        </w:trPr>
        <w:tc>
          <w:tcPr>
            <w:tcBorders>
              <w:top w:val="single" w:color="auto" w:sz="4" w:space="0"/>
              <w:left w:val="single" w:color="auto" w:sz="4" w:space="0"/>
              <w:bottom w:val="single" w:color="auto" w:sz="4" w:space="0"/>
              <w:right w:val="single" w:color="auto" w:sz="4" w:space="0"/>
            </w:tcBorders>
            <w:tcW w:w="17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01" w:type="pct"/>
            <w:vAlign w:val="center"/>
            <w:textDirection w:val="lrTb"/>
            <w:noWrap w:val="false"/>
          </w:tcPr>
          <w:p>
            <w:pPr>
              <w:jc w:val="center"/>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103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441"/>
        </w:trPr>
        <w:tc>
          <w:tcPr>
            <w:tcBorders>
              <w:top w:val="single" w:color="auto" w:sz="4" w:space="0"/>
              <w:left w:val="single" w:color="auto" w:sz="4" w:space="0"/>
              <w:bottom w:val="single" w:color="auto" w:sz="4" w:space="0"/>
              <w:right w:val="single" w:color="auto" w:sz="4" w:space="0"/>
            </w:tcBorders>
            <w:tcW w:w="17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eastAsiaTheme="minorEastAsia"/>
              </w:rPr>
            </w:pPr>
            <w:r>
              <w:rPr>
                <w:rFonts w:eastAsiaTheme="minorEastAsia"/>
              </w:rPr>
              <w:t xml:space="preserve">手持式热偶真空计</w:t>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widowControl/>
              <w:rPr>
                <w:rFonts w:eastAsiaTheme="minorEastAsia"/>
                <w:bCs/>
                <w:szCs w:val="21"/>
              </w:rPr>
            </w:pPr>
            <w:r>
              <w:rPr>
                <w:rFonts w:eastAsiaTheme="minorEastAsia"/>
                <w:bCs/>
                <w:szCs w:val="21"/>
              </w:rPr>
              <w:t xml:space="preserve">9</w:t>
            </w:r>
            <w:r/>
          </w:p>
        </w:tc>
        <w:tc>
          <w:tcPr>
            <w:tcBorders>
              <w:left w:val="single" w:color="auto" w:sz="4" w:space="0"/>
              <w:right w:val="single" w:color="auto" w:sz="4" w:space="0"/>
            </w:tcBorders>
            <w:tcW w:w="652" w:type="pct"/>
            <w:vAlign w:val="center"/>
            <w:vMerge w:val="restart"/>
            <w:textDirection w:val="lrTb"/>
            <w:noWrap w:val="false"/>
          </w:tcPr>
          <w:p>
            <w:pPr>
              <w:jc w:val="center"/>
              <w:widowControl/>
              <w:rPr>
                <w:rFonts w:eastAsiaTheme="minorEastAsia"/>
                <w:color w:val="000000"/>
                <w:szCs w:val="21"/>
                <w:lang w:bidi="ar"/>
              </w:rPr>
            </w:pPr>
            <w:r>
              <w:rPr>
                <w:rFonts w:eastAsiaTheme="minorEastAsia"/>
                <w:szCs w:val="21"/>
              </w:rPr>
              <w:t xml:space="preserve">详见招标文件第四章招标技术规格及要求</w:t>
            </w:r>
            <w:r/>
          </w:p>
        </w:tc>
        <w:tc>
          <w:tcPr>
            <w:tcBorders>
              <w:left w:val="single" w:color="auto" w:sz="4" w:space="0"/>
              <w:right w:val="single" w:color="auto" w:sz="4" w:space="0"/>
            </w:tcBorders>
            <w:tcW w:w="201" w:type="pct"/>
            <w:vAlign w:val="center"/>
            <w:vMerge w:val="restart"/>
            <w:textDirection w:val="lrTb"/>
            <w:noWrap w:val="false"/>
          </w:tcPr>
          <w:p>
            <w:pPr>
              <w:jc w:val="center"/>
              <w:widowControl/>
              <w:rPr>
                <w:rFonts w:eastAsiaTheme="minorEastAsia"/>
                <w:color w:val="000000"/>
                <w:szCs w:val="21"/>
                <w:lang w:bidi="ar"/>
              </w:rPr>
            </w:pPr>
            <w:r>
              <w:t xml:space="preserve">检测</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widowControl/>
              <w:rPr>
                <w:rFonts w:eastAsiaTheme="minorEastAsia"/>
                <w:bCs/>
                <w:szCs w:val="21"/>
              </w:rPr>
            </w:pPr>
            <w:r>
              <w:rPr>
                <w:rFonts w:eastAsiaTheme="minorEastAsia"/>
                <w:bCs/>
                <w:szCs w:val="21"/>
              </w:rPr>
              <w:t xml:space="preserve">8.55</w:t>
            </w:r>
            <w:r/>
          </w:p>
        </w:tc>
        <w:tc>
          <w:tcPr>
            <w:tcBorders>
              <w:left w:val="single" w:color="auto" w:sz="4" w:space="0"/>
              <w:right w:val="single" w:color="auto" w:sz="4" w:space="0"/>
            </w:tcBorders>
            <w:tcW w:w="1037"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283"/>
        </w:trPr>
        <w:tc>
          <w:tcPr>
            <w:tcBorders>
              <w:top w:val="single" w:color="auto" w:sz="4" w:space="0"/>
              <w:left w:val="single" w:color="auto" w:sz="4" w:space="0"/>
              <w:bottom w:val="single" w:color="auto" w:sz="4" w:space="0"/>
              <w:right w:val="single" w:color="auto" w:sz="4" w:space="0"/>
            </w:tcBorders>
            <w:tcW w:w="178"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eastAsiaTheme="minorEastAsia"/>
              </w:rPr>
            </w:pPr>
            <w:r>
              <w:rPr>
                <w:rFonts w:eastAsiaTheme="minorEastAsia"/>
              </w:rPr>
              <w:t xml:space="preserve">真空计1</w:t>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widowControl/>
              <w:rPr>
                <w:rFonts w:eastAsiaTheme="minorEastAsia"/>
                <w:bCs/>
                <w:szCs w:val="21"/>
              </w:rPr>
            </w:pPr>
            <w:r>
              <w:rPr>
                <w:rFonts w:eastAsiaTheme="minorEastAsia"/>
                <w:bCs/>
                <w:szCs w:val="21"/>
              </w:rPr>
              <w:t xml:space="preserve">5</w:t>
            </w:r>
            <w:r/>
          </w:p>
        </w:tc>
        <w:tc>
          <w:tcPr>
            <w:tcBorders>
              <w:left w:val="single" w:color="auto" w:sz="4" w:space="0"/>
              <w:right w:val="single" w:color="auto" w:sz="4" w:space="0"/>
            </w:tcBorders>
            <w:tcW w:w="652"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01"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103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283"/>
        </w:trPr>
        <w:tc>
          <w:tcPr>
            <w:tcBorders>
              <w:top w:val="single" w:color="auto" w:sz="4" w:space="0"/>
              <w:left w:val="single" w:color="auto" w:sz="4" w:space="0"/>
              <w:bottom w:val="single" w:color="auto" w:sz="4" w:space="0"/>
              <w:right w:val="single" w:color="auto" w:sz="4" w:space="0"/>
            </w:tcBorders>
            <w:tcW w:w="178"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eastAsiaTheme="minorEastAsia"/>
                <w:color w:val="000000"/>
                <w:szCs w:val="21"/>
                <w:lang w:bidi="ar"/>
              </w:rPr>
            </w:pPr>
            <w:r>
              <w:rPr>
                <w:rFonts w:eastAsiaTheme="minorEastAsia"/>
              </w:rPr>
              <w:t xml:space="preserve">真空计2</w:t>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bottom w:val="single" w:color="auto" w:sz="4" w:space="0"/>
              <w:right w:val="single" w:color="auto" w:sz="4" w:space="0"/>
            </w:tcBorders>
            <w:tcW w:w="652"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bottom w:val="single" w:color="auto" w:sz="4" w:space="0"/>
              <w:right w:val="single" w:color="auto" w:sz="4" w:space="0"/>
            </w:tcBorders>
            <w:tcW w:w="201"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left w:val="single" w:color="auto" w:sz="4" w:space="0"/>
              <w:bottom w:val="single" w:color="auto" w:sz="4" w:space="0"/>
              <w:right w:val="single" w:color="auto" w:sz="4" w:space="0"/>
            </w:tcBorders>
            <w:tcW w:w="103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226"/>
        <w:rPr>
          <w:bCs/>
        </w:rPr>
      </w:pPr>
      <w:r/>
      <w:bookmarkStart w:id="27" w:name="_Toc231822727"/>
      <w:r>
        <w:t xml:space="preserve">二、申请人的资格要求：</w:t>
      </w:r>
      <w:bookmarkEnd w:id="20"/>
      <w:r/>
      <w:bookmarkEnd w:id="21"/>
      <w:r/>
      <w:bookmarkEnd w:id="22"/>
      <w:r/>
      <w:bookmarkEnd w:id="23"/>
      <w:r/>
      <w:bookmarkEnd w:id="24"/>
      <w:r/>
      <w:bookmarkEnd w:id="25"/>
      <w:r/>
      <w:bookmarkEnd w:id="27"/>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6)有依法缴纳税收的良好记录，提供所属时期为距开标时间六个月内任意一月份的税收完税证明等相关证明材料复印件加盖公章（提供材料须体现所属时期，依法免税的应提供相应文件说明）</w:t>
      </w:r>
      <w:bookmarkStart w:id="28" w:name="OLE_LINK10"/>
      <w:r>
        <w:rPr>
          <w:szCs w:val="21"/>
        </w:rPr>
        <w:t xml:space="preserve">；</w:t>
      </w:r>
      <w:bookmarkEnd w:id="28"/>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226"/>
        <w:rPr>
          <w:bCs/>
        </w:rPr>
      </w:pPr>
      <w:r/>
      <w:bookmarkStart w:id="29" w:name="_Toc231822728"/>
      <w:r/>
      <w:bookmarkStart w:id="30" w:name="_Toc6688"/>
      <w:r/>
      <w:bookmarkStart w:id="31" w:name="_Toc13065"/>
      <w:r>
        <w:t xml:space="preserve">三、获取招标文件</w:t>
      </w:r>
      <w:bookmarkEnd w:id="29"/>
      <w:r/>
      <w:bookmarkEnd w:id="30"/>
      <w:r/>
      <w:bookmarkEnd w:id="31"/>
      <w:r/>
      <w:r/>
    </w:p>
    <w:p>
      <w:pPr>
        <w:ind w:left="220" w:hanging="10"/>
        <w:spacing w:line="360" w:lineRule="auto"/>
        <w:rPr>
          <w:szCs w:val="21"/>
        </w:rPr>
      </w:pPr>
      <w:r>
        <w:rPr>
          <w:szCs w:val="21"/>
        </w:rPr>
        <w:t xml:space="preserve">1、时间：自招标公告发布之日起5个工作日，2026年0</w:t>
      </w:r>
      <w:r>
        <w:rPr>
          <w:rFonts w:hint="eastAsia"/>
          <w:szCs w:val="21"/>
        </w:rPr>
        <w:t xml:space="preserve">9</w:t>
      </w:r>
      <w:r>
        <w:rPr>
          <w:szCs w:val="21"/>
        </w:rPr>
        <w:t xml:space="preserve">月</w:t>
      </w:r>
      <w:r>
        <w:rPr>
          <w:rFonts w:hint="eastAsia"/>
          <w:szCs w:val="21"/>
          <w:lang w:val="en-US" w:eastAsia="zh-CN"/>
        </w:rPr>
        <w:t xml:space="preserve">04</w:t>
      </w:r>
      <w:r>
        <w:rPr>
          <w:szCs w:val="21"/>
        </w:rPr>
        <w:t xml:space="preserve">日起至2026年</w:t>
      </w:r>
      <w:r>
        <w:rPr>
          <w:rFonts w:hint="eastAsia"/>
          <w:szCs w:val="21"/>
        </w:rPr>
        <w:t xml:space="preserve">09</w:t>
      </w:r>
      <w:r>
        <w:rPr>
          <w:szCs w:val="21"/>
        </w:rPr>
        <w:t xml:space="preserve">月</w:t>
      </w:r>
      <w:r>
        <w:rPr>
          <w:rFonts w:hint="eastAsia"/>
          <w:szCs w:val="21"/>
          <w:lang w:val="en-US" w:eastAsia="zh-CN"/>
        </w:rPr>
        <w:t xml:space="preserve">11</w:t>
      </w:r>
      <w:r>
        <w:rPr>
          <w:szCs w:val="21"/>
        </w:rPr>
        <w:t xml:space="preserve">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w:t>
      </w:r>
      <w:r>
        <w:rPr>
          <w:rFonts w:hint="eastAsia"/>
          <w:szCs w:val="21"/>
        </w:rPr>
        <w:t xml:space="preserve">:</w:t>
      </w:r>
      <w:r>
        <w:rPr>
          <w:szCs w:val="21"/>
        </w:rPr>
        <w:t xml:space="preserve">//jszfcg.jsczt.cn/。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226"/>
        <w:rPr>
          <w:bCs/>
        </w:rPr>
      </w:pPr>
      <w:r/>
      <w:bookmarkStart w:id="32" w:name="_Toc29481"/>
      <w:r/>
      <w:bookmarkStart w:id="33" w:name="_Toc231822729"/>
      <w:r/>
      <w:bookmarkStart w:id="34" w:name="_Toc698"/>
      <w:r>
        <w:t xml:space="preserve">四、提交投标文件截止时间、开标时间和地点</w:t>
      </w:r>
      <w:bookmarkEnd w:id="32"/>
      <w:r/>
      <w:bookmarkEnd w:id="33"/>
      <w:r/>
      <w:bookmarkEnd w:id="34"/>
      <w:r/>
      <w:r/>
    </w:p>
    <w:p>
      <w:pPr>
        <w:pStyle w:val="1495"/>
        <w:rPr>
          <w:sz w:val="21"/>
        </w:rPr>
      </w:pPr>
      <w:r/>
      <w:bookmarkStart w:id="35" w:name="_Toc28359007"/>
      <w:r/>
      <w:bookmarkStart w:id="36" w:name="_Toc28359084"/>
      <w:r/>
      <w:bookmarkStart w:id="37" w:name="_Toc35393625"/>
      <w:r/>
      <w:bookmarkStart w:id="38" w:name="_Toc35393794"/>
      <w:r>
        <w:rPr>
          <w:sz w:val="21"/>
        </w:rPr>
        <w:t xml:space="preserve">1.投标截止时间：2026年0</w:t>
      </w:r>
      <w:r>
        <w:rPr>
          <w:rFonts w:hint="eastAsia"/>
          <w:sz w:val="21"/>
        </w:rPr>
        <w:t xml:space="preserve">9</w:t>
      </w:r>
      <w:r>
        <w:rPr>
          <w:sz w:val="21"/>
        </w:rPr>
        <w:t xml:space="preserve">月</w:t>
      </w:r>
      <w:r>
        <w:rPr>
          <w:rFonts w:hint="eastAsia"/>
          <w:sz w:val="21"/>
          <w:lang w:val="en-US" w:eastAsia="zh-CN"/>
        </w:rPr>
        <w:t xml:space="preserve">28</w:t>
      </w:r>
      <w:r>
        <w:rPr>
          <w:sz w:val="21"/>
        </w:rPr>
        <w:t xml:space="preserve">日09：30（北京时间）</w:t>
      </w:r>
      <w:r/>
    </w:p>
    <w:p>
      <w:pPr>
        <w:pStyle w:val="1495"/>
        <w:rPr>
          <w:sz w:val="21"/>
        </w:rPr>
      </w:pPr>
      <w:r>
        <w:rPr>
          <w:sz w:val="21"/>
        </w:rPr>
        <w:t xml:space="preserve">2.开标时间：2026年0</w:t>
      </w:r>
      <w:r>
        <w:rPr>
          <w:rFonts w:hint="eastAsia"/>
          <w:sz w:val="21"/>
        </w:rPr>
        <w:t xml:space="preserve">9</w:t>
      </w:r>
      <w:r>
        <w:rPr>
          <w:sz w:val="21"/>
        </w:rPr>
        <w:t xml:space="preserve">月</w:t>
      </w:r>
      <w:r>
        <w:rPr>
          <w:rFonts w:hint="eastAsia"/>
          <w:sz w:val="21"/>
          <w:lang w:val="en-US" w:eastAsia="zh-CN"/>
        </w:rPr>
        <w:t xml:space="preserve">28</w:t>
      </w:r>
      <w:r>
        <w:rPr>
          <w:sz w:val="21"/>
        </w:rPr>
        <w:t xml:space="preserve">日09：30（北京时间） </w:t>
      </w:r>
      <w:r/>
    </w:p>
    <w:p>
      <w:pPr>
        <w:pStyle w:val="1495"/>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226"/>
        <w:rPr>
          <w:bCs/>
        </w:rPr>
      </w:pPr>
      <w:r/>
      <w:bookmarkStart w:id="39" w:name="_Toc27623"/>
      <w:r/>
      <w:bookmarkStart w:id="40" w:name="_Toc32448"/>
      <w:r/>
      <w:bookmarkStart w:id="41" w:name="_Toc231822730"/>
      <w:r>
        <w:t xml:space="preserve">五、公告期限</w:t>
      </w:r>
      <w:bookmarkEnd w:id="35"/>
      <w:r/>
      <w:bookmarkEnd w:id="36"/>
      <w:r/>
      <w:bookmarkEnd w:id="37"/>
      <w:r/>
      <w:bookmarkEnd w:id="38"/>
      <w:r/>
      <w:bookmarkEnd w:id="39"/>
      <w:r/>
      <w:bookmarkEnd w:id="40"/>
      <w:r/>
      <w:bookmarkEnd w:id="41"/>
      <w:r/>
      <w:r/>
    </w:p>
    <w:p>
      <w:pPr>
        <w:ind w:left="210" w:firstLine="10"/>
        <w:spacing w:line="360" w:lineRule="auto"/>
        <w:rPr>
          <w:szCs w:val="21"/>
        </w:rPr>
      </w:pPr>
      <w:r>
        <w:rPr>
          <w:szCs w:val="21"/>
        </w:rPr>
        <w:t xml:space="preserve">自本公告发布之日起5个工作日。</w:t>
      </w:r>
      <w:r/>
    </w:p>
    <w:p>
      <w:pPr>
        <w:pStyle w:val="1226"/>
        <w:rPr>
          <w:bCs/>
        </w:rPr>
      </w:pPr>
      <w:r/>
      <w:bookmarkStart w:id="42" w:name="_Toc4129"/>
      <w:r/>
      <w:bookmarkStart w:id="43" w:name="_Toc231822731"/>
      <w:r/>
      <w:bookmarkStart w:id="44" w:name="_Toc35393626"/>
      <w:r/>
      <w:bookmarkStart w:id="45" w:name="_Toc27208"/>
      <w:r/>
      <w:bookmarkStart w:id="46" w:name="_Toc35393795"/>
      <w:r>
        <w:t xml:space="preserve">六、其他补充事宜</w:t>
      </w:r>
      <w:bookmarkEnd w:id="2"/>
      <w:r/>
      <w:bookmarkEnd w:id="42"/>
      <w:r/>
      <w:bookmarkEnd w:id="43"/>
      <w:r/>
      <w:bookmarkEnd w:id="44"/>
      <w:r/>
      <w:bookmarkEnd w:id="45"/>
      <w:r/>
      <w:bookmarkEnd w:id="46"/>
      <w:r/>
      <w:r/>
    </w:p>
    <w:p>
      <w:pPr>
        <w:pStyle w:val="1493"/>
        <w:spacing w:line="360" w:lineRule="auto"/>
        <w:rPr>
          <w:szCs w:val="21"/>
        </w:rPr>
      </w:pPr>
      <w:r>
        <w:rPr>
          <w:szCs w:val="21"/>
        </w:rPr>
        <w:t xml:space="preserve">1.本项目公告媒体：江苏政府采购网（http</w:t>
      </w:r>
      <w:r>
        <w:rPr>
          <w:rFonts w:hint="eastAsia"/>
          <w:szCs w:val="21"/>
        </w:rPr>
        <w:t xml:space="preserve">:</w:t>
      </w:r>
      <w:r>
        <w:rPr>
          <w:szCs w:val="21"/>
        </w:rPr>
        <w:t xml:space="preserve">//www.ccgp-jiangsu.gov.cn/）</w:t>
      </w:r>
      <w:r/>
    </w:p>
    <w:p>
      <w:pPr>
        <w:pStyle w:val="1493"/>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93"/>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p>
    <w:p>
      <w:pPr>
        <w:pStyle w:val="1493"/>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74"/>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226"/>
        <w:rPr>
          <w:bCs/>
        </w:rPr>
      </w:pPr>
      <w:r/>
      <w:bookmarkStart w:id="47" w:name="_Toc231822732"/>
      <w:r>
        <w:t xml:space="preserve">七、对本次招标提出询问，请按以下方式联系。</w:t>
      </w:r>
      <w:bookmarkEnd w:id="47"/>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270"/>
        <w:ind w:left="214" w:hanging="6"/>
        <w:spacing w:before="0" w:beforeAutospacing="0" w:after="0" w:afterAutospacing="0" w:line="360" w:lineRule="auto"/>
        <w:rPr>
          <w:rFonts w:ascii="Times New Roman" w:hAnsi="Times New Roman" w:eastAsia="宋体"/>
          <w:color w:val="auto"/>
          <w:sz w:val="21"/>
          <w:szCs w:val="21"/>
        </w:rPr>
      </w:pPr>
      <w:r/>
      <w:bookmarkStart w:id="48" w:name="_Toc28359086"/>
      <w:r/>
      <w:bookmarkStart w:id="49" w:name="_Toc28359009"/>
      <w:r>
        <w:rPr>
          <w:rFonts w:ascii="Times New Roman" w:hAnsi="Times New Roman" w:eastAsia="宋体"/>
          <w:color w:val="auto"/>
          <w:sz w:val="21"/>
          <w:szCs w:val="21"/>
        </w:rPr>
        <w:t xml:space="preserve">地址：江苏省南京市鼓楼区草场门大街107号龙江大厦</w:t>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8"/>
      <w:r/>
      <w:bookmarkEnd w:id="49"/>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270"/>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联系人：杨惠</w:t>
      </w:r>
      <w:r/>
    </w:p>
    <w:p>
      <w:pPr>
        <w:ind w:left="218"/>
        <w:spacing w:line="360" w:lineRule="auto"/>
        <w:rPr>
          <w:szCs w:val="21"/>
        </w:rPr>
      </w:pPr>
      <w:r>
        <w:rPr>
          <w:szCs w:val="21"/>
        </w:rPr>
        <w:t xml:space="preserve">电　话：025-84531273</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联系人：杨惠</w:t>
      </w:r>
      <w:r/>
    </w:p>
    <w:p>
      <w:pPr>
        <w:ind w:left="218"/>
        <w:spacing w:line="360" w:lineRule="auto"/>
        <w:rPr>
          <w:szCs w:val="21"/>
        </w:rPr>
      </w:pPr>
      <w:r>
        <w:rPr>
          <w:szCs w:val="21"/>
        </w:rPr>
        <w:t xml:space="preserve">电　话：025-84531273</w:t>
      </w:r>
      <w:r/>
    </w:p>
    <w:p>
      <w:pPr>
        <w:jc w:val="center"/>
        <w:spacing w:line="360" w:lineRule="auto"/>
        <w:rPr>
          <w:b/>
          <w:color w:val="000000"/>
          <w:szCs w:val="21"/>
        </w:rPr>
        <w:outlineLvl w:val="0"/>
      </w:pPr>
      <w:r>
        <w:rPr>
          <w:color w:val="000000"/>
          <w:szCs w:val="21"/>
        </w:rPr>
        <w:br w:type="page" w:clear="all"/>
      </w:r>
      <w:bookmarkStart w:id="50" w:name="_Toc5585"/>
      <w:r/>
      <w:bookmarkStart w:id="51" w:name="_Toc28996"/>
      <w:r/>
      <w:bookmarkStart w:id="52" w:name="_Toc231822733"/>
      <w:r>
        <w:rPr>
          <w:b/>
          <w:color w:val="000000"/>
          <w:sz w:val="28"/>
          <w:szCs w:val="28"/>
        </w:rPr>
        <w:t xml:space="preserve">第二章 投标人须知</w:t>
      </w:r>
      <w:bookmarkEnd w:id="50"/>
      <w:r/>
      <w:bookmarkEnd w:id="51"/>
      <w:r/>
      <w:bookmarkEnd w:id="52"/>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2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27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27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27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27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27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spacing w:line="360" w:lineRule="auto"/>
              <w:rPr>
                <w:szCs w:val="21"/>
              </w:rPr>
            </w:pPr>
            <w:r>
              <w:rPr>
                <w:szCs w:val="21"/>
              </w:rPr>
              <w:t xml:space="preserve">联系地址：南京市长江路198号苏美达大厦6楼西</w:t>
            </w:r>
            <w:r/>
          </w:p>
          <w:p>
            <w:pPr>
              <w:spacing w:line="360" w:lineRule="auto"/>
              <w:rPr>
                <w:szCs w:val="21"/>
              </w:rPr>
            </w:pPr>
            <w:r>
              <w:rPr>
                <w:szCs w:val="21"/>
              </w:rPr>
              <w:t xml:space="preserve">联系人：杨惠</w:t>
            </w:r>
            <w:r/>
          </w:p>
          <w:p>
            <w:pPr>
              <w:spacing w:line="360" w:lineRule="auto"/>
              <w:rPr>
                <w:szCs w:val="21"/>
              </w:rPr>
            </w:pPr>
            <w:r>
              <w:rPr>
                <w:szCs w:val="21"/>
              </w:rPr>
              <w:t xml:space="preserve">电　话：025-84531273</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w:t>
            </w:r>
            <w:r>
              <w:rPr>
                <w:rFonts w:hint="eastAsia"/>
                <w:color w:val="000000"/>
                <w:szCs w:val="21"/>
              </w:rPr>
              <w:t xml:space="preserve">手持式热偶真空计等3项设备</w:t>
            </w:r>
            <w:r>
              <w:rPr>
                <w:color w:val="000000"/>
                <w:szCs w:val="21"/>
              </w:rPr>
              <w:t xml:space="preserve"> </w:t>
            </w:r>
            <w:r/>
          </w:p>
          <w:p>
            <w:pPr>
              <w:spacing w:line="360" w:lineRule="auto"/>
              <w:shd w:val="clear" w:color="auto" w:fill="ffffff"/>
              <w:widowControl/>
              <w:rPr>
                <w:b/>
                <w:color w:val="000000"/>
                <w:szCs w:val="21"/>
              </w:rPr>
            </w:pPr>
            <w:r>
              <w:rPr>
                <w:color w:val="000000"/>
                <w:szCs w:val="21"/>
              </w:rPr>
              <w:t xml:space="preserve">采购编号：</w:t>
            </w:r>
            <w:r>
              <w:rPr>
                <w:rFonts w:hint="eastAsia"/>
                <w:color w:val="000000"/>
                <w:szCs w:val="21"/>
              </w:rPr>
              <w:t xml:space="preserve">4297-2641SUMEC310</w:t>
            </w:r>
            <w:r>
              <w:rPr>
                <w:color w:val="000000"/>
                <w:szCs w:val="21"/>
              </w:rPr>
              <w:t xml:space="preserve">（公告编号：</w:t>
            </w:r>
            <w:r>
              <w:rPr>
                <w:rFonts w:hint="eastAsia"/>
                <w:szCs w:val="21"/>
              </w:rPr>
              <w:t xml:space="preserve">JSZC-320000-JSSB-G2026-0006</w:t>
            </w:r>
            <w:r>
              <w:rPr>
                <w:color w:val="000000"/>
                <w:szCs w:val="21"/>
              </w:rPr>
              <w:t xml:space="preserve">）</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270"/>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投标文件接收截止时间：2026年0</w:t>
            </w:r>
            <w:r>
              <w:rPr>
                <w:rFonts w:hint="eastAsia" w:ascii="Times New Roman" w:hAnsi="Times New Roman" w:eastAsia="宋体"/>
                <w:color w:val="auto"/>
                <w:sz w:val="21"/>
                <w:szCs w:val="21"/>
              </w:rPr>
              <w:t xml:space="preserve">9</w:t>
            </w:r>
            <w:r>
              <w:rPr>
                <w:rFonts w:ascii="Times New Roman" w:hAnsi="Times New Roman" w:eastAsia="宋体"/>
                <w:color w:val="auto"/>
                <w:sz w:val="21"/>
                <w:szCs w:val="21"/>
              </w:rPr>
              <w:t xml:space="preserve">月</w:t>
            </w:r>
            <w:r>
              <w:rPr>
                <w:rFonts w:hint="eastAsia" w:ascii="Times New Roman" w:hAnsi="Times New Roman" w:eastAsia="宋体"/>
                <w:color w:val="auto"/>
                <w:sz w:val="21"/>
                <w:szCs w:val="21"/>
                <w:lang w:val="en-US" w:eastAsia="zh-CN"/>
              </w:rPr>
              <w:t xml:space="preserve">28</w:t>
            </w:r>
            <w:r>
              <w:rPr>
                <w:rFonts w:ascii="Times New Roman" w:hAnsi="Times New Roman" w:eastAsia="宋体"/>
                <w:color w:val="auto"/>
                <w:sz w:val="21"/>
                <w:szCs w:val="21"/>
              </w:rPr>
              <w:t xml:space="preserve">日09点30分（北京时间）</w:t>
            </w:r>
            <w:r/>
          </w:p>
          <w:p>
            <w:pPr>
              <w:jc w:val="left"/>
              <w:spacing w:line="360" w:lineRule="auto"/>
              <w:rPr>
                <w:color w:val="000000"/>
                <w:szCs w:val="21"/>
              </w:rPr>
            </w:pPr>
            <w:r>
              <w:rPr>
                <w:color w:val="000000"/>
                <w:szCs w:val="21"/>
              </w:rPr>
              <w:t xml:space="preserve">开标时间：同投标文件接收截止时间</w:t>
            </w:r>
            <w:r/>
          </w:p>
          <w:p>
            <w:pPr>
              <w:pStyle w:val="1435"/>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计量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Cs w:val="21"/>
        </w:rPr>
      </w:pPr>
      <w:r/>
      <w:bookmarkStart w:id="53" w:name="_Toc231822734"/>
      <w:r>
        <w:rPr>
          <w:b/>
          <w:bCs/>
          <w:szCs w:val="21"/>
        </w:rPr>
        <w:br w:type="page" w:clear="all"/>
      </w:r>
      <w:r/>
    </w:p>
    <w:p>
      <w:pPr>
        <w:spacing w:line="360" w:lineRule="auto"/>
        <w:shd w:val="clear" w:color="auto" w:fill="ffffff"/>
        <w:widowControl/>
        <w:rPr>
          <w:b/>
          <w:bCs/>
          <w:szCs w:val="21"/>
        </w:rPr>
        <w:outlineLvl w:val="1"/>
      </w:pPr>
      <w:r>
        <w:rPr>
          <w:b/>
          <w:bCs/>
          <w:szCs w:val="21"/>
        </w:rPr>
        <w:t xml:space="preserve">一、总则</w:t>
      </w:r>
      <w:bookmarkEnd w:id="53"/>
      <w:r/>
      <w:r/>
    </w:p>
    <w:p>
      <w:pPr>
        <w:ind w:firstLine="420"/>
        <w:spacing w:line="360" w:lineRule="auto"/>
        <w:rPr>
          <w:b/>
          <w:szCs w:val="21"/>
          <w:lang w:val="zh-CN"/>
        </w:rPr>
      </w:pPr>
      <w:r/>
      <w:bookmarkStart w:id="54" w:name="_Toc231820594"/>
      <w:r>
        <w:rPr>
          <w:b/>
          <w:bCs/>
          <w:szCs w:val="21"/>
          <w:lang w:val="zh-CN"/>
        </w:rPr>
        <w:t xml:space="preserve">1.</w:t>
      </w:r>
      <w:r>
        <w:rPr>
          <w:b/>
          <w:szCs w:val="21"/>
          <w:lang w:val="zh-CN"/>
        </w:rPr>
        <w:t xml:space="preserve">适用法律</w:t>
      </w:r>
      <w:bookmarkEnd w:id="54"/>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5" w:name="_Toc231820595"/>
      <w:r>
        <w:rPr>
          <w:b/>
          <w:bCs/>
          <w:szCs w:val="21"/>
          <w:lang w:val="zh-CN"/>
        </w:rPr>
        <w:t xml:space="preserve">2.</w:t>
      </w:r>
      <w:r>
        <w:rPr>
          <w:b/>
          <w:szCs w:val="21"/>
          <w:lang w:val="zh-CN"/>
        </w:rPr>
        <w:t xml:space="preserve">定义</w:t>
      </w:r>
      <w:bookmarkEnd w:id="55"/>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6" w:name="_Toc231820596"/>
      <w:r>
        <w:rPr>
          <w:b/>
          <w:bCs/>
          <w:szCs w:val="21"/>
          <w:lang w:val="zh-CN"/>
        </w:rPr>
        <w:t xml:space="preserve">3.</w:t>
      </w:r>
      <w:r>
        <w:rPr>
          <w:b/>
          <w:szCs w:val="21"/>
          <w:lang w:val="zh-CN"/>
        </w:rPr>
        <w:t xml:space="preserve">政策功能</w:t>
      </w:r>
      <w:bookmarkEnd w:id="56"/>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7"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7"/>
      <w:r/>
      <w:r/>
    </w:p>
    <w:p>
      <w:pPr>
        <w:ind w:firstLine="420"/>
        <w:spacing w:line="360" w:lineRule="auto"/>
        <w:rPr>
          <w:b/>
          <w:szCs w:val="21"/>
          <w:lang w:val="zh-CN"/>
        </w:rPr>
      </w:pPr>
      <w:r/>
      <w:bookmarkStart w:id="58" w:name="_Toc231820598"/>
      <w:r>
        <w:rPr>
          <w:b/>
          <w:bCs/>
          <w:szCs w:val="21"/>
          <w:lang w:val="zh-CN"/>
        </w:rPr>
        <w:t xml:space="preserve">4.</w:t>
      </w:r>
      <w:r>
        <w:rPr>
          <w:b/>
          <w:szCs w:val="21"/>
          <w:lang w:val="zh-CN"/>
        </w:rPr>
        <w:t xml:space="preserve">投标费用</w:t>
      </w:r>
      <w:bookmarkEnd w:id="58"/>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59" w:name="_Toc231820599"/>
      <w:r>
        <w:rPr>
          <w:b/>
          <w:bCs/>
          <w:szCs w:val="21"/>
          <w:lang w:val="zh-CN"/>
        </w:rPr>
        <w:t xml:space="preserve">5.</w:t>
      </w:r>
      <w:r>
        <w:rPr>
          <w:b/>
          <w:szCs w:val="21"/>
          <w:lang w:val="zh-CN"/>
        </w:rPr>
        <w:t xml:space="preserve">招标文件的约束力</w:t>
      </w:r>
      <w:bookmarkEnd w:id="59"/>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60" w:name="_Toc231822735"/>
      <w:r>
        <w:rPr>
          <w:b/>
          <w:bCs/>
          <w:szCs w:val="21"/>
        </w:rPr>
        <w:t xml:space="preserve">二、招标文件</w:t>
      </w:r>
      <w:bookmarkEnd w:id="60"/>
      <w:r/>
      <w:r/>
    </w:p>
    <w:p>
      <w:pPr>
        <w:ind w:firstLine="420"/>
        <w:spacing w:line="360" w:lineRule="auto"/>
        <w:rPr>
          <w:b/>
          <w:szCs w:val="21"/>
          <w:lang w:val="zh-CN"/>
        </w:rPr>
      </w:pPr>
      <w:r/>
      <w:bookmarkStart w:id="61" w:name="_Toc231820601"/>
      <w:r>
        <w:rPr>
          <w:b/>
          <w:bCs/>
          <w:szCs w:val="21"/>
          <w:lang w:val="zh-CN"/>
        </w:rPr>
        <w:t xml:space="preserve">6.</w:t>
      </w:r>
      <w:r>
        <w:rPr>
          <w:b/>
          <w:szCs w:val="21"/>
          <w:lang w:val="zh-CN"/>
        </w:rPr>
        <w:t xml:space="preserve">招标文件构成</w:t>
      </w:r>
      <w:bookmarkEnd w:id="61"/>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2" w:name="_Toc231820602"/>
      <w:r>
        <w:rPr>
          <w:b/>
          <w:szCs w:val="21"/>
          <w:lang w:val="zh-CN"/>
        </w:rPr>
        <w:t xml:space="preserve">7.招标文件的澄清、补充或修改</w:t>
      </w:r>
      <w:bookmarkEnd w:id="62"/>
      <w:r/>
      <w:r/>
    </w:p>
    <w:p>
      <w:pPr>
        <w:ind w:firstLine="441"/>
        <w:spacing w:line="360" w:lineRule="auto"/>
        <w:rPr>
          <w:szCs w:val="21"/>
        </w:rPr>
      </w:pPr>
      <w:r>
        <w:rPr>
          <w:szCs w:val="21"/>
        </w:rPr>
        <w:t xml:space="preserve">7.1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3" w:name="_Toc231822736"/>
      <w:r>
        <w:rPr>
          <w:b/>
          <w:bCs/>
          <w:szCs w:val="21"/>
        </w:rPr>
        <w:t xml:space="preserve">三、投标文件的编制</w:t>
      </w:r>
      <w:bookmarkEnd w:id="63"/>
      <w:r/>
      <w:r/>
    </w:p>
    <w:p>
      <w:pPr>
        <w:ind w:firstLine="420"/>
        <w:spacing w:line="360" w:lineRule="auto"/>
        <w:rPr>
          <w:b/>
          <w:szCs w:val="21"/>
          <w:lang w:val="zh-CN"/>
        </w:rPr>
      </w:pPr>
      <w:r/>
      <w:bookmarkStart w:id="64" w:name="_Toc231820604"/>
      <w:r>
        <w:rPr>
          <w:b/>
          <w:szCs w:val="21"/>
          <w:lang w:val="zh-CN"/>
        </w:rPr>
        <w:t xml:space="preserve">8.投标文件的语言、计量单位、货币</w:t>
      </w:r>
      <w:bookmarkEnd w:id="64"/>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5" w:name="_Toc231820605"/>
      <w:r>
        <w:rPr>
          <w:b/>
          <w:szCs w:val="21"/>
          <w:lang w:val="zh-CN"/>
        </w:rPr>
        <w:t xml:space="preserve">9.联合体（根据采购项目是否接受联合体投标而定）</w:t>
      </w:r>
      <w:bookmarkEnd w:id="65"/>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6" w:name="_Toc231820606"/>
      <w:r>
        <w:rPr>
          <w:b/>
          <w:szCs w:val="21"/>
          <w:lang w:val="zh-CN"/>
        </w:rPr>
        <w:t xml:space="preserve">10.投标文件的组成（相应内容上传至投标客户端，并签电子公章）</w:t>
      </w:r>
      <w:bookmarkEnd w:id="66"/>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7"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7"/>
      <w:r/>
      <w:r/>
    </w:p>
    <w:p>
      <w:pPr>
        <w:ind w:firstLine="420"/>
        <w:spacing w:line="360" w:lineRule="auto"/>
        <w:rPr>
          <w:b/>
          <w:szCs w:val="21"/>
          <w:lang w:val="zh-CN"/>
        </w:rPr>
      </w:pPr>
      <w:r/>
      <w:bookmarkStart w:id="68" w:name="_Toc231820608"/>
      <w:r>
        <w:rPr>
          <w:b/>
          <w:szCs w:val="21"/>
          <w:lang w:val="zh-CN"/>
        </w:rPr>
        <w:t xml:space="preserve">11.投标文件的有效期</w:t>
      </w:r>
      <w:bookmarkEnd w:id="68"/>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69" w:name="_Toc231820609"/>
      <w:r>
        <w:rPr>
          <w:b/>
          <w:szCs w:val="21"/>
          <w:lang w:val="zh-CN"/>
        </w:rPr>
        <w:t xml:space="preserve">12.投标文件的签署及其形式</w:t>
      </w:r>
      <w:bookmarkEnd w:id="69"/>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0" w:name="_Toc231822737"/>
      <w:r>
        <w:rPr>
          <w:b/>
          <w:bCs/>
          <w:szCs w:val="21"/>
        </w:rPr>
        <w:t xml:space="preserve">四、投标文件的递交</w:t>
      </w:r>
      <w:bookmarkEnd w:id="70"/>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1" w:name="_Toc16938543"/>
      <w:r/>
      <w:bookmarkStart w:id="72" w:name="_Toc513029227"/>
      <w:r/>
      <w:bookmarkStart w:id="73" w:name="_Toc20823299"/>
      <w:r>
        <w:rPr>
          <w:b/>
          <w:bCs/>
          <w:color w:val="000000"/>
          <w:szCs w:val="21"/>
        </w:rPr>
        <w:t xml:space="preserve">15.投标文件</w:t>
      </w:r>
      <w:bookmarkEnd w:id="71"/>
      <w:r/>
      <w:bookmarkEnd w:id="72"/>
      <w:r/>
      <w:bookmarkEnd w:id="73"/>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4" w:name="_Toc16938544"/>
      <w:r/>
      <w:bookmarkStart w:id="75" w:name="_Toc20823300"/>
      <w:r/>
      <w:bookmarkStart w:id="76" w:name="_Toc513029228"/>
      <w:r>
        <w:rPr>
          <w:b/>
          <w:bCs/>
          <w:color w:val="000000"/>
          <w:szCs w:val="21"/>
        </w:rPr>
        <w:t xml:space="preserve">16.投标文件的撤回和修改</w:t>
      </w:r>
      <w:bookmarkEnd w:id="74"/>
      <w:r/>
      <w:bookmarkEnd w:id="75"/>
      <w:r/>
      <w:bookmarkEnd w:id="76"/>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7" w:name="_Toc231820611"/>
      <w:r>
        <w:rPr>
          <w:color w:val="000000"/>
          <w:szCs w:val="21"/>
        </w:rPr>
        <w:t xml:space="preserve">16.3 在投标截止时间至招标文件中规定的投标有效期满之间的这段时间内，投标人不得撤回其投标。</w:t>
      </w:r>
      <w:bookmarkEnd w:id="77"/>
      <w:r/>
      <w:r/>
    </w:p>
    <w:p>
      <w:pPr>
        <w:ind w:firstLine="422"/>
        <w:spacing w:line="360" w:lineRule="auto"/>
        <w:shd w:val="clear" w:color="auto" w:fill="ffffff"/>
        <w:widowControl/>
        <w:rPr>
          <w:b/>
          <w:bCs/>
          <w:szCs w:val="21"/>
        </w:rPr>
        <w:outlineLvl w:val="1"/>
      </w:pPr>
      <w:r/>
      <w:bookmarkStart w:id="78" w:name="_Toc231822738"/>
      <w:r>
        <w:rPr>
          <w:b/>
          <w:bCs/>
          <w:szCs w:val="21"/>
        </w:rPr>
        <w:t xml:space="preserve">五、开标与评标</w:t>
      </w:r>
      <w:bookmarkEnd w:id="78"/>
      <w:r/>
      <w:r/>
    </w:p>
    <w:p>
      <w:pPr>
        <w:ind w:firstLine="422"/>
        <w:spacing w:line="360" w:lineRule="auto"/>
        <w:rPr>
          <w:b/>
          <w:szCs w:val="21"/>
        </w:rPr>
      </w:pPr>
      <w:r/>
      <w:bookmarkStart w:id="79" w:name="_Toc231820613"/>
      <w:r>
        <w:rPr>
          <w:b/>
          <w:szCs w:val="21"/>
        </w:rPr>
        <w:t xml:space="preserve">17.开标</w:t>
      </w:r>
      <w:bookmarkEnd w:id="79"/>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80" w:name="_Toc16288"/>
      <w:r>
        <w:rPr>
          <w:bCs/>
          <w:szCs w:val="21"/>
        </w:rPr>
        <w:t xml:space="preserve">19.3 对投标文件的符合性审查</w:t>
      </w:r>
      <w:bookmarkEnd w:id="80"/>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1" w:name="_Toc231820614"/>
      <w:r>
        <w:rPr>
          <w:b/>
          <w:szCs w:val="21"/>
        </w:rPr>
        <w:t xml:space="preserve">20.投标文件的澄清</w:t>
      </w:r>
      <w:bookmarkEnd w:id="81"/>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2" w:name="_Toc231820615"/>
      <w:r>
        <w:rPr>
          <w:b/>
          <w:szCs w:val="21"/>
        </w:rPr>
        <w:t xml:space="preserve">21.对投标文件的详细评审</w:t>
      </w:r>
      <w:bookmarkEnd w:id="82"/>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3" w:name="_Toc231820616"/>
      <w:r>
        <w:rPr>
          <w:b/>
          <w:szCs w:val="21"/>
        </w:rPr>
        <w:t xml:space="preserve">22.评标过程的保密与公正</w:t>
      </w:r>
      <w:bookmarkEnd w:id="83"/>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4" w:name="_Toc231820617"/>
      <w:r>
        <w:rPr>
          <w:b/>
          <w:szCs w:val="21"/>
        </w:rPr>
        <w:t xml:space="preserve">23.无效投标条款和废标条款</w:t>
      </w:r>
      <w:bookmarkEnd w:id="84"/>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5" w:name="_Toc231820618"/>
      <w:r>
        <w:rPr>
          <w:b/>
          <w:szCs w:val="21"/>
        </w:rPr>
        <w:t xml:space="preserve">24.投标截止时间结束参加投标的供应商不足三家的处理</w:t>
      </w:r>
      <w:bookmarkEnd w:id="85"/>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6" w:name="_Toc231822739"/>
      <w:r>
        <w:rPr>
          <w:b/>
          <w:bCs/>
          <w:szCs w:val="21"/>
        </w:rPr>
        <w:t xml:space="preserve">六、授标</w:t>
      </w:r>
      <w:bookmarkEnd w:id="86"/>
      <w:r/>
      <w:r/>
    </w:p>
    <w:p>
      <w:pPr>
        <w:ind w:firstLine="422"/>
        <w:spacing w:line="360" w:lineRule="auto"/>
        <w:rPr>
          <w:b/>
          <w:szCs w:val="21"/>
        </w:rPr>
      </w:pPr>
      <w:r/>
      <w:bookmarkStart w:id="87" w:name="_Toc231820620"/>
      <w:r>
        <w:rPr>
          <w:b/>
          <w:szCs w:val="21"/>
        </w:rPr>
        <w:t xml:space="preserve">25.确定中标供应商</w:t>
      </w:r>
      <w:bookmarkEnd w:id="87"/>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8" w:name="_Toc231820621"/>
      <w:r>
        <w:rPr>
          <w:b/>
          <w:szCs w:val="21"/>
        </w:rPr>
        <w:t xml:space="preserve">26.中标的通知</w:t>
      </w:r>
      <w:bookmarkEnd w:id="88"/>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89" w:name="_Toc231820622"/>
      <w:r>
        <w:rPr>
          <w:b/>
          <w:szCs w:val="21"/>
        </w:rPr>
        <w:t xml:space="preserve">27.签订合同</w:t>
      </w:r>
      <w:bookmarkEnd w:id="89"/>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0" w:name="第三章_评标标准"/>
      <w:r/>
      <w:bookmarkEnd w:id="90"/>
      <w:r/>
      <w:bookmarkStart w:id="91" w:name="_bookmark2"/>
      <w:r/>
      <w:bookmarkEnd w:id="91"/>
      <w:r/>
      <w:bookmarkStart w:id="92" w:name="_Toc231820623"/>
      <w:r/>
      <w:bookmarkStart w:id="93" w:name="_Toc12982"/>
      <w:r>
        <w:rPr>
          <w:b/>
          <w:szCs w:val="21"/>
        </w:rPr>
        <w:t xml:space="preserve">28.招标代理服务费</w:t>
      </w:r>
      <w:bookmarkEnd w:id="92"/>
      <w:r/>
      <w:bookmarkEnd w:id="93"/>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根据《政府采购代理机构管理暂行办法》(财库(2018)2号)第十五条及《关于进一步规范政府采购活动相关费用管理的通知》(苏财规(2026)1号)相关规定，中标供应商在领取中标通知书时须按下表的</w:t>
      </w:r>
      <w:r>
        <w:rPr>
          <w:b/>
          <w:szCs w:val="21"/>
        </w:rPr>
        <w:t xml:space="preserve">收费标准，</w:t>
      </w:r>
      <w:r>
        <w:rPr>
          <w:bCs/>
          <w:szCs w:val="21"/>
        </w:rPr>
        <w:t xml:space="preserve">向采购代理机构交付每包的招标代理服务费</w:t>
      </w:r>
      <w:r>
        <w:rPr>
          <w:b/>
          <w:szCs w:val="21"/>
        </w:rPr>
        <w:t xml:space="preserve">（每包最低收费 3000元整）</w:t>
      </w:r>
      <w:r>
        <w:rPr>
          <w:bCs/>
          <w:szCs w:val="21"/>
        </w:rPr>
        <w:t xml:space="preserve">，招标代理服务费一次付清。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235"/>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jc w:val="center"/>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4" w:name="_Toc231822740"/>
      <w:r>
        <w:rPr>
          <w:b/>
          <w:bCs/>
          <w:szCs w:val="21"/>
        </w:rPr>
        <w:t xml:space="preserve">七、质疑</w:t>
      </w:r>
      <w:bookmarkEnd w:id="94"/>
      <w:r/>
      <w:r/>
    </w:p>
    <w:p>
      <w:pPr>
        <w:ind w:firstLine="422"/>
        <w:spacing w:line="360" w:lineRule="auto"/>
        <w:rPr>
          <w:b/>
          <w:szCs w:val="21"/>
        </w:rPr>
      </w:pPr>
      <w:r/>
      <w:bookmarkStart w:id="95" w:name="_Toc231820625"/>
      <w:r>
        <w:rPr>
          <w:b/>
          <w:szCs w:val="21"/>
        </w:rPr>
        <w:t xml:space="preserve">29、质疑</w:t>
      </w:r>
      <w:bookmarkEnd w:id="95"/>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6" w:name="_Toc231822741"/>
      <w:r>
        <w:rPr>
          <w:b/>
          <w:sz w:val="28"/>
          <w:szCs w:val="28"/>
        </w:rPr>
        <w:t xml:space="preserve">第三章 评标标准</w:t>
      </w:r>
      <w:bookmarkEnd w:id="96"/>
      <w:r/>
      <w:bookmarkStart w:id="97" w:name="_Toc189726853"/>
      <w:r/>
      <w:bookmarkEnd w:id="97"/>
      <w:r/>
      <w:bookmarkStart w:id="98" w:name="_Toc163629751"/>
      <w:r/>
      <w:bookmarkEnd w:id="98"/>
      <w:r/>
      <w:bookmarkStart w:id="99" w:name="_Toc25032666"/>
      <w:r/>
      <w:bookmarkEnd w:id="99"/>
      <w:r/>
      <w:bookmarkStart w:id="100" w:name="_Toc521839351"/>
      <w:r/>
      <w:bookmarkEnd w:id="100"/>
      <w:r/>
      <w:bookmarkStart w:id="101" w:name="_Hlk297273538"/>
      <w:r/>
      <w:bookmarkEnd w:id="101"/>
      <w:r/>
      <w:bookmarkStart w:id="102" w:name="_Toc142623417"/>
      <w:r/>
      <w:bookmarkEnd w:id="102"/>
      <w:r/>
      <w:bookmarkStart w:id="103" w:name="_Toc522347554"/>
      <w:r/>
      <w:bookmarkEnd w:id="103"/>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总分值为100分，小数点后保留两位。评审后得分由高到低顺序排列，得分相同的，按投标报价由低到高顺序排列，得分且投标报价相同的，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235"/>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以投标人（或所投品牌制造商）提供的2023年7月份以来（以合同签订时间为准）同类产品</w:t>
            </w:r>
            <w:r>
              <w:rPr>
                <w:rFonts w:hint="eastAsia"/>
              </w:rPr>
              <w:t xml:space="preserve">（至少包含核心产品）</w:t>
            </w:r>
            <w:r>
              <w:t xml:space="preserve">业绩证明材料（提供合同复印件及对应的发票并加盖公章，原件备查）为准，每提供1份得2分，最高得10分。（未提供或提供的评委不认可的，得0分）。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911"/>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评委综合评分：价格清单详细和折扣率高的，得2分；价格清单提供和折扣率一般的，得1分；提供不完整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rFonts w:hint="eastAsia"/>
          <w:b/>
          <w:bCs/>
          <w:color w:val="000000"/>
          <w:szCs w:val="21"/>
        </w:rPr>
      </w:pPr>
      <w:r>
        <w:rPr>
          <w:rFonts w:hint="eastAsia"/>
          <w:b/>
          <w:bCs/>
          <w:color w:val="000000"/>
          <w:szCs w:val="21"/>
        </w:rPr>
      </w:r>
      <w:r/>
    </w:p>
    <w:p>
      <w:pPr>
        <w:jc w:val="center"/>
        <w:spacing w:line="360" w:lineRule="auto"/>
        <w:shd w:val="clear" w:color="auto" w:fill="ffffff"/>
        <w:widowControl/>
        <w:rPr>
          <w:b/>
          <w:sz w:val="28"/>
          <w:szCs w:val="28"/>
        </w:rPr>
        <w:outlineLvl w:val="0"/>
      </w:pPr>
      <w:r/>
      <w:bookmarkStart w:id="104" w:name="_Toc231822742"/>
      <w:r>
        <w:rPr>
          <w:b/>
          <w:sz w:val="28"/>
          <w:szCs w:val="28"/>
        </w:rPr>
        <w:t xml:space="preserve">第四章 招标技术规格及要求</w:t>
      </w:r>
      <w:bookmarkEnd w:id="104"/>
      <w:r/>
      <w:r/>
    </w:p>
    <w:p>
      <w:pPr>
        <w:pStyle w:val="1486"/>
        <w:numPr>
          <w:ilvl w:val="0"/>
          <w:numId w:val="2"/>
        </w:numPr>
        <w:spacing w:line="360" w:lineRule="auto"/>
        <w:rPr>
          <w:rFonts w:ascii="Times New Roman" w:hAnsi="Times New Roman" w:cs="Times New Roman"/>
          <w:color w:val="000000"/>
          <w:szCs w:val="21"/>
        </w:rPr>
      </w:pPr>
      <w:r>
        <w:rPr>
          <w:rFonts w:ascii="Times New Roman" w:hAnsi="Times New Roman" w:cs="Times New Roman"/>
          <w:b/>
          <w:bCs/>
          <w:color w:val="000000"/>
          <w:szCs w:val="21"/>
        </w:rPr>
        <w:t xml:space="preserve">采购清单</w:t>
      </w:r>
      <w:r/>
    </w:p>
    <w:tbl>
      <w:tblPr>
        <w:tblStyle w:val="1235"/>
        <w:tblpPr w:horzAnchor="page" w:tblpX="824" w:vertAnchor="text" w:tblpY="19" w:leftFromText="180" w:topFromText="0" w:rightFromText="180" w:bottomFromText="0"/>
        <w:tblW w:w="5144" w:type="pct"/>
        <w:tblInd w:w="0" w:type="dxa"/>
        <w:tblLayout w:type="fixed"/>
        <w:tblCellMar>
          <w:left w:w="108" w:type="dxa"/>
          <w:top w:w="0" w:type="dxa"/>
          <w:right w:w="108" w:type="dxa"/>
          <w:bottom w:w="0" w:type="dxa"/>
        </w:tblCellMar>
        <w:tblLook w:val="04A0" w:firstRow="1" w:lastRow="0" w:firstColumn="1" w:lastColumn="0" w:noHBand="0" w:noVBand="1"/>
      </w:tblPr>
      <w:tblGrid>
        <w:gridCol w:w="451"/>
        <w:gridCol w:w="2813"/>
        <w:gridCol w:w="1177"/>
        <w:gridCol w:w="1769"/>
        <w:gridCol w:w="2509"/>
        <w:gridCol w:w="1307"/>
      </w:tblGrid>
      <w:tr>
        <w:trPr>
          <w:trHeight w:val="727"/>
        </w:trPr>
        <w:tc>
          <w:tcPr>
            <w:tcBorders>
              <w:top w:val="single" w:color="auto" w:sz="4" w:space="0"/>
              <w:left w:val="single" w:color="auto" w:sz="4" w:space="0"/>
              <w:bottom w:val="single" w:color="auto" w:sz="4" w:space="0"/>
              <w:right w:val="single" w:color="auto" w:sz="4" w:space="0"/>
            </w:tcBorders>
            <w:tcW w:w="225" w:type="pct"/>
            <w:vAlign w:val="center"/>
            <w:textDirection w:val="lrTb"/>
            <w:noWrap w:val="false"/>
          </w:tcPr>
          <w:p>
            <w:pPr>
              <w:ind w:right="-107"/>
              <w:jc w:val="center"/>
              <w:tabs>
                <w:tab w:val="left" w:pos="4788" w:leader="none"/>
              </w:tabs>
              <w:rPr>
                <w:rFonts w:eastAsiaTheme="minorEastAsia"/>
                <w:bCs/>
                <w:szCs w:val="21"/>
              </w:rPr>
            </w:pPr>
            <w:r/>
            <w:bookmarkStart w:id="105" w:name="_Toc20052"/>
            <w:r/>
            <w:bookmarkStart w:id="106" w:name="_Toc15467"/>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40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413"/>
        </w:trPr>
        <w:tc>
          <w:tcPr>
            <w:tcBorders>
              <w:top w:val="single" w:color="auto" w:sz="4" w:space="0"/>
              <w:left w:val="single" w:color="auto" w:sz="4" w:space="0"/>
              <w:bottom w:val="single" w:color="auto" w:sz="4" w:space="0"/>
              <w:right w:val="single" w:color="auto" w:sz="4" w:space="0"/>
            </w:tcBorders>
            <w:tcW w:w="225"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402" w:type="pct"/>
            <w:vAlign w:val="center"/>
            <w:textDirection w:val="lrTb"/>
            <w:noWrap w:val="false"/>
          </w:tcPr>
          <w:p>
            <w:pPr>
              <w:jc w:val="center"/>
              <w:rPr>
                <w:rFonts w:eastAsiaTheme="minorEastAsia"/>
              </w:rPr>
            </w:pPr>
            <w:r>
              <w:rPr>
                <w:rFonts w:eastAsiaTheme="minorEastAsia"/>
              </w:rPr>
              <w:t xml:space="preserve">手持式热偶真空计</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widowControl/>
              <w:rPr>
                <w:rFonts w:eastAsiaTheme="minorEastAsia"/>
                <w:bCs/>
                <w:szCs w:val="21"/>
              </w:rPr>
            </w:pPr>
            <w:r>
              <w:rPr>
                <w:rFonts w:eastAsiaTheme="minorEastAsia"/>
                <w:bCs/>
                <w:szCs w:val="21"/>
              </w:rPr>
              <w:t xml:space="preserve">9</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widowControl/>
              <w:rPr>
                <w:rFonts w:eastAsiaTheme="minorEastAsia"/>
                <w:bCs/>
                <w:szCs w:val="21"/>
              </w:rPr>
            </w:pPr>
            <w:r>
              <w:rPr>
                <w:rFonts w:eastAsiaTheme="minorEastAsia"/>
                <w:bCs/>
                <w:szCs w:val="21"/>
              </w:rPr>
              <w:t xml:space="preserve">8.55</w:t>
            </w:r>
            <w:r/>
          </w:p>
        </w:tc>
        <w:tc>
          <w:tcPr>
            <w:tcBorders>
              <w:top w:val="single" w:color="auto" w:sz="4" w:space="0"/>
              <w:left w:val="single" w:color="auto" w:sz="4" w:space="0"/>
              <w:bottom w:val="single" w:color="auto" w:sz="4" w:space="0"/>
              <w:right w:val="single" w:color="auto" w:sz="4" w:space="0"/>
            </w:tcBorders>
            <w:tcW w:w="1250"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75"/>
        </w:trPr>
        <w:tc>
          <w:tcPr>
            <w:tcBorders>
              <w:top w:val="single" w:color="auto" w:sz="4" w:space="0"/>
              <w:left w:val="single" w:color="auto" w:sz="4" w:space="0"/>
              <w:bottom w:val="single" w:color="auto" w:sz="4" w:space="0"/>
              <w:right w:val="single" w:color="auto" w:sz="4" w:space="0"/>
            </w:tcBorders>
            <w:tcW w:w="225"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402" w:type="pct"/>
            <w:vAlign w:val="center"/>
            <w:textDirection w:val="lrTb"/>
            <w:noWrap w:val="false"/>
          </w:tcPr>
          <w:p>
            <w:pPr>
              <w:jc w:val="center"/>
              <w:rPr>
                <w:rFonts w:eastAsiaTheme="minorEastAsia"/>
              </w:rPr>
            </w:pPr>
            <w:r>
              <w:rPr>
                <w:rFonts w:eastAsiaTheme="minorEastAsia"/>
              </w:rPr>
              <w:t xml:space="preserve">真空计1</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widowControl/>
              <w:rPr>
                <w:rFonts w:eastAsiaTheme="minorEastAsia"/>
                <w:bCs/>
                <w:szCs w:val="21"/>
              </w:rPr>
            </w:pPr>
            <w:r>
              <w:rPr>
                <w:rFonts w:eastAsiaTheme="minorEastAsia"/>
                <w:bCs/>
                <w:szCs w:val="21"/>
              </w:rPr>
              <w:t xml:space="preserve">5</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widowControl/>
              <w:rPr>
                <w:rFonts w:eastAsiaTheme="minorEastAsia"/>
                <w:bCs/>
                <w:szCs w:val="21"/>
              </w:rPr>
            </w:pPr>
            <w:r>
              <w:rPr>
                <w:rFonts w:eastAsiaTheme="minorEastAsia"/>
                <w:bCs/>
                <w:szCs w:val="21"/>
              </w:rPr>
              <w:t xml:space="preserve">3.5</w:t>
            </w:r>
            <w:r/>
          </w:p>
        </w:tc>
        <w:tc>
          <w:tcPr>
            <w:tcBorders>
              <w:top w:val="single" w:color="auto" w:sz="4" w:space="0"/>
              <w:left w:val="single" w:color="auto" w:sz="4" w:space="0"/>
              <w:bottom w:val="single" w:color="auto" w:sz="4" w:space="0"/>
              <w:right w:val="single" w:color="auto" w:sz="4" w:space="0"/>
            </w:tcBorders>
            <w:tcW w:w="12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top w:val="single" w:color="auto" w:sz="4" w:space="0"/>
              <w:left w:val="single" w:color="auto" w:sz="4" w:space="0"/>
              <w:bottom w:val="single" w:color="auto" w:sz="4" w:space="0"/>
              <w:right w:val="single" w:color="auto" w:sz="4" w:space="0"/>
            </w:tcBorders>
            <w:tcW w:w="225"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402" w:type="pct"/>
            <w:vAlign w:val="center"/>
            <w:textDirection w:val="lrTb"/>
            <w:noWrap w:val="false"/>
          </w:tcPr>
          <w:p>
            <w:pPr>
              <w:jc w:val="center"/>
              <w:rPr>
                <w:rFonts w:eastAsiaTheme="minorEastAsia"/>
                <w:color w:val="000000"/>
                <w:szCs w:val="21"/>
                <w:lang w:bidi="ar"/>
              </w:rPr>
            </w:pPr>
            <w:r>
              <w:rPr>
                <w:rFonts w:eastAsiaTheme="minorEastAsia"/>
              </w:rPr>
              <w:t xml:space="preserve">真空计2</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12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jc w:val="left"/>
        <w:spacing w:line="360" w:lineRule="auto"/>
        <w:widowControl/>
        <w:rPr>
          <w:b/>
          <w:color w:val="000000"/>
          <w:szCs w:val="21"/>
        </w:rPr>
      </w:pPr>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tabs>
          <w:tab w:val="left" w:pos="312" w:leader="none"/>
        </w:tabs>
        <w:rPr>
          <w:b/>
          <w:color w:val="000000"/>
          <w:szCs w:val="21"/>
        </w:rPr>
      </w:pPr>
      <w:r>
        <w:rPr>
          <w:b/>
          <w:color w:val="000000"/>
          <w:szCs w:val="21"/>
        </w:rPr>
        <w:t xml:space="preserve">2.技术参数中提到的证明材料，均需投标人在投标文件中提供复印件并加盖公章，原件备查。</w:t>
      </w:r>
      <w:r/>
    </w:p>
    <w:p>
      <w:pPr>
        <w:spacing w:line="360" w:lineRule="auto"/>
        <w:rPr>
          <w:b/>
          <w:color w:val="000000"/>
          <w:szCs w:val="21"/>
        </w:rPr>
      </w:pPr>
      <w:r>
        <w:rPr>
          <w:b/>
          <w:color w:val="000000"/>
          <w:szCs w:val="21"/>
        </w:rPr>
      </w:r>
      <w:bookmarkEnd w:id="105"/>
      <w:r/>
      <w:bookmarkEnd w:id="106"/>
      <w:r/>
      <w:r/>
    </w:p>
    <w:p>
      <w:pPr>
        <w:jc w:val="center"/>
        <w:spacing w:line="360" w:lineRule="auto"/>
        <w:rPr>
          <w:b/>
          <w:bCs/>
          <w:szCs w:val="21"/>
        </w:rPr>
      </w:pPr>
      <w:r/>
      <w:bookmarkStart w:id="107" w:name="OLE_LINK3"/>
      <w:r>
        <w:rPr>
          <w:b/>
          <w:bCs/>
          <w:szCs w:val="21"/>
        </w:rPr>
        <w:t xml:space="preserve">品目一 手持式热偶真空计</w:t>
      </w:r>
      <w:r/>
    </w:p>
    <w:p>
      <w:pPr>
        <w:ind w:firstLine="210"/>
        <w:spacing w:line="360" w:lineRule="auto"/>
        <w:rPr>
          <w:rFonts w:eastAsiaTheme="minorEastAsia"/>
          <w:szCs w:val="21"/>
        </w:rPr>
      </w:pPr>
      <w:r>
        <w:rPr>
          <w:rFonts w:eastAsiaTheme="minorEastAsia"/>
          <w:szCs w:val="21"/>
        </w:rPr>
        <w:t xml:space="preserve">（一）、技术指标要求</w:t>
      </w:r>
      <w:r>
        <w:rPr>
          <w:rFonts w:eastAsiaTheme="minorEastAsia"/>
          <w:bCs/>
          <w:szCs w:val="21"/>
        </w:rPr>
        <w:t xml:space="preserve">：</w:t>
      </w:r>
      <w:r/>
    </w:p>
    <w:p>
      <w:pPr>
        <w:ind w:firstLine="210"/>
        <w:spacing w:line="360" w:lineRule="auto"/>
        <w:rPr>
          <w:rFonts w:eastAsiaTheme="minorEastAsia"/>
          <w:bCs/>
          <w:szCs w:val="21"/>
        </w:rPr>
      </w:pPr>
      <w:r>
        <w:rPr>
          <w:rFonts w:eastAsiaTheme="minorEastAsia"/>
          <w:szCs w:val="21"/>
        </w:rPr>
        <w:t xml:space="preserve">1、</w:t>
      </w:r>
      <w:r>
        <w:rPr>
          <w:rFonts w:eastAsiaTheme="minorEastAsia"/>
          <w:bCs/>
          <w:szCs w:val="21"/>
        </w:rPr>
        <w:t xml:space="preserve">测量范围：</w:t>
      </w:r>
      <w:r/>
    </w:p>
    <w:p>
      <w:pPr>
        <w:ind w:firstLine="210"/>
        <w:spacing w:line="360" w:lineRule="auto"/>
        <w:rPr>
          <w:rFonts w:eastAsiaTheme="minorEastAsia"/>
          <w:bCs/>
          <w:szCs w:val="21"/>
        </w:rPr>
      </w:pPr>
      <w:r>
        <w:rPr>
          <w:rFonts w:eastAsiaTheme="minorEastAsia"/>
          <w:bCs/>
          <w:szCs w:val="21"/>
        </w:rPr>
        <w:t xml:space="preserve">（1）ZJ-51（0.1～200）Pa；</w:t>
      </w:r>
      <w:r/>
    </w:p>
    <w:p>
      <w:pPr>
        <w:ind w:firstLine="210"/>
        <w:spacing w:line="360" w:lineRule="auto"/>
        <w:rPr>
          <w:rFonts w:eastAsiaTheme="minorEastAsia"/>
          <w:bCs/>
          <w:szCs w:val="21"/>
        </w:rPr>
      </w:pPr>
      <w:r>
        <w:rPr>
          <w:rFonts w:eastAsiaTheme="minorEastAsia"/>
          <w:bCs/>
          <w:szCs w:val="21"/>
        </w:rPr>
        <w:t xml:space="preserve">（2）ZJ-54D（0.1～2000）Pa；</w:t>
      </w:r>
      <w:r/>
    </w:p>
    <w:p>
      <w:pPr>
        <w:ind w:firstLine="210"/>
        <w:spacing w:line="360" w:lineRule="auto"/>
        <w:rPr>
          <w:rFonts w:eastAsiaTheme="minorEastAsia"/>
          <w:bCs/>
          <w:szCs w:val="21"/>
        </w:rPr>
      </w:pPr>
      <w:r>
        <w:rPr>
          <w:rFonts w:eastAsiaTheme="minorEastAsia"/>
          <w:bCs/>
          <w:szCs w:val="21"/>
        </w:rPr>
        <w:t xml:space="preserve">（3）DV-4(1.3～5000）Pa；</w:t>
      </w:r>
      <w:r/>
    </w:p>
    <w:p>
      <w:pPr>
        <w:ind w:firstLine="210"/>
        <w:spacing w:line="360" w:lineRule="auto"/>
        <w:rPr>
          <w:rFonts w:eastAsiaTheme="minorEastAsia"/>
          <w:bCs/>
          <w:szCs w:val="21"/>
        </w:rPr>
      </w:pPr>
      <w:r>
        <w:rPr>
          <w:rFonts w:eastAsiaTheme="minorEastAsia"/>
          <w:bCs/>
          <w:szCs w:val="21"/>
        </w:rPr>
        <w:t xml:space="preserve">（4）DV-5(0.013～18）Pa；</w:t>
      </w:r>
      <w:r/>
    </w:p>
    <w:p>
      <w:pPr>
        <w:ind w:firstLine="210"/>
        <w:spacing w:line="360" w:lineRule="auto"/>
        <w:rPr>
          <w:rFonts w:eastAsiaTheme="minorEastAsia"/>
          <w:bCs/>
          <w:szCs w:val="21"/>
        </w:rPr>
      </w:pPr>
      <w:r>
        <w:rPr>
          <w:rFonts w:eastAsiaTheme="minorEastAsia"/>
          <w:bCs/>
          <w:szCs w:val="21"/>
        </w:rPr>
        <w:t xml:space="preserve">（5）DV-6（0.13～200）Pa；</w:t>
      </w:r>
      <w:r/>
    </w:p>
    <w:p>
      <w:pPr>
        <w:ind w:firstLine="210"/>
        <w:spacing w:line="360" w:lineRule="auto"/>
        <w:rPr>
          <w:rFonts w:eastAsiaTheme="minorEastAsia"/>
          <w:bCs/>
          <w:szCs w:val="21"/>
        </w:rPr>
      </w:pPr>
      <w:r>
        <w:rPr>
          <w:rFonts w:eastAsiaTheme="minorEastAsia"/>
          <w:bCs/>
          <w:szCs w:val="21"/>
        </w:rPr>
        <w:t xml:space="preserve">（6）VG0系列(0.1～5000）Pa；</w:t>
      </w:r>
      <w:r/>
    </w:p>
    <w:p>
      <w:pPr>
        <w:ind w:firstLine="210"/>
        <w:spacing w:line="360" w:lineRule="auto"/>
        <w:rPr>
          <w:rFonts w:eastAsiaTheme="minorEastAsia"/>
          <w:szCs w:val="21"/>
        </w:rPr>
      </w:pPr>
      <w:r>
        <w:rPr>
          <w:rFonts w:ascii="Segoe UI Symbol" w:hAnsi="Segoe UI Symbol" w:cs="Segoe UI Symbol"/>
          <w:szCs w:val="21"/>
        </w:rPr>
        <w:t xml:space="preserve">★</w:t>
      </w:r>
      <w:r>
        <w:rPr>
          <w:rFonts w:eastAsiaTheme="minorEastAsia"/>
          <w:szCs w:val="21"/>
        </w:rPr>
        <w:t xml:space="preserve">2、</w:t>
      </w:r>
      <w:r>
        <w:rPr>
          <w:rFonts w:eastAsiaTheme="minorEastAsia"/>
          <w:bCs/>
          <w:szCs w:val="21"/>
        </w:rPr>
        <w:t xml:space="preserve">可测真空规管：ZJ-51/ZJ-54D/DV-4/DV-5/DV-6/VG0；</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电流设定范围：</w:t>
      </w:r>
      <w:r/>
    </w:p>
    <w:p>
      <w:pPr>
        <w:ind w:firstLine="210"/>
        <w:spacing w:line="360" w:lineRule="auto"/>
        <w:rPr>
          <w:rFonts w:eastAsiaTheme="minorEastAsia"/>
          <w:szCs w:val="21"/>
        </w:rPr>
      </w:pPr>
      <w:r>
        <w:rPr>
          <w:rFonts w:eastAsiaTheme="minorEastAsia"/>
          <w:szCs w:val="21"/>
        </w:rPr>
        <w:t xml:space="preserve">（1）ZJ-51（80～160）mA；</w:t>
      </w:r>
      <w:r/>
    </w:p>
    <w:p>
      <w:pPr>
        <w:ind w:firstLine="210"/>
        <w:spacing w:line="360" w:lineRule="auto"/>
        <w:rPr>
          <w:rFonts w:eastAsiaTheme="minorEastAsia"/>
          <w:szCs w:val="21"/>
        </w:rPr>
      </w:pPr>
      <w:r>
        <w:rPr>
          <w:rFonts w:eastAsiaTheme="minorEastAsia"/>
          <w:szCs w:val="21"/>
        </w:rPr>
        <w:t xml:space="preserve">（2）ZJ-54D（20～30）mA；</w:t>
      </w:r>
      <w:r/>
    </w:p>
    <w:p>
      <w:pPr>
        <w:ind w:firstLine="210"/>
        <w:spacing w:line="360" w:lineRule="auto"/>
        <w:rPr>
          <w:rFonts w:eastAsiaTheme="minorEastAsia"/>
          <w:szCs w:val="21"/>
        </w:rPr>
      </w:pPr>
      <w:r>
        <w:rPr>
          <w:rFonts w:eastAsiaTheme="minorEastAsia"/>
          <w:szCs w:val="21"/>
        </w:rPr>
        <w:t xml:space="preserve">（3）DV-4、DV-5、DV-6以及VG0为自适应，无须设定电流；</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电流设定：支持轻触设定、电子自动调节，过电流保护</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显示方式：支持多参数同屏显示；</w:t>
      </w:r>
      <w:r/>
    </w:p>
    <w:p>
      <w:pPr>
        <w:ind w:firstLine="210"/>
        <w:spacing w:line="360" w:lineRule="auto"/>
        <w:rPr>
          <w:rFonts w:eastAsiaTheme="minorEastAsia"/>
          <w:bCs/>
          <w:szCs w:val="21"/>
        </w:rPr>
      </w:pPr>
      <w:r>
        <w:rPr>
          <w:rFonts w:eastAsiaTheme="minorEastAsia"/>
          <w:bCs/>
          <w:szCs w:val="21"/>
        </w:rPr>
        <w:t xml:space="preserve">6、显示内容：规管型号；真空度低提示；真空测量范围提示；电量消耗指示、电量低及充电提示；支持同屏显示两种单位的测量数据；校准点及校准提示；可真空/加热电流切换显示；</w:t>
      </w:r>
      <w:r/>
    </w:p>
    <w:p>
      <w:pPr>
        <w:ind w:firstLine="210"/>
        <w:spacing w:line="360" w:lineRule="auto"/>
        <w:rPr>
          <w:rFonts w:eastAsiaTheme="minorEastAsia"/>
          <w:bCs/>
          <w:szCs w:val="21"/>
        </w:rPr>
      </w:pPr>
      <w:r>
        <w:rPr>
          <w:rFonts w:ascii="Segoe UI Symbol" w:hAnsi="Segoe UI Symbol" w:cs="Segoe UI Symbol"/>
          <w:szCs w:val="21"/>
        </w:rPr>
        <w:t xml:space="preserve">★</w:t>
      </w:r>
      <w:r>
        <w:rPr>
          <w:rFonts w:eastAsiaTheme="minorEastAsia"/>
          <w:bCs/>
          <w:szCs w:val="21"/>
        </w:rPr>
        <w:t xml:space="preserve">7、测量精度：≤±25%（读数精度）；</w:t>
      </w:r>
      <w:r/>
    </w:p>
    <w:p>
      <w:pPr>
        <w:ind w:firstLine="210"/>
        <w:spacing w:line="360" w:lineRule="auto"/>
        <w:rPr>
          <w:rFonts w:eastAsiaTheme="minorEastAsia"/>
          <w:bCs/>
          <w:szCs w:val="21"/>
        </w:rPr>
      </w:pPr>
      <w:r>
        <w:rPr>
          <w:rFonts w:eastAsiaTheme="minorEastAsia"/>
          <w:bCs/>
          <w:szCs w:val="21"/>
        </w:rPr>
        <w:t xml:space="preserve">8、测量单位：Pa/Torr/mTorr之间可任意转换；</w:t>
      </w:r>
      <w:r/>
    </w:p>
    <w:p>
      <w:pPr>
        <w:ind w:firstLine="210"/>
        <w:spacing w:line="360" w:lineRule="auto"/>
        <w:rPr>
          <w:rFonts w:eastAsiaTheme="minorEastAsia"/>
          <w:bCs/>
          <w:szCs w:val="21"/>
        </w:rPr>
      </w:pPr>
      <w:r>
        <w:rPr>
          <w:rFonts w:eastAsiaTheme="minorEastAsia"/>
          <w:bCs/>
          <w:szCs w:val="21"/>
        </w:rPr>
        <w:t xml:space="preserve">9、电源开关：微功耗软启动电源开关；</w:t>
      </w:r>
      <w:r/>
    </w:p>
    <w:p>
      <w:pPr>
        <w:ind w:firstLine="210"/>
        <w:spacing w:line="360" w:lineRule="auto"/>
        <w:rPr>
          <w:rFonts w:eastAsiaTheme="minorEastAsia"/>
          <w:bCs/>
          <w:szCs w:val="21"/>
        </w:rPr>
      </w:pPr>
      <w:r>
        <w:rPr>
          <w:rFonts w:eastAsiaTheme="minorEastAsia"/>
          <w:bCs/>
          <w:szCs w:val="21"/>
        </w:rPr>
        <w:t xml:space="preserve">10、供电电源：DC12V ≥1500mAh锂电池；</w:t>
      </w:r>
      <w:r/>
    </w:p>
    <w:p>
      <w:pPr>
        <w:ind w:firstLine="210"/>
        <w:spacing w:line="360" w:lineRule="auto"/>
        <w:rPr>
          <w:rFonts w:eastAsiaTheme="minorEastAsia"/>
          <w:bCs/>
          <w:szCs w:val="21"/>
        </w:rPr>
      </w:pPr>
      <w:r>
        <w:rPr>
          <w:rFonts w:eastAsiaTheme="minorEastAsia"/>
          <w:bCs/>
          <w:szCs w:val="21"/>
        </w:rPr>
        <w:t xml:space="preserve">11、重量：≤550g；</w:t>
      </w:r>
      <w:r/>
    </w:p>
    <w:p>
      <w:pPr>
        <w:ind w:firstLine="210"/>
        <w:spacing w:line="360" w:lineRule="auto"/>
        <w:rPr>
          <w:rFonts w:eastAsiaTheme="minorEastAsia"/>
          <w:bCs/>
          <w:szCs w:val="21"/>
        </w:rPr>
      </w:pPr>
      <w:r>
        <w:rPr>
          <w:rFonts w:eastAsiaTheme="minorEastAsia"/>
          <w:bCs/>
          <w:szCs w:val="21"/>
        </w:rPr>
        <w:t xml:space="preserve">12、仪表尺寸：≤200×100×60mm；</w:t>
      </w:r>
      <w:r/>
    </w:p>
    <w:p>
      <w:pPr>
        <w:ind w:firstLine="210"/>
        <w:spacing w:line="360" w:lineRule="auto"/>
        <w:rPr>
          <w:rFonts w:eastAsiaTheme="minorEastAsia"/>
          <w:bCs/>
          <w:szCs w:val="21"/>
        </w:rPr>
      </w:pPr>
      <w:r>
        <w:rPr>
          <w:rFonts w:eastAsiaTheme="minorEastAsia"/>
          <w:bCs/>
          <w:szCs w:val="21"/>
        </w:rPr>
        <w:t xml:space="preserve">（二）、配置要求：</w:t>
      </w:r>
      <w:r/>
    </w:p>
    <w:p>
      <w:pPr>
        <w:ind w:firstLine="420"/>
        <w:spacing w:line="360" w:lineRule="auto"/>
        <w:rPr>
          <w:rFonts w:eastAsiaTheme="minorEastAsia"/>
          <w:bCs/>
          <w:szCs w:val="21"/>
        </w:rPr>
      </w:pPr>
      <w:r>
        <w:rPr>
          <w:rFonts w:eastAsiaTheme="minorEastAsia"/>
          <w:bCs/>
          <w:szCs w:val="21"/>
        </w:rPr>
        <w:t xml:space="preserve">主机1台；DV-4规管1个；DV-5规管1个；</w:t>
      </w:r>
      <w:r>
        <w:rPr>
          <w:rFonts w:eastAsiaTheme="minorEastAsia"/>
          <w:szCs w:val="21"/>
        </w:rPr>
        <w:t xml:space="preserve">DV-6规管一个</w:t>
      </w:r>
      <w:r>
        <w:rPr>
          <w:rFonts w:eastAsiaTheme="minorEastAsia"/>
          <w:bCs/>
          <w:szCs w:val="21"/>
        </w:rPr>
        <w:t xml:space="preserve">；充电电源适配器1套；仪器箱1只；使用说明书、合格证各1份，供货时提供国家认可的计量机构出具的检定证书或校准证书。</w:t>
      </w:r>
      <w:r/>
    </w:p>
    <w:p>
      <w:pPr>
        <w:jc w:val="center"/>
        <w:spacing w:line="360" w:lineRule="auto"/>
        <w:rPr>
          <w:b/>
          <w:bCs/>
          <w:szCs w:val="21"/>
        </w:rPr>
      </w:pPr>
      <w:r>
        <w:rPr>
          <w:b/>
          <w:bCs/>
          <w:szCs w:val="21"/>
        </w:rPr>
        <w:t xml:space="preserve">品目二 真空计1</w:t>
      </w:r>
      <w:r/>
    </w:p>
    <w:p>
      <w:pPr>
        <w:ind w:firstLine="210"/>
        <w:spacing w:line="360" w:lineRule="auto"/>
        <w:rPr>
          <w:rFonts w:eastAsiaTheme="minorEastAsia"/>
          <w:szCs w:val="21"/>
        </w:rPr>
      </w:pPr>
      <w:r>
        <w:rPr>
          <w:rFonts w:eastAsiaTheme="minorEastAsia"/>
          <w:szCs w:val="21"/>
        </w:rPr>
        <w:t xml:space="preserve">（一）、设备性能要求</w:t>
      </w:r>
      <w:r>
        <w:rPr>
          <w:rFonts w:eastAsiaTheme="minorEastAsia"/>
          <w:bCs/>
          <w:szCs w:val="21"/>
        </w:rPr>
        <w:t xml:space="preserve">：</w:t>
      </w:r>
      <w:r/>
    </w:p>
    <w:p>
      <w:pPr>
        <w:ind w:firstLine="210"/>
        <w:spacing w:line="360" w:lineRule="auto"/>
        <w:rPr>
          <w:rFonts w:eastAsiaTheme="minorEastAsia"/>
          <w:szCs w:val="21"/>
        </w:rPr>
      </w:pPr>
      <w:r>
        <w:rPr>
          <w:rFonts w:eastAsiaTheme="minorEastAsia"/>
          <w:szCs w:val="21"/>
        </w:rPr>
        <w:t xml:space="preserve">1、采用可充电锂电池；</w:t>
      </w:r>
      <w:r/>
    </w:p>
    <w:p>
      <w:pPr>
        <w:ind w:firstLine="210"/>
        <w:spacing w:line="360" w:lineRule="auto"/>
        <w:rPr>
          <w:rFonts w:eastAsiaTheme="minorEastAsia"/>
          <w:szCs w:val="21"/>
        </w:rPr>
      </w:pPr>
      <w:r>
        <w:rPr>
          <w:rFonts w:eastAsiaTheme="minorEastAsia"/>
          <w:szCs w:val="21"/>
        </w:rPr>
        <w:t xml:space="preserve">2、采用真空测量传感器，具有数据远传功能；</w:t>
      </w:r>
      <w:r/>
    </w:p>
    <w:p>
      <w:pPr>
        <w:ind w:firstLine="210"/>
        <w:spacing w:line="360" w:lineRule="auto"/>
        <w:rPr>
          <w:rFonts w:eastAsiaTheme="minorEastAsia"/>
          <w:szCs w:val="21"/>
        </w:rPr>
      </w:pPr>
      <w:r>
        <w:rPr>
          <w:rFonts w:eastAsiaTheme="minorEastAsia"/>
          <w:szCs w:val="21"/>
        </w:rPr>
        <w:t xml:space="preserve">3、具有故障/状态检测和监测功能；</w:t>
      </w:r>
      <w:r/>
    </w:p>
    <w:p>
      <w:pPr>
        <w:ind w:firstLine="210"/>
        <w:spacing w:line="360" w:lineRule="auto"/>
        <w:rPr>
          <w:rFonts w:eastAsiaTheme="minorEastAsia"/>
          <w:szCs w:val="21"/>
        </w:rPr>
      </w:pPr>
      <w:r>
        <w:rPr>
          <w:rFonts w:eastAsiaTheme="minorEastAsia"/>
          <w:szCs w:val="21"/>
        </w:rPr>
        <w:t xml:space="preserve">4、具有超量程保护功能；</w:t>
      </w:r>
      <w:r/>
    </w:p>
    <w:p>
      <w:pPr>
        <w:ind w:firstLine="210"/>
        <w:spacing w:line="360" w:lineRule="auto"/>
        <w:rPr>
          <w:rFonts w:eastAsiaTheme="minorEastAsia"/>
          <w:szCs w:val="21"/>
        </w:rPr>
      </w:pPr>
      <w:r>
        <w:rPr>
          <w:rFonts w:eastAsiaTheme="minorEastAsia"/>
          <w:szCs w:val="21"/>
        </w:rPr>
        <w:t xml:space="preserve">5、具有过流保护功能；</w:t>
      </w:r>
      <w:r/>
    </w:p>
    <w:p>
      <w:pPr>
        <w:ind w:firstLine="210"/>
        <w:spacing w:line="360" w:lineRule="auto"/>
        <w:rPr>
          <w:rFonts w:eastAsiaTheme="minorEastAsia"/>
          <w:szCs w:val="21"/>
        </w:rPr>
      </w:pPr>
      <w:r>
        <w:rPr>
          <w:rFonts w:eastAsiaTheme="minorEastAsia"/>
          <w:szCs w:val="21"/>
        </w:rPr>
        <w:t xml:space="preserve">6、具有断电重启复位功能；</w:t>
      </w:r>
      <w:r/>
    </w:p>
    <w:p>
      <w:pPr>
        <w:ind w:firstLine="210"/>
        <w:spacing w:line="360" w:lineRule="auto"/>
        <w:rPr>
          <w:rFonts w:eastAsiaTheme="minorEastAsia"/>
          <w:szCs w:val="21"/>
        </w:rPr>
      </w:pPr>
      <w:r>
        <w:rPr>
          <w:rFonts w:eastAsiaTheme="minorEastAsia"/>
          <w:szCs w:val="21"/>
        </w:rPr>
        <w:t xml:space="preserve">（二）、技术指标要求</w:t>
      </w:r>
      <w:r>
        <w:rPr>
          <w:rFonts w:eastAsiaTheme="minorEastAsia"/>
          <w:bCs/>
          <w:szCs w:val="21"/>
        </w:rPr>
        <w:t xml:space="preserve">：</w:t>
      </w:r>
      <w:r/>
    </w:p>
    <w:p>
      <w:pPr>
        <w:ind w:firstLine="210"/>
        <w:spacing w:line="360" w:lineRule="auto"/>
        <w:rPr>
          <w:rFonts w:eastAsiaTheme="minorEastAsia"/>
          <w:szCs w:val="21"/>
        </w:rPr>
      </w:pPr>
      <w:r>
        <w:rPr>
          <w:rFonts w:eastAsiaTheme="minorEastAsia"/>
          <w:szCs w:val="21"/>
        </w:rPr>
        <w:t xml:space="preserve">1、匹配规管及测量范围：</w:t>
      </w:r>
      <w:r/>
    </w:p>
    <w:p>
      <w:pPr>
        <w:ind w:firstLine="210"/>
        <w:spacing w:line="360" w:lineRule="auto"/>
        <w:rPr>
          <w:rFonts w:eastAsiaTheme="minorEastAsia"/>
          <w:szCs w:val="21"/>
        </w:rPr>
      </w:pPr>
      <w:r>
        <w:rPr>
          <w:rFonts w:eastAsiaTheme="minorEastAsia"/>
          <w:szCs w:val="21"/>
        </w:rPr>
        <w:t xml:space="preserve">（1）ZJ-10C系列真空规管；测量范围：1.0*105Pa～1.0*10-4Pa；</w:t>
      </w:r>
      <w:r/>
    </w:p>
    <w:p>
      <w:pPr>
        <w:ind w:firstLine="210"/>
        <w:spacing w:line="360" w:lineRule="auto"/>
        <w:rPr>
          <w:rFonts w:eastAsiaTheme="minorEastAsia"/>
          <w:szCs w:val="21"/>
        </w:rPr>
      </w:pPr>
      <w:r>
        <w:rPr>
          <w:rFonts w:eastAsiaTheme="minorEastAsia"/>
          <w:szCs w:val="21"/>
        </w:rPr>
        <w:t xml:space="preserve">（2）ZJ-01系列真空规管；测量范围：1.0*105Pa～1.0*10-1Pa；</w:t>
      </w:r>
      <w:r/>
    </w:p>
    <w:p>
      <w:pPr>
        <w:ind w:firstLine="210"/>
        <w:spacing w:line="360" w:lineRule="auto"/>
        <w:rPr>
          <w:rFonts w:eastAsiaTheme="minorEastAsia"/>
          <w:szCs w:val="21"/>
        </w:rPr>
      </w:pPr>
      <w:r>
        <w:rPr>
          <w:rFonts w:eastAsiaTheme="minorEastAsia"/>
          <w:szCs w:val="21"/>
        </w:rPr>
        <w:t xml:space="preserve">2、工作温度：0℃～40℃；</w:t>
      </w:r>
      <w:r/>
    </w:p>
    <w:p>
      <w:pPr>
        <w:ind w:firstLine="210"/>
        <w:spacing w:line="360" w:lineRule="auto"/>
        <w:rPr>
          <w:rFonts w:eastAsiaTheme="minorEastAsia"/>
          <w:szCs w:val="21"/>
        </w:rPr>
      </w:pPr>
      <w:r>
        <w:rPr>
          <w:rFonts w:eastAsiaTheme="minorEastAsia"/>
          <w:szCs w:val="21"/>
        </w:rPr>
        <w:t xml:space="preserve">3、存储温度：-10℃～70℃；</w:t>
      </w:r>
      <w:r/>
    </w:p>
    <w:p>
      <w:pPr>
        <w:ind w:firstLine="210"/>
        <w:spacing w:line="360" w:lineRule="auto"/>
        <w:rPr>
          <w:rFonts w:eastAsiaTheme="minorEastAsia"/>
          <w:szCs w:val="21"/>
        </w:rPr>
      </w:pPr>
      <w:r>
        <w:rPr>
          <w:rFonts w:eastAsiaTheme="minorEastAsia"/>
          <w:szCs w:val="21"/>
        </w:rPr>
        <w:t xml:space="preserve">4、工作湿度：≤95%；</w:t>
      </w:r>
      <w:r/>
    </w:p>
    <w:p>
      <w:pPr>
        <w:ind w:firstLine="210"/>
        <w:spacing w:line="360" w:lineRule="auto"/>
        <w:rPr>
          <w:rFonts w:eastAsiaTheme="minorEastAsia"/>
          <w:szCs w:val="21"/>
        </w:rPr>
      </w:pPr>
      <w:r>
        <w:rPr>
          <w:rFonts w:eastAsiaTheme="minorEastAsia"/>
          <w:szCs w:val="21"/>
        </w:rPr>
        <w:t xml:space="preserve">5、外形尺寸：≤250mm*120mm*40mm（长*宽*厚）；</w:t>
      </w:r>
      <w:r/>
    </w:p>
    <w:p>
      <w:pPr>
        <w:ind w:firstLine="210"/>
        <w:spacing w:line="360" w:lineRule="auto"/>
        <w:rPr>
          <w:rFonts w:eastAsiaTheme="minorEastAsia"/>
          <w:szCs w:val="21"/>
        </w:rPr>
      </w:pPr>
      <w:r>
        <w:rPr>
          <w:rFonts w:eastAsiaTheme="minorEastAsia"/>
          <w:szCs w:val="21"/>
        </w:rPr>
        <w:t xml:space="preserve">（三）、配置要求：</w:t>
      </w:r>
      <w:r/>
    </w:p>
    <w:p>
      <w:pPr>
        <w:ind w:firstLine="420"/>
        <w:spacing w:line="360" w:lineRule="auto"/>
        <w:rPr>
          <w:bCs/>
          <w:szCs w:val="21"/>
        </w:rPr>
      </w:pPr>
      <w:r>
        <w:rPr>
          <w:rFonts w:eastAsiaTheme="minorEastAsia"/>
          <w:szCs w:val="21"/>
        </w:rPr>
        <w:t xml:space="preserve">主机1台、专用线缆1根、专用充电器1个、说明书和合格证1套、供货时提供国家认可的计量机构出具的检定证书或校准证书。</w:t>
      </w:r>
      <w:r/>
    </w:p>
    <w:p>
      <w:pPr>
        <w:jc w:val="center"/>
        <w:spacing w:line="360" w:lineRule="auto"/>
        <w:rPr>
          <w:b/>
          <w:bCs/>
          <w:szCs w:val="21"/>
        </w:rPr>
      </w:pPr>
      <w:r/>
      <w:bookmarkStart w:id="108" w:name="OLE_LINK5"/>
      <w:r>
        <w:rPr>
          <w:b/>
          <w:bCs/>
          <w:szCs w:val="21"/>
        </w:rPr>
        <w:t xml:space="preserve">品目三 真空计2</w:t>
      </w:r>
      <w:bookmarkEnd w:id="108"/>
      <w:r/>
      <w:r/>
    </w:p>
    <w:p>
      <w:pPr>
        <w:ind w:firstLine="210"/>
        <w:spacing w:line="360" w:lineRule="auto"/>
        <w:rPr>
          <w:rFonts w:eastAsiaTheme="minorEastAsia"/>
          <w:szCs w:val="21"/>
        </w:rPr>
      </w:pPr>
      <w:r/>
      <w:bookmarkStart w:id="109" w:name="OLE_LINK1"/>
      <w:r>
        <w:rPr>
          <w:rFonts w:eastAsiaTheme="minorEastAsia"/>
          <w:szCs w:val="21"/>
        </w:rPr>
        <w:t xml:space="preserve">（一）、设备性能要求：</w:t>
      </w:r>
      <w:r/>
    </w:p>
    <w:p>
      <w:pPr>
        <w:ind w:firstLine="210"/>
        <w:spacing w:line="360" w:lineRule="auto"/>
        <w:rPr>
          <w:rFonts w:eastAsiaTheme="minorEastAsia"/>
          <w:szCs w:val="21"/>
        </w:rPr>
      </w:pPr>
      <w:r>
        <w:rPr>
          <w:rFonts w:eastAsiaTheme="minorEastAsia"/>
          <w:szCs w:val="21"/>
        </w:rPr>
        <w:t xml:space="preserve">1、能快速读取真空规管传输过来的真空数据；</w:t>
      </w:r>
      <w:r/>
    </w:p>
    <w:p>
      <w:pPr>
        <w:ind w:firstLine="210"/>
        <w:spacing w:line="360" w:lineRule="auto"/>
        <w:rPr>
          <w:rFonts w:eastAsiaTheme="minorEastAsia"/>
          <w:szCs w:val="21"/>
        </w:rPr>
      </w:pPr>
      <w:r>
        <w:rPr>
          <w:rFonts w:eastAsiaTheme="minorEastAsia"/>
          <w:szCs w:val="21"/>
        </w:rPr>
        <w:t xml:space="preserve">2、手持式设计；</w:t>
      </w:r>
      <w:r/>
    </w:p>
    <w:p>
      <w:pPr>
        <w:ind w:firstLine="210"/>
        <w:spacing w:line="360" w:lineRule="auto"/>
        <w:rPr>
          <w:rFonts w:eastAsiaTheme="minorEastAsia"/>
          <w:szCs w:val="21"/>
        </w:rPr>
      </w:pPr>
      <w:r>
        <w:rPr>
          <w:rFonts w:eastAsiaTheme="minorEastAsia"/>
          <w:szCs w:val="21"/>
        </w:rPr>
        <w:t xml:space="preserve">3、具有背光功能选择，解决在黑暗和光照环境下视线模糊的问题；</w:t>
      </w:r>
      <w:r/>
    </w:p>
    <w:p>
      <w:pPr>
        <w:ind w:firstLine="210"/>
        <w:spacing w:line="360" w:lineRule="auto"/>
        <w:rPr>
          <w:rFonts w:eastAsiaTheme="minorEastAsia"/>
          <w:szCs w:val="21"/>
        </w:rPr>
      </w:pPr>
      <w:r>
        <w:rPr>
          <w:rFonts w:eastAsiaTheme="minorEastAsia"/>
          <w:szCs w:val="21"/>
        </w:rPr>
        <w:t xml:space="preserve">4、测量数据单位Pa和Torr；</w:t>
      </w:r>
      <w:r/>
    </w:p>
    <w:p>
      <w:pPr>
        <w:ind w:firstLine="210"/>
        <w:spacing w:line="360" w:lineRule="auto"/>
        <w:rPr>
          <w:rFonts w:eastAsiaTheme="minorEastAsia"/>
          <w:szCs w:val="21"/>
        </w:rPr>
      </w:pPr>
      <w:r>
        <w:rPr>
          <w:rFonts w:eastAsiaTheme="minorEastAsia"/>
          <w:szCs w:val="21"/>
        </w:rPr>
        <w:t xml:space="preserve">5、采用点阵液晶屏显示；</w:t>
      </w:r>
      <w:r/>
    </w:p>
    <w:p>
      <w:pPr>
        <w:ind w:firstLine="210"/>
        <w:spacing w:line="360" w:lineRule="auto"/>
        <w:rPr>
          <w:rFonts w:eastAsiaTheme="minorEastAsia"/>
          <w:szCs w:val="21"/>
        </w:rPr>
      </w:pPr>
      <w:r>
        <w:rPr>
          <w:rFonts w:eastAsiaTheme="minorEastAsia"/>
          <w:szCs w:val="21"/>
        </w:rPr>
        <w:t xml:space="preserve">6、电池：常用AAA一次性电池，方便更换；</w:t>
      </w:r>
      <w:r/>
    </w:p>
    <w:p>
      <w:pPr>
        <w:ind w:firstLine="210"/>
        <w:spacing w:line="360" w:lineRule="auto"/>
        <w:rPr>
          <w:rFonts w:eastAsiaTheme="minorEastAsia"/>
          <w:szCs w:val="21"/>
        </w:rPr>
      </w:pPr>
      <w:r>
        <w:rPr>
          <w:rFonts w:eastAsiaTheme="minorEastAsia"/>
          <w:szCs w:val="21"/>
        </w:rPr>
        <w:t xml:space="preserve">（二）、配置要求：</w:t>
      </w:r>
      <w:r/>
    </w:p>
    <w:p>
      <w:pPr>
        <w:ind w:firstLine="210"/>
        <w:spacing w:line="360" w:lineRule="auto"/>
        <w:rPr>
          <w:rFonts w:eastAsiaTheme="minorEastAsia"/>
          <w:color w:val="333333"/>
          <w:szCs w:val="21"/>
        </w:rPr>
      </w:pPr>
      <w:r>
        <w:rPr>
          <w:rFonts w:eastAsiaTheme="minorEastAsia"/>
          <w:szCs w:val="21"/>
        </w:rPr>
        <w:t xml:space="preserve">真空测量显示仪1台，包装盒1个，供货时提供国家认可的计量机构出具的检定证书或校准证书。</w:t>
      </w:r>
      <w:bookmarkEnd w:id="109"/>
      <w:r/>
      <w:bookmarkEnd w:id="107"/>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计量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3"/>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w:t>
      </w:r>
      <w:r>
        <w:rPr>
          <w:bCs/>
          <w:szCs w:val="21"/>
        </w:rPr>
        <w:t xml:space="preserve">：</w:t>
      </w:r>
      <w:r>
        <w:rPr>
          <w:color w:val="000000"/>
          <w:szCs w:val="21"/>
        </w:rPr>
        <w:t xml:space="preserve">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w:t>
      </w:r>
      <w:r>
        <w:rPr>
          <w:bCs/>
          <w:szCs w:val="21"/>
        </w:rPr>
        <w:t xml:space="preserve">：</w:t>
      </w:r>
      <w:r>
        <w:rPr>
          <w:rFonts w:eastAsiaTheme="minorEastAsia"/>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w:t>
      </w:r>
      <w:r>
        <w:rPr>
          <w:bCs/>
          <w:szCs w:val="21"/>
        </w:rPr>
        <w:t xml:space="preserve">：</w:t>
      </w:r>
      <w:r>
        <w:rPr>
          <w:rFonts w:eastAsiaTheme="minorEastAsia"/>
          <w:szCs w:val="21"/>
        </w:rPr>
        <w:t xml:space="preserve">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429"/>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429"/>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w:t>
      </w:r>
      <w:r>
        <w:rPr>
          <w:rFonts w:hint="eastAsia" w:eastAsiaTheme="minorEastAsia"/>
          <w:szCs w:val="21"/>
        </w:rPr>
        <w:t xml:space="preserve">：</w:t>
      </w:r>
      <w:r>
        <w:rPr>
          <w:rFonts w:eastAsiaTheme="minorEastAsia"/>
          <w:szCs w:val="21"/>
        </w:rPr>
        <w:t xml:space="preserve">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0" w:name="_Toc231822743"/>
      <w:r>
        <w:rPr>
          <w:b/>
          <w:color w:val="000000"/>
          <w:sz w:val="28"/>
          <w:szCs w:val="28"/>
        </w:rPr>
        <w:t xml:space="preserve">第五章 </w:t>
      </w:r>
      <w:r>
        <w:rPr>
          <w:b/>
          <w:sz w:val="28"/>
          <w:szCs w:val="28"/>
        </w:rPr>
        <w:t xml:space="preserve">政府采购合同</w:t>
      </w:r>
      <w:bookmarkEnd w:id="110"/>
      <w:r/>
      <w:r/>
    </w:p>
    <w:p>
      <w:pPr>
        <w:pStyle w:val="1258"/>
        <w:ind w:left="1400" w:hanging="560"/>
        <w:jc w:val="center"/>
        <w:rPr>
          <w:sz w:val="28"/>
          <w:szCs w:val="28"/>
        </w:rPr>
      </w:pPr>
      <w:r>
        <w:rPr>
          <w:sz w:val="28"/>
          <w:szCs w:val="28"/>
        </w:rPr>
      </w:r>
      <w:r/>
    </w:p>
    <w:p>
      <w:pPr>
        <w:pStyle w:val="1258"/>
        <w:ind w:left="1400" w:hanging="560"/>
        <w:jc w:val="center"/>
        <w:spacing w:line="360" w:lineRule="auto"/>
        <w:rPr>
          <w:sz w:val="28"/>
          <w:szCs w:val="28"/>
        </w:rPr>
      </w:pPr>
      <w:r>
        <w:rPr>
          <w:sz w:val="28"/>
          <w:szCs w:val="28"/>
        </w:rPr>
      </w:r>
      <w:r/>
    </w:p>
    <w:p>
      <w:pPr>
        <w:pStyle w:val="1258"/>
        <w:ind w:left="1400" w:hanging="560"/>
        <w:jc w:val="center"/>
        <w:spacing w:line="360" w:lineRule="auto"/>
        <w:rPr>
          <w:sz w:val="28"/>
          <w:szCs w:val="28"/>
        </w:rPr>
      </w:pPr>
      <w:r>
        <w:rPr>
          <w:sz w:val="28"/>
          <w:szCs w:val="28"/>
        </w:rPr>
      </w:r>
      <w:r/>
    </w:p>
    <w:p>
      <w:pPr>
        <w:pStyle w:val="1258"/>
        <w:ind w:left="1400" w:hanging="560"/>
        <w:jc w:val="center"/>
        <w:spacing w:line="360" w:lineRule="auto"/>
        <w:rPr>
          <w:sz w:val="28"/>
          <w:szCs w:val="28"/>
        </w:rPr>
      </w:pPr>
      <w:r>
        <w:rPr>
          <w:sz w:val="28"/>
          <w:szCs w:val="28"/>
        </w:rPr>
      </w:r>
      <w:r/>
    </w:p>
    <w:p>
      <w:pPr>
        <w:pStyle w:val="1258"/>
        <w:ind w:left="1400" w:hanging="560"/>
        <w:jc w:val="center"/>
        <w:spacing w:line="360" w:lineRule="auto"/>
        <w:rPr>
          <w:sz w:val="28"/>
          <w:szCs w:val="28"/>
        </w:rPr>
      </w:pPr>
      <w:r>
        <w:rPr>
          <w:sz w:val="28"/>
          <w:szCs w:val="28"/>
        </w:rPr>
      </w:r>
      <w:r/>
    </w:p>
    <w:p>
      <w:pPr>
        <w:jc w:val="center"/>
        <w:spacing w:line="360" w:lineRule="auto"/>
        <w:widowControl/>
        <w:rPr>
          <w:rFonts w:hint="eastAsia" w:ascii="宋体" w:hAnsi="宋体" w:cs="宋体"/>
          <w:b/>
          <w:bCs/>
          <w:sz w:val="28"/>
          <w:szCs w:val="28"/>
        </w:rPr>
      </w:pPr>
      <w:r>
        <w:rPr>
          <w:rFonts w:hint="eastAsia" w:ascii="宋体" w:hAnsi="宋体" w:cs="宋体"/>
          <w:b/>
          <w:bCs/>
          <w:sz w:val="28"/>
          <w:szCs w:val="28"/>
        </w:rPr>
        <w:t xml:space="preserve">政府采购合同</w:t>
      </w:r>
      <w:r/>
    </w:p>
    <w:p>
      <w:pPr>
        <w:jc w:val="center"/>
        <w:spacing w:line="360" w:lineRule="auto"/>
        <w:widowControl/>
        <w:rPr>
          <w:rFonts w:hint="eastAsia" w:ascii="宋体" w:hAnsi="宋体" w:cs="宋体"/>
          <w:b/>
          <w:bCs/>
          <w:sz w:val="28"/>
          <w:szCs w:val="28"/>
        </w:rPr>
      </w:pPr>
      <w:r>
        <w:rPr>
          <w:rFonts w:hint="eastAsia" w:ascii="宋体" w:hAnsi="宋体" w:cs="宋体"/>
          <w:b/>
          <w:bCs/>
          <w:sz w:val="28"/>
          <w:szCs w:val="28"/>
        </w:rPr>
        <w:t xml:space="preserve">（拟签订的合同文本）</w:t>
      </w:r>
      <w:r/>
    </w:p>
    <w:p>
      <w:pPr>
        <w:spacing w:line="360" w:lineRule="auto"/>
        <w:widowControl/>
        <w:rPr>
          <w:rFonts w:hint="eastAsia" w:ascii="宋体" w:hAnsi="宋体" w:cs="宋体"/>
          <w:b/>
          <w:bCs/>
          <w:sz w:val="28"/>
          <w:szCs w:val="28"/>
        </w:rPr>
      </w:pPr>
      <w:r>
        <w:rPr>
          <w:rFonts w:hint="eastAsia" w:ascii="宋体" w:hAnsi="宋体" w:cs="宋体"/>
          <w:b/>
          <w:bCs/>
          <w:sz w:val="28"/>
          <w:szCs w:val="28"/>
        </w:rPr>
      </w:r>
      <w:r/>
    </w:p>
    <w:p>
      <w:pPr>
        <w:ind w:firstLine="315"/>
        <w:spacing w:line="360" w:lineRule="auto"/>
        <w:widowControl/>
        <w:rPr>
          <w:rFonts w:hint="eastAsia" w:ascii="宋体" w:hAnsi="宋体" w:cs="宋体"/>
          <w:sz w:val="28"/>
          <w:szCs w:val="28"/>
        </w:rPr>
      </w:pPr>
      <w:r>
        <w:rPr>
          <w:rFonts w:hint="eastAsia" w:ascii="宋体" w:hAnsi="宋体" w:cs="宋体"/>
          <w:sz w:val="28"/>
          <w:szCs w:val="28"/>
        </w:rPr>
      </w:r>
      <w:r/>
    </w:p>
    <w:p>
      <w:pPr>
        <w:spacing w:line="360" w:lineRule="auto"/>
        <w:widowControl/>
        <w:rPr>
          <w:rFonts w:hint="eastAsia" w:ascii="宋体" w:hAnsi="宋体" w:cs="宋体"/>
          <w:sz w:val="28"/>
          <w:szCs w:val="28"/>
        </w:rPr>
      </w:pPr>
      <w:r>
        <w:rPr>
          <w:rFonts w:hint="eastAsia" w:ascii="宋体" w:hAnsi="宋体" w:cs="宋体"/>
          <w:sz w:val="28"/>
          <w:szCs w:val="28"/>
        </w:rPr>
      </w:r>
      <w:r/>
    </w:p>
    <w:p>
      <w:pPr>
        <w:spacing w:line="360" w:lineRule="auto"/>
        <w:widowControl/>
        <w:rPr>
          <w:rFonts w:hint="eastAsia" w:ascii="宋体" w:hAnsi="宋体" w:cs="宋体"/>
          <w:sz w:val="28"/>
          <w:szCs w:val="28"/>
        </w:rPr>
      </w:pPr>
      <w:r>
        <w:rPr>
          <w:rFonts w:hint="eastAsia" w:ascii="宋体" w:hAnsi="宋体" w:cs="宋体"/>
          <w:sz w:val="28"/>
          <w:szCs w:val="28"/>
        </w:rPr>
      </w:r>
      <w:r/>
    </w:p>
    <w:p>
      <w:pPr>
        <w:ind w:firstLine="1918"/>
        <w:spacing w:line="360" w:lineRule="auto"/>
        <w:widowControl/>
        <w:rPr>
          <w:rFonts w:hint="eastAsia" w:ascii="宋体" w:hAnsi="宋体" w:cs="宋体"/>
          <w:sz w:val="28"/>
          <w:szCs w:val="28"/>
        </w:rPr>
      </w:pPr>
      <w:r>
        <w:rPr>
          <w:rFonts w:hint="eastAsia" w:ascii="宋体" w:hAnsi="宋体" w:cs="宋体"/>
          <w:b/>
          <w:bCs/>
          <w:sz w:val="28"/>
          <w:szCs w:val="28"/>
        </w:rPr>
        <w:t xml:space="preserve">合同编号：</w:t>
      </w:r>
      <w:r>
        <w:rPr>
          <w:rFonts w:hint="eastAsia" w:ascii="宋体" w:hAnsi="宋体" w:cs="宋体"/>
          <w:b/>
          <w:bCs/>
          <w:sz w:val="28"/>
          <w:szCs w:val="28"/>
          <w:u w:val="single"/>
        </w:rPr>
        <w:t xml:space="preserve">           </w:t>
      </w:r>
      <w:r/>
    </w:p>
    <w:p>
      <w:pPr>
        <w:ind w:firstLine="1918"/>
        <w:spacing w:line="360" w:lineRule="auto"/>
        <w:widowControl/>
        <w:rPr>
          <w:rFonts w:hint="eastAsia" w:ascii="宋体" w:hAnsi="宋体" w:cs="宋体"/>
          <w:sz w:val="28"/>
          <w:szCs w:val="28"/>
        </w:rPr>
      </w:pPr>
      <w:r>
        <w:rPr>
          <w:rFonts w:hint="eastAsia" w:ascii="宋体" w:hAnsi="宋体" w:cs="宋体"/>
          <w:b/>
          <w:bCs/>
          <w:sz w:val="28"/>
          <w:szCs w:val="28"/>
        </w:rPr>
        <w:t xml:space="preserve">项目名称：</w:t>
      </w:r>
      <w:r>
        <w:rPr>
          <w:rFonts w:hint="eastAsia" w:ascii="宋体" w:hAnsi="宋体" w:cs="宋体"/>
          <w:b/>
          <w:bCs/>
          <w:sz w:val="28"/>
          <w:szCs w:val="28"/>
          <w:u w:val="single"/>
        </w:rPr>
        <w:t xml:space="preserve">           </w:t>
      </w:r>
      <w:r/>
    </w:p>
    <w:p>
      <w:pPr>
        <w:ind w:firstLine="1918"/>
        <w:spacing w:line="360" w:lineRule="auto"/>
        <w:widowControl/>
        <w:rPr>
          <w:rFonts w:hint="eastAsia" w:ascii="宋体" w:hAnsi="宋体" w:cs="宋体"/>
          <w:sz w:val="28"/>
          <w:szCs w:val="28"/>
        </w:rPr>
      </w:pPr>
      <w:r>
        <w:rPr>
          <w:rFonts w:hint="eastAsia" w:ascii="宋体" w:hAnsi="宋体" w:cs="宋体"/>
          <w:b/>
          <w:bCs/>
          <w:sz w:val="28"/>
          <w:szCs w:val="28"/>
        </w:rPr>
        <w:t xml:space="preserve">采购人（甲方）：</w:t>
      </w:r>
      <w:r>
        <w:rPr>
          <w:rFonts w:hint="eastAsia" w:ascii="宋体" w:hAnsi="宋体" w:cs="宋体"/>
          <w:b/>
          <w:bCs/>
          <w:sz w:val="28"/>
          <w:szCs w:val="28"/>
          <w:u w:val="single"/>
        </w:rPr>
        <w:t xml:space="preserve">        </w:t>
      </w:r>
      <w:r/>
    </w:p>
    <w:p>
      <w:pPr>
        <w:ind w:firstLine="1916"/>
        <w:spacing w:line="360" w:lineRule="auto"/>
        <w:widowControl/>
        <w:rPr>
          <w:rFonts w:hint="eastAsia" w:ascii="宋体" w:hAnsi="宋体" w:cs="宋体"/>
          <w:sz w:val="28"/>
          <w:szCs w:val="28"/>
        </w:rPr>
      </w:pPr>
      <w:r>
        <w:rPr>
          <w:rFonts w:hint="eastAsia" w:ascii="宋体" w:hAnsi="宋体" w:cs="宋体"/>
          <w:b/>
          <w:bCs/>
          <w:sz w:val="28"/>
          <w:szCs w:val="28"/>
        </w:rPr>
        <w:t xml:space="preserve">供应商（乙方）：</w:t>
      </w:r>
      <w:r>
        <w:rPr>
          <w:rFonts w:hint="eastAsia" w:ascii="宋体" w:hAnsi="宋体" w:cs="宋体"/>
          <w:b/>
          <w:bCs/>
          <w:sz w:val="28"/>
          <w:szCs w:val="28"/>
          <w:u w:val="single"/>
        </w:rPr>
        <w:t xml:space="preserve">        </w:t>
      </w:r>
      <w:r/>
    </w:p>
    <w:p>
      <w:pPr>
        <w:ind w:firstLine="1916"/>
        <w:spacing w:line="360" w:lineRule="auto"/>
        <w:widowControl/>
        <w:rPr>
          <w:rFonts w:hint="eastAsia" w:ascii="宋体" w:hAnsi="宋体" w:cs="宋体"/>
          <w:sz w:val="28"/>
          <w:szCs w:val="28"/>
        </w:rPr>
      </w:pPr>
      <w:r>
        <w:rPr>
          <w:rFonts w:hint="eastAsia" w:ascii="宋体" w:hAnsi="宋体" w:cs="宋体"/>
          <w:b/>
          <w:bCs/>
          <w:sz w:val="28"/>
          <w:szCs w:val="28"/>
        </w:rPr>
        <w:t xml:space="preserve">签订日期：</w:t>
      </w:r>
      <w:r>
        <w:rPr>
          <w:rFonts w:hint="eastAsia" w:ascii="宋体" w:hAnsi="宋体" w:cs="宋体"/>
          <w:b/>
          <w:bCs/>
          <w:sz w:val="28"/>
          <w:szCs w:val="28"/>
          <w:u w:val="single"/>
        </w:rPr>
        <w:t xml:space="preserve">           </w:t>
      </w:r>
      <w:r/>
    </w:p>
    <w:p>
      <w:pPr>
        <w:jc w:val="left"/>
        <w:spacing w:line="360" w:lineRule="auto"/>
        <w:rPr>
          <w:rFonts w:hint="eastAsia" w:ascii="宋体" w:hAnsi="宋体" w:cs="宋体"/>
          <w:sz w:val="28"/>
          <w:szCs w:val="28"/>
        </w:rPr>
      </w:pPr>
      <w:r>
        <w:rPr>
          <w:rFonts w:hint="eastAsia" w:ascii="宋体" w:hAnsi="宋体" w:cs="宋体"/>
          <w:sz w:val="28"/>
          <w:szCs w:val="28"/>
        </w:rPr>
      </w:r>
      <w:r/>
    </w:p>
    <w:p>
      <w:pPr>
        <w:ind w:left="-420" w:right="-313" w:firstLine="281"/>
        <w:jc w:val="left"/>
        <w:spacing w:line="360" w:lineRule="auto"/>
        <w:rPr>
          <w:rFonts w:hint="eastAsia" w:ascii="宋体" w:hAnsi="宋体" w:cs="宋体"/>
          <w:b/>
          <w:bCs/>
          <w:sz w:val="28"/>
          <w:szCs w:val="28"/>
        </w:rPr>
      </w:pPr>
      <w:r>
        <w:rPr>
          <w:rFonts w:hint="eastAsia" w:ascii="宋体" w:hAnsi="宋体" w:cs="宋体"/>
          <w:b/>
          <w:bCs/>
          <w:sz w:val="28"/>
          <w:szCs w:val="28"/>
        </w:rPr>
      </w:r>
      <w:r/>
    </w:p>
    <w:p>
      <w:pPr>
        <w:ind w:left="-420" w:right="-313" w:firstLine="281"/>
        <w:jc w:val="left"/>
        <w:spacing w:line="360" w:lineRule="auto"/>
        <w:rPr>
          <w:rFonts w:hint="eastAsia" w:ascii="宋体" w:hAnsi="宋体" w:cs="宋体"/>
          <w:b/>
          <w:bCs/>
          <w:sz w:val="28"/>
          <w:szCs w:val="28"/>
        </w:rPr>
      </w:pPr>
      <w:r>
        <w:rPr>
          <w:rFonts w:hint="eastAsia" w:ascii="宋体" w:hAnsi="宋体" w:cs="宋体"/>
          <w:b/>
          <w:bCs/>
          <w:sz w:val="28"/>
          <w:szCs w:val="28"/>
        </w:rPr>
      </w:r>
      <w:r/>
    </w:p>
    <w:p>
      <w:pPr>
        <w:ind w:right="-313"/>
        <w:jc w:val="left"/>
        <w:spacing w:line="360" w:lineRule="auto"/>
        <w:rPr>
          <w:rFonts w:hint="eastAsia" w:ascii="宋体" w:hAnsi="宋体" w:cs="宋体"/>
          <w:b/>
          <w:bCs/>
          <w:sz w:val="28"/>
          <w:szCs w:val="28"/>
        </w:rPr>
      </w:pPr>
      <w:r>
        <w:rPr>
          <w:rFonts w:hint="eastAsia" w:ascii="宋体" w:hAnsi="宋体" w:cs="宋体"/>
          <w:b/>
          <w:bCs/>
          <w:sz w:val="28"/>
          <w:szCs w:val="28"/>
        </w:rPr>
      </w:r>
      <w:r/>
    </w:p>
    <w:p>
      <w:pPr>
        <w:ind w:left="-420" w:right="-313" w:firstLine="281"/>
        <w:jc w:val="left"/>
        <w:spacing w:line="360" w:lineRule="auto"/>
        <w:rPr>
          <w:rFonts w:hint="eastAsia" w:ascii="宋体" w:hAnsi="宋体" w:cs="宋体"/>
          <w:b/>
          <w:bCs/>
          <w:sz w:val="28"/>
          <w:szCs w:val="28"/>
        </w:rPr>
      </w:pPr>
      <w:r>
        <w:rPr>
          <w:rFonts w:hint="eastAsia" w:ascii="宋体" w:hAnsi="宋体" w:cs="宋体"/>
          <w:b/>
          <w:bCs/>
          <w:sz w:val="28"/>
          <w:szCs w:val="28"/>
        </w:rPr>
      </w:r>
      <w:r/>
    </w:p>
    <w:p>
      <w:pPr>
        <w:ind w:left="108" w:firstLine="562"/>
        <w:jc w:val="left"/>
        <w:spacing w:line="360" w:lineRule="auto"/>
        <w:tabs>
          <w:tab w:val="left" w:pos="4785" w:leader="none"/>
        </w:tabs>
        <w:rPr>
          <w:rFonts w:hint="eastAsia" w:ascii="宋体" w:hAnsi="宋体" w:cs="宋体"/>
          <w:b/>
          <w:bCs/>
          <w:sz w:val="28"/>
          <w:szCs w:val="28"/>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bCs/>
          <w:sz w:val="28"/>
          <w:szCs w:val="28"/>
        </w:rPr>
        <w:t xml:space="preserve">注：货物类采购合同参考格式，本合同内容条款在正式签署前可具体补充细化，仅作参考，最终合同以采购人法务审查通过的版本为准。</w:t>
      </w:r>
      <w:r/>
    </w:p>
    <w:p>
      <w:pPr>
        <w:ind w:firstLine="293"/>
        <w:spacing w:before="120" w:after="120"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ind w:firstLine="293"/>
        <w:spacing w:before="120" w:after="120" w:line="360" w:lineRule="auto"/>
        <w:rPr>
          <w:rFonts w:hint="eastAsia" w:ascii="宋体" w:hAnsi="宋体" w:cs="宋体"/>
          <w:b/>
          <w:bCs/>
          <w:szCs w:val="21"/>
        </w:rPr>
      </w:pPr>
      <w:r>
        <w:rPr>
          <w:rFonts w:hint="eastAsia" w:ascii="宋体" w:hAnsi="宋体" w:cs="宋体"/>
          <w:b/>
          <w:bCs/>
          <w:szCs w:val="21"/>
        </w:rPr>
        <w:t xml:space="preserve">乙方：</w:t>
      </w:r>
      <w:r/>
    </w:p>
    <w:p>
      <w:pPr>
        <w:ind w:firstLine="293"/>
        <w:spacing w:before="120" w:after="120" w:line="360" w:lineRule="auto"/>
        <w:rPr>
          <w:rFonts w:hint="eastAsia" w:ascii="宋体" w:hAnsi="宋体" w:cs="宋体"/>
          <w:b/>
          <w:bCs/>
          <w:szCs w:val="21"/>
        </w:rPr>
      </w:pPr>
      <w:r>
        <w:rPr>
          <w:rFonts w:hint="eastAsia" w:ascii="宋体" w:hAnsi="宋体" w:cs="宋体"/>
          <w:b/>
          <w:bCs/>
          <w:szCs w:val="21"/>
        </w:rPr>
        <w:t xml:space="preserve">采购代理机构：</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一、说明：</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江苏省特种设备安全监督检验研究院所需检测设备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二、合同条款：</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439"/>
        <w:ind w:left="0" w:firstLine="420"/>
        <w:spacing w:line="440" w:lineRule="exact"/>
        <w:tabs>
          <w:tab w:val="left" w:pos="4785" w:leader="none"/>
        </w:tabs>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1.设备名称、型号规格、数量及服务内容。</w:t>
      </w:r>
      <w:r/>
    </w:p>
    <w:tbl>
      <w:tblPr>
        <w:tblStyle w:val="12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3"/>
        <w:gridCol w:w="1562"/>
        <w:gridCol w:w="1328"/>
        <w:gridCol w:w="1081"/>
        <w:gridCol w:w="968"/>
        <w:gridCol w:w="1652"/>
        <w:gridCol w:w="1572"/>
      </w:tblGrid>
      <w:tr>
        <w:trPr>
          <w:jc w:val="center"/>
          <w:trHeight w:val="19"/>
        </w:trPr>
        <w:tc>
          <w:tcPr>
            <w:tcW w:w="808"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设备名称</w:t>
            </w:r>
            <w:r/>
          </w:p>
        </w:tc>
        <w:tc>
          <w:tcPr>
            <w:tcW w:w="802"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品牌</w:t>
            </w:r>
            <w:r/>
          </w:p>
        </w:tc>
        <w:tc>
          <w:tcPr>
            <w:tcW w:w="682"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型号</w:t>
            </w:r>
            <w:r/>
          </w:p>
        </w:tc>
        <w:tc>
          <w:tcPr>
            <w:tcW w:w="555"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单位</w:t>
            </w:r>
            <w:r/>
          </w:p>
        </w:tc>
        <w:tc>
          <w:tcPr>
            <w:tcW w:w="497"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数量</w:t>
            </w:r>
            <w:r/>
          </w:p>
        </w:tc>
        <w:tc>
          <w:tcPr>
            <w:tcW w:w="848"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单价（元）</w:t>
            </w:r>
            <w:r/>
          </w:p>
        </w:tc>
        <w:tc>
          <w:tcPr>
            <w:tcW w:w="806"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总价（元）</w:t>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238"/>
              <w:ind w:firstLine="0"/>
              <w:jc w:val="center"/>
              <w:spacing w:line="440" w:lineRule="exact"/>
              <w:tabs>
                <w:tab w:val="left" w:pos="-235" w:leader="none"/>
              </w:tabs>
              <w:rPr>
                <w:rFonts w:hint="eastAsia" w:ascii="宋体" w:hAnsi="宋体" w:cs="宋体"/>
                <w:bCs/>
                <w:sz w:val="21"/>
                <w:szCs w:val="21"/>
              </w:rPr>
            </w:pPr>
            <w:r>
              <w:rPr>
                <w:rFonts w:hint="eastAsia" w:ascii="宋体" w:hAnsi="宋体" w:cs="宋体"/>
                <w:bCs/>
                <w:sz w:val="21"/>
                <w:szCs w:val="21"/>
              </w:rPr>
            </w:r>
            <w:r/>
          </w:p>
        </w:tc>
        <w:tc>
          <w:tcPr>
            <w:tcW w:w="682" w:type="pct"/>
            <w:vAlign w:val="center"/>
            <w:textDirection w:val="lrTb"/>
            <w:noWrap w:val="false"/>
          </w:tcPr>
          <w:p>
            <w:pPr>
              <w:pStyle w:val="1238"/>
              <w:ind w:firstLine="0"/>
              <w:jc w:val="center"/>
              <w:spacing w:line="440" w:lineRule="exact"/>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682" w:type="pct"/>
            <w:vAlign w:val="center"/>
            <w:textDirection w:val="lrTb"/>
            <w:noWrap w:val="false"/>
          </w:tcPr>
          <w:p>
            <w:pPr>
              <w:pStyle w:val="1238"/>
              <w:ind w:firstLine="0"/>
              <w:jc w:val="center"/>
              <w:spacing w:line="440" w:lineRule="exact"/>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682" w:type="pct"/>
            <w:vAlign w:val="center"/>
            <w:textDirection w:val="lrTb"/>
            <w:noWrap w:val="false"/>
          </w:tcPr>
          <w:p>
            <w:pPr>
              <w:pStyle w:val="1238"/>
              <w:ind w:firstLine="0"/>
              <w:jc w:val="center"/>
              <w:spacing w:line="440" w:lineRule="exact"/>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682" w:type="pct"/>
            <w:vAlign w:val="center"/>
            <w:textDirection w:val="lrTb"/>
            <w:noWrap w:val="false"/>
          </w:tcPr>
          <w:p>
            <w:pPr>
              <w:pStyle w:val="1238"/>
              <w:ind w:firstLine="0"/>
              <w:jc w:val="center"/>
              <w:spacing w:line="440" w:lineRule="exact"/>
              <w:tabs>
                <w:tab w:val="left" w:pos="-235" w:leader="none"/>
              </w:tabs>
              <w:rPr>
                <w:rFonts w:hint="eastAsia" w:ascii="宋体" w:hAnsi="宋体" w:cs="宋体"/>
                <w:bCs/>
                <w:sz w:val="21"/>
                <w:szCs w:val="21"/>
              </w:rPr>
            </w:pPr>
            <w:r>
              <w:rPr>
                <w:rFonts w:hint="eastAsia" w:ascii="宋体" w:hAnsi="宋体" w:cs="宋体"/>
                <w:bCs/>
                <w:sz w:val="21"/>
                <w:szCs w:val="21"/>
              </w:rPr>
            </w:r>
            <w:r/>
          </w:p>
        </w:tc>
        <w:tc>
          <w:tcPr>
            <w:tcW w:w="555"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c>
          <w:tcPr>
            <w:tcW w:w="806"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sz w:val="21"/>
                <w:szCs w:val="21"/>
              </w:rPr>
            </w:r>
            <w:r/>
          </w:p>
        </w:tc>
      </w:tr>
      <w:tr>
        <w:trPr>
          <w:jc w:val="center"/>
          <w:trHeight w:val="19"/>
        </w:trPr>
        <w:tc>
          <w:tcPr>
            <w:gridSpan w:val="4"/>
            <w:tcW w:w="2847" w:type="pct"/>
            <w:vAlign w:val="center"/>
            <w:textDirection w:val="lrTb"/>
            <w:noWrap w:val="false"/>
          </w:tcPr>
          <w:p>
            <w:pPr>
              <w:pStyle w:val="1238"/>
              <w:ind w:firstLine="0"/>
              <w:jc w:val="center"/>
              <w:spacing w:line="440" w:lineRule="exact"/>
              <w:tabs>
                <w:tab w:val="left" w:pos="-235" w:leader="none"/>
              </w:tabs>
              <w:rPr>
                <w:rFonts w:hint="eastAsia" w:ascii="宋体" w:hAnsi="宋体" w:cs="宋体"/>
                <w:sz w:val="21"/>
                <w:szCs w:val="21"/>
              </w:rPr>
            </w:pPr>
            <w:r>
              <w:rPr>
                <w:rFonts w:hint="eastAsia" w:ascii="宋体" w:hAnsi="宋体" w:cs="宋体"/>
                <w:bCs/>
                <w:sz w:val="21"/>
                <w:szCs w:val="21"/>
              </w:rPr>
              <w:t xml:space="preserve">合计（元）</w:t>
            </w:r>
            <w:r/>
          </w:p>
        </w:tc>
        <w:tc>
          <w:tcPr>
            <w:gridSpan w:val="3"/>
            <w:tcW w:w="2152" w:type="pct"/>
            <w:vAlign w:val="center"/>
            <w:textDirection w:val="lrTb"/>
            <w:noWrap w:val="false"/>
          </w:tcPr>
          <w:p>
            <w:pPr>
              <w:pStyle w:val="1238"/>
              <w:ind w:firstLine="0"/>
              <w:spacing w:line="440" w:lineRule="exact"/>
              <w:tabs>
                <w:tab w:val="left" w:pos="-235" w:leader="none"/>
              </w:tabs>
              <w:rPr>
                <w:rFonts w:hint="eastAsia" w:ascii="宋体" w:hAnsi="宋体" w:cs="宋体"/>
                <w:sz w:val="21"/>
                <w:szCs w:val="21"/>
              </w:rPr>
            </w:pPr>
            <w:r>
              <w:rPr>
                <w:rFonts w:hint="eastAsia" w:ascii="宋体" w:hAnsi="宋体" w:cs="宋体"/>
                <w:sz w:val="21"/>
                <w:szCs w:val="21"/>
              </w:rPr>
              <w:t xml:space="preserve">￥</w:t>
            </w:r>
            <w:r/>
          </w:p>
        </w:tc>
      </w:tr>
    </w:tbl>
    <w:p>
      <w:pPr>
        <w:ind w:firstLine="420"/>
        <w:jc w:val="left"/>
        <w:spacing w:line="440" w:lineRule="exact"/>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left="108" w:firstLine="1470"/>
        <w:jc w:val="left"/>
        <w:spacing w:line="440" w:lineRule="exact"/>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2.1合同总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p>
    <w:p>
      <w:pPr>
        <w:ind w:firstLine="525"/>
        <w:spacing w:line="440" w:lineRule="exact"/>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1238"/>
        <w:ind w:firstLine="602"/>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Cs/>
          <w:szCs w:val="21"/>
          <w:u w:val="single"/>
        </w:rPr>
        <w:t xml:space="preserve">甲方指定地点。</w:t>
      </w:r>
      <w:r/>
    </w:p>
    <w:p>
      <w:pPr>
        <w:pStyle w:val="1238"/>
        <w:ind w:firstLine="602"/>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Cs/>
          <w:szCs w:val="21"/>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8.2履约保函</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4"/>
        </w:num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630"/>
        <w:jc w:val="left"/>
        <w:spacing w:line="440" w:lineRule="exact"/>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630"/>
        <w:jc w:val="left"/>
        <w:spacing w:line="440" w:lineRule="exact"/>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630"/>
        <w:jc w:val="left"/>
        <w:spacing w:line="440" w:lineRule="exact"/>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left="108" w:firstLine="420"/>
        <w:jc w:val="left"/>
        <w:spacing w:line="440" w:lineRule="exact"/>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设备厂家工程师赶到甲方现场，帮助排除故障、修复或更换零部件，需购买零部件时，仅收取成本费。</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10.4 质保期满后，如设备出现故障，乙方在接到甲方通知后，仍应在上述时限内响应、派设备厂家工程师赶到甲方现场，帮助排除故障、修复或更换零部件，需购买零部件时，酌情收取成本费。</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11. 技术资料</w:t>
      </w:r>
      <w:r/>
    </w:p>
    <w:p>
      <w:pPr>
        <w:ind w:left="108"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13.2乙方逾期交付的，每逾期1天，乙方应向甲方支付合同总价款的5‰的逾期违约金。</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违约金标准：合同金额50万（含）以下的违约金按照合同总价款的20%计算，合同金额50万至100万（含）的违约金按照合同总价款的10%计算，合同金额超过100万元的违约金按照合同总价款的5%计算）。</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40" w:lineRule="exact"/>
        <w:widowControl/>
        <w:rPr>
          <w:rFonts w:hint="eastAsia" w:ascii="宋体" w:hAnsi="宋体" w:cs="宋体"/>
          <w:szCs w:val="21"/>
        </w:rPr>
      </w:pPr>
      <w:r>
        <w:rPr>
          <w:rFonts w:hint="eastAsia" w:ascii="宋体" w:hAnsi="宋体" w:cs="宋体"/>
          <w:szCs w:val="21"/>
        </w:rPr>
        <w:t xml:space="preserve">13.7乙方所交付的货物或服务不符合合同规定的，甲方有权拒收。甲方拒收的，乙方应向甲方支付违约金</w:t>
      </w:r>
      <w:bookmarkStart w:id="111" w:name="OLE_LINK8"/>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bookmarkEnd w:id="111"/>
      <w:r>
        <w:rPr>
          <w:rFonts w:hint="eastAsia" w:ascii="宋体" w:hAnsi="宋体" w:cs="宋体"/>
          <w:szCs w:val="21"/>
        </w:rPr>
        <w:t xml:space="preserve">。甲方未拒收的，采购代理机构发现后将向有关部门反映，并责成乙方按照采购结果提供服务。</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440" w:lineRule="exact"/>
        <w:tabs>
          <w:tab w:val="left" w:pos="4785" w:leader="none"/>
        </w:tabs>
        <w:rPr>
          <w:rFonts w:hint="eastAsia" w:ascii="宋体" w:hAnsi="宋体" w:cs="宋体"/>
          <w:szCs w:val="21"/>
        </w:rPr>
      </w:pPr>
      <w:r/>
      <w:bookmarkStart w:id="112" w:name="_Toc19018"/>
      <w:r>
        <w:rPr>
          <w:rFonts w:hint="eastAsia" w:ascii="宋体" w:hAnsi="宋体" w:cs="宋体"/>
          <w:szCs w:val="21"/>
        </w:rPr>
        <w:t xml:space="preserve">四、合同权利义务的转让</w:t>
      </w:r>
      <w:bookmarkEnd w:id="112"/>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20"/>
        <w:jc w:val="left"/>
        <w:spacing w:line="440" w:lineRule="exact"/>
        <w:tabs>
          <w:tab w:val="left" w:pos="4785" w:leader="none"/>
        </w:tabs>
        <w:rPr>
          <w:rFonts w:hint="eastAsia" w:ascii="宋体" w:hAnsi="宋体" w:cs="宋体"/>
          <w:szCs w:val="21"/>
        </w:rPr>
      </w:pPr>
      <w:r/>
      <w:bookmarkStart w:id="113" w:name="_Toc30322"/>
      <w:r>
        <w:rPr>
          <w:rFonts w:hint="eastAsia" w:ascii="宋体" w:hAnsi="宋体" w:cs="宋体"/>
          <w:szCs w:val="21"/>
        </w:rPr>
        <w:t xml:space="preserve">六、争议解决条款</w:t>
      </w:r>
      <w:bookmarkEnd w:id="113"/>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40" w:lineRule="exact"/>
        <w:tabs>
          <w:tab w:val="left" w:pos="4785" w:leader="none"/>
        </w:tabs>
        <w:rPr>
          <w:rFonts w:hint="eastAsia" w:ascii="宋体" w:hAnsi="宋体" w:cs="宋体"/>
          <w:szCs w:val="21"/>
        </w:rPr>
      </w:pPr>
      <w:r/>
      <w:bookmarkStart w:id="114" w:name="_Toc20895"/>
      <w:r>
        <w:rPr>
          <w:rFonts w:hint="eastAsia" w:ascii="宋体" w:hAnsi="宋体" w:cs="宋体"/>
          <w:szCs w:val="21"/>
        </w:rPr>
        <w:t xml:space="preserve">七、</w:t>
      </w:r>
      <w:bookmarkEnd w:id="114"/>
      <w:r>
        <w:rPr>
          <w:rFonts w:hint="eastAsia" w:ascii="宋体" w:hAnsi="宋体" w:cs="宋体"/>
          <w:szCs w:val="21"/>
        </w:rPr>
        <w:t xml:space="preserve">廉洁条款</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270"/>
        <w:ind w:firstLine="420"/>
        <w:spacing w:before="0" w:beforeAutospacing="0" w:after="0" w:afterAutospacing="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九、不可抗力</w:t>
      </w:r>
      <w:r/>
    </w:p>
    <w:p>
      <w:pPr>
        <w:pStyle w:val="1270"/>
        <w:ind w:firstLine="420"/>
        <w:spacing w:before="0" w:beforeAutospacing="0" w:after="0" w:afterAutospacing="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十、送达条款</w:t>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270"/>
        <w:ind w:firstLine="420"/>
        <w:spacing w:before="0" w:beforeAutospacing="0" w:after="0" w:afterAutospacing="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十一、其他</w:t>
      </w:r>
      <w:r/>
    </w:p>
    <w:p>
      <w:pPr>
        <w:pStyle w:val="1270"/>
        <w:ind w:firstLine="420"/>
        <w:spacing w:before="0" w:beforeAutospacing="0" w:after="0" w:afterAutospacing="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11.1、合同的生效：本合同一式陆份，自甲乙双方签字并加盖骑缝章之日起生效。</w:t>
      </w:r>
      <w:r/>
    </w:p>
    <w:p>
      <w:pPr>
        <w:pStyle w:val="1270"/>
        <w:ind w:firstLine="420"/>
        <w:spacing w:before="0" w:beforeAutospacing="0" w:after="0" w:afterAutospacing="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11.2、未尽事宜、双方协商解决，并按《中华人民共和国民法典》及相关法律、法规的规定调整。</w:t>
      </w:r>
      <w:r/>
    </w:p>
    <w:p>
      <w:pPr>
        <w:pStyle w:val="1270"/>
        <w:ind w:firstLine="420"/>
        <w:spacing w:before="0" w:beforeAutospacing="0" w:after="0" w:afterAutospacing="0"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Style w:val="1235"/>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rPr>
          <w:rFonts w:hint="eastAsia" w:ascii="宋体" w:hAnsi="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rPr>
      </w:r>
      <w:r/>
    </w:p>
    <w:p>
      <w:pPr>
        <w:ind w:firstLine="3373"/>
        <w:rPr>
          <w:b/>
          <w:color w:val="000000"/>
          <w:sz w:val="28"/>
          <w:szCs w:val="28"/>
        </w:rPr>
        <w:outlineLvl w:val="0"/>
      </w:pPr>
      <w:r/>
      <w:bookmarkStart w:id="115" w:name="_Toc231822744"/>
      <w:r>
        <w:rPr>
          <w:b/>
          <w:color w:val="000000"/>
          <w:sz w:val="28"/>
          <w:szCs w:val="28"/>
        </w:rPr>
        <w:t xml:space="preserve">第六章 投标文件格式及附件</w:t>
      </w:r>
      <w:bookmarkEnd w:id="115"/>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5"/>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16" w:name="_Toc29373"/>
      <w:r/>
      <w:bookmarkStart w:id="117" w:name="_Toc496780634"/>
      <w:r/>
      <w:bookmarkStart w:id="118" w:name="_Toc4200"/>
      <w:r/>
      <w:bookmarkStart w:id="119" w:name="_Toc24614"/>
      <w:r/>
      <w:bookmarkStart w:id="120" w:name="_Toc31843"/>
      <w:r>
        <w:rPr>
          <w:b/>
          <w:color w:val="000000"/>
          <w:szCs w:val="21"/>
        </w:rPr>
        <w:t xml:space="preserve">评审索引</w:t>
      </w:r>
      <w:bookmarkEnd w:id="116"/>
      <w:r/>
      <w:bookmarkEnd w:id="117"/>
      <w:r>
        <w:rPr>
          <w:b/>
          <w:color w:val="000000"/>
          <w:szCs w:val="21"/>
        </w:rPr>
        <w:t xml:space="preserve">表</w:t>
      </w:r>
      <w:bookmarkEnd w:id="118"/>
      <w:r/>
      <w:bookmarkEnd w:id="119"/>
      <w:r/>
      <w:bookmarkEnd w:id="120"/>
      <w:r/>
      <w:r/>
    </w:p>
    <w:tbl>
      <w:tblPr>
        <w:tblStyle w:val="123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1" w:name="_Toc28190"/>
      <w:r/>
      <w:bookmarkStart w:id="122" w:name="_Toc231822745"/>
      <w:r/>
      <w:bookmarkStart w:id="123" w:name="_Toc15346"/>
      <w:r/>
      <w:bookmarkStart w:id="124" w:name="_Toc4034"/>
      <w:r/>
      <w:bookmarkStart w:id="125" w:name="_Toc1929"/>
      <w:r/>
      <w:bookmarkStart w:id="126" w:name="_Toc24640"/>
      <w:r/>
      <w:bookmarkStart w:id="127" w:name="_Toc9700"/>
      <w:r>
        <w:rPr>
          <w:b/>
          <w:color w:val="000000"/>
          <w:szCs w:val="21"/>
        </w:rPr>
        <w:t xml:space="preserve">附件一 投标函格式</w:t>
      </w:r>
      <w:bookmarkEnd w:id="121"/>
      <w:r/>
      <w:bookmarkEnd w:id="122"/>
      <w:r/>
      <w:bookmarkEnd w:id="123"/>
      <w:r/>
      <w:bookmarkEnd w:id="124"/>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bookmarkEnd w:id="125"/>
      <w:r/>
      <w:bookmarkEnd w:id="126"/>
      <w:r/>
      <w:bookmarkEnd w:id="127"/>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28" w:name="_Toc231822746"/>
      <w:r>
        <w:rPr>
          <w:b/>
          <w:color w:val="000000"/>
          <w:szCs w:val="21"/>
        </w:rPr>
        <w:t xml:space="preserve">附件二 开标一览表</w:t>
      </w:r>
      <w:bookmarkEnd w:id="128"/>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235"/>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29" w:name="_Toc5534"/>
      <w:r/>
      <w:bookmarkStart w:id="130" w:name="_Toc231822747"/>
      <w:r/>
      <w:bookmarkStart w:id="131" w:name="_Toc24465"/>
      <w:r/>
      <w:bookmarkStart w:id="132" w:name="_Toc11266"/>
      <w:r>
        <w:rPr>
          <w:b/>
          <w:color w:val="000000"/>
          <w:szCs w:val="21"/>
        </w:rPr>
        <w:t xml:space="preserve">附件三 分项报价表</w:t>
      </w:r>
      <w:bookmarkEnd w:id="129"/>
      <w:r/>
      <w:bookmarkEnd w:id="130"/>
      <w:r/>
      <w:bookmarkEnd w:id="131"/>
      <w:r/>
      <w:bookmarkEnd w:id="132"/>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235"/>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3" w:name="_Toc31821"/>
      <w:r/>
      <w:bookmarkStart w:id="134" w:name="_Toc1916"/>
      <w:r/>
      <w:bookmarkStart w:id="135" w:name="_Toc231822748"/>
      <w:r/>
      <w:bookmarkStart w:id="136" w:name="_Toc113527849"/>
      <w:r/>
      <w:bookmarkStart w:id="137" w:name="_Toc14830"/>
      <w:r>
        <w:rPr>
          <w:b/>
          <w:color w:val="000000"/>
          <w:szCs w:val="21"/>
        </w:rPr>
        <w:t xml:space="preserve">附件四 商务条款偏离表</w:t>
      </w:r>
      <w:bookmarkEnd w:id="133"/>
      <w:r/>
      <w:bookmarkEnd w:id="134"/>
      <w:r/>
      <w:bookmarkEnd w:id="135"/>
      <w:r/>
      <w:bookmarkEnd w:id="136"/>
      <w:r/>
      <w:bookmarkEnd w:id="137"/>
      <w:r/>
      <w:r/>
    </w:p>
    <w:tbl>
      <w:tblPr>
        <w:tblStyle w:val="1235"/>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38" w:name="_Toc113527850"/>
      <w:r/>
      <w:bookmarkStart w:id="139" w:name="_Toc25051"/>
      <w:r/>
      <w:bookmarkStart w:id="140" w:name="_Toc6138"/>
      <w:r/>
      <w:bookmarkStart w:id="141" w:name="_Toc231822749"/>
      <w:r/>
      <w:bookmarkStart w:id="142" w:name="_Toc7213"/>
      <w:r>
        <w:rPr>
          <w:b/>
          <w:color w:val="000000"/>
          <w:szCs w:val="21"/>
        </w:rPr>
        <w:t xml:space="preserve">附件五 技术条款偏离表</w:t>
      </w:r>
      <w:bookmarkEnd w:id="138"/>
      <w:r/>
      <w:bookmarkEnd w:id="139"/>
      <w:r/>
      <w:bookmarkEnd w:id="140"/>
      <w:r/>
      <w:bookmarkEnd w:id="141"/>
      <w:r/>
      <w:bookmarkEnd w:id="142"/>
      <w:r/>
      <w:r/>
    </w:p>
    <w:tbl>
      <w:tblPr>
        <w:tblStyle w:val="1235"/>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43" w:name="_Toc3639"/>
      <w:r/>
      <w:bookmarkStart w:id="144" w:name="_Toc17724"/>
      <w:r/>
      <w:bookmarkStart w:id="145" w:name="_Toc22252"/>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46" w:name="_Toc231822750"/>
      <w:r>
        <w:rPr>
          <w:b/>
          <w:color w:val="000000"/>
          <w:szCs w:val="21"/>
        </w:rPr>
        <w:t xml:space="preserve">附件六 拟参与本项目服务人员一览表</w:t>
      </w:r>
      <w:bookmarkEnd w:id="146"/>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235"/>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47" w:name="_Toc231822751"/>
      <w:r>
        <w:rPr>
          <w:b/>
          <w:color w:val="000000"/>
          <w:szCs w:val="21"/>
        </w:rPr>
        <w:t xml:space="preserve">附件七 投标人类似业绩情况表</w:t>
      </w:r>
      <w:bookmarkEnd w:id="147"/>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235"/>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48" w:name="_Toc113527851"/>
      <w:r>
        <w:rPr>
          <w:b/>
          <w:bCs/>
          <w:color w:val="000000"/>
          <w:szCs w:val="21"/>
        </w:rPr>
        <w:br w:type="page" w:clear="all"/>
      </w:r>
      <w:r/>
    </w:p>
    <w:p>
      <w:pPr>
        <w:jc w:val="left"/>
        <w:spacing w:line="360" w:lineRule="auto"/>
        <w:rPr>
          <w:b/>
          <w:color w:val="000000"/>
          <w:szCs w:val="21"/>
        </w:rPr>
        <w:outlineLvl w:val="1"/>
      </w:pPr>
      <w:r/>
      <w:bookmarkStart w:id="149" w:name="_Toc231822752"/>
      <w:r>
        <w:rPr>
          <w:b/>
          <w:color w:val="000000"/>
          <w:szCs w:val="21"/>
        </w:rPr>
        <w:t xml:space="preserve">附件八 政府采购政策</w:t>
      </w:r>
      <w:bookmarkEnd w:id="143"/>
      <w:r/>
      <w:bookmarkEnd w:id="144"/>
      <w:r/>
      <w:bookmarkEnd w:id="145"/>
      <w:r/>
      <w:bookmarkEnd w:id="148"/>
      <w:r/>
      <w:bookmarkEnd w:id="149"/>
      <w:r/>
      <w:r/>
    </w:p>
    <w:p>
      <w:pPr>
        <w:jc w:val="center"/>
        <w:spacing w:line="360" w:lineRule="auto"/>
        <w:rPr>
          <w:b/>
          <w:color w:val="000000"/>
          <w:szCs w:val="21"/>
        </w:rPr>
      </w:pPr>
      <w:r/>
      <w:bookmarkStart w:id="150" w:name="_Toc231820635"/>
      <w:r/>
      <w:bookmarkStart w:id="151" w:name="_Toc28798"/>
      <w:r/>
      <w:bookmarkStart w:id="152" w:name="_Toc17125"/>
      <w:r/>
      <w:bookmarkStart w:id="153" w:name="_Toc21802"/>
      <w:r/>
      <w:bookmarkStart w:id="154" w:name="_Toc92"/>
      <w:r/>
      <w:bookmarkStart w:id="155" w:name="_Toc18700"/>
      <w:r/>
      <w:r/>
    </w:p>
    <w:p>
      <w:pPr>
        <w:jc w:val="center"/>
        <w:spacing w:line="360" w:lineRule="auto"/>
      </w:pPr>
      <w:r>
        <w:rPr>
          <w:b/>
          <w:color w:val="000000"/>
          <w:szCs w:val="21"/>
        </w:rPr>
        <w:t xml:space="preserve">（一）《中小企业声明函》</w:t>
      </w:r>
      <w:bookmarkEnd w:id="150"/>
      <w:r/>
      <w:bookmarkEnd w:id="151"/>
      <w:r/>
      <w:bookmarkEnd w:id="152"/>
      <w:r/>
      <w:bookmarkEnd w:id="153"/>
      <w:r>
        <w:br/>
      </w:r>
      <w:r>
        <w:br/>
      </w:r>
      <w:bookmarkEnd w:id="154"/>
      <w:r/>
      <w:bookmarkEnd w:id="155"/>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5"/>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5"/>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56" w:name="_Toc17686"/>
      <w:r/>
      <w:bookmarkStart w:id="157" w:name="_Toc17455"/>
      <w:r/>
      <w:bookmarkStart w:id="158" w:name="_Toc113527853"/>
      <w:r/>
      <w:bookmarkStart w:id="159" w:name="_Toc231820636"/>
      <w:r/>
      <w:bookmarkStart w:id="160" w:name="_Toc13680"/>
      <w:r>
        <w:rPr>
          <w:b/>
          <w:color w:val="000000"/>
          <w:szCs w:val="21"/>
        </w:rPr>
        <w:t xml:space="preserve">（二）残疾人福利性单位声明函</w:t>
      </w:r>
      <w:bookmarkEnd w:id="156"/>
      <w:r/>
      <w:bookmarkEnd w:id="157"/>
      <w:r/>
      <w:bookmarkEnd w:id="158"/>
      <w:r/>
      <w:bookmarkEnd w:id="159"/>
      <w:r/>
      <w:bookmarkEnd w:id="160"/>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61" w:name="_Toc231820637"/>
      <w:r/>
      <w:bookmarkStart w:id="162"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1"/>
      <w:r/>
      <w:bookmarkEnd w:id="162"/>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63" w:name="_Toc113527855"/>
      <w:r/>
      <w:bookmarkStart w:id="164" w:name="_Toc231820638"/>
      <w:r>
        <w:rPr>
          <w:b/>
          <w:color w:val="000000"/>
          <w:szCs w:val="21"/>
        </w:rPr>
        <w:t xml:space="preserve">（四）节能产品认证证书</w:t>
      </w:r>
      <w:bookmarkEnd w:id="163"/>
      <w:r/>
      <w:bookmarkEnd w:id="164"/>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5" w:name="_Toc113527856"/>
      <w:r/>
      <w:bookmarkStart w:id="166" w:name="_Toc231820639"/>
      <w:r>
        <w:rPr>
          <w:b/>
          <w:color w:val="000000"/>
          <w:szCs w:val="21"/>
        </w:rPr>
        <w:t xml:space="preserve">（五）环境标志产品认证证书</w:t>
      </w:r>
      <w:bookmarkEnd w:id="165"/>
      <w:r/>
      <w:bookmarkEnd w:id="166"/>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7" w:name="_Toc231820640"/>
      <w:r/>
      <w:bookmarkStart w:id="168" w:name="_Toc113527857"/>
      <w:r>
        <w:rPr>
          <w:b/>
          <w:color w:val="000000"/>
          <w:szCs w:val="21"/>
        </w:rPr>
        <w:t xml:space="preserve">（六）进口产品转让技术、消化吸收再创新方案</w:t>
      </w:r>
      <w:bookmarkEnd w:id="167"/>
      <w:r/>
      <w:bookmarkEnd w:id="168"/>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69" w:name="_Toc231820641"/>
      <w:r>
        <w:rPr>
          <w:b/>
          <w:color w:val="000000"/>
          <w:szCs w:val="21"/>
        </w:rPr>
        <w:t xml:space="preserve">（七）本国产品相关资信证明文件</w:t>
      </w:r>
      <w:bookmarkEnd w:id="169"/>
      <w:r/>
      <w:r/>
    </w:p>
    <w:p>
      <w:pPr>
        <w:ind w:firstLine="422"/>
        <w:jc w:val="left"/>
        <w:spacing w:line="360" w:lineRule="auto"/>
        <w:rPr>
          <w:b/>
          <w:color w:val="000000"/>
          <w:szCs w:val="21"/>
        </w:rPr>
      </w:pPr>
      <w:r/>
      <w:bookmarkStart w:id="170" w:name="_Toc231820642"/>
      <w:r>
        <w:rPr>
          <w:b/>
          <w:color w:val="000000"/>
          <w:szCs w:val="21"/>
        </w:rPr>
        <w:t xml:space="preserve">《关于符合本国产品标准的声明函》或财政部会同有关部门规定的有关证明文件</w:t>
      </w:r>
      <w:bookmarkEnd w:id="170"/>
      <w:r/>
      <w:r/>
    </w:p>
    <w:p>
      <w:pPr>
        <w:ind w:firstLine="422"/>
        <w:jc w:val="left"/>
        <w:spacing w:line="360" w:lineRule="auto"/>
        <w:rPr>
          <w:b/>
          <w:color w:val="000000"/>
          <w:szCs w:val="21"/>
        </w:rPr>
      </w:pPr>
      <w:r/>
      <w:bookmarkStart w:id="171"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71"/>
      <w:r/>
      <w:r/>
    </w:p>
    <w:p>
      <w:pPr>
        <w:jc w:val="center"/>
        <w:rPr>
          <w:b/>
          <w:color w:val="000000"/>
          <w:szCs w:val="21"/>
        </w:rPr>
      </w:pPr>
      <w:r/>
      <w:bookmarkStart w:id="172"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2"/>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73"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73"/>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74"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74"/>
      <w:r/>
      <w:r/>
    </w:p>
    <w:p>
      <w:pPr>
        <w:spacing w:line="360" w:lineRule="auto"/>
        <w:rPr>
          <w:b/>
          <w:bCs/>
        </w:rPr>
        <w:outlineLvl w:val="1"/>
      </w:pPr>
      <w:r/>
      <w:bookmarkStart w:id="175" w:name="_Toc27256"/>
      <w:r/>
      <w:bookmarkStart w:id="176" w:name="_Toc14428"/>
      <w:r/>
      <w:bookmarkStart w:id="177" w:name="_Toc3177"/>
      <w:r/>
      <w:bookmarkStart w:id="178" w:name="_Toc113527858"/>
      <w:r/>
      <w:bookmarkStart w:id="179" w:name="_Toc231822753"/>
      <w:r>
        <w:rPr>
          <w:b/>
          <w:bCs/>
          <w:lang w:val="zh-CN"/>
        </w:rPr>
        <w:t xml:space="preserve">附件</w:t>
      </w:r>
      <w:r>
        <w:rPr>
          <w:b/>
          <w:bCs/>
        </w:rPr>
        <w:t xml:space="preserve">九</w:t>
      </w:r>
      <w:r>
        <w:rPr>
          <w:b/>
          <w:bCs/>
          <w:lang w:val="zh-CN"/>
        </w:rPr>
        <w:t xml:space="preserve"> 资格</w:t>
      </w:r>
      <w:bookmarkEnd w:id="175"/>
      <w:r/>
      <w:bookmarkEnd w:id="176"/>
      <w:r>
        <w:rPr>
          <w:b/>
          <w:bCs/>
          <w:lang w:val="zh-CN"/>
        </w:rPr>
        <w:t xml:space="preserve">证明文件</w:t>
      </w:r>
      <w:bookmarkEnd w:id="177"/>
      <w:r/>
      <w:bookmarkEnd w:id="178"/>
      <w:r/>
      <w:bookmarkEnd w:id="179"/>
      <w:r/>
      <w:r/>
    </w:p>
    <w:p>
      <w:pPr>
        <w:spacing w:line="360" w:lineRule="auto"/>
        <w:rPr>
          <w:b/>
          <w:bCs/>
          <w:lang w:val="zh-CN"/>
        </w:rPr>
      </w:pPr>
      <w:r/>
      <w:bookmarkStart w:id="180" w:name="_Toc13646"/>
      <w:r/>
      <w:bookmarkStart w:id="181" w:name="_Toc113527859"/>
      <w:r/>
      <w:bookmarkStart w:id="182" w:name="_Toc231820646"/>
      <w:r/>
      <w:bookmarkStart w:id="183" w:name="_Toc4916"/>
      <w:r/>
      <w:bookmarkStart w:id="184" w:name="_Toc12234"/>
      <w:r>
        <w:rPr>
          <w:b/>
          <w:bCs/>
          <w:lang w:val="zh-CN"/>
        </w:rPr>
        <w:t xml:space="preserve">1、法人或其他组织的营业执照等证明文件（复印件加盖公章）</w:t>
      </w:r>
      <w:bookmarkEnd w:id="180"/>
      <w:r/>
      <w:bookmarkEnd w:id="181"/>
      <w:r/>
      <w:bookmarkEnd w:id="182"/>
      <w:r/>
      <w:bookmarkEnd w:id="183"/>
      <w:r/>
      <w:bookmarkEnd w:id="184"/>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85" w:name="_Toc1205"/>
      <w:r/>
      <w:bookmarkStart w:id="186" w:name="_Toc24535"/>
      <w:r/>
      <w:bookmarkStart w:id="187" w:name="_Toc26588"/>
      <w:r/>
      <w:bookmarkStart w:id="188" w:name="_Toc231820647"/>
      <w:r>
        <w:rPr>
          <w:b/>
          <w:bCs/>
          <w:lang w:val="zh-CN"/>
        </w:rPr>
        <w:t xml:space="preserve">2、法人代表授权书</w:t>
      </w:r>
      <w:bookmarkEnd w:id="185"/>
      <w:r/>
      <w:bookmarkEnd w:id="186"/>
      <w:r/>
      <w:bookmarkEnd w:id="187"/>
      <w:r>
        <w:rPr>
          <w:b/>
          <w:bCs/>
        </w:rPr>
        <w:t xml:space="preserve">（如果是法定代表人直接参与投标的可以不提供授权书，但须提供法定代表人身份证复印件</w:t>
      </w:r>
      <w:r>
        <w:rPr>
          <w:b/>
          <w:bCs/>
          <w:szCs w:val="21"/>
        </w:rPr>
        <w:t xml:space="preserve">）</w:t>
      </w:r>
      <w:bookmarkEnd w:id="188"/>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235"/>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89" w:name="_Toc231820648"/>
      <w:r/>
      <w:bookmarkStart w:id="190" w:name="_Toc8662"/>
      <w:r/>
      <w:bookmarkStart w:id="191" w:name="_Toc1910"/>
      <w:r/>
      <w:bookmarkStart w:id="192" w:name="_Toc3499"/>
      <w:r>
        <w:rPr>
          <w:b/>
          <w:bCs/>
        </w:rPr>
        <w:t xml:space="preserve">3、制造商授权书（如需）</w:t>
      </w:r>
      <w:bookmarkEnd w:id="189"/>
      <w:r/>
      <w:bookmarkEnd w:id="190"/>
      <w:r/>
      <w:bookmarkEnd w:id="191"/>
      <w:r/>
      <w:bookmarkEnd w:id="192"/>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w:t>
      </w:r>
      <w:r>
        <w:rPr>
          <w:color w:val="000000"/>
          <w:szCs w:val="21"/>
          <w:u w:val="single"/>
        </w:rPr>
        <w:t xml:space="preserve">     </w:t>
      </w:r>
      <w:r>
        <w:rPr>
          <w:color w:val="000000"/>
          <w:szCs w:val="21"/>
        </w:rPr>
        <w:t xml:space="preserve">号招标文件要求提供的由我方制造的产品的有关事宜，并对我方具有约束力。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3" w:name="_Toc19702"/>
      <w:r/>
      <w:bookmarkStart w:id="194" w:name="_Toc24273"/>
      <w:r/>
      <w:bookmarkStart w:id="195" w:name="_Toc231820649"/>
      <w:r/>
      <w:bookmarkStart w:id="196" w:name="_Toc113527862"/>
      <w:r/>
      <w:bookmarkStart w:id="197" w:name="_Toc3078"/>
      <w:r>
        <w:rPr>
          <w:b/>
          <w:bCs/>
        </w:rPr>
        <w:t xml:space="preserve">4、具有良好的商业信誉和健全的财务会计制度</w:t>
      </w:r>
      <w:bookmarkEnd w:id="193"/>
      <w:r/>
      <w:bookmarkEnd w:id="194"/>
      <w:r/>
      <w:bookmarkEnd w:id="195"/>
      <w:r/>
      <w:bookmarkEnd w:id="196"/>
      <w:r/>
      <w:bookmarkEnd w:id="197"/>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8" w:name="_Toc15262"/>
      <w:r/>
      <w:bookmarkStart w:id="199" w:name="_Toc113527863"/>
      <w:r/>
      <w:bookmarkStart w:id="200" w:name="_Toc23961"/>
      <w:r/>
      <w:bookmarkStart w:id="201" w:name="_Toc231820650"/>
      <w:r/>
      <w:bookmarkStart w:id="202" w:name="_Toc385"/>
      <w:r>
        <w:rPr>
          <w:b/>
          <w:bCs/>
        </w:rPr>
        <w:t xml:space="preserve">5、具有履行合同所必需的设备和专业技术能力</w:t>
      </w:r>
      <w:bookmarkEnd w:id="198"/>
      <w:r/>
      <w:bookmarkEnd w:id="199"/>
      <w:r/>
      <w:bookmarkEnd w:id="200"/>
      <w:r/>
      <w:bookmarkEnd w:id="201"/>
      <w:r/>
      <w:bookmarkEnd w:id="202"/>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3" w:name="_Toc231820651"/>
      <w:r/>
      <w:bookmarkStart w:id="204" w:name="_Toc17836"/>
      <w:r/>
      <w:bookmarkStart w:id="205" w:name="_Toc1099"/>
      <w:r/>
      <w:bookmarkStart w:id="206" w:name="_Toc18889"/>
      <w:r/>
      <w:bookmarkStart w:id="207" w:name="_Toc113527864"/>
      <w:r>
        <w:rPr>
          <w:b/>
          <w:bCs/>
        </w:rPr>
        <w:t xml:space="preserve">6、参加政府采购活动近三年内（成立时间不足三年的、自成立时间起），在经营活动中没有重大违法记录</w:t>
      </w:r>
      <w:bookmarkEnd w:id="203"/>
      <w:r/>
      <w:bookmarkEnd w:id="204"/>
      <w:r/>
      <w:bookmarkEnd w:id="205"/>
      <w:r/>
      <w:bookmarkEnd w:id="206"/>
      <w:r/>
      <w:bookmarkEnd w:id="207"/>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08" w:name="_Toc113527865"/>
      <w:r/>
      <w:bookmarkStart w:id="209" w:name="_Toc18345"/>
      <w:r/>
      <w:bookmarkStart w:id="210" w:name="_Toc231820652"/>
      <w:r/>
      <w:bookmarkStart w:id="211" w:name="_Toc3968"/>
      <w:r/>
      <w:bookmarkStart w:id="212" w:name="_Toc13811"/>
      <w:r>
        <w:rPr>
          <w:b/>
          <w:bCs/>
        </w:rPr>
        <w:t xml:space="preserve">7、依法缴纳税收的记录</w:t>
      </w:r>
      <w:bookmarkEnd w:id="208"/>
      <w:r/>
      <w:bookmarkEnd w:id="209"/>
      <w:r/>
      <w:bookmarkEnd w:id="210"/>
      <w:r/>
      <w:bookmarkEnd w:id="211"/>
      <w:r/>
      <w:bookmarkEnd w:id="212"/>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3" w:name="_Toc231820653"/>
      <w:r/>
      <w:bookmarkStart w:id="214" w:name="_Toc17181"/>
      <w:r/>
      <w:bookmarkStart w:id="215" w:name="_Toc113527866"/>
      <w:r/>
      <w:bookmarkStart w:id="216" w:name="_Toc28812"/>
      <w:r/>
      <w:bookmarkStart w:id="217" w:name="_Toc8843"/>
      <w:r>
        <w:rPr>
          <w:b/>
          <w:bCs/>
        </w:rPr>
        <w:t xml:space="preserve">8、依法缴纳社会保障资金的记录</w:t>
      </w:r>
      <w:bookmarkEnd w:id="213"/>
      <w:r/>
      <w:bookmarkEnd w:id="214"/>
      <w:r/>
      <w:bookmarkEnd w:id="215"/>
      <w:r/>
      <w:bookmarkEnd w:id="216"/>
      <w:r/>
      <w:bookmarkEnd w:id="217"/>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8"/>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18" w:name="_Toc23117"/>
      <w:r/>
      <w:bookmarkStart w:id="219" w:name="_Toc113527867"/>
      <w:r/>
      <w:bookmarkStart w:id="220" w:name="_Toc29638"/>
      <w:r/>
      <w:bookmarkStart w:id="221" w:name="_Toc9645"/>
      <w:r/>
      <w:bookmarkStart w:id="222" w:name="_Toc231820654"/>
      <w:r>
        <w:rPr>
          <w:b/>
          <w:bCs/>
        </w:rPr>
        <w:t xml:space="preserve">9、</w:t>
      </w:r>
      <w:bookmarkEnd w:id="218"/>
      <w:r/>
      <w:bookmarkEnd w:id="219"/>
      <w:r/>
      <w:bookmarkEnd w:id="220"/>
      <w:r/>
      <w:bookmarkEnd w:id="221"/>
      <w:r>
        <w:rPr>
          <w:b/>
          <w:bCs/>
        </w:rPr>
        <w:t xml:space="preserve">未被“信用中国”网站(www.creditchina.gov.cn)、“中国政府采购网”(www.ccgp.gov.cn)列入失信被执行人、重大税收违法案件当事人名单、政府采购严重失信行为记录名单的截图。</w:t>
      </w:r>
      <w:bookmarkEnd w:id="222"/>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23" w:name="_Toc20105"/>
      <w:r>
        <w:rPr>
          <w:b/>
          <w:bCs/>
          <w:color w:val="000000"/>
          <w:szCs w:val="21"/>
        </w:rPr>
        <w:br w:type="page" w:clear="all"/>
      </w:r>
      <w:r/>
    </w:p>
    <w:p>
      <w:pPr>
        <w:spacing w:line="360" w:lineRule="auto"/>
        <w:rPr>
          <w:b/>
          <w:bCs/>
        </w:rPr>
      </w:pPr>
      <w:r/>
      <w:bookmarkStart w:id="224" w:name="_Toc231820655"/>
      <w:r/>
      <w:bookmarkStart w:id="225" w:name="_Toc113527868"/>
      <w:r/>
      <w:bookmarkStart w:id="226" w:name="_Toc3374"/>
      <w:r/>
      <w:bookmarkStart w:id="227" w:name="_Toc19453"/>
      <w:r>
        <w:rPr>
          <w:b/>
          <w:bCs/>
        </w:rPr>
        <w:t xml:space="preserve">10、其他资格要求承诺函</w:t>
      </w:r>
      <w:bookmarkEnd w:id="224"/>
      <w:r/>
      <w:r/>
    </w:p>
    <w:p>
      <w:pPr>
        <w:ind w:firstLine="420"/>
        <w:jc w:val="center"/>
        <w:spacing w:line="360" w:lineRule="auto"/>
      </w:pPr>
      <w:r/>
      <w:bookmarkStart w:id="228" w:name="_Toc231820656"/>
      <w:r/>
      <w:r/>
    </w:p>
    <w:p>
      <w:pPr>
        <w:ind w:firstLine="420"/>
        <w:jc w:val="center"/>
        <w:spacing w:line="360" w:lineRule="auto"/>
      </w:pPr>
      <w:r>
        <w:t xml:space="preserve">我单位承诺：</w:t>
      </w:r>
      <w:bookmarkEnd w:id="228"/>
      <w:r/>
      <w:r/>
    </w:p>
    <w:p>
      <w:pPr>
        <w:ind w:firstLine="420"/>
        <w:spacing w:line="360" w:lineRule="auto"/>
      </w:pPr>
      <w:r/>
      <w:bookmarkStart w:id="229" w:name="_Toc231820657"/>
      <w:r>
        <w:t xml:space="preserve">1、 我单位独立参加本项目采购活动，未与其他潜在供应商组成联合体响应。未提供进口产品投标。</w:t>
      </w:r>
      <w:bookmarkEnd w:id="229"/>
      <w:r/>
      <w:r/>
    </w:p>
    <w:p>
      <w:pPr>
        <w:ind w:firstLine="420"/>
        <w:spacing w:line="360" w:lineRule="auto"/>
      </w:pPr>
      <w:r/>
      <w:bookmarkStart w:id="230" w:name="_Toc231820658"/>
      <w:r>
        <w:t xml:space="preserve">2、我单位参加本次采购活动，遵守并符合以下要求：</w:t>
      </w:r>
      <w:bookmarkEnd w:id="230"/>
      <w:r/>
      <w:r/>
    </w:p>
    <w:p>
      <w:pPr>
        <w:ind w:firstLine="420"/>
        <w:spacing w:line="360" w:lineRule="auto"/>
      </w:pPr>
      <w:r/>
      <w:bookmarkStart w:id="231"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1"/>
      <w:r/>
      <w:r/>
    </w:p>
    <w:p>
      <w:pPr>
        <w:ind w:firstLine="420"/>
        <w:spacing w:line="360" w:lineRule="auto"/>
      </w:pPr>
      <w:r/>
      <w:bookmarkStart w:id="232"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32"/>
      <w:r/>
      <w:r/>
    </w:p>
    <w:p>
      <w:pPr>
        <w:ind w:firstLine="420"/>
        <w:spacing w:line="360" w:lineRule="auto"/>
      </w:pPr>
      <w:r/>
      <w:bookmarkStart w:id="233" w:name="_Toc231820661"/>
      <w:r>
        <w:t xml:space="preserve">（3）公益一类事业单位、使用事业编制且由财政拨款保障的群团组织，不得参加本项目的采购活动；我单位性质不属于此类情况。</w:t>
      </w:r>
      <w:bookmarkEnd w:id="233"/>
      <w:r/>
      <w:r/>
    </w:p>
    <w:p>
      <w:pPr>
        <w:ind w:firstLine="420"/>
        <w:spacing w:line="360" w:lineRule="auto"/>
      </w:pPr>
      <w:r/>
      <w:bookmarkStart w:id="234" w:name="_Toc231820662"/>
      <w:r>
        <w:t xml:space="preserve">特此承诺。</w:t>
      </w:r>
      <w:bookmarkEnd w:id="234"/>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35" w:name="_Toc231820663"/>
      <w:r>
        <w:rPr>
          <w:b/>
          <w:bCs/>
        </w:rPr>
        <w:t xml:space="preserve">11、供应商认为其需要提供的其他资格证明文件。</w:t>
      </w:r>
      <w:bookmarkEnd w:id="223"/>
      <w:r/>
      <w:bookmarkEnd w:id="225"/>
      <w:r/>
      <w:bookmarkEnd w:id="226"/>
      <w:r/>
      <w:bookmarkEnd w:id="227"/>
      <w:r/>
      <w:bookmarkEnd w:id="235"/>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36" w:name="_Toc21790"/>
      <w:r/>
      <w:bookmarkEnd w:id="236"/>
      <w:r/>
      <w:bookmarkStart w:id="237" w:name="_Toc5506"/>
      <w:r/>
      <w:bookmarkEnd w:id="237"/>
      <w:r/>
      <w:bookmarkStart w:id="238" w:name="_Toc22079"/>
      <w:r/>
      <w:bookmarkEnd w:id="238"/>
      <w:r/>
      <w:r/>
    </w:p>
    <w:p>
      <w:pPr>
        <w:spacing w:line="360" w:lineRule="auto"/>
        <w:rPr>
          <w:b/>
          <w:bCs/>
        </w:rPr>
        <w:outlineLvl w:val="1"/>
      </w:pPr>
      <w:r/>
      <w:bookmarkStart w:id="239" w:name="_Toc231822754"/>
      <w:r>
        <w:rPr>
          <w:b/>
          <w:bCs/>
        </w:rPr>
        <w:t xml:space="preserve">附件十 其他相关文件</w:t>
      </w:r>
      <w:bookmarkEnd w:id="239"/>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235"/>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Symbol">
    <w:panose1 w:val="05050102010706020507"/>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258"/>
                            <w:rPr>
                              <w:rStyle w:val="1277"/>
                            </w:rPr>
                          </w:pPr>
                          <w:r>
                            <w:rPr>
                              <w:rStyle w:val="1277"/>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258"/>
                      <w:rPr>
                        <w:rStyle w:val="1277"/>
                      </w:rPr>
                    </w:pPr>
                    <w:r>
                      <w:rPr>
                        <w:rStyle w:val="1277"/>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25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258"/>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258"/>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258"/>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10" o:spid="_x0000_s10"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58"/>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2" o:spid="_x0000_s12"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a:effectLst/>
                    </wps:spPr>
                    <wps:txbx>
                      <w:txbxContent>
                        <w:p>
                          <w:pPr>
                            <w:pStyle w:val="1258"/>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3" o:spid="_x0000_s13" o:spt="1" type="#_x0000_t1"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25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5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6"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5" o:spid="_x0000_s15" o:spt="202" type="#_x0000_t202" style="position:absolute;z-index:-251663360;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58"/>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6" o:spid="_x0000_s16"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2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202679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2679182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259"/>
      <w:jc w:val="right"/>
      <w:rPr>
        <w:sz w:val="21"/>
      </w:rPr>
    </w:pPr>
    <w:r>
      <w:rPr>
        <w:rFonts w:hint="eastAsia"/>
      </w:rPr>
      <w:t xml:space="preserve">手持式热偶真空计等3项设备招标文件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64205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642056446"/>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259"/>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139539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9539434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259"/>
      <w:rPr>
        <w:sz w:val="21"/>
      </w:rPr>
    </w:pPr>
    <w:r>
      <w:rPr>
        <w:rFonts w:hint="eastAsia"/>
      </w:rPr>
      <w:t xml:space="preserve">                                                              </w:t>
    </w:r>
    <w:r>
      <w:t xml:space="preserve">         </w:t>
    </w:r>
    <w:r>
      <w:rPr>
        <w:rFonts w:hint="eastAsia"/>
      </w:rPr>
      <w:t xml:space="preserve">观片灯等23项设备招标文件</w:t>
    </w:r>
    <w:r/>
  </w:p>
  <w:p>
    <w:pPr>
      <w:pStyle w:val="1259"/>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1432"/>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50"/>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97">
    <w:name w:val="Heading 6 Char"/>
    <w:basedOn w:val="1234"/>
    <w:link w:val="1230"/>
    <w:uiPriority w:val="9"/>
    <w:rPr>
      <w:rFonts w:ascii="Arial" w:hAnsi="Arial" w:eastAsia="Arial" w:cs="Arial"/>
      <w:b/>
      <w:bCs/>
      <w:sz w:val="22"/>
      <w:szCs w:val="22"/>
    </w:rPr>
  </w:style>
  <w:style w:type="character" w:styleId="1198">
    <w:name w:val="Heading 8 Char"/>
    <w:basedOn w:val="1234"/>
    <w:link w:val="1232"/>
    <w:uiPriority w:val="9"/>
    <w:rPr>
      <w:rFonts w:ascii="Arial" w:hAnsi="Arial" w:eastAsia="Arial" w:cs="Arial"/>
      <w:i/>
      <w:iCs/>
      <w:sz w:val="22"/>
      <w:szCs w:val="22"/>
    </w:rPr>
  </w:style>
  <w:style w:type="character" w:styleId="1199">
    <w:name w:val="Heading 9 Char"/>
    <w:basedOn w:val="1234"/>
    <w:link w:val="1233"/>
    <w:uiPriority w:val="9"/>
    <w:rPr>
      <w:rFonts w:ascii="Arial" w:hAnsi="Arial" w:eastAsia="Arial" w:cs="Arial"/>
      <w:i/>
      <w:iCs/>
      <w:sz w:val="21"/>
      <w:szCs w:val="21"/>
    </w:rPr>
  </w:style>
  <w:style w:type="character" w:styleId="1200">
    <w:name w:val="Quote Char"/>
    <w:link w:val="1294"/>
    <w:uiPriority w:val="29"/>
    <w:rPr>
      <w:i/>
    </w:rPr>
  </w:style>
  <w:style w:type="character" w:styleId="1201">
    <w:name w:val="Intense Quote Char"/>
    <w:link w:val="1296"/>
    <w:uiPriority w:val="30"/>
    <w:rPr>
      <w:i/>
    </w:rPr>
  </w:style>
  <w:style w:type="table" w:styleId="1202">
    <w:name w:val="Plain Table 1"/>
    <w:basedOn w:val="12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3">
    <w:name w:val="Plain Table 2"/>
    <w:basedOn w:val="12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4">
    <w:name w:val="Plain Table 3"/>
    <w:basedOn w:val="12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5">
    <w:name w:val="Plain Table 4"/>
    <w:basedOn w:val="12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6">
    <w:name w:val="Plain Table 5"/>
    <w:basedOn w:val="12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07">
    <w:name w:val="Grid Table 1 Light"/>
    <w:basedOn w:val="12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08">
    <w:name w:val="Grid Table 2"/>
    <w:basedOn w:val="12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9">
    <w:name w:val="Grid Table 3"/>
    <w:basedOn w:val="12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4"/>
    <w:basedOn w:val="12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1">
    <w:name w:val="Grid Table 5 Dark"/>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12">
    <w:name w:val="Grid Table 6 Colorful"/>
    <w:basedOn w:val="12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3">
    <w:name w:val="Grid Table 7 Colorful"/>
    <w:basedOn w:val="12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14">
    <w:name w:val="List Table 1 Light"/>
    <w:basedOn w:val="12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5">
    <w:name w:val="List Table 2"/>
    <w:basedOn w:val="12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16">
    <w:name w:val="List Table 3"/>
    <w:basedOn w:val="12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7">
    <w:name w:val="List Table 4"/>
    <w:basedOn w:val="12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8">
    <w:name w:val="List Table 5 Dark"/>
    <w:basedOn w:val="12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6 Colorful"/>
    <w:basedOn w:val="12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0">
    <w:name w:val="List Table 7 Colorful"/>
    <w:basedOn w:val="12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221">
    <w:name w:val="Footnote Text Char"/>
    <w:link w:val="1263"/>
    <w:uiPriority w:val="99"/>
    <w:rPr>
      <w:sz w:val="18"/>
    </w:rPr>
  </w:style>
  <w:style w:type="character" w:styleId="1222">
    <w:name w:val="Endnote Text Char"/>
    <w:link w:val="1256"/>
    <w:uiPriority w:val="99"/>
    <w:rPr>
      <w:sz w:val="20"/>
    </w:rPr>
  </w:style>
  <w:style w:type="paragraph" w:styleId="1223">
    <w:name w:val="TOC Heading"/>
    <w:uiPriority w:val="39"/>
    <w:unhideWhenUsed/>
  </w:style>
  <w:style w:type="paragraph" w:styleId="122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225">
    <w:name w:val="Heading 1"/>
    <w:basedOn w:val="1224"/>
    <w:next w:val="1224"/>
    <w:uiPriority w:val="0"/>
    <w:qFormat/>
    <w:pPr>
      <w:jc w:val="center"/>
      <w:keepNext/>
      <w:spacing w:line="440" w:lineRule="exact"/>
      <w:outlineLvl w:val="0"/>
    </w:pPr>
    <w:rPr>
      <w:rFonts w:ascii="宋体"/>
      <w:sz w:val="28"/>
    </w:rPr>
  </w:style>
  <w:style w:type="paragraph" w:styleId="1226">
    <w:name w:val="Heading 2"/>
    <w:basedOn w:val="1224"/>
    <w:next w:val="1224"/>
    <w:uiPriority w:val="0"/>
    <w:qFormat/>
    <w:pPr>
      <w:keepLines/>
      <w:keepNext/>
      <w:spacing w:line="360" w:lineRule="auto"/>
      <w:outlineLvl w:val="1"/>
    </w:pPr>
    <w:rPr>
      <w:b/>
      <w:szCs w:val="21"/>
    </w:rPr>
  </w:style>
  <w:style w:type="paragraph" w:styleId="1227">
    <w:name w:val="Heading 3"/>
    <w:basedOn w:val="1224"/>
    <w:next w:val="1224"/>
    <w:uiPriority w:val="0"/>
    <w:qFormat/>
    <w:pPr>
      <w:ind w:firstLine="422"/>
      <w:keepNext/>
      <w:spacing w:line="360" w:lineRule="auto"/>
      <w:tabs>
        <w:tab w:val="left" w:pos="480" w:leader="none"/>
      </w:tabs>
      <w:outlineLvl w:val="2"/>
    </w:pPr>
    <w:rPr>
      <w:b/>
      <w:szCs w:val="21"/>
    </w:rPr>
  </w:style>
  <w:style w:type="paragraph" w:styleId="1228">
    <w:name w:val="Heading 4"/>
    <w:basedOn w:val="1224"/>
    <w:next w:val="1224"/>
    <w:uiPriority w:val="0"/>
    <w:qFormat/>
    <w:pPr>
      <w:keepLines/>
      <w:keepNext/>
      <w:spacing w:before="280" w:after="290" w:line="372" w:lineRule="auto"/>
      <w:outlineLvl w:val="3"/>
    </w:pPr>
    <w:rPr>
      <w:rFonts w:ascii="Arial" w:hAnsi="Arial" w:eastAsia="黑体" w:cs="Arial"/>
      <w:b/>
      <w:bCs/>
      <w:sz w:val="28"/>
      <w:szCs w:val="28"/>
    </w:rPr>
  </w:style>
  <w:style w:type="paragraph" w:styleId="1229">
    <w:name w:val="Heading 5"/>
    <w:basedOn w:val="1224"/>
    <w:next w:val="1224"/>
    <w:uiPriority w:val="1"/>
    <w:qFormat/>
    <w:pPr>
      <w:ind w:left="598"/>
      <w:spacing w:before="1"/>
      <w:outlineLvl w:val="4"/>
    </w:pPr>
    <w:rPr>
      <w:rFonts w:ascii="宋体" w:hAnsi="宋体" w:cs="宋体"/>
      <w:b/>
      <w:bCs/>
      <w:sz w:val="24"/>
      <w:szCs w:val="24"/>
      <w:lang w:val="zh-CN" w:bidi="zh-CN"/>
    </w:rPr>
  </w:style>
  <w:style w:type="paragraph" w:styleId="1230">
    <w:name w:val="Heading 6"/>
    <w:basedOn w:val="1224"/>
    <w:next w:val="1224"/>
    <w:link w:val="1287"/>
    <w:uiPriority w:val="9"/>
    <w:unhideWhenUsed/>
    <w:qFormat/>
    <w:pPr>
      <w:keepLines/>
      <w:keepNext/>
      <w:spacing w:before="320" w:after="200"/>
      <w:outlineLvl w:val="5"/>
    </w:pPr>
    <w:rPr>
      <w:rFonts w:ascii="Arial" w:hAnsi="Arial" w:eastAsia="Arial" w:cs="Arial"/>
      <w:b/>
      <w:bCs/>
      <w:sz w:val="22"/>
      <w:szCs w:val="22"/>
    </w:rPr>
  </w:style>
  <w:style w:type="paragraph" w:styleId="1231">
    <w:name w:val="Heading 7"/>
    <w:basedOn w:val="1224"/>
    <w:next w:val="1224"/>
    <w:uiPriority w:val="1"/>
    <w:qFormat/>
    <w:pPr>
      <w:ind w:left="1018"/>
      <w:outlineLvl w:val="6"/>
    </w:pPr>
    <w:rPr>
      <w:rFonts w:ascii="宋体" w:hAnsi="宋体" w:cs="宋体"/>
      <w:b/>
      <w:bCs/>
      <w:szCs w:val="21"/>
      <w:lang w:val="zh-CN" w:bidi="zh-CN"/>
    </w:rPr>
  </w:style>
  <w:style w:type="paragraph" w:styleId="1232">
    <w:name w:val="Heading 8"/>
    <w:basedOn w:val="1224"/>
    <w:next w:val="1224"/>
    <w:link w:val="1289"/>
    <w:uiPriority w:val="9"/>
    <w:unhideWhenUsed/>
    <w:qFormat/>
    <w:pPr>
      <w:keepLines/>
      <w:keepNext/>
      <w:spacing w:before="320" w:after="200"/>
      <w:outlineLvl w:val="7"/>
    </w:pPr>
    <w:rPr>
      <w:rFonts w:ascii="Arial" w:hAnsi="Arial" w:eastAsia="Arial" w:cs="Arial"/>
      <w:i/>
      <w:iCs/>
      <w:sz w:val="22"/>
      <w:szCs w:val="22"/>
    </w:rPr>
  </w:style>
  <w:style w:type="paragraph" w:styleId="1233">
    <w:name w:val="Heading 9"/>
    <w:basedOn w:val="1224"/>
    <w:next w:val="1224"/>
    <w:link w:val="1290"/>
    <w:uiPriority w:val="9"/>
    <w:unhideWhenUsed/>
    <w:qFormat/>
    <w:pPr>
      <w:keepLines/>
      <w:keepNext/>
      <w:spacing w:before="320" w:after="200"/>
      <w:outlineLvl w:val="8"/>
    </w:pPr>
    <w:rPr>
      <w:rFonts w:ascii="Arial" w:hAnsi="Arial" w:eastAsia="Arial" w:cs="Arial"/>
      <w:i/>
      <w:iCs/>
      <w:szCs w:val="21"/>
    </w:rPr>
  </w:style>
  <w:style w:type="character" w:styleId="1234" w:default="1">
    <w:name w:val="Default Paragraph Font"/>
    <w:uiPriority w:val="1"/>
    <w:semiHidden/>
    <w:unhideWhenUsed/>
  </w:style>
  <w:style w:type="table" w:styleId="1235" w:default="1">
    <w:name w:val="Normal Table"/>
    <w:uiPriority w:val="99"/>
    <w:semiHidden/>
    <w:unhideWhenUsed/>
    <w:tblPr>
      <w:tblCellMar>
        <w:left w:w="108" w:type="dxa"/>
        <w:top w:w="0" w:type="dxa"/>
        <w:right w:w="108" w:type="dxa"/>
        <w:bottom w:w="0" w:type="dxa"/>
      </w:tblCellMar>
    </w:tblPr>
  </w:style>
  <w:style w:type="paragraph" w:styleId="1236">
    <w:name w:val="List 3"/>
    <w:basedOn w:val="1224"/>
    <w:uiPriority w:val="0"/>
    <w:qFormat/>
    <w:pPr>
      <w:contextualSpacing/>
      <w:ind w:left="600" w:hanging="200"/>
    </w:pPr>
  </w:style>
  <w:style w:type="paragraph" w:styleId="1237">
    <w:name w:val="toc 7"/>
    <w:basedOn w:val="1224"/>
    <w:next w:val="1224"/>
    <w:uiPriority w:val="0"/>
    <w:qFormat/>
    <w:pPr>
      <w:ind w:left="1200"/>
    </w:pPr>
  </w:style>
  <w:style w:type="paragraph" w:styleId="1238">
    <w:name w:val="Normal Indent"/>
    <w:basedOn w:val="1224"/>
    <w:uiPriority w:val="0"/>
    <w:qFormat/>
    <w:pPr>
      <w:ind w:firstLine="420"/>
    </w:pPr>
    <w:rPr>
      <w:b/>
      <w:sz w:val="24"/>
    </w:rPr>
  </w:style>
  <w:style w:type="paragraph" w:styleId="1239">
    <w:name w:val="Caption"/>
    <w:basedOn w:val="1224"/>
    <w:next w:val="1224"/>
    <w:uiPriority w:val="0"/>
    <w:qFormat/>
    <w:pPr>
      <w:jc w:val="center"/>
    </w:pPr>
    <w:rPr>
      <w:rFonts w:cs="Arial"/>
    </w:rPr>
  </w:style>
  <w:style w:type="paragraph" w:styleId="1240">
    <w:name w:val="Document Map"/>
    <w:basedOn w:val="1224"/>
    <w:uiPriority w:val="0"/>
    <w:qFormat/>
    <w:rPr>
      <w:rFonts w:ascii="宋体"/>
      <w:sz w:val="18"/>
      <w:szCs w:val="18"/>
    </w:rPr>
  </w:style>
  <w:style w:type="paragraph" w:styleId="1241">
    <w:name w:val="toa heading"/>
    <w:basedOn w:val="1224"/>
    <w:next w:val="1224"/>
    <w:uiPriority w:val="99"/>
    <w:qFormat/>
    <w:pPr>
      <w:spacing w:before="120"/>
    </w:pPr>
    <w:rPr>
      <w:rFonts w:ascii="Cambria" w:hAnsi="Cambria"/>
      <w:sz w:val="24"/>
    </w:rPr>
  </w:style>
  <w:style w:type="paragraph" w:styleId="1242">
    <w:name w:val="annotation text"/>
    <w:basedOn w:val="1224"/>
    <w:link w:val="1485"/>
    <w:uiPriority w:val="99"/>
    <w:qFormat/>
    <w:pPr>
      <w:jc w:val="left"/>
    </w:pPr>
  </w:style>
  <w:style w:type="paragraph" w:styleId="1243">
    <w:name w:val="Body Text"/>
    <w:basedOn w:val="1224"/>
    <w:next w:val="1244"/>
    <w:uiPriority w:val="0"/>
    <w:qFormat/>
    <w:rPr>
      <w:rFonts w:ascii="宋体"/>
      <w:sz w:val="28"/>
    </w:rPr>
  </w:style>
  <w:style w:type="paragraph" w:styleId="1244">
    <w:name w:val="Body Text First Indent"/>
    <w:basedOn w:val="1243"/>
    <w:uiPriority w:val="0"/>
    <w:qFormat/>
    <w:pPr>
      <w:ind w:firstLine="420"/>
    </w:pPr>
  </w:style>
  <w:style w:type="paragraph" w:styleId="1245">
    <w:name w:val="Body Text Indent"/>
    <w:basedOn w:val="1224"/>
    <w:next w:val="1246"/>
    <w:link w:val="1483"/>
    <w:uiPriority w:val="0"/>
    <w:qFormat/>
    <w:pPr>
      <w:ind w:firstLine="420"/>
      <w:spacing w:line="360" w:lineRule="auto"/>
    </w:pPr>
    <w:rPr>
      <w:rFonts w:ascii="宋体"/>
      <w:sz w:val="24"/>
    </w:rPr>
  </w:style>
  <w:style w:type="paragraph" w:styleId="1246">
    <w:name w:val="envelope return"/>
    <w:basedOn w:val="1224"/>
    <w:uiPriority w:val="99"/>
    <w:qFormat/>
    <w:rPr>
      <w:rFonts w:ascii="Arial" w:hAnsi="Arial"/>
    </w:rPr>
  </w:style>
  <w:style w:type="paragraph" w:styleId="1247">
    <w:name w:val="List 2"/>
    <w:basedOn w:val="1224"/>
    <w:uiPriority w:val="0"/>
    <w:qFormat/>
    <w:pPr>
      <w:ind w:left="400" w:hanging="200"/>
    </w:pPr>
  </w:style>
  <w:style w:type="paragraph" w:styleId="1248">
    <w:name w:val="Block Text"/>
    <w:basedOn w:val="1224"/>
    <w:uiPriority w:val="0"/>
    <w:qFormat/>
    <w:pPr>
      <w:ind w:left="540" w:right="26"/>
    </w:pPr>
    <w:rPr>
      <w:sz w:val="24"/>
    </w:rPr>
  </w:style>
  <w:style w:type="paragraph" w:styleId="1249">
    <w:name w:val="index 4"/>
    <w:basedOn w:val="1224"/>
    <w:next w:val="1224"/>
    <w:uiPriority w:val="0"/>
    <w:qFormat/>
    <w:pPr>
      <w:ind w:left="600"/>
    </w:pPr>
    <w:rPr>
      <w:rFonts w:ascii="宋体"/>
      <w:b/>
      <w:position w:val="-10"/>
      <w:sz w:val="24"/>
    </w:rPr>
  </w:style>
  <w:style w:type="paragraph" w:styleId="1250">
    <w:name w:val="toc 5"/>
    <w:basedOn w:val="1224"/>
    <w:next w:val="1224"/>
    <w:uiPriority w:val="0"/>
    <w:qFormat/>
    <w:pPr>
      <w:ind w:left="800"/>
    </w:pPr>
  </w:style>
  <w:style w:type="paragraph" w:styleId="1251">
    <w:name w:val="toc 3"/>
    <w:basedOn w:val="1224"/>
    <w:next w:val="1224"/>
    <w:uiPriority w:val="39"/>
    <w:qFormat/>
    <w:pPr>
      <w:ind w:left="400"/>
    </w:pPr>
  </w:style>
  <w:style w:type="paragraph" w:styleId="1252">
    <w:name w:val="Plain Text"/>
    <w:basedOn w:val="1224"/>
    <w:uiPriority w:val="0"/>
    <w:qFormat/>
    <w:rPr>
      <w:rFonts w:ascii="宋体"/>
    </w:rPr>
  </w:style>
  <w:style w:type="paragraph" w:styleId="1253">
    <w:name w:val="toc 8"/>
    <w:basedOn w:val="1224"/>
    <w:next w:val="1224"/>
    <w:uiPriority w:val="0"/>
    <w:qFormat/>
    <w:pPr>
      <w:ind w:left="1400"/>
    </w:pPr>
  </w:style>
  <w:style w:type="paragraph" w:styleId="1254">
    <w:name w:val="Date"/>
    <w:basedOn w:val="1224"/>
    <w:next w:val="1224"/>
    <w:uiPriority w:val="0"/>
    <w:qFormat/>
    <w:rPr>
      <w:rFonts w:ascii="宋体"/>
    </w:rPr>
  </w:style>
  <w:style w:type="paragraph" w:styleId="1255">
    <w:name w:val="Body Text Indent 2"/>
    <w:basedOn w:val="1224"/>
    <w:uiPriority w:val="0"/>
    <w:qFormat/>
    <w:pPr>
      <w:ind w:firstLine="525"/>
      <w:spacing w:line="420" w:lineRule="exact"/>
    </w:pPr>
    <w:rPr>
      <w:rFonts w:ascii="宋体"/>
    </w:rPr>
  </w:style>
  <w:style w:type="paragraph" w:styleId="1256">
    <w:name w:val="endnote text"/>
    <w:basedOn w:val="1224"/>
    <w:link w:val="1427"/>
    <w:uiPriority w:val="99"/>
    <w:semiHidden/>
    <w:unhideWhenUsed/>
    <w:rPr>
      <w:sz w:val="20"/>
    </w:rPr>
  </w:style>
  <w:style w:type="paragraph" w:styleId="1257">
    <w:name w:val="Balloon Text"/>
    <w:basedOn w:val="1224"/>
    <w:uiPriority w:val="0"/>
    <w:qFormat/>
    <w:rPr>
      <w:sz w:val="18"/>
      <w:szCs w:val="18"/>
    </w:rPr>
  </w:style>
  <w:style w:type="paragraph" w:styleId="1258">
    <w:name w:val="Footer"/>
    <w:basedOn w:val="1224"/>
    <w:uiPriority w:val="0"/>
    <w:qFormat/>
    <w:pPr>
      <w:jc w:val="left"/>
      <w:tabs>
        <w:tab w:val="center" w:pos="4153" w:leader="none"/>
        <w:tab w:val="right" w:pos="8306" w:leader="none"/>
      </w:tabs>
    </w:pPr>
    <w:rPr>
      <w:sz w:val="18"/>
    </w:rPr>
  </w:style>
  <w:style w:type="paragraph" w:styleId="1259">
    <w:name w:val="Header"/>
    <w:basedOn w:val="1224"/>
    <w:uiPriority w:val="0"/>
    <w:qFormat/>
    <w:pPr>
      <w:jc w:val="center"/>
      <w:tabs>
        <w:tab w:val="center" w:pos="4153" w:leader="none"/>
        <w:tab w:val="right" w:pos="8306" w:leader="none"/>
      </w:tabs>
      <w:pBdr>
        <w:bottom w:val="single" w:color="auto" w:sz="6" w:space="1"/>
      </w:pBdr>
    </w:pPr>
    <w:rPr>
      <w:sz w:val="18"/>
    </w:rPr>
  </w:style>
  <w:style w:type="paragraph" w:styleId="1260">
    <w:name w:val="toc 1"/>
    <w:basedOn w:val="1224"/>
    <w:next w:val="1224"/>
    <w:uiPriority w:val="39"/>
    <w:qFormat/>
  </w:style>
  <w:style w:type="paragraph" w:styleId="1261">
    <w:name w:val="toc 4"/>
    <w:basedOn w:val="1224"/>
    <w:next w:val="1224"/>
    <w:uiPriority w:val="0"/>
    <w:qFormat/>
    <w:pPr>
      <w:ind w:left="600"/>
    </w:pPr>
  </w:style>
  <w:style w:type="paragraph" w:styleId="1262">
    <w:name w:val="Subtitle"/>
    <w:basedOn w:val="1224"/>
    <w:next w:val="1224"/>
    <w:uiPriority w:val="0"/>
    <w:qFormat/>
    <w:pPr>
      <w:jc w:val="center"/>
      <w:spacing w:before="240" w:after="60" w:line="312" w:lineRule="auto"/>
      <w:outlineLvl w:val="1"/>
    </w:pPr>
    <w:rPr>
      <w:rFonts w:ascii="Cambria" w:hAnsi="Cambria"/>
      <w:b/>
      <w:bCs/>
      <w:sz w:val="32"/>
      <w:szCs w:val="32"/>
    </w:rPr>
  </w:style>
  <w:style w:type="paragraph" w:styleId="1263">
    <w:name w:val="footnote text"/>
    <w:basedOn w:val="1224"/>
    <w:link w:val="1426"/>
    <w:uiPriority w:val="99"/>
    <w:semiHidden/>
    <w:unhideWhenUsed/>
    <w:pPr>
      <w:spacing w:after="40"/>
    </w:pPr>
    <w:rPr>
      <w:sz w:val="18"/>
    </w:rPr>
  </w:style>
  <w:style w:type="paragraph" w:styleId="1264">
    <w:name w:val="toc 6"/>
    <w:basedOn w:val="1224"/>
    <w:next w:val="1224"/>
    <w:uiPriority w:val="0"/>
    <w:qFormat/>
    <w:pPr>
      <w:ind w:left="1000"/>
    </w:pPr>
  </w:style>
  <w:style w:type="paragraph" w:styleId="1265">
    <w:name w:val="Body Text Indent 3"/>
    <w:basedOn w:val="1224"/>
    <w:uiPriority w:val="0"/>
    <w:qFormat/>
    <w:pPr>
      <w:ind w:firstLine="100"/>
    </w:pPr>
    <w:rPr>
      <w:rFonts w:eastAsia="华文新魏"/>
      <w:b/>
      <w:bCs/>
      <w:sz w:val="84"/>
    </w:rPr>
  </w:style>
  <w:style w:type="paragraph" w:styleId="1266">
    <w:name w:val="table of figures"/>
    <w:basedOn w:val="1224"/>
    <w:next w:val="1224"/>
    <w:uiPriority w:val="99"/>
    <w:unhideWhenUsed/>
    <w:qFormat/>
  </w:style>
  <w:style w:type="paragraph" w:styleId="1267">
    <w:name w:val="toc 2"/>
    <w:basedOn w:val="1224"/>
    <w:next w:val="1224"/>
    <w:uiPriority w:val="39"/>
    <w:qFormat/>
    <w:pPr>
      <w:ind w:left="200"/>
    </w:pPr>
  </w:style>
  <w:style w:type="paragraph" w:styleId="1268">
    <w:name w:val="toc 9"/>
    <w:basedOn w:val="1224"/>
    <w:next w:val="1224"/>
    <w:uiPriority w:val="0"/>
    <w:qFormat/>
    <w:pPr>
      <w:ind w:left="1600"/>
    </w:pPr>
  </w:style>
  <w:style w:type="paragraph" w:styleId="1269">
    <w:name w:val="HTML Preformatted"/>
    <w:basedOn w:val="12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270">
    <w:name w:val="Normal (Web)"/>
    <w:basedOn w:val="1224"/>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71">
    <w:name w:val="Title"/>
    <w:basedOn w:val="1224"/>
    <w:uiPriority w:val="0"/>
    <w:qFormat/>
    <w:pPr>
      <w:jc w:val="center"/>
    </w:pPr>
    <w:rPr>
      <w:sz w:val="30"/>
      <w:szCs w:val="24"/>
    </w:rPr>
  </w:style>
  <w:style w:type="paragraph" w:styleId="1272">
    <w:name w:val="annotation subject"/>
    <w:basedOn w:val="1242"/>
    <w:next w:val="1242"/>
    <w:uiPriority w:val="0"/>
    <w:qFormat/>
    <w:rPr>
      <w:b/>
      <w:bCs/>
    </w:rPr>
  </w:style>
  <w:style w:type="paragraph" w:styleId="1273">
    <w:name w:val="Body Text First Indent 2"/>
    <w:basedOn w:val="1245"/>
    <w:link w:val="1491"/>
    <w:uiPriority w:val="0"/>
    <w:qFormat/>
    <w:pPr>
      <w:ind w:left="420"/>
      <w:spacing w:after="120" w:line="240" w:lineRule="auto"/>
    </w:pPr>
    <w:rPr>
      <w:sz w:val="21"/>
    </w:rPr>
  </w:style>
  <w:style w:type="table" w:styleId="1274">
    <w:name w:val="Table Grid"/>
    <w:basedOn w:val="123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name w:val="Strong"/>
    <w:uiPriority w:val="0"/>
    <w:qFormat/>
    <w:rPr>
      <w:b/>
      <w:bCs/>
    </w:rPr>
  </w:style>
  <w:style w:type="character" w:styleId="1276">
    <w:name w:val="endnote reference"/>
    <w:basedOn w:val="1234"/>
    <w:uiPriority w:val="99"/>
    <w:semiHidden/>
    <w:unhideWhenUsed/>
    <w:rPr>
      <w:vertAlign w:val="superscript"/>
    </w:rPr>
  </w:style>
  <w:style w:type="character" w:styleId="1277">
    <w:name w:val="page number"/>
    <w:basedOn w:val="1234"/>
    <w:uiPriority w:val="0"/>
    <w:qFormat/>
  </w:style>
  <w:style w:type="character" w:styleId="1278">
    <w:name w:val="Emphasis"/>
    <w:uiPriority w:val="0"/>
    <w:qFormat/>
    <w:rPr>
      <w:i/>
    </w:rPr>
  </w:style>
  <w:style w:type="character" w:styleId="1279">
    <w:name w:val="Hyperlink"/>
    <w:uiPriority w:val="99"/>
    <w:qFormat/>
    <w:rPr>
      <w:color w:val="000000"/>
      <w:sz w:val="18"/>
      <w:szCs w:val="18"/>
      <w:u w:val="none"/>
    </w:rPr>
  </w:style>
  <w:style w:type="character" w:styleId="1280">
    <w:name w:val="annotation reference"/>
    <w:basedOn w:val="1234"/>
    <w:uiPriority w:val="0"/>
    <w:qFormat/>
    <w:rPr>
      <w:sz w:val="21"/>
      <w:szCs w:val="21"/>
    </w:rPr>
  </w:style>
  <w:style w:type="character" w:styleId="1281">
    <w:name w:val="footnote reference"/>
    <w:basedOn w:val="1234"/>
    <w:uiPriority w:val="99"/>
    <w:unhideWhenUsed/>
    <w:qFormat/>
    <w:rPr>
      <w:vertAlign w:val="superscript"/>
    </w:rPr>
  </w:style>
  <w:style w:type="character" w:styleId="1282" w:customStyle="1">
    <w:name w:val="Heading 1 Char"/>
    <w:basedOn w:val="1234"/>
    <w:uiPriority w:val="9"/>
    <w:rPr>
      <w:rFonts w:ascii="Arial" w:hAnsi="Arial" w:eastAsia="Arial" w:cs="Arial"/>
      <w:sz w:val="40"/>
      <w:szCs w:val="40"/>
    </w:rPr>
  </w:style>
  <w:style w:type="character" w:styleId="1283" w:customStyle="1">
    <w:name w:val="Heading 2 Char"/>
    <w:basedOn w:val="1234"/>
    <w:uiPriority w:val="9"/>
    <w:rPr>
      <w:rFonts w:ascii="Arial" w:hAnsi="Arial" w:eastAsia="Arial" w:cs="Arial"/>
      <w:sz w:val="34"/>
    </w:rPr>
  </w:style>
  <w:style w:type="character" w:styleId="1284" w:customStyle="1">
    <w:name w:val="Heading 3 Char"/>
    <w:basedOn w:val="1234"/>
    <w:uiPriority w:val="9"/>
    <w:qFormat/>
    <w:rPr>
      <w:rFonts w:ascii="Arial" w:hAnsi="Arial" w:eastAsia="Arial" w:cs="Arial"/>
      <w:sz w:val="30"/>
      <w:szCs w:val="30"/>
    </w:rPr>
  </w:style>
  <w:style w:type="character" w:styleId="1285" w:customStyle="1">
    <w:name w:val="Heading 4 Char"/>
    <w:basedOn w:val="1234"/>
    <w:uiPriority w:val="9"/>
    <w:rPr>
      <w:rFonts w:ascii="Arial" w:hAnsi="Arial" w:eastAsia="Arial" w:cs="Arial"/>
      <w:b/>
      <w:bCs/>
      <w:sz w:val="26"/>
      <w:szCs w:val="26"/>
    </w:rPr>
  </w:style>
  <w:style w:type="character" w:styleId="1286" w:customStyle="1">
    <w:name w:val="Heading 5 Char"/>
    <w:basedOn w:val="1234"/>
    <w:uiPriority w:val="9"/>
    <w:qFormat/>
    <w:rPr>
      <w:rFonts w:ascii="Arial" w:hAnsi="Arial" w:eastAsia="Arial" w:cs="Arial"/>
      <w:b/>
      <w:bCs/>
      <w:sz w:val="24"/>
      <w:szCs w:val="24"/>
    </w:rPr>
  </w:style>
  <w:style w:type="character" w:styleId="1287" w:customStyle="1">
    <w:name w:val="标题 6 字符"/>
    <w:basedOn w:val="1234"/>
    <w:link w:val="1230"/>
    <w:uiPriority w:val="9"/>
    <w:qFormat/>
    <w:rPr>
      <w:rFonts w:ascii="Arial" w:hAnsi="Arial" w:eastAsia="Arial" w:cs="Arial"/>
      <w:b/>
      <w:bCs/>
      <w:sz w:val="22"/>
      <w:szCs w:val="22"/>
    </w:rPr>
  </w:style>
  <w:style w:type="character" w:styleId="1288" w:customStyle="1">
    <w:name w:val="Heading 7 Char"/>
    <w:basedOn w:val="1234"/>
    <w:uiPriority w:val="9"/>
    <w:qFormat/>
    <w:rPr>
      <w:rFonts w:ascii="Arial" w:hAnsi="Arial" w:eastAsia="Arial" w:cs="Arial"/>
      <w:b/>
      <w:bCs/>
      <w:i/>
      <w:iCs/>
      <w:sz w:val="22"/>
      <w:szCs w:val="22"/>
    </w:rPr>
  </w:style>
  <w:style w:type="character" w:styleId="1289" w:customStyle="1">
    <w:name w:val="标题 8 字符"/>
    <w:basedOn w:val="1234"/>
    <w:link w:val="1232"/>
    <w:uiPriority w:val="9"/>
    <w:qFormat/>
    <w:rPr>
      <w:rFonts w:ascii="Arial" w:hAnsi="Arial" w:eastAsia="Arial" w:cs="Arial"/>
      <w:i/>
      <w:iCs/>
      <w:sz w:val="22"/>
      <w:szCs w:val="22"/>
    </w:rPr>
  </w:style>
  <w:style w:type="character" w:styleId="1290" w:customStyle="1">
    <w:name w:val="标题 9 字符"/>
    <w:basedOn w:val="1234"/>
    <w:link w:val="1233"/>
    <w:uiPriority w:val="9"/>
    <w:qFormat/>
    <w:rPr>
      <w:rFonts w:ascii="Arial" w:hAnsi="Arial" w:eastAsia="Arial" w:cs="Arial"/>
      <w:i/>
      <w:iCs/>
      <w:sz w:val="21"/>
      <w:szCs w:val="21"/>
    </w:rPr>
  </w:style>
  <w:style w:type="paragraph" w:styleId="1291">
    <w:name w:val="No Spacing"/>
    <w:uiPriority w:val="1"/>
    <w:qFormat/>
    <w:rPr>
      <w:rFonts w:ascii="Times New Roman" w:hAnsi="Times New Roman" w:eastAsia="宋体" w:cs="Times New Roman"/>
      <w:lang w:val="en-US" w:eastAsia="zh-CN" w:bidi="ar-SA"/>
    </w:rPr>
  </w:style>
  <w:style w:type="character" w:styleId="1292" w:customStyle="1">
    <w:name w:val="Title Char"/>
    <w:basedOn w:val="1234"/>
    <w:uiPriority w:val="10"/>
    <w:qFormat/>
    <w:rPr>
      <w:sz w:val="48"/>
      <w:szCs w:val="48"/>
    </w:rPr>
  </w:style>
  <w:style w:type="character" w:styleId="1293" w:customStyle="1">
    <w:name w:val="Subtitle Char"/>
    <w:basedOn w:val="1234"/>
    <w:uiPriority w:val="11"/>
    <w:qFormat/>
    <w:rPr>
      <w:sz w:val="24"/>
      <w:szCs w:val="24"/>
    </w:rPr>
  </w:style>
  <w:style w:type="paragraph" w:styleId="1294">
    <w:name w:val="Quote"/>
    <w:basedOn w:val="1224"/>
    <w:next w:val="1224"/>
    <w:link w:val="1295"/>
    <w:uiPriority w:val="29"/>
    <w:qFormat/>
    <w:pPr>
      <w:ind w:left="720" w:right="720"/>
    </w:pPr>
    <w:rPr>
      <w:i/>
    </w:rPr>
  </w:style>
  <w:style w:type="character" w:styleId="1295" w:customStyle="1">
    <w:name w:val="引用 字符"/>
    <w:link w:val="1294"/>
    <w:uiPriority w:val="29"/>
    <w:qFormat/>
    <w:rPr>
      <w:i/>
    </w:rPr>
  </w:style>
  <w:style w:type="paragraph" w:styleId="1296">
    <w:name w:val="Intense Quote"/>
    <w:basedOn w:val="1224"/>
    <w:next w:val="1224"/>
    <w:link w:val="12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7" w:customStyle="1">
    <w:name w:val="明显引用 字符"/>
    <w:link w:val="1296"/>
    <w:uiPriority w:val="30"/>
    <w:qFormat/>
    <w:rPr>
      <w:i/>
    </w:rPr>
  </w:style>
  <w:style w:type="character" w:styleId="1298" w:customStyle="1">
    <w:name w:val="Header Char"/>
    <w:basedOn w:val="1234"/>
    <w:uiPriority w:val="99"/>
    <w:qFormat/>
  </w:style>
  <w:style w:type="character" w:styleId="1299" w:customStyle="1">
    <w:name w:val="Footer Char"/>
    <w:basedOn w:val="1234"/>
    <w:uiPriority w:val="99"/>
    <w:qFormat/>
  </w:style>
  <w:style w:type="character" w:styleId="1300" w:customStyle="1">
    <w:name w:val="Caption Char"/>
    <w:uiPriority w:val="99"/>
    <w:qFormat/>
  </w:style>
  <w:style w:type="table" w:styleId="1301" w:customStyle="1">
    <w:name w:val="Table Grid Light"/>
    <w:basedOn w:val="12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302" w:customStyle="1">
    <w:name w:val="无格式表格 11"/>
    <w:basedOn w:val="12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3" w:customStyle="1">
    <w:name w:val="无格式表格 21"/>
    <w:basedOn w:val="12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4" w:customStyle="1">
    <w:name w:val="无格式表格 31"/>
    <w:basedOn w:val="12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5" w:customStyle="1">
    <w:name w:val="无格式表格 41"/>
    <w:basedOn w:val="12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6" w:customStyle="1">
    <w:name w:val="无格式表格 51"/>
    <w:basedOn w:val="12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7" w:customStyle="1">
    <w:name w:val="网格表 1 浅色1"/>
    <w:basedOn w:val="12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8" w:customStyle="1">
    <w:name w:val="Grid Table 1 Light - Accent 1"/>
    <w:basedOn w:val="123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09" w:customStyle="1">
    <w:name w:val="Grid Table 1 Light - Accent 2"/>
    <w:basedOn w:val="123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10" w:customStyle="1">
    <w:name w:val="Grid Table 1 Light - Accent 3"/>
    <w:basedOn w:val="123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11" w:customStyle="1">
    <w:name w:val="Grid Table 1 Light - Accent 4"/>
    <w:basedOn w:val="12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12" w:customStyle="1">
    <w:name w:val="Grid Table 1 Light - Accent 5"/>
    <w:basedOn w:val="123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13" w:customStyle="1">
    <w:name w:val="Grid Table 1 Light - Accent 6"/>
    <w:basedOn w:val="123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14" w:customStyle="1">
    <w:name w:val="网格表 21"/>
    <w:basedOn w:val="12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5" w:customStyle="1">
    <w:name w:val="Grid Table 2 - Accent 1"/>
    <w:basedOn w:val="12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16" w:customStyle="1">
    <w:name w:val="Grid Table 2 - Accent 2"/>
    <w:basedOn w:val="1235"/>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17" w:customStyle="1">
    <w:name w:val="Grid Table 2 - Accent 3"/>
    <w:basedOn w:val="123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18" w:customStyle="1">
    <w:name w:val="Grid Table 2 - Accent 4"/>
    <w:basedOn w:val="123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19" w:customStyle="1">
    <w:name w:val="Grid Table 2 - Accent 5"/>
    <w:basedOn w:val="123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20" w:customStyle="1">
    <w:name w:val="Grid Table 2 - Accent 6"/>
    <w:basedOn w:val="123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21" w:customStyle="1">
    <w:name w:val="网格表 31"/>
    <w:basedOn w:val="123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2" w:customStyle="1">
    <w:name w:val="Grid Table 3 - Accent 1"/>
    <w:basedOn w:val="123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3 - Accent 2"/>
    <w:basedOn w:val="1235"/>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4" w:customStyle="1">
    <w:name w:val="Grid Table 3 - Accent 3"/>
    <w:basedOn w:val="1235"/>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5" w:customStyle="1">
    <w:name w:val="Grid Table 3 - Accent 4"/>
    <w:basedOn w:val="123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6" w:customStyle="1">
    <w:name w:val="Grid Table 3 - Accent 5"/>
    <w:basedOn w:val="123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7" w:customStyle="1">
    <w:name w:val="Grid Table 3 - Accent 6"/>
    <w:basedOn w:val="123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8" w:customStyle="1">
    <w:name w:val="网格表 41"/>
    <w:basedOn w:val="12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9" w:customStyle="1">
    <w:name w:val="Grid Table 4 - Accent 1"/>
    <w:basedOn w:val="123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30" w:customStyle="1">
    <w:name w:val="Grid Table 4 - Accent 2"/>
    <w:basedOn w:val="1235"/>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31" w:customStyle="1">
    <w:name w:val="Grid Table 4 - Accent 3"/>
    <w:basedOn w:val="123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32" w:customStyle="1">
    <w:name w:val="Grid Table 4 - Accent 4"/>
    <w:basedOn w:val="123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33" w:customStyle="1">
    <w:name w:val="Grid Table 4 - Accent 5"/>
    <w:basedOn w:val="123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34" w:customStyle="1">
    <w:name w:val="Grid Table 4 - Accent 6"/>
    <w:basedOn w:val="123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35" w:customStyle="1">
    <w:name w:val="网格表 5 深色1"/>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6" w:customStyle="1">
    <w:name w:val="Grid Table 5 Dark- Accent 1"/>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37" w:customStyle="1">
    <w:name w:val="Grid Table 5 Dark - Accent 2"/>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38" w:customStyle="1">
    <w:name w:val="Grid Table 5 Dark - Accent 3"/>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39" w:customStyle="1">
    <w:name w:val="Grid Table 5 Dark- Accent 4"/>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40" w:customStyle="1">
    <w:name w:val="Grid Table 5 Dark - Accent 5"/>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41" w:customStyle="1">
    <w:name w:val="Grid Table 5 Dark - Accent 6"/>
    <w:basedOn w:val="12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42" w:customStyle="1">
    <w:name w:val="网格表 6 彩色1"/>
    <w:basedOn w:val="1235"/>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43" w:customStyle="1">
    <w:name w:val="Grid Table 6 Colorful - Accent 1"/>
    <w:basedOn w:val="123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44" w:customStyle="1">
    <w:name w:val="Grid Table 6 Colorful - Accent 2"/>
    <w:basedOn w:val="1235"/>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45" w:customStyle="1">
    <w:name w:val="Grid Table 6 Colorful - Accent 3"/>
    <w:basedOn w:val="1235"/>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46" w:customStyle="1">
    <w:name w:val="Grid Table 6 Colorful - Accent 4"/>
    <w:basedOn w:val="123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47" w:customStyle="1">
    <w:name w:val="Grid Table 6 Colorful - Accent 5"/>
    <w:basedOn w:val="123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8" w:customStyle="1">
    <w:name w:val="Grid Table 6 Colorful - Accent 6"/>
    <w:basedOn w:val="1235"/>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9" w:customStyle="1">
    <w:name w:val="网格表 7 彩色1"/>
    <w:basedOn w:val="1235"/>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0" w:customStyle="1">
    <w:name w:val="Grid Table 7 Colorful - Accent 1"/>
    <w:basedOn w:val="1235"/>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51" w:customStyle="1">
    <w:name w:val="Grid Table 7 Colorful - Accent 2"/>
    <w:basedOn w:val="1235"/>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2" w:customStyle="1">
    <w:name w:val="Grid Table 7 Colorful - Accent 3"/>
    <w:basedOn w:val="1235"/>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53" w:customStyle="1">
    <w:name w:val="Grid Table 7 Colorful - Accent 4"/>
    <w:basedOn w:val="123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4" w:customStyle="1">
    <w:name w:val="Grid Table 7 Colorful - Accent 5"/>
    <w:basedOn w:val="123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55" w:customStyle="1">
    <w:name w:val="Grid Table 7 Colorful - Accent 6"/>
    <w:basedOn w:val="1235"/>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56" w:customStyle="1">
    <w:name w:val="清单表 1 浅色1"/>
    <w:basedOn w:val="1235"/>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7" w:customStyle="1">
    <w:name w:val="List Table 1 Light - Accent 1"/>
    <w:basedOn w:val="1235"/>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58" w:customStyle="1">
    <w:name w:val="List Table 1 Light - Accent 2"/>
    <w:basedOn w:val="1235"/>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59" w:customStyle="1">
    <w:name w:val="List Table 1 Light - Accent 3"/>
    <w:basedOn w:val="1235"/>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60" w:customStyle="1">
    <w:name w:val="List Table 1 Light - Accent 4"/>
    <w:basedOn w:val="123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61" w:customStyle="1">
    <w:name w:val="List Table 1 Light - Accent 5"/>
    <w:basedOn w:val="123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62" w:customStyle="1">
    <w:name w:val="List Table 1 Light - Accent 6"/>
    <w:basedOn w:val="1235"/>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63" w:customStyle="1">
    <w:name w:val="清单表 21"/>
    <w:basedOn w:val="123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64" w:customStyle="1">
    <w:name w:val="List Table 2 - Accent 1"/>
    <w:basedOn w:val="123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65" w:customStyle="1">
    <w:name w:val="List Table 2 - Accent 2"/>
    <w:basedOn w:val="1235"/>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66" w:customStyle="1">
    <w:name w:val="List Table 2 - Accent 3"/>
    <w:basedOn w:val="123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67" w:customStyle="1">
    <w:name w:val="List Table 2 - Accent 4"/>
    <w:basedOn w:val="123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68" w:customStyle="1">
    <w:name w:val="List Table 2 - Accent 5"/>
    <w:basedOn w:val="123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69" w:customStyle="1">
    <w:name w:val="List Table 2 - Accent 6"/>
    <w:basedOn w:val="123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70" w:customStyle="1">
    <w:name w:val="清单表 31"/>
    <w:basedOn w:val="123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1" w:customStyle="1">
    <w:name w:val="List Table 3 - Accent 1"/>
    <w:basedOn w:val="123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2" w:customStyle="1">
    <w:name w:val="List Table 3 - Accent 2"/>
    <w:basedOn w:val="1235"/>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73" w:customStyle="1">
    <w:name w:val="List Table 3 - Accent 3"/>
    <w:basedOn w:val="1235"/>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74" w:customStyle="1">
    <w:name w:val="List Table 3 - Accent 4"/>
    <w:basedOn w:val="123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75" w:customStyle="1">
    <w:name w:val="List Table 3 - Accent 5"/>
    <w:basedOn w:val="123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76" w:customStyle="1">
    <w:name w:val="List Table 3 - Accent 6"/>
    <w:basedOn w:val="123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77" w:customStyle="1">
    <w:name w:val="清单表 41"/>
    <w:basedOn w:val="123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8" w:customStyle="1">
    <w:name w:val="List Table 4 - Accent 1"/>
    <w:basedOn w:val="123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9" w:customStyle="1">
    <w:name w:val="List Table 4 - Accent 2"/>
    <w:basedOn w:val="1235"/>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80" w:customStyle="1">
    <w:name w:val="List Table 4 - Accent 3"/>
    <w:basedOn w:val="123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81" w:customStyle="1">
    <w:name w:val="List Table 4 - Accent 4"/>
    <w:basedOn w:val="123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82" w:customStyle="1">
    <w:name w:val="List Table 4 - Accent 5"/>
    <w:basedOn w:val="123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83" w:customStyle="1">
    <w:name w:val="List Table 4 - Accent 6"/>
    <w:basedOn w:val="123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84" w:customStyle="1">
    <w:name w:val="清单表 5 深色1"/>
    <w:basedOn w:val="123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5" w:customStyle="1">
    <w:name w:val="List Table 5 Dark - Accent 1"/>
    <w:basedOn w:val="123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5 Dark - Accent 2"/>
    <w:basedOn w:val="1235"/>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7" w:customStyle="1">
    <w:name w:val="List Table 5 Dark - Accent 3"/>
    <w:basedOn w:val="1235"/>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8" w:customStyle="1">
    <w:name w:val="List Table 5 Dark - Accent 4"/>
    <w:basedOn w:val="123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9" w:customStyle="1">
    <w:name w:val="List Table 5 Dark - Accent 5"/>
    <w:basedOn w:val="123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0" w:customStyle="1">
    <w:name w:val="List Table 5 Dark - Accent 6"/>
    <w:basedOn w:val="123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1" w:customStyle="1">
    <w:name w:val="清单表 6 彩色1"/>
    <w:basedOn w:val="1235"/>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92" w:customStyle="1">
    <w:name w:val="List Table 6 Colorful - Accent 1"/>
    <w:basedOn w:val="1235"/>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93" w:customStyle="1">
    <w:name w:val="List Table 6 Colorful - Accent 2"/>
    <w:basedOn w:val="1235"/>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94" w:customStyle="1">
    <w:name w:val="List Table 6 Colorful - Accent 3"/>
    <w:basedOn w:val="1235"/>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95" w:customStyle="1">
    <w:name w:val="List Table 6 Colorful - Accent 4"/>
    <w:basedOn w:val="123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96" w:customStyle="1">
    <w:name w:val="List Table 6 Colorful - Accent 5"/>
    <w:basedOn w:val="123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97" w:customStyle="1">
    <w:name w:val="List Table 6 Colorful - Accent 6"/>
    <w:basedOn w:val="123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98" w:customStyle="1">
    <w:name w:val="清单表 7 彩色1"/>
    <w:basedOn w:val="123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99" w:customStyle="1">
    <w:name w:val="List Table 7 Colorful - Accent 1"/>
    <w:basedOn w:val="1235"/>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00" w:customStyle="1">
    <w:name w:val="List Table 7 Colorful - Accent 2"/>
    <w:basedOn w:val="1235"/>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1" w:customStyle="1">
    <w:name w:val="List Table 7 Colorful - Accent 3"/>
    <w:basedOn w:val="1235"/>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02" w:customStyle="1">
    <w:name w:val="List Table 7 Colorful - Accent 4"/>
    <w:basedOn w:val="1235"/>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3" w:customStyle="1">
    <w:name w:val="List Table 7 Colorful - Accent 5"/>
    <w:basedOn w:val="1235"/>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04" w:customStyle="1">
    <w:name w:val="List Table 7 Colorful - Accent 6"/>
    <w:basedOn w:val="1235"/>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05" w:customStyle="1">
    <w:name w:val="Lined - Accent"/>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6" w:customStyle="1">
    <w:name w:val="Lined - Accent 1"/>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07" w:customStyle="1">
    <w:name w:val="Lined - Accent 2"/>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08" w:customStyle="1">
    <w:name w:val="Lined - Accent 3"/>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09" w:customStyle="1">
    <w:name w:val="Lined - Accent 4"/>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0" w:customStyle="1">
    <w:name w:val="Lined - Accent 5"/>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1" w:customStyle="1">
    <w:name w:val="Lined - Accent 6"/>
    <w:basedOn w:val="123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2" w:customStyle="1">
    <w:name w:val="Bordered &amp; Lined - Accent"/>
    <w:basedOn w:val="1235"/>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13" w:customStyle="1">
    <w:name w:val="Bordered &amp; Lined - Accent 1"/>
    <w:basedOn w:val="1235"/>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14" w:customStyle="1">
    <w:name w:val="Bordered &amp; Lined - Accent 2"/>
    <w:basedOn w:val="1235"/>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15" w:customStyle="1">
    <w:name w:val="Bordered &amp; Lined - Accent 3"/>
    <w:basedOn w:val="1235"/>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6" w:customStyle="1">
    <w:name w:val="Bordered &amp; Lined - Accent 4"/>
    <w:basedOn w:val="123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7" w:customStyle="1">
    <w:name w:val="Bordered &amp; Lined - Accent 5"/>
    <w:basedOn w:val="123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8" w:customStyle="1">
    <w:name w:val="Bordered &amp; Lined - Accent 6"/>
    <w:basedOn w:val="123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9" w:customStyle="1">
    <w:name w:val="Bordered"/>
    <w:basedOn w:val="1235"/>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20" w:customStyle="1">
    <w:name w:val="Bordered - Accent 1"/>
    <w:basedOn w:val="1235"/>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21" w:customStyle="1">
    <w:name w:val="Bordered - Accent 2"/>
    <w:basedOn w:val="1235"/>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22" w:customStyle="1">
    <w:name w:val="Bordered - Accent 3"/>
    <w:basedOn w:val="123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23" w:customStyle="1">
    <w:name w:val="Bordered - Accent 4"/>
    <w:basedOn w:val="123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24" w:customStyle="1">
    <w:name w:val="Bordered - Accent 5"/>
    <w:basedOn w:val="123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25" w:customStyle="1">
    <w:name w:val="Bordered - Accent 6"/>
    <w:basedOn w:val="123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26" w:customStyle="1">
    <w:name w:val="脚注文本 字符"/>
    <w:link w:val="1263"/>
    <w:uiPriority w:val="99"/>
    <w:qFormat/>
    <w:rPr>
      <w:sz w:val="18"/>
    </w:rPr>
  </w:style>
  <w:style w:type="character" w:styleId="1427" w:customStyle="1">
    <w:name w:val="尾注文本 字符"/>
    <w:link w:val="1256"/>
    <w:uiPriority w:val="99"/>
    <w:qFormat/>
    <w:rPr>
      <w:sz w:val="20"/>
    </w:rPr>
  </w:style>
  <w:style w:type="paragraph" w:styleId="1428" w:customStyle="1">
    <w:name w:val="TOC 标题1"/>
    <w:uiPriority w:val="39"/>
    <w:unhideWhenUsed/>
    <w:qFormat/>
    <w:rPr>
      <w:rFonts w:ascii="Times New Roman" w:hAnsi="Times New Roman" w:eastAsia="宋体" w:cs="Times New Roman"/>
      <w:lang w:val="en-US" w:eastAsia="zh-CN" w:bidi="ar-SA"/>
    </w:rPr>
  </w:style>
  <w:style w:type="paragraph" w:styleId="1429" w:customStyle="1">
    <w:name w:val="[Normal]"/>
    <w:uiPriority w:val="99"/>
    <w:qFormat/>
    <w:rPr>
      <w:rFonts w:ascii="方正仿宋简体" w:hAnsi="方正仿宋简体" w:eastAsia="方正仿宋简体" w:cs="Courier New"/>
      <w:sz w:val="24"/>
      <w:szCs w:val="22"/>
      <w:lang w:val="zh-CN" w:eastAsia="zh-CN" w:bidi="ar-SA"/>
    </w:rPr>
  </w:style>
  <w:style w:type="paragraph" w:styleId="1430" w:customStyle="1">
    <w:name w:val="二级条标题"/>
    <w:basedOn w:val="1431"/>
    <w:next w:val="1224"/>
    <w:uiPriority w:val="0"/>
    <w:qFormat/>
    <w:pPr>
      <w:outlineLvl w:val="2"/>
    </w:pPr>
    <w:rPr>
      <w:szCs w:val="24"/>
    </w:rPr>
  </w:style>
  <w:style w:type="paragraph" w:styleId="1431" w:customStyle="1">
    <w:name w:val="一级条标题"/>
    <w:basedOn w:val="1432"/>
    <w:next w:val="1224"/>
    <w:uiPriority w:val="0"/>
    <w:qFormat/>
    <w:pPr>
      <w:outlineLvl w:val="1"/>
    </w:pPr>
    <w:rPr>
      <w:sz w:val="24"/>
    </w:rPr>
  </w:style>
  <w:style w:type="paragraph" w:styleId="1432" w:customStyle="1">
    <w:name w:val="章标题"/>
    <w:basedOn w:val="1224"/>
    <w:next w:val="1224"/>
    <w:uiPriority w:val="0"/>
    <w:qFormat/>
    <w:pPr>
      <w:numPr>
        <w:ilvl w:val="0"/>
        <w:numId w:val="1"/>
      </w:numPr>
      <w:jc w:val="left"/>
      <w:outlineLvl w:val="0"/>
    </w:pPr>
    <w:rPr>
      <w:b/>
      <w:sz w:val="28"/>
      <w:szCs w:val="28"/>
    </w:rPr>
  </w:style>
  <w:style w:type="paragraph" w:styleId="1433" w:customStyle="1">
    <w:name w:val="Char Char Char Char Char Char Char"/>
    <w:basedOn w:val="1224"/>
    <w:uiPriority w:val="0"/>
    <w:qFormat/>
    <w:pPr>
      <w:ind w:left="432" w:hanging="432"/>
      <w:jc w:val="center"/>
      <w:tabs>
        <w:tab w:val="left" w:pos="432" w:leader="none"/>
      </w:tabs>
    </w:pPr>
    <w:rPr>
      <w:rFonts w:ascii="仿宋_GB2312" w:hAnsi="仿宋_GB2312" w:eastAsia="仿宋_GB2312"/>
      <w:sz w:val="24"/>
      <w:szCs w:val="24"/>
    </w:rPr>
  </w:style>
  <w:style w:type="paragraph" w:styleId="1434" w:customStyle="1">
    <w:name w:val="Char Char Char Char Char Char Char1"/>
    <w:basedOn w:val="1224"/>
    <w:uiPriority w:val="0"/>
    <w:qFormat/>
    <w:rPr>
      <w:rFonts w:ascii="Tahoma" w:hAnsi="Tahoma" w:cs="仿宋_GB2312"/>
      <w:sz w:val="24"/>
      <w:szCs w:val="28"/>
    </w:rPr>
  </w:style>
  <w:style w:type="paragraph" w:styleId="1435" w:customStyle="1">
    <w:name w:val="正文文本首行缩进1"/>
    <w:basedOn w:val="1243"/>
    <w:uiPriority w:val="0"/>
    <w:qFormat/>
    <w:pPr>
      <w:ind w:firstLine="420"/>
    </w:pPr>
  </w:style>
  <w:style w:type="paragraph" w:styleId="1436" w:customStyle="1">
    <w:name w:val="表中字"/>
    <w:basedOn w:val="1224"/>
    <w:uiPriority w:val="0"/>
    <w:qFormat/>
    <w:pPr>
      <w:jc w:val="center"/>
    </w:pPr>
    <w:rPr>
      <w:szCs w:val="21"/>
    </w:rPr>
  </w:style>
  <w:style w:type="paragraph" w:styleId="1437" w:customStyle="1">
    <w:name w:val="Char Char"/>
    <w:basedOn w:val="1224"/>
    <w:uiPriority w:val="0"/>
    <w:qFormat/>
    <w:pPr>
      <w:ind w:left="360" w:hanging="360"/>
    </w:pPr>
    <w:rPr>
      <w:sz w:val="24"/>
      <w:szCs w:val="24"/>
    </w:rPr>
  </w:style>
  <w:style w:type="paragraph" w:styleId="1438" w:customStyle="1">
    <w:name w:val="正文1"/>
    <w:basedOn w:val="1224"/>
    <w:uiPriority w:val="0"/>
    <w:qFormat/>
    <w:pPr>
      <w:jc w:val="left"/>
      <w:spacing w:after="200" w:line="300" w:lineRule="atLeast"/>
      <w:widowControl/>
    </w:pPr>
    <w:rPr>
      <w:rFonts w:ascii="Calibri" w:hAnsi="Calibri" w:cs="宋体"/>
      <w:sz w:val="22"/>
      <w:szCs w:val="22"/>
    </w:rPr>
  </w:style>
  <w:style w:type="paragraph" w:styleId="1439" w:customStyle="1">
    <w:name w:val="彩色列表 - 强调文字颜色 11"/>
    <w:basedOn w:val="1224"/>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40" w:customStyle="1">
    <w:name w:val="图片格式"/>
    <w:basedOn w:val="1224"/>
    <w:next w:val="1224"/>
    <w:uiPriority w:val="0"/>
    <w:qFormat/>
    <w:pPr>
      <w:jc w:val="center"/>
      <w:keepNext/>
    </w:pPr>
  </w:style>
  <w:style w:type="paragraph" w:styleId="1441" w:customStyle="1">
    <w:name w:val="列表段落1"/>
    <w:basedOn w:val="1224"/>
    <w:uiPriority w:val="0"/>
    <w:qFormat/>
    <w:pPr>
      <w:ind w:firstLine="200"/>
    </w:pPr>
    <w:rPr>
      <w:rFonts w:ascii="Calibri" w:hAnsi="Calibri"/>
      <w:szCs w:val="22"/>
    </w:rPr>
  </w:style>
  <w:style w:type="paragraph" w:styleId="1442" w:customStyle="1">
    <w:name w:val="简单回函地址"/>
    <w:basedOn w:val="1224"/>
    <w:uiPriority w:val="0"/>
    <w:qFormat/>
    <w:rPr>
      <w:szCs w:val="24"/>
    </w:rPr>
  </w:style>
  <w:style w:type="paragraph" w:styleId="1443" w:customStyle="1">
    <w:name w:val="Table Sub Section"/>
    <w:basedOn w:val="1224"/>
    <w:uiPriority w:val="0"/>
    <w:qFormat/>
    <w:pPr>
      <w:jc w:val="left"/>
      <w:keepNext/>
      <w:spacing w:before="160" w:after="160" w:line="276" w:lineRule="auto"/>
      <w:widowControl/>
    </w:pPr>
    <w:rPr>
      <w:rFonts w:ascii="Arial" w:hAnsi="Arial"/>
      <w:b/>
      <w:color w:val="0f0f0f"/>
      <w:sz w:val="20"/>
      <w:lang w:eastAsia="en-US"/>
    </w:rPr>
  </w:style>
  <w:style w:type="paragraph" w:styleId="1444" w:customStyle="1">
    <w:name w:val="yiv1658056056msonormal"/>
    <w:basedOn w:val="1224"/>
    <w:uiPriority w:val="0"/>
    <w:qFormat/>
    <w:pPr>
      <w:jc w:val="left"/>
      <w:spacing w:before="100" w:beforeAutospacing="1" w:after="100" w:afterAutospacing="1"/>
      <w:widowControl/>
    </w:pPr>
    <w:rPr>
      <w:rFonts w:ascii="宋体" w:cs="宋体"/>
      <w:sz w:val="24"/>
      <w:szCs w:val="24"/>
    </w:rPr>
  </w:style>
  <w:style w:type="paragraph" w:styleId="1445" w:customStyle="1">
    <w:name w:val="列出段落1"/>
    <w:basedOn w:val="1224"/>
    <w:uiPriority w:val="0"/>
    <w:qFormat/>
    <w:pPr>
      <w:ind w:firstLine="200"/>
    </w:pPr>
    <w:rPr>
      <w:rFonts w:ascii="Calibri" w:hAnsi="Calibri"/>
      <w:szCs w:val="22"/>
    </w:rPr>
  </w:style>
  <w:style w:type="paragraph" w:styleId="1446" w:customStyle="1">
    <w:name w:val="样式 首行缩进:  2 字符"/>
    <w:basedOn w:val="1224"/>
    <w:uiPriority w:val="0"/>
    <w:qFormat/>
    <w:pPr>
      <w:ind w:firstLine="200"/>
      <w:spacing w:line="400" w:lineRule="exact"/>
    </w:pPr>
    <w:rPr>
      <w:rFonts w:cs="宋体"/>
      <w:sz w:val="24"/>
      <w:szCs w:val="24"/>
    </w:rPr>
  </w:style>
  <w:style w:type="paragraph" w:styleId="1447" w:customStyle="1">
    <w:name w:val="p0"/>
    <w:basedOn w:val="1224"/>
    <w:uiPriority w:val="0"/>
    <w:qFormat/>
    <w:pPr>
      <w:widowControl/>
    </w:pPr>
    <w:rPr>
      <w:szCs w:val="21"/>
    </w:rPr>
  </w:style>
  <w:style w:type="paragraph" w:styleId="1448" w:customStyle="1">
    <w:name w:val="列表段落2"/>
    <w:basedOn w:val="1224"/>
    <w:uiPriority w:val="0"/>
    <w:qFormat/>
    <w:pPr>
      <w:ind w:firstLine="200"/>
      <w:jc w:val="left"/>
      <w:spacing w:line="300" w:lineRule="auto"/>
    </w:pPr>
    <w:rPr>
      <w:szCs w:val="22"/>
    </w:rPr>
  </w:style>
  <w:style w:type="paragraph" w:styleId="1449" w:customStyle="1">
    <w:name w:val="Char Char Char"/>
    <w:basedOn w:val="1224"/>
    <w:uiPriority w:val="0"/>
    <w:qFormat/>
    <w:pPr>
      <w:jc w:val="center"/>
      <w:spacing w:line="400" w:lineRule="exact"/>
      <w:widowControl/>
    </w:pPr>
    <w:rPr>
      <w:szCs w:val="24"/>
    </w:rPr>
  </w:style>
  <w:style w:type="paragraph" w:styleId="1450" w:customStyle="1">
    <w:name w:val="编号一级列项"/>
    <w:basedOn w:val="1224"/>
    <w:uiPriority w:val="0"/>
    <w:qFormat/>
    <w:pPr>
      <w:numPr>
        <w:ilvl w:val="6"/>
        <w:numId w:val="1"/>
      </w:numPr>
      <w:jc w:val="left"/>
      <w:outlineLvl w:val="6"/>
    </w:pPr>
  </w:style>
  <w:style w:type="paragraph" w:styleId="145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52" w:customStyle="1">
    <w:name w:val="Normal1"/>
    <w:basedOn w:val="1224"/>
    <w:uiPriority w:val="0"/>
    <w:qFormat/>
    <w:pPr>
      <w:jc w:val="left"/>
      <w:spacing w:after="200" w:line="300" w:lineRule="atLeast"/>
      <w:widowControl/>
    </w:pPr>
    <w:rPr>
      <w:rFonts w:ascii="Calibri" w:hAnsi="Calibri" w:cs="宋体"/>
      <w:sz w:val="22"/>
      <w:szCs w:val="22"/>
    </w:rPr>
  </w:style>
  <w:style w:type="paragraph" w:styleId="1453" w:customStyle="1">
    <w:name w:val="标准文本"/>
    <w:basedOn w:val="1224"/>
    <w:uiPriority w:val="0"/>
    <w:qFormat/>
    <w:pPr>
      <w:ind w:firstLine="200"/>
      <w:spacing w:line="300" w:lineRule="auto"/>
    </w:pPr>
    <w:rPr>
      <w:rFonts w:ascii="宋体" w:cs="宋体"/>
      <w:szCs w:val="21"/>
    </w:rPr>
  </w:style>
  <w:style w:type="paragraph" w:styleId="1454" w:customStyle="1">
    <w:name w:val="正文文本首行缩进 21"/>
    <w:basedOn w:val="1224"/>
    <w:uiPriority w:val="0"/>
    <w:qFormat/>
    <w:pPr>
      <w:ind w:firstLine="200"/>
    </w:pPr>
    <w:rPr>
      <w:sz w:val="24"/>
      <w:szCs w:val="24"/>
    </w:rPr>
  </w:style>
  <w:style w:type="paragraph" w:styleId="1455"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56"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57"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58"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59"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60"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61"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62"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63"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64"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65"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66"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67"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68"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69"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70"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71"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72" w:customStyle="1">
    <w:name w:val="列出段落2"/>
    <w:basedOn w:val="1224"/>
    <w:uiPriority w:val="99"/>
    <w:qFormat/>
    <w:pPr>
      <w:ind w:firstLine="420"/>
    </w:pPr>
    <w:rPr>
      <w:rFonts w:ascii="Calibri" w:hAnsi="Calibri"/>
      <w:szCs w:val="22"/>
    </w:rPr>
  </w:style>
  <w:style w:type="paragraph" w:styleId="1473" w:customStyle="1">
    <w:name w:val="表格"/>
    <w:basedOn w:val="1262"/>
    <w:next w:val="1224"/>
    <w:uiPriority w:val="0"/>
    <w:qFormat/>
    <w:pPr>
      <w:jc w:val="left"/>
      <w:spacing w:line="240" w:lineRule="auto"/>
      <w:widowControl/>
      <w:outlineLvl w:val="9"/>
    </w:pPr>
    <w:rPr>
      <w:rFonts w:eastAsia="仿宋"/>
      <w:b w:val="0"/>
      <w:sz w:val="21"/>
    </w:rPr>
  </w:style>
  <w:style w:type="paragraph" w:styleId="1474" w:customStyle="1">
    <w:name w:val="列表段落3"/>
    <w:basedOn w:val="1224"/>
    <w:uiPriority w:val="34"/>
    <w:qFormat/>
    <w:pPr>
      <w:ind w:firstLine="420"/>
    </w:pPr>
    <w:rPr>
      <w:rFonts w:ascii="Calibri" w:hAnsi="Calibri"/>
      <w:szCs w:val="22"/>
    </w:rPr>
  </w:style>
  <w:style w:type="paragraph" w:styleId="1475"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76" w:customStyle="1">
    <w:name w:val="访问过的超链接1"/>
    <w:uiPriority w:val="0"/>
    <w:qFormat/>
    <w:rPr>
      <w:color w:val="000000"/>
      <w:sz w:val="18"/>
      <w:szCs w:val="18"/>
      <w:u w:val="none"/>
    </w:rPr>
  </w:style>
  <w:style w:type="character" w:styleId="1477" w:customStyle="1">
    <w:name w:val="c lh15"/>
    <w:basedOn w:val="1234"/>
    <w:uiPriority w:val="0"/>
    <w:qFormat/>
  </w:style>
  <w:style w:type="character" w:styleId="1478" w:customStyle="1">
    <w:name w:val="style21"/>
    <w:uiPriority w:val="0"/>
    <w:qFormat/>
    <w:rPr>
      <w:sz w:val="18"/>
      <w:szCs w:val="18"/>
    </w:rPr>
  </w:style>
  <w:style w:type="character" w:styleId="1479" w:customStyle="1">
    <w:name w:val="A13"/>
    <w:uiPriority w:val="0"/>
    <w:qFormat/>
    <w:rPr>
      <w:rFonts w:ascii="Univers LT Std 45 Light" w:eastAsia="Univers LT Std 45 Light" w:cs="Univers LT Std 45 Light"/>
      <w:color w:val="221e1f"/>
      <w:sz w:val="10"/>
      <w:szCs w:val="10"/>
    </w:rPr>
  </w:style>
  <w:style w:type="character" w:styleId="1480" w:customStyle="1">
    <w:name w:val="页脚 字符"/>
    <w:uiPriority w:val="0"/>
    <w:qFormat/>
  </w:style>
  <w:style w:type="character" w:styleId="1481" w:customStyle="1">
    <w:name w:val="font21"/>
    <w:uiPriority w:val="0"/>
    <w:qFormat/>
    <w:rPr>
      <w:rFonts w:ascii="宋体" w:eastAsia="宋体" w:cs="宋体"/>
      <w:color w:val="000000"/>
      <w:sz w:val="20"/>
      <w:szCs w:val="20"/>
      <w:u w:val="none"/>
      <w:lang w:bidi="ar-SA"/>
    </w:rPr>
  </w:style>
  <w:style w:type="character" w:styleId="1482" w:customStyle="1">
    <w:name w:val="font31"/>
    <w:uiPriority w:val="0"/>
    <w:qFormat/>
    <w:rPr>
      <w:rFonts w:ascii="宋体" w:eastAsia="宋体" w:cs="宋体"/>
      <w:color w:val="000000"/>
      <w:sz w:val="20"/>
      <w:szCs w:val="20"/>
      <w:u w:val="none"/>
      <w:lang w:bidi="ar-SA"/>
    </w:rPr>
  </w:style>
  <w:style w:type="character" w:styleId="1483" w:customStyle="1">
    <w:name w:val="正文文本缩进 字符"/>
    <w:link w:val="1245"/>
    <w:uiPriority w:val="0"/>
    <w:qFormat/>
    <w:rPr>
      <w:rFonts w:ascii="宋体"/>
      <w:sz w:val="24"/>
    </w:rPr>
  </w:style>
  <w:style w:type="character" w:styleId="1484" w:customStyle="1">
    <w:name w:val="doctitle"/>
    <w:basedOn w:val="1234"/>
    <w:uiPriority w:val="0"/>
    <w:qFormat/>
  </w:style>
  <w:style w:type="character" w:styleId="1485" w:customStyle="1">
    <w:name w:val="批注文字 字符"/>
    <w:link w:val="1242"/>
    <w:uiPriority w:val="99"/>
    <w:qFormat/>
    <w:rPr>
      <w:sz w:val="21"/>
    </w:rPr>
  </w:style>
  <w:style w:type="paragraph" w:styleId="1486">
    <w:name w:val="List Paragraph"/>
    <w:basedOn w:val="1224"/>
    <w:uiPriority w:val="1"/>
    <w:qFormat/>
    <w:pPr>
      <w:ind w:left="598" w:firstLine="420"/>
    </w:pPr>
    <w:rPr>
      <w:rFonts w:ascii="宋体" w:hAnsi="宋体" w:cs="宋体"/>
      <w:lang w:val="zh-CN" w:bidi="zh-CN"/>
    </w:rPr>
  </w:style>
  <w:style w:type="paragraph" w:styleId="1487" w:customStyle="1">
    <w:name w:val="Table Paragraph"/>
    <w:basedOn w:val="1224"/>
    <w:uiPriority w:val="1"/>
    <w:qFormat/>
    <w:rPr>
      <w:rFonts w:ascii="宋体" w:hAnsi="宋体" w:cs="宋体"/>
      <w:lang w:val="zh-CN" w:bidi="zh-CN"/>
    </w:rPr>
  </w:style>
  <w:style w:type="paragraph" w:styleId="1488" w:customStyle="1">
    <w:name w:val="列表段落31"/>
    <w:basedOn w:val="1224"/>
    <w:uiPriority w:val="34"/>
    <w:qFormat/>
    <w:pPr>
      <w:ind w:firstLine="420"/>
    </w:pPr>
    <w:rPr>
      <w:rFonts w:ascii="Calibri" w:hAnsi="Calibri"/>
      <w:szCs w:val="22"/>
    </w:rPr>
  </w:style>
  <w:style w:type="paragraph" w:styleId="1489" w:customStyle="1">
    <w:name w:val="修订1"/>
    <w:hidden/>
    <w:uiPriority w:val="99"/>
    <w:semiHidden/>
    <w:qFormat/>
    <w:rPr>
      <w:rFonts w:ascii="Times New Roman" w:hAnsi="Times New Roman" w:eastAsia="宋体" w:cs="Times New Roman"/>
      <w:sz w:val="21"/>
      <w:lang w:val="en-US" w:eastAsia="zh-CN" w:bidi="ar-SA"/>
    </w:rPr>
  </w:style>
  <w:style w:type="paragraph" w:styleId="1490" w:customStyle="1">
    <w:name w:val="首行缩进"/>
    <w:basedOn w:val="1224"/>
    <w:uiPriority w:val="0"/>
    <w:qFormat/>
    <w:pPr>
      <w:ind w:firstLine="480"/>
    </w:pPr>
    <w:rPr>
      <w:rFonts w:ascii="Calibri" w:hAnsi="Calibri" w:eastAsia="Calibri" w:cs="宋体"/>
      <w:sz w:val="20"/>
      <w:lang w:val="zh-CN"/>
    </w:rPr>
  </w:style>
  <w:style w:type="character" w:styleId="1491" w:customStyle="1">
    <w:name w:val="正文文本首行缩进 2 字符"/>
    <w:basedOn w:val="1483"/>
    <w:link w:val="1273"/>
    <w:uiPriority w:val="0"/>
    <w:qFormat/>
    <w:rPr>
      <w:rFonts w:ascii="宋体"/>
      <w:sz w:val="21"/>
    </w:rPr>
  </w:style>
  <w:style w:type="paragraph" w:styleId="1492" w:customStyle="1">
    <w:name w:val="修订2"/>
    <w:hidden/>
    <w:uiPriority w:val="99"/>
    <w:unhideWhenUsed/>
    <w:qFormat/>
    <w:rPr>
      <w:rFonts w:ascii="Times New Roman" w:hAnsi="Times New Roman" w:eastAsia="宋体" w:cs="Times New Roman"/>
      <w:sz w:val="21"/>
      <w:lang w:val="en-US" w:eastAsia="zh-CN" w:bidi="ar-SA"/>
    </w:rPr>
  </w:style>
  <w:style w:type="paragraph" w:styleId="1493" w:customStyle="1">
    <w:name w:val="正文缩进1"/>
    <w:basedOn w:val="1224"/>
    <w:uiPriority w:val="0"/>
    <w:qFormat/>
    <w:pPr>
      <w:ind w:firstLine="420"/>
    </w:pPr>
  </w:style>
  <w:style w:type="paragraph" w:styleId="1494" w:customStyle="1">
    <w:name w:val="修订3"/>
    <w:hidden/>
    <w:uiPriority w:val="99"/>
    <w:unhideWhenUsed/>
    <w:qFormat/>
    <w:rPr>
      <w:rFonts w:ascii="Times New Roman" w:hAnsi="Times New Roman" w:eastAsia="宋体" w:cs="Times New Roman"/>
      <w:sz w:val="21"/>
      <w:lang w:val="en-US" w:eastAsia="zh-CN" w:bidi="ar-SA"/>
    </w:rPr>
  </w:style>
  <w:style w:type="paragraph" w:styleId="1495" w:customStyle="1">
    <w:name w:val="正文首行缩进1"/>
    <w:basedOn w:val="1496"/>
    <w:uiPriority w:val="0"/>
    <w:qFormat/>
    <w:pPr>
      <w:ind w:firstLine="420"/>
      <w:spacing w:line="360" w:lineRule="auto"/>
    </w:pPr>
    <w:rPr>
      <w:rFonts w:ascii="Times New Roman"/>
      <w:szCs w:val="21"/>
    </w:rPr>
  </w:style>
  <w:style w:type="paragraph" w:styleId="1496" w:customStyle="1">
    <w:name w:val="正文文本1"/>
    <w:basedOn w:val="1224"/>
    <w:next w:val="1224"/>
    <w:uiPriority w:val="0"/>
    <w:qFormat/>
    <w:rPr>
      <w:rFonts w:ascii="宋体"/>
      <w:sz w:val="28"/>
    </w:rPr>
  </w:style>
  <w:style w:type="paragraph" w:styleId="1497" w:customStyle="1">
    <w:name w:val="页脚1"/>
    <w:basedOn w:val="1224"/>
    <w:uiPriority w:val="99"/>
    <w:qFormat/>
    <w:pPr>
      <w:jc w:val="left"/>
      <w:tabs>
        <w:tab w:val="center" w:pos="4153" w:leader="none"/>
        <w:tab w:val="right" w:pos="8306" w:leader="none"/>
      </w:tabs>
    </w:pPr>
    <w:rPr>
      <w:sz w:val="18"/>
    </w:rPr>
  </w:style>
  <w:style w:type="character" w:styleId="1498" w:customStyle="1">
    <w:name w:val="font11"/>
    <w:basedOn w:val="1234"/>
    <w:uiPriority w:val="0"/>
    <w:qFormat/>
    <w:rPr>
      <w:rFonts w:hint="eastAsia" w:ascii="微软雅黑" w:hAnsi="微软雅黑" w:eastAsia="微软雅黑" w:cs="微软雅黑"/>
      <w:color w:val="000000"/>
      <w:sz w:val="20"/>
      <w:szCs w:val="20"/>
      <w:u w:val="none"/>
    </w:rPr>
  </w:style>
  <w:style w:type="numbering" w:styleId="1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宣家红</cp:lastModifiedBy>
  <cp:revision>7</cp:revision>
  <dcterms:created xsi:type="dcterms:W3CDTF">2026-09-03T09:35:00Z</dcterms:created>
  <dcterms:modified xsi:type="dcterms:W3CDTF">2026-09-04T07:56:05Z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B065A655EB034BB1B675647D0443B977_13</vt:lpwstr>
  </property>
  <property fmtid="{D5CDD505-2E9C-101B-9397-08002B2CF9AE}" pid="4" name="KSOTemplateDocerSaveRecord">
    <vt:lpwstr>eyJoZGlkIjoiYTlmMmNlZWI3MDhhMGNmYjRlYTliODJmZDUyMzcyNGEiLCJ1c2VySWQiOiIxODAwNDg2ODQ5In0=</vt:lpwstr>
  </property>
</Properties>
</file>