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19F29D">
      <w:pPr>
        <w:pStyle w:val="28"/>
        <w:spacing w:before="0" w:after="0"/>
        <w:ind w:firstLine="0" w:firstLineChars="0"/>
        <w:textAlignment w:val="baseline"/>
        <w:rPr>
          <w:rFonts w:hint="eastAsia" w:ascii="宋体" w:hAnsi="宋体" w:eastAsia="宋体" w:cs="宋体"/>
          <w:b/>
          <w:bCs/>
          <w:sz w:val="84"/>
        </w:rPr>
      </w:pPr>
    </w:p>
    <w:p w14:paraId="727E40AB">
      <w:pPr>
        <w:jc w:val="center"/>
        <w:rPr>
          <w:rFonts w:hint="eastAsia" w:ascii="宋体" w:hAnsi="宋体" w:eastAsia="宋体" w:cs="宋体"/>
          <w:b/>
          <w:bCs/>
          <w:sz w:val="96"/>
          <w:szCs w:val="96"/>
        </w:rPr>
      </w:pPr>
      <w:r>
        <w:rPr>
          <w:rFonts w:hint="eastAsia" w:ascii="宋体" w:hAnsi="宋体" w:eastAsia="宋体" w:cs="宋体"/>
          <w:b/>
          <w:bCs/>
          <w:sz w:val="96"/>
          <w:szCs w:val="96"/>
        </w:rPr>
        <w:t>竞争性磋商文件</w:t>
      </w:r>
    </w:p>
    <w:p w14:paraId="0D0DCAC1">
      <w:pPr>
        <w:pStyle w:val="28"/>
        <w:spacing w:before="0" w:after="0"/>
        <w:ind w:firstLine="1687"/>
        <w:jc w:val="center"/>
        <w:textAlignment w:val="baseline"/>
        <w:rPr>
          <w:rFonts w:hint="eastAsia" w:ascii="宋体" w:hAnsi="宋体" w:eastAsia="宋体" w:cs="宋体"/>
          <w:b/>
          <w:bCs/>
          <w:sz w:val="84"/>
        </w:rPr>
      </w:pPr>
    </w:p>
    <w:p w14:paraId="42D0523F">
      <w:pPr>
        <w:pStyle w:val="28"/>
        <w:spacing w:before="0" w:after="0"/>
        <w:ind w:firstLine="723"/>
        <w:textAlignment w:val="baseline"/>
        <w:rPr>
          <w:rFonts w:hint="eastAsia" w:ascii="宋体" w:hAnsi="宋体" w:eastAsia="宋体" w:cs="宋体"/>
          <w:b/>
          <w:bCs/>
          <w:sz w:val="36"/>
          <w:szCs w:val="36"/>
        </w:rPr>
      </w:pPr>
    </w:p>
    <w:p w14:paraId="6BCA0450">
      <w:pPr>
        <w:pStyle w:val="28"/>
        <w:spacing w:before="0" w:after="0"/>
        <w:ind w:firstLine="723"/>
        <w:textAlignment w:val="baseline"/>
        <w:rPr>
          <w:rFonts w:hint="eastAsia" w:ascii="宋体" w:hAnsi="宋体" w:eastAsia="宋体" w:cs="宋体"/>
          <w:b/>
          <w:bCs/>
          <w:sz w:val="36"/>
          <w:szCs w:val="36"/>
        </w:rPr>
      </w:pPr>
    </w:p>
    <w:p w14:paraId="0210A155">
      <w:pPr>
        <w:spacing w:line="600" w:lineRule="auto"/>
        <w:jc w:val="center"/>
        <w:rPr>
          <w:rFonts w:hint="eastAsia" w:ascii="宋体" w:hAnsi="宋体" w:eastAsia="宋体" w:cs="宋体"/>
          <w:b/>
          <w:bCs/>
          <w:sz w:val="36"/>
          <w:szCs w:val="36"/>
          <w:lang w:val="en-US" w:eastAsia="zh-CN"/>
        </w:rPr>
      </w:pPr>
      <w:r>
        <w:rPr>
          <w:rFonts w:hint="eastAsia" w:ascii="宋体" w:hAnsi="宋体" w:eastAsia="宋体" w:cs="宋体"/>
          <w:b/>
          <w:bCs/>
          <w:sz w:val="36"/>
          <w:szCs w:val="36"/>
        </w:rPr>
        <w:t>项目名称：</w:t>
      </w:r>
      <w:r>
        <w:rPr>
          <w:rFonts w:hint="eastAsia" w:ascii="宋体" w:hAnsi="宋体" w:eastAsia="宋体" w:cs="宋体"/>
          <w:b/>
          <w:bCs/>
          <w:sz w:val="36"/>
          <w:szCs w:val="36"/>
          <w:lang w:val="en-US" w:eastAsia="zh-CN"/>
        </w:rPr>
        <w:t>2025年省级专项资金绩效自评省级复评和</w:t>
      </w:r>
    </w:p>
    <w:p w14:paraId="7B62F6C2">
      <w:pPr>
        <w:spacing w:line="600" w:lineRule="auto"/>
        <w:jc w:val="center"/>
        <w:rPr>
          <w:rFonts w:hint="eastAsia" w:ascii="宋体" w:hAnsi="宋体" w:eastAsia="宋体" w:cs="宋体"/>
          <w:b/>
          <w:bCs/>
          <w:sz w:val="36"/>
          <w:szCs w:val="36"/>
          <w:lang w:val="en-US" w:eastAsia="zh-CN"/>
        </w:rPr>
      </w:pPr>
      <w:r>
        <w:rPr>
          <w:rFonts w:hint="eastAsia" w:ascii="宋体" w:hAnsi="宋体" w:eastAsia="宋体" w:cs="宋体"/>
          <w:b/>
          <w:bCs/>
          <w:sz w:val="36"/>
          <w:szCs w:val="36"/>
          <w:lang w:val="en-US" w:eastAsia="zh-CN"/>
        </w:rPr>
        <w:t>重点政策全面绩效评价</w:t>
      </w:r>
    </w:p>
    <w:p w14:paraId="0109FCE3">
      <w:pPr>
        <w:spacing w:line="600" w:lineRule="auto"/>
        <w:jc w:val="center"/>
        <w:rPr>
          <w:rFonts w:hint="eastAsia" w:ascii="宋体" w:hAnsi="宋体" w:eastAsia="宋体" w:cs="宋体"/>
          <w:b/>
          <w:bCs/>
          <w:sz w:val="36"/>
          <w:szCs w:val="36"/>
          <w:u w:val="single"/>
          <w:lang w:eastAsia="zh-CN"/>
        </w:rPr>
      </w:pPr>
      <w:r>
        <w:rPr>
          <w:rFonts w:hint="eastAsia" w:ascii="宋体" w:hAnsi="宋体" w:eastAsia="宋体" w:cs="宋体"/>
          <w:b/>
          <w:bCs/>
          <w:sz w:val="36"/>
          <w:szCs w:val="36"/>
        </w:rPr>
        <w:t>项目编号：</w:t>
      </w:r>
      <w:r>
        <w:rPr>
          <w:rFonts w:hint="eastAsia" w:ascii="宋体" w:hAnsi="宋体" w:cs="宋体"/>
          <w:b/>
          <w:bCs/>
          <w:sz w:val="36"/>
          <w:szCs w:val="36"/>
          <w:lang w:eastAsia="zh-CN"/>
        </w:rPr>
        <w:t>JSZC-320000-ZCZB-C2026-0005</w:t>
      </w:r>
    </w:p>
    <w:p w14:paraId="78B22EAA">
      <w:pPr>
        <w:pStyle w:val="28"/>
        <w:spacing w:before="0" w:after="0"/>
        <w:ind w:firstLine="723"/>
        <w:jc w:val="both"/>
        <w:textAlignment w:val="baseline"/>
        <w:rPr>
          <w:rFonts w:hint="eastAsia" w:ascii="宋体" w:hAnsi="宋体" w:eastAsia="宋体" w:cs="宋体"/>
          <w:b/>
          <w:bCs/>
          <w:sz w:val="36"/>
          <w:szCs w:val="36"/>
        </w:rPr>
      </w:pPr>
    </w:p>
    <w:p w14:paraId="1F419981">
      <w:pPr>
        <w:pStyle w:val="28"/>
        <w:spacing w:before="0" w:after="0"/>
        <w:ind w:firstLine="0" w:firstLineChars="0"/>
        <w:jc w:val="both"/>
        <w:textAlignment w:val="baseline"/>
        <w:rPr>
          <w:rFonts w:hint="eastAsia" w:ascii="宋体" w:hAnsi="宋体" w:eastAsia="宋体" w:cs="宋体"/>
          <w:b/>
          <w:bCs/>
          <w:sz w:val="36"/>
          <w:szCs w:val="36"/>
        </w:rPr>
      </w:pPr>
    </w:p>
    <w:p w14:paraId="779BA190">
      <w:pPr>
        <w:pStyle w:val="28"/>
        <w:spacing w:before="0" w:after="0"/>
        <w:ind w:firstLine="0" w:firstLineChars="0"/>
        <w:jc w:val="both"/>
        <w:textAlignment w:val="baseline"/>
        <w:rPr>
          <w:rFonts w:hint="eastAsia" w:ascii="宋体" w:hAnsi="宋体" w:eastAsia="宋体" w:cs="宋体"/>
          <w:b/>
          <w:bCs/>
          <w:sz w:val="36"/>
          <w:szCs w:val="36"/>
        </w:rPr>
      </w:pPr>
    </w:p>
    <w:p w14:paraId="4B44119E">
      <w:pPr>
        <w:pStyle w:val="28"/>
        <w:spacing w:before="0" w:after="0"/>
        <w:ind w:firstLine="723"/>
        <w:jc w:val="both"/>
        <w:textAlignment w:val="baseline"/>
        <w:rPr>
          <w:rFonts w:hint="eastAsia" w:ascii="宋体" w:hAnsi="宋体" w:eastAsia="宋体" w:cs="宋体"/>
          <w:b/>
          <w:bCs/>
          <w:sz w:val="36"/>
          <w:szCs w:val="36"/>
        </w:rPr>
      </w:pPr>
    </w:p>
    <w:p w14:paraId="06CF1633">
      <w:pPr>
        <w:pStyle w:val="28"/>
        <w:spacing w:before="0" w:after="0"/>
        <w:ind w:firstLine="723"/>
        <w:jc w:val="both"/>
        <w:textAlignment w:val="baseline"/>
        <w:rPr>
          <w:rFonts w:hint="eastAsia" w:ascii="宋体" w:hAnsi="宋体" w:eastAsia="宋体" w:cs="宋体"/>
          <w:b/>
          <w:bCs/>
          <w:sz w:val="36"/>
          <w:szCs w:val="36"/>
        </w:rPr>
      </w:pPr>
    </w:p>
    <w:p w14:paraId="27A918B0">
      <w:pPr>
        <w:pStyle w:val="28"/>
        <w:spacing w:before="0" w:after="0"/>
        <w:ind w:firstLine="723"/>
        <w:jc w:val="both"/>
        <w:textAlignment w:val="baseline"/>
        <w:rPr>
          <w:rFonts w:hint="eastAsia" w:ascii="宋体" w:hAnsi="宋体" w:eastAsia="宋体" w:cs="宋体"/>
          <w:b/>
          <w:bCs/>
          <w:sz w:val="36"/>
          <w:szCs w:val="36"/>
        </w:rPr>
      </w:pPr>
    </w:p>
    <w:p w14:paraId="30BA9DD8">
      <w:pPr>
        <w:pStyle w:val="28"/>
        <w:spacing w:before="0" w:after="0" w:line="600" w:lineRule="auto"/>
        <w:ind w:firstLine="0" w:firstLineChars="0"/>
        <w:jc w:val="center"/>
        <w:rPr>
          <w:rFonts w:hint="eastAsia" w:ascii="宋体" w:hAnsi="宋体" w:eastAsia="宋体" w:cs="宋体"/>
          <w:b/>
          <w:bCs/>
          <w:sz w:val="36"/>
          <w:szCs w:val="36"/>
          <w:lang w:eastAsia="zh-CN"/>
        </w:rPr>
      </w:pPr>
      <w:r>
        <w:rPr>
          <w:rFonts w:hint="eastAsia" w:ascii="宋体" w:hAnsi="宋体" w:eastAsia="宋体" w:cs="宋体"/>
          <w:b/>
          <w:bCs/>
          <w:sz w:val="36"/>
          <w:szCs w:val="36"/>
        </w:rPr>
        <w:t>采 购 人：</w:t>
      </w:r>
      <w:r>
        <w:rPr>
          <w:rFonts w:hint="eastAsia" w:ascii="宋体" w:hAnsi="宋体" w:eastAsia="宋体" w:cs="宋体"/>
          <w:b/>
          <w:bCs/>
          <w:sz w:val="36"/>
          <w:szCs w:val="36"/>
          <w:lang w:eastAsia="zh-CN"/>
        </w:rPr>
        <w:t>江苏省农业农村厅</w:t>
      </w:r>
    </w:p>
    <w:p w14:paraId="470286E2">
      <w:pPr>
        <w:pStyle w:val="28"/>
        <w:spacing w:before="0" w:after="0" w:line="600" w:lineRule="auto"/>
        <w:ind w:firstLine="0" w:firstLineChars="0"/>
        <w:jc w:val="center"/>
        <w:rPr>
          <w:rFonts w:hint="eastAsia" w:ascii="宋体" w:hAnsi="宋体" w:eastAsia="宋体" w:cs="宋体"/>
          <w:b/>
          <w:bCs/>
          <w:sz w:val="36"/>
          <w:szCs w:val="36"/>
        </w:rPr>
      </w:pPr>
      <w:r>
        <w:rPr>
          <w:rFonts w:hint="eastAsia" w:ascii="宋体" w:hAnsi="宋体" w:eastAsia="宋体" w:cs="宋体"/>
          <w:b/>
          <w:bCs/>
          <w:sz w:val="36"/>
          <w:szCs w:val="36"/>
        </w:rPr>
        <w:t>代理机构：江苏臻采招标代理有限公司</w:t>
      </w:r>
    </w:p>
    <w:p w14:paraId="3B8D58F3">
      <w:pPr>
        <w:spacing w:line="600" w:lineRule="auto"/>
        <w:jc w:val="center"/>
        <w:rPr>
          <w:rFonts w:hint="eastAsia" w:ascii="宋体" w:hAnsi="宋体" w:eastAsia="宋体" w:cs="宋体"/>
          <w:b/>
          <w:bCs/>
          <w:szCs w:val="36"/>
        </w:rPr>
      </w:pPr>
      <w:r>
        <w:rPr>
          <w:rFonts w:hint="eastAsia" w:ascii="宋体" w:hAnsi="宋体" w:eastAsia="宋体" w:cs="宋体"/>
          <w:b/>
          <w:bCs/>
          <w:sz w:val="36"/>
          <w:szCs w:val="36"/>
        </w:rPr>
        <w:t xml:space="preserve">二 〇 二 六 年 </w:t>
      </w:r>
      <w:r>
        <w:rPr>
          <w:rFonts w:hint="eastAsia" w:ascii="宋体" w:hAnsi="宋体" w:eastAsia="宋体" w:cs="宋体"/>
          <w:b/>
          <w:bCs/>
          <w:sz w:val="36"/>
          <w:szCs w:val="36"/>
          <w:lang w:val="en-US" w:eastAsia="zh-CN"/>
        </w:rPr>
        <w:t>八</w:t>
      </w:r>
      <w:r>
        <w:rPr>
          <w:rFonts w:hint="eastAsia" w:ascii="宋体" w:hAnsi="宋体" w:eastAsia="宋体" w:cs="宋体"/>
          <w:b/>
          <w:bCs/>
          <w:sz w:val="32"/>
          <w:szCs w:val="32"/>
        </w:rPr>
        <w:t xml:space="preserve"> 月</w:t>
      </w:r>
    </w:p>
    <w:p w14:paraId="4A81B93B">
      <w:pPr>
        <w:spacing w:line="600" w:lineRule="auto"/>
        <w:jc w:val="center"/>
        <w:textAlignment w:val="baseline"/>
        <w:rPr>
          <w:rFonts w:hint="eastAsia" w:ascii="宋体" w:hAnsi="宋体" w:eastAsia="宋体" w:cs="宋体"/>
          <w:b/>
          <w:bCs/>
          <w:sz w:val="32"/>
          <w:szCs w:val="32"/>
        </w:rPr>
        <w:sectPr>
          <w:headerReference r:id="rId7" w:type="first"/>
          <w:footerReference r:id="rId10" w:type="first"/>
          <w:headerReference r:id="rId5" w:type="default"/>
          <w:footerReference r:id="rId8" w:type="default"/>
          <w:headerReference r:id="rId6" w:type="even"/>
          <w:footerReference r:id="rId9" w:type="even"/>
          <w:pgSz w:w="11906" w:h="16838"/>
          <w:pgMar w:top="1440" w:right="1080" w:bottom="1440" w:left="1080" w:header="624" w:footer="964" w:gutter="0"/>
          <w:cols w:space="720" w:num="1"/>
          <w:titlePg/>
          <w:docGrid w:type="lines" w:linePitch="312" w:charSpace="0"/>
        </w:sectPr>
      </w:pPr>
    </w:p>
    <w:sdt>
      <w:sdtPr>
        <w:rPr>
          <w:rFonts w:hint="eastAsia" w:ascii="宋体" w:hAnsi="宋体" w:eastAsia="宋体" w:cs="宋体"/>
          <w:b/>
          <w:bCs/>
        </w:rPr>
        <w:id w:val="147452488"/>
        <w15:color w:val="DBDBDB"/>
      </w:sdtPr>
      <w:sdtEndPr>
        <w:rPr>
          <w:rFonts w:hint="eastAsia" w:ascii="宋体" w:hAnsi="宋体" w:eastAsia="宋体" w:cs="宋体"/>
          <w:b/>
          <w:bCs/>
        </w:rPr>
      </w:sdtEndPr>
      <w:sdtContent>
        <w:p w14:paraId="689D181D">
          <w:pPr>
            <w:spacing w:after="0" w:line="240" w:lineRule="auto"/>
            <w:jc w:val="center"/>
            <w:rPr>
              <w:rFonts w:hint="eastAsia" w:ascii="宋体" w:hAnsi="宋体" w:eastAsia="宋体" w:cs="宋体"/>
              <w:b/>
              <w:bCs/>
              <w:sz w:val="28"/>
              <w:szCs w:val="28"/>
            </w:rPr>
          </w:pPr>
          <w:bookmarkStart w:id="0" w:name="_Toc2039"/>
          <w:bookmarkStart w:id="1" w:name="_Toc13193"/>
          <w:bookmarkStart w:id="2" w:name="_Toc29723"/>
          <w:bookmarkStart w:id="3" w:name="_Toc21936"/>
          <w:bookmarkStart w:id="4" w:name="_Toc2312"/>
          <w:bookmarkStart w:id="5" w:name="_Toc31010"/>
          <w:bookmarkStart w:id="6" w:name="_Toc21568"/>
          <w:bookmarkStart w:id="7" w:name="_Toc5114"/>
          <w:bookmarkStart w:id="8" w:name="_Toc21586"/>
          <w:bookmarkStart w:id="9" w:name="_Toc17453"/>
          <w:r>
            <w:rPr>
              <w:rFonts w:hint="eastAsia" w:ascii="宋体" w:hAnsi="宋体" w:eastAsia="宋体" w:cs="宋体"/>
              <w:b/>
              <w:bCs/>
              <w:sz w:val="28"/>
              <w:szCs w:val="28"/>
            </w:rPr>
            <w:t>目  录</w:t>
          </w:r>
        </w:p>
        <w:p w14:paraId="579ABF91">
          <w:pPr>
            <w:pStyle w:val="15"/>
            <w:tabs>
              <w:tab w:val="right" w:leader="dot" w:pos="9746"/>
            </w:tabs>
            <w:rPr>
              <w:rFonts w:hint="eastAsia" w:ascii="宋体" w:hAnsi="宋体" w:eastAsia="宋体" w:cs="宋体"/>
              <w:sz w:val="24"/>
              <w:szCs w:val="24"/>
            </w:rPr>
          </w:pPr>
          <w:r>
            <w:rPr>
              <w:rFonts w:hint="eastAsia" w:ascii="宋体" w:hAnsi="宋体" w:eastAsia="宋体" w:cs="宋体"/>
              <w:sz w:val="36"/>
              <w:szCs w:val="36"/>
            </w:rPr>
            <w:fldChar w:fldCharType="begin"/>
          </w:r>
          <w:r>
            <w:rPr>
              <w:rFonts w:hint="eastAsia" w:ascii="宋体" w:hAnsi="宋体" w:eastAsia="宋体" w:cs="宋体"/>
              <w:sz w:val="36"/>
              <w:szCs w:val="36"/>
            </w:rPr>
            <w:instrText xml:space="preserve">TOC \o "1-1" \h \u </w:instrText>
          </w:r>
          <w:r>
            <w:rPr>
              <w:rFonts w:hint="eastAsia" w:ascii="宋体" w:hAnsi="宋体" w:eastAsia="宋体" w:cs="宋体"/>
              <w:sz w:val="36"/>
              <w:szCs w:val="36"/>
            </w:rPr>
            <w:fldChar w:fldCharType="separate"/>
          </w:r>
          <w:r>
            <w:rPr>
              <w:rFonts w:hint="eastAsia" w:ascii="宋体" w:hAnsi="宋体" w:eastAsia="宋体" w:cs="宋体"/>
            </w:rPr>
            <w:fldChar w:fldCharType="begin"/>
          </w:r>
          <w:r>
            <w:rPr>
              <w:rFonts w:hint="eastAsia" w:ascii="宋体" w:hAnsi="宋体" w:eastAsia="宋体" w:cs="宋体"/>
            </w:rPr>
            <w:instrText xml:space="preserve"> HYPERLINK \l "_Toc22635" </w:instrText>
          </w:r>
          <w:r>
            <w:rPr>
              <w:rFonts w:hint="eastAsia" w:ascii="宋体" w:hAnsi="宋体" w:eastAsia="宋体" w:cs="宋体"/>
            </w:rPr>
            <w:fldChar w:fldCharType="separate"/>
          </w:r>
          <w:r>
            <w:rPr>
              <w:rFonts w:hint="eastAsia" w:ascii="宋体" w:hAnsi="宋体" w:eastAsia="宋体" w:cs="宋体"/>
              <w:sz w:val="24"/>
              <w:szCs w:val="24"/>
            </w:rPr>
            <w:t>第一章 采购邀请（采购公告）</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_Toc22635 \h </w:instrText>
          </w:r>
          <w:r>
            <w:rPr>
              <w:rFonts w:hint="eastAsia" w:ascii="宋体" w:hAnsi="宋体" w:eastAsia="宋体" w:cs="宋体"/>
              <w:sz w:val="24"/>
              <w:szCs w:val="24"/>
            </w:rPr>
            <w:fldChar w:fldCharType="separate"/>
          </w:r>
          <w:r>
            <w:rPr>
              <w:rFonts w:hint="eastAsia" w:ascii="宋体" w:hAnsi="宋体" w:eastAsia="宋体" w:cs="宋体"/>
              <w:sz w:val="24"/>
              <w:szCs w:val="24"/>
            </w:rPr>
            <w:t>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2245C132">
          <w:pPr>
            <w:pStyle w:val="15"/>
            <w:tabs>
              <w:tab w:val="right" w:leader="dot" w:pos="9746"/>
            </w:tabs>
            <w:rPr>
              <w:rFonts w:hint="eastAsia" w:ascii="宋体" w:hAnsi="宋体" w:eastAsia="宋体" w:cs="宋体"/>
              <w:sz w:val="24"/>
              <w:szCs w:val="24"/>
            </w:rPr>
          </w:pPr>
          <w:r>
            <w:rPr>
              <w:rFonts w:hint="eastAsia" w:ascii="宋体" w:hAnsi="宋体" w:eastAsia="宋体" w:cs="宋体"/>
            </w:rPr>
            <w:fldChar w:fldCharType="begin"/>
          </w:r>
          <w:r>
            <w:rPr>
              <w:rFonts w:hint="eastAsia" w:ascii="宋体" w:hAnsi="宋体" w:eastAsia="宋体" w:cs="宋体"/>
            </w:rPr>
            <w:instrText xml:space="preserve"> HYPERLINK \l "_Toc14414" </w:instrText>
          </w:r>
          <w:r>
            <w:rPr>
              <w:rFonts w:hint="eastAsia" w:ascii="宋体" w:hAnsi="宋体" w:eastAsia="宋体" w:cs="宋体"/>
            </w:rPr>
            <w:fldChar w:fldCharType="separate"/>
          </w:r>
          <w:r>
            <w:rPr>
              <w:rFonts w:hint="eastAsia" w:ascii="宋体" w:hAnsi="宋体" w:eastAsia="宋体" w:cs="宋体"/>
              <w:sz w:val="24"/>
              <w:szCs w:val="24"/>
            </w:rPr>
            <w:t>第二章 磋商须知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_Toc14414 \h </w:instrText>
          </w:r>
          <w:r>
            <w:rPr>
              <w:rFonts w:hint="eastAsia" w:ascii="宋体" w:hAnsi="宋体" w:eastAsia="宋体" w:cs="宋体"/>
              <w:sz w:val="24"/>
              <w:szCs w:val="24"/>
            </w:rPr>
            <w:fldChar w:fldCharType="separate"/>
          </w:r>
          <w:r>
            <w:rPr>
              <w:rFonts w:hint="eastAsia" w:ascii="宋体" w:hAnsi="宋体" w:eastAsia="宋体" w:cs="宋体"/>
              <w:sz w:val="24"/>
              <w:szCs w:val="24"/>
            </w:rPr>
            <w:t>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53A625AE">
          <w:pPr>
            <w:pStyle w:val="15"/>
            <w:tabs>
              <w:tab w:val="right" w:leader="dot" w:pos="9746"/>
            </w:tabs>
            <w:rPr>
              <w:rFonts w:hint="eastAsia" w:ascii="宋体" w:hAnsi="宋体" w:eastAsia="宋体" w:cs="宋体"/>
              <w:sz w:val="24"/>
              <w:szCs w:val="24"/>
            </w:rPr>
          </w:pPr>
          <w:r>
            <w:rPr>
              <w:rFonts w:hint="eastAsia" w:ascii="宋体" w:hAnsi="宋体" w:eastAsia="宋体" w:cs="宋体"/>
            </w:rPr>
            <w:fldChar w:fldCharType="begin"/>
          </w:r>
          <w:r>
            <w:rPr>
              <w:rFonts w:hint="eastAsia" w:ascii="宋体" w:hAnsi="宋体" w:eastAsia="宋体" w:cs="宋体"/>
            </w:rPr>
            <w:instrText xml:space="preserve"> HYPERLINK \l "_Toc10878" </w:instrText>
          </w:r>
          <w:r>
            <w:rPr>
              <w:rFonts w:hint="eastAsia" w:ascii="宋体" w:hAnsi="宋体" w:eastAsia="宋体" w:cs="宋体"/>
            </w:rPr>
            <w:fldChar w:fldCharType="separate"/>
          </w:r>
          <w:r>
            <w:rPr>
              <w:rFonts w:hint="eastAsia" w:ascii="宋体" w:hAnsi="宋体" w:eastAsia="宋体" w:cs="宋体"/>
              <w:sz w:val="24"/>
              <w:szCs w:val="24"/>
            </w:rPr>
            <w:t>第三章 合同条款及格式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_Toc10878 \h </w:instrText>
          </w:r>
          <w:r>
            <w:rPr>
              <w:rFonts w:hint="eastAsia" w:ascii="宋体" w:hAnsi="宋体" w:eastAsia="宋体" w:cs="宋体"/>
              <w:sz w:val="24"/>
              <w:szCs w:val="24"/>
            </w:rPr>
            <w:fldChar w:fldCharType="separate"/>
          </w:r>
          <w:r>
            <w:rPr>
              <w:rFonts w:hint="eastAsia" w:ascii="宋体" w:hAnsi="宋体" w:eastAsia="宋体" w:cs="宋体"/>
              <w:sz w:val="24"/>
              <w:szCs w:val="24"/>
            </w:rPr>
            <w:t>21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4302ED09">
          <w:pPr>
            <w:pStyle w:val="15"/>
            <w:tabs>
              <w:tab w:val="right" w:leader="dot" w:pos="9746"/>
            </w:tabs>
            <w:rPr>
              <w:rFonts w:hint="eastAsia" w:ascii="宋体" w:hAnsi="宋体" w:eastAsia="宋体" w:cs="宋体"/>
              <w:sz w:val="24"/>
              <w:szCs w:val="24"/>
            </w:rPr>
          </w:pPr>
          <w:r>
            <w:rPr>
              <w:rFonts w:hint="eastAsia" w:ascii="宋体" w:hAnsi="宋体" w:eastAsia="宋体" w:cs="宋体"/>
            </w:rPr>
            <w:fldChar w:fldCharType="begin"/>
          </w:r>
          <w:r>
            <w:rPr>
              <w:rFonts w:hint="eastAsia" w:ascii="宋体" w:hAnsi="宋体" w:eastAsia="宋体" w:cs="宋体"/>
            </w:rPr>
            <w:instrText xml:space="preserve"> HYPERLINK \l "_Toc25683" </w:instrText>
          </w:r>
          <w:r>
            <w:rPr>
              <w:rFonts w:hint="eastAsia" w:ascii="宋体" w:hAnsi="宋体" w:eastAsia="宋体" w:cs="宋体"/>
            </w:rPr>
            <w:fldChar w:fldCharType="separate"/>
          </w:r>
          <w:r>
            <w:rPr>
              <w:rFonts w:hint="eastAsia" w:ascii="宋体" w:hAnsi="宋体" w:eastAsia="宋体" w:cs="宋体"/>
              <w:sz w:val="24"/>
              <w:szCs w:val="56"/>
            </w:rPr>
            <w:t>第四章 项目需求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_Toc25683 \h </w:instrText>
          </w:r>
          <w:r>
            <w:rPr>
              <w:rFonts w:hint="eastAsia" w:ascii="宋体" w:hAnsi="宋体" w:eastAsia="宋体" w:cs="宋体"/>
              <w:sz w:val="24"/>
              <w:szCs w:val="24"/>
            </w:rPr>
            <w:fldChar w:fldCharType="separate"/>
          </w:r>
          <w:r>
            <w:rPr>
              <w:rFonts w:hint="eastAsia" w:ascii="宋体" w:hAnsi="宋体" w:eastAsia="宋体" w:cs="宋体"/>
              <w:sz w:val="24"/>
              <w:szCs w:val="24"/>
            </w:rPr>
            <w:t>28</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08EC8BF4">
          <w:pPr>
            <w:pStyle w:val="15"/>
            <w:tabs>
              <w:tab w:val="right" w:leader="dot" w:pos="9746"/>
            </w:tabs>
            <w:rPr>
              <w:rFonts w:hint="eastAsia" w:ascii="宋体" w:hAnsi="宋体" w:eastAsia="宋体" w:cs="宋体"/>
              <w:sz w:val="24"/>
              <w:szCs w:val="24"/>
            </w:rPr>
          </w:pPr>
          <w:r>
            <w:rPr>
              <w:rFonts w:hint="eastAsia" w:ascii="宋体" w:hAnsi="宋体" w:eastAsia="宋体" w:cs="宋体"/>
            </w:rPr>
            <w:fldChar w:fldCharType="begin"/>
          </w:r>
          <w:r>
            <w:rPr>
              <w:rFonts w:hint="eastAsia" w:ascii="宋体" w:hAnsi="宋体" w:eastAsia="宋体" w:cs="宋体"/>
            </w:rPr>
            <w:instrText xml:space="preserve"> HYPERLINK \l "_Toc29652" </w:instrText>
          </w:r>
          <w:r>
            <w:rPr>
              <w:rFonts w:hint="eastAsia" w:ascii="宋体" w:hAnsi="宋体" w:eastAsia="宋体" w:cs="宋体"/>
            </w:rPr>
            <w:fldChar w:fldCharType="separate"/>
          </w:r>
          <w:r>
            <w:rPr>
              <w:rFonts w:hint="eastAsia" w:ascii="宋体" w:hAnsi="宋体" w:eastAsia="宋体" w:cs="宋体"/>
              <w:sz w:val="24"/>
              <w:szCs w:val="24"/>
            </w:rPr>
            <w:t>第五章 评审方法与评审标准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_Toc29652 \h </w:instrText>
          </w:r>
          <w:r>
            <w:rPr>
              <w:rFonts w:hint="eastAsia" w:ascii="宋体" w:hAnsi="宋体" w:eastAsia="宋体" w:cs="宋体"/>
              <w:sz w:val="24"/>
              <w:szCs w:val="24"/>
            </w:rPr>
            <w:fldChar w:fldCharType="separate"/>
          </w:r>
          <w:r>
            <w:rPr>
              <w:rFonts w:hint="eastAsia" w:ascii="宋体" w:hAnsi="宋体" w:eastAsia="宋体" w:cs="宋体"/>
              <w:sz w:val="24"/>
              <w:szCs w:val="24"/>
            </w:rPr>
            <w:t>33</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16C0BC48">
          <w:pPr>
            <w:pStyle w:val="15"/>
            <w:tabs>
              <w:tab w:val="right" w:leader="dot" w:pos="9746"/>
            </w:tabs>
            <w:rPr>
              <w:rFonts w:hint="eastAsia" w:ascii="宋体" w:hAnsi="宋体" w:eastAsia="宋体" w:cs="宋体"/>
              <w:sz w:val="24"/>
              <w:szCs w:val="24"/>
            </w:rPr>
          </w:pPr>
          <w:r>
            <w:rPr>
              <w:rFonts w:hint="eastAsia" w:ascii="宋体" w:hAnsi="宋体" w:eastAsia="宋体" w:cs="宋体"/>
            </w:rPr>
            <w:fldChar w:fldCharType="begin"/>
          </w:r>
          <w:r>
            <w:rPr>
              <w:rFonts w:hint="eastAsia" w:ascii="宋体" w:hAnsi="宋体" w:eastAsia="宋体" w:cs="宋体"/>
            </w:rPr>
            <w:instrText xml:space="preserve"> HYPERLINK \l "_Toc965" </w:instrText>
          </w:r>
          <w:r>
            <w:rPr>
              <w:rFonts w:hint="eastAsia" w:ascii="宋体" w:hAnsi="宋体" w:eastAsia="宋体" w:cs="宋体"/>
            </w:rPr>
            <w:fldChar w:fldCharType="separate"/>
          </w:r>
          <w:r>
            <w:rPr>
              <w:rFonts w:hint="eastAsia" w:ascii="宋体" w:hAnsi="宋体" w:eastAsia="宋体" w:cs="宋体"/>
              <w:sz w:val="24"/>
              <w:szCs w:val="24"/>
            </w:rPr>
            <w:t>第六章 响应文件格式</w:t>
          </w:r>
          <w:r>
            <w:rPr>
              <w:rFonts w:hint="eastAsia" w:ascii="宋体" w:hAnsi="宋体" w:eastAsia="宋体" w:cs="宋体"/>
              <w:sz w:val="24"/>
              <w:szCs w:val="24"/>
            </w:rPr>
            <w:tab/>
          </w:r>
          <w:r>
            <w:rPr>
              <w:rFonts w:hint="eastAsia" w:ascii="宋体" w:hAnsi="宋体" w:cs="宋体"/>
              <w:sz w:val="24"/>
              <w:szCs w:val="24"/>
              <w:lang w:val="en-US" w:eastAsia="zh-CN"/>
            </w:rPr>
            <w:t>37</w:t>
          </w:r>
          <w:r>
            <w:rPr>
              <w:rFonts w:hint="eastAsia" w:ascii="宋体" w:hAnsi="宋体" w:eastAsia="宋体" w:cs="宋体"/>
              <w:sz w:val="24"/>
              <w:szCs w:val="24"/>
            </w:rPr>
            <w:fldChar w:fldCharType="end"/>
          </w:r>
        </w:p>
        <w:p w14:paraId="616A90A3">
          <w:pPr>
            <w:rPr>
              <w:rFonts w:hint="eastAsia" w:ascii="宋体" w:hAnsi="宋体" w:eastAsia="宋体" w:cs="宋体"/>
            </w:rPr>
          </w:pPr>
          <w:r>
            <w:rPr>
              <w:rFonts w:hint="eastAsia" w:ascii="宋体" w:hAnsi="宋体" w:eastAsia="宋体" w:cs="宋体"/>
              <w:sz w:val="28"/>
              <w:szCs w:val="36"/>
            </w:rPr>
            <w:fldChar w:fldCharType="end"/>
          </w:r>
        </w:p>
      </w:sdtContent>
    </w:sdt>
    <w:p w14:paraId="7B77419B">
      <w:pPr>
        <w:pageBreakBefore/>
        <w:widowControl/>
        <w:ind w:left="630" w:leftChars="300" w:right="1049"/>
        <w:jc w:val="center"/>
        <w:textAlignment w:val="baseline"/>
        <w:outlineLvl w:val="0"/>
        <w:rPr>
          <w:rFonts w:hint="eastAsia" w:ascii="宋体" w:hAnsi="宋体" w:eastAsia="宋体" w:cs="宋体"/>
          <w:b/>
          <w:bCs/>
          <w:sz w:val="40"/>
        </w:rPr>
        <w:sectPr>
          <w:footerReference r:id="rId11" w:type="default"/>
          <w:pgSz w:w="11906" w:h="16838"/>
          <w:pgMar w:top="1440" w:right="1080" w:bottom="1440" w:left="1080" w:header="567" w:footer="567" w:gutter="0"/>
          <w:pgNumType w:start="1"/>
          <w:cols w:space="0" w:num="1"/>
          <w:docGrid w:type="lines" w:linePitch="317" w:charSpace="0"/>
        </w:sectPr>
      </w:pPr>
      <w:bookmarkStart w:id="10" w:name="_Toc24230"/>
      <w:bookmarkStart w:id="11" w:name="_Toc22635"/>
    </w:p>
    <w:p w14:paraId="1A8D1AB6">
      <w:pPr>
        <w:pageBreakBefore/>
        <w:widowControl/>
        <w:ind w:left="630" w:leftChars="300" w:right="1049"/>
        <w:jc w:val="center"/>
        <w:textAlignment w:val="baseline"/>
        <w:outlineLvl w:val="0"/>
        <w:rPr>
          <w:rFonts w:hint="eastAsia" w:ascii="宋体" w:hAnsi="宋体" w:eastAsia="宋体" w:cs="宋体"/>
          <w:b/>
          <w:bCs/>
          <w:sz w:val="40"/>
        </w:rPr>
      </w:pPr>
      <w:r>
        <w:rPr>
          <w:rFonts w:hint="eastAsia" w:ascii="宋体" w:hAnsi="宋体" w:eastAsia="宋体" w:cs="宋体"/>
          <w:b/>
          <w:bCs/>
          <w:sz w:val="40"/>
        </w:rPr>
        <w:t>第一章 采购邀请</w:t>
      </w:r>
      <w:bookmarkEnd w:id="0"/>
      <w:bookmarkEnd w:id="1"/>
      <w:bookmarkEnd w:id="2"/>
      <w:bookmarkEnd w:id="3"/>
      <w:bookmarkEnd w:id="4"/>
      <w:bookmarkEnd w:id="5"/>
      <w:bookmarkEnd w:id="6"/>
      <w:bookmarkEnd w:id="7"/>
      <w:bookmarkEnd w:id="8"/>
      <w:bookmarkEnd w:id="9"/>
      <w:bookmarkEnd w:id="10"/>
      <w:r>
        <w:rPr>
          <w:rFonts w:hint="eastAsia" w:ascii="宋体" w:hAnsi="宋体" w:eastAsia="宋体" w:cs="宋体"/>
          <w:b/>
          <w:bCs/>
          <w:sz w:val="40"/>
        </w:rPr>
        <w:t>（采购公告）</w:t>
      </w:r>
      <w:bookmarkEnd w:id="11"/>
    </w:p>
    <w:p w14:paraId="5A1607C1">
      <w:pPr>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江苏臻采招标代理有限公司受</w:t>
      </w:r>
      <w:r>
        <w:rPr>
          <w:rFonts w:hint="eastAsia" w:ascii="宋体" w:hAnsi="宋体" w:eastAsia="宋体" w:cs="宋体"/>
          <w:b/>
          <w:bCs/>
          <w:sz w:val="24"/>
          <w:szCs w:val="24"/>
          <w:lang w:eastAsia="zh-CN"/>
        </w:rPr>
        <w:t>江苏省农业农村厅</w:t>
      </w:r>
      <w:r>
        <w:rPr>
          <w:rFonts w:hint="eastAsia" w:ascii="宋体" w:hAnsi="宋体" w:eastAsia="宋体" w:cs="宋体"/>
          <w:sz w:val="24"/>
          <w:szCs w:val="24"/>
        </w:rPr>
        <w:t>的委托，就</w:t>
      </w:r>
      <w:r>
        <w:rPr>
          <w:rFonts w:hint="eastAsia" w:ascii="宋体" w:hAnsi="宋体" w:eastAsia="宋体" w:cs="宋体"/>
          <w:b/>
          <w:bCs/>
          <w:sz w:val="24"/>
          <w:szCs w:val="24"/>
          <w:lang w:eastAsia="zh-CN"/>
        </w:rPr>
        <w:t>2025年省级专项资金绩效自评省级复评和重点政策全面绩效评价</w:t>
      </w:r>
      <w:r>
        <w:rPr>
          <w:rFonts w:hint="eastAsia" w:ascii="宋体" w:hAnsi="宋体" w:eastAsia="宋体" w:cs="宋体"/>
          <w:sz w:val="24"/>
          <w:szCs w:val="24"/>
        </w:rPr>
        <w:t>实施竞争性磋商采购，兹邀请符合条件的供应商参加磋商及报价。</w:t>
      </w:r>
      <w:bookmarkStart w:id="12" w:name="_Toc4777"/>
      <w:bookmarkStart w:id="13" w:name="_Toc7488"/>
      <w:bookmarkStart w:id="14" w:name="_Toc18014"/>
      <w:bookmarkStart w:id="15" w:name="_Toc8153"/>
      <w:bookmarkStart w:id="16" w:name="_Toc14696"/>
      <w:bookmarkStart w:id="17" w:name="_Toc10111"/>
      <w:bookmarkStart w:id="18" w:name="_Toc6109"/>
      <w:bookmarkStart w:id="19" w:name="_Toc6028"/>
      <w:bookmarkStart w:id="20" w:name="_Toc2936"/>
    </w:p>
    <w:p w14:paraId="4FF3F59B">
      <w:pPr>
        <w:pBdr>
          <w:top w:val="single" w:color="auto" w:sz="4" w:space="1"/>
          <w:left w:val="single" w:color="auto" w:sz="4" w:space="0"/>
          <w:bottom w:val="single" w:color="auto" w:sz="4" w:space="1"/>
          <w:right w:val="single" w:color="auto" w:sz="4" w:space="4"/>
        </w:pBdr>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项目概况</w:t>
      </w:r>
    </w:p>
    <w:p w14:paraId="3F9E7F68">
      <w:pPr>
        <w:pBdr>
          <w:top w:val="single" w:color="auto" w:sz="4" w:space="1"/>
          <w:left w:val="single" w:color="auto" w:sz="4" w:space="0"/>
          <w:bottom w:val="single" w:color="auto" w:sz="4" w:space="1"/>
          <w:right w:val="single" w:color="auto" w:sz="4" w:space="4"/>
        </w:pBdr>
        <w:ind w:firstLine="482" w:firstLineChars="200"/>
        <w:rPr>
          <w:rFonts w:hint="eastAsia" w:ascii="宋体" w:hAnsi="宋体" w:eastAsia="宋体" w:cs="宋体"/>
          <w:sz w:val="24"/>
          <w:szCs w:val="24"/>
        </w:rPr>
      </w:pPr>
      <w:r>
        <w:rPr>
          <w:rFonts w:hint="eastAsia" w:ascii="宋体" w:hAnsi="宋体" w:eastAsia="宋体" w:cs="宋体"/>
          <w:b/>
          <w:bCs/>
          <w:sz w:val="24"/>
          <w:szCs w:val="24"/>
          <w:u w:val="single"/>
          <w:lang w:eastAsia="zh-CN"/>
        </w:rPr>
        <w:t>2025年省级专项资金绩效自评省级复评和重点政策全面绩效评价</w:t>
      </w:r>
      <w:r>
        <w:rPr>
          <w:rFonts w:hint="eastAsia" w:ascii="宋体" w:hAnsi="宋体" w:eastAsia="宋体" w:cs="宋体"/>
          <w:b/>
          <w:bCs/>
          <w:sz w:val="24"/>
          <w:szCs w:val="24"/>
          <w:u w:val="single"/>
        </w:rPr>
        <w:t xml:space="preserve"> </w:t>
      </w:r>
      <w:r>
        <w:rPr>
          <w:rFonts w:hint="eastAsia" w:ascii="宋体" w:hAnsi="宋体" w:eastAsia="宋体" w:cs="宋体"/>
          <w:sz w:val="24"/>
          <w:szCs w:val="24"/>
        </w:rPr>
        <w:t>的潜在供应商应在</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江苏政府采购网</w:t>
      </w:r>
      <w:r>
        <w:rPr>
          <w:rFonts w:hint="eastAsia" w:ascii="宋体" w:hAnsi="宋体" w:eastAsia="宋体" w:cs="宋体"/>
          <w:sz w:val="24"/>
          <w:szCs w:val="24"/>
          <w:lang w:eastAsia="zh-CN"/>
        </w:rPr>
        <w:t>”下载</w:t>
      </w:r>
      <w:r>
        <w:rPr>
          <w:rFonts w:hint="eastAsia" w:ascii="宋体" w:hAnsi="宋体" w:eastAsia="宋体" w:cs="宋体"/>
          <w:sz w:val="24"/>
          <w:szCs w:val="24"/>
        </w:rPr>
        <w:t>获取采购文件，并于</w:t>
      </w:r>
      <w:r>
        <w:rPr>
          <w:rFonts w:hint="eastAsia" w:ascii="宋体" w:hAnsi="宋体" w:eastAsia="宋体" w:cs="宋体"/>
          <w:sz w:val="24"/>
          <w:szCs w:val="24"/>
          <w:u w:val="single"/>
        </w:rPr>
        <w:t>2026年</w:t>
      </w:r>
      <w:r>
        <w:rPr>
          <w:rFonts w:hint="eastAsia" w:ascii="宋体" w:hAnsi="宋体" w:eastAsia="宋体" w:cs="宋体"/>
          <w:sz w:val="24"/>
          <w:szCs w:val="24"/>
          <w:u w:val="single"/>
          <w:lang w:val="en-US" w:eastAsia="zh-CN"/>
        </w:rPr>
        <w:t>8</w:t>
      </w:r>
      <w:r>
        <w:rPr>
          <w:rFonts w:hint="eastAsia" w:ascii="宋体" w:hAnsi="宋体" w:eastAsia="宋体" w:cs="宋体"/>
          <w:sz w:val="24"/>
          <w:szCs w:val="24"/>
          <w:u w:val="single"/>
        </w:rPr>
        <w:t>月</w:t>
      </w:r>
      <w:r>
        <w:rPr>
          <w:rFonts w:hint="eastAsia" w:ascii="宋体" w:hAnsi="宋体" w:cs="宋体"/>
          <w:sz w:val="24"/>
          <w:szCs w:val="24"/>
          <w:u w:val="single"/>
          <w:lang w:val="en-US" w:eastAsia="zh-CN"/>
        </w:rPr>
        <w:t>28</w:t>
      </w:r>
      <w:r>
        <w:rPr>
          <w:rFonts w:hint="eastAsia" w:ascii="宋体" w:hAnsi="宋体" w:eastAsia="宋体" w:cs="宋体"/>
          <w:sz w:val="24"/>
          <w:szCs w:val="24"/>
          <w:u w:val="single"/>
        </w:rPr>
        <w:t>日</w:t>
      </w:r>
      <w:r>
        <w:rPr>
          <w:rFonts w:hint="eastAsia" w:ascii="宋体" w:hAnsi="宋体" w:eastAsia="宋体" w:cs="宋体"/>
          <w:sz w:val="24"/>
          <w:szCs w:val="24"/>
          <w:u w:val="single"/>
          <w:lang w:val="en-US" w:eastAsia="zh-CN"/>
        </w:rPr>
        <w:t>14</w:t>
      </w:r>
      <w:r>
        <w:rPr>
          <w:rFonts w:hint="eastAsia" w:ascii="宋体" w:hAnsi="宋体" w:eastAsia="宋体" w:cs="宋体"/>
          <w:sz w:val="24"/>
          <w:szCs w:val="24"/>
          <w:u w:val="single"/>
        </w:rPr>
        <w:t>点</w:t>
      </w:r>
      <w:r>
        <w:rPr>
          <w:rFonts w:hint="eastAsia" w:ascii="宋体" w:hAnsi="宋体" w:eastAsia="宋体" w:cs="宋体"/>
          <w:sz w:val="24"/>
          <w:szCs w:val="24"/>
          <w:u w:val="single"/>
          <w:lang w:val="en-US" w:eastAsia="zh-CN"/>
        </w:rPr>
        <w:t>0</w:t>
      </w:r>
      <w:r>
        <w:rPr>
          <w:rFonts w:hint="eastAsia" w:ascii="宋体" w:hAnsi="宋体" w:eastAsia="宋体" w:cs="宋体"/>
          <w:sz w:val="24"/>
          <w:szCs w:val="24"/>
          <w:u w:val="single"/>
        </w:rPr>
        <w:t>0分</w:t>
      </w:r>
      <w:r>
        <w:rPr>
          <w:rFonts w:hint="eastAsia" w:ascii="宋体" w:hAnsi="宋体" w:eastAsia="宋体" w:cs="宋体"/>
          <w:bCs/>
          <w:sz w:val="24"/>
          <w:szCs w:val="24"/>
        </w:rPr>
        <w:t>（北京时间）前提交响应文件</w:t>
      </w:r>
      <w:r>
        <w:rPr>
          <w:rFonts w:hint="eastAsia" w:ascii="宋体" w:hAnsi="宋体" w:eastAsia="宋体" w:cs="宋体"/>
          <w:sz w:val="24"/>
          <w:szCs w:val="24"/>
        </w:rPr>
        <w:t>。</w:t>
      </w:r>
    </w:p>
    <w:p w14:paraId="1D3F4CA1">
      <w:pPr>
        <w:snapToGrid w:val="0"/>
        <w:spacing w:line="360" w:lineRule="auto"/>
        <w:rPr>
          <w:rFonts w:hint="eastAsia" w:ascii="宋体" w:hAnsi="宋体" w:eastAsia="宋体" w:cs="宋体"/>
          <w:b/>
        </w:rPr>
      </w:pPr>
    </w:p>
    <w:p w14:paraId="39EE0026">
      <w:pPr>
        <w:numPr>
          <w:ilvl w:val="0"/>
          <w:numId w:val="2"/>
        </w:numPr>
        <w:snapToGrid w:val="0"/>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项目基本概况</w:t>
      </w:r>
    </w:p>
    <w:p w14:paraId="37C433CF">
      <w:pPr>
        <w:pStyle w:val="31"/>
        <w:spacing w:line="360" w:lineRule="auto"/>
        <w:ind w:left="420" w:firstLine="0" w:firstLineChars="0"/>
        <w:rPr>
          <w:rFonts w:hint="eastAsia" w:ascii="宋体" w:hAnsi="宋体" w:eastAsia="宋体" w:cs="宋体"/>
          <w:sz w:val="24"/>
          <w:szCs w:val="24"/>
          <w:lang w:eastAsia="zh-CN"/>
        </w:rPr>
      </w:pPr>
      <w:r>
        <w:rPr>
          <w:rFonts w:hint="eastAsia" w:ascii="宋体" w:hAnsi="宋体" w:eastAsia="宋体" w:cs="宋体"/>
          <w:sz w:val="24"/>
          <w:szCs w:val="24"/>
        </w:rPr>
        <w:t>1.项目编号：</w:t>
      </w:r>
      <w:r>
        <w:rPr>
          <w:rFonts w:hint="eastAsia" w:ascii="宋体" w:hAnsi="宋体" w:cs="宋体"/>
          <w:sz w:val="24"/>
          <w:szCs w:val="24"/>
          <w:lang w:eastAsia="zh-CN"/>
        </w:rPr>
        <w:t>JSZC-320000-ZCZB-C2026-0005</w:t>
      </w:r>
    </w:p>
    <w:p w14:paraId="36AA4C48">
      <w:pPr>
        <w:pStyle w:val="31"/>
        <w:spacing w:line="360" w:lineRule="auto"/>
        <w:ind w:left="420" w:firstLine="0" w:firstLineChars="0"/>
        <w:rPr>
          <w:rFonts w:hint="eastAsia" w:ascii="宋体" w:hAnsi="宋体" w:eastAsia="宋体" w:cs="宋体"/>
          <w:sz w:val="24"/>
          <w:szCs w:val="24"/>
          <w:lang w:eastAsia="zh-CN"/>
        </w:rPr>
      </w:pPr>
      <w:r>
        <w:rPr>
          <w:rFonts w:hint="eastAsia" w:ascii="宋体" w:hAnsi="宋体" w:eastAsia="宋体" w:cs="宋体"/>
          <w:sz w:val="24"/>
          <w:szCs w:val="24"/>
        </w:rPr>
        <w:t>2.项目名称：</w:t>
      </w:r>
      <w:r>
        <w:rPr>
          <w:rFonts w:hint="eastAsia" w:ascii="宋体" w:hAnsi="宋体" w:eastAsia="宋体" w:cs="宋体"/>
          <w:sz w:val="24"/>
          <w:szCs w:val="24"/>
          <w:lang w:eastAsia="zh-CN"/>
        </w:rPr>
        <w:t>2025年省级专项资金绩效自评省级复评和重点政策全面绩效评价</w:t>
      </w:r>
    </w:p>
    <w:p w14:paraId="7C14F0DF">
      <w:pPr>
        <w:pStyle w:val="31"/>
        <w:spacing w:line="360" w:lineRule="auto"/>
        <w:ind w:left="420" w:firstLine="0" w:firstLineChars="0"/>
        <w:rPr>
          <w:rFonts w:hint="eastAsia" w:ascii="宋体" w:hAnsi="宋体" w:eastAsia="宋体" w:cs="宋体"/>
          <w:sz w:val="24"/>
          <w:szCs w:val="24"/>
          <w:lang w:val="en-US" w:eastAsia="zh-CN"/>
        </w:rPr>
      </w:pPr>
      <w:r>
        <w:rPr>
          <w:rFonts w:hint="eastAsia" w:ascii="宋体" w:hAnsi="宋体" w:eastAsia="宋体" w:cs="宋体"/>
          <w:sz w:val="24"/>
          <w:szCs w:val="24"/>
        </w:rPr>
        <w:t>3.</w:t>
      </w:r>
      <w:r>
        <w:rPr>
          <w:rFonts w:hint="eastAsia" w:ascii="宋体" w:hAnsi="宋体" w:eastAsia="宋体" w:cs="宋体"/>
          <w:sz w:val="24"/>
          <w:szCs w:val="24"/>
          <w:lang w:val="en-US" w:eastAsia="zh-CN"/>
        </w:rPr>
        <w:t>分包划分：</w:t>
      </w:r>
    </w:p>
    <w:p w14:paraId="17ED3C69">
      <w:pPr>
        <w:pStyle w:val="31"/>
        <w:spacing w:line="360" w:lineRule="auto"/>
        <w:ind w:left="420" w:firstLine="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采购包1：</w:t>
      </w:r>
      <w:r>
        <w:rPr>
          <w:rFonts w:hint="eastAsia" w:ascii="宋体" w:hAnsi="宋体" w:cs="宋体"/>
          <w:sz w:val="24"/>
          <w:szCs w:val="24"/>
          <w:lang w:val="en-US" w:eastAsia="zh-CN"/>
        </w:rPr>
        <w:t>2025年省级专项资金绩效自评省级复评和重点政策全面绩效评价（苏南和苏中片区）</w:t>
      </w:r>
    </w:p>
    <w:p w14:paraId="6FB1DBB6">
      <w:pPr>
        <w:pStyle w:val="31"/>
        <w:spacing w:line="360" w:lineRule="auto"/>
        <w:ind w:left="420" w:firstLine="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采购包2：</w:t>
      </w:r>
      <w:r>
        <w:rPr>
          <w:rFonts w:hint="eastAsia" w:ascii="宋体" w:hAnsi="宋体" w:cs="宋体"/>
          <w:sz w:val="24"/>
          <w:szCs w:val="24"/>
          <w:lang w:val="en-US" w:eastAsia="zh-CN"/>
        </w:rPr>
        <w:t>2025年省级专项资金绩效自评省级复评和重点政策全面绩效评价（苏北片区及省本级）</w:t>
      </w:r>
    </w:p>
    <w:p w14:paraId="3E45DDBB">
      <w:pPr>
        <w:pStyle w:val="31"/>
        <w:spacing w:line="360" w:lineRule="auto"/>
        <w:ind w:left="420" w:firstLine="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采购包3：</w:t>
      </w:r>
      <w:r>
        <w:rPr>
          <w:rFonts w:hint="eastAsia" w:ascii="宋体" w:hAnsi="宋体" w:cs="宋体"/>
          <w:sz w:val="24"/>
          <w:szCs w:val="24"/>
          <w:lang w:val="en-US" w:eastAsia="zh-CN"/>
        </w:rPr>
        <w:t>2025年省级专项资金绩效自评省级复评和重点政策全面绩效评价（全省范围常态化帮扶资金绩效评价）</w:t>
      </w:r>
    </w:p>
    <w:p w14:paraId="20902579">
      <w:pPr>
        <w:pStyle w:val="31"/>
        <w:spacing w:line="360" w:lineRule="auto"/>
        <w:ind w:left="420" w:firstLine="0" w:firstLineChars="0"/>
        <w:rPr>
          <w:rFonts w:hint="eastAsia" w:ascii="宋体" w:hAnsi="宋体" w:eastAsia="宋体" w:cs="宋体"/>
          <w:sz w:val="24"/>
          <w:szCs w:val="24"/>
          <w:lang w:eastAsia="zh-CN"/>
        </w:rPr>
      </w:pPr>
      <w:r>
        <w:rPr>
          <w:rFonts w:hint="eastAsia" w:ascii="宋体" w:hAnsi="宋体" w:eastAsia="宋体" w:cs="宋体"/>
          <w:sz w:val="24"/>
          <w:szCs w:val="24"/>
          <w:lang w:val="en-US" w:eastAsia="zh-CN"/>
        </w:rPr>
        <w:t>4</w:t>
      </w:r>
      <w:r>
        <w:rPr>
          <w:rFonts w:hint="eastAsia" w:ascii="宋体" w:hAnsi="宋体" w:cs="宋体"/>
          <w:sz w:val="24"/>
          <w:szCs w:val="24"/>
          <w:lang w:val="en-US" w:eastAsia="zh-CN"/>
        </w:rPr>
        <w:t>.</w:t>
      </w:r>
      <w:r>
        <w:rPr>
          <w:rFonts w:hint="eastAsia" w:ascii="宋体" w:hAnsi="宋体" w:eastAsia="宋体" w:cs="宋体"/>
          <w:sz w:val="24"/>
          <w:szCs w:val="24"/>
        </w:rPr>
        <w:t>预算</w:t>
      </w:r>
      <w:r>
        <w:rPr>
          <w:rFonts w:hint="eastAsia" w:ascii="宋体" w:hAnsi="宋体" w:eastAsia="宋体" w:cs="宋体"/>
          <w:sz w:val="24"/>
          <w:szCs w:val="24"/>
          <w:lang w:val="en-US" w:eastAsia="zh-CN"/>
        </w:rPr>
        <w:t>总</w:t>
      </w:r>
      <w:r>
        <w:rPr>
          <w:rFonts w:hint="eastAsia" w:ascii="宋体" w:hAnsi="宋体" w:eastAsia="宋体" w:cs="宋体"/>
          <w:sz w:val="24"/>
          <w:szCs w:val="24"/>
        </w:rPr>
        <w:t>金额：人民币</w:t>
      </w:r>
      <w:r>
        <w:rPr>
          <w:rFonts w:hint="eastAsia" w:ascii="宋体" w:hAnsi="宋体" w:eastAsia="宋体" w:cs="宋体"/>
          <w:sz w:val="24"/>
          <w:szCs w:val="24"/>
          <w:lang w:val="en-US" w:eastAsia="zh-CN"/>
        </w:rPr>
        <w:t>193</w:t>
      </w:r>
      <w:r>
        <w:rPr>
          <w:rFonts w:hint="eastAsia" w:ascii="宋体" w:hAnsi="宋体" w:eastAsia="宋体" w:cs="宋体"/>
          <w:sz w:val="24"/>
          <w:szCs w:val="24"/>
        </w:rPr>
        <w:t>万元</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采购包1：</w:t>
      </w:r>
      <w:r>
        <w:rPr>
          <w:rFonts w:hint="eastAsia" w:ascii="宋体" w:hAnsi="宋体" w:eastAsia="宋体" w:cs="宋体"/>
          <w:sz w:val="24"/>
          <w:szCs w:val="24"/>
        </w:rPr>
        <w:t>人民币</w:t>
      </w:r>
      <w:r>
        <w:rPr>
          <w:rFonts w:hint="eastAsia" w:ascii="宋体" w:hAnsi="宋体" w:cs="宋体"/>
          <w:sz w:val="24"/>
          <w:szCs w:val="24"/>
          <w:lang w:val="en-US" w:eastAsia="zh-CN"/>
        </w:rPr>
        <w:t>88</w:t>
      </w:r>
      <w:r>
        <w:rPr>
          <w:rFonts w:hint="eastAsia" w:ascii="宋体" w:hAnsi="宋体" w:eastAsia="宋体" w:cs="宋体"/>
          <w:sz w:val="24"/>
          <w:szCs w:val="24"/>
        </w:rPr>
        <w:t>万元</w:t>
      </w:r>
      <w:r>
        <w:rPr>
          <w:rFonts w:hint="eastAsia" w:ascii="宋体" w:hAnsi="宋体" w:cs="宋体"/>
          <w:sz w:val="24"/>
          <w:szCs w:val="24"/>
          <w:lang w:eastAsia="zh-CN"/>
        </w:rPr>
        <w:t>；</w:t>
      </w:r>
      <w:r>
        <w:rPr>
          <w:rFonts w:hint="eastAsia" w:ascii="宋体" w:hAnsi="宋体" w:cs="宋体"/>
          <w:sz w:val="24"/>
          <w:szCs w:val="24"/>
          <w:lang w:val="en-US" w:eastAsia="zh-CN"/>
        </w:rPr>
        <w:t>采购包2：</w:t>
      </w:r>
      <w:r>
        <w:rPr>
          <w:rFonts w:hint="eastAsia" w:ascii="宋体" w:hAnsi="宋体" w:eastAsia="宋体" w:cs="宋体"/>
          <w:sz w:val="24"/>
          <w:szCs w:val="24"/>
        </w:rPr>
        <w:t>人民币</w:t>
      </w:r>
      <w:r>
        <w:rPr>
          <w:rFonts w:hint="eastAsia" w:ascii="宋体" w:hAnsi="宋体" w:cs="宋体"/>
          <w:sz w:val="24"/>
          <w:szCs w:val="24"/>
          <w:lang w:val="en-US" w:eastAsia="zh-CN"/>
        </w:rPr>
        <w:t>75</w:t>
      </w:r>
      <w:r>
        <w:rPr>
          <w:rFonts w:hint="eastAsia" w:ascii="宋体" w:hAnsi="宋体" w:eastAsia="宋体" w:cs="宋体"/>
          <w:sz w:val="24"/>
          <w:szCs w:val="24"/>
        </w:rPr>
        <w:t>万元</w:t>
      </w:r>
      <w:r>
        <w:rPr>
          <w:rFonts w:hint="eastAsia" w:ascii="宋体" w:hAnsi="宋体" w:cs="宋体"/>
          <w:sz w:val="24"/>
          <w:szCs w:val="24"/>
          <w:lang w:eastAsia="zh-CN"/>
        </w:rPr>
        <w:t>；</w:t>
      </w:r>
      <w:r>
        <w:rPr>
          <w:rFonts w:hint="eastAsia" w:ascii="宋体" w:hAnsi="宋体" w:cs="宋体"/>
          <w:sz w:val="24"/>
          <w:szCs w:val="24"/>
          <w:lang w:val="en-US" w:eastAsia="zh-CN"/>
        </w:rPr>
        <w:t>采购包3：</w:t>
      </w:r>
      <w:r>
        <w:rPr>
          <w:rFonts w:hint="eastAsia" w:ascii="宋体" w:hAnsi="宋体" w:eastAsia="宋体" w:cs="宋体"/>
          <w:sz w:val="24"/>
          <w:szCs w:val="24"/>
        </w:rPr>
        <w:t>人民币</w:t>
      </w:r>
      <w:r>
        <w:rPr>
          <w:rFonts w:hint="eastAsia" w:ascii="宋体" w:hAnsi="宋体" w:cs="宋体"/>
          <w:sz w:val="24"/>
          <w:szCs w:val="24"/>
          <w:lang w:val="en-US" w:eastAsia="zh-CN"/>
        </w:rPr>
        <w:t>30</w:t>
      </w:r>
      <w:r>
        <w:rPr>
          <w:rFonts w:hint="eastAsia" w:ascii="宋体" w:hAnsi="宋体" w:eastAsia="宋体" w:cs="宋体"/>
          <w:sz w:val="24"/>
          <w:szCs w:val="24"/>
        </w:rPr>
        <w:t>万元</w:t>
      </w:r>
    </w:p>
    <w:p w14:paraId="382B61E6">
      <w:pPr>
        <w:pStyle w:val="31"/>
        <w:spacing w:line="360" w:lineRule="auto"/>
        <w:ind w:left="420" w:firstLine="0" w:firstLineChars="0"/>
        <w:rPr>
          <w:rFonts w:hint="eastAsia" w:ascii="宋体" w:hAnsi="宋体" w:eastAsia="宋体" w:cs="宋体"/>
          <w:sz w:val="24"/>
          <w:szCs w:val="24"/>
          <w:lang w:eastAsia="zh-CN"/>
        </w:rPr>
      </w:pPr>
      <w:r>
        <w:rPr>
          <w:rFonts w:hint="eastAsia" w:ascii="宋体" w:hAnsi="宋体" w:eastAsia="宋体" w:cs="宋体"/>
          <w:sz w:val="24"/>
          <w:szCs w:val="24"/>
          <w:lang w:val="en-US" w:eastAsia="zh-CN"/>
        </w:rPr>
        <w:t>5</w:t>
      </w:r>
      <w:r>
        <w:rPr>
          <w:rFonts w:hint="eastAsia" w:ascii="宋体" w:hAnsi="宋体" w:eastAsia="宋体" w:cs="宋体"/>
          <w:sz w:val="24"/>
          <w:szCs w:val="24"/>
        </w:rPr>
        <w:t>.最高限价：</w:t>
      </w:r>
      <w:r>
        <w:rPr>
          <w:rFonts w:hint="eastAsia" w:ascii="宋体" w:hAnsi="宋体" w:eastAsia="宋体" w:cs="宋体"/>
          <w:sz w:val="24"/>
          <w:szCs w:val="24"/>
          <w:lang w:val="en-US" w:eastAsia="zh-CN"/>
        </w:rPr>
        <w:t>采购包1：</w:t>
      </w:r>
      <w:r>
        <w:rPr>
          <w:rFonts w:hint="eastAsia" w:ascii="宋体" w:hAnsi="宋体" w:cs="宋体"/>
          <w:sz w:val="24"/>
          <w:szCs w:val="24"/>
          <w:lang w:val="en-US" w:eastAsia="zh-CN"/>
        </w:rPr>
        <w:t>2025年省级专项资金绩效自评省级复评和重点政策全面绩效评价（苏南和苏中片区），</w:t>
      </w:r>
      <w:r>
        <w:rPr>
          <w:rFonts w:hint="eastAsia" w:ascii="宋体" w:hAnsi="宋体" w:eastAsia="宋体" w:cs="宋体"/>
          <w:sz w:val="24"/>
          <w:szCs w:val="24"/>
        </w:rPr>
        <w:t>人民币</w:t>
      </w:r>
      <w:r>
        <w:rPr>
          <w:rFonts w:hint="eastAsia" w:ascii="宋体" w:hAnsi="宋体" w:cs="宋体"/>
          <w:sz w:val="24"/>
          <w:szCs w:val="24"/>
          <w:lang w:val="en-US" w:eastAsia="zh-CN"/>
        </w:rPr>
        <w:t>88</w:t>
      </w:r>
      <w:r>
        <w:rPr>
          <w:rFonts w:hint="eastAsia" w:ascii="宋体" w:hAnsi="宋体" w:eastAsia="宋体" w:cs="宋体"/>
          <w:sz w:val="24"/>
          <w:szCs w:val="24"/>
        </w:rPr>
        <w:t>万元</w:t>
      </w:r>
      <w:r>
        <w:rPr>
          <w:rFonts w:hint="eastAsia" w:ascii="宋体" w:hAnsi="宋体" w:cs="宋体"/>
          <w:sz w:val="24"/>
          <w:szCs w:val="24"/>
          <w:lang w:eastAsia="zh-CN"/>
        </w:rPr>
        <w:t>；</w:t>
      </w:r>
      <w:r>
        <w:rPr>
          <w:rFonts w:hint="eastAsia" w:ascii="宋体" w:hAnsi="宋体" w:cs="宋体"/>
          <w:sz w:val="24"/>
          <w:szCs w:val="24"/>
          <w:lang w:val="en-US" w:eastAsia="zh-CN"/>
        </w:rPr>
        <w:t>采购包2：2025年省级专项资金绩效自评省级复评和重点政策全面绩效评价（苏北片区及省本级），</w:t>
      </w:r>
      <w:r>
        <w:rPr>
          <w:rFonts w:hint="eastAsia" w:ascii="宋体" w:hAnsi="宋体" w:eastAsia="宋体" w:cs="宋体"/>
          <w:sz w:val="24"/>
          <w:szCs w:val="24"/>
        </w:rPr>
        <w:t>人民币</w:t>
      </w:r>
      <w:r>
        <w:rPr>
          <w:rFonts w:hint="eastAsia" w:ascii="宋体" w:hAnsi="宋体" w:cs="宋体"/>
          <w:sz w:val="24"/>
          <w:szCs w:val="24"/>
          <w:lang w:val="en-US" w:eastAsia="zh-CN"/>
        </w:rPr>
        <w:t>75</w:t>
      </w:r>
      <w:r>
        <w:rPr>
          <w:rFonts w:hint="eastAsia" w:ascii="宋体" w:hAnsi="宋体" w:eastAsia="宋体" w:cs="宋体"/>
          <w:sz w:val="24"/>
          <w:szCs w:val="24"/>
        </w:rPr>
        <w:t>万元</w:t>
      </w:r>
      <w:r>
        <w:rPr>
          <w:rFonts w:hint="eastAsia" w:ascii="宋体" w:hAnsi="宋体" w:cs="宋体"/>
          <w:sz w:val="24"/>
          <w:szCs w:val="24"/>
          <w:lang w:eastAsia="zh-CN"/>
        </w:rPr>
        <w:t>；</w:t>
      </w:r>
      <w:r>
        <w:rPr>
          <w:rFonts w:hint="eastAsia" w:ascii="宋体" w:hAnsi="宋体" w:cs="宋体"/>
          <w:sz w:val="24"/>
          <w:szCs w:val="24"/>
          <w:lang w:val="en-US" w:eastAsia="zh-CN"/>
        </w:rPr>
        <w:t>采购包3：2025年省级专项资金绩效自评省级复评和重点政策全面绩效评价（全省范围常态化帮扶资金绩效评价），</w:t>
      </w:r>
      <w:r>
        <w:rPr>
          <w:rFonts w:hint="eastAsia" w:ascii="宋体" w:hAnsi="宋体" w:eastAsia="宋体" w:cs="宋体"/>
          <w:sz w:val="24"/>
          <w:szCs w:val="24"/>
        </w:rPr>
        <w:t>人民币</w:t>
      </w:r>
      <w:r>
        <w:rPr>
          <w:rFonts w:hint="eastAsia" w:ascii="宋体" w:hAnsi="宋体" w:cs="宋体"/>
          <w:sz w:val="24"/>
          <w:szCs w:val="24"/>
          <w:lang w:val="en-US" w:eastAsia="zh-CN"/>
        </w:rPr>
        <w:t>30</w:t>
      </w:r>
      <w:r>
        <w:rPr>
          <w:rFonts w:hint="eastAsia" w:ascii="宋体" w:hAnsi="宋体" w:eastAsia="宋体" w:cs="宋体"/>
          <w:sz w:val="24"/>
          <w:szCs w:val="24"/>
        </w:rPr>
        <w:t>万元</w:t>
      </w:r>
      <w:r>
        <w:rPr>
          <w:rFonts w:hint="eastAsia" w:ascii="宋体" w:hAnsi="宋体" w:cs="宋体"/>
          <w:sz w:val="24"/>
          <w:szCs w:val="24"/>
          <w:lang w:eastAsia="zh-CN"/>
        </w:rPr>
        <w:t>。</w:t>
      </w:r>
    </w:p>
    <w:p w14:paraId="610DE85F">
      <w:pPr>
        <w:pStyle w:val="31"/>
        <w:spacing w:line="360" w:lineRule="auto"/>
        <w:ind w:left="420" w:firstLine="482"/>
        <w:rPr>
          <w:rFonts w:hint="eastAsia" w:ascii="宋体" w:hAnsi="宋体" w:eastAsia="宋体" w:cs="宋体"/>
          <w:sz w:val="24"/>
          <w:szCs w:val="24"/>
        </w:rPr>
      </w:pPr>
      <w:r>
        <w:rPr>
          <w:rFonts w:hint="eastAsia" w:ascii="宋体" w:hAnsi="宋体" w:eastAsia="宋体" w:cs="宋体"/>
          <w:b/>
          <w:bCs/>
          <w:i/>
          <w:iCs/>
          <w:sz w:val="24"/>
          <w:szCs w:val="24"/>
          <w:u w:val="single"/>
        </w:rPr>
        <w:t>最终报价超过政府采购预算和最高限价的为无效报价，按照无效响应处理。</w:t>
      </w:r>
    </w:p>
    <w:p w14:paraId="0F88EF5F">
      <w:pPr>
        <w:pStyle w:val="31"/>
        <w:spacing w:line="360" w:lineRule="auto"/>
        <w:ind w:left="420" w:firstLine="0" w:firstLineChars="0"/>
        <w:rPr>
          <w:rFonts w:hint="eastAsia" w:ascii="宋体" w:hAnsi="宋体" w:eastAsia="宋体" w:cs="宋体"/>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.采购需求（简介）：</w:t>
      </w:r>
      <w:r>
        <w:rPr>
          <w:rFonts w:hint="eastAsia" w:ascii="宋体" w:hAnsi="宋体" w:eastAsia="宋体" w:cs="宋体"/>
          <w:sz w:val="24"/>
          <w:szCs w:val="24"/>
          <w:lang w:eastAsia="zh-CN"/>
        </w:rPr>
        <w:t>为进一步加强专项资金政策管理，提高财政资源配置效率和使用效益，根据省财政厅《江苏省财政厅关于202</w:t>
      </w:r>
      <w:r>
        <w:rPr>
          <w:rFonts w:hint="eastAsia" w:ascii="宋体" w:hAnsi="宋体" w:eastAsia="宋体" w:cs="宋体"/>
          <w:sz w:val="24"/>
          <w:szCs w:val="24"/>
          <w:lang w:val="en-US" w:eastAsia="zh-CN"/>
        </w:rPr>
        <w:t>6</w:t>
      </w:r>
      <w:r>
        <w:rPr>
          <w:rFonts w:hint="eastAsia" w:ascii="宋体" w:hAnsi="宋体" w:eastAsia="宋体" w:cs="宋体"/>
          <w:sz w:val="24"/>
          <w:szCs w:val="24"/>
          <w:lang w:eastAsia="zh-CN"/>
        </w:rPr>
        <w:t>年省级部门单位开展财政支出绩效评价工作的通知》（苏财绩〔2024〕</w:t>
      </w: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号）、《关于开展202</w:t>
      </w:r>
      <w:r>
        <w:rPr>
          <w:rFonts w:hint="eastAsia" w:ascii="宋体" w:hAnsi="宋体" w:eastAsia="宋体" w:cs="宋体"/>
          <w:sz w:val="24"/>
          <w:szCs w:val="24"/>
          <w:lang w:val="en-US" w:eastAsia="zh-CN"/>
        </w:rPr>
        <w:t>5</w:t>
      </w:r>
      <w:r>
        <w:rPr>
          <w:rFonts w:hint="eastAsia" w:ascii="宋体" w:hAnsi="宋体" w:eastAsia="宋体" w:cs="宋体"/>
          <w:sz w:val="24"/>
          <w:szCs w:val="24"/>
          <w:lang w:eastAsia="zh-CN"/>
        </w:rPr>
        <w:t>年度省级财政农业专项转移支付资金绩效自评价工作的通知》（苏农计〔202</w:t>
      </w:r>
      <w:r>
        <w:rPr>
          <w:rFonts w:hint="eastAsia" w:ascii="宋体" w:hAnsi="宋体" w:eastAsia="宋体" w:cs="宋体"/>
          <w:sz w:val="24"/>
          <w:szCs w:val="24"/>
          <w:lang w:val="en-US" w:eastAsia="zh-CN"/>
        </w:rPr>
        <w:t>6</w:t>
      </w:r>
      <w:r>
        <w:rPr>
          <w:rFonts w:hint="eastAsia" w:ascii="宋体" w:hAnsi="宋体" w:eastAsia="宋体" w:cs="宋体"/>
          <w:sz w:val="24"/>
          <w:szCs w:val="24"/>
          <w:lang w:eastAsia="zh-CN"/>
        </w:rPr>
        <w:t>〕1</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号）、《关于全面落实财政专项资金预算绩效管理工作的通知》（苏农办计〔2022〕8号）《关于进一步加强财政支农专项资金管理的实施意见》（苏财农〔2023〕81号）《江苏省农业农村厅专项资金绩效管理工作规程》等文件精神，拟开展202</w:t>
      </w:r>
      <w:r>
        <w:rPr>
          <w:rFonts w:hint="eastAsia" w:ascii="宋体" w:hAnsi="宋体" w:eastAsia="宋体" w:cs="宋体"/>
          <w:sz w:val="24"/>
          <w:szCs w:val="24"/>
          <w:lang w:val="en-US" w:eastAsia="zh-CN"/>
        </w:rPr>
        <w:t>5</w:t>
      </w:r>
      <w:r>
        <w:rPr>
          <w:rFonts w:hint="eastAsia" w:ascii="宋体" w:hAnsi="宋体" w:eastAsia="宋体" w:cs="宋体"/>
          <w:sz w:val="24"/>
          <w:szCs w:val="24"/>
          <w:lang w:eastAsia="zh-CN"/>
        </w:rPr>
        <w:t>年度省级专项转移支付资金部门绩效评价省级复评和202</w:t>
      </w:r>
      <w:r>
        <w:rPr>
          <w:rFonts w:hint="eastAsia" w:ascii="宋体" w:hAnsi="宋体" w:eastAsia="宋体" w:cs="宋体"/>
          <w:sz w:val="24"/>
          <w:szCs w:val="24"/>
          <w:lang w:val="en-US" w:eastAsia="zh-CN"/>
        </w:rPr>
        <w:t>5</w:t>
      </w:r>
      <w:r>
        <w:rPr>
          <w:rFonts w:hint="eastAsia" w:ascii="宋体" w:hAnsi="宋体" w:eastAsia="宋体" w:cs="宋体"/>
          <w:sz w:val="24"/>
          <w:szCs w:val="24"/>
          <w:lang w:eastAsia="zh-CN"/>
        </w:rPr>
        <w:t>年度省级专项资金政策绩效评价工作</w:t>
      </w:r>
      <w:r>
        <w:rPr>
          <w:rFonts w:hint="eastAsia" w:ascii="宋体" w:hAnsi="宋体" w:eastAsia="宋体" w:cs="宋体"/>
          <w:sz w:val="24"/>
          <w:szCs w:val="24"/>
          <w:lang w:val="zh-CN"/>
        </w:rPr>
        <w:t>。</w:t>
      </w:r>
    </w:p>
    <w:p w14:paraId="1DEF2E9C">
      <w:pPr>
        <w:snapToGrid w:val="0"/>
        <w:spacing w:line="360" w:lineRule="auto"/>
        <w:ind w:firstLine="964" w:firstLineChars="400"/>
        <w:rPr>
          <w:rFonts w:ascii="宋体" w:hAnsi="宋体" w:cs="宋体"/>
          <w:b/>
          <w:bCs/>
          <w:sz w:val="24"/>
          <w:szCs w:val="22"/>
        </w:rPr>
      </w:pPr>
      <w:r>
        <w:rPr>
          <w:rFonts w:hint="eastAsia" w:ascii="宋体" w:hAnsi="宋体" w:cs="宋体"/>
          <w:b/>
          <w:bCs/>
          <w:sz w:val="24"/>
          <w:szCs w:val="22"/>
        </w:rPr>
        <w:t>评标顺序：按</w:t>
      </w:r>
      <w:r>
        <w:rPr>
          <w:rFonts w:hint="eastAsia" w:ascii="宋体" w:hAnsi="宋体" w:cs="宋体"/>
          <w:b/>
          <w:bCs/>
          <w:sz w:val="24"/>
          <w:szCs w:val="22"/>
          <w:lang w:val="en-US" w:eastAsia="zh-CN"/>
        </w:rPr>
        <w:t>采购</w:t>
      </w:r>
      <w:r>
        <w:rPr>
          <w:rFonts w:hint="eastAsia" w:ascii="宋体" w:hAnsi="宋体" w:cs="宋体"/>
          <w:b/>
          <w:bCs/>
          <w:sz w:val="24"/>
          <w:szCs w:val="22"/>
        </w:rPr>
        <w:t>包序号依次评标，即</w:t>
      </w:r>
      <w:r>
        <w:rPr>
          <w:rFonts w:hint="eastAsia" w:ascii="宋体" w:hAnsi="宋体" w:eastAsia="宋体" w:cs="宋体"/>
          <w:b/>
          <w:bCs/>
          <w:sz w:val="24"/>
          <w:szCs w:val="24"/>
          <w:lang w:val="en-US" w:eastAsia="zh-CN"/>
        </w:rPr>
        <w:t>采购包1</w:t>
      </w:r>
      <w:r>
        <w:rPr>
          <w:rFonts w:hint="eastAsia" w:ascii="宋体" w:hAnsi="宋体" w:cs="宋体"/>
          <w:b/>
          <w:bCs/>
          <w:sz w:val="24"/>
          <w:szCs w:val="22"/>
        </w:rPr>
        <w:t>、</w:t>
      </w:r>
      <w:r>
        <w:rPr>
          <w:rFonts w:hint="eastAsia" w:ascii="宋体" w:hAnsi="宋体" w:eastAsia="宋体" w:cs="宋体"/>
          <w:b/>
          <w:bCs/>
          <w:sz w:val="24"/>
          <w:szCs w:val="24"/>
          <w:lang w:val="en-US" w:eastAsia="zh-CN"/>
        </w:rPr>
        <w:t>采购包</w:t>
      </w:r>
      <w:r>
        <w:rPr>
          <w:rFonts w:hint="eastAsia" w:ascii="宋体" w:hAnsi="宋体" w:cs="宋体"/>
          <w:b/>
          <w:bCs/>
          <w:sz w:val="24"/>
          <w:szCs w:val="22"/>
        </w:rPr>
        <w:t>2、</w:t>
      </w:r>
      <w:r>
        <w:rPr>
          <w:rFonts w:hint="eastAsia" w:ascii="宋体" w:hAnsi="宋体" w:eastAsia="宋体" w:cs="宋体"/>
          <w:b/>
          <w:bCs/>
          <w:sz w:val="24"/>
          <w:szCs w:val="24"/>
          <w:lang w:val="en-US" w:eastAsia="zh-CN"/>
        </w:rPr>
        <w:t>采购包</w:t>
      </w:r>
      <w:r>
        <w:rPr>
          <w:rFonts w:hint="eastAsia" w:ascii="宋体" w:hAnsi="宋体" w:cs="宋体"/>
          <w:b/>
          <w:bCs/>
          <w:sz w:val="24"/>
          <w:szCs w:val="22"/>
        </w:rPr>
        <w:t>3。</w:t>
      </w:r>
    </w:p>
    <w:p w14:paraId="25007F56">
      <w:pPr>
        <w:pStyle w:val="31"/>
        <w:spacing w:line="360" w:lineRule="auto"/>
        <w:ind w:left="420" w:firstLine="482" w:firstLineChars="200"/>
        <w:rPr>
          <w:rFonts w:hint="eastAsia" w:ascii="宋体" w:hAnsi="宋体" w:eastAsia="宋体" w:cs="宋体"/>
          <w:b/>
          <w:bCs/>
          <w:snapToGrid w:val="0"/>
          <w:kern w:val="0"/>
          <w:sz w:val="24"/>
          <w:szCs w:val="24"/>
          <w:lang w:eastAsia="zh-CN"/>
        </w:rPr>
      </w:pPr>
      <w:r>
        <w:rPr>
          <w:rFonts w:hint="eastAsia" w:ascii="宋体" w:hAnsi="宋体" w:cs="宋体"/>
          <w:b/>
          <w:bCs/>
          <w:sz w:val="24"/>
          <w:szCs w:val="24"/>
        </w:rPr>
        <w:t>定标原则：</w:t>
      </w:r>
      <w:r>
        <w:rPr>
          <w:rFonts w:hint="eastAsia" w:ascii="宋体" w:hAnsi="宋体" w:cs="宋体"/>
          <w:b/>
          <w:bCs/>
          <w:snapToGrid w:val="0"/>
          <w:kern w:val="0"/>
          <w:sz w:val="24"/>
          <w:szCs w:val="24"/>
        </w:rPr>
        <w:t>本次</w:t>
      </w:r>
      <w:r>
        <w:rPr>
          <w:rFonts w:hint="eastAsia" w:ascii="宋体" w:hAnsi="宋体" w:cs="宋体"/>
          <w:b/>
          <w:bCs/>
          <w:snapToGrid w:val="0"/>
          <w:kern w:val="0"/>
          <w:sz w:val="24"/>
          <w:szCs w:val="24"/>
          <w:lang w:val="en-US" w:eastAsia="zh-CN"/>
        </w:rPr>
        <w:t>采购</w:t>
      </w:r>
      <w:r>
        <w:rPr>
          <w:rFonts w:hint="eastAsia" w:ascii="宋体" w:hAnsi="宋体" w:cs="宋体"/>
          <w:b/>
          <w:bCs/>
          <w:snapToGrid w:val="0"/>
          <w:kern w:val="0"/>
          <w:sz w:val="24"/>
          <w:szCs w:val="24"/>
        </w:rPr>
        <w:t>各</w:t>
      </w:r>
      <w:r>
        <w:rPr>
          <w:rFonts w:hint="eastAsia" w:ascii="宋体" w:hAnsi="宋体" w:cs="宋体"/>
          <w:b/>
          <w:bCs/>
          <w:snapToGrid w:val="0"/>
          <w:kern w:val="0"/>
          <w:sz w:val="24"/>
          <w:szCs w:val="24"/>
          <w:lang w:val="en-US" w:eastAsia="zh-CN"/>
        </w:rPr>
        <w:t>供应商</w:t>
      </w:r>
      <w:r>
        <w:rPr>
          <w:rFonts w:hint="eastAsia" w:ascii="宋体" w:hAnsi="宋体" w:cs="宋体"/>
          <w:b/>
          <w:bCs/>
          <w:snapToGrid w:val="0"/>
          <w:kern w:val="0"/>
          <w:sz w:val="24"/>
          <w:szCs w:val="24"/>
        </w:rPr>
        <w:t>可同时参与本项目</w:t>
      </w:r>
      <w:r>
        <w:rPr>
          <w:rFonts w:hint="eastAsia" w:ascii="宋体" w:hAnsi="宋体" w:cs="宋体"/>
          <w:b/>
          <w:bCs/>
          <w:snapToGrid w:val="0"/>
          <w:kern w:val="0"/>
          <w:sz w:val="24"/>
          <w:szCs w:val="24"/>
          <w:lang w:val="en-US" w:eastAsia="zh-CN"/>
        </w:rPr>
        <w:t>采购包1</w:t>
      </w:r>
      <w:r>
        <w:rPr>
          <w:rFonts w:hint="eastAsia" w:ascii="宋体" w:hAnsi="宋体" w:cs="宋体"/>
          <w:b/>
          <w:bCs/>
          <w:snapToGrid w:val="0"/>
          <w:kern w:val="0"/>
          <w:sz w:val="24"/>
          <w:szCs w:val="24"/>
        </w:rPr>
        <w:t>、</w:t>
      </w:r>
      <w:r>
        <w:rPr>
          <w:rFonts w:hint="eastAsia" w:ascii="宋体" w:hAnsi="宋体" w:cs="宋体"/>
          <w:b/>
          <w:bCs/>
          <w:snapToGrid w:val="0"/>
          <w:kern w:val="0"/>
          <w:sz w:val="24"/>
          <w:szCs w:val="24"/>
          <w:lang w:val="en-US" w:eastAsia="zh-CN"/>
        </w:rPr>
        <w:t>采购包</w:t>
      </w:r>
      <w:r>
        <w:rPr>
          <w:rFonts w:hint="eastAsia" w:ascii="宋体" w:hAnsi="宋体" w:cs="宋体"/>
          <w:b/>
          <w:bCs/>
          <w:snapToGrid w:val="0"/>
          <w:kern w:val="0"/>
          <w:sz w:val="24"/>
          <w:szCs w:val="24"/>
        </w:rPr>
        <w:t>2、</w:t>
      </w:r>
      <w:r>
        <w:rPr>
          <w:rFonts w:hint="eastAsia" w:ascii="宋体" w:hAnsi="宋体" w:cs="宋体"/>
          <w:b/>
          <w:bCs/>
          <w:snapToGrid w:val="0"/>
          <w:kern w:val="0"/>
          <w:sz w:val="24"/>
          <w:szCs w:val="24"/>
          <w:lang w:val="en-US" w:eastAsia="zh-CN"/>
        </w:rPr>
        <w:t>采购包</w:t>
      </w:r>
      <w:r>
        <w:rPr>
          <w:rFonts w:hint="eastAsia" w:ascii="宋体" w:hAnsi="宋体" w:cs="宋体"/>
          <w:b/>
          <w:bCs/>
          <w:snapToGrid w:val="0"/>
          <w:kern w:val="0"/>
          <w:sz w:val="24"/>
          <w:szCs w:val="24"/>
        </w:rPr>
        <w:t>3的投标，但是最多可以中标其中一个</w:t>
      </w:r>
      <w:r>
        <w:rPr>
          <w:rFonts w:hint="eastAsia" w:ascii="宋体" w:hAnsi="宋体" w:cs="宋体"/>
          <w:b/>
          <w:bCs/>
          <w:snapToGrid w:val="0"/>
          <w:kern w:val="0"/>
          <w:sz w:val="24"/>
          <w:szCs w:val="24"/>
          <w:lang w:val="en-US" w:eastAsia="zh-CN"/>
        </w:rPr>
        <w:t>采购</w:t>
      </w:r>
      <w:r>
        <w:rPr>
          <w:rFonts w:hint="eastAsia" w:ascii="宋体" w:hAnsi="宋体" w:cs="宋体"/>
          <w:b/>
          <w:bCs/>
          <w:snapToGrid w:val="0"/>
          <w:kern w:val="0"/>
          <w:sz w:val="24"/>
          <w:szCs w:val="24"/>
        </w:rPr>
        <w:t>包。已被推荐为前面</w:t>
      </w:r>
      <w:r>
        <w:rPr>
          <w:rFonts w:hint="eastAsia" w:ascii="宋体" w:hAnsi="宋体" w:cs="宋体"/>
          <w:b/>
          <w:bCs/>
          <w:snapToGrid w:val="0"/>
          <w:kern w:val="0"/>
          <w:sz w:val="24"/>
          <w:szCs w:val="24"/>
          <w:lang w:val="en-US" w:eastAsia="zh-CN"/>
        </w:rPr>
        <w:t>采购</w:t>
      </w:r>
      <w:r>
        <w:rPr>
          <w:rFonts w:hint="eastAsia" w:ascii="宋体" w:hAnsi="宋体" w:cs="宋体"/>
          <w:b/>
          <w:bCs/>
          <w:snapToGrid w:val="0"/>
          <w:kern w:val="0"/>
          <w:sz w:val="24"/>
          <w:szCs w:val="24"/>
        </w:rPr>
        <w:t>包第一中标候选人的，只参与其后所投</w:t>
      </w:r>
      <w:r>
        <w:rPr>
          <w:rFonts w:hint="eastAsia" w:ascii="宋体" w:hAnsi="宋体" w:cs="宋体"/>
          <w:b/>
          <w:bCs/>
          <w:snapToGrid w:val="0"/>
          <w:kern w:val="0"/>
          <w:sz w:val="24"/>
          <w:szCs w:val="24"/>
          <w:lang w:val="en-US" w:eastAsia="zh-CN"/>
        </w:rPr>
        <w:t>采购</w:t>
      </w:r>
      <w:r>
        <w:rPr>
          <w:rFonts w:hint="eastAsia" w:ascii="宋体" w:hAnsi="宋体" w:cs="宋体"/>
          <w:b/>
          <w:bCs/>
          <w:snapToGrid w:val="0"/>
          <w:kern w:val="0"/>
          <w:sz w:val="24"/>
          <w:szCs w:val="24"/>
        </w:rPr>
        <w:t>包的评审，但不再作为其后</w:t>
      </w:r>
      <w:r>
        <w:rPr>
          <w:rFonts w:hint="eastAsia" w:ascii="宋体" w:hAnsi="宋体" w:cs="宋体"/>
          <w:b/>
          <w:bCs/>
          <w:snapToGrid w:val="0"/>
          <w:kern w:val="0"/>
          <w:sz w:val="24"/>
          <w:szCs w:val="24"/>
          <w:lang w:val="en-US" w:eastAsia="zh-CN"/>
        </w:rPr>
        <w:t>采购</w:t>
      </w:r>
      <w:r>
        <w:rPr>
          <w:rFonts w:hint="eastAsia" w:ascii="宋体" w:hAnsi="宋体" w:cs="宋体"/>
          <w:b/>
          <w:bCs/>
          <w:snapToGrid w:val="0"/>
          <w:kern w:val="0"/>
          <w:sz w:val="24"/>
          <w:szCs w:val="24"/>
        </w:rPr>
        <w:t>包的第一</w:t>
      </w:r>
      <w:r>
        <w:rPr>
          <w:rFonts w:hint="eastAsia" w:ascii="宋体" w:hAnsi="宋体" w:cs="宋体"/>
          <w:b/>
          <w:bCs/>
          <w:snapToGrid w:val="0"/>
          <w:kern w:val="0"/>
          <w:sz w:val="24"/>
          <w:szCs w:val="24"/>
          <w:lang w:val="en-US" w:eastAsia="zh-CN"/>
        </w:rPr>
        <w:t>成交</w:t>
      </w:r>
      <w:r>
        <w:rPr>
          <w:rFonts w:hint="eastAsia" w:ascii="宋体" w:hAnsi="宋体" w:cs="宋体"/>
          <w:b/>
          <w:bCs/>
          <w:snapToGrid w:val="0"/>
          <w:kern w:val="0"/>
          <w:sz w:val="24"/>
          <w:szCs w:val="24"/>
        </w:rPr>
        <w:t>候选人</w:t>
      </w:r>
      <w:r>
        <w:rPr>
          <w:rFonts w:hint="eastAsia" w:ascii="宋体" w:hAnsi="宋体" w:cs="宋体"/>
          <w:b/>
          <w:bCs/>
          <w:snapToGrid w:val="0"/>
          <w:kern w:val="0"/>
          <w:sz w:val="24"/>
          <w:szCs w:val="24"/>
          <w:lang w:eastAsia="zh-CN"/>
        </w:rPr>
        <w:t>。</w:t>
      </w:r>
    </w:p>
    <w:p w14:paraId="2A7ABB45">
      <w:pPr>
        <w:pStyle w:val="31"/>
        <w:spacing w:line="360" w:lineRule="auto"/>
        <w:ind w:left="420" w:firstLine="0" w:firstLineChars="0"/>
        <w:rPr>
          <w:rFonts w:hint="eastAsia" w:ascii="宋体" w:hAnsi="宋体" w:eastAsia="宋体" w:cs="宋体"/>
        </w:rPr>
      </w:pPr>
      <w:r>
        <w:rPr>
          <w:rFonts w:hint="eastAsia" w:ascii="宋体" w:hAnsi="宋体" w:eastAsia="宋体" w:cs="宋体"/>
          <w:sz w:val="24"/>
          <w:szCs w:val="24"/>
          <w:lang w:val="en-US" w:eastAsia="zh-CN"/>
        </w:rPr>
        <w:t>7</w:t>
      </w:r>
      <w:r>
        <w:rPr>
          <w:rFonts w:hint="eastAsia" w:ascii="宋体" w:hAnsi="宋体" w:eastAsia="宋体" w:cs="宋体"/>
          <w:sz w:val="24"/>
          <w:szCs w:val="24"/>
        </w:rPr>
        <w:t>.服务时间：</w:t>
      </w:r>
      <w:r>
        <w:rPr>
          <w:rFonts w:hint="eastAsia" w:ascii="宋体" w:hAnsi="宋体" w:eastAsia="宋体" w:cs="宋体"/>
          <w:sz w:val="24"/>
          <w:szCs w:val="24"/>
          <w:lang w:val="en-US" w:eastAsia="zh-CN"/>
        </w:rPr>
        <w:t>采购包1、采购包</w:t>
      </w:r>
      <w:r>
        <w:rPr>
          <w:rFonts w:hint="eastAsia" w:ascii="宋体" w:hAnsi="宋体" w:cs="宋体"/>
          <w:sz w:val="24"/>
          <w:szCs w:val="24"/>
          <w:lang w:val="en-US" w:eastAsia="zh-CN"/>
        </w:rPr>
        <w:t>2</w:t>
      </w:r>
      <w:r>
        <w:rPr>
          <w:rFonts w:hint="eastAsia" w:ascii="宋体" w:hAnsi="宋体" w:eastAsia="宋体" w:cs="宋体"/>
          <w:sz w:val="24"/>
          <w:szCs w:val="24"/>
          <w:lang w:val="en-US" w:eastAsia="zh-CN"/>
        </w:rPr>
        <w:t>，自合同签订之日起至2026年11月底完成；采购包</w:t>
      </w:r>
      <w:r>
        <w:rPr>
          <w:rFonts w:hint="eastAsia" w:ascii="宋体" w:hAnsi="宋体" w:cs="宋体"/>
          <w:sz w:val="24"/>
          <w:szCs w:val="24"/>
          <w:lang w:val="en-US" w:eastAsia="zh-CN"/>
        </w:rPr>
        <w:t>3</w:t>
      </w:r>
      <w:r>
        <w:rPr>
          <w:rFonts w:hint="eastAsia" w:ascii="宋体" w:hAnsi="宋体" w:eastAsia="宋体" w:cs="宋体"/>
          <w:sz w:val="24"/>
          <w:szCs w:val="24"/>
          <w:lang w:val="en-US" w:eastAsia="zh-CN"/>
        </w:rPr>
        <w:t>，自合同签订之日起至2026年12月中旬完成。</w:t>
      </w:r>
    </w:p>
    <w:p w14:paraId="22ECE1D0">
      <w:pPr>
        <w:pStyle w:val="31"/>
        <w:spacing w:line="360" w:lineRule="auto"/>
        <w:ind w:left="420" w:firstLine="0" w:firstLineChars="0"/>
        <w:rPr>
          <w:rFonts w:hint="eastAsia" w:ascii="宋体" w:hAnsi="宋体" w:eastAsia="宋体" w:cs="宋体"/>
          <w:sz w:val="24"/>
          <w:szCs w:val="24"/>
        </w:rPr>
      </w:pPr>
      <w:r>
        <w:rPr>
          <w:rFonts w:hint="eastAsia" w:ascii="宋体" w:hAnsi="宋体" w:eastAsia="宋体" w:cs="宋体"/>
          <w:sz w:val="24"/>
          <w:szCs w:val="24"/>
          <w:lang w:val="en-US" w:eastAsia="zh-CN"/>
        </w:rPr>
        <w:t>8</w:t>
      </w:r>
      <w:r>
        <w:rPr>
          <w:rFonts w:hint="eastAsia" w:ascii="宋体" w:hAnsi="宋体" w:eastAsia="宋体" w:cs="宋体"/>
          <w:sz w:val="24"/>
          <w:szCs w:val="24"/>
        </w:rPr>
        <w:t>.本项目（是/否）接受联合体：不接受联合体。</w:t>
      </w:r>
    </w:p>
    <w:p w14:paraId="20EBCE6C">
      <w:pPr>
        <w:tabs>
          <w:tab w:val="left" w:pos="7810"/>
        </w:tabs>
        <w:snapToGrid w:val="0"/>
        <w:spacing w:line="360" w:lineRule="auto"/>
        <w:ind w:firstLine="482" w:firstLineChars="200"/>
        <w:rPr>
          <w:rFonts w:hint="eastAsia" w:ascii="宋体" w:hAnsi="宋体" w:eastAsia="宋体" w:cs="宋体"/>
          <w:sz w:val="24"/>
          <w:szCs w:val="24"/>
        </w:rPr>
      </w:pPr>
      <w:r>
        <w:rPr>
          <w:rFonts w:hint="eastAsia" w:ascii="宋体" w:hAnsi="宋体" w:eastAsia="宋体" w:cs="宋体"/>
          <w:b/>
          <w:bCs/>
          <w:sz w:val="24"/>
          <w:szCs w:val="24"/>
        </w:rPr>
        <w:t xml:space="preserve">二、申请人的资格要求 </w:t>
      </w:r>
      <w:r>
        <w:rPr>
          <w:rFonts w:hint="eastAsia" w:ascii="宋体" w:hAnsi="宋体" w:eastAsia="宋体" w:cs="宋体"/>
          <w:b/>
          <w:bCs/>
          <w:sz w:val="24"/>
          <w:szCs w:val="24"/>
        </w:rPr>
        <w:tab/>
      </w:r>
    </w:p>
    <w:p w14:paraId="5C89B8FD">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 xml:space="preserve">（一）满足《中华人民共和国政府采购法》第二十二条规定： </w:t>
      </w:r>
    </w:p>
    <w:p w14:paraId="3904E4FD">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1、具有独立承担民事责任的能力（提供法人或者其他组织的营业执照复印件并加盖公章，或者自然人的身份证明）；</w:t>
      </w:r>
    </w:p>
    <w:p w14:paraId="00A097F7">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2、具有良好的商业信誉和健全的财务会计制度（提供2025年度财务报</w:t>
      </w:r>
      <w:r>
        <w:rPr>
          <w:rFonts w:hint="eastAsia" w:ascii="宋体" w:hAnsi="宋体" w:eastAsia="宋体" w:cs="宋体"/>
          <w:sz w:val="24"/>
          <w:szCs w:val="24"/>
          <w:lang w:val="en-US" w:eastAsia="zh-CN"/>
        </w:rPr>
        <w:t>表</w:t>
      </w:r>
      <w:r>
        <w:rPr>
          <w:rFonts w:hint="eastAsia" w:ascii="宋体" w:hAnsi="宋体" w:cs="宋体"/>
          <w:sz w:val="24"/>
          <w:szCs w:val="24"/>
          <w:lang w:val="en-US" w:eastAsia="zh-CN"/>
        </w:rPr>
        <w:t>或</w:t>
      </w:r>
      <w:r>
        <w:rPr>
          <w:rFonts w:hint="eastAsia" w:ascii="宋体" w:hAnsi="宋体" w:eastAsia="宋体" w:cs="宋体"/>
          <w:sz w:val="24"/>
          <w:szCs w:val="24"/>
          <w:lang w:val="en-US" w:eastAsia="zh-CN"/>
        </w:rPr>
        <w:t>财务报告</w:t>
      </w:r>
      <w:r>
        <w:rPr>
          <w:rFonts w:hint="eastAsia" w:ascii="宋体" w:hAnsi="宋体" w:eastAsia="宋体" w:cs="宋体"/>
          <w:sz w:val="24"/>
          <w:szCs w:val="24"/>
        </w:rPr>
        <w:t>或银行出具的企业资信证明，法人或者其他组织成立未满一年的可提供近半年内任一月的资产负债和利润表）；</w:t>
      </w:r>
    </w:p>
    <w:p w14:paraId="011C261F">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3、具有履行合同所必需的设备和专业技术能力（根据项目需求提供履行合同所必需的设备和专业技术能力的证明材料或声明函）；</w:t>
      </w:r>
    </w:p>
    <w:p w14:paraId="3E9C998E">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4、有依法缴纳税收和社会保障资金的良好记录（提供参加本次采购活动前</w:t>
      </w:r>
      <w:r>
        <w:rPr>
          <w:rFonts w:hint="eastAsia" w:ascii="宋体" w:hAnsi="宋体" w:eastAsia="宋体" w:cs="宋体"/>
          <w:sz w:val="24"/>
          <w:szCs w:val="24"/>
          <w:lang w:val="en-US" w:eastAsia="zh-CN"/>
        </w:rPr>
        <w:t>近六个月内任意一个月</w:t>
      </w:r>
      <w:r>
        <w:rPr>
          <w:rFonts w:hint="eastAsia" w:ascii="宋体" w:hAnsi="宋体" w:eastAsia="宋体" w:cs="宋体"/>
          <w:sz w:val="24"/>
          <w:szCs w:val="24"/>
        </w:rPr>
        <w:t>依法缴纳税收及社会保险的凭据。依法免缴、迟缴的应提供相应文件证明）；</w:t>
      </w:r>
    </w:p>
    <w:p w14:paraId="6031E531">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5、参加本次采购活动前3年内在经营活动中没有重大违法记录（提供参加本次采购活动前3年内在经营活动中没有重大违法记录的书面声明）；</w:t>
      </w:r>
    </w:p>
    <w:p w14:paraId="334EADED">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6、法律、行政法规规定的其他条件。</w:t>
      </w:r>
    </w:p>
    <w:p w14:paraId="73F15DD1">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（二）落实政府采购政策需满足的资格要求：</w:t>
      </w:r>
    </w:p>
    <w:p w14:paraId="7A3FC911">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bCs/>
          <w:color w:val="auto"/>
          <w:sz w:val="24"/>
        </w:rPr>
        <w:t>本项目</w:t>
      </w:r>
      <w:r>
        <w:rPr>
          <w:rFonts w:hint="eastAsia" w:ascii="宋体" w:hAnsi="宋体" w:eastAsia="宋体" w:cs="宋体"/>
          <w:bCs/>
          <w:color w:val="auto"/>
          <w:sz w:val="24"/>
          <w:lang w:val="en-US" w:eastAsia="zh-CN"/>
        </w:rPr>
        <w:t>不</w:t>
      </w:r>
      <w:r>
        <w:rPr>
          <w:rFonts w:hint="eastAsia" w:ascii="宋体" w:hAnsi="宋体" w:eastAsia="宋体" w:cs="宋体"/>
          <w:bCs/>
          <w:color w:val="auto"/>
          <w:sz w:val="24"/>
        </w:rPr>
        <w:t>专门面向中小企业采购</w:t>
      </w:r>
      <w:r>
        <w:rPr>
          <w:rFonts w:hint="eastAsia" w:ascii="宋体" w:hAnsi="宋体" w:eastAsia="宋体" w:cs="宋体"/>
          <w:bCs/>
          <w:sz w:val="24"/>
        </w:rPr>
        <w:t>，执行价格扣除优惠政策，供应商为小微企业的，报价给予</w:t>
      </w:r>
      <w:r>
        <w:rPr>
          <w:rFonts w:hint="eastAsia" w:ascii="宋体" w:hAnsi="宋体" w:eastAsia="宋体" w:cs="宋体"/>
          <w:b/>
          <w:sz w:val="24"/>
          <w:u w:val="single"/>
        </w:rPr>
        <w:t>10%</w:t>
      </w:r>
      <w:r>
        <w:rPr>
          <w:rFonts w:hint="eastAsia" w:ascii="宋体" w:hAnsi="宋体" w:eastAsia="宋体" w:cs="宋体"/>
          <w:bCs/>
          <w:sz w:val="24"/>
        </w:rPr>
        <w:t>的扣除。提供《中小企业声明函》；监狱和戒毒企业视同小型、微型企业，提供由省级以上监狱管理局、戒毒管理局(含新疆生产建设兵团）出具的属于监狱企业的证明文件；残疾人福利性单位视同小型、微型企业，提供《残疾人福利性单位声明函》。</w:t>
      </w:r>
    </w:p>
    <w:p w14:paraId="543FEB82">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本项目采购标的对应的中小企业划分标准所属行业为：</w:t>
      </w:r>
      <w:r>
        <w:rPr>
          <w:rFonts w:hint="eastAsia" w:ascii="宋体" w:hAnsi="宋体" w:eastAsia="宋体" w:cs="宋体"/>
          <w:sz w:val="24"/>
          <w:szCs w:val="24"/>
          <w:u w:val="single"/>
        </w:rPr>
        <w:t xml:space="preserve"> 其他未列明行业</w:t>
      </w:r>
      <w:r>
        <w:rPr>
          <w:rFonts w:hint="eastAsia" w:ascii="宋体" w:hAnsi="宋体" w:eastAsia="宋体" w:cs="宋体"/>
          <w:b/>
          <w:bCs/>
          <w:sz w:val="24"/>
          <w:szCs w:val="24"/>
          <w:u w:val="single"/>
        </w:rPr>
        <w:t>。</w:t>
      </w:r>
    </w:p>
    <w:p w14:paraId="6A97900E">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（三）本项目的特定资格要求：</w:t>
      </w:r>
      <w:r>
        <w:rPr>
          <w:rFonts w:hint="eastAsia" w:ascii="宋体" w:hAnsi="宋体" w:eastAsia="宋体" w:cs="宋体"/>
          <w:b/>
          <w:bCs/>
          <w:i/>
          <w:iCs/>
          <w:sz w:val="24"/>
          <w:szCs w:val="24"/>
          <w:u w:val="single"/>
        </w:rPr>
        <w:t>无</w:t>
      </w:r>
      <w:r>
        <w:rPr>
          <w:rFonts w:hint="eastAsia" w:ascii="宋体" w:hAnsi="宋体" w:eastAsia="宋体" w:cs="宋体"/>
          <w:sz w:val="24"/>
          <w:szCs w:val="24"/>
        </w:rPr>
        <w:t>。</w:t>
      </w:r>
    </w:p>
    <w:p w14:paraId="0E4607D0">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（四）拒绝下述供应商参加本次采购活动</w:t>
      </w:r>
    </w:p>
    <w:p w14:paraId="0F13D746">
      <w:pPr>
        <w:snapToGrid w:val="0"/>
        <w:spacing w:line="360" w:lineRule="auto"/>
        <w:ind w:firstLine="480" w:firstLineChars="200"/>
        <w:rPr>
          <w:rFonts w:hint="eastAsia" w:ascii="宋体" w:hAnsi="宋体" w:eastAsia="宋体" w:cs="宋体"/>
          <w:sz w:val="24"/>
          <w:szCs w:val="32"/>
        </w:rPr>
      </w:pPr>
      <w:r>
        <w:rPr>
          <w:rFonts w:hint="eastAsia" w:ascii="宋体" w:hAnsi="宋体" w:eastAsia="宋体" w:cs="宋体"/>
          <w:sz w:val="24"/>
          <w:szCs w:val="32"/>
        </w:rPr>
        <w:t>1、凡为采购项目提供整体设计、规范编制或者项目管理、监理、检测等服务的供应商，不得再参加该采购项目的其他采购活动。</w:t>
      </w:r>
    </w:p>
    <w:p w14:paraId="40C73436">
      <w:pPr>
        <w:snapToGrid w:val="0"/>
        <w:spacing w:line="360" w:lineRule="auto"/>
        <w:ind w:firstLine="480" w:firstLineChars="200"/>
        <w:rPr>
          <w:rFonts w:hint="eastAsia" w:ascii="宋体" w:hAnsi="宋体" w:eastAsia="宋体" w:cs="宋体"/>
          <w:sz w:val="24"/>
          <w:szCs w:val="32"/>
        </w:rPr>
      </w:pPr>
      <w:r>
        <w:rPr>
          <w:rFonts w:hint="eastAsia" w:ascii="宋体" w:hAnsi="宋体" w:eastAsia="宋体" w:cs="宋体"/>
          <w:sz w:val="24"/>
          <w:szCs w:val="32"/>
        </w:rPr>
        <w:t>2、供应商单位负责人为同一人或者存在直接控股、管理关系的不同供应商，不得参加同一合同项下的采购活动。</w:t>
      </w:r>
    </w:p>
    <w:p w14:paraId="79590FB2">
      <w:pPr>
        <w:spacing w:line="360" w:lineRule="auto"/>
        <w:ind w:firstLine="480"/>
        <w:rPr>
          <w:rFonts w:hint="eastAsia" w:ascii="宋体" w:hAnsi="宋体" w:eastAsia="宋体" w:cs="宋体"/>
          <w:sz w:val="24"/>
          <w:szCs w:val="24"/>
        </w:rPr>
      </w:pPr>
      <w:r>
        <w:rPr>
          <w:rFonts w:hint="eastAsia" w:ascii="宋体" w:hAnsi="宋体" w:eastAsia="宋体" w:cs="宋体"/>
          <w:sz w:val="24"/>
          <w:szCs w:val="32"/>
        </w:rPr>
        <w:t>3、在磋商截止日前被“信用中国”网站(www.creditchina.gov.cn</w:t>
      </w:r>
      <w:r>
        <w:rPr>
          <w:rFonts w:hint="eastAsia" w:ascii="宋体" w:hAnsi="宋体" w:eastAsia="宋体" w:cs="宋体"/>
          <w:bCs/>
          <w:sz w:val="24"/>
        </w:rPr>
        <w:t>）</w:t>
      </w:r>
      <w:r>
        <w:rPr>
          <w:rFonts w:hint="eastAsia" w:ascii="宋体" w:hAnsi="宋体" w:eastAsia="宋体" w:cs="宋体"/>
          <w:sz w:val="24"/>
          <w:szCs w:val="32"/>
        </w:rPr>
        <w:t>、中国政府采购网(www.ccgp.gov.cn</w:t>
      </w:r>
      <w:r>
        <w:rPr>
          <w:rFonts w:hint="eastAsia" w:ascii="宋体" w:hAnsi="宋体" w:eastAsia="宋体" w:cs="宋体"/>
          <w:bCs/>
          <w:sz w:val="24"/>
        </w:rPr>
        <w:t>）</w:t>
      </w:r>
      <w:r>
        <w:rPr>
          <w:rFonts w:hint="eastAsia" w:ascii="宋体" w:hAnsi="宋体" w:eastAsia="宋体" w:cs="宋体"/>
          <w:sz w:val="24"/>
          <w:szCs w:val="32"/>
        </w:rPr>
        <w:t xml:space="preserve"> 列入失信被执行人、重大税收违法案件当事人、政府采购严重违法失信行为记录名单的供应商（须提供网页截图）</w:t>
      </w:r>
      <w:r>
        <w:rPr>
          <w:rFonts w:hint="eastAsia" w:ascii="宋体" w:hAnsi="宋体" w:eastAsia="宋体" w:cs="宋体"/>
          <w:sz w:val="24"/>
          <w:szCs w:val="24"/>
        </w:rPr>
        <w:t>。</w:t>
      </w:r>
    </w:p>
    <w:p w14:paraId="6BC7572F">
      <w:pPr>
        <w:tabs>
          <w:tab w:val="left" w:pos="7810"/>
        </w:tabs>
        <w:snapToGrid w:val="0"/>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三、获取采购文件</w:t>
      </w:r>
    </w:p>
    <w:p w14:paraId="6D0EDC5C">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1.时间：自</w:t>
      </w:r>
      <w:r>
        <w:rPr>
          <w:rFonts w:hint="eastAsia" w:ascii="宋体" w:hAnsi="宋体" w:eastAsia="宋体" w:cs="宋体"/>
          <w:sz w:val="24"/>
          <w:szCs w:val="24"/>
          <w:lang w:eastAsia="zh-CN"/>
        </w:rPr>
        <w:t>磋商文件公告</w:t>
      </w:r>
      <w:r>
        <w:rPr>
          <w:rFonts w:hint="eastAsia" w:ascii="宋体" w:hAnsi="宋体" w:eastAsia="宋体" w:cs="宋体"/>
          <w:sz w:val="24"/>
          <w:szCs w:val="24"/>
        </w:rPr>
        <w:t xml:space="preserve">发布之日起5个工作日 </w:t>
      </w:r>
    </w:p>
    <w:p w14:paraId="63398821">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2.地点：在“江苏政府采购网”下载</w:t>
      </w:r>
    </w:p>
    <w:p w14:paraId="5585D019">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eastAsia="zh-CN"/>
        </w:rPr>
        <w:t>获取</w:t>
      </w:r>
      <w:r>
        <w:rPr>
          <w:rFonts w:hint="eastAsia" w:ascii="宋体" w:hAnsi="宋体" w:eastAsia="宋体" w:cs="宋体"/>
          <w:sz w:val="24"/>
          <w:szCs w:val="24"/>
        </w:rPr>
        <w:t>方式：在苏采云电子交易平台http://jszfcg.jscz.gov.cn/jszc/login首页点击供应商→使用CA锁登录系统(新用户需进行“平台用户注册”)→“项目参与”进行登记，在“可参与项目”中选择“我要参与”，参与成功后到“已参与项目”界面中找到该项目下载电子文件</w:t>
      </w:r>
      <w:r>
        <w:rPr>
          <w:rFonts w:hint="eastAsia" w:ascii="宋体" w:hAnsi="宋体" w:eastAsia="宋体" w:cs="宋体"/>
          <w:sz w:val="24"/>
          <w:szCs w:val="24"/>
          <w:lang w:val="zh-CN"/>
        </w:rPr>
        <w:t>（文件后缀名为“.kedt”）</w:t>
      </w:r>
      <w:r>
        <w:rPr>
          <w:rFonts w:hint="eastAsia" w:ascii="宋体" w:hAnsi="宋体" w:eastAsia="宋体" w:cs="宋体"/>
          <w:sz w:val="24"/>
          <w:szCs w:val="24"/>
        </w:rPr>
        <w:t xml:space="preserve">并进行操作。 </w:t>
      </w:r>
    </w:p>
    <w:p w14:paraId="159C1759">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4.售价：</w:t>
      </w:r>
      <w:r>
        <w:rPr>
          <w:rFonts w:hint="eastAsia" w:ascii="宋体" w:hAnsi="宋体" w:cs="宋体"/>
          <w:sz w:val="24"/>
          <w:szCs w:val="24"/>
          <w:lang w:val="en-US" w:eastAsia="zh-CN"/>
        </w:rPr>
        <w:t>0.0</w:t>
      </w:r>
      <w:r>
        <w:rPr>
          <w:rFonts w:hint="eastAsia" w:ascii="宋体" w:hAnsi="宋体" w:eastAsia="宋体" w:cs="宋体"/>
          <w:sz w:val="24"/>
          <w:szCs w:val="24"/>
          <w:lang w:val="en-US" w:eastAsia="zh-CN"/>
        </w:rPr>
        <w:t>0</w:t>
      </w:r>
      <w:r>
        <w:rPr>
          <w:rFonts w:hint="eastAsia" w:ascii="宋体" w:hAnsi="宋体" w:eastAsia="宋体" w:cs="宋体"/>
          <w:sz w:val="24"/>
          <w:szCs w:val="24"/>
        </w:rPr>
        <w:t>元</w:t>
      </w:r>
    </w:p>
    <w:p w14:paraId="1EDEB78A">
      <w:pPr>
        <w:tabs>
          <w:tab w:val="left" w:pos="7810"/>
        </w:tabs>
        <w:snapToGrid w:val="0"/>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四、提交响应文件截止时间、开标时间和地点</w:t>
      </w:r>
    </w:p>
    <w:p w14:paraId="02CFCD0A">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1.截止时间</w:t>
      </w:r>
      <w:r>
        <w:rPr>
          <w:rFonts w:hint="eastAsia" w:ascii="宋体" w:hAnsi="宋体" w:eastAsia="宋体" w:cs="宋体"/>
          <w:sz w:val="24"/>
          <w:szCs w:val="24"/>
          <w:lang w:eastAsia="zh-CN"/>
        </w:rPr>
        <w:t>：202</w:t>
      </w:r>
      <w:r>
        <w:rPr>
          <w:rFonts w:hint="eastAsia" w:ascii="宋体" w:hAnsi="宋体" w:eastAsia="宋体" w:cs="宋体"/>
          <w:sz w:val="24"/>
          <w:szCs w:val="24"/>
          <w:lang w:val="en-US" w:eastAsia="zh-CN"/>
        </w:rPr>
        <w:t>6</w:t>
      </w:r>
      <w:r>
        <w:rPr>
          <w:rFonts w:hint="eastAsia" w:ascii="宋体" w:hAnsi="宋体" w:eastAsia="宋体" w:cs="宋体"/>
          <w:sz w:val="24"/>
          <w:szCs w:val="24"/>
          <w:lang w:eastAsia="zh-CN"/>
        </w:rPr>
        <w:t>年</w:t>
      </w:r>
      <w:r>
        <w:rPr>
          <w:rFonts w:hint="eastAsia" w:ascii="宋体" w:hAnsi="宋体" w:cs="宋体"/>
          <w:sz w:val="24"/>
          <w:szCs w:val="24"/>
          <w:lang w:val="en-US" w:eastAsia="zh-CN"/>
        </w:rPr>
        <w:t>8</w:t>
      </w:r>
      <w:r>
        <w:rPr>
          <w:rFonts w:hint="eastAsia" w:ascii="宋体" w:hAnsi="宋体" w:eastAsia="宋体" w:cs="宋体"/>
          <w:sz w:val="24"/>
          <w:szCs w:val="24"/>
        </w:rPr>
        <w:t>月</w:t>
      </w:r>
      <w:r>
        <w:rPr>
          <w:rFonts w:hint="eastAsia" w:ascii="宋体" w:hAnsi="宋体" w:cs="宋体"/>
          <w:sz w:val="24"/>
          <w:szCs w:val="24"/>
          <w:lang w:val="en-US" w:eastAsia="zh-CN"/>
        </w:rPr>
        <w:t>28</w:t>
      </w:r>
      <w:r>
        <w:rPr>
          <w:rFonts w:hint="eastAsia" w:ascii="宋体" w:hAnsi="宋体" w:eastAsia="宋体" w:cs="宋体"/>
          <w:sz w:val="24"/>
          <w:szCs w:val="24"/>
        </w:rPr>
        <w:t>日14点00分（北京时间）。</w:t>
      </w:r>
    </w:p>
    <w:p w14:paraId="23786D8B">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2.地点：江苏省政府采购交易系统（以下简称“苏采云系统”）网上开标大厅</w:t>
      </w:r>
    </w:p>
    <w:p w14:paraId="16F96EB8">
      <w:pPr>
        <w:tabs>
          <w:tab w:val="left" w:pos="7810"/>
        </w:tabs>
        <w:snapToGrid w:val="0"/>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五、公告期限</w:t>
      </w:r>
    </w:p>
    <w:p w14:paraId="55B059F6">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本次磋商公告期限为三个工作日。</w:t>
      </w:r>
    </w:p>
    <w:p w14:paraId="7A30867C">
      <w:pPr>
        <w:numPr>
          <w:ilvl w:val="0"/>
          <w:numId w:val="3"/>
        </w:numPr>
        <w:tabs>
          <w:tab w:val="left" w:pos="7810"/>
        </w:tabs>
        <w:snapToGrid w:val="0"/>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开启</w:t>
      </w:r>
    </w:p>
    <w:p w14:paraId="710F6532">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1.时间：2026年</w:t>
      </w:r>
      <w:r>
        <w:rPr>
          <w:rFonts w:hint="eastAsia" w:ascii="宋体" w:hAnsi="宋体" w:cs="宋体"/>
          <w:sz w:val="24"/>
          <w:szCs w:val="24"/>
          <w:lang w:val="en-US" w:eastAsia="zh-CN"/>
        </w:rPr>
        <w:t>8</w:t>
      </w:r>
      <w:r>
        <w:rPr>
          <w:rFonts w:hint="eastAsia" w:ascii="宋体" w:hAnsi="宋体" w:eastAsia="宋体" w:cs="宋体"/>
          <w:sz w:val="24"/>
          <w:szCs w:val="24"/>
        </w:rPr>
        <w:t>月</w:t>
      </w:r>
      <w:r>
        <w:rPr>
          <w:rFonts w:hint="eastAsia" w:ascii="宋体" w:hAnsi="宋体" w:cs="宋体"/>
          <w:sz w:val="24"/>
          <w:szCs w:val="24"/>
          <w:lang w:val="en-US" w:eastAsia="zh-CN"/>
        </w:rPr>
        <w:t>28</w:t>
      </w:r>
      <w:r>
        <w:rPr>
          <w:rFonts w:hint="eastAsia" w:ascii="宋体" w:hAnsi="宋体" w:eastAsia="宋体" w:cs="宋体"/>
          <w:sz w:val="24"/>
          <w:szCs w:val="24"/>
        </w:rPr>
        <w:t>日</w:t>
      </w:r>
      <w:r>
        <w:rPr>
          <w:rFonts w:hint="eastAsia" w:ascii="宋体" w:hAnsi="宋体" w:eastAsia="宋体" w:cs="宋体"/>
          <w:sz w:val="24"/>
          <w:szCs w:val="24"/>
          <w:lang w:val="en-US" w:eastAsia="zh-CN"/>
        </w:rPr>
        <w:t>下</w:t>
      </w:r>
      <w:r>
        <w:rPr>
          <w:rFonts w:hint="eastAsia" w:ascii="宋体" w:hAnsi="宋体" w:eastAsia="宋体" w:cs="宋体"/>
          <w:sz w:val="24"/>
          <w:szCs w:val="24"/>
        </w:rPr>
        <w:t>午</w:t>
      </w:r>
      <w:r>
        <w:rPr>
          <w:rFonts w:hint="eastAsia" w:ascii="宋体" w:hAnsi="宋体" w:eastAsia="宋体" w:cs="宋体"/>
          <w:sz w:val="24"/>
          <w:szCs w:val="24"/>
          <w:lang w:val="en-US" w:eastAsia="zh-CN"/>
        </w:rPr>
        <w:t>14</w:t>
      </w:r>
      <w:r>
        <w:rPr>
          <w:rFonts w:hint="eastAsia" w:ascii="宋体" w:hAnsi="宋体" w:eastAsia="宋体" w:cs="宋体"/>
          <w:sz w:val="24"/>
          <w:szCs w:val="24"/>
        </w:rPr>
        <w:t>：</w:t>
      </w:r>
      <w:r>
        <w:rPr>
          <w:rFonts w:hint="eastAsia" w:ascii="宋体" w:hAnsi="宋体" w:eastAsia="宋体" w:cs="宋体"/>
          <w:sz w:val="24"/>
          <w:szCs w:val="24"/>
          <w:lang w:val="en-US" w:eastAsia="zh-CN"/>
        </w:rPr>
        <w:t>0</w:t>
      </w:r>
      <w:r>
        <w:rPr>
          <w:rFonts w:hint="eastAsia" w:ascii="宋体" w:hAnsi="宋体" w:eastAsia="宋体" w:cs="宋体"/>
          <w:sz w:val="24"/>
          <w:szCs w:val="24"/>
        </w:rPr>
        <w:t>0</w:t>
      </w:r>
    </w:p>
    <w:p w14:paraId="405D21C5">
      <w:pPr>
        <w:adjustRightInd w:val="0"/>
        <w:snapToGrid w:val="0"/>
        <w:spacing w:line="360" w:lineRule="auto"/>
        <w:ind w:firstLine="480" w:firstLineChars="200"/>
        <w:rPr>
          <w:rFonts w:hint="eastAsia" w:ascii="宋体" w:hAnsi="宋体" w:eastAsia="宋体" w:cs="宋体"/>
          <w:b/>
          <w:bCs/>
          <w:sz w:val="24"/>
          <w:szCs w:val="24"/>
        </w:rPr>
      </w:pPr>
      <w:r>
        <w:rPr>
          <w:rFonts w:hint="eastAsia" w:ascii="宋体" w:hAnsi="宋体" w:eastAsia="宋体" w:cs="宋体"/>
          <w:sz w:val="24"/>
          <w:szCs w:val="24"/>
        </w:rPr>
        <w:t>2.地点：江苏省政府采购交易系统（以下简称“苏采云系统”）网上开标大厅</w:t>
      </w:r>
    </w:p>
    <w:p w14:paraId="41B18E5D">
      <w:pPr>
        <w:tabs>
          <w:tab w:val="left" w:pos="7810"/>
        </w:tabs>
        <w:snapToGrid w:val="0"/>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七、其他补充事宜</w:t>
      </w:r>
    </w:p>
    <w:p w14:paraId="23E5C74F">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1.本次采购不收取磋商保证金。</w:t>
      </w:r>
    </w:p>
    <w:p w14:paraId="08CA3D75">
      <w:pPr>
        <w:snapToGrid w:val="0"/>
        <w:spacing w:line="360" w:lineRule="auto"/>
        <w:ind w:firstLine="480" w:firstLineChars="200"/>
        <w:rPr>
          <w:rFonts w:hint="default" w:ascii="宋体" w:hAnsi="宋体" w:eastAsia="宋体" w:cs="宋体"/>
          <w:sz w:val="24"/>
          <w:szCs w:val="24"/>
          <w:lang w:val="en-US" w:eastAsia="zh-CN"/>
        </w:rPr>
      </w:pPr>
      <w:r>
        <w:rPr>
          <w:rFonts w:hint="eastAsia" w:ascii="宋体" w:hAnsi="宋体" w:eastAsia="宋体" w:cs="宋体"/>
          <w:sz w:val="24"/>
          <w:szCs w:val="24"/>
        </w:rPr>
        <w:t>2.</w:t>
      </w:r>
      <w:r>
        <w:rPr>
          <w:rFonts w:hint="eastAsia" w:ascii="宋体" w:hAnsi="宋体" w:eastAsia="宋体" w:cs="宋体"/>
          <w:sz w:val="24"/>
          <w:szCs w:val="24"/>
          <w:lang w:val="en-US" w:eastAsia="zh-CN"/>
        </w:rPr>
        <w:t>招标</w:t>
      </w:r>
      <w:r>
        <w:rPr>
          <w:rFonts w:hint="eastAsia" w:ascii="宋体" w:hAnsi="宋体" w:eastAsia="宋体" w:cs="宋体"/>
          <w:sz w:val="24"/>
          <w:szCs w:val="24"/>
        </w:rPr>
        <w:t>代理编号：JSZC-2026</w:t>
      </w:r>
      <w:r>
        <w:rPr>
          <w:rFonts w:hint="eastAsia" w:ascii="宋体" w:hAnsi="宋体" w:cs="宋体"/>
          <w:sz w:val="24"/>
          <w:szCs w:val="24"/>
          <w:lang w:val="en-US" w:eastAsia="zh-CN"/>
        </w:rPr>
        <w:t>07271325</w:t>
      </w:r>
    </w:p>
    <w:p w14:paraId="2D9FBA9F">
      <w:pPr>
        <w:snapToGrid w:val="0"/>
        <w:spacing w:line="360" w:lineRule="auto"/>
        <w:ind w:firstLine="480" w:firstLineChars="200"/>
        <w:rPr>
          <w:rFonts w:hint="eastAsia" w:ascii="宋体" w:hAnsi="宋体" w:eastAsia="宋体" w:cs="宋体"/>
          <w:sz w:val="24"/>
          <w:szCs w:val="24"/>
          <w:highlight w:val="yellow"/>
        </w:rPr>
      </w:pPr>
      <w:r>
        <w:rPr>
          <w:rFonts w:hint="eastAsia" w:ascii="宋体" w:hAnsi="宋体" w:eastAsia="宋体" w:cs="宋体"/>
          <w:sz w:val="24"/>
          <w:szCs w:val="24"/>
        </w:rPr>
        <w:t>3.现场勘察及答疑：本项目不组织现场勘查。</w:t>
      </w:r>
    </w:p>
    <w:p w14:paraId="5AE1EE63">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sz w:val="24"/>
          <w:szCs w:val="24"/>
        </w:rPr>
        <w:t>4.请各位供应商领取本次磋商文件后，认真阅读各项内容，进行必要的准备，按照磋商文件的要求详细填写和编制响应文件，并按以上确定的时间、地点准时参加磋商活动。</w:t>
      </w:r>
      <w:r>
        <w:rPr>
          <w:rFonts w:hint="eastAsia" w:ascii="宋体" w:hAnsi="宋体" w:eastAsia="宋体" w:cs="宋体"/>
          <w:bCs/>
          <w:sz w:val="24"/>
        </w:rPr>
        <w:t>有关本次磋商的事项若存在变动或修改，敬请及时关注“</w:t>
      </w:r>
      <w:r>
        <w:rPr>
          <w:rFonts w:hint="eastAsia" w:ascii="宋体" w:hAnsi="宋体" w:eastAsia="宋体" w:cs="宋体"/>
          <w:bCs/>
          <w:sz w:val="24"/>
          <w:szCs w:val="24"/>
        </w:rPr>
        <w:t>江苏政府采购网</w:t>
      </w:r>
      <w:r>
        <w:rPr>
          <w:rFonts w:hint="eastAsia" w:ascii="宋体" w:hAnsi="宋体" w:eastAsia="宋体" w:cs="宋体"/>
          <w:bCs/>
          <w:sz w:val="24"/>
        </w:rPr>
        <w:t>”发布的信息更正公告。</w:t>
      </w:r>
    </w:p>
    <w:p w14:paraId="41329DAD">
      <w:pPr>
        <w:snapToGrid w:val="0"/>
        <w:spacing w:line="360" w:lineRule="auto"/>
        <w:ind w:firstLine="480" w:firstLineChars="200"/>
        <w:rPr>
          <w:rFonts w:hint="eastAsia" w:ascii="宋体" w:hAnsi="宋体" w:eastAsia="宋体" w:cs="宋体"/>
          <w:bCs/>
          <w:sz w:val="24"/>
          <w:lang w:eastAsia="zh-CN"/>
        </w:rPr>
      </w:pPr>
      <w:r>
        <w:rPr>
          <w:rFonts w:hint="eastAsia" w:ascii="宋体" w:hAnsi="宋体" w:eastAsia="宋体" w:cs="宋体"/>
          <w:bCs/>
          <w:sz w:val="24"/>
          <w:lang w:val="en-US" w:eastAsia="zh-CN"/>
        </w:rPr>
        <w:t>5.</w:t>
      </w:r>
      <w:r>
        <w:rPr>
          <w:rFonts w:hint="eastAsia" w:ascii="宋体" w:hAnsi="宋体" w:eastAsia="宋体" w:cs="宋体"/>
          <w:bCs/>
          <w:sz w:val="24"/>
        </w:rPr>
        <w:t>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苏采云系统南京地区客服热线：025-83633744、025-83633743</w:t>
      </w:r>
      <w:r>
        <w:rPr>
          <w:rFonts w:hint="eastAsia" w:ascii="宋体" w:hAnsi="宋体" w:eastAsia="宋体" w:cs="宋体"/>
          <w:bCs/>
          <w:sz w:val="24"/>
          <w:lang w:eastAsia="zh-CN"/>
        </w:rPr>
        <w:t>。</w:t>
      </w:r>
    </w:p>
    <w:p w14:paraId="3B2B545D">
      <w:pPr>
        <w:adjustRightInd w:val="0"/>
        <w:snapToGrid w:val="0"/>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八、凡对本次采购提出询问，请按以下方式联系。</w:t>
      </w:r>
    </w:p>
    <w:p w14:paraId="0C7BC59C">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1.采购人信息</w:t>
      </w:r>
    </w:p>
    <w:p w14:paraId="322BF48E">
      <w:pPr>
        <w:adjustRightInd w:val="0"/>
        <w:snapToGrid w:val="0"/>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单位名称：</w:t>
      </w:r>
      <w:r>
        <w:rPr>
          <w:rFonts w:hint="eastAsia" w:ascii="宋体" w:hAnsi="宋体" w:eastAsia="宋体" w:cs="宋体"/>
          <w:sz w:val="24"/>
          <w:szCs w:val="24"/>
          <w:lang w:eastAsia="zh-CN"/>
        </w:rPr>
        <w:t>江苏省农业农村厅</w:t>
      </w:r>
    </w:p>
    <w:p w14:paraId="4139E081">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单位地址：南京市鼓楼区龙江小区月光广场8号</w:t>
      </w:r>
    </w:p>
    <w:p w14:paraId="292D7CB0">
      <w:pPr>
        <w:adjustRightInd w:val="0"/>
        <w:snapToGrid w:val="0"/>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联系人：</w:t>
      </w:r>
      <w:r>
        <w:rPr>
          <w:rFonts w:hint="eastAsia" w:ascii="宋体" w:hAnsi="宋体" w:cs="宋体"/>
          <w:sz w:val="24"/>
          <w:szCs w:val="24"/>
          <w:lang w:val="en-US" w:eastAsia="zh-CN"/>
        </w:rPr>
        <w:t>李老师</w:t>
      </w:r>
    </w:p>
    <w:p w14:paraId="1A029A06">
      <w:pPr>
        <w:adjustRightInd w:val="0"/>
        <w:snapToGrid w:val="0"/>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联系电话：</w:t>
      </w:r>
      <w:r>
        <w:rPr>
          <w:rFonts w:hint="eastAsia" w:ascii="宋体" w:hAnsi="宋体" w:cs="宋体"/>
          <w:sz w:val="24"/>
          <w:szCs w:val="24"/>
          <w:lang w:eastAsia="zh-CN"/>
        </w:rPr>
        <w:t>025-86263276</w:t>
      </w:r>
    </w:p>
    <w:p w14:paraId="314D59FD">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2.采购代理机构信息</w:t>
      </w:r>
    </w:p>
    <w:p w14:paraId="5708B7ED">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单位名称：江苏臻采招标代理有限公司</w:t>
      </w:r>
    </w:p>
    <w:p w14:paraId="27684160">
      <w:pPr>
        <w:adjustRightInd w:val="0"/>
        <w:snapToGrid w:val="0"/>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单位地址：</w:t>
      </w:r>
      <w:r>
        <w:rPr>
          <w:rFonts w:hint="eastAsia" w:ascii="宋体" w:hAnsi="宋体" w:cs="宋体"/>
          <w:sz w:val="24"/>
          <w:szCs w:val="24"/>
          <w:lang w:eastAsia="zh-CN"/>
        </w:rPr>
        <w:t>南京市秦淮区中和桥路1号（光华茂1号门）6楼6001室</w:t>
      </w:r>
    </w:p>
    <w:p w14:paraId="25A3F3AC">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联系人：徐工     </w:t>
      </w:r>
    </w:p>
    <w:p w14:paraId="55C768BB">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电话：025-85382797转8009</w:t>
      </w:r>
    </w:p>
    <w:p w14:paraId="792C15CF">
      <w:pPr>
        <w:pStyle w:val="29"/>
        <w:pageBreakBefore/>
        <w:spacing w:after="317"/>
        <w:rPr>
          <w:rFonts w:hint="eastAsia" w:ascii="宋体" w:hAnsi="宋体" w:eastAsia="宋体" w:cs="宋体"/>
        </w:rPr>
      </w:pPr>
      <w:bookmarkStart w:id="21" w:name="_Toc14178"/>
      <w:bookmarkStart w:id="22" w:name="_Toc14414"/>
      <w:bookmarkStart w:id="23" w:name="_Toc24653"/>
      <w:bookmarkStart w:id="24" w:name="_Toc25811"/>
      <w:bookmarkStart w:id="25" w:name="_Toc12957"/>
      <w:bookmarkStart w:id="26" w:name="_Toc29925"/>
      <w:r>
        <w:rPr>
          <w:rFonts w:hint="eastAsia" w:ascii="宋体" w:hAnsi="宋体" w:eastAsia="宋体" w:cs="宋体"/>
        </w:rPr>
        <w:t>第二章 磋商须知</w:t>
      </w:r>
      <w:bookmarkEnd w:id="21"/>
      <w:bookmarkEnd w:id="22"/>
      <w:bookmarkEnd w:id="23"/>
      <w:bookmarkEnd w:id="24"/>
      <w:bookmarkEnd w:id="25"/>
      <w:bookmarkEnd w:id="26"/>
    </w:p>
    <w:p w14:paraId="1041C942">
      <w:pPr>
        <w:pStyle w:val="30"/>
        <w:spacing w:line="360" w:lineRule="auto"/>
        <w:jc w:val="both"/>
        <w:textAlignment w:val="baseline"/>
        <w:rPr>
          <w:rFonts w:hint="eastAsia" w:ascii="宋体" w:hAnsi="宋体" w:eastAsia="宋体" w:cs="宋体"/>
        </w:rPr>
      </w:pPr>
      <w:r>
        <w:rPr>
          <w:rFonts w:hint="eastAsia" w:ascii="宋体" w:hAnsi="宋体" w:eastAsia="宋体" w:cs="宋体"/>
        </w:rPr>
        <w:t>一、总则</w:t>
      </w:r>
      <w:bookmarkEnd w:id="12"/>
      <w:bookmarkEnd w:id="13"/>
      <w:bookmarkEnd w:id="14"/>
      <w:bookmarkEnd w:id="15"/>
      <w:bookmarkEnd w:id="16"/>
      <w:bookmarkEnd w:id="17"/>
      <w:bookmarkEnd w:id="18"/>
      <w:bookmarkEnd w:id="19"/>
      <w:bookmarkEnd w:id="20"/>
    </w:p>
    <w:p w14:paraId="155FA047">
      <w:pPr>
        <w:pStyle w:val="44"/>
        <w:spacing w:before="0" w:beforeLines="0" w:after="0" w:afterLines="0" w:line="360" w:lineRule="auto"/>
        <w:ind w:firstLine="422"/>
        <w:rPr>
          <w:rFonts w:hint="eastAsia" w:ascii="宋体" w:hAnsi="宋体" w:eastAsia="宋体" w:cs="宋体"/>
          <w:color w:val="000000"/>
          <w:sz w:val="24"/>
          <w:szCs w:val="24"/>
        </w:rPr>
      </w:pPr>
      <w:r>
        <w:rPr>
          <w:rFonts w:hint="eastAsia" w:ascii="宋体" w:hAnsi="宋体" w:eastAsia="宋体" w:cs="宋体"/>
          <w:color w:val="000000"/>
          <w:sz w:val="24"/>
          <w:szCs w:val="24"/>
        </w:rPr>
        <w:t>1.采购方式</w:t>
      </w:r>
    </w:p>
    <w:p w14:paraId="59808BD5">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1.1 本次政府采购活动采取竞争性磋商(以下简称“磋商”)方式，本文件仅适用于采购公告中所述项目。</w:t>
      </w:r>
    </w:p>
    <w:p w14:paraId="4B5F98EB">
      <w:pPr>
        <w:pStyle w:val="44"/>
        <w:spacing w:before="0" w:beforeLines="0" w:after="0" w:afterLines="0" w:line="360" w:lineRule="auto"/>
        <w:ind w:firstLine="422"/>
        <w:rPr>
          <w:rFonts w:hint="eastAsia" w:ascii="宋体" w:hAnsi="宋体" w:eastAsia="宋体" w:cs="宋体"/>
          <w:color w:val="000000"/>
          <w:sz w:val="24"/>
          <w:szCs w:val="24"/>
        </w:rPr>
      </w:pPr>
      <w:r>
        <w:rPr>
          <w:rFonts w:hint="eastAsia" w:ascii="宋体" w:hAnsi="宋体" w:eastAsia="宋体" w:cs="宋体"/>
          <w:color w:val="000000"/>
          <w:sz w:val="24"/>
          <w:szCs w:val="24"/>
        </w:rPr>
        <w:t>2.合格的供应商</w:t>
      </w:r>
    </w:p>
    <w:p w14:paraId="2AE81920">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2.1 满足采购公告对供应商资格要求的规定。</w:t>
      </w:r>
    </w:p>
    <w:p w14:paraId="5375F061">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2.2 满足磋商文件规定的实质性要求和条件。</w:t>
      </w:r>
    </w:p>
    <w:p w14:paraId="3CA71CB2">
      <w:pPr>
        <w:pStyle w:val="44"/>
        <w:spacing w:before="0" w:beforeLines="0" w:after="0" w:afterLines="0" w:line="360" w:lineRule="auto"/>
        <w:ind w:firstLine="422"/>
        <w:rPr>
          <w:rFonts w:hint="eastAsia" w:ascii="宋体" w:hAnsi="宋体" w:eastAsia="宋体" w:cs="宋体"/>
          <w:color w:val="000000"/>
          <w:sz w:val="24"/>
          <w:szCs w:val="24"/>
        </w:rPr>
      </w:pPr>
      <w:r>
        <w:rPr>
          <w:rFonts w:hint="eastAsia" w:ascii="宋体" w:hAnsi="宋体" w:eastAsia="宋体" w:cs="宋体"/>
          <w:color w:val="000000"/>
          <w:sz w:val="24"/>
          <w:szCs w:val="24"/>
        </w:rPr>
        <w:t>3.适用法律</w:t>
      </w:r>
    </w:p>
    <w:p w14:paraId="59B1CA34">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3.1 本次采购及由此产生的合同受中华人民共和国有关的法律法规制约和保护。</w:t>
      </w:r>
    </w:p>
    <w:p w14:paraId="21036F3E">
      <w:pPr>
        <w:pStyle w:val="44"/>
        <w:spacing w:before="0" w:beforeLines="0" w:after="0" w:afterLines="0" w:line="360" w:lineRule="auto"/>
        <w:ind w:firstLine="422"/>
        <w:rPr>
          <w:rFonts w:hint="eastAsia" w:ascii="宋体" w:hAnsi="宋体" w:eastAsia="宋体" w:cs="宋体"/>
          <w:color w:val="000000"/>
          <w:sz w:val="24"/>
          <w:szCs w:val="24"/>
        </w:rPr>
      </w:pPr>
      <w:r>
        <w:rPr>
          <w:rFonts w:hint="eastAsia" w:ascii="宋体" w:hAnsi="宋体" w:eastAsia="宋体" w:cs="宋体"/>
          <w:color w:val="000000"/>
          <w:sz w:val="24"/>
          <w:szCs w:val="24"/>
        </w:rPr>
        <w:t>4.磋商费用</w:t>
      </w:r>
    </w:p>
    <w:p w14:paraId="6CAACD1F">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4.1 供应商应自行承担所有与参加采购有关的费用，无论采购过程中的做法和结果如何，采购代理机构在任何情况下均无义务和责任承担这些费用。</w:t>
      </w:r>
    </w:p>
    <w:p w14:paraId="73FB5354">
      <w:pPr>
        <w:pStyle w:val="44"/>
        <w:spacing w:before="0" w:beforeLines="0" w:after="0" w:afterLines="0" w:line="360" w:lineRule="auto"/>
        <w:ind w:firstLine="422"/>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4.2代理费用收取方式及标准：按以下第4.2.2种方式执行 </w:t>
      </w:r>
    </w:p>
    <w:p w14:paraId="5EE25239">
      <w:pPr>
        <w:pStyle w:val="44"/>
        <w:spacing w:before="0" w:beforeLines="0" w:after="0" w:afterLines="0" w:line="360" w:lineRule="auto"/>
        <w:ind w:firstLine="422"/>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4.2.1无需支付；</w:t>
      </w:r>
    </w:p>
    <w:p w14:paraId="481A4335">
      <w:pPr>
        <w:shd w:val="clear" w:color="auto" w:fill="auto"/>
        <w:snapToGrid w:val="0"/>
        <w:spacing w:line="360" w:lineRule="auto"/>
        <w:ind w:firstLine="480" w:firstLineChars="200"/>
        <w:rPr>
          <w:rFonts w:hint="eastAsia" w:ascii="宋体" w:hAnsi="宋体" w:eastAsia="宋体" w:cs="宋体"/>
          <w:bCs/>
          <w:color w:val="000000"/>
          <w:sz w:val="24"/>
          <w:highlight w:val="none"/>
        </w:rPr>
      </w:pPr>
      <w:r>
        <w:rPr>
          <w:rFonts w:hint="eastAsia" w:ascii="宋体" w:hAnsi="宋体" w:eastAsia="宋体" w:cs="宋体"/>
          <w:b w:val="0"/>
          <w:bCs/>
          <w:color w:val="000000"/>
          <w:sz w:val="24"/>
          <w:szCs w:val="24"/>
        </w:rPr>
        <w:t>4.2.2</w:t>
      </w:r>
      <w:r>
        <w:rPr>
          <w:rFonts w:hint="eastAsia" w:ascii="宋体" w:hAnsi="宋体" w:cs="宋体"/>
          <w:b w:val="0"/>
          <w:bCs/>
          <w:color w:val="000000"/>
          <w:sz w:val="24"/>
          <w:szCs w:val="24"/>
          <w:lang w:val="en-US" w:eastAsia="zh-CN"/>
        </w:rPr>
        <w:t>代理服务费</w:t>
      </w:r>
      <w:r>
        <w:rPr>
          <w:rFonts w:hint="eastAsia" w:ascii="宋体" w:hAnsi="宋体" w:eastAsia="宋体" w:cs="宋体"/>
          <w:b w:val="0"/>
          <w:bCs/>
          <w:color w:val="000000"/>
          <w:sz w:val="24"/>
          <w:szCs w:val="24"/>
        </w:rPr>
        <w:t>：</w:t>
      </w:r>
      <w:r>
        <w:rPr>
          <w:rFonts w:hint="eastAsia" w:ascii="宋体" w:hAnsi="宋体" w:eastAsia="宋体" w:cs="宋体"/>
          <w:bCs/>
          <w:color w:val="000000" w:themeColor="text1"/>
          <w:sz w:val="24"/>
          <w:szCs w:val="24"/>
          <w14:textFill>
            <w14:solidFill>
              <w14:schemeClr w14:val="tx1"/>
            </w14:solidFill>
          </w14:textFill>
        </w:rPr>
        <w:t>本次采购代理服务费</w:t>
      </w:r>
      <w:r>
        <w:rPr>
          <w:rFonts w:hint="eastAsia" w:ascii="宋体" w:hAnsi="宋体" w:cs="宋体"/>
          <w:bCs/>
          <w:color w:val="000000" w:themeColor="text1"/>
          <w:sz w:val="24"/>
          <w:szCs w:val="24"/>
          <w:lang w:eastAsia="zh-CN"/>
          <w14:textFill>
            <w14:solidFill>
              <w14:schemeClr w14:val="tx1"/>
            </w14:solidFill>
          </w14:textFill>
        </w:rPr>
        <w:t>由采购人支付，</w:t>
      </w:r>
      <w:r>
        <w:rPr>
          <w:rFonts w:hint="eastAsia" w:ascii="宋体" w:hAnsi="宋体" w:eastAsia="宋体" w:cs="宋体"/>
          <w:bCs/>
          <w:color w:val="000000" w:themeColor="text1"/>
          <w:sz w:val="24"/>
          <w:szCs w:val="24"/>
          <w:lang w:val="en-US" w:eastAsia="zh-CN"/>
          <w14:textFill>
            <w14:solidFill>
              <w14:schemeClr w14:val="tx1"/>
            </w14:solidFill>
          </w14:textFill>
        </w:rPr>
        <w:t>按照江苏省政府采购协会2024年11月20日印发的《江苏省政府采购代理服务收费指导意见》明确的采购代理常规服务收费指导价计取，代理服务费为</w:t>
      </w:r>
      <w:r>
        <w:rPr>
          <w:rFonts w:hint="eastAsia" w:ascii="宋体" w:hAnsi="宋体" w:cs="宋体"/>
          <w:bCs/>
          <w:color w:val="000000" w:themeColor="text1"/>
          <w:sz w:val="24"/>
          <w:szCs w:val="24"/>
          <w:lang w:val="en-US" w:eastAsia="zh-CN"/>
          <w14:textFill>
            <w14:solidFill>
              <w14:schemeClr w14:val="tx1"/>
            </w14:solidFill>
          </w14:textFill>
        </w:rPr>
        <w:t>20000元</w:t>
      </w:r>
      <w:r>
        <w:rPr>
          <w:rFonts w:hint="eastAsia" w:ascii="宋体" w:hAnsi="宋体" w:eastAsia="宋体" w:cs="宋体"/>
          <w:bCs/>
          <w:color w:val="000000" w:themeColor="text1"/>
          <w:sz w:val="24"/>
          <w:szCs w:val="24"/>
          <w:lang w:val="en-US" w:eastAsia="zh-CN"/>
          <w14:textFill>
            <w14:solidFill>
              <w14:schemeClr w14:val="tx1"/>
            </w14:solidFill>
          </w14:textFill>
        </w:rPr>
        <w:t>。</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自代理服务履约完毕之日起 30 日内支付给代理机构</w:t>
      </w:r>
      <w:r>
        <w:rPr>
          <w:rFonts w:hint="eastAsia" w:ascii="宋体" w:hAnsi="宋体" w:eastAsia="宋体" w:cs="宋体"/>
          <w:bCs/>
          <w:color w:val="000000" w:themeColor="text1"/>
          <w:sz w:val="24"/>
          <w:szCs w:val="24"/>
          <w:highlight w:val="none"/>
          <w14:textFill>
            <w14:solidFill>
              <w14:schemeClr w14:val="tx1"/>
            </w14:solidFill>
          </w14:textFill>
        </w:rPr>
        <w:t>。</w:t>
      </w:r>
      <w:r>
        <w:rPr>
          <w:rFonts w:hint="eastAsia" w:ascii="宋体" w:hAnsi="宋体" w:eastAsia="宋体" w:cs="宋体"/>
          <w:bCs/>
          <w:color w:val="000000" w:themeColor="text1"/>
          <w:sz w:val="24"/>
          <w:szCs w:val="24"/>
          <w14:textFill>
            <w14:solidFill>
              <w14:schemeClr w14:val="tx1"/>
            </w14:solidFill>
          </w14:textFill>
        </w:rPr>
        <w:t>根据财库〔2018〕2号《政府采购代理机构管理暂行办法》第十五条之规定，成交供应商凭《成交通知书》与采购方签订合同。</w:t>
      </w:r>
    </w:p>
    <w:p w14:paraId="387F92FA">
      <w:pPr>
        <w:shd w:val="clear" w:color="auto" w:fill="auto"/>
        <w:snapToGrid w:val="0"/>
        <w:spacing w:line="360" w:lineRule="auto"/>
        <w:ind w:firstLine="482" w:firstLineChars="200"/>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5、磋商文件的约束力</w:t>
      </w:r>
    </w:p>
    <w:p w14:paraId="254D29C0">
      <w:pPr>
        <w:shd w:val="clear" w:color="auto" w:fill="auto"/>
        <w:snapToGrid w:val="0"/>
        <w:spacing w:line="360" w:lineRule="auto"/>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供应商一旦购买了本磋商文件并决定参加磋商，即被认为接受了本磋商文件的规定和约束。</w:t>
      </w:r>
    </w:p>
    <w:p w14:paraId="6D4404B4">
      <w:pPr>
        <w:shd w:val="clear" w:color="auto" w:fill="auto"/>
        <w:snapToGrid w:val="0"/>
        <w:spacing w:line="360" w:lineRule="auto"/>
        <w:ind w:firstLine="562" w:firstLineChars="200"/>
        <w:outlineLvl w:val="1"/>
        <w:rPr>
          <w:rFonts w:hint="eastAsia" w:ascii="宋体" w:hAnsi="宋体" w:eastAsia="宋体" w:cs="宋体"/>
          <w:b/>
          <w:color w:val="000000"/>
          <w:sz w:val="28"/>
          <w:szCs w:val="22"/>
          <w:highlight w:val="none"/>
        </w:rPr>
      </w:pPr>
      <w:bookmarkStart w:id="27" w:name="_Toc462564072"/>
      <w:bookmarkStart w:id="28" w:name="_Toc27104"/>
      <w:bookmarkStart w:id="29" w:name="_Toc31687"/>
      <w:bookmarkStart w:id="30" w:name="_Toc61149553"/>
      <w:bookmarkStart w:id="31" w:name="_Toc14577351"/>
      <w:bookmarkStart w:id="32" w:name="_Toc7399"/>
      <w:bookmarkStart w:id="33" w:name="_Toc443"/>
      <w:bookmarkStart w:id="34" w:name="_Toc8875"/>
      <w:bookmarkStart w:id="35" w:name="_Toc17306"/>
      <w:bookmarkStart w:id="36" w:name="_Toc513029213"/>
      <w:r>
        <w:rPr>
          <w:rFonts w:hint="eastAsia" w:ascii="宋体" w:hAnsi="宋体" w:eastAsia="宋体" w:cs="宋体"/>
          <w:b/>
          <w:color w:val="000000"/>
          <w:sz w:val="28"/>
          <w:szCs w:val="22"/>
          <w:highlight w:val="none"/>
        </w:rPr>
        <w:t>二、磋商响应文件的编制</w:t>
      </w:r>
      <w:bookmarkEnd w:id="27"/>
      <w:bookmarkEnd w:id="28"/>
      <w:bookmarkEnd w:id="29"/>
      <w:bookmarkEnd w:id="30"/>
      <w:bookmarkEnd w:id="31"/>
      <w:bookmarkEnd w:id="32"/>
      <w:bookmarkEnd w:id="33"/>
      <w:bookmarkEnd w:id="34"/>
      <w:bookmarkEnd w:id="35"/>
      <w:bookmarkEnd w:id="36"/>
    </w:p>
    <w:p w14:paraId="3155FF87">
      <w:pPr>
        <w:pStyle w:val="44"/>
        <w:spacing w:before="0" w:beforeLines="0" w:after="0" w:afterLines="0" w:line="360" w:lineRule="auto"/>
        <w:ind w:firstLine="422"/>
        <w:rPr>
          <w:rFonts w:hint="eastAsia" w:ascii="宋体" w:hAnsi="宋体" w:eastAsia="宋体" w:cs="宋体"/>
          <w:color w:val="000000"/>
          <w:sz w:val="24"/>
          <w:szCs w:val="24"/>
        </w:rPr>
      </w:pPr>
      <w:r>
        <w:rPr>
          <w:rFonts w:hint="eastAsia" w:ascii="宋体" w:hAnsi="宋体" w:eastAsia="宋体" w:cs="宋体"/>
          <w:color w:val="000000"/>
          <w:sz w:val="24"/>
          <w:szCs w:val="24"/>
        </w:rPr>
        <w:t>6.磋商文件构成</w:t>
      </w:r>
    </w:p>
    <w:p w14:paraId="1C4013FA">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6.1 磋商文件由以下部分组成：</w:t>
      </w:r>
    </w:p>
    <w:p w14:paraId="4BEBBD60">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（1）磋商邀请</w:t>
      </w:r>
    </w:p>
    <w:p w14:paraId="07EF9431">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（2）供应商须知</w:t>
      </w:r>
    </w:p>
    <w:p w14:paraId="4D123DDB">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（3）合同文本</w:t>
      </w:r>
    </w:p>
    <w:p w14:paraId="54A666AA">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（4）采购需求</w:t>
      </w:r>
    </w:p>
    <w:p w14:paraId="0F9FEC14">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（5）评审方法与评审标准</w:t>
      </w:r>
    </w:p>
    <w:p w14:paraId="7C2A568F">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（6）响应文件格式</w:t>
      </w:r>
    </w:p>
    <w:p w14:paraId="105B1949">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供应商应仔细检查磋商文件是否齐全，如有缺漏请立即与采购代理机构联系。</w:t>
      </w:r>
    </w:p>
    <w:p w14:paraId="48F7D39E">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171063DC">
      <w:pPr>
        <w:pStyle w:val="44"/>
        <w:spacing w:before="0" w:beforeLines="0" w:after="0" w:afterLines="0" w:line="360" w:lineRule="auto"/>
        <w:ind w:firstLine="422"/>
        <w:rPr>
          <w:rFonts w:hint="eastAsia" w:ascii="宋体" w:hAnsi="宋体" w:eastAsia="宋体" w:cs="宋体"/>
          <w:color w:val="000000"/>
          <w:sz w:val="24"/>
          <w:szCs w:val="24"/>
        </w:rPr>
      </w:pPr>
      <w:r>
        <w:rPr>
          <w:rFonts w:hint="eastAsia" w:ascii="宋体" w:hAnsi="宋体" w:eastAsia="宋体" w:cs="宋体"/>
          <w:color w:val="000000"/>
          <w:sz w:val="24"/>
          <w:szCs w:val="24"/>
        </w:rPr>
        <w:t>7.磋商文件的澄清</w:t>
      </w:r>
    </w:p>
    <w:p w14:paraId="354A5240">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7.1 任何要求对磋商文件进行澄清的供应商，应在磋商截止期五日前按</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公告中的通讯地址，以书面形式通知采购代理机构。</w:t>
      </w:r>
    </w:p>
    <w:p w14:paraId="35949EF3">
      <w:pPr>
        <w:pStyle w:val="44"/>
        <w:spacing w:before="0" w:beforeLines="0" w:after="0" w:afterLines="0" w:line="360" w:lineRule="auto"/>
        <w:ind w:firstLine="422"/>
        <w:rPr>
          <w:rFonts w:hint="eastAsia" w:ascii="宋体" w:hAnsi="宋体" w:eastAsia="宋体" w:cs="宋体"/>
          <w:color w:val="000000"/>
          <w:sz w:val="24"/>
          <w:szCs w:val="24"/>
        </w:rPr>
      </w:pPr>
      <w:r>
        <w:rPr>
          <w:rFonts w:hint="eastAsia" w:ascii="宋体" w:hAnsi="宋体" w:eastAsia="宋体" w:cs="宋体"/>
          <w:color w:val="000000"/>
          <w:sz w:val="24"/>
          <w:szCs w:val="24"/>
        </w:rPr>
        <w:t>8.磋商文件的修改</w:t>
      </w:r>
    </w:p>
    <w:p w14:paraId="04DDF597">
      <w:pPr>
        <w:snapToGrid w:val="0"/>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8.1采购代理机构可以以更正公告的形式，对已发出的磋商文件进行必要的澄清或者修改。澄清或者修改的内容可能影响响应文件编制的，更正公告应在提交首次响应文件截止时间至少5日前发出；不足5日的，采购代理机构应当顺延提交首次响应文件截止时间。</w:t>
      </w:r>
    </w:p>
    <w:p w14:paraId="1F4193CD">
      <w:pPr>
        <w:snapToGrid w:val="0"/>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8.2在响应文件提交截止时间前，采购代理机构可以对磋商文件进行修改。</w:t>
      </w:r>
    </w:p>
    <w:p w14:paraId="6E050204">
      <w:pPr>
        <w:snapToGrid w:val="0"/>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8.3采购代理机构有权按照法定的要求推迟响应文件递交截止日期和磋商日期。</w:t>
      </w:r>
    </w:p>
    <w:p w14:paraId="52CA442B">
      <w:pPr>
        <w:snapToGrid w:val="0"/>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8.4磋商文件的修改将在原公告媒体上发布更正公告，更正公告内容将作为磋商文件的组成部分，并对供应商具有约束力，发布的更正公告视同为以书面形式通知所有获取招标文件的潜在投标人。</w:t>
      </w:r>
    </w:p>
    <w:p w14:paraId="76B068CB">
      <w:pPr>
        <w:shd w:val="clear" w:color="auto" w:fill="auto"/>
        <w:snapToGrid w:val="0"/>
        <w:spacing w:line="360" w:lineRule="auto"/>
        <w:ind w:firstLine="480" w:firstLineChars="200"/>
        <w:rPr>
          <w:rFonts w:hint="eastAsia" w:ascii="宋体" w:hAnsi="宋体" w:eastAsia="宋体" w:cs="宋体"/>
          <w:bCs/>
          <w:color w:val="000000"/>
          <w:sz w:val="24"/>
          <w:highlight w:val="none"/>
        </w:rPr>
      </w:pPr>
      <w:r>
        <w:rPr>
          <w:rFonts w:hint="eastAsia" w:ascii="宋体" w:hAnsi="宋体" w:eastAsia="宋体" w:cs="宋体"/>
          <w:color w:val="000000"/>
          <w:sz w:val="24"/>
          <w:szCs w:val="24"/>
          <w:highlight w:val="none"/>
        </w:rPr>
        <w:t>8.5供应商应及时登录“苏采云”系统获取澄清答疑文件（修改后磋商文件），如因供应商原因未能及时下载澄清和修改后的磋商文件，由此造成的相关责任，由供应商承担</w:t>
      </w:r>
      <w:r>
        <w:rPr>
          <w:rFonts w:hint="eastAsia" w:ascii="宋体" w:hAnsi="宋体" w:eastAsia="宋体" w:cs="宋体"/>
          <w:bCs/>
          <w:color w:val="000000"/>
          <w:sz w:val="24"/>
          <w:highlight w:val="none"/>
        </w:rPr>
        <w:t>。</w:t>
      </w:r>
    </w:p>
    <w:p w14:paraId="4AF46A73">
      <w:pPr>
        <w:snapToGrid w:val="0"/>
        <w:spacing w:line="360" w:lineRule="auto"/>
        <w:ind w:firstLine="562" w:firstLineChars="200"/>
        <w:outlineLvl w:val="1"/>
        <w:rPr>
          <w:rFonts w:hint="eastAsia" w:ascii="宋体" w:hAnsi="宋体" w:eastAsia="宋体" w:cs="宋体"/>
          <w:b/>
          <w:color w:val="000000"/>
          <w:sz w:val="28"/>
          <w:szCs w:val="22"/>
        </w:rPr>
      </w:pPr>
      <w:bookmarkStart w:id="37" w:name="_Toc32556"/>
      <w:bookmarkStart w:id="38" w:name="_Toc14295"/>
      <w:bookmarkStart w:id="39" w:name="_Toc14484_WPSOffice_Level2"/>
      <w:bookmarkStart w:id="40" w:name="_Toc20921"/>
      <w:bookmarkStart w:id="41" w:name="_Toc19091"/>
      <w:bookmarkStart w:id="42" w:name="_Toc18678"/>
      <w:bookmarkStart w:id="43" w:name="_Toc9965"/>
      <w:bookmarkStart w:id="44" w:name="_Toc29996"/>
      <w:r>
        <w:rPr>
          <w:rFonts w:hint="eastAsia" w:ascii="宋体" w:hAnsi="宋体" w:eastAsia="宋体" w:cs="宋体"/>
          <w:b/>
          <w:color w:val="000000"/>
          <w:sz w:val="28"/>
          <w:szCs w:val="22"/>
          <w:lang w:eastAsia="zh-CN"/>
        </w:rPr>
        <w:t>三、</w:t>
      </w:r>
      <w:bookmarkEnd w:id="37"/>
      <w:bookmarkEnd w:id="38"/>
      <w:bookmarkEnd w:id="39"/>
      <w:bookmarkEnd w:id="40"/>
      <w:bookmarkEnd w:id="41"/>
      <w:bookmarkEnd w:id="42"/>
      <w:bookmarkEnd w:id="43"/>
      <w:bookmarkEnd w:id="44"/>
      <w:r>
        <w:rPr>
          <w:rFonts w:hint="eastAsia" w:ascii="宋体" w:hAnsi="宋体" w:eastAsia="宋体" w:cs="宋体"/>
          <w:b/>
          <w:color w:val="000000"/>
          <w:sz w:val="28"/>
          <w:szCs w:val="22"/>
        </w:rPr>
        <w:t>响应文件的编制</w:t>
      </w:r>
    </w:p>
    <w:p w14:paraId="2A23E5A9">
      <w:pPr>
        <w:pStyle w:val="44"/>
        <w:spacing w:before="0" w:beforeLines="0" w:after="0" w:afterLines="0" w:line="360" w:lineRule="auto"/>
        <w:ind w:firstLine="422"/>
        <w:rPr>
          <w:rFonts w:hint="eastAsia" w:ascii="宋体" w:hAnsi="宋体" w:eastAsia="宋体" w:cs="宋体"/>
          <w:color w:val="000000"/>
          <w:sz w:val="24"/>
          <w:szCs w:val="24"/>
        </w:rPr>
      </w:pPr>
      <w:r>
        <w:rPr>
          <w:rFonts w:hint="eastAsia" w:ascii="宋体" w:hAnsi="宋体" w:eastAsia="宋体" w:cs="宋体"/>
          <w:color w:val="000000"/>
          <w:sz w:val="24"/>
          <w:szCs w:val="24"/>
        </w:rPr>
        <w:t>9.响应文件的语言及度量衡单位</w:t>
      </w:r>
    </w:p>
    <w:p w14:paraId="385F786C">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highlight w:val="none"/>
        </w:rPr>
        <w:t>9.1 供应商提交的响应文件以及供应商与采购代理机构就有关磋商的所有来往通知、函件和文件均应使用</w:t>
      </w:r>
      <w:r>
        <w:rPr>
          <w:rFonts w:hint="eastAsia" w:ascii="宋体" w:hAnsi="宋体" w:eastAsia="宋体" w:cs="宋体"/>
          <w:b/>
          <w:bCs/>
          <w:color w:val="000000"/>
          <w:sz w:val="24"/>
          <w:szCs w:val="24"/>
        </w:rPr>
        <w:t>简体中文</w:t>
      </w:r>
      <w:r>
        <w:rPr>
          <w:rFonts w:hint="eastAsia" w:ascii="宋体" w:hAnsi="宋体" w:eastAsia="宋体" w:cs="宋体"/>
          <w:color w:val="000000"/>
          <w:sz w:val="24"/>
          <w:szCs w:val="24"/>
        </w:rPr>
        <w:t>。</w:t>
      </w:r>
    </w:p>
    <w:p w14:paraId="6EEC72AF">
      <w:pPr>
        <w:spacing w:beforeLines="0" w:afterLines="0" w:line="360" w:lineRule="auto"/>
        <w:ind w:left="479" w:leftChars="228" w:firstLine="0" w:firstLineChars="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9.2 除技术性能另有规定外，响应文件所使用的度量衡单位，均须采用国家法定计量单位。</w:t>
      </w:r>
      <w:r>
        <w:rPr>
          <w:rFonts w:hint="eastAsia" w:ascii="宋体" w:hAnsi="宋体" w:eastAsia="宋体" w:cs="宋体"/>
          <w:b/>
          <w:color w:val="000000"/>
          <w:kern w:val="2"/>
          <w:sz w:val="24"/>
          <w:szCs w:val="24"/>
          <w:lang w:val="en-US" w:eastAsia="zh-CN" w:bidi="ar-SA"/>
        </w:rPr>
        <w:t>10.响应文件构成</w:t>
      </w:r>
    </w:p>
    <w:p w14:paraId="00320C96">
      <w:pPr>
        <w:spacing w:beforeLines="0" w:afterLines="0" w:line="360" w:lineRule="auto"/>
        <w:ind w:firstLine="42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10.1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p>
    <w:p w14:paraId="4430BDA3">
      <w:pPr>
        <w:spacing w:beforeLines="0" w:afterLines="0" w:line="360" w:lineRule="auto"/>
        <w:ind w:firstLine="42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各供应商在编制响应文件时请按照磋商文件第六章规定的格式进行，混乱的编排导致响应文件被误读或磋商小组查找不到有效文件是供应商的风险。</w:t>
      </w:r>
    </w:p>
    <w:p w14:paraId="40D8AEC4">
      <w:pPr>
        <w:spacing w:beforeLines="0" w:afterLines="0" w:line="360" w:lineRule="auto"/>
        <w:ind w:firstLine="42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10.2供应商编写的响应文件应包括资格证明文件、</w:t>
      </w:r>
      <w:r>
        <w:rPr>
          <w:rFonts w:hint="eastAsia" w:ascii="宋体" w:hAnsi="宋体" w:eastAsia="宋体" w:cs="宋体"/>
          <w:b w:val="0"/>
          <w:bCs/>
          <w:color w:val="000000"/>
          <w:sz w:val="24"/>
          <w:szCs w:val="24"/>
          <w:highlight w:val="none"/>
          <w:lang w:eastAsia="zh-CN"/>
        </w:rPr>
        <w:t>报价明细表</w:t>
      </w:r>
      <w:r>
        <w:rPr>
          <w:rFonts w:hint="eastAsia" w:ascii="宋体" w:hAnsi="宋体" w:eastAsia="宋体" w:cs="宋体"/>
          <w:b w:val="0"/>
          <w:bCs/>
          <w:color w:val="000000"/>
          <w:sz w:val="24"/>
          <w:szCs w:val="24"/>
          <w:highlight w:val="none"/>
        </w:rPr>
        <w:t>、响应及偏离表、其他证明文件、磋商申请及声明函、开标一览表等部分。</w:t>
      </w:r>
    </w:p>
    <w:p w14:paraId="258FD316">
      <w:pPr>
        <w:spacing w:beforeLines="0" w:afterLines="0" w:line="360" w:lineRule="auto"/>
        <w:ind w:firstLine="42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10.3响应文件须加盖电子签章之处，应按要求加盖供应商数字证书的电子签章。其他需要盖章但未明确要求电子签章的，供应商可按要求加盖公章后上传材料电子件或直接加盖电子签章。 </w:t>
      </w:r>
    </w:p>
    <w:p w14:paraId="777023C3">
      <w:pPr>
        <w:spacing w:beforeLines="0" w:afterLines="0" w:line="360" w:lineRule="auto"/>
        <w:ind w:firstLine="42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10.4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外)。</w:t>
      </w:r>
    </w:p>
    <w:p w14:paraId="4B34E5A6">
      <w:pPr>
        <w:spacing w:beforeLines="0" w:afterLines="0" w:line="360" w:lineRule="auto"/>
        <w:ind w:firstLine="42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10.5如标书制作工具中格式和内容与“江苏省政府采购网”发布的磋商文件不一致，请以“江苏省政府采购网”发布的磋商文件为准。</w:t>
      </w:r>
    </w:p>
    <w:p w14:paraId="583E1995">
      <w:pPr>
        <w:spacing w:beforeLines="0" w:afterLines="0" w:line="360" w:lineRule="auto"/>
        <w:ind w:firstLine="42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10.6成交后按相关要求提供与电子响应文件一致的纸质打印响应文件2份。 </w:t>
      </w:r>
    </w:p>
    <w:p w14:paraId="0063B0CD">
      <w:pPr>
        <w:spacing w:beforeLines="0" w:afterLines="0" w:line="360" w:lineRule="auto"/>
        <w:ind w:firstLine="42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p>
    <w:p w14:paraId="64C30723">
      <w:pPr>
        <w:pStyle w:val="44"/>
        <w:spacing w:before="0" w:beforeLines="0" w:after="0" w:afterLines="0" w:line="360" w:lineRule="auto"/>
        <w:ind w:firstLine="422"/>
        <w:rPr>
          <w:rFonts w:hint="eastAsia" w:ascii="宋体" w:hAnsi="宋体" w:eastAsia="宋体" w:cs="宋体"/>
          <w:color w:val="000000"/>
          <w:sz w:val="24"/>
          <w:szCs w:val="24"/>
        </w:rPr>
      </w:pPr>
      <w:r>
        <w:rPr>
          <w:rFonts w:hint="eastAsia" w:ascii="宋体" w:hAnsi="宋体" w:eastAsia="宋体" w:cs="宋体"/>
          <w:color w:val="000000"/>
          <w:sz w:val="24"/>
          <w:szCs w:val="24"/>
        </w:rPr>
        <w:t>11.证明磋商响应标的符合磋商文件规定的文件</w:t>
      </w:r>
    </w:p>
    <w:p w14:paraId="7B12F62F">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11.1 供应商应按照法律、法规、规章和规范性文件以及磋商文件要求提交证明文件，证明其响应标的符合磋商文件规定。</w:t>
      </w:r>
    </w:p>
    <w:p w14:paraId="196EC33D">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11.2 磋商文件对证明文件无明确形式要求的，证明文件可以以文字资料、图纸和数据等形式提交。</w:t>
      </w:r>
    </w:p>
    <w:p w14:paraId="5F28B38D">
      <w:pPr>
        <w:pStyle w:val="44"/>
        <w:spacing w:before="0" w:beforeLines="0" w:after="0" w:afterLines="0" w:line="360" w:lineRule="auto"/>
        <w:ind w:firstLine="422"/>
        <w:rPr>
          <w:rFonts w:hint="eastAsia" w:ascii="宋体" w:hAnsi="宋体" w:eastAsia="宋体" w:cs="宋体"/>
          <w:color w:val="000000"/>
          <w:sz w:val="24"/>
          <w:szCs w:val="24"/>
        </w:rPr>
      </w:pPr>
      <w:r>
        <w:rPr>
          <w:rFonts w:hint="eastAsia" w:ascii="宋体" w:hAnsi="宋体" w:eastAsia="宋体" w:cs="宋体"/>
          <w:color w:val="000000"/>
          <w:sz w:val="24"/>
          <w:szCs w:val="24"/>
        </w:rPr>
        <w:t>12.磋商报价明细表</w:t>
      </w:r>
    </w:p>
    <w:p w14:paraId="7D8BB7B2">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12.1 供应商应按照磋商文件规定格式填磋商报价明细表</w:t>
      </w:r>
      <w:r>
        <w:rPr>
          <w:rFonts w:hint="eastAsia" w:ascii="宋体" w:hAnsi="宋体" w:eastAsia="宋体" w:cs="宋体"/>
          <w:color w:val="000000"/>
          <w:sz w:val="24"/>
          <w:szCs w:val="24"/>
          <w:lang w:eastAsia="zh-CN"/>
        </w:rPr>
        <w:t>（如有的话）</w:t>
      </w:r>
      <w:r>
        <w:rPr>
          <w:rFonts w:hint="eastAsia" w:ascii="宋体" w:hAnsi="宋体" w:eastAsia="宋体" w:cs="宋体"/>
          <w:color w:val="000000"/>
          <w:sz w:val="24"/>
          <w:szCs w:val="24"/>
        </w:rPr>
        <w:t>。</w:t>
      </w:r>
    </w:p>
    <w:p w14:paraId="59DCFD4A">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12.2 响应文件中的单价和总价无特殊规定的采用人民币报价，以元为单位标注。磋商文件另有规定的按规定执行。</w:t>
      </w:r>
    </w:p>
    <w:p w14:paraId="2AEFB5CA">
      <w:pPr>
        <w:spacing w:beforeLines="0" w:afterLines="0"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12.3 本项目不接受备选的投标方案或有选择的报价，只允许有一个报价。供应商响应文件中的报价作为首次报价，不公开；以最后报价作为评审价。投标报价内容包括：完成本项目所涉及到的一切相关费用。</w:t>
      </w:r>
    </w:p>
    <w:p w14:paraId="6CBEFCC8">
      <w:pPr>
        <w:pStyle w:val="44"/>
        <w:spacing w:before="0" w:beforeLines="0" w:after="0" w:afterLines="0" w:line="360" w:lineRule="auto"/>
        <w:ind w:firstLine="422"/>
        <w:rPr>
          <w:rFonts w:hint="eastAsia" w:ascii="宋体" w:hAnsi="宋体" w:eastAsia="宋体" w:cs="宋体"/>
          <w:color w:val="000000"/>
          <w:sz w:val="24"/>
          <w:szCs w:val="24"/>
        </w:rPr>
      </w:pPr>
      <w:r>
        <w:rPr>
          <w:rFonts w:hint="eastAsia" w:ascii="宋体" w:hAnsi="宋体" w:eastAsia="宋体" w:cs="宋体"/>
          <w:color w:val="000000"/>
          <w:sz w:val="24"/>
          <w:szCs w:val="24"/>
        </w:rPr>
        <w:t>13.响应及偏离表</w:t>
      </w:r>
    </w:p>
    <w:p w14:paraId="4AFFAAF6">
      <w:pPr>
        <w:spacing w:beforeLines="0" w:afterLines="0" w:line="360" w:lineRule="auto"/>
        <w:ind w:firstLine="420"/>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13.1</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CN"/>
        </w:rPr>
        <w:t>供应商需对磋商文件中的服务要求与商务要求逐项作出响应或偏离说明。</w:t>
      </w:r>
    </w:p>
    <w:p w14:paraId="42869F8B">
      <w:pPr>
        <w:spacing w:beforeLines="0" w:afterLines="0" w:line="360" w:lineRule="auto"/>
        <w:ind w:firstLine="420"/>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13.2</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CN"/>
        </w:rPr>
        <w:t>供应商可在响应文件中提供认为需要的其他技术文件或说明。</w:t>
      </w:r>
    </w:p>
    <w:p w14:paraId="64E02EF7">
      <w:pPr>
        <w:pStyle w:val="44"/>
        <w:spacing w:before="0" w:beforeLines="0" w:after="0" w:afterLines="0" w:line="360" w:lineRule="auto"/>
        <w:ind w:firstLine="422"/>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.磋商响应函</w:t>
      </w:r>
    </w:p>
    <w:p w14:paraId="466F8245">
      <w:pPr>
        <w:spacing w:beforeLines="0" w:afterLines="0" w:line="360" w:lineRule="auto"/>
        <w:ind w:firstLine="420"/>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1</w:t>
      </w: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lang w:val="zh-CN"/>
        </w:rPr>
        <w:t>.1</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CN"/>
        </w:rPr>
        <w:t>供应商应按照磋商文件规定格式完整、正确填报磋商响应函。</w:t>
      </w:r>
    </w:p>
    <w:p w14:paraId="6B46966E">
      <w:pPr>
        <w:pStyle w:val="44"/>
        <w:spacing w:before="0" w:beforeLines="0" w:after="0" w:afterLines="0" w:line="360" w:lineRule="auto"/>
        <w:ind w:firstLine="422"/>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.磋商有效期</w:t>
      </w:r>
    </w:p>
    <w:p w14:paraId="7377C28F">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.1 磋商有效期为采购公告规定的提交</w:t>
      </w:r>
      <w:r>
        <w:rPr>
          <w:rFonts w:hint="eastAsia" w:ascii="宋体" w:hAnsi="宋体" w:eastAsia="宋体" w:cs="宋体"/>
          <w:color w:val="000000"/>
          <w:sz w:val="24"/>
          <w:szCs w:val="24"/>
          <w:highlight w:val="none"/>
        </w:rPr>
        <w:t>响应文件截止之日起</w:t>
      </w:r>
      <w:r>
        <w:rPr>
          <w:rFonts w:hint="eastAsia" w:ascii="宋体" w:hAnsi="宋体" w:eastAsia="宋体" w:cs="宋体"/>
          <w:color w:val="000000"/>
          <w:sz w:val="24"/>
          <w:szCs w:val="24"/>
          <w:highlight w:val="none"/>
          <w:lang w:val="zh-CN"/>
        </w:rPr>
        <w:t>六十天</w:t>
      </w:r>
      <w:r>
        <w:rPr>
          <w:rFonts w:hint="eastAsia" w:ascii="宋体" w:hAnsi="宋体" w:eastAsia="宋体" w:cs="宋体"/>
          <w:color w:val="000000"/>
          <w:sz w:val="24"/>
          <w:szCs w:val="24"/>
          <w:highlight w:val="none"/>
        </w:rPr>
        <w:t>。磋商有效期比规</w:t>
      </w:r>
      <w:r>
        <w:rPr>
          <w:rFonts w:hint="eastAsia" w:ascii="宋体" w:hAnsi="宋体" w:eastAsia="宋体" w:cs="宋体"/>
          <w:color w:val="000000"/>
          <w:sz w:val="24"/>
          <w:szCs w:val="24"/>
        </w:rPr>
        <w:t>定短的将被视为非实质性响应磋商文件而被拒绝。</w:t>
      </w:r>
    </w:p>
    <w:p w14:paraId="73CCE6CF">
      <w:pPr>
        <w:pStyle w:val="44"/>
        <w:spacing w:before="0" w:beforeLines="0" w:after="0" w:afterLines="0" w:line="360" w:lineRule="auto"/>
        <w:ind w:firstLine="422"/>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eastAsia="宋体" w:cs="宋体"/>
          <w:color w:val="000000"/>
          <w:sz w:val="24"/>
          <w:szCs w:val="24"/>
          <w:lang w:val="en-US" w:eastAsia="zh-CN"/>
        </w:rPr>
        <w:t>6</w:t>
      </w:r>
      <w:r>
        <w:rPr>
          <w:rFonts w:hint="eastAsia" w:ascii="宋体" w:hAnsi="宋体" w:eastAsia="宋体" w:cs="宋体"/>
          <w:color w:val="000000"/>
          <w:sz w:val="24"/>
          <w:szCs w:val="24"/>
        </w:rPr>
        <w:t>.磋商有效期的延长</w:t>
      </w:r>
    </w:p>
    <w:p w14:paraId="4C77A7E6">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eastAsia="宋体" w:cs="宋体"/>
          <w:color w:val="000000"/>
          <w:sz w:val="24"/>
          <w:szCs w:val="24"/>
          <w:lang w:val="en-US" w:eastAsia="zh-CN"/>
        </w:rPr>
        <w:t>6</w:t>
      </w:r>
      <w:r>
        <w:rPr>
          <w:rFonts w:hint="eastAsia" w:ascii="宋体" w:hAnsi="宋体" w:eastAsia="宋体" w:cs="宋体"/>
          <w:color w:val="000000"/>
          <w:sz w:val="24"/>
          <w:szCs w:val="24"/>
        </w:rPr>
        <w:t>.1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同时受磋商有效期约束的所有权利与义务均延长至新的有效期满。</w:t>
      </w:r>
    </w:p>
    <w:p w14:paraId="5F5A4509">
      <w:pPr>
        <w:snapToGrid w:val="0"/>
        <w:spacing w:before="0" w:beforeLines="-2147483648" w:after="0" w:afterLines="-2147483648" w:line="360" w:lineRule="auto"/>
        <w:ind w:firstLine="562" w:firstLineChars="200"/>
        <w:outlineLvl w:val="1"/>
        <w:rPr>
          <w:rFonts w:hint="eastAsia" w:ascii="宋体" w:hAnsi="宋体" w:eastAsia="宋体" w:cs="宋体"/>
          <w:b/>
          <w:bCs w:val="0"/>
          <w:color w:val="000000"/>
          <w:sz w:val="28"/>
          <w:szCs w:val="22"/>
        </w:rPr>
      </w:pPr>
      <w:r>
        <w:rPr>
          <w:rFonts w:hint="eastAsia" w:ascii="宋体" w:hAnsi="宋体" w:eastAsia="宋体" w:cs="宋体"/>
          <w:b/>
          <w:bCs w:val="0"/>
          <w:color w:val="000000"/>
          <w:sz w:val="28"/>
          <w:szCs w:val="22"/>
        </w:rPr>
        <w:t>四、响应文件的递交</w:t>
      </w:r>
    </w:p>
    <w:p w14:paraId="44DE303E">
      <w:pPr>
        <w:snapToGrid w:val="0"/>
        <w:spacing w:before="0" w:beforeLines="0" w:after="0" w:afterLines="0" w:line="360" w:lineRule="auto"/>
        <w:ind w:firstLine="482" w:firstLineChars="20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17.响应文件的递交</w:t>
      </w:r>
    </w:p>
    <w:p w14:paraId="4B4F85AA">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17.1 供应商应当按照《操作手册》规定，在采购公告规定的提交响应文件截止时间前制作并上传电子响应文件。</w:t>
      </w:r>
    </w:p>
    <w:p w14:paraId="27AAFCB2">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17.2 供应商应充分考虑网络环境、网络带宽等因素可能产生的影响，如因供应商自身原因造成的电子响应文件上传不成功的，按照本磋商文件第二章第24.3条规定做无效响应处理。</w:t>
      </w:r>
    </w:p>
    <w:p w14:paraId="6274BC22">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17.3 采购代理机构可以按照规定，通过修改磋商文件酌情延长提交响应文件截止日期，在此情况下，供应商的所有权利和义务均以延长后新的截止日期为准。</w:t>
      </w:r>
    </w:p>
    <w:p w14:paraId="387DEE82">
      <w:pPr>
        <w:pStyle w:val="44"/>
        <w:spacing w:before="0" w:beforeLines="0" w:after="0" w:afterLines="0" w:line="360" w:lineRule="auto"/>
        <w:ind w:firstLine="422"/>
        <w:rPr>
          <w:rFonts w:hint="eastAsia" w:ascii="宋体" w:hAnsi="宋体" w:eastAsia="宋体" w:cs="宋体"/>
          <w:color w:val="000000"/>
          <w:sz w:val="24"/>
          <w:szCs w:val="24"/>
        </w:rPr>
      </w:pPr>
      <w:r>
        <w:rPr>
          <w:rFonts w:hint="eastAsia" w:ascii="宋体" w:hAnsi="宋体" w:eastAsia="宋体" w:cs="宋体"/>
          <w:color w:val="000000"/>
          <w:sz w:val="24"/>
          <w:szCs w:val="24"/>
        </w:rPr>
        <w:t>18.响应文件的拒收</w:t>
      </w:r>
    </w:p>
    <w:p w14:paraId="1BC28EAB">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18.1 提交响应文件截止时间后上传的任何响应文件将被拒绝。</w:t>
      </w:r>
    </w:p>
    <w:p w14:paraId="7F23BC62">
      <w:pPr>
        <w:pStyle w:val="44"/>
        <w:spacing w:before="0" w:beforeLines="0" w:after="0" w:afterLines="0" w:line="360" w:lineRule="auto"/>
        <w:ind w:firstLine="422"/>
        <w:rPr>
          <w:rFonts w:hint="eastAsia" w:ascii="宋体" w:hAnsi="宋体" w:eastAsia="宋体" w:cs="宋体"/>
          <w:color w:val="000000"/>
          <w:sz w:val="24"/>
          <w:szCs w:val="24"/>
        </w:rPr>
      </w:pPr>
      <w:r>
        <w:rPr>
          <w:rFonts w:hint="eastAsia" w:ascii="宋体" w:hAnsi="宋体" w:eastAsia="宋体" w:cs="宋体"/>
          <w:color w:val="000000"/>
          <w:sz w:val="24"/>
          <w:szCs w:val="24"/>
        </w:rPr>
        <w:t>19.响应文件的撤回和修改</w:t>
      </w:r>
    </w:p>
    <w:p w14:paraId="59797145">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19.1 响应文件的撤回</w:t>
      </w:r>
    </w:p>
    <w:p w14:paraId="20AD894A">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19.1.1 供应商可在提交响应文件截止时间前，撤回其电子响应文件，具体操作方法见《操作手册》。</w:t>
      </w:r>
    </w:p>
    <w:p w14:paraId="07B42351">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19.1.2 供应商撤回电子响应文件，则认为其不再参与本项目磋商活动。</w:t>
      </w:r>
    </w:p>
    <w:p w14:paraId="6EA9A118">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19.2 响应文件的修改</w:t>
      </w:r>
    </w:p>
    <w:p w14:paraId="557CC5AE">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19.2.1 供应商可在提交响应文件截止时间前，对其电子响应文件进行修改，具体操作方法见《操作手册》。</w:t>
      </w:r>
    </w:p>
    <w:p w14:paraId="30C4641B">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19.2.2 提交响应文件截止时间之后，供应商不得对其电子响应文件作任何修改。</w:t>
      </w:r>
    </w:p>
    <w:p w14:paraId="5D6929C8">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19.3 在提交响应文件截止时间至磋商文件中规定的磋商有效期满之间的这段时间内，供应商不得撤回其响应文件。</w:t>
      </w:r>
    </w:p>
    <w:p w14:paraId="4F0F33FC">
      <w:pPr>
        <w:snapToGrid w:val="0"/>
        <w:spacing w:before="0" w:beforeLines="-2147483648" w:after="0" w:afterLines="-2147483648"/>
        <w:ind w:firstLine="562" w:firstLineChars="200"/>
        <w:outlineLvl w:val="1"/>
        <w:rPr>
          <w:rFonts w:hint="eastAsia" w:ascii="宋体" w:hAnsi="宋体" w:eastAsia="宋体" w:cs="宋体"/>
          <w:b/>
          <w:bCs w:val="0"/>
          <w:color w:val="000000"/>
          <w:sz w:val="28"/>
          <w:szCs w:val="22"/>
        </w:rPr>
      </w:pPr>
      <w:r>
        <w:rPr>
          <w:rFonts w:hint="eastAsia" w:ascii="宋体" w:hAnsi="宋体" w:eastAsia="宋体" w:cs="宋体"/>
          <w:b/>
          <w:bCs w:val="0"/>
          <w:color w:val="000000"/>
          <w:sz w:val="28"/>
          <w:szCs w:val="22"/>
        </w:rPr>
        <w:t>五、响应文件的解密与评审</w:t>
      </w:r>
    </w:p>
    <w:p w14:paraId="68F401D5">
      <w:pPr>
        <w:pStyle w:val="44"/>
        <w:spacing w:before="0" w:beforeLines="0" w:after="0" w:afterLines="0" w:line="360" w:lineRule="auto"/>
        <w:ind w:firstLine="422"/>
        <w:rPr>
          <w:rFonts w:hint="eastAsia" w:ascii="宋体" w:hAnsi="宋体" w:eastAsia="宋体" w:cs="宋体"/>
          <w:color w:val="000000"/>
          <w:sz w:val="24"/>
          <w:szCs w:val="24"/>
        </w:rPr>
      </w:pPr>
      <w:r>
        <w:rPr>
          <w:rFonts w:hint="eastAsia" w:ascii="宋体" w:hAnsi="宋体" w:eastAsia="宋体" w:cs="宋体"/>
          <w:color w:val="000000"/>
          <w:sz w:val="24"/>
          <w:szCs w:val="24"/>
        </w:rPr>
        <w:t>20.响应文件解密</w:t>
      </w:r>
    </w:p>
    <w:p w14:paraId="4EC5C1BC">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20.1 供应商应当按照《操作手册》规定，在苏采云系统规定的时间内对响应文件进行解密。</w:t>
      </w:r>
    </w:p>
    <w:p w14:paraId="2F6C1BBD">
      <w:pPr>
        <w:pStyle w:val="44"/>
        <w:spacing w:before="0" w:beforeLines="0" w:after="0" w:afterLines="0" w:line="360" w:lineRule="auto"/>
        <w:ind w:firstLine="422"/>
        <w:rPr>
          <w:rFonts w:hint="eastAsia" w:ascii="宋体" w:hAnsi="宋体" w:eastAsia="宋体" w:cs="宋体"/>
          <w:color w:val="000000"/>
          <w:sz w:val="24"/>
          <w:szCs w:val="24"/>
        </w:rPr>
      </w:pPr>
      <w:r>
        <w:rPr>
          <w:rFonts w:hint="eastAsia" w:ascii="宋体" w:hAnsi="宋体" w:eastAsia="宋体" w:cs="宋体"/>
          <w:color w:val="000000"/>
          <w:sz w:val="24"/>
          <w:szCs w:val="24"/>
        </w:rPr>
        <w:t>21.磋商</w:t>
      </w:r>
    </w:p>
    <w:p w14:paraId="30B75248">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21.1 采购代理机构将依法组织磋商小组对响应文件进行评审。</w:t>
      </w:r>
    </w:p>
    <w:p w14:paraId="3D71C1CA">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21.2 磋商小组由采购人代表和有关方面专家组成，人员构成符合政府采购有关规定。</w:t>
      </w:r>
    </w:p>
    <w:p w14:paraId="06C23754">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21.3 磋商小组独立工作，负责评审所有响应文件并推荐成交候选人，或根据采购人授权直接确定成交供应商。</w:t>
      </w:r>
    </w:p>
    <w:p w14:paraId="6292C549">
      <w:pPr>
        <w:pStyle w:val="44"/>
        <w:spacing w:before="0" w:beforeLines="0" w:after="0" w:afterLines="0" w:line="360" w:lineRule="auto"/>
        <w:ind w:firstLine="422"/>
        <w:rPr>
          <w:rFonts w:hint="eastAsia" w:ascii="宋体" w:hAnsi="宋体" w:eastAsia="宋体" w:cs="宋体"/>
          <w:color w:val="000000"/>
          <w:sz w:val="24"/>
          <w:szCs w:val="24"/>
        </w:rPr>
      </w:pPr>
      <w:r>
        <w:rPr>
          <w:rFonts w:hint="eastAsia" w:ascii="宋体" w:hAnsi="宋体" w:eastAsia="宋体" w:cs="宋体"/>
          <w:color w:val="000000"/>
          <w:sz w:val="24"/>
          <w:szCs w:val="24"/>
        </w:rPr>
        <w:t>22.评审过程的保密与公正</w:t>
      </w:r>
    </w:p>
    <w:p w14:paraId="51D818C9">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22.1 磋商小组、采购人和采购代理机构工作人员、相关监督人员等与评审工作有关的人员，对评审情况以及在评审过程中获悉的国家秘密、商业秘密负有保密责任。</w:t>
      </w:r>
    </w:p>
    <w:p w14:paraId="565C71EC">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22.2 供应商不得以任何方式影响评审过程，否则其响应文件将被作为无效响应文件。</w:t>
      </w:r>
    </w:p>
    <w:p w14:paraId="013EE894">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22.3 采购代理机构和磋商小组不向未成交的供应商解释未成交原因，也不公布评审过程中的相关细节。</w:t>
      </w:r>
    </w:p>
    <w:p w14:paraId="1E114B3E">
      <w:pPr>
        <w:pStyle w:val="44"/>
        <w:spacing w:before="0" w:beforeLines="0" w:after="0" w:afterLines="0" w:line="360" w:lineRule="auto"/>
        <w:ind w:firstLine="422"/>
        <w:rPr>
          <w:rFonts w:hint="eastAsia" w:ascii="宋体" w:hAnsi="宋体" w:eastAsia="宋体" w:cs="宋体"/>
          <w:color w:val="000000"/>
          <w:sz w:val="24"/>
          <w:szCs w:val="24"/>
        </w:rPr>
      </w:pPr>
      <w:r>
        <w:rPr>
          <w:rFonts w:hint="eastAsia" w:ascii="宋体" w:hAnsi="宋体" w:eastAsia="宋体" w:cs="宋体"/>
          <w:color w:val="000000"/>
          <w:sz w:val="24"/>
          <w:szCs w:val="24"/>
        </w:rPr>
        <w:t>23.评审过程中的澄清</w:t>
      </w:r>
    </w:p>
    <w:p w14:paraId="27E2DEF7">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23.1 项目评审期间，磋商小组有权要求供应商对响应文件中含义不明确、同类问题表述不一致或者有明显文字和计算错误的内容等作出必要的澄清、说明或者补正。</w:t>
      </w:r>
    </w:p>
    <w:p w14:paraId="1B21DA3E">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供应商的澄清、说明或者补正不得超出响应文件的范围或者改变响应文件的实质性内容。</w:t>
      </w:r>
    </w:p>
    <w:p w14:paraId="4E185C2F">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磋商小组并非对每个供应商都做澄清要求。</w:t>
      </w:r>
    </w:p>
    <w:p w14:paraId="38BF44AE">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23.2 需要供应商进行澄清、说明和补正的，磋商小组将通过苏采云系统向供应商发出</w:t>
      </w:r>
      <w:r>
        <w:rPr>
          <w:rFonts w:hint="eastAsia" w:ascii="宋体" w:hAnsi="宋体" w:eastAsia="宋体" w:cs="宋体"/>
          <w:color w:val="000000"/>
          <w:sz w:val="24"/>
          <w:szCs w:val="24"/>
          <w:lang w:val="zh-CN"/>
        </w:rPr>
        <w:t>《澄清要求函》</w:t>
      </w:r>
      <w:r>
        <w:rPr>
          <w:rFonts w:hint="eastAsia" w:ascii="宋体" w:hAnsi="宋体" w:eastAsia="宋体" w:cs="宋体"/>
          <w:color w:val="000000"/>
          <w:sz w:val="24"/>
          <w:szCs w:val="24"/>
        </w:rPr>
        <w:t>，接到</w:t>
      </w:r>
      <w:r>
        <w:rPr>
          <w:rFonts w:hint="eastAsia" w:ascii="宋体" w:hAnsi="宋体" w:eastAsia="宋体" w:cs="宋体"/>
          <w:color w:val="000000"/>
          <w:sz w:val="24"/>
          <w:szCs w:val="24"/>
          <w:lang w:val="zh-CN"/>
        </w:rPr>
        <w:t>《澄清要求函》</w:t>
      </w:r>
      <w:r>
        <w:rPr>
          <w:rFonts w:hint="eastAsia" w:ascii="宋体" w:hAnsi="宋体" w:eastAsia="宋体" w:cs="宋体"/>
          <w:color w:val="000000"/>
          <w:sz w:val="24"/>
          <w:szCs w:val="24"/>
        </w:rPr>
        <w:t>的供应商应当按照要求在苏采云系统中提交</w:t>
      </w:r>
      <w:r>
        <w:rPr>
          <w:rFonts w:hint="eastAsia" w:ascii="宋体" w:hAnsi="宋体" w:eastAsia="宋体" w:cs="宋体"/>
          <w:color w:val="000000"/>
          <w:sz w:val="24"/>
          <w:szCs w:val="24"/>
          <w:lang w:val="zh-CN"/>
        </w:rPr>
        <w:t>《澄清响应函》</w:t>
      </w:r>
      <w:r>
        <w:rPr>
          <w:rFonts w:hint="eastAsia" w:ascii="宋体" w:hAnsi="宋体" w:eastAsia="宋体" w:cs="宋体"/>
          <w:color w:val="000000"/>
          <w:sz w:val="24"/>
          <w:szCs w:val="24"/>
        </w:rPr>
        <w:t>并加盖电子公章。澄清、说明和补正的内容作为响应文件的补充部分，具体操作方式见《操作手册》。</w:t>
      </w:r>
    </w:p>
    <w:p w14:paraId="4BA10DA5">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23.3 接到磋商小组澄清、说明和补正要求的供应商如未按规定做出澄清、说明和补正，其风险由供应商自行承担。</w:t>
      </w:r>
    </w:p>
    <w:p w14:paraId="1EBE52C3">
      <w:pPr>
        <w:pStyle w:val="44"/>
        <w:spacing w:before="0" w:beforeLines="0" w:after="0" w:afterLines="0" w:line="360" w:lineRule="auto"/>
        <w:ind w:firstLine="422"/>
        <w:rPr>
          <w:rFonts w:hint="eastAsia" w:ascii="宋体" w:hAnsi="宋体" w:eastAsia="宋体" w:cs="宋体"/>
          <w:color w:val="000000"/>
          <w:sz w:val="24"/>
          <w:szCs w:val="24"/>
        </w:rPr>
      </w:pPr>
      <w:r>
        <w:rPr>
          <w:rFonts w:hint="eastAsia" w:ascii="宋体" w:hAnsi="宋体" w:eastAsia="宋体" w:cs="宋体"/>
          <w:color w:val="000000"/>
          <w:sz w:val="24"/>
          <w:szCs w:val="24"/>
        </w:rPr>
        <w:t>24.响应文件的审查</w:t>
      </w:r>
    </w:p>
    <w:p w14:paraId="04E76115">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24.1 响应文件审查分为资格审查和符合性审查。</w:t>
      </w:r>
    </w:p>
    <w:p w14:paraId="3B6CE469">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24.1.1 资格审查。依据法律法规和磋商文件的规定，磋商小组对响应文件中的资格证明文件进行审查，以确定供应商是否具备参加磋商的资格。</w:t>
      </w:r>
    </w:p>
    <w:p w14:paraId="3B80EA9A">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磋商小组进行资格审查时，将在“信用中国”网站（www.creditchina.gov.cn）查询供应商的信用记录，以确定供应商是否具备磋商资格,查询结果留存并归档。</w:t>
      </w:r>
    </w:p>
    <w:p w14:paraId="526AC3A3">
      <w:pPr>
        <w:spacing w:beforeLines="0" w:afterLines="0" w:line="360" w:lineRule="auto"/>
        <w:ind w:firstLine="420"/>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接受联合体的项目，联合体成员存在不良信用记录的，视同联合体存在不良</w:t>
      </w:r>
      <w:r>
        <w:rPr>
          <w:rFonts w:hint="eastAsia" w:ascii="宋体" w:hAnsi="宋体" w:eastAsia="宋体" w:cs="宋体"/>
          <w:color w:val="000000"/>
          <w:sz w:val="24"/>
          <w:szCs w:val="24"/>
        </w:rPr>
        <w:t>信</w:t>
      </w:r>
      <w:r>
        <w:rPr>
          <w:rFonts w:hint="eastAsia" w:ascii="宋体" w:hAnsi="宋体" w:eastAsia="宋体" w:cs="宋体"/>
          <w:color w:val="000000"/>
          <w:sz w:val="24"/>
          <w:szCs w:val="24"/>
          <w:lang w:val="zh-CN"/>
        </w:rPr>
        <w:t>用记录。</w:t>
      </w:r>
    </w:p>
    <w:p w14:paraId="60340355">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24.1.2 符合性审查。依据磋商文件的规定，由磋商小组从有效性、完整性和对磋商文件的响应程度等方面对响应文件进行审查，以确定是否对磋商文件的实质性要求作出响应。</w:t>
      </w:r>
    </w:p>
    <w:p w14:paraId="27AAC346">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24.1.3 未通过资格审查或符合性审查的供应商，磋商小组将通过苏采云系统告知具体原因，评审结束后将不再接受有关询问。</w:t>
      </w:r>
    </w:p>
    <w:p w14:paraId="656651E8">
      <w:pPr>
        <w:spacing w:beforeLines="0" w:afterLines="0" w:line="360" w:lineRule="auto"/>
        <w:ind w:firstLine="420"/>
        <w:rPr>
          <w:rFonts w:hint="eastAsia" w:ascii="宋体" w:hAnsi="宋体" w:eastAsia="宋体" w:cs="宋体"/>
          <w:color w:val="000000"/>
          <w:sz w:val="24"/>
          <w:szCs w:val="24"/>
          <w:lang w:val="zh-CN"/>
        </w:rPr>
      </w:pPr>
      <w:r>
        <w:rPr>
          <w:rFonts w:hint="eastAsia" w:ascii="宋体" w:hAnsi="宋体" w:eastAsia="宋体" w:cs="宋体"/>
          <w:color w:val="000000"/>
          <w:sz w:val="24"/>
          <w:szCs w:val="24"/>
        </w:rPr>
        <w:t>24.2 在详细评审之前，磋商小组将首先审查每份响应文件是否实质性响应了磋商文件的要求。实质性响应的响应文件应该是与磋商文件要求的条款、条件和规格相符，没有重大偏离或保留的文件。</w:t>
      </w:r>
    </w:p>
    <w:p w14:paraId="6C28478D">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lang w:val="zh-CN"/>
        </w:rPr>
        <w:t>所谓重大偏离或保留是指与磋商文件规定的实质性要求存在负偏离，或者在实质上与磋商文件不一致，而且限制了合同中</w:t>
      </w:r>
      <w:r>
        <w:rPr>
          <w:rFonts w:hint="eastAsia" w:ascii="宋体" w:hAnsi="宋体" w:eastAsia="宋体" w:cs="宋体"/>
          <w:color w:val="000000"/>
          <w:sz w:val="24"/>
          <w:szCs w:val="24"/>
        </w:rPr>
        <w:t>采购人</w:t>
      </w:r>
      <w:r>
        <w:rPr>
          <w:rFonts w:hint="eastAsia" w:ascii="宋体" w:hAnsi="宋体" w:eastAsia="宋体" w:cs="宋体"/>
          <w:color w:val="000000"/>
          <w:sz w:val="24"/>
          <w:szCs w:val="24"/>
          <w:lang w:val="zh-CN"/>
        </w:rPr>
        <w:t>的权利或供应商的义务，纠正这些偏离或保留将会对其他实质性响应的供应商产生不公正的影响。重大偏离的认定</w:t>
      </w:r>
      <w:r>
        <w:rPr>
          <w:rFonts w:hint="eastAsia" w:ascii="宋体" w:hAnsi="宋体" w:eastAsia="宋体" w:cs="宋体"/>
          <w:color w:val="000000"/>
          <w:sz w:val="24"/>
          <w:szCs w:val="24"/>
        </w:rPr>
        <w:t>由</w:t>
      </w:r>
      <w:r>
        <w:rPr>
          <w:rFonts w:hint="eastAsia" w:ascii="宋体" w:hAnsi="宋体" w:eastAsia="宋体" w:cs="宋体"/>
          <w:color w:val="000000"/>
          <w:sz w:val="24"/>
          <w:szCs w:val="24"/>
          <w:lang w:val="zh-CN"/>
        </w:rPr>
        <w:t>磋商小组</w:t>
      </w:r>
      <w:r>
        <w:rPr>
          <w:rFonts w:hint="eastAsia" w:ascii="宋体" w:hAnsi="宋体" w:eastAsia="宋体" w:cs="宋体"/>
          <w:color w:val="000000"/>
          <w:sz w:val="24"/>
          <w:szCs w:val="24"/>
        </w:rPr>
        <w:t>按照</w:t>
      </w:r>
      <w:r>
        <w:rPr>
          <w:rFonts w:hint="eastAsia" w:ascii="宋体" w:hAnsi="宋体" w:eastAsia="宋体" w:cs="宋体"/>
          <w:color w:val="000000"/>
          <w:sz w:val="24"/>
          <w:szCs w:val="24"/>
          <w:lang w:val="zh-CN"/>
        </w:rPr>
        <w:t>少数服从多数的原则作出结论。</w:t>
      </w:r>
      <w:r>
        <w:rPr>
          <w:rFonts w:hint="eastAsia" w:ascii="宋体" w:hAnsi="宋体" w:eastAsia="宋体" w:cs="宋体"/>
          <w:color w:val="000000"/>
          <w:sz w:val="24"/>
          <w:szCs w:val="24"/>
        </w:rPr>
        <w:t>磋商小组认</w:t>
      </w:r>
      <w:r>
        <w:rPr>
          <w:rFonts w:hint="eastAsia" w:ascii="宋体" w:hAnsi="宋体" w:eastAsia="宋体" w:cs="宋体"/>
          <w:color w:val="000000"/>
          <w:sz w:val="24"/>
          <w:szCs w:val="24"/>
          <w:lang w:val="zh-CN"/>
        </w:rPr>
        <w:t>定响应文件的响应性只根据响应文件本身的内容，而不寻求外部的证据。</w:t>
      </w:r>
    </w:p>
    <w:p w14:paraId="75675FE9">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24.3 未实质性响应磋商文件的情形</w:t>
      </w:r>
    </w:p>
    <w:p w14:paraId="0635057F">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24.3.1 供应商在苏采云系统规定的时间内未成功解密电子响应文件。</w:t>
      </w:r>
    </w:p>
    <w:p w14:paraId="2EF455D4">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24.3.2 供应商未按照磋商文件要求上传电子响应文件。</w:t>
      </w:r>
    </w:p>
    <w:p w14:paraId="432297A0">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24.3.3 同一供应商提交两个（含两个）以上不同的响应文件或者最后报价。</w:t>
      </w:r>
    </w:p>
    <w:p w14:paraId="16B32272">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24.3.4 供应商不具备磋商文件中规定的资格要求。</w:t>
      </w:r>
    </w:p>
    <w:p w14:paraId="3E88F152">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24.3.5 供应商的最后报价超过了采购预算或最高限价或单价上限。</w:t>
      </w:r>
    </w:p>
    <w:p w14:paraId="0DAE97C5">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24.3.6 不符合磋商文件中规定的实质性要求和条件（</w:t>
      </w:r>
      <w:r>
        <w:rPr>
          <w:rFonts w:hint="eastAsia" w:ascii="宋体" w:hAnsi="宋体" w:eastAsia="宋体" w:cs="宋体"/>
          <w:b/>
          <w:color w:val="000000"/>
          <w:sz w:val="24"/>
          <w:szCs w:val="24"/>
        </w:rPr>
        <w:t>本文件中斜体且有下划线部分</w:t>
      </w:r>
      <w:r>
        <w:rPr>
          <w:rFonts w:hint="eastAsia" w:ascii="宋体" w:hAnsi="宋体" w:eastAsia="宋体" w:cs="宋体"/>
          <w:b/>
          <w:color w:val="000000"/>
          <w:sz w:val="24"/>
          <w:szCs w:val="24"/>
          <w:lang w:val="zh-CN"/>
        </w:rPr>
        <w:t>或者打“</w:t>
      </w:r>
      <w:r>
        <w:rPr>
          <w:rFonts w:hint="eastAsia" w:ascii="宋体" w:hAnsi="宋体" w:eastAsia="宋体" w:cs="宋体"/>
          <w:b/>
          <w:color w:val="000000"/>
          <w:sz w:val="24"/>
          <w:szCs w:val="24"/>
        </w:rPr>
        <w:t>★</w:t>
      </w:r>
      <w:r>
        <w:rPr>
          <w:rFonts w:hint="eastAsia" w:ascii="宋体" w:hAnsi="宋体" w:eastAsia="宋体" w:cs="宋体"/>
          <w:b/>
          <w:color w:val="000000"/>
          <w:sz w:val="24"/>
          <w:szCs w:val="24"/>
          <w:lang w:val="zh-CN"/>
        </w:rPr>
        <w:t>”内容，</w:t>
      </w:r>
      <w:r>
        <w:rPr>
          <w:rFonts w:hint="eastAsia" w:ascii="宋体" w:hAnsi="宋体" w:eastAsia="宋体" w:cs="宋体"/>
          <w:b/>
          <w:color w:val="000000"/>
          <w:sz w:val="24"/>
          <w:szCs w:val="24"/>
        </w:rPr>
        <w:t>为实质性要求和条件</w:t>
      </w:r>
      <w:r>
        <w:rPr>
          <w:rFonts w:hint="eastAsia" w:ascii="宋体" w:hAnsi="宋体" w:eastAsia="宋体" w:cs="宋体"/>
          <w:color w:val="000000"/>
          <w:sz w:val="24"/>
          <w:szCs w:val="24"/>
        </w:rPr>
        <w:t>）。</w:t>
      </w:r>
    </w:p>
    <w:p w14:paraId="77FC86B0">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72B62D2D">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24.3.8 响应文件含有采购人不能接受的附加条件。</w:t>
      </w:r>
    </w:p>
    <w:p w14:paraId="1010B032">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24.3.9 磋商小组</w:t>
      </w:r>
      <w:r>
        <w:rPr>
          <w:rFonts w:hint="eastAsia" w:ascii="宋体" w:hAnsi="宋体" w:eastAsia="宋体" w:cs="宋体"/>
          <w:color w:val="000000"/>
          <w:sz w:val="24"/>
          <w:szCs w:val="24"/>
          <w:lang w:val="zh-CN"/>
        </w:rPr>
        <w:t>发现</w:t>
      </w:r>
      <w:r>
        <w:rPr>
          <w:rFonts w:hint="eastAsia" w:ascii="宋体" w:hAnsi="宋体" w:eastAsia="宋体" w:cs="宋体"/>
          <w:color w:val="000000"/>
          <w:sz w:val="24"/>
          <w:szCs w:val="24"/>
        </w:rPr>
        <w:t>供应商</w:t>
      </w:r>
      <w:r>
        <w:rPr>
          <w:rFonts w:hint="eastAsia" w:ascii="宋体" w:hAnsi="宋体" w:eastAsia="宋体" w:cs="宋体"/>
          <w:color w:val="000000"/>
          <w:sz w:val="24"/>
          <w:szCs w:val="24"/>
          <w:lang w:val="zh-CN"/>
        </w:rPr>
        <w:t>报价低于采购项目预算50%，或者低于采购项目最高限价45%，或者认为</w:t>
      </w:r>
      <w:r>
        <w:rPr>
          <w:rFonts w:hint="eastAsia" w:ascii="宋体" w:hAnsi="宋体" w:eastAsia="宋体" w:cs="宋体"/>
          <w:color w:val="000000"/>
          <w:sz w:val="24"/>
          <w:szCs w:val="24"/>
        </w:rPr>
        <w:t>供应商</w:t>
      </w:r>
      <w:r>
        <w:rPr>
          <w:rFonts w:hint="eastAsia" w:ascii="宋体" w:hAnsi="宋体" w:eastAsia="宋体" w:cs="宋体"/>
          <w:color w:val="000000"/>
          <w:sz w:val="24"/>
          <w:szCs w:val="24"/>
          <w:lang w:val="zh-CN"/>
        </w:rPr>
        <w:t>的报价过低，有可能影响产品或服务质量或不能诚信履约的，应当启动异常低价投标审查机制，通过苏采云系统要求</w:t>
      </w:r>
      <w:r>
        <w:rPr>
          <w:rFonts w:hint="eastAsia" w:ascii="宋体" w:hAnsi="宋体" w:eastAsia="宋体" w:cs="宋体"/>
          <w:color w:val="000000"/>
          <w:sz w:val="24"/>
          <w:szCs w:val="24"/>
        </w:rPr>
        <w:t>供应商</w:t>
      </w:r>
      <w:r>
        <w:rPr>
          <w:rFonts w:hint="eastAsia" w:ascii="宋体" w:hAnsi="宋体" w:eastAsia="宋体" w:cs="宋体"/>
          <w:color w:val="000000"/>
          <w:sz w:val="24"/>
          <w:szCs w:val="24"/>
          <w:lang w:val="zh-CN"/>
        </w:rPr>
        <w:t>在合理的时间内提供项目具体成本测算等与报价合理性相关的书面说明及相关证明材料。</w:t>
      </w:r>
      <w:r>
        <w:rPr>
          <w:rFonts w:hint="eastAsia" w:ascii="宋体" w:hAnsi="宋体" w:eastAsia="宋体" w:cs="宋体"/>
          <w:color w:val="000000"/>
          <w:sz w:val="24"/>
          <w:szCs w:val="24"/>
        </w:rPr>
        <w:t>供应商</w:t>
      </w:r>
      <w:r>
        <w:rPr>
          <w:rFonts w:hint="eastAsia" w:ascii="宋体" w:hAnsi="宋体" w:eastAsia="宋体" w:cs="宋体"/>
          <w:color w:val="000000"/>
          <w:sz w:val="24"/>
          <w:szCs w:val="24"/>
          <w:lang w:val="zh-CN"/>
        </w:rPr>
        <w:t>不提供书面说明及证明材料，或者书面说明、证明材料不能证明其报价合理性的，</w:t>
      </w:r>
      <w:r>
        <w:rPr>
          <w:rFonts w:hint="eastAsia" w:ascii="宋体" w:hAnsi="宋体" w:eastAsia="宋体" w:cs="宋体"/>
          <w:color w:val="000000"/>
          <w:sz w:val="24"/>
          <w:szCs w:val="24"/>
        </w:rPr>
        <w:t>磋商小组</w:t>
      </w:r>
      <w:r>
        <w:rPr>
          <w:rFonts w:hint="eastAsia" w:ascii="宋体" w:hAnsi="宋体" w:eastAsia="宋体" w:cs="宋体"/>
          <w:color w:val="000000"/>
          <w:sz w:val="24"/>
          <w:szCs w:val="24"/>
          <w:lang w:val="zh-CN"/>
        </w:rPr>
        <w:t>应当将其作为无效</w:t>
      </w:r>
      <w:r>
        <w:rPr>
          <w:rFonts w:hint="eastAsia" w:ascii="宋体" w:hAnsi="宋体" w:eastAsia="宋体" w:cs="宋体"/>
          <w:color w:val="000000"/>
          <w:sz w:val="24"/>
          <w:szCs w:val="24"/>
        </w:rPr>
        <w:t>响应</w:t>
      </w:r>
      <w:r>
        <w:rPr>
          <w:rFonts w:hint="eastAsia" w:ascii="宋体" w:hAnsi="宋体" w:eastAsia="宋体" w:cs="宋体"/>
          <w:color w:val="000000"/>
          <w:sz w:val="24"/>
          <w:szCs w:val="24"/>
          <w:lang w:val="zh-CN"/>
        </w:rPr>
        <w:t>处理。</w:t>
      </w:r>
    </w:p>
    <w:p w14:paraId="0658743F">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24.3.10 响应文件未按照磋商文件要求加盖电子公章。</w:t>
      </w:r>
    </w:p>
    <w:p w14:paraId="7FC02A3B">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24.3.11 法律法规及本磋商文件规定的其他无效响应的情形。</w:t>
      </w:r>
    </w:p>
    <w:p w14:paraId="71811372">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24.4 未实质性响应磋商文件的响应文件按无效响应处理。</w:t>
      </w:r>
    </w:p>
    <w:p w14:paraId="4A4D1BE9">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24.5 如果响应文件实质上没有响应磋商文件的要求，磋商小组将予以拒绝，供应商不得通过修改或撤销不合要求的偏离或保留而使其成为实质性响应的文件。</w:t>
      </w:r>
    </w:p>
    <w:p w14:paraId="72508E86">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24.6 供应商在项目评审全过程中应保持通讯畅通，</w:t>
      </w:r>
      <w:r>
        <w:rPr>
          <w:rFonts w:hint="eastAsia" w:ascii="宋体" w:hAnsi="宋体" w:eastAsia="宋体" w:cs="宋体"/>
          <w:color w:val="000000"/>
          <w:sz w:val="24"/>
          <w:szCs w:val="24"/>
          <w:lang w:val="zh-CN"/>
        </w:rPr>
        <w:t>及时登录苏采云系统查阅、答复相关信息，并安排专人与采购代理机构及磋商小组联系。</w:t>
      </w:r>
    </w:p>
    <w:p w14:paraId="780A708A">
      <w:pPr>
        <w:pStyle w:val="44"/>
        <w:spacing w:before="0" w:beforeLines="0" w:after="0" w:afterLines="0" w:line="360" w:lineRule="auto"/>
        <w:ind w:firstLine="422"/>
        <w:rPr>
          <w:rFonts w:hint="eastAsia" w:ascii="宋体" w:hAnsi="宋体" w:eastAsia="宋体" w:cs="宋体"/>
          <w:color w:val="000000"/>
          <w:sz w:val="24"/>
          <w:szCs w:val="24"/>
        </w:rPr>
      </w:pPr>
      <w:r>
        <w:rPr>
          <w:rFonts w:hint="eastAsia" w:ascii="宋体" w:hAnsi="宋体" w:eastAsia="宋体" w:cs="宋体"/>
          <w:color w:val="000000"/>
          <w:sz w:val="24"/>
          <w:szCs w:val="24"/>
        </w:rPr>
        <w:t>25.磋商程序及评审方法与评审标准</w:t>
      </w:r>
    </w:p>
    <w:p w14:paraId="12A460C8">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25.1 磋商程序</w:t>
      </w:r>
    </w:p>
    <w:p w14:paraId="54273727">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25.1.1 磋商小组将与通过资格审查和符合性审查的供应商分别进行磋商。磋商小组通过苏采云系统向供应商发出《磋商函》，供应商应当按照要求在苏采云系统提交《磋商响应函》并加盖电子公章。</w:t>
      </w:r>
    </w:p>
    <w:p w14:paraId="07744F9F">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p>
    <w:p w14:paraId="5CBD9812">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25.1.2 磋商结束后，磋商小组将在苏采云系统向所有实质性响应的供应商发出《最后报价要求函》及最后报价格式表，要求所有实质性响应的供应商在规定时间内提交最后报价。最后报价是供应商响应文件的有效组成部分。</w:t>
      </w:r>
    </w:p>
    <w:p w14:paraId="3370BE6F">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p>
    <w:p w14:paraId="27BB445E">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25.2 评审方法与评审标准</w:t>
      </w:r>
    </w:p>
    <w:p w14:paraId="09CE984C">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25.2.1 评审方法。见磋商文件第五章。</w:t>
      </w:r>
    </w:p>
    <w:p w14:paraId="524EE2A4">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25.2.2 评审标准。见磋商文件第五章。</w:t>
      </w:r>
    </w:p>
    <w:p w14:paraId="7B8A4D58">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25.3 采购活动终止</w:t>
      </w:r>
    </w:p>
    <w:p w14:paraId="7D93F674">
      <w:pPr>
        <w:spacing w:beforeLines="0" w:afterLines="0" w:line="360" w:lineRule="auto"/>
        <w:ind w:firstLine="422"/>
        <w:rPr>
          <w:rFonts w:hint="eastAsia" w:ascii="宋体" w:hAnsi="宋体" w:eastAsia="宋体" w:cs="宋体"/>
          <w:b/>
          <w:color w:val="000000"/>
          <w:sz w:val="24"/>
          <w:szCs w:val="24"/>
        </w:rPr>
      </w:pPr>
      <w:r>
        <w:rPr>
          <w:rFonts w:hint="eastAsia" w:ascii="宋体" w:hAnsi="宋体" w:eastAsia="宋体" w:cs="宋体"/>
          <w:b/>
          <w:color w:val="000000"/>
          <w:sz w:val="24"/>
          <w:szCs w:val="24"/>
        </w:rPr>
        <w:t>出现下列情形之一的，本次采购活动终止：</w:t>
      </w:r>
    </w:p>
    <w:p w14:paraId="3A23194E">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25.3.1 因情况变化，不再符合竞争性磋商采购方式适用情形。</w:t>
      </w:r>
    </w:p>
    <w:p w14:paraId="259AA7EC">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25.3.2 出现影响采购公正的违法、违规行为。</w:t>
      </w:r>
    </w:p>
    <w:p w14:paraId="7041AE76">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25.3.3 在苏采云系统规定时间内成功解密电子响应文件的供应商不足三家。</w:t>
      </w:r>
    </w:p>
    <w:p w14:paraId="508C94E8">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25.3.4 磋商过程中符合要求的供应商或者提交最后报价且未超过采购预算或最高限价的供应商不足三家。</w:t>
      </w:r>
    </w:p>
    <w:p w14:paraId="043FC840">
      <w:pPr>
        <w:spacing w:beforeLines="0" w:afterLines="0" w:line="360" w:lineRule="auto"/>
        <w:ind w:firstLine="420"/>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2</w:t>
      </w:r>
      <w:r>
        <w:rPr>
          <w:rFonts w:hint="eastAsia" w:ascii="宋体" w:hAnsi="宋体" w:eastAsia="宋体" w:cs="宋体"/>
          <w:color w:val="000000"/>
          <w:sz w:val="24"/>
          <w:szCs w:val="24"/>
        </w:rPr>
        <w:t>5</w:t>
      </w:r>
      <w:r>
        <w:rPr>
          <w:rFonts w:hint="eastAsia" w:ascii="宋体" w:hAnsi="宋体" w:eastAsia="宋体" w:cs="宋体"/>
          <w:color w:val="000000"/>
          <w:sz w:val="24"/>
          <w:szCs w:val="24"/>
          <w:lang w:val="zh-CN"/>
        </w:rPr>
        <w:t>.3.5</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CN"/>
        </w:rPr>
        <w:t>法律法规规定的其他应当终止情形。</w:t>
      </w:r>
    </w:p>
    <w:p w14:paraId="2B56AFCC">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lang w:val="zh-CN"/>
        </w:rPr>
        <w:t>25.4 如出现25.</w:t>
      </w:r>
      <w:r>
        <w:rPr>
          <w:rFonts w:hint="eastAsia" w:ascii="宋体" w:hAnsi="宋体" w:eastAsia="宋体" w:cs="宋体"/>
          <w:color w:val="000000"/>
          <w:sz w:val="24"/>
          <w:szCs w:val="24"/>
        </w:rPr>
        <w:t>3</w:t>
      </w:r>
      <w:r>
        <w:rPr>
          <w:rFonts w:hint="eastAsia" w:ascii="宋体" w:hAnsi="宋体" w:eastAsia="宋体" w:cs="宋体"/>
          <w:color w:val="000000"/>
          <w:sz w:val="24"/>
          <w:szCs w:val="24"/>
          <w:lang w:val="zh-CN"/>
        </w:rPr>
        <w:t>.</w:t>
      </w:r>
      <w:r>
        <w:rPr>
          <w:rFonts w:hint="eastAsia" w:ascii="宋体" w:hAnsi="宋体" w:eastAsia="宋体" w:cs="宋体"/>
          <w:color w:val="000000"/>
          <w:sz w:val="24"/>
          <w:szCs w:val="24"/>
        </w:rPr>
        <w:t>3</w:t>
      </w:r>
      <w:r>
        <w:rPr>
          <w:rFonts w:hint="eastAsia" w:ascii="宋体" w:hAnsi="宋体" w:eastAsia="宋体" w:cs="宋体"/>
          <w:color w:val="000000"/>
          <w:sz w:val="24"/>
          <w:szCs w:val="24"/>
          <w:lang w:val="zh-CN"/>
        </w:rPr>
        <w:t>或25.3</w:t>
      </w:r>
      <w:r>
        <w:rPr>
          <w:rFonts w:hint="eastAsia" w:ascii="宋体" w:hAnsi="宋体" w:eastAsia="宋体" w:cs="宋体"/>
          <w:color w:val="000000"/>
          <w:sz w:val="24"/>
          <w:szCs w:val="24"/>
        </w:rPr>
        <w:t>.4</w:t>
      </w:r>
      <w:r>
        <w:rPr>
          <w:rFonts w:hint="eastAsia" w:ascii="宋体" w:hAnsi="宋体" w:eastAsia="宋体" w:cs="宋体"/>
          <w:color w:val="000000"/>
          <w:sz w:val="24"/>
          <w:szCs w:val="24"/>
          <w:lang w:val="zh-CN"/>
        </w:rPr>
        <w:t>情形，</w:t>
      </w:r>
      <w:r>
        <w:rPr>
          <w:rFonts w:hint="eastAsia" w:ascii="宋体" w:hAnsi="宋体" w:eastAsia="宋体" w:cs="宋体"/>
          <w:color w:val="000000"/>
          <w:sz w:val="24"/>
          <w:szCs w:val="24"/>
        </w:rPr>
        <w:t>采购</w:t>
      </w:r>
      <w:r>
        <w:rPr>
          <w:rFonts w:hint="eastAsia" w:ascii="宋体" w:hAnsi="宋体" w:eastAsia="宋体" w:cs="宋体"/>
          <w:color w:val="000000"/>
          <w:sz w:val="24"/>
          <w:szCs w:val="24"/>
          <w:lang w:val="zh-CN"/>
        </w:rPr>
        <w:t>活动失败，</w:t>
      </w:r>
      <w:r>
        <w:rPr>
          <w:rFonts w:hint="eastAsia" w:ascii="宋体" w:hAnsi="宋体" w:eastAsia="宋体" w:cs="宋体"/>
          <w:color w:val="000000"/>
          <w:sz w:val="24"/>
          <w:szCs w:val="24"/>
        </w:rPr>
        <w:t>磋商小组应对磋商</w:t>
      </w:r>
      <w:r>
        <w:rPr>
          <w:rFonts w:hint="eastAsia" w:ascii="宋体" w:hAnsi="宋体" w:eastAsia="宋体" w:cs="宋体"/>
          <w:color w:val="000000"/>
          <w:sz w:val="24"/>
          <w:szCs w:val="24"/>
          <w:lang w:val="zh-CN"/>
        </w:rPr>
        <w:t>文件是否存在不合理条款</w:t>
      </w:r>
      <w:r>
        <w:rPr>
          <w:rFonts w:hint="eastAsia" w:ascii="宋体" w:hAnsi="宋体" w:eastAsia="宋体" w:cs="宋体"/>
          <w:color w:val="000000"/>
          <w:sz w:val="24"/>
          <w:szCs w:val="24"/>
        </w:rPr>
        <w:t>进行论证，并在评审报告中写明</w:t>
      </w:r>
      <w:r>
        <w:rPr>
          <w:rFonts w:hint="eastAsia" w:ascii="宋体" w:hAnsi="宋体" w:eastAsia="宋体" w:cs="宋体"/>
          <w:color w:val="000000"/>
          <w:sz w:val="24"/>
          <w:szCs w:val="24"/>
          <w:lang w:val="zh-CN"/>
        </w:rPr>
        <w:t>论证意见。</w:t>
      </w:r>
    </w:p>
    <w:p w14:paraId="1CF736F4">
      <w:pPr>
        <w:snapToGrid w:val="0"/>
        <w:spacing w:before="0" w:beforeLines="-2147483648" w:after="0" w:afterLines="-2147483648"/>
        <w:ind w:firstLine="562" w:firstLineChars="200"/>
        <w:outlineLvl w:val="1"/>
        <w:rPr>
          <w:rFonts w:hint="eastAsia" w:ascii="宋体" w:hAnsi="宋体" w:eastAsia="宋体" w:cs="宋体"/>
          <w:b/>
          <w:bCs w:val="0"/>
          <w:color w:val="000000"/>
          <w:sz w:val="28"/>
          <w:szCs w:val="22"/>
        </w:rPr>
      </w:pPr>
      <w:r>
        <w:rPr>
          <w:rFonts w:hint="eastAsia" w:ascii="宋体" w:hAnsi="宋体" w:eastAsia="宋体" w:cs="宋体"/>
          <w:b/>
          <w:bCs w:val="0"/>
          <w:color w:val="000000"/>
          <w:sz w:val="28"/>
          <w:szCs w:val="22"/>
        </w:rPr>
        <w:t>六、成交</w:t>
      </w:r>
    </w:p>
    <w:p w14:paraId="58E7A032">
      <w:pPr>
        <w:pStyle w:val="44"/>
        <w:spacing w:before="0" w:beforeLines="0" w:after="0" w:afterLines="0" w:line="360" w:lineRule="auto"/>
        <w:ind w:firstLine="422"/>
        <w:rPr>
          <w:rFonts w:hint="eastAsia" w:ascii="宋体" w:hAnsi="宋体" w:eastAsia="宋体" w:cs="宋体"/>
          <w:color w:val="000000"/>
          <w:sz w:val="24"/>
          <w:szCs w:val="24"/>
        </w:rPr>
      </w:pPr>
      <w:r>
        <w:rPr>
          <w:rFonts w:hint="eastAsia" w:ascii="宋体" w:hAnsi="宋体" w:eastAsia="宋体" w:cs="宋体"/>
          <w:color w:val="000000"/>
          <w:sz w:val="24"/>
          <w:szCs w:val="24"/>
        </w:rPr>
        <w:t>26.确定成交单位</w:t>
      </w:r>
    </w:p>
    <w:p w14:paraId="0B4C34D7">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26.1 成交候选供应商的确定原则和数量见磋商文件第五章。</w:t>
      </w:r>
    </w:p>
    <w:p w14:paraId="164A948C">
      <w:pPr>
        <w:spacing w:beforeLines="0" w:afterLines="0" w:line="360" w:lineRule="auto"/>
        <w:ind w:firstLine="420"/>
        <w:rPr>
          <w:rFonts w:hint="eastAsia" w:ascii="宋体" w:hAnsi="宋体" w:eastAsia="宋体" w:cs="宋体"/>
          <w:color w:val="000000"/>
          <w:sz w:val="24"/>
          <w:szCs w:val="24"/>
          <w:highlight w:val="yellow"/>
        </w:rPr>
      </w:pPr>
      <w:r>
        <w:rPr>
          <w:rFonts w:hint="eastAsia" w:ascii="宋体" w:hAnsi="宋体" w:eastAsia="宋体" w:cs="宋体"/>
          <w:color w:val="000000"/>
          <w:sz w:val="24"/>
          <w:szCs w:val="24"/>
        </w:rPr>
        <w:t xml:space="preserve">26.2 </w:t>
      </w:r>
      <w:r>
        <w:rPr>
          <w:rFonts w:hint="eastAsia" w:ascii="宋体" w:hAnsi="宋体" w:eastAsia="宋体" w:cs="宋体"/>
          <w:color w:val="000000"/>
          <w:sz w:val="24"/>
          <w:szCs w:val="24"/>
          <w:lang w:val="zh-CN"/>
        </w:rPr>
        <w:t>按以下第（</w:t>
      </w:r>
      <w:r>
        <w:rPr>
          <w:rFonts w:hint="eastAsia" w:ascii="宋体" w:hAnsi="宋体" w:eastAsia="宋体" w:cs="宋体"/>
          <w:color w:val="000000"/>
          <w:sz w:val="24"/>
          <w:szCs w:val="24"/>
          <w:lang w:eastAsia="zh-CN"/>
        </w:rPr>
        <w:t>1</w:t>
      </w:r>
      <w:r>
        <w:rPr>
          <w:rFonts w:hint="eastAsia" w:ascii="宋体" w:hAnsi="宋体" w:eastAsia="宋体" w:cs="宋体"/>
          <w:color w:val="000000"/>
          <w:sz w:val="24"/>
          <w:szCs w:val="24"/>
          <w:lang w:val="zh-CN"/>
        </w:rPr>
        <w:t>）种方式确定</w:t>
      </w:r>
      <w:r>
        <w:rPr>
          <w:rFonts w:hint="eastAsia" w:ascii="宋体" w:hAnsi="宋体" w:eastAsia="宋体" w:cs="宋体"/>
          <w:color w:val="000000"/>
          <w:sz w:val="24"/>
          <w:szCs w:val="24"/>
        </w:rPr>
        <w:t>成交供应商</w:t>
      </w:r>
    </w:p>
    <w:p w14:paraId="18ED9E4E">
      <w:pPr>
        <w:spacing w:beforeLines="0" w:afterLines="0" w:line="360" w:lineRule="auto"/>
        <w:ind w:firstLine="420"/>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（1）</w:t>
      </w:r>
      <w:r>
        <w:rPr>
          <w:rFonts w:hint="eastAsia" w:ascii="宋体" w:hAnsi="宋体" w:eastAsia="宋体" w:cs="宋体"/>
          <w:color w:val="000000"/>
          <w:sz w:val="24"/>
          <w:szCs w:val="24"/>
        </w:rPr>
        <w:t>磋商小组</w:t>
      </w:r>
      <w:r>
        <w:rPr>
          <w:rFonts w:hint="eastAsia" w:ascii="宋体" w:hAnsi="宋体" w:eastAsia="宋体" w:cs="宋体"/>
          <w:color w:val="000000"/>
          <w:sz w:val="24"/>
          <w:szCs w:val="24"/>
          <w:lang w:val="zh-CN"/>
        </w:rPr>
        <w:t>直接确定排名第一的</w:t>
      </w:r>
      <w:r>
        <w:rPr>
          <w:rFonts w:hint="eastAsia" w:ascii="宋体" w:hAnsi="宋体" w:eastAsia="宋体" w:cs="宋体"/>
          <w:color w:val="000000"/>
          <w:sz w:val="24"/>
          <w:szCs w:val="24"/>
        </w:rPr>
        <w:t>成交候选供应商</w:t>
      </w:r>
      <w:r>
        <w:rPr>
          <w:rFonts w:hint="eastAsia" w:ascii="宋体" w:hAnsi="宋体" w:eastAsia="宋体" w:cs="宋体"/>
          <w:color w:val="000000"/>
          <w:sz w:val="24"/>
          <w:szCs w:val="24"/>
          <w:lang w:val="zh-CN"/>
        </w:rPr>
        <w:t>为</w:t>
      </w:r>
      <w:r>
        <w:rPr>
          <w:rFonts w:hint="eastAsia" w:ascii="宋体" w:hAnsi="宋体" w:eastAsia="宋体" w:cs="宋体"/>
          <w:color w:val="000000"/>
          <w:sz w:val="24"/>
          <w:szCs w:val="24"/>
        </w:rPr>
        <w:t>成交供应商</w:t>
      </w:r>
      <w:r>
        <w:rPr>
          <w:rFonts w:hint="eastAsia" w:ascii="宋体" w:hAnsi="宋体" w:eastAsia="宋体" w:cs="宋体"/>
          <w:color w:val="000000"/>
          <w:sz w:val="24"/>
          <w:szCs w:val="24"/>
          <w:lang w:val="zh-CN"/>
        </w:rPr>
        <w:t>；</w:t>
      </w:r>
    </w:p>
    <w:p w14:paraId="04F694DC">
      <w:pPr>
        <w:spacing w:beforeLines="0" w:afterLines="0" w:line="360" w:lineRule="auto"/>
        <w:ind w:firstLine="420"/>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（2）采购人在</w:t>
      </w:r>
      <w:r>
        <w:rPr>
          <w:rFonts w:hint="eastAsia" w:ascii="宋体" w:hAnsi="宋体" w:eastAsia="宋体" w:cs="宋体"/>
          <w:color w:val="000000"/>
          <w:sz w:val="24"/>
          <w:szCs w:val="24"/>
        </w:rPr>
        <w:t>磋商小组</w:t>
      </w:r>
      <w:r>
        <w:rPr>
          <w:rFonts w:hint="eastAsia" w:ascii="宋体" w:hAnsi="宋体" w:eastAsia="宋体" w:cs="宋体"/>
          <w:color w:val="000000"/>
          <w:sz w:val="24"/>
          <w:szCs w:val="24"/>
          <w:lang w:val="zh-CN"/>
        </w:rPr>
        <w:t>推荐的</w:t>
      </w:r>
      <w:r>
        <w:rPr>
          <w:rFonts w:hint="eastAsia" w:ascii="宋体" w:hAnsi="宋体" w:eastAsia="宋体" w:cs="宋体"/>
          <w:color w:val="000000"/>
          <w:sz w:val="24"/>
          <w:szCs w:val="24"/>
        </w:rPr>
        <w:t>成交候选供应商</w:t>
      </w:r>
      <w:r>
        <w:rPr>
          <w:rFonts w:hint="eastAsia" w:ascii="宋体" w:hAnsi="宋体" w:eastAsia="宋体" w:cs="宋体"/>
          <w:color w:val="000000"/>
          <w:sz w:val="24"/>
          <w:szCs w:val="24"/>
          <w:lang w:val="zh-CN"/>
        </w:rPr>
        <w:t>中按顺序确定</w:t>
      </w:r>
      <w:r>
        <w:rPr>
          <w:rFonts w:hint="eastAsia" w:ascii="宋体" w:hAnsi="宋体" w:eastAsia="宋体" w:cs="宋体"/>
          <w:color w:val="000000"/>
          <w:sz w:val="24"/>
          <w:szCs w:val="24"/>
        </w:rPr>
        <w:t>成交供应商</w:t>
      </w:r>
      <w:r>
        <w:rPr>
          <w:rFonts w:hint="eastAsia" w:ascii="宋体" w:hAnsi="宋体" w:eastAsia="宋体" w:cs="宋体"/>
          <w:color w:val="000000"/>
          <w:sz w:val="24"/>
          <w:szCs w:val="24"/>
          <w:lang w:val="zh-CN"/>
        </w:rPr>
        <w:t>。</w:t>
      </w:r>
    </w:p>
    <w:p w14:paraId="496D28CF">
      <w:pPr>
        <w:spacing w:beforeLines="0" w:afterLines="0" w:line="360" w:lineRule="auto"/>
        <w:ind w:firstLine="420"/>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按第二种方式确定</w:t>
      </w:r>
      <w:r>
        <w:rPr>
          <w:rFonts w:hint="eastAsia" w:ascii="宋体" w:hAnsi="宋体" w:eastAsia="宋体" w:cs="宋体"/>
          <w:color w:val="000000"/>
          <w:sz w:val="24"/>
          <w:szCs w:val="24"/>
        </w:rPr>
        <w:t>成交供应商</w:t>
      </w:r>
      <w:r>
        <w:rPr>
          <w:rFonts w:hint="eastAsia" w:ascii="宋体" w:hAnsi="宋体" w:eastAsia="宋体" w:cs="宋体"/>
          <w:color w:val="000000"/>
          <w:sz w:val="24"/>
          <w:szCs w:val="24"/>
          <w:lang w:val="zh-CN"/>
        </w:rPr>
        <w:t>的，采购代理机构自评审结束之日起两个工作日内将评审报告送交采购人，采购人自收到评审报告之日起五个工作日内，在评审报告推荐的</w:t>
      </w:r>
      <w:r>
        <w:rPr>
          <w:rFonts w:hint="eastAsia" w:ascii="宋体" w:hAnsi="宋体" w:eastAsia="宋体" w:cs="宋体"/>
          <w:color w:val="000000"/>
          <w:sz w:val="24"/>
          <w:szCs w:val="24"/>
        </w:rPr>
        <w:t>成交候选供应商</w:t>
      </w:r>
      <w:r>
        <w:rPr>
          <w:rFonts w:hint="eastAsia" w:ascii="宋体" w:hAnsi="宋体" w:eastAsia="宋体" w:cs="宋体"/>
          <w:color w:val="000000"/>
          <w:sz w:val="24"/>
          <w:szCs w:val="24"/>
          <w:lang w:val="zh-CN"/>
        </w:rPr>
        <w:t>中按顺序确定</w:t>
      </w:r>
      <w:r>
        <w:rPr>
          <w:rFonts w:hint="eastAsia" w:ascii="宋体" w:hAnsi="宋体" w:eastAsia="宋体" w:cs="宋体"/>
          <w:color w:val="000000"/>
          <w:sz w:val="24"/>
          <w:szCs w:val="24"/>
        </w:rPr>
        <w:t>成交供应商</w:t>
      </w:r>
      <w:r>
        <w:rPr>
          <w:rFonts w:hint="eastAsia" w:ascii="宋体" w:hAnsi="宋体" w:eastAsia="宋体" w:cs="宋体"/>
          <w:color w:val="000000"/>
          <w:sz w:val="24"/>
          <w:szCs w:val="24"/>
          <w:lang w:val="zh-CN"/>
        </w:rPr>
        <w:t>。</w:t>
      </w:r>
    </w:p>
    <w:p w14:paraId="025DB438">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26.3 采购代理机构将在“江苏政府采购网”发布成交结果公告，公告期限为1个工作日。</w:t>
      </w:r>
    </w:p>
    <w:p w14:paraId="789BA297">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26.4 </w:t>
      </w:r>
      <w:r>
        <w:rPr>
          <w:rFonts w:hint="eastAsia" w:ascii="宋体" w:hAnsi="宋体" w:eastAsia="宋体" w:cs="宋体"/>
          <w:b/>
          <w:color w:val="000000"/>
          <w:sz w:val="24"/>
          <w:szCs w:val="24"/>
        </w:rPr>
        <w:t>若有充分证据证明成交供应商有下列情况之一的，一经查实将被取消成交资格：</w:t>
      </w:r>
    </w:p>
    <w:p w14:paraId="73A8C0FF">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26.4.1 提供虚假材料谋取成交。</w:t>
      </w:r>
    </w:p>
    <w:p w14:paraId="69D07A78">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26.4.2 向评审专家、采购人或采购代理机构工作人员行贿或者提供其他不正当利益。</w:t>
      </w:r>
    </w:p>
    <w:p w14:paraId="38BA1006">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26.4.3 与其他供应商、评审专家、采购人或采购代理机构工作人员恶意串通。</w:t>
      </w:r>
    </w:p>
    <w:p w14:paraId="0AC3FCF8">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26.4.4 不满足本磋商文件规定的实质性要求，但在评审过程中未被磋商小组发现。</w:t>
      </w:r>
    </w:p>
    <w:p w14:paraId="53F166A1">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26.4.5 采取不正当手段诋毁、排挤其他供应商。</w:t>
      </w:r>
    </w:p>
    <w:p w14:paraId="7288191D">
      <w:pPr>
        <w:pStyle w:val="44"/>
        <w:spacing w:before="0" w:beforeLines="0" w:after="0" w:afterLines="0" w:line="360" w:lineRule="auto"/>
        <w:ind w:firstLine="422"/>
        <w:rPr>
          <w:rFonts w:hint="eastAsia" w:ascii="宋体" w:hAnsi="宋体" w:eastAsia="宋体" w:cs="宋体"/>
          <w:color w:val="000000"/>
          <w:sz w:val="24"/>
          <w:szCs w:val="24"/>
        </w:rPr>
      </w:pPr>
      <w:r>
        <w:rPr>
          <w:rFonts w:hint="eastAsia" w:ascii="宋体" w:hAnsi="宋体" w:eastAsia="宋体" w:cs="宋体"/>
          <w:color w:val="000000"/>
          <w:sz w:val="24"/>
          <w:szCs w:val="24"/>
        </w:rPr>
        <w:t>27.成交通知书</w:t>
      </w:r>
    </w:p>
    <w:p w14:paraId="63B2ABAD">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27.1 成交结果确定后，采购代理机构将向成交供应商发出《成交通知书》。成交供应商可在成交结果公告届满之日起三十日内，登录苏采云系统下载。    </w:t>
      </w:r>
    </w:p>
    <w:p w14:paraId="44F4173B">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因系统存储空间有限，成交结果公告届满之日起三十日后，苏采云系统不再保证提供下载《成交通知书》服务，因未及时下载而造成的不利后果由成交供应商自行承担。</w:t>
      </w:r>
    </w:p>
    <w:p w14:paraId="23E36346">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27.2 《成交通知书》是合同的一个组成部分，对采购人和成交供应商均具有法律效力。《成交通知书》发出后，采购人改变成交结果的，或者成交供应商放弃成交项目的，应当依法承担法律责任。</w:t>
      </w:r>
    </w:p>
    <w:p w14:paraId="6D30334B">
      <w:pPr>
        <w:snapToGrid w:val="0"/>
        <w:spacing w:before="0" w:beforeLines="-2147483648" w:after="0" w:afterLines="-2147483648"/>
        <w:ind w:firstLine="562" w:firstLineChars="200"/>
        <w:outlineLvl w:val="1"/>
        <w:rPr>
          <w:rFonts w:hint="eastAsia" w:ascii="宋体" w:hAnsi="宋体" w:eastAsia="宋体" w:cs="宋体"/>
          <w:b/>
          <w:bCs w:val="0"/>
          <w:color w:val="000000"/>
          <w:sz w:val="28"/>
          <w:szCs w:val="22"/>
        </w:rPr>
      </w:pPr>
      <w:r>
        <w:rPr>
          <w:rFonts w:hint="eastAsia" w:ascii="宋体" w:hAnsi="宋体" w:eastAsia="宋体" w:cs="宋体"/>
          <w:b/>
          <w:bCs w:val="0"/>
          <w:color w:val="000000"/>
          <w:sz w:val="28"/>
          <w:szCs w:val="22"/>
        </w:rPr>
        <w:t>七、授予合同</w:t>
      </w:r>
    </w:p>
    <w:p w14:paraId="278A8D7F">
      <w:pPr>
        <w:pStyle w:val="44"/>
        <w:spacing w:before="0" w:beforeLines="0" w:after="0" w:afterLines="0" w:line="360" w:lineRule="auto"/>
        <w:ind w:firstLine="422"/>
        <w:rPr>
          <w:rFonts w:hint="eastAsia" w:ascii="宋体" w:hAnsi="宋体" w:eastAsia="宋体" w:cs="宋体"/>
          <w:color w:val="000000"/>
          <w:sz w:val="24"/>
          <w:szCs w:val="24"/>
        </w:rPr>
      </w:pPr>
      <w:r>
        <w:rPr>
          <w:rFonts w:hint="eastAsia" w:ascii="宋体" w:hAnsi="宋体" w:eastAsia="宋体" w:cs="宋体"/>
          <w:color w:val="000000"/>
          <w:sz w:val="24"/>
          <w:szCs w:val="24"/>
        </w:rPr>
        <w:t>28.签订合同</w:t>
      </w:r>
    </w:p>
    <w:p w14:paraId="146D565B">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28.l 成交供应商应当在《成交通知书》发出之日起三十日内，按照磋商文件确定的事项与采购人签订政府采购合同。采购人于合同签订后2个工作日内通过苏采云系统进行公示。</w:t>
      </w:r>
    </w:p>
    <w:p w14:paraId="152D2F91">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28.2 磋商文件、成交供应商的响应文件及磋商过程中有关澄清、承诺文件均作为合同附件。</w:t>
      </w:r>
    </w:p>
    <w:p w14:paraId="36DD3F0B">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28.3 签订合同后，成交供应商不得将合同标的进行转包。未经采购人同意，成交供应商也不得采用分包形式履行合同,否则采购人有权终止合同。转包或分包造成采购人损失的，成交供应商应承担相应赔偿责任。</w:t>
      </w:r>
    </w:p>
    <w:p w14:paraId="3A1EB1F2">
      <w:pPr>
        <w:spacing w:beforeLines="0" w:afterLines="0" w:line="360" w:lineRule="auto"/>
        <w:ind w:firstLine="420"/>
        <w:rPr>
          <w:rFonts w:hint="eastAsia" w:ascii="宋体" w:hAnsi="宋体" w:eastAsia="宋体" w:cs="宋体"/>
          <w:color w:val="000000"/>
          <w:sz w:val="24"/>
          <w:szCs w:val="24"/>
          <w:lang w:val="zh-CN"/>
        </w:rPr>
      </w:pPr>
      <w:r>
        <w:rPr>
          <w:rFonts w:hint="eastAsia" w:ascii="宋体" w:hAnsi="宋体" w:eastAsia="宋体" w:cs="宋体"/>
          <w:color w:val="000000"/>
          <w:sz w:val="24"/>
          <w:szCs w:val="24"/>
        </w:rPr>
        <w:t>28.4 成交供应商因自身原因拒绝与采购人签订合同的，</w:t>
      </w:r>
      <w:r>
        <w:rPr>
          <w:rFonts w:hint="eastAsia" w:ascii="宋体" w:hAnsi="宋体" w:eastAsia="宋体" w:cs="宋体"/>
          <w:color w:val="000000"/>
          <w:sz w:val="24"/>
          <w:szCs w:val="24"/>
          <w:lang w:val="zh-CN"/>
        </w:rPr>
        <w:t>不得参加采购人</w:t>
      </w:r>
      <w:r>
        <w:rPr>
          <w:rFonts w:hint="eastAsia" w:ascii="宋体" w:hAnsi="宋体" w:eastAsia="宋体" w:cs="宋体"/>
          <w:color w:val="000000"/>
          <w:sz w:val="24"/>
          <w:szCs w:val="24"/>
        </w:rPr>
        <w:t>重新组织的</w:t>
      </w:r>
      <w:r>
        <w:rPr>
          <w:rFonts w:hint="eastAsia" w:ascii="宋体" w:hAnsi="宋体" w:eastAsia="宋体" w:cs="宋体"/>
          <w:color w:val="000000"/>
          <w:sz w:val="24"/>
          <w:szCs w:val="24"/>
          <w:lang w:val="zh-CN"/>
        </w:rPr>
        <w:t>采购活动</w:t>
      </w:r>
      <w:r>
        <w:rPr>
          <w:rFonts w:hint="eastAsia" w:ascii="宋体" w:hAnsi="宋体" w:eastAsia="宋体" w:cs="宋体"/>
          <w:color w:val="000000"/>
          <w:sz w:val="24"/>
          <w:szCs w:val="24"/>
        </w:rPr>
        <w:t>，且将可能被拒绝参加该采购人</w:t>
      </w:r>
      <w:r>
        <w:rPr>
          <w:rFonts w:hint="eastAsia" w:ascii="宋体" w:hAnsi="宋体" w:eastAsia="宋体" w:cs="宋体"/>
          <w:color w:val="000000"/>
          <w:sz w:val="24"/>
          <w:szCs w:val="24"/>
          <w:lang w:val="zh-CN"/>
        </w:rPr>
        <w:t>一年内</w:t>
      </w:r>
      <w:r>
        <w:rPr>
          <w:rFonts w:hint="eastAsia" w:ascii="宋体" w:hAnsi="宋体" w:eastAsia="宋体" w:cs="宋体"/>
          <w:color w:val="000000"/>
          <w:sz w:val="24"/>
          <w:szCs w:val="24"/>
        </w:rPr>
        <w:t>的其他</w:t>
      </w:r>
      <w:r>
        <w:rPr>
          <w:rFonts w:hint="eastAsia" w:ascii="宋体" w:hAnsi="宋体" w:eastAsia="宋体" w:cs="宋体"/>
          <w:color w:val="000000"/>
          <w:sz w:val="24"/>
          <w:szCs w:val="24"/>
          <w:lang w:val="zh-CN"/>
        </w:rPr>
        <w:t>政府采购活动。</w:t>
      </w:r>
    </w:p>
    <w:p w14:paraId="0F1249EC">
      <w:pPr>
        <w:spacing w:beforeLines="0" w:afterLines="0" w:line="360" w:lineRule="auto"/>
        <w:ind w:firstLine="42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28.5 本项目的非主体、非关键性工作是否允许分包按以下第2 种方式确定：</w:t>
      </w:r>
    </w:p>
    <w:p w14:paraId="7A3F17DB">
      <w:pPr>
        <w:spacing w:beforeLines="0" w:afterLines="0" w:line="360" w:lineRule="auto"/>
        <w:ind w:firstLine="42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（1）允许分包，允许大中型企业向一家或者多家小微企业分包，分包具体内容、金额或比例：    ；       </w:t>
      </w:r>
    </w:p>
    <w:p w14:paraId="141ABFF6">
      <w:pPr>
        <w:spacing w:beforeLines="0" w:afterLines="0" w:line="360" w:lineRule="auto"/>
        <w:ind w:firstLine="42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（2）不允许分包。未经采购人同意，成交供应商也不得采用分包形式履行合同,否则采购人有权终止合同。转包或分包造成采购人损失的，成交供应商应承担相应赔偿责任。</w:t>
      </w:r>
    </w:p>
    <w:p w14:paraId="6B630E08">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28.6</w:t>
      </w:r>
      <w:r>
        <w:rPr>
          <w:rFonts w:hint="eastAsia" w:ascii="宋体" w:hAnsi="宋体" w:eastAsia="宋体" w:cs="宋体"/>
          <w:color w:val="000000"/>
          <w:sz w:val="24"/>
          <w:szCs w:val="24"/>
        </w:rPr>
        <w:t>履约保证金</w:t>
      </w:r>
    </w:p>
    <w:p w14:paraId="2EAEF089">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按照以下第1方式确定履约保证收取方式。</w:t>
      </w:r>
    </w:p>
    <w:p w14:paraId="704A1700">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(1)不收取履约保证金。</w:t>
      </w:r>
    </w:p>
    <w:p w14:paraId="5E621742">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(2)履约保证金应在采购合同签订前提交，履约保证金的金额     ，除银行电汇、网上银行、数字人民币外，供应商还可选用银行保函、担保公司的保证担保或保险公司的保证保险等多种形式向采购人缴纳；</w:t>
      </w:r>
    </w:p>
    <w:p w14:paraId="68946FBC">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p>
    <w:p w14:paraId="798C8AC3">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履约保证金退还的条件：按以下第 b 种方式实行：</w:t>
      </w:r>
    </w:p>
    <w:p w14:paraId="0116D616">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a、货物类项目，项目验收合格，出具验收报告及履约保证金收据申请退付；</w:t>
      </w:r>
    </w:p>
    <w:p w14:paraId="073FC28B">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b、服务类项目，项目履约期满评价合格，出具履约评价报告及履约保证金收据申请退付；</w:t>
      </w:r>
    </w:p>
    <w:p w14:paraId="758CFE52">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c、工程类项目，项目完工验收合格，出具完工证明及履约保证金收据申请退付；</w:t>
      </w:r>
    </w:p>
    <w:p w14:paraId="194A8DFA">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履约保证金退还时间：采购单位收到供应商退付申请后5个工作日内退还；</w:t>
      </w:r>
    </w:p>
    <w:p w14:paraId="7FD6ED5A">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履约保证金不予退还情形：除不可抗力外，供应商不履行与采购人订立的采购合同的，履约保证金不予退还，给采购人造成的损失超过履约保证金数额的，还应当对超过部分予以赔偿；</w:t>
      </w:r>
    </w:p>
    <w:p w14:paraId="6536E8B7">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逾期退还履约保证金的违约责任：除应当退还履约保证金外，还应当按中国人民银行同期贷款基准利率上浮 20％后的利率支付超期资金占用费，但因供应商自身原因导致无法及时退还的除外。</w:t>
      </w:r>
    </w:p>
    <w:p w14:paraId="0C6A3274">
      <w:pPr>
        <w:spacing w:beforeLines="0" w:afterLines="0" w:line="360" w:lineRule="auto"/>
        <w:ind w:firstLine="420"/>
        <w:rPr>
          <w:rFonts w:hint="eastAsia" w:ascii="宋体" w:hAnsi="宋体" w:eastAsia="宋体" w:cs="宋体"/>
          <w:color w:val="000000"/>
          <w:sz w:val="24"/>
          <w:szCs w:val="24"/>
          <w:lang w:val="en-US"/>
        </w:rPr>
      </w:pPr>
      <w:r>
        <w:rPr>
          <w:rFonts w:hint="eastAsia" w:ascii="宋体" w:hAnsi="宋体" w:eastAsia="宋体" w:cs="宋体"/>
          <w:color w:val="000000"/>
          <w:sz w:val="24"/>
          <w:szCs w:val="24"/>
        </w:rPr>
        <w:t>本项目支持和鼓励供应商使用江苏政府采购电子履约保函（保险）代替缴纳履约保证金。关于办理流程、偿付等内容详见江苏省政府采购网《关于在全省政府采购领域推行电子履约保函(保险) 的通知》 (苏财购﹝2023﹞150号)。</w:t>
      </w:r>
    </w:p>
    <w:p w14:paraId="231DE6D2">
      <w:pPr>
        <w:pStyle w:val="44"/>
        <w:spacing w:before="0" w:beforeLines="0" w:after="0" w:afterLines="0" w:line="360" w:lineRule="auto"/>
        <w:ind w:firstLine="422"/>
        <w:rPr>
          <w:rFonts w:hint="eastAsia" w:ascii="宋体" w:hAnsi="宋体" w:eastAsia="宋体" w:cs="宋体"/>
          <w:color w:val="000000"/>
          <w:sz w:val="24"/>
          <w:szCs w:val="24"/>
        </w:rPr>
      </w:pPr>
      <w:r>
        <w:rPr>
          <w:rFonts w:hint="eastAsia" w:ascii="宋体" w:hAnsi="宋体" w:eastAsia="宋体" w:cs="宋体"/>
          <w:color w:val="000000"/>
          <w:sz w:val="24"/>
          <w:szCs w:val="24"/>
        </w:rPr>
        <w:t>29.标的物的追加</w:t>
      </w:r>
    </w:p>
    <w:p w14:paraId="26379254">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29.1 政府采购合同履行中，采购人需追加与合同标的相同的服务（包含与服务相关的货物），在不改变合同其他条款的前提下，可以与成交供应商协商签订补充合同，但所有补充合同的金额不超过原合同金额10%。</w:t>
      </w:r>
    </w:p>
    <w:p w14:paraId="5931A5F3">
      <w:pPr>
        <w:pStyle w:val="44"/>
        <w:spacing w:before="0" w:beforeLines="0" w:after="0" w:afterLines="0" w:line="360" w:lineRule="auto"/>
        <w:ind w:firstLine="42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30.政府采购履约资金扶持政策</w:t>
      </w:r>
    </w:p>
    <w:p w14:paraId="5B762D6A">
      <w:pPr>
        <w:spacing w:beforeLines="0" w:afterLines="0" w:line="360" w:lineRule="auto"/>
        <w:ind w:firstLine="420"/>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30.1 依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p>
    <w:p w14:paraId="1ACA90C2">
      <w:pPr>
        <w:snapToGrid w:val="0"/>
        <w:spacing w:before="0" w:beforeLines="-2147483648" w:after="0" w:afterLines="-2147483648"/>
        <w:ind w:firstLine="562" w:firstLineChars="200"/>
        <w:outlineLvl w:val="1"/>
        <w:rPr>
          <w:rFonts w:hint="eastAsia" w:ascii="宋体" w:hAnsi="宋体" w:eastAsia="宋体" w:cs="宋体"/>
          <w:b/>
          <w:bCs w:val="0"/>
          <w:color w:val="000000"/>
          <w:sz w:val="28"/>
          <w:szCs w:val="22"/>
        </w:rPr>
      </w:pPr>
      <w:r>
        <w:rPr>
          <w:rFonts w:hint="eastAsia" w:ascii="宋体" w:hAnsi="宋体" w:eastAsia="宋体" w:cs="宋体"/>
          <w:b/>
          <w:bCs w:val="0"/>
          <w:color w:val="000000"/>
          <w:sz w:val="28"/>
          <w:szCs w:val="22"/>
        </w:rPr>
        <w:t>八、质疑</w:t>
      </w:r>
    </w:p>
    <w:p w14:paraId="42C05E52">
      <w:pPr>
        <w:spacing w:beforeLines="0" w:afterLines="0" w:line="360" w:lineRule="auto"/>
        <w:ind w:firstLine="420"/>
        <w:rPr>
          <w:rFonts w:hint="eastAsia" w:ascii="宋体" w:hAnsi="宋体" w:eastAsia="宋体" w:cs="宋体"/>
          <w:color w:val="000000"/>
          <w:sz w:val="24"/>
          <w:szCs w:val="24"/>
          <w:lang w:val="zh-CN"/>
        </w:rPr>
      </w:pPr>
      <w:r>
        <w:rPr>
          <w:rFonts w:hint="eastAsia" w:ascii="宋体" w:hAnsi="宋体" w:eastAsia="宋体" w:cs="宋体"/>
          <w:color w:val="000000"/>
          <w:sz w:val="24"/>
          <w:szCs w:val="24"/>
        </w:rPr>
        <w:t>31</w:t>
      </w:r>
      <w:r>
        <w:rPr>
          <w:rFonts w:hint="eastAsia" w:ascii="宋体" w:hAnsi="宋体" w:eastAsia="宋体" w:cs="宋体"/>
          <w:color w:val="000000"/>
          <w:sz w:val="24"/>
          <w:szCs w:val="24"/>
          <w:lang w:val="zh-CN"/>
        </w:rPr>
        <w:t>.提出质疑的供应商应当是参与所质疑项目采购活动的供应商，潜在供应商依法获取其可质疑的采购文件的，可以对采购文件提出质疑。</w:t>
      </w:r>
    </w:p>
    <w:p w14:paraId="467A05E4">
      <w:pPr>
        <w:spacing w:beforeLines="0" w:afterLines="0" w:line="360" w:lineRule="auto"/>
        <w:ind w:firstLine="420"/>
        <w:rPr>
          <w:rFonts w:hint="eastAsia" w:ascii="宋体" w:hAnsi="宋体" w:eastAsia="宋体" w:cs="宋体"/>
          <w:color w:val="000000"/>
          <w:sz w:val="24"/>
          <w:szCs w:val="24"/>
          <w:lang w:val="zh-CN"/>
        </w:rPr>
      </w:pPr>
      <w:r>
        <w:rPr>
          <w:rFonts w:hint="eastAsia" w:ascii="宋体" w:hAnsi="宋体" w:eastAsia="宋体" w:cs="宋体"/>
          <w:color w:val="000000"/>
          <w:sz w:val="24"/>
          <w:szCs w:val="24"/>
        </w:rPr>
        <w:t>32</w:t>
      </w:r>
      <w:r>
        <w:rPr>
          <w:rFonts w:hint="eastAsia" w:ascii="宋体" w:hAnsi="宋体" w:eastAsia="宋体" w:cs="宋体"/>
          <w:color w:val="000000"/>
          <w:sz w:val="24"/>
          <w:szCs w:val="24"/>
          <w:lang w:val="zh-CN"/>
        </w:rPr>
        <w:t>.供应商认为采购文件、采购过程和采购结果使自己的权益受到损害的，可以在知道或应知其权益受到损害之日起七个工作日内，</w:t>
      </w:r>
      <w:r>
        <w:rPr>
          <w:rFonts w:hint="eastAsia" w:ascii="宋体" w:hAnsi="宋体" w:eastAsia="宋体" w:cs="宋体"/>
          <w:color w:val="000000"/>
          <w:sz w:val="24"/>
          <w:szCs w:val="24"/>
        </w:rPr>
        <w:t>按照第3</w:t>
      </w:r>
      <w:r>
        <w:rPr>
          <w:rFonts w:hint="eastAsia" w:ascii="宋体" w:hAnsi="宋体" w:eastAsia="宋体" w:cs="宋体"/>
          <w:color w:val="000000"/>
          <w:sz w:val="24"/>
          <w:szCs w:val="24"/>
          <w:lang w:val="zh-CN"/>
        </w:rPr>
        <w:t>4</w:t>
      </w:r>
      <w:r>
        <w:rPr>
          <w:rFonts w:hint="eastAsia" w:ascii="宋体" w:hAnsi="宋体" w:eastAsia="宋体" w:cs="宋体"/>
          <w:color w:val="000000"/>
          <w:sz w:val="24"/>
          <w:szCs w:val="24"/>
        </w:rPr>
        <w:t>条</w:t>
      </w:r>
      <w:r>
        <w:rPr>
          <w:rFonts w:hint="eastAsia" w:ascii="宋体" w:hAnsi="宋体" w:eastAsia="宋体" w:cs="宋体"/>
          <w:color w:val="000000"/>
          <w:sz w:val="24"/>
          <w:szCs w:val="24"/>
          <w:lang w:val="zh-CN"/>
        </w:rPr>
        <w:t>、</w:t>
      </w:r>
      <w:r>
        <w:rPr>
          <w:rFonts w:hint="eastAsia" w:ascii="宋体" w:hAnsi="宋体" w:eastAsia="宋体" w:cs="宋体"/>
          <w:color w:val="000000"/>
          <w:sz w:val="24"/>
          <w:szCs w:val="24"/>
        </w:rPr>
        <w:t>第35</w:t>
      </w:r>
      <w:r>
        <w:rPr>
          <w:rFonts w:hint="eastAsia" w:ascii="宋体" w:hAnsi="宋体" w:eastAsia="宋体" w:cs="宋体"/>
          <w:color w:val="000000"/>
          <w:sz w:val="24"/>
          <w:szCs w:val="24"/>
          <w:lang w:val="zh-CN"/>
        </w:rPr>
        <w:t>条</w:t>
      </w:r>
      <w:r>
        <w:rPr>
          <w:rFonts w:hint="eastAsia" w:ascii="宋体" w:hAnsi="宋体" w:eastAsia="宋体" w:cs="宋体"/>
          <w:color w:val="000000"/>
          <w:sz w:val="24"/>
          <w:szCs w:val="24"/>
        </w:rPr>
        <w:t>之</w:t>
      </w:r>
      <w:r>
        <w:rPr>
          <w:rFonts w:hint="eastAsia" w:ascii="宋体" w:hAnsi="宋体" w:eastAsia="宋体" w:cs="宋体"/>
          <w:color w:val="000000"/>
          <w:sz w:val="24"/>
          <w:szCs w:val="24"/>
          <w:lang w:val="zh-CN"/>
        </w:rPr>
        <w:t>规定以书面形式向采购人或采购代理机构提出质疑。</w:t>
      </w:r>
      <w:r>
        <w:rPr>
          <w:rFonts w:hint="eastAsia" w:ascii="宋体" w:hAnsi="宋体" w:eastAsia="宋体" w:cs="宋体"/>
          <w:b/>
          <w:color w:val="000000"/>
          <w:sz w:val="24"/>
          <w:szCs w:val="24"/>
          <w:lang w:val="zh-CN"/>
        </w:rPr>
        <w:t>上述应知其权益受到损害之日是指：</w:t>
      </w:r>
    </w:p>
    <w:p w14:paraId="2DC42786">
      <w:pPr>
        <w:spacing w:beforeLines="0" w:afterLines="0" w:line="360" w:lineRule="auto"/>
        <w:ind w:firstLine="420"/>
        <w:rPr>
          <w:rFonts w:hint="eastAsia" w:ascii="宋体" w:hAnsi="宋体" w:eastAsia="宋体" w:cs="宋体"/>
          <w:color w:val="000000"/>
          <w:sz w:val="24"/>
          <w:szCs w:val="24"/>
          <w:lang w:val="zh-CN"/>
        </w:rPr>
      </w:pPr>
      <w:r>
        <w:rPr>
          <w:rFonts w:hint="eastAsia" w:ascii="宋体" w:hAnsi="宋体" w:eastAsia="宋体" w:cs="宋体"/>
          <w:color w:val="000000"/>
          <w:sz w:val="24"/>
          <w:szCs w:val="24"/>
        </w:rPr>
        <w:t>3</w:t>
      </w:r>
      <w:r>
        <w:rPr>
          <w:rFonts w:hint="eastAsia" w:ascii="宋体" w:hAnsi="宋体" w:eastAsia="宋体" w:cs="宋体"/>
          <w:color w:val="000000"/>
          <w:sz w:val="24"/>
          <w:szCs w:val="24"/>
          <w:lang w:val="zh-CN"/>
        </w:rPr>
        <w:t>2.1</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CN"/>
        </w:rPr>
        <w:t>对采购文件提出质疑的，为收到采购文件之日或者采购文件公告期限届满之日。</w:t>
      </w:r>
    </w:p>
    <w:p w14:paraId="69E75742">
      <w:pPr>
        <w:spacing w:beforeLines="0" w:afterLines="0" w:line="360" w:lineRule="auto"/>
        <w:ind w:firstLine="420"/>
        <w:rPr>
          <w:rFonts w:hint="eastAsia" w:ascii="宋体" w:hAnsi="宋体" w:eastAsia="宋体" w:cs="宋体"/>
          <w:color w:val="000000"/>
          <w:sz w:val="24"/>
          <w:szCs w:val="24"/>
          <w:lang w:val="zh-CN"/>
        </w:rPr>
      </w:pPr>
      <w:r>
        <w:rPr>
          <w:rFonts w:hint="eastAsia" w:ascii="宋体" w:hAnsi="宋体" w:eastAsia="宋体" w:cs="宋体"/>
          <w:color w:val="000000"/>
          <w:sz w:val="24"/>
          <w:szCs w:val="24"/>
        </w:rPr>
        <w:t>3</w:t>
      </w:r>
      <w:r>
        <w:rPr>
          <w:rFonts w:hint="eastAsia" w:ascii="宋体" w:hAnsi="宋体" w:eastAsia="宋体" w:cs="宋体"/>
          <w:color w:val="000000"/>
          <w:sz w:val="24"/>
          <w:szCs w:val="24"/>
          <w:lang w:val="zh-CN"/>
        </w:rPr>
        <w:t>2.2</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CN"/>
        </w:rPr>
        <w:t>对采购过程提出质疑的，为各采购程序环节结束之日。</w:t>
      </w:r>
    </w:p>
    <w:p w14:paraId="4937C421">
      <w:pPr>
        <w:spacing w:beforeLines="0" w:afterLines="0" w:line="360" w:lineRule="auto"/>
        <w:ind w:firstLine="420"/>
        <w:rPr>
          <w:rFonts w:hint="eastAsia" w:ascii="宋体" w:hAnsi="宋体" w:eastAsia="宋体" w:cs="宋体"/>
          <w:color w:val="000000"/>
          <w:sz w:val="24"/>
          <w:szCs w:val="24"/>
          <w:lang w:val="zh-CN"/>
        </w:rPr>
      </w:pPr>
      <w:r>
        <w:rPr>
          <w:rFonts w:hint="eastAsia" w:ascii="宋体" w:hAnsi="宋体" w:eastAsia="宋体" w:cs="宋体"/>
          <w:color w:val="000000"/>
          <w:sz w:val="24"/>
          <w:szCs w:val="24"/>
        </w:rPr>
        <w:t>3</w:t>
      </w:r>
      <w:r>
        <w:rPr>
          <w:rFonts w:hint="eastAsia" w:ascii="宋体" w:hAnsi="宋体" w:eastAsia="宋体" w:cs="宋体"/>
          <w:color w:val="000000"/>
          <w:sz w:val="24"/>
          <w:szCs w:val="24"/>
          <w:lang w:val="zh-CN"/>
        </w:rPr>
        <w:t>2.3</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CN"/>
        </w:rPr>
        <w:t>对成交结果提出质疑的，为成交结果公告期限届满之日。</w:t>
      </w:r>
    </w:p>
    <w:p w14:paraId="4EAA8DF0">
      <w:pPr>
        <w:spacing w:beforeLines="0" w:afterLines="0" w:line="360" w:lineRule="auto"/>
        <w:ind w:firstLine="420"/>
        <w:rPr>
          <w:rFonts w:hint="eastAsia" w:ascii="宋体" w:hAnsi="宋体" w:eastAsia="宋体" w:cs="宋体"/>
          <w:color w:val="000000"/>
          <w:sz w:val="24"/>
          <w:szCs w:val="24"/>
          <w:lang w:val="zh-CN"/>
        </w:rPr>
      </w:pPr>
      <w:r>
        <w:rPr>
          <w:rFonts w:hint="eastAsia" w:ascii="宋体" w:hAnsi="宋体" w:eastAsia="宋体" w:cs="宋体"/>
          <w:color w:val="000000"/>
          <w:sz w:val="24"/>
          <w:szCs w:val="24"/>
        </w:rPr>
        <w:t>33.</w:t>
      </w:r>
      <w:r>
        <w:rPr>
          <w:rFonts w:hint="eastAsia" w:ascii="宋体" w:hAnsi="宋体" w:eastAsia="宋体" w:cs="宋体"/>
          <w:color w:val="000000"/>
          <w:sz w:val="24"/>
          <w:szCs w:val="24"/>
          <w:lang w:val="zh-CN"/>
        </w:rPr>
        <w:t>供应商应当在法定质疑期内一次性提出针对同一采购程序环节的质疑。供应商如在法定期限内对同一采购程序环节提出多次质疑的，采购代理机构</w:t>
      </w:r>
      <w:r>
        <w:rPr>
          <w:rFonts w:hint="eastAsia" w:ascii="宋体" w:hAnsi="宋体" w:eastAsia="宋体" w:cs="宋体"/>
          <w:color w:val="000000"/>
          <w:sz w:val="24"/>
          <w:szCs w:val="24"/>
        </w:rPr>
        <w:t>或</w:t>
      </w:r>
      <w:r>
        <w:rPr>
          <w:rFonts w:hint="eastAsia" w:ascii="宋体" w:hAnsi="宋体" w:eastAsia="宋体" w:cs="宋体"/>
          <w:color w:val="000000"/>
          <w:sz w:val="24"/>
          <w:szCs w:val="24"/>
          <w:lang w:val="zh-CN"/>
        </w:rPr>
        <w:t>采购人将只对供应商第一次质疑作出答复。</w:t>
      </w:r>
    </w:p>
    <w:p w14:paraId="341B8FFD">
      <w:pPr>
        <w:spacing w:beforeLines="0" w:afterLines="0" w:line="360" w:lineRule="auto"/>
        <w:ind w:firstLine="420"/>
        <w:rPr>
          <w:rFonts w:hint="eastAsia" w:ascii="宋体" w:hAnsi="宋体" w:eastAsia="宋体" w:cs="宋体"/>
          <w:color w:val="000000"/>
          <w:sz w:val="24"/>
          <w:szCs w:val="24"/>
          <w:lang w:val="zh-CN"/>
        </w:rPr>
      </w:pPr>
      <w:r>
        <w:rPr>
          <w:rFonts w:hint="eastAsia" w:ascii="宋体" w:hAnsi="宋体" w:eastAsia="宋体" w:cs="宋体"/>
          <w:color w:val="000000"/>
          <w:sz w:val="24"/>
          <w:szCs w:val="24"/>
        </w:rPr>
        <w:t>34.</w:t>
      </w:r>
      <w:r>
        <w:rPr>
          <w:rFonts w:hint="eastAsia" w:ascii="宋体" w:hAnsi="宋体" w:eastAsia="宋体" w:cs="宋体"/>
          <w:color w:val="000000"/>
          <w:sz w:val="24"/>
          <w:szCs w:val="24"/>
          <w:lang w:val="zh-CN"/>
        </w:rPr>
        <w:t>供应商提出质疑应提交《质疑函》原件，且尽可能通过邮寄方式送达，采购代理机构和采购人不接受无运单的快件。《质疑函》应按照本磋商文件中《质疑函范本》</w:t>
      </w:r>
      <w:r>
        <w:rPr>
          <w:rFonts w:hint="eastAsia" w:ascii="宋体" w:hAnsi="宋体" w:eastAsia="宋体" w:cs="宋体"/>
          <w:color w:val="000000"/>
          <w:sz w:val="24"/>
          <w:szCs w:val="24"/>
        </w:rPr>
        <w:t>的</w:t>
      </w:r>
      <w:r>
        <w:rPr>
          <w:rFonts w:hint="eastAsia" w:ascii="宋体" w:hAnsi="宋体" w:eastAsia="宋体" w:cs="宋体"/>
          <w:color w:val="000000"/>
          <w:sz w:val="24"/>
          <w:szCs w:val="24"/>
          <w:lang w:val="zh-CN"/>
        </w:rPr>
        <w:t>格式和内容填写。</w:t>
      </w:r>
    </w:p>
    <w:p w14:paraId="185FCD81">
      <w:pPr>
        <w:spacing w:beforeLines="0" w:afterLines="0" w:line="360" w:lineRule="auto"/>
        <w:ind w:firstLine="420"/>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供应商如组成联合体参加采购活动，《质疑函范本》中要求加盖公章之处，联合体各方均须按要求加盖公章。</w:t>
      </w:r>
    </w:p>
    <w:p w14:paraId="343D0356">
      <w:pPr>
        <w:spacing w:beforeLines="0" w:afterLines="0"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35.</w:t>
      </w:r>
      <w:r>
        <w:rPr>
          <w:rFonts w:hint="eastAsia" w:ascii="宋体" w:hAnsi="宋体" w:eastAsia="宋体" w:cs="宋体"/>
          <w:b/>
          <w:color w:val="000000"/>
          <w:sz w:val="24"/>
          <w:szCs w:val="24"/>
          <w:lang w:val="zh-CN"/>
        </w:rPr>
        <w:t>供应商（含潜在供应商）对采购方式、采购需求、供应商资格条件、评审方法与评审标准、合同文本的询问</w:t>
      </w:r>
      <w:r>
        <w:rPr>
          <w:rFonts w:hint="eastAsia" w:ascii="宋体" w:hAnsi="宋体" w:eastAsia="宋体" w:cs="宋体"/>
          <w:b/>
          <w:color w:val="000000"/>
          <w:sz w:val="24"/>
          <w:szCs w:val="24"/>
        </w:rPr>
        <w:t>或</w:t>
      </w:r>
      <w:r>
        <w:rPr>
          <w:rFonts w:hint="eastAsia" w:ascii="宋体" w:hAnsi="宋体" w:eastAsia="宋体" w:cs="宋体"/>
          <w:b/>
          <w:color w:val="000000"/>
          <w:sz w:val="24"/>
          <w:szCs w:val="24"/>
          <w:lang w:val="zh-CN"/>
        </w:rPr>
        <w:t>质疑向采购人提出，由采购人负责答复。</w:t>
      </w:r>
      <w:r>
        <w:rPr>
          <w:rFonts w:hint="eastAsia" w:ascii="宋体" w:hAnsi="宋体" w:eastAsia="宋体" w:cs="宋体"/>
          <w:color w:val="000000"/>
          <w:sz w:val="24"/>
          <w:szCs w:val="24"/>
          <w:lang w:val="zh-CN"/>
        </w:rPr>
        <w:t>供应商对</w:t>
      </w:r>
      <w:r>
        <w:rPr>
          <w:rFonts w:hint="eastAsia" w:ascii="宋体" w:hAnsi="宋体" w:eastAsia="宋体" w:cs="宋体"/>
          <w:color w:val="000000"/>
          <w:sz w:val="24"/>
          <w:szCs w:val="24"/>
        </w:rPr>
        <w:t>采购过程、采购结果</w:t>
      </w:r>
      <w:r>
        <w:rPr>
          <w:rFonts w:hint="eastAsia" w:ascii="宋体" w:hAnsi="宋体" w:eastAsia="宋体" w:cs="宋体"/>
          <w:color w:val="000000"/>
          <w:sz w:val="24"/>
          <w:szCs w:val="24"/>
          <w:lang w:val="zh-CN"/>
        </w:rPr>
        <w:t>的询问</w:t>
      </w:r>
      <w:r>
        <w:rPr>
          <w:rFonts w:hint="eastAsia" w:ascii="宋体" w:hAnsi="宋体" w:eastAsia="宋体" w:cs="宋体"/>
          <w:color w:val="000000"/>
          <w:sz w:val="24"/>
          <w:szCs w:val="24"/>
        </w:rPr>
        <w:t>或</w:t>
      </w:r>
      <w:r>
        <w:rPr>
          <w:rFonts w:hint="eastAsia" w:ascii="宋体" w:hAnsi="宋体" w:eastAsia="宋体" w:cs="宋体"/>
          <w:color w:val="000000"/>
          <w:sz w:val="24"/>
          <w:szCs w:val="24"/>
          <w:lang w:val="zh-CN"/>
        </w:rPr>
        <w:t>质疑向采购代理机构提出，由采购代理机构负责答复。</w:t>
      </w:r>
      <w:r>
        <w:rPr>
          <w:rFonts w:hint="eastAsia" w:ascii="宋体" w:hAnsi="宋体" w:eastAsia="宋体" w:cs="宋体"/>
          <w:color w:val="000000"/>
          <w:sz w:val="24"/>
          <w:szCs w:val="24"/>
        </w:rPr>
        <w:t xml:space="preserve">  </w:t>
      </w:r>
    </w:p>
    <w:p w14:paraId="522638F3">
      <w:pPr>
        <w:spacing w:beforeLines="0" w:afterLines="0" w:line="360" w:lineRule="auto"/>
        <w:ind w:firstLine="422"/>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t>采购人《质疑</w:t>
      </w:r>
      <w:r>
        <w:rPr>
          <w:rFonts w:hint="eastAsia" w:ascii="宋体" w:hAnsi="宋体" w:eastAsia="宋体" w:cs="宋体"/>
          <w:b/>
          <w:color w:val="000000"/>
          <w:sz w:val="24"/>
          <w:szCs w:val="24"/>
          <w:highlight w:val="none"/>
        </w:rPr>
        <w:t>函</w:t>
      </w:r>
      <w:r>
        <w:rPr>
          <w:rFonts w:hint="eastAsia" w:ascii="宋体" w:hAnsi="宋体" w:eastAsia="宋体" w:cs="宋体"/>
          <w:b/>
          <w:color w:val="000000"/>
          <w:sz w:val="24"/>
          <w:szCs w:val="24"/>
          <w:highlight w:val="none"/>
          <w:lang w:val="zh-CN"/>
        </w:rPr>
        <w:t>》接收人及联系方式见采购文件第一章。</w:t>
      </w:r>
    </w:p>
    <w:p w14:paraId="2A9E040C">
      <w:pPr>
        <w:spacing w:beforeLines="0" w:afterLines="0"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采购代理机构《质疑函》收件人地址：</w:t>
      </w:r>
      <w:r>
        <w:rPr>
          <w:rFonts w:hint="eastAsia" w:ascii="宋体" w:hAnsi="宋体" w:cs="宋体"/>
          <w:color w:val="000000"/>
          <w:sz w:val="24"/>
          <w:szCs w:val="24"/>
          <w:highlight w:val="none"/>
          <w:lang w:val="zh-CN"/>
        </w:rPr>
        <w:t>南京市秦淮区中和桥路1号（光华茂1号门）6楼6001室</w:t>
      </w:r>
      <w:r>
        <w:rPr>
          <w:rFonts w:hint="eastAsia" w:ascii="宋体" w:hAnsi="宋体" w:eastAsia="宋体" w:cs="宋体"/>
          <w:color w:val="000000"/>
          <w:sz w:val="24"/>
          <w:szCs w:val="24"/>
          <w:highlight w:val="none"/>
          <w:lang w:val="zh-CN"/>
        </w:rPr>
        <w:t>，联系电话：025-</w:t>
      </w:r>
      <w:r>
        <w:rPr>
          <w:rFonts w:hint="eastAsia" w:ascii="宋体" w:hAnsi="宋体" w:eastAsia="宋体" w:cs="宋体"/>
          <w:color w:val="000000"/>
          <w:sz w:val="24"/>
          <w:szCs w:val="24"/>
          <w:highlight w:val="none"/>
          <w:lang w:val="en-US" w:eastAsia="zh-CN"/>
        </w:rPr>
        <w:t>85382797</w:t>
      </w:r>
      <w:r>
        <w:rPr>
          <w:rFonts w:hint="eastAsia" w:ascii="宋体" w:hAnsi="宋体" w:eastAsia="宋体" w:cs="宋体"/>
          <w:color w:val="000000"/>
          <w:sz w:val="24"/>
          <w:szCs w:val="24"/>
          <w:highlight w:val="none"/>
          <w:lang w:val="zh-CN"/>
        </w:rPr>
        <w:t>。</w:t>
      </w:r>
      <w:r>
        <w:rPr>
          <w:rFonts w:hint="eastAsia" w:ascii="宋体" w:hAnsi="宋体" w:eastAsia="宋体" w:cs="宋体"/>
          <w:color w:val="000000"/>
          <w:sz w:val="24"/>
          <w:szCs w:val="24"/>
          <w:highlight w:val="none"/>
        </w:rPr>
        <w:t xml:space="preserve"> </w:t>
      </w:r>
    </w:p>
    <w:p w14:paraId="3C111E5A">
      <w:pPr>
        <w:spacing w:beforeLines="0" w:afterLines="0" w:line="360" w:lineRule="auto"/>
        <w:ind w:firstLine="422"/>
        <w:rPr>
          <w:rFonts w:hint="eastAsia" w:ascii="宋体" w:hAnsi="宋体" w:eastAsia="宋体" w:cs="宋体"/>
          <w:b/>
          <w:color w:val="000000"/>
          <w:sz w:val="24"/>
          <w:szCs w:val="24"/>
          <w:lang w:val="zh-CN"/>
        </w:rPr>
      </w:pPr>
      <w:r>
        <w:rPr>
          <w:rFonts w:hint="eastAsia" w:ascii="宋体" w:hAnsi="宋体" w:eastAsia="宋体" w:cs="宋体"/>
          <w:b/>
          <w:color w:val="000000"/>
          <w:sz w:val="24"/>
          <w:szCs w:val="24"/>
        </w:rPr>
        <w:t>由采购人负责答复的质疑，采购人将《质疑答复函》抄送</w:t>
      </w:r>
      <w:r>
        <w:rPr>
          <w:rFonts w:hint="eastAsia" w:ascii="宋体" w:hAnsi="宋体" w:eastAsia="宋体" w:cs="宋体"/>
          <w:b/>
          <w:color w:val="000000"/>
          <w:sz w:val="24"/>
          <w:szCs w:val="24"/>
          <w:lang w:val="zh-CN"/>
        </w:rPr>
        <w:t>采购代理机构</w:t>
      </w:r>
      <w:r>
        <w:rPr>
          <w:rFonts w:hint="eastAsia" w:ascii="宋体" w:hAnsi="宋体" w:eastAsia="宋体" w:cs="宋体"/>
          <w:b/>
          <w:color w:val="000000"/>
          <w:sz w:val="24"/>
          <w:szCs w:val="24"/>
        </w:rPr>
        <w:t>。</w:t>
      </w:r>
    </w:p>
    <w:p w14:paraId="6CFCEF4A">
      <w:pPr>
        <w:spacing w:beforeLines="0" w:afterLines="0" w:line="360" w:lineRule="auto"/>
        <w:ind w:firstLine="420"/>
        <w:rPr>
          <w:rFonts w:hint="eastAsia" w:ascii="宋体" w:hAnsi="宋体" w:eastAsia="宋体" w:cs="宋体"/>
          <w:color w:val="000000"/>
          <w:sz w:val="24"/>
          <w:szCs w:val="24"/>
          <w:lang w:val="zh-CN"/>
        </w:rPr>
      </w:pPr>
      <w:r>
        <w:rPr>
          <w:rFonts w:hint="eastAsia" w:ascii="宋体" w:hAnsi="宋体" w:eastAsia="宋体" w:cs="宋体"/>
          <w:color w:val="000000"/>
          <w:sz w:val="24"/>
          <w:szCs w:val="24"/>
        </w:rPr>
        <w:t>36.</w:t>
      </w:r>
      <w:r>
        <w:rPr>
          <w:rFonts w:hint="eastAsia" w:ascii="宋体" w:hAnsi="宋体" w:eastAsia="宋体" w:cs="宋体"/>
          <w:color w:val="000000"/>
          <w:sz w:val="24"/>
          <w:szCs w:val="24"/>
          <w:lang w:val="zh-CN"/>
        </w:rPr>
        <w:t>以下情形的质疑不予受理：</w:t>
      </w:r>
    </w:p>
    <w:p w14:paraId="68AAD69F">
      <w:pPr>
        <w:spacing w:beforeLines="0" w:afterLines="0" w:line="360" w:lineRule="auto"/>
        <w:ind w:firstLine="420"/>
        <w:rPr>
          <w:rFonts w:hint="eastAsia" w:ascii="宋体" w:hAnsi="宋体" w:eastAsia="宋体" w:cs="宋体"/>
          <w:color w:val="000000"/>
          <w:sz w:val="24"/>
          <w:szCs w:val="24"/>
          <w:lang w:val="zh-CN"/>
        </w:rPr>
      </w:pPr>
      <w:r>
        <w:rPr>
          <w:rFonts w:hint="eastAsia" w:ascii="宋体" w:hAnsi="宋体" w:eastAsia="宋体" w:cs="宋体"/>
          <w:color w:val="000000"/>
          <w:sz w:val="24"/>
          <w:szCs w:val="24"/>
        </w:rPr>
        <w:t>36</w:t>
      </w:r>
      <w:r>
        <w:rPr>
          <w:rFonts w:hint="eastAsia" w:ascii="宋体" w:hAnsi="宋体" w:eastAsia="宋体" w:cs="宋体"/>
          <w:color w:val="000000"/>
          <w:sz w:val="24"/>
          <w:szCs w:val="24"/>
          <w:lang w:val="zh-CN"/>
        </w:rPr>
        <w:t>.1</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CN"/>
        </w:rPr>
        <w:t>内容不符合《政府采购质疑和投诉办法》第十二条规定的质疑。</w:t>
      </w:r>
    </w:p>
    <w:p w14:paraId="5CB26BCF">
      <w:pPr>
        <w:spacing w:beforeLines="0" w:afterLines="0" w:line="360" w:lineRule="auto"/>
        <w:ind w:firstLine="420"/>
        <w:rPr>
          <w:rFonts w:hint="eastAsia" w:ascii="宋体" w:hAnsi="宋体" w:eastAsia="宋体" w:cs="宋体"/>
          <w:color w:val="000000"/>
          <w:sz w:val="24"/>
          <w:szCs w:val="24"/>
          <w:lang w:val="zh-CN"/>
        </w:rPr>
      </w:pPr>
      <w:r>
        <w:rPr>
          <w:rFonts w:hint="eastAsia" w:ascii="宋体" w:hAnsi="宋体" w:eastAsia="宋体" w:cs="宋体"/>
          <w:color w:val="000000"/>
          <w:sz w:val="24"/>
          <w:szCs w:val="24"/>
        </w:rPr>
        <w:t>36</w:t>
      </w:r>
      <w:r>
        <w:rPr>
          <w:rFonts w:hint="eastAsia" w:ascii="宋体" w:hAnsi="宋体" w:eastAsia="宋体" w:cs="宋体"/>
          <w:color w:val="000000"/>
          <w:sz w:val="24"/>
          <w:szCs w:val="24"/>
          <w:lang w:val="zh-CN"/>
        </w:rPr>
        <w:t>.2</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CN"/>
        </w:rPr>
        <w:t>超出政府采购法定期限的质疑。</w:t>
      </w:r>
    </w:p>
    <w:p w14:paraId="3D5534E5">
      <w:pPr>
        <w:spacing w:beforeLines="0" w:afterLines="0" w:line="360" w:lineRule="auto"/>
        <w:ind w:firstLine="420"/>
        <w:rPr>
          <w:rFonts w:hint="eastAsia" w:ascii="宋体" w:hAnsi="宋体" w:eastAsia="宋体" w:cs="宋体"/>
          <w:color w:val="000000"/>
          <w:sz w:val="24"/>
          <w:szCs w:val="24"/>
          <w:lang w:val="zh-CN"/>
        </w:rPr>
      </w:pPr>
      <w:r>
        <w:rPr>
          <w:rFonts w:hint="eastAsia" w:ascii="宋体" w:hAnsi="宋体" w:eastAsia="宋体" w:cs="宋体"/>
          <w:color w:val="000000"/>
          <w:sz w:val="24"/>
          <w:szCs w:val="24"/>
        </w:rPr>
        <w:t>36</w:t>
      </w:r>
      <w:r>
        <w:rPr>
          <w:rFonts w:hint="eastAsia" w:ascii="宋体" w:hAnsi="宋体" w:eastAsia="宋体" w:cs="宋体"/>
          <w:color w:val="000000"/>
          <w:sz w:val="24"/>
          <w:szCs w:val="24"/>
          <w:lang w:val="zh-CN"/>
        </w:rPr>
        <w:t>.3</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CN"/>
        </w:rPr>
        <w:t>以传真、电子邮件等方式递交的非原件形式的质疑。</w:t>
      </w:r>
    </w:p>
    <w:p w14:paraId="36647AE6">
      <w:pPr>
        <w:spacing w:beforeLines="0" w:afterLines="0" w:line="360" w:lineRule="auto"/>
        <w:ind w:firstLine="420"/>
        <w:rPr>
          <w:rFonts w:hint="eastAsia" w:ascii="宋体" w:hAnsi="宋体" w:eastAsia="宋体" w:cs="宋体"/>
          <w:color w:val="000000"/>
          <w:sz w:val="24"/>
          <w:szCs w:val="24"/>
          <w:lang w:val="zh-CN"/>
        </w:rPr>
      </w:pPr>
      <w:r>
        <w:rPr>
          <w:rFonts w:hint="eastAsia" w:ascii="宋体" w:hAnsi="宋体" w:eastAsia="宋体" w:cs="宋体"/>
          <w:color w:val="000000"/>
          <w:sz w:val="24"/>
          <w:szCs w:val="24"/>
        </w:rPr>
        <w:t>36</w:t>
      </w:r>
      <w:r>
        <w:rPr>
          <w:rFonts w:hint="eastAsia" w:ascii="宋体" w:hAnsi="宋体" w:eastAsia="宋体" w:cs="宋体"/>
          <w:color w:val="000000"/>
          <w:sz w:val="24"/>
          <w:szCs w:val="24"/>
          <w:lang w:val="zh-CN"/>
        </w:rPr>
        <w:t>.4</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CN"/>
        </w:rPr>
        <w:t>未参加采购活动或在采购活动中自身权益未受到损害的供应商所提出的质疑。</w:t>
      </w:r>
    </w:p>
    <w:p w14:paraId="1F425986">
      <w:pPr>
        <w:spacing w:beforeLines="0" w:afterLines="0" w:line="360" w:lineRule="auto"/>
        <w:ind w:firstLine="420"/>
        <w:rPr>
          <w:rFonts w:hint="eastAsia" w:ascii="宋体" w:hAnsi="宋体" w:eastAsia="宋体" w:cs="宋体"/>
          <w:color w:val="000000"/>
          <w:sz w:val="24"/>
          <w:szCs w:val="24"/>
          <w:lang w:val="zh-CN"/>
        </w:rPr>
      </w:pPr>
      <w:r>
        <w:rPr>
          <w:rFonts w:hint="eastAsia" w:ascii="宋体" w:hAnsi="宋体" w:eastAsia="宋体" w:cs="宋体"/>
          <w:color w:val="000000"/>
          <w:sz w:val="24"/>
          <w:szCs w:val="24"/>
        </w:rPr>
        <w:t>36</w:t>
      </w:r>
      <w:r>
        <w:rPr>
          <w:rFonts w:hint="eastAsia" w:ascii="宋体" w:hAnsi="宋体" w:eastAsia="宋体" w:cs="宋体"/>
          <w:color w:val="000000"/>
          <w:sz w:val="24"/>
          <w:szCs w:val="24"/>
          <w:lang w:val="zh-CN"/>
        </w:rPr>
        <w:t>.5</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CN"/>
        </w:rPr>
        <w:t>供应商组成联合体参加采购活动，联合体中任何一方或多方未按要求签字或盖章、加盖公章的质疑。</w:t>
      </w:r>
    </w:p>
    <w:p w14:paraId="3624D13B">
      <w:pPr>
        <w:spacing w:beforeLines="0" w:afterLines="0" w:line="360" w:lineRule="auto"/>
        <w:ind w:firstLine="420"/>
        <w:rPr>
          <w:rFonts w:hint="eastAsia" w:ascii="宋体" w:hAnsi="宋体" w:eastAsia="宋体" w:cs="宋体"/>
          <w:color w:val="000000"/>
          <w:sz w:val="24"/>
          <w:szCs w:val="24"/>
          <w:lang w:val="zh-CN"/>
        </w:rPr>
      </w:pPr>
      <w:r>
        <w:rPr>
          <w:rFonts w:hint="eastAsia" w:ascii="宋体" w:hAnsi="宋体" w:eastAsia="宋体" w:cs="宋体"/>
          <w:color w:val="000000"/>
          <w:sz w:val="24"/>
          <w:szCs w:val="24"/>
        </w:rPr>
        <w:t>3</w:t>
      </w:r>
      <w:r>
        <w:rPr>
          <w:rFonts w:hint="eastAsia" w:ascii="宋体" w:hAnsi="宋体" w:eastAsia="宋体" w:cs="宋体"/>
          <w:color w:val="000000"/>
          <w:sz w:val="24"/>
          <w:szCs w:val="24"/>
          <w:lang w:val="zh-CN"/>
        </w:rPr>
        <w:t>6.</w:t>
      </w:r>
      <w:r>
        <w:rPr>
          <w:rFonts w:hint="eastAsia" w:ascii="宋体" w:hAnsi="宋体" w:eastAsia="宋体" w:cs="宋体"/>
          <w:color w:val="000000"/>
          <w:sz w:val="24"/>
          <w:szCs w:val="24"/>
        </w:rPr>
        <w:t>6</w:t>
      </w:r>
      <w:r>
        <w:rPr>
          <w:rFonts w:hint="eastAsia" w:ascii="宋体" w:hAnsi="宋体" w:eastAsia="宋体" w:cs="宋体"/>
          <w:color w:val="000000"/>
          <w:sz w:val="24"/>
          <w:szCs w:val="24"/>
          <w:lang w:val="zh-CN"/>
        </w:rPr>
        <w:t xml:space="preserve"> 法律法规规定的</w:t>
      </w:r>
      <w:r>
        <w:rPr>
          <w:rFonts w:hint="eastAsia" w:ascii="宋体" w:hAnsi="宋体" w:eastAsia="宋体" w:cs="宋体"/>
          <w:color w:val="000000"/>
          <w:sz w:val="24"/>
          <w:szCs w:val="24"/>
        </w:rPr>
        <w:t>其他</w:t>
      </w:r>
      <w:r>
        <w:rPr>
          <w:rFonts w:hint="eastAsia" w:ascii="宋体" w:hAnsi="宋体" w:eastAsia="宋体" w:cs="宋体"/>
          <w:color w:val="000000"/>
          <w:sz w:val="24"/>
          <w:szCs w:val="24"/>
          <w:lang w:val="zh-CN"/>
        </w:rPr>
        <w:t>不予受理情形。</w:t>
      </w:r>
    </w:p>
    <w:p w14:paraId="6A209648">
      <w:pPr>
        <w:spacing w:beforeLines="0" w:afterLines="0" w:line="360" w:lineRule="auto"/>
        <w:ind w:firstLine="420"/>
        <w:rPr>
          <w:rFonts w:hint="eastAsia" w:ascii="宋体" w:hAnsi="宋体" w:eastAsia="宋体" w:cs="宋体"/>
          <w:color w:val="000000"/>
          <w:sz w:val="24"/>
          <w:szCs w:val="24"/>
          <w:lang w:val="zh-CN"/>
        </w:rPr>
      </w:pPr>
      <w:r>
        <w:rPr>
          <w:rFonts w:hint="eastAsia" w:ascii="宋体" w:hAnsi="宋体" w:eastAsia="宋体" w:cs="宋体"/>
          <w:color w:val="000000"/>
          <w:sz w:val="24"/>
          <w:szCs w:val="24"/>
        </w:rPr>
        <w:t>37</w:t>
      </w:r>
      <w:r>
        <w:rPr>
          <w:rFonts w:hint="eastAsia" w:ascii="宋体" w:hAnsi="宋体" w:eastAsia="宋体" w:cs="宋体"/>
          <w:color w:val="000000"/>
          <w:sz w:val="24"/>
          <w:szCs w:val="24"/>
          <w:lang w:val="zh-CN"/>
        </w:rPr>
        <w:t>.供应商提出书面质疑必须有理、有据，不得捏造事实、提供虚假材料进行恶意质疑。否则，一经查实，采购代理机构或采购人有权依据政府采购的有关规定，报请政府采购监管部门对该供应商进行相应的行政处罚和记录该供应商的失信信息。</w:t>
      </w:r>
    </w:p>
    <w:p w14:paraId="316ECC86">
      <w:pPr>
        <w:snapToGrid w:val="0"/>
        <w:spacing w:before="0" w:beforeLines="-2147483648" w:after="0" w:afterLines="-2147483648"/>
        <w:ind w:firstLine="562" w:firstLineChars="200"/>
        <w:outlineLvl w:val="1"/>
        <w:rPr>
          <w:rFonts w:hint="eastAsia" w:ascii="宋体" w:hAnsi="宋体" w:eastAsia="宋体" w:cs="宋体"/>
          <w:b/>
          <w:bCs w:val="0"/>
          <w:color w:val="000000"/>
          <w:sz w:val="28"/>
          <w:szCs w:val="22"/>
        </w:rPr>
      </w:pPr>
      <w:r>
        <w:rPr>
          <w:rFonts w:hint="eastAsia" w:ascii="宋体" w:hAnsi="宋体" w:eastAsia="宋体" w:cs="宋体"/>
          <w:b/>
          <w:bCs w:val="0"/>
          <w:color w:val="000000"/>
          <w:sz w:val="28"/>
          <w:szCs w:val="22"/>
        </w:rPr>
        <w:t>九、政策功能落实</w:t>
      </w:r>
    </w:p>
    <w:p w14:paraId="5AA36CC2">
      <w:pPr>
        <w:pStyle w:val="44"/>
        <w:spacing w:before="0" w:beforeLines="0" w:after="0" w:afterLines="0" w:line="360" w:lineRule="auto"/>
        <w:ind w:firstLine="422"/>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38.促进中小企业发展</w:t>
      </w:r>
    </w:p>
    <w:p w14:paraId="3698FCC5">
      <w:pPr>
        <w:spacing w:beforeLines="0" w:afterLines="0" w:line="360" w:lineRule="auto"/>
        <w:ind w:firstLine="420"/>
        <w:rPr>
          <w:rFonts w:hint="eastAsia" w:ascii="宋体" w:hAnsi="宋体" w:eastAsia="宋体" w:cs="宋体"/>
          <w:color w:val="000000"/>
          <w:sz w:val="24"/>
          <w:szCs w:val="24"/>
          <w:lang w:val="zh-CN"/>
        </w:rPr>
      </w:pPr>
      <w:r>
        <w:rPr>
          <w:rFonts w:hint="eastAsia" w:ascii="宋体" w:hAnsi="宋体" w:eastAsia="宋体" w:cs="宋体"/>
          <w:color w:val="000000"/>
          <w:sz w:val="24"/>
          <w:szCs w:val="24"/>
        </w:rPr>
        <w:t>38.1 本项目</w:t>
      </w:r>
      <w:r>
        <w:rPr>
          <w:rFonts w:hint="eastAsia" w:ascii="宋体" w:hAnsi="宋体" w:eastAsia="宋体" w:cs="宋体"/>
          <w:color w:val="000000"/>
          <w:sz w:val="24"/>
          <w:szCs w:val="24"/>
          <w:lang w:val="zh-CN"/>
        </w:rPr>
        <w:t>服务由中小企业承接的，</w:t>
      </w:r>
      <w:r>
        <w:rPr>
          <w:rFonts w:hint="eastAsia" w:ascii="宋体" w:hAnsi="宋体" w:eastAsia="宋体" w:cs="宋体"/>
          <w:color w:val="000000"/>
          <w:sz w:val="24"/>
          <w:szCs w:val="24"/>
        </w:rPr>
        <w:t>参与磋商的供应商</w:t>
      </w:r>
      <w:r>
        <w:rPr>
          <w:rFonts w:hint="eastAsia" w:ascii="宋体" w:hAnsi="宋体" w:eastAsia="宋体" w:cs="宋体"/>
          <w:color w:val="000000"/>
          <w:sz w:val="24"/>
          <w:szCs w:val="24"/>
          <w:lang w:val="zh-CN"/>
        </w:rPr>
        <w:t>享受中小企业扶持政策。</w:t>
      </w:r>
    </w:p>
    <w:p w14:paraId="5FE9F29F">
      <w:pPr>
        <w:spacing w:beforeLines="0" w:afterLines="0" w:line="360" w:lineRule="auto"/>
        <w:ind w:firstLine="420"/>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38.2 </w:t>
      </w:r>
      <w:r>
        <w:rPr>
          <w:rFonts w:hint="eastAsia" w:ascii="宋体" w:hAnsi="宋体" w:eastAsia="宋体" w:cs="宋体"/>
          <w:color w:val="000000"/>
          <w:sz w:val="24"/>
          <w:szCs w:val="24"/>
          <w:lang w:val="zh-CN"/>
        </w:rPr>
        <w:t>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5710EF4D">
      <w:pPr>
        <w:spacing w:beforeLines="0" w:afterLines="0" w:line="360" w:lineRule="auto"/>
        <w:ind w:firstLine="420"/>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38.3 </w:t>
      </w:r>
      <w:r>
        <w:rPr>
          <w:rFonts w:hint="eastAsia" w:ascii="宋体" w:hAnsi="宋体" w:eastAsia="宋体" w:cs="宋体"/>
          <w:color w:val="000000"/>
          <w:sz w:val="24"/>
          <w:szCs w:val="24"/>
          <w:lang w:val="zh-CN"/>
        </w:rPr>
        <w:t>中小企业参加政府采购活动，应当出具《中小企业声明函》，否则不享受相关中小企业</w:t>
      </w:r>
      <w:r>
        <w:rPr>
          <w:rFonts w:hint="eastAsia" w:ascii="宋体" w:hAnsi="宋体" w:eastAsia="宋体" w:cs="宋体"/>
          <w:color w:val="000000"/>
          <w:sz w:val="24"/>
          <w:szCs w:val="24"/>
        </w:rPr>
        <w:t>支持</w:t>
      </w:r>
      <w:r>
        <w:rPr>
          <w:rFonts w:hint="eastAsia" w:ascii="宋体" w:hAnsi="宋体" w:eastAsia="宋体" w:cs="宋体"/>
          <w:color w:val="000000"/>
          <w:sz w:val="24"/>
          <w:szCs w:val="24"/>
          <w:lang w:val="zh-CN"/>
        </w:rPr>
        <w:t>政策。</w:t>
      </w:r>
    </w:p>
    <w:p w14:paraId="2D91D519">
      <w:pPr>
        <w:spacing w:beforeLines="0" w:afterLines="0" w:line="360" w:lineRule="auto"/>
        <w:ind w:firstLine="420"/>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38.4 </w:t>
      </w:r>
      <w:r>
        <w:rPr>
          <w:rFonts w:hint="eastAsia" w:ascii="宋体" w:hAnsi="宋体" w:eastAsia="宋体" w:cs="宋体"/>
          <w:color w:val="000000"/>
          <w:sz w:val="24"/>
          <w:szCs w:val="24"/>
          <w:lang w:val="zh-CN"/>
        </w:rPr>
        <w:t>以联合体形式参加政府采购活动，联合体各方均为中小企业的，联合体视同中小企业。其中，联合体各方均为小微企业的，联合体视同小微企业。</w:t>
      </w:r>
    </w:p>
    <w:p w14:paraId="672BDF07">
      <w:pPr>
        <w:spacing w:beforeLines="0" w:afterLines="0" w:line="360" w:lineRule="auto"/>
        <w:ind w:firstLine="420"/>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3</w:t>
      </w:r>
      <w:r>
        <w:rPr>
          <w:rFonts w:hint="eastAsia" w:ascii="宋体" w:hAnsi="宋体" w:eastAsia="宋体" w:cs="宋体"/>
          <w:color w:val="000000"/>
          <w:sz w:val="24"/>
          <w:szCs w:val="24"/>
        </w:rPr>
        <w:t>8</w:t>
      </w:r>
      <w:r>
        <w:rPr>
          <w:rFonts w:hint="eastAsia" w:ascii="宋体" w:hAnsi="宋体" w:eastAsia="宋体" w:cs="宋体"/>
          <w:color w:val="000000"/>
          <w:sz w:val="24"/>
          <w:szCs w:val="24"/>
          <w:lang w:val="zh-CN"/>
        </w:rPr>
        <w:t>.</w:t>
      </w:r>
      <w:r>
        <w:rPr>
          <w:rFonts w:hint="eastAsia" w:ascii="宋体" w:hAnsi="宋体" w:eastAsia="宋体" w:cs="宋体"/>
          <w:color w:val="000000"/>
          <w:sz w:val="24"/>
          <w:szCs w:val="24"/>
        </w:rPr>
        <w:t>5</w:t>
      </w:r>
      <w:r>
        <w:rPr>
          <w:rFonts w:hint="eastAsia" w:ascii="宋体" w:hAnsi="宋体" w:eastAsia="宋体" w:cs="宋体"/>
          <w:color w:val="000000"/>
          <w:sz w:val="24"/>
          <w:szCs w:val="24"/>
          <w:lang w:val="zh-CN"/>
        </w:rPr>
        <w:t xml:space="preserve"> </w:t>
      </w:r>
      <w:r>
        <w:rPr>
          <w:rFonts w:hint="eastAsia" w:ascii="宋体" w:hAnsi="宋体" w:eastAsia="宋体" w:cs="宋体"/>
          <w:color w:val="000000"/>
          <w:sz w:val="24"/>
          <w:szCs w:val="24"/>
        </w:rPr>
        <w:t>监狱和戒毒企业（简称监狱企业）视同小型、微型企业</w:t>
      </w:r>
      <w:r>
        <w:rPr>
          <w:rFonts w:hint="eastAsia" w:ascii="宋体" w:hAnsi="宋体" w:eastAsia="宋体" w:cs="宋体"/>
          <w:color w:val="000000"/>
          <w:sz w:val="24"/>
          <w:szCs w:val="24"/>
          <w:lang w:val="zh-CN"/>
        </w:rPr>
        <w:t>。</w:t>
      </w:r>
      <w:r>
        <w:rPr>
          <w:rFonts w:hint="eastAsia" w:ascii="宋体" w:hAnsi="宋体" w:eastAsia="宋体" w:cs="宋体"/>
          <w:color w:val="000000"/>
          <w:sz w:val="24"/>
          <w:szCs w:val="24"/>
        </w:rPr>
        <w:t>按照</w:t>
      </w:r>
      <w:r>
        <w:rPr>
          <w:rFonts w:hint="eastAsia" w:ascii="宋体" w:hAnsi="宋体" w:eastAsia="宋体" w:cs="宋体"/>
          <w:color w:val="000000"/>
          <w:sz w:val="24"/>
          <w:szCs w:val="24"/>
          <w:lang w:val="zh-CN"/>
        </w:rPr>
        <w:t>《关于政府采购支持监狱企业发展有关问题的通知》（财库〔2014〕68号）</w:t>
      </w:r>
      <w:r>
        <w:rPr>
          <w:rFonts w:hint="eastAsia" w:ascii="宋体" w:hAnsi="宋体" w:eastAsia="宋体" w:cs="宋体"/>
          <w:color w:val="000000"/>
          <w:sz w:val="24"/>
          <w:szCs w:val="24"/>
        </w:rPr>
        <w:t>规定，</w:t>
      </w:r>
      <w:r>
        <w:rPr>
          <w:rFonts w:hint="eastAsia" w:ascii="宋体" w:hAnsi="宋体" w:eastAsia="宋体" w:cs="宋体"/>
          <w:color w:val="000000"/>
          <w:sz w:val="24"/>
          <w:szCs w:val="24"/>
          <w:lang w:val="zh-CN"/>
        </w:rPr>
        <w:t>监狱企业需提供由省级以上监狱管理局、戒毒管理局(含新疆生产建设兵团)出具的属于监狱企业的证明文件。</w:t>
      </w:r>
    </w:p>
    <w:p w14:paraId="775AB5D6">
      <w:pPr>
        <w:snapToGrid w:val="0"/>
        <w:spacing w:after="0" w:line="360" w:lineRule="auto"/>
        <w:ind w:firstLine="480" w:firstLineChars="200"/>
        <w:textAlignment w:val="baseline"/>
        <w:rPr>
          <w:rFonts w:hint="eastAsia" w:ascii="宋体" w:hAnsi="宋体" w:eastAsia="宋体" w:cs="宋体"/>
          <w:b/>
          <w:bCs/>
          <w:iCs/>
          <w:sz w:val="24"/>
        </w:rPr>
      </w:pPr>
      <w:r>
        <w:rPr>
          <w:rFonts w:hint="eastAsia" w:ascii="宋体" w:hAnsi="宋体" w:eastAsia="宋体" w:cs="宋体"/>
          <w:color w:val="000000"/>
          <w:sz w:val="24"/>
          <w:szCs w:val="24"/>
          <w:lang w:val="zh-CN"/>
        </w:rPr>
        <w:t>3</w:t>
      </w:r>
      <w:r>
        <w:rPr>
          <w:rFonts w:hint="eastAsia" w:ascii="宋体" w:hAnsi="宋体" w:eastAsia="宋体" w:cs="宋体"/>
          <w:color w:val="000000"/>
          <w:sz w:val="24"/>
          <w:szCs w:val="24"/>
        </w:rPr>
        <w:t>8</w:t>
      </w:r>
      <w:r>
        <w:rPr>
          <w:rFonts w:hint="eastAsia" w:ascii="宋体" w:hAnsi="宋体" w:eastAsia="宋体" w:cs="宋体"/>
          <w:color w:val="000000"/>
          <w:sz w:val="24"/>
          <w:szCs w:val="24"/>
          <w:lang w:val="zh-CN"/>
        </w:rPr>
        <w:t>.</w:t>
      </w:r>
      <w:r>
        <w:rPr>
          <w:rFonts w:hint="eastAsia" w:ascii="宋体" w:hAnsi="宋体" w:eastAsia="宋体" w:cs="宋体"/>
          <w:color w:val="000000"/>
          <w:sz w:val="24"/>
          <w:szCs w:val="24"/>
        </w:rPr>
        <w:t>6</w:t>
      </w:r>
      <w:r>
        <w:rPr>
          <w:rFonts w:hint="eastAsia" w:ascii="宋体" w:hAnsi="宋体" w:eastAsia="宋体" w:cs="宋体"/>
          <w:color w:val="000000"/>
          <w:sz w:val="24"/>
          <w:szCs w:val="24"/>
          <w:lang w:val="zh-CN"/>
        </w:rPr>
        <w:t xml:space="preserve"> 残疾人福利性单位</w:t>
      </w:r>
      <w:r>
        <w:rPr>
          <w:rFonts w:hint="eastAsia" w:ascii="宋体" w:hAnsi="宋体" w:eastAsia="宋体" w:cs="宋体"/>
          <w:color w:val="000000"/>
          <w:sz w:val="24"/>
          <w:szCs w:val="24"/>
        </w:rPr>
        <w:t>视同小型、微型企业</w:t>
      </w:r>
      <w:r>
        <w:rPr>
          <w:rFonts w:hint="eastAsia" w:ascii="宋体" w:hAnsi="宋体" w:eastAsia="宋体" w:cs="宋体"/>
          <w:color w:val="000000"/>
          <w:sz w:val="24"/>
          <w:szCs w:val="24"/>
          <w:lang w:val="zh-CN"/>
        </w:rPr>
        <w:t>。</w:t>
      </w:r>
      <w:r>
        <w:rPr>
          <w:rFonts w:hint="eastAsia" w:ascii="宋体" w:hAnsi="宋体" w:eastAsia="宋体" w:cs="宋体"/>
          <w:color w:val="000000"/>
          <w:sz w:val="24"/>
          <w:szCs w:val="24"/>
        </w:rPr>
        <w:t>按照《关于促进残疾人就业政府采购政策的通知》（财库〔2017〕141号）规定，残疾人福利单位需</w:t>
      </w:r>
      <w:r>
        <w:rPr>
          <w:rFonts w:hint="eastAsia" w:ascii="宋体" w:hAnsi="宋体" w:eastAsia="宋体" w:cs="宋体"/>
          <w:color w:val="000000"/>
          <w:sz w:val="24"/>
          <w:szCs w:val="24"/>
          <w:lang w:val="zh-CN"/>
        </w:rPr>
        <w:t>提供《残疾人福利性单位声明函》</w:t>
      </w:r>
      <w:r>
        <w:rPr>
          <w:rFonts w:hint="eastAsia" w:ascii="宋体" w:hAnsi="宋体" w:eastAsia="宋体" w:cs="宋体"/>
          <w:sz w:val="24"/>
        </w:rPr>
        <w:t>。</w:t>
      </w:r>
    </w:p>
    <w:p w14:paraId="2C8F1D24">
      <w:pPr>
        <w:pStyle w:val="29"/>
        <w:pageBreakBefore/>
        <w:spacing w:afterLines="0" w:line="360" w:lineRule="auto"/>
        <w:rPr>
          <w:rFonts w:hint="eastAsia" w:ascii="宋体" w:hAnsi="宋体" w:eastAsia="宋体" w:cs="宋体"/>
          <w:sz w:val="40"/>
        </w:rPr>
      </w:pPr>
      <w:bookmarkStart w:id="45" w:name="_Toc22226"/>
      <w:bookmarkStart w:id="46" w:name="_Toc10878"/>
      <w:bookmarkStart w:id="47" w:name="_Toc17473"/>
      <w:bookmarkStart w:id="48" w:name="_Toc11440"/>
      <w:bookmarkStart w:id="49" w:name="_Toc14481"/>
      <w:bookmarkStart w:id="50" w:name="_Toc16945"/>
      <w:bookmarkStart w:id="51" w:name="_Toc18399"/>
      <w:bookmarkStart w:id="52" w:name="_Toc22543"/>
      <w:bookmarkStart w:id="53" w:name="_Toc11813"/>
      <w:bookmarkStart w:id="54" w:name="_Toc28209"/>
      <w:bookmarkStart w:id="55" w:name="_Toc12283"/>
      <w:bookmarkStart w:id="56" w:name="_Toc26345"/>
      <w:bookmarkStart w:id="57" w:name="_Toc22544"/>
      <w:bookmarkStart w:id="58" w:name="_Toc324237148"/>
      <w:bookmarkStart w:id="59" w:name="_Toc32263"/>
      <w:bookmarkStart w:id="60" w:name="_Toc18960"/>
      <w:bookmarkStart w:id="61" w:name="_Toc324237156"/>
      <w:r>
        <w:rPr>
          <w:rFonts w:hint="eastAsia" w:ascii="宋体" w:hAnsi="宋体" w:eastAsia="宋体" w:cs="宋体"/>
          <w:sz w:val="40"/>
        </w:rPr>
        <w:t>第三章 合同条款及格式</w:t>
      </w:r>
      <w:bookmarkEnd w:id="45"/>
      <w:bookmarkEnd w:id="46"/>
      <w:bookmarkEnd w:id="47"/>
      <w:bookmarkEnd w:id="48"/>
      <w:bookmarkEnd w:id="49"/>
      <w:bookmarkEnd w:id="50"/>
      <w:bookmarkEnd w:id="51"/>
      <w:bookmarkEnd w:id="52"/>
      <w:bookmarkEnd w:id="53"/>
      <w:bookmarkEnd w:id="54"/>
      <w:bookmarkEnd w:id="55"/>
      <w:bookmarkEnd w:id="56"/>
      <w:bookmarkEnd w:id="57"/>
    </w:p>
    <w:p w14:paraId="56D3E9CE">
      <w:pPr>
        <w:spacing w:line="360" w:lineRule="auto"/>
        <w:rPr>
          <w:rFonts w:hint="eastAsia" w:ascii="宋体" w:hAnsi="宋体" w:eastAsia="宋体" w:cs="宋体"/>
          <w:sz w:val="24"/>
        </w:rPr>
      </w:pPr>
      <w:bookmarkStart w:id="62" w:name="_Toc12199"/>
      <w:bookmarkStart w:id="63" w:name="_Toc14854"/>
      <w:bookmarkStart w:id="64" w:name="_Toc12525"/>
      <w:bookmarkStart w:id="65" w:name="_Toc4412"/>
      <w:bookmarkStart w:id="66" w:name="_Toc21090"/>
      <w:bookmarkStart w:id="67" w:name="_Toc24491"/>
      <w:bookmarkStart w:id="68" w:name="_Toc13407"/>
      <w:bookmarkStart w:id="69" w:name="_Toc19757"/>
      <w:bookmarkStart w:id="70" w:name="_Toc20024"/>
      <w:bookmarkStart w:id="71" w:name="_Toc8481"/>
      <w:bookmarkStart w:id="72" w:name="_Toc7771"/>
      <w:bookmarkStart w:id="73" w:name="_Toc9647"/>
      <w:bookmarkStart w:id="74" w:name="_Toc10506"/>
      <w:bookmarkStart w:id="75" w:name="_Toc16569"/>
      <w:bookmarkStart w:id="76" w:name="_Toc3329"/>
      <w:bookmarkStart w:id="77" w:name="_Toc4309"/>
      <w:bookmarkStart w:id="78" w:name="_Toc26827"/>
      <w:r>
        <w:rPr>
          <w:rFonts w:hint="eastAsia" w:ascii="宋体" w:hAnsi="宋体" w:eastAsia="宋体" w:cs="宋体"/>
          <w:sz w:val="24"/>
        </w:rPr>
        <w:t>委托方（甲方）：[  ]</w:t>
      </w:r>
    </w:p>
    <w:p w14:paraId="4788DD94">
      <w:pPr>
        <w:spacing w:line="360" w:lineRule="auto"/>
        <w:rPr>
          <w:rFonts w:hint="eastAsia" w:ascii="宋体" w:hAnsi="宋体" w:eastAsia="宋体" w:cs="宋体"/>
          <w:sz w:val="24"/>
        </w:rPr>
      </w:pPr>
      <w:r>
        <w:rPr>
          <w:rFonts w:hint="eastAsia" w:ascii="宋体" w:hAnsi="宋体" w:eastAsia="宋体" w:cs="宋体"/>
          <w:sz w:val="24"/>
        </w:rPr>
        <w:t xml:space="preserve">地址：[  ]     </w:t>
      </w:r>
    </w:p>
    <w:p w14:paraId="5D27D19F">
      <w:pPr>
        <w:spacing w:line="360" w:lineRule="auto"/>
        <w:rPr>
          <w:rFonts w:hint="eastAsia" w:ascii="宋体" w:hAnsi="宋体" w:eastAsia="宋体" w:cs="宋体"/>
          <w:sz w:val="24"/>
        </w:rPr>
      </w:pPr>
      <w:r>
        <w:rPr>
          <w:rFonts w:hint="eastAsia" w:ascii="宋体" w:hAnsi="宋体" w:eastAsia="宋体" w:cs="宋体"/>
          <w:sz w:val="24"/>
        </w:rPr>
        <w:t xml:space="preserve">法定代表人/负责人：[  ]        </w:t>
      </w:r>
    </w:p>
    <w:p w14:paraId="121B5720">
      <w:pPr>
        <w:spacing w:line="360" w:lineRule="auto"/>
        <w:rPr>
          <w:rFonts w:hint="eastAsia" w:ascii="宋体" w:hAnsi="宋体" w:eastAsia="宋体" w:cs="宋体"/>
          <w:sz w:val="24"/>
        </w:rPr>
      </w:pPr>
      <w:r>
        <w:rPr>
          <w:rFonts w:hint="eastAsia" w:ascii="宋体" w:hAnsi="宋体" w:eastAsia="宋体" w:cs="宋体"/>
          <w:sz w:val="24"/>
        </w:rPr>
        <w:t xml:space="preserve">项目联系人：[  ]           </w:t>
      </w:r>
    </w:p>
    <w:p w14:paraId="2B738F10">
      <w:pPr>
        <w:spacing w:line="360" w:lineRule="auto"/>
        <w:rPr>
          <w:rFonts w:hint="eastAsia" w:ascii="宋体" w:hAnsi="宋体" w:eastAsia="宋体" w:cs="宋体"/>
          <w:sz w:val="24"/>
        </w:rPr>
      </w:pPr>
      <w:r>
        <w:rPr>
          <w:rFonts w:hint="eastAsia" w:ascii="宋体" w:hAnsi="宋体" w:eastAsia="宋体" w:cs="宋体"/>
          <w:sz w:val="24"/>
        </w:rPr>
        <w:t xml:space="preserve">联系电话：[  ]                      </w:t>
      </w:r>
    </w:p>
    <w:p w14:paraId="31DA51D7">
      <w:pPr>
        <w:spacing w:line="360" w:lineRule="auto"/>
        <w:rPr>
          <w:rFonts w:hint="eastAsia" w:ascii="宋体" w:hAnsi="宋体" w:eastAsia="宋体" w:cs="宋体"/>
          <w:sz w:val="24"/>
        </w:rPr>
      </w:pPr>
    </w:p>
    <w:p w14:paraId="6063AF98">
      <w:pPr>
        <w:spacing w:line="360" w:lineRule="auto"/>
        <w:rPr>
          <w:rFonts w:hint="eastAsia" w:ascii="宋体" w:hAnsi="宋体" w:eastAsia="宋体" w:cs="宋体"/>
          <w:sz w:val="24"/>
        </w:rPr>
      </w:pPr>
      <w:r>
        <w:rPr>
          <w:rFonts w:hint="eastAsia" w:ascii="宋体" w:hAnsi="宋体" w:eastAsia="宋体" w:cs="宋体"/>
          <w:sz w:val="24"/>
        </w:rPr>
        <w:t xml:space="preserve">受托方（乙方）：[  ]                        </w:t>
      </w:r>
    </w:p>
    <w:p w14:paraId="4F50C499">
      <w:pPr>
        <w:spacing w:line="360" w:lineRule="auto"/>
        <w:rPr>
          <w:rFonts w:hint="eastAsia" w:ascii="宋体" w:hAnsi="宋体" w:eastAsia="宋体" w:cs="宋体"/>
          <w:sz w:val="24"/>
        </w:rPr>
      </w:pPr>
      <w:r>
        <w:rPr>
          <w:rFonts w:hint="eastAsia" w:ascii="宋体" w:hAnsi="宋体" w:eastAsia="宋体" w:cs="宋体"/>
          <w:sz w:val="24"/>
        </w:rPr>
        <w:t xml:space="preserve">地址：[  ]     </w:t>
      </w:r>
    </w:p>
    <w:p w14:paraId="10395F0D">
      <w:pPr>
        <w:spacing w:line="360" w:lineRule="auto"/>
        <w:rPr>
          <w:rFonts w:hint="eastAsia" w:ascii="宋体" w:hAnsi="宋体" w:eastAsia="宋体" w:cs="宋体"/>
          <w:sz w:val="24"/>
        </w:rPr>
      </w:pPr>
      <w:r>
        <w:rPr>
          <w:rFonts w:hint="eastAsia" w:ascii="宋体" w:hAnsi="宋体" w:eastAsia="宋体" w:cs="宋体"/>
          <w:sz w:val="24"/>
        </w:rPr>
        <w:t xml:space="preserve">法定代表人/负责人：[  ]        </w:t>
      </w:r>
    </w:p>
    <w:p w14:paraId="2F6C5AC6">
      <w:pPr>
        <w:spacing w:line="360" w:lineRule="auto"/>
        <w:rPr>
          <w:rFonts w:hint="eastAsia" w:ascii="宋体" w:hAnsi="宋体" w:eastAsia="宋体" w:cs="宋体"/>
          <w:sz w:val="24"/>
        </w:rPr>
      </w:pPr>
      <w:r>
        <w:rPr>
          <w:rFonts w:hint="eastAsia" w:ascii="宋体" w:hAnsi="宋体" w:eastAsia="宋体" w:cs="宋体"/>
          <w:sz w:val="24"/>
        </w:rPr>
        <w:t xml:space="preserve">项目联系人：[  ]                                             </w:t>
      </w:r>
    </w:p>
    <w:p w14:paraId="64109EC5">
      <w:pPr>
        <w:spacing w:line="360" w:lineRule="auto"/>
        <w:rPr>
          <w:rFonts w:hint="eastAsia" w:ascii="宋体" w:hAnsi="宋体" w:eastAsia="宋体" w:cs="宋体"/>
          <w:sz w:val="24"/>
        </w:rPr>
      </w:pPr>
      <w:r>
        <w:rPr>
          <w:rFonts w:hint="eastAsia" w:ascii="宋体" w:hAnsi="宋体" w:eastAsia="宋体" w:cs="宋体"/>
          <w:sz w:val="24"/>
        </w:rPr>
        <w:t xml:space="preserve">联系电话：[  ]                   </w:t>
      </w:r>
    </w:p>
    <w:p w14:paraId="25A46108">
      <w:pPr>
        <w:spacing w:line="360" w:lineRule="auto"/>
        <w:rPr>
          <w:rFonts w:hint="eastAsia" w:ascii="宋体" w:hAnsi="宋体" w:eastAsia="宋体" w:cs="宋体"/>
          <w:sz w:val="24"/>
        </w:rPr>
      </w:pPr>
    </w:p>
    <w:p w14:paraId="2AB47720">
      <w:pPr>
        <w:spacing w:line="360" w:lineRule="auto"/>
        <w:rPr>
          <w:rFonts w:hint="eastAsia" w:ascii="宋体" w:hAnsi="宋体" w:eastAsia="宋体" w:cs="宋体"/>
          <w:sz w:val="24"/>
        </w:rPr>
      </w:pPr>
      <w:r>
        <w:rPr>
          <w:rFonts w:hint="eastAsia" w:ascii="宋体" w:hAnsi="宋体" w:eastAsia="宋体" w:cs="宋体"/>
          <w:sz w:val="24"/>
        </w:rPr>
        <w:t>本合同甲方委托乙方就[  ]项目（“项目”）进行[  ]的专项服务，并支付相应的服务报酬。双方经过平等协商，在真实、充分地表达各自意愿的基础上，根据《中华人民共和国民法典》的规定，达成如下合同，并由双方共同恪守。</w:t>
      </w:r>
    </w:p>
    <w:p w14:paraId="1DC52CFD">
      <w:pPr>
        <w:spacing w:line="360" w:lineRule="auto"/>
        <w:rPr>
          <w:rFonts w:hint="eastAsia" w:ascii="宋体" w:hAnsi="宋体" w:eastAsia="宋体" w:cs="宋体"/>
          <w:sz w:val="24"/>
        </w:rPr>
      </w:pPr>
    </w:p>
    <w:p w14:paraId="017BC536">
      <w:pPr>
        <w:spacing w:line="360" w:lineRule="auto"/>
        <w:rPr>
          <w:rFonts w:hint="eastAsia" w:ascii="宋体" w:hAnsi="宋体" w:eastAsia="宋体" w:cs="宋体"/>
          <w:sz w:val="24"/>
        </w:rPr>
      </w:pPr>
      <w:r>
        <w:rPr>
          <w:rFonts w:hint="eastAsia" w:ascii="宋体" w:hAnsi="宋体" w:eastAsia="宋体" w:cs="宋体"/>
          <w:sz w:val="24"/>
        </w:rPr>
        <w:t>第一条 甲方委托乙方进行服务的内容如下：</w:t>
      </w:r>
    </w:p>
    <w:p w14:paraId="56E7FCE5">
      <w:pPr>
        <w:spacing w:line="360" w:lineRule="auto"/>
        <w:rPr>
          <w:rFonts w:hint="eastAsia" w:ascii="宋体" w:hAnsi="宋体" w:eastAsia="宋体" w:cs="宋体"/>
          <w:sz w:val="24"/>
        </w:rPr>
      </w:pPr>
      <w:r>
        <w:rPr>
          <w:rFonts w:hint="eastAsia" w:ascii="宋体" w:hAnsi="宋体" w:eastAsia="宋体" w:cs="宋体"/>
          <w:sz w:val="24"/>
        </w:rPr>
        <w:t>1.1服务的目标：[  ]。</w:t>
      </w:r>
    </w:p>
    <w:p w14:paraId="67433654">
      <w:pPr>
        <w:spacing w:line="360" w:lineRule="auto"/>
        <w:rPr>
          <w:rFonts w:hint="eastAsia" w:ascii="宋体" w:hAnsi="宋体" w:eastAsia="宋体" w:cs="宋体"/>
          <w:sz w:val="24"/>
        </w:rPr>
      </w:pPr>
      <w:r>
        <w:rPr>
          <w:rFonts w:hint="eastAsia" w:ascii="宋体" w:hAnsi="宋体" w:eastAsia="宋体" w:cs="宋体"/>
          <w:sz w:val="24"/>
        </w:rPr>
        <w:t>1.2服务的内容：[  ]。</w:t>
      </w:r>
    </w:p>
    <w:p w14:paraId="130F2A5A">
      <w:pPr>
        <w:spacing w:line="360" w:lineRule="auto"/>
        <w:rPr>
          <w:rFonts w:hint="eastAsia" w:ascii="宋体" w:hAnsi="宋体" w:eastAsia="宋体" w:cs="宋体"/>
          <w:sz w:val="24"/>
        </w:rPr>
      </w:pPr>
      <w:r>
        <w:rPr>
          <w:rFonts w:hint="eastAsia" w:ascii="宋体" w:hAnsi="宋体" w:eastAsia="宋体" w:cs="宋体"/>
          <w:sz w:val="24"/>
        </w:rPr>
        <w:t>1.3服务的方式：[  ]。</w:t>
      </w:r>
    </w:p>
    <w:p w14:paraId="1F581BD4">
      <w:pPr>
        <w:spacing w:line="360" w:lineRule="auto"/>
        <w:rPr>
          <w:rFonts w:hint="eastAsia" w:ascii="宋体" w:hAnsi="宋体" w:eastAsia="宋体" w:cs="宋体"/>
          <w:sz w:val="24"/>
        </w:rPr>
      </w:pPr>
      <w:r>
        <w:rPr>
          <w:rFonts w:hint="eastAsia" w:ascii="宋体" w:hAnsi="宋体" w:eastAsia="宋体" w:cs="宋体"/>
          <w:sz w:val="24"/>
        </w:rPr>
        <w:t>第二条 乙方应按下列要求完成服务工作：</w:t>
      </w:r>
    </w:p>
    <w:p w14:paraId="7FFC94F7">
      <w:pPr>
        <w:spacing w:line="360" w:lineRule="auto"/>
        <w:rPr>
          <w:rFonts w:hint="eastAsia" w:ascii="宋体" w:hAnsi="宋体" w:eastAsia="宋体" w:cs="宋体"/>
          <w:sz w:val="24"/>
        </w:rPr>
      </w:pPr>
      <w:r>
        <w:rPr>
          <w:rFonts w:hint="eastAsia" w:ascii="宋体" w:hAnsi="宋体" w:eastAsia="宋体" w:cs="宋体"/>
          <w:sz w:val="24"/>
        </w:rPr>
        <w:t>2.1服务地点：[  ]。</w:t>
      </w:r>
    </w:p>
    <w:p w14:paraId="307ACF5A">
      <w:pPr>
        <w:spacing w:line="360" w:lineRule="auto"/>
        <w:rPr>
          <w:rFonts w:hint="eastAsia" w:ascii="宋体" w:hAnsi="宋体" w:eastAsia="宋体" w:cs="宋体"/>
          <w:sz w:val="24"/>
        </w:rPr>
      </w:pPr>
      <w:r>
        <w:rPr>
          <w:rFonts w:hint="eastAsia" w:ascii="宋体" w:hAnsi="宋体" w:eastAsia="宋体" w:cs="宋体"/>
          <w:sz w:val="24"/>
        </w:rPr>
        <w:t>2.2服务期限：[  ]。</w:t>
      </w:r>
    </w:p>
    <w:p w14:paraId="04EB80FC">
      <w:pPr>
        <w:spacing w:line="360" w:lineRule="auto"/>
        <w:rPr>
          <w:rFonts w:hint="eastAsia" w:ascii="宋体" w:hAnsi="宋体" w:eastAsia="宋体" w:cs="宋体"/>
          <w:sz w:val="24"/>
        </w:rPr>
      </w:pPr>
      <w:r>
        <w:rPr>
          <w:rFonts w:hint="eastAsia" w:ascii="宋体" w:hAnsi="宋体" w:eastAsia="宋体" w:cs="宋体"/>
          <w:sz w:val="24"/>
        </w:rPr>
        <w:t>2.3服务进度：[  ]。</w:t>
      </w:r>
    </w:p>
    <w:p w14:paraId="6B53D8CF">
      <w:pPr>
        <w:spacing w:line="360" w:lineRule="auto"/>
        <w:rPr>
          <w:rFonts w:hint="eastAsia" w:ascii="宋体" w:hAnsi="宋体" w:eastAsia="宋体" w:cs="宋体"/>
          <w:sz w:val="24"/>
        </w:rPr>
      </w:pPr>
      <w:r>
        <w:rPr>
          <w:rFonts w:hint="eastAsia" w:ascii="宋体" w:hAnsi="宋体" w:eastAsia="宋体" w:cs="宋体"/>
          <w:sz w:val="24"/>
        </w:rPr>
        <w:t>2.4服务质量要求：[  ]。</w:t>
      </w:r>
    </w:p>
    <w:p w14:paraId="748BB5D7">
      <w:pPr>
        <w:spacing w:line="360" w:lineRule="auto"/>
        <w:rPr>
          <w:rFonts w:hint="eastAsia" w:ascii="宋体" w:hAnsi="宋体" w:eastAsia="宋体" w:cs="宋体"/>
          <w:sz w:val="24"/>
        </w:rPr>
      </w:pPr>
      <w:r>
        <w:rPr>
          <w:rFonts w:hint="eastAsia" w:ascii="宋体" w:hAnsi="宋体" w:eastAsia="宋体" w:cs="宋体"/>
          <w:sz w:val="24"/>
        </w:rPr>
        <w:t>第三条 为保证乙方有效进行服务工作，甲方应当向乙方提供必要的资料及工作条件。</w:t>
      </w:r>
    </w:p>
    <w:p w14:paraId="469D54C7">
      <w:pPr>
        <w:spacing w:line="360" w:lineRule="auto"/>
        <w:rPr>
          <w:rFonts w:hint="eastAsia" w:ascii="宋体" w:hAnsi="宋体" w:eastAsia="宋体" w:cs="宋体"/>
          <w:sz w:val="24"/>
        </w:rPr>
      </w:pPr>
      <w:r>
        <w:rPr>
          <w:rFonts w:hint="eastAsia" w:ascii="宋体" w:hAnsi="宋体" w:eastAsia="宋体" w:cs="宋体"/>
          <w:sz w:val="24"/>
        </w:rPr>
        <w:t>第四条 甲方向乙方支付服务报酬及支付方式为：</w:t>
      </w:r>
    </w:p>
    <w:p w14:paraId="18971238">
      <w:pPr>
        <w:spacing w:line="360" w:lineRule="auto"/>
        <w:rPr>
          <w:rFonts w:hint="eastAsia" w:ascii="宋体" w:hAnsi="宋体" w:eastAsia="宋体" w:cs="宋体"/>
          <w:sz w:val="24"/>
        </w:rPr>
      </w:pPr>
      <w:r>
        <w:rPr>
          <w:rFonts w:hint="eastAsia" w:ascii="宋体" w:hAnsi="宋体" w:eastAsia="宋体" w:cs="宋体"/>
          <w:sz w:val="24"/>
        </w:rPr>
        <w:t>4.1本合同费用总额（含税价）：人民币大写[  ]元，小写[  ]元；其中价款为人民币大写[  ]元，小写[  ]元。</w:t>
      </w:r>
    </w:p>
    <w:p w14:paraId="74F888A0">
      <w:pPr>
        <w:spacing w:line="360" w:lineRule="auto"/>
        <w:rPr>
          <w:rFonts w:hint="eastAsia" w:ascii="宋体" w:hAnsi="宋体" w:eastAsia="宋体" w:cs="宋体"/>
          <w:sz w:val="24"/>
        </w:rPr>
      </w:pPr>
      <w:r>
        <w:rPr>
          <w:rFonts w:hint="eastAsia" w:ascii="宋体" w:hAnsi="宋体" w:eastAsia="宋体" w:cs="宋体"/>
          <w:sz w:val="24"/>
        </w:rPr>
        <w:t>本合同费用总额已包括甲方就乙方履行本合同所应支付的全部报酬、所需的全部费用及税费（包括但不限于营业税、增值税等）。</w:t>
      </w:r>
    </w:p>
    <w:p w14:paraId="71841925">
      <w:pPr>
        <w:spacing w:line="360" w:lineRule="auto"/>
        <w:rPr>
          <w:rFonts w:hint="eastAsia" w:ascii="宋体" w:hAnsi="宋体" w:eastAsia="宋体" w:cs="宋体"/>
          <w:sz w:val="24"/>
        </w:rPr>
      </w:pPr>
      <w:r>
        <w:rPr>
          <w:rFonts w:hint="eastAsia" w:ascii="宋体" w:hAnsi="宋体" w:eastAsia="宋体" w:cs="宋体"/>
          <w:sz w:val="24"/>
        </w:rPr>
        <w:t>除另有约定外，甲方无需就本合同项下委托事项向乙方支付上述费用之外的任何其他费用及税费（包括但不限于营业税、增值税等）。</w:t>
      </w:r>
    </w:p>
    <w:p w14:paraId="3E641AA0">
      <w:pPr>
        <w:spacing w:line="360" w:lineRule="auto"/>
        <w:rPr>
          <w:rFonts w:hint="eastAsia" w:ascii="宋体" w:hAnsi="宋体" w:eastAsia="宋体" w:cs="宋体"/>
          <w:sz w:val="24"/>
        </w:rPr>
      </w:pPr>
      <w:r>
        <w:rPr>
          <w:rFonts w:hint="eastAsia" w:ascii="宋体" w:hAnsi="宋体" w:eastAsia="宋体" w:cs="宋体"/>
          <w:sz w:val="24"/>
        </w:rPr>
        <w:t>4.2甲方凭乙方开具的相应金额的、符合国家规定的[增值税专用/增值税普通/营业税/其他]发票支付本合同费用总额，并按以下第[  ]种方式向乙方付款：</w:t>
      </w:r>
    </w:p>
    <w:p w14:paraId="038A8532">
      <w:pPr>
        <w:spacing w:line="360" w:lineRule="auto"/>
        <w:rPr>
          <w:rFonts w:hint="eastAsia" w:ascii="宋体" w:hAnsi="宋体" w:eastAsia="宋体" w:cs="宋体"/>
          <w:sz w:val="24"/>
        </w:rPr>
      </w:pPr>
      <w:r>
        <w:rPr>
          <w:rFonts w:hint="eastAsia" w:ascii="宋体" w:hAnsi="宋体" w:eastAsia="宋体" w:cs="宋体"/>
          <w:sz w:val="24"/>
        </w:rPr>
        <w:t>（1）一次性支付</w:t>
      </w:r>
    </w:p>
    <w:p w14:paraId="75974CC5">
      <w:pPr>
        <w:spacing w:line="360" w:lineRule="auto"/>
        <w:rPr>
          <w:rFonts w:hint="eastAsia" w:ascii="宋体" w:hAnsi="宋体" w:eastAsia="宋体" w:cs="宋体"/>
          <w:sz w:val="24"/>
        </w:rPr>
      </w:pPr>
      <w:r>
        <w:rPr>
          <w:rFonts w:hint="eastAsia" w:ascii="宋体" w:hAnsi="宋体" w:eastAsia="宋体" w:cs="宋体"/>
          <w:sz w:val="24"/>
        </w:rPr>
        <w:t>乙方完成服务工作并经甲方验收合格后[  ]个工作日内，甲方向乙方支付本合同费用总额。</w:t>
      </w:r>
    </w:p>
    <w:p w14:paraId="4CE6CA24">
      <w:pPr>
        <w:spacing w:line="360" w:lineRule="auto"/>
        <w:rPr>
          <w:rFonts w:hint="eastAsia" w:ascii="宋体" w:hAnsi="宋体" w:eastAsia="宋体" w:cs="宋体"/>
          <w:sz w:val="24"/>
        </w:rPr>
      </w:pPr>
      <w:r>
        <w:rPr>
          <w:rFonts w:hint="eastAsia" w:ascii="宋体" w:hAnsi="宋体" w:eastAsia="宋体" w:cs="宋体"/>
          <w:sz w:val="24"/>
        </w:rPr>
        <w:t>（2）分期支付</w:t>
      </w:r>
    </w:p>
    <w:p w14:paraId="3461484E">
      <w:pPr>
        <w:spacing w:line="360" w:lineRule="auto"/>
        <w:rPr>
          <w:rFonts w:hint="eastAsia" w:ascii="宋体" w:hAnsi="宋体" w:eastAsia="宋体" w:cs="宋体"/>
          <w:sz w:val="24"/>
        </w:rPr>
      </w:pPr>
      <w:r>
        <w:rPr>
          <w:rFonts w:hint="eastAsia" w:ascii="宋体" w:hAnsi="宋体" w:eastAsia="宋体" w:cs="宋体"/>
          <w:sz w:val="24"/>
        </w:rPr>
        <w:t>甲方分期向乙方支付本合同费用总额：[  ]。</w:t>
      </w:r>
    </w:p>
    <w:p w14:paraId="0DFA2578">
      <w:pPr>
        <w:spacing w:line="360" w:lineRule="auto"/>
        <w:rPr>
          <w:rFonts w:hint="eastAsia" w:ascii="宋体" w:hAnsi="宋体" w:eastAsia="宋体" w:cs="宋体"/>
          <w:sz w:val="24"/>
        </w:rPr>
      </w:pPr>
      <w:r>
        <w:rPr>
          <w:rFonts w:hint="eastAsia" w:ascii="宋体" w:hAnsi="宋体" w:eastAsia="宋体" w:cs="宋体"/>
          <w:sz w:val="24"/>
        </w:rPr>
        <w:t>4.3因乙方未按甲方要求出具相应票据导致的延迟付款，甲方不承担违约责任。</w:t>
      </w:r>
    </w:p>
    <w:p w14:paraId="64759466">
      <w:pPr>
        <w:spacing w:line="360" w:lineRule="auto"/>
        <w:rPr>
          <w:rFonts w:hint="eastAsia" w:ascii="宋体" w:hAnsi="宋体" w:eastAsia="宋体" w:cs="宋体"/>
          <w:sz w:val="24"/>
        </w:rPr>
      </w:pPr>
      <w:r>
        <w:rPr>
          <w:rFonts w:hint="eastAsia" w:ascii="宋体" w:hAnsi="宋体" w:eastAsia="宋体" w:cs="宋体"/>
          <w:sz w:val="24"/>
        </w:rPr>
        <w:t>4.4本项目的付款时间为甲方向政府采购支付部门提出支付申请的时间，不含支付部门审查的时间，乙方应充分理解年初财政预算下达和支付审核所需时间，不因此延迟交付成果和向甲方索赔任何额外费用及追究甲方责任。</w:t>
      </w:r>
    </w:p>
    <w:p w14:paraId="5EFC01E5">
      <w:pPr>
        <w:spacing w:line="360" w:lineRule="auto"/>
        <w:rPr>
          <w:rFonts w:hint="eastAsia" w:ascii="宋体" w:hAnsi="宋体" w:eastAsia="宋体" w:cs="宋体"/>
          <w:sz w:val="24"/>
        </w:rPr>
      </w:pPr>
      <w:r>
        <w:rPr>
          <w:rFonts w:hint="eastAsia" w:ascii="宋体" w:hAnsi="宋体" w:eastAsia="宋体" w:cs="宋体"/>
          <w:sz w:val="24"/>
        </w:rPr>
        <w:t>4.5本合同费用总额的所有支付由甲方以[   ]（银行转账或承兑期不超过六个月的汇票、电汇、支票等方式）付至乙方。甲乙双方银行账户信息和纳税人信息：</w:t>
      </w:r>
    </w:p>
    <w:p w14:paraId="28047C93">
      <w:pPr>
        <w:widowControl/>
        <w:autoSpaceDE w:val="0"/>
        <w:autoSpaceDN w:val="0"/>
        <w:spacing w:line="360" w:lineRule="auto"/>
        <w:textAlignment w:val="bottom"/>
        <w:rPr>
          <w:rFonts w:hint="eastAsia" w:ascii="宋体" w:hAnsi="宋体" w:eastAsia="宋体" w:cs="宋体"/>
          <w:sz w:val="24"/>
        </w:rPr>
      </w:pPr>
      <w:r>
        <w:rPr>
          <w:rFonts w:hint="eastAsia" w:ascii="宋体" w:hAnsi="宋体" w:eastAsia="宋体" w:cs="宋体"/>
          <w:sz w:val="24"/>
        </w:rPr>
        <w:t>甲方信息如下：                          乙方信息如下：</w:t>
      </w:r>
    </w:p>
    <w:p w14:paraId="3C22E3F4">
      <w:pPr>
        <w:widowControl/>
        <w:autoSpaceDE w:val="0"/>
        <w:autoSpaceDN w:val="0"/>
        <w:spacing w:line="360" w:lineRule="auto"/>
        <w:textAlignment w:val="bottom"/>
        <w:rPr>
          <w:rFonts w:hint="eastAsia" w:ascii="宋体" w:hAnsi="宋体" w:eastAsia="宋体" w:cs="宋体"/>
          <w:sz w:val="24"/>
        </w:rPr>
      </w:pPr>
      <w:r>
        <w:rPr>
          <w:rFonts w:hint="eastAsia" w:ascii="宋体" w:hAnsi="宋体" w:eastAsia="宋体" w:cs="宋体"/>
          <w:sz w:val="24"/>
        </w:rPr>
        <w:t xml:space="preserve">开户行：[  ]                            开户行：[  ]      </w:t>
      </w:r>
    </w:p>
    <w:p w14:paraId="126C9E0F">
      <w:pPr>
        <w:widowControl/>
        <w:autoSpaceDE w:val="0"/>
        <w:autoSpaceDN w:val="0"/>
        <w:spacing w:line="360" w:lineRule="auto"/>
        <w:textAlignment w:val="bottom"/>
        <w:rPr>
          <w:rFonts w:hint="eastAsia" w:ascii="宋体" w:hAnsi="宋体" w:eastAsia="宋体" w:cs="宋体"/>
          <w:sz w:val="24"/>
        </w:rPr>
      </w:pPr>
      <w:r>
        <w:rPr>
          <w:rFonts w:hint="eastAsia" w:ascii="宋体" w:hAnsi="宋体" w:eastAsia="宋体" w:cs="宋体"/>
          <w:sz w:val="24"/>
        </w:rPr>
        <w:t>户名：[  ]                              户名：[  ]</w:t>
      </w:r>
    </w:p>
    <w:p w14:paraId="1162DB9A">
      <w:pPr>
        <w:widowControl/>
        <w:autoSpaceDE w:val="0"/>
        <w:autoSpaceDN w:val="0"/>
        <w:spacing w:line="360" w:lineRule="auto"/>
        <w:textAlignment w:val="bottom"/>
        <w:rPr>
          <w:rFonts w:hint="eastAsia" w:ascii="宋体" w:hAnsi="宋体" w:eastAsia="宋体" w:cs="宋体"/>
          <w:sz w:val="24"/>
        </w:rPr>
      </w:pPr>
      <w:r>
        <w:rPr>
          <w:rFonts w:hint="eastAsia" w:ascii="宋体" w:hAnsi="宋体" w:eastAsia="宋体" w:cs="宋体"/>
          <w:sz w:val="24"/>
        </w:rPr>
        <w:t>账号：[  ]                              账号：[  ]</w:t>
      </w:r>
    </w:p>
    <w:p w14:paraId="1ED7CA22">
      <w:pPr>
        <w:spacing w:line="360" w:lineRule="auto"/>
        <w:rPr>
          <w:rFonts w:hint="eastAsia" w:ascii="宋体" w:hAnsi="宋体" w:eastAsia="宋体" w:cs="宋体"/>
          <w:sz w:val="24"/>
        </w:rPr>
      </w:pPr>
      <w:r>
        <w:rPr>
          <w:rFonts w:hint="eastAsia" w:ascii="宋体" w:hAnsi="宋体" w:eastAsia="宋体" w:cs="宋体"/>
          <w:sz w:val="24"/>
        </w:rPr>
        <w:t>行号：[  ]                              行号：[  ]</w:t>
      </w:r>
    </w:p>
    <w:p w14:paraId="3E2F1278">
      <w:pPr>
        <w:spacing w:line="360" w:lineRule="auto"/>
        <w:rPr>
          <w:rFonts w:hint="eastAsia" w:ascii="宋体" w:hAnsi="宋体" w:eastAsia="宋体" w:cs="宋体"/>
          <w:sz w:val="24"/>
        </w:rPr>
      </w:pPr>
      <w:r>
        <w:rPr>
          <w:rFonts w:hint="eastAsia" w:ascii="宋体" w:hAnsi="宋体" w:eastAsia="宋体" w:cs="宋体"/>
          <w:sz w:val="24"/>
        </w:rPr>
        <w:t>4.6若根据本合同约定乙方应当支付违约金和/或承担赔偿责任，则甲方有权从上述任何一笔付款中直接扣除相应金额。</w:t>
      </w:r>
    </w:p>
    <w:p w14:paraId="08C10A4C">
      <w:pPr>
        <w:spacing w:line="360" w:lineRule="auto"/>
        <w:rPr>
          <w:rFonts w:hint="eastAsia" w:ascii="宋体" w:hAnsi="宋体" w:eastAsia="宋体" w:cs="宋体"/>
          <w:sz w:val="24"/>
        </w:rPr>
      </w:pPr>
      <w:r>
        <w:rPr>
          <w:rFonts w:hint="eastAsia" w:ascii="宋体" w:hAnsi="宋体" w:eastAsia="宋体" w:cs="宋体"/>
          <w:sz w:val="24"/>
        </w:rPr>
        <w:t>第五条 保密</w:t>
      </w:r>
    </w:p>
    <w:p w14:paraId="064392E3">
      <w:pPr>
        <w:spacing w:line="360" w:lineRule="auto"/>
        <w:rPr>
          <w:rFonts w:hint="eastAsia" w:ascii="宋体" w:hAnsi="宋体" w:eastAsia="宋体" w:cs="宋体"/>
          <w:sz w:val="24"/>
        </w:rPr>
      </w:pPr>
      <w:r>
        <w:rPr>
          <w:rFonts w:hint="eastAsia" w:ascii="宋体" w:hAnsi="宋体" w:eastAsia="宋体" w:cs="宋体"/>
          <w:sz w:val="24"/>
        </w:rPr>
        <w:t>5.1乙方对甲方所提供的所有资料以及在本合同签订、履行过程中所接触到的甲方及其关联公司的商业秘密、技术资料、客户信息等资料和信息（统称“保密资料”）负有保密义务。未经甲方书面许可，乙方不得向任何第三方披露，不得将保密资料的部分或全部用于本合同约定事项以外的其他用途。乙方有义务对保密资料采取不低于对其本身商业秘密所采取的保护手段予以保护。乙方可仅为本合同目的向其内部有知悉保密资料必要的雇员披露保密资料，但同时须指示其雇员遵守本条规定的保密及不披露义务。</w:t>
      </w:r>
    </w:p>
    <w:p w14:paraId="24F5B90C">
      <w:pPr>
        <w:spacing w:line="360" w:lineRule="auto"/>
        <w:rPr>
          <w:rFonts w:hint="eastAsia" w:ascii="宋体" w:hAnsi="宋体" w:eastAsia="宋体" w:cs="宋体"/>
          <w:sz w:val="24"/>
        </w:rPr>
      </w:pPr>
      <w:r>
        <w:rPr>
          <w:rFonts w:hint="eastAsia" w:ascii="宋体" w:hAnsi="宋体" w:eastAsia="宋体" w:cs="宋体"/>
          <w:sz w:val="24"/>
        </w:rPr>
        <w:t>5.2乙方仅有权为履行本合同之目的对保密资料进行复制。乙方不得以任何方式（如软硬盘、图纸、采样、照片、菲林、光盘等）留存保密资料。乙方应当在完成委托事项或本合同终止或解除时将保密资料原件全部返还甲方，并销毁所有复制件。乙方应当妥善保管保密资料，并对保密资料在乙方期间发生的被盗、泄露或其他有损保密资料保密性的事件承担全部责任，因此造成甲方损失的，乙方应负责赔偿。</w:t>
      </w:r>
    </w:p>
    <w:p w14:paraId="7C481976">
      <w:pPr>
        <w:spacing w:line="360" w:lineRule="auto"/>
        <w:rPr>
          <w:rFonts w:hint="eastAsia" w:ascii="宋体" w:hAnsi="宋体" w:eastAsia="宋体" w:cs="宋体"/>
          <w:sz w:val="24"/>
        </w:rPr>
      </w:pPr>
      <w:r>
        <w:rPr>
          <w:rFonts w:hint="eastAsia" w:ascii="宋体" w:hAnsi="宋体" w:eastAsia="宋体" w:cs="宋体"/>
          <w:sz w:val="24"/>
        </w:rPr>
        <w:t>5.3 当出现下述情况时，本条对保密资料的限制不适用。当保密资料：</w:t>
      </w:r>
    </w:p>
    <w:p w14:paraId="4E4C3881">
      <w:pPr>
        <w:spacing w:line="360" w:lineRule="auto"/>
        <w:rPr>
          <w:rFonts w:hint="eastAsia" w:ascii="宋体" w:hAnsi="宋体" w:eastAsia="宋体" w:cs="宋体"/>
          <w:sz w:val="24"/>
        </w:rPr>
      </w:pPr>
      <w:r>
        <w:rPr>
          <w:rFonts w:hint="eastAsia" w:ascii="宋体" w:hAnsi="宋体" w:eastAsia="宋体" w:cs="宋体"/>
          <w:sz w:val="24"/>
        </w:rPr>
        <w:t>（1）并非乙方的过错而已经进入公有领域的。</w:t>
      </w:r>
    </w:p>
    <w:p w14:paraId="5387CD58">
      <w:pPr>
        <w:spacing w:line="360" w:lineRule="auto"/>
        <w:rPr>
          <w:rFonts w:hint="eastAsia" w:ascii="宋体" w:hAnsi="宋体" w:eastAsia="宋体" w:cs="宋体"/>
          <w:sz w:val="24"/>
        </w:rPr>
      </w:pPr>
      <w:r>
        <w:rPr>
          <w:rFonts w:hint="eastAsia" w:ascii="宋体" w:hAnsi="宋体" w:eastAsia="宋体" w:cs="宋体"/>
          <w:sz w:val="24"/>
        </w:rPr>
        <w:t>（2）已通过该方的有关记录证明是由乙方独立开发的。</w:t>
      </w:r>
    </w:p>
    <w:p w14:paraId="2256DA2C">
      <w:pPr>
        <w:spacing w:line="360" w:lineRule="auto"/>
        <w:rPr>
          <w:rFonts w:hint="eastAsia" w:ascii="宋体" w:hAnsi="宋体" w:eastAsia="宋体" w:cs="宋体"/>
          <w:sz w:val="24"/>
        </w:rPr>
      </w:pPr>
      <w:r>
        <w:rPr>
          <w:rFonts w:hint="eastAsia" w:ascii="宋体" w:hAnsi="宋体" w:eastAsia="宋体" w:cs="宋体"/>
          <w:sz w:val="24"/>
        </w:rPr>
        <w:t>（3）由乙方从没有违反对甲方的保密义务的人合法取得的。</w:t>
      </w:r>
    </w:p>
    <w:p w14:paraId="332D2500">
      <w:pPr>
        <w:spacing w:line="360" w:lineRule="auto"/>
        <w:rPr>
          <w:rFonts w:hint="eastAsia" w:ascii="宋体" w:hAnsi="宋体" w:eastAsia="宋体" w:cs="宋体"/>
          <w:sz w:val="24"/>
        </w:rPr>
      </w:pPr>
      <w:r>
        <w:rPr>
          <w:rFonts w:hint="eastAsia" w:ascii="宋体" w:hAnsi="宋体" w:eastAsia="宋体" w:cs="宋体"/>
          <w:sz w:val="24"/>
        </w:rPr>
        <w:t>（4）法律要求乙方披露的，但乙方应在合理的时间提前通知甲方，使其得以采取其认为必要的保护措施。</w:t>
      </w:r>
    </w:p>
    <w:p w14:paraId="136131D3">
      <w:pPr>
        <w:spacing w:line="360" w:lineRule="auto"/>
        <w:rPr>
          <w:rFonts w:hint="eastAsia" w:ascii="宋体" w:hAnsi="宋体" w:eastAsia="宋体" w:cs="宋体"/>
          <w:sz w:val="24"/>
        </w:rPr>
      </w:pPr>
      <w:r>
        <w:rPr>
          <w:rFonts w:hint="eastAsia" w:ascii="宋体" w:hAnsi="宋体" w:eastAsia="宋体" w:cs="宋体"/>
          <w:sz w:val="24"/>
        </w:rPr>
        <w:t>5.4如乙方违反本合同关于保密的约定，乙方应赔偿因此而给甲方造成的一切损失。</w:t>
      </w:r>
    </w:p>
    <w:p w14:paraId="3D739719">
      <w:pPr>
        <w:spacing w:line="360" w:lineRule="auto"/>
        <w:rPr>
          <w:rFonts w:hint="eastAsia" w:ascii="宋体" w:hAnsi="宋体" w:eastAsia="宋体" w:cs="宋体"/>
          <w:sz w:val="24"/>
        </w:rPr>
      </w:pPr>
      <w:r>
        <w:rPr>
          <w:rFonts w:hint="eastAsia" w:ascii="宋体" w:hAnsi="宋体" w:eastAsia="宋体" w:cs="宋体"/>
          <w:sz w:val="24"/>
        </w:rPr>
        <w:t>5.5本保密条款自保密资料提供或披露之日起至本合同终止或解除后[  ]年内持续有效。</w:t>
      </w:r>
    </w:p>
    <w:p w14:paraId="31B1C5E4">
      <w:pPr>
        <w:spacing w:line="360" w:lineRule="auto"/>
        <w:rPr>
          <w:rFonts w:hint="eastAsia" w:ascii="宋体" w:hAnsi="宋体" w:eastAsia="宋体" w:cs="宋体"/>
          <w:sz w:val="24"/>
        </w:rPr>
      </w:pPr>
      <w:r>
        <w:rPr>
          <w:rFonts w:hint="eastAsia" w:ascii="宋体" w:hAnsi="宋体" w:eastAsia="宋体" w:cs="宋体"/>
          <w:sz w:val="24"/>
        </w:rPr>
        <w:t>第六条 未经甲方事先书面同意，乙方不得将本合同项目部分或全部服务工作转由第三人承担。</w:t>
      </w:r>
    </w:p>
    <w:p w14:paraId="011BF2A5">
      <w:pPr>
        <w:spacing w:line="360" w:lineRule="auto"/>
        <w:rPr>
          <w:rFonts w:hint="eastAsia" w:ascii="宋体" w:hAnsi="宋体" w:eastAsia="宋体" w:cs="宋体"/>
          <w:sz w:val="24"/>
        </w:rPr>
      </w:pPr>
      <w:r>
        <w:rPr>
          <w:rFonts w:hint="eastAsia" w:ascii="宋体" w:hAnsi="宋体" w:eastAsia="宋体" w:cs="宋体"/>
          <w:sz w:val="24"/>
        </w:rPr>
        <w:t>第七条  侵权处理</w:t>
      </w:r>
    </w:p>
    <w:p w14:paraId="169D27D1">
      <w:pPr>
        <w:spacing w:line="360" w:lineRule="auto"/>
        <w:rPr>
          <w:rFonts w:hint="eastAsia" w:ascii="宋体" w:hAnsi="宋体" w:eastAsia="宋体" w:cs="宋体"/>
          <w:sz w:val="24"/>
        </w:rPr>
      </w:pPr>
      <w:r>
        <w:rPr>
          <w:rFonts w:hint="eastAsia" w:ascii="宋体" w:hAnsi="宋体" w:eastAsia="宋体" w:cs="宋体"/>
          <w:sz w:val="24"/>
        </w:rPr>
        <w:t>7.1乙方应当保证，其依本合同为甲方提供服务过程中和/或其为甲方提供的服务成果不侵犯任何第三人的合法权益。如果有人提出法律或行政程序（合称“侵权指控”），声称甲方侵犯了其知识产权等合法权益的，乙方应当负责解决，并赔偿甲方就此所承担的一切损失和费用，包括但不限于上述侵权指控中所产生的诉讼费用、合理的律师费用、调查费用、和解金额或生效法律文书中规定的赔偿金额。</w:t>
      </w:r>
    </w:p>
    <w:p w14:paraId="2B77A036">
      <w:pPr>
        <w:spacing w:line="360" w:lineRule="auto"/>
        <w:rPr>
          <w:rFonts w:hint="eastAsia" w:ascii="宋体" w:hAnsi="宋体" w:eastAsia="宋体" w:cs="宋体"/>
          <w:sz w:val="24"/>
        </w:rPr>
      </w:pPr>
      <w:r>
        <w:rPr>
          <w:rFonts w:hint="eastAsia" w:ascii="宋体" w:hAnsi="宋体" w:eastAsia="宋体" w:cs="宋体"/>
          <w:sz w:val="24"/>
        </w:rPr>
        <w:t>7.2如果在侵权指控的审理过程中有关机关禁止甲方继续使用服务成果的部分或全部，乙方应当采取以下措施之一：</w:t>
      </w:r>
    </w:p>
    <w:p w14:paraId="685C695E">
      <w:pPr>
        <w:spacing w:line="360" w:lineRule="auto"/>
        <w:rPr>
          <w:rFonts w:hint="eastAsia" w:ascii="宋体" w:hAnsi="宋体" w:eastAsia="宋体" w:cs="宋体"/>
          <w:sz w:val="24"/>
        </w:rPr>
      </w:pPr>
      <w:r>
        <w:rPr>
          <w:rFonts w:hint="eastAsia" w:ascii="宋体" w:hAnsi="宋体" w:eastAsia="宋体" w:cs="宋体"/>
          <w:sz w:val="24"/>
        </w:rPr>
        <w:t>（1）使甲方重新免费获得使用上述服务成果的权利。</w:t>
      </w:r>
    </w:p>
    <w:p w14:paraId="688478A2">
      <w:pPr>
        <w:spacing w:line="360" w:lineRule="auto"/>
        <w:rPr>
          <w:rFonts w:hint="eastAsia" w:ascii="宋体" w:hAnsi="宋体" w:eastAsia="宋体" w:cs="宋体"/>
          <w:sz w:val="24"/>
        </w:rPr>
      </w:pPr>
      <w:r>
        <w:rPr>
          <w:rFonts w:hint="eastAsia" w:ascii="宋体" w:hAnsi="宋体" w:eastAsia="宋体" w:cs="宋体"/>
          <w:sz w:val="24"/>
        </w:rPr>
        <w:t>（2）免费更换或改造上述服务成果，使甲方不受上述禁令限制继续使用服务成果。</w:t>
      </w:r>
    </w:p>
    <w:p w14:paraId="12AA3CB1">
      <w:pPr>
        <w:spacing w:line="360" w:lineRule="auto"/>
        <w:rPr>
          <w:rFonts w:hint="eastAsia" w:ascii="宋体" w:hAnsi="宋体" w:eastAsia="宋体" w:cs="宋体"/>
          <w:sz w:val="24"/>
        </w:rPr>
      </w:pPr>
      <w:r>
        <w:rPr>
          <w:rFonts w:hint="eastAsia" w:ascii="宋体" w:hAnsi="宋体" w:eastAsia="宋体" w:cs="宋体"/>
          <w:sz w:val="24"/>
        </w:rPr>
        <w:t>（3）其它使甲方对服务成果拥有合法使用权，或其它弥补甲方受损利益、实现合同目的的合理方式。</w:t>
      </w:r>
    </w:p>
    <w:p w14:paraId="4F93124C">
      <w:pPr>
        <w:spacing w:line="360" w:lineRule="auto"/>
        <w:rPr>
          <w:rFonts w:hint="eastAsia" w:ascii="宋体" w:hAnsi="宋体" w:eastAsia="宋体" w:cs="宋体"/>
          <w:sz w:val="24"/>
        </w:rPr>
      </w:pPr>
      <w:r>
        <w:rPr>
          <w:rFonts w:hint="eastAsia" w:ascii="宋体" w:hAnsi="宋体" w:eastAsia="宋体" w:cs="宋体"/>
          <w:sz w:val="24"/>
        </w:rPr>
        <w:t>乙方采取上述措施不能免除乙方就甲方因此遭受的损失进行赔偿的义务。</w:t>
      </w:r>
    </w:p>
    <w:p w14:paraId="520964EE">
      <w:pPr>
        <w:spacing w:line="360" w:lineRule="auto"/>
        <w:rPr>
          <w:rFonts w:hint="eastAsia" w:ascii="宋体" w:hAnsi="宋体" w:eastAsia="宋体" w:cs="宋体"/>
          <w:sz w:val="24"/>
        </w:rPr>
      </w:pPr>
      <w:r>
        <w:rPr>
          <w:rFonts w:hint="eastAsia" w:ascii="宋体" w:hAnsi="宋体" w:eastAsia="宋体" w:cs="宋体"/>
          <w:sz w:val="24"/>
        </w:rPr>
        <w:t>第八条 项目服务成果的权利归属</w:t>
      </w:r>
    </w:p>
    <w:p w14:paraId="4BF5DCBF">
      <w:pPr>
        <w:spacing w:line="360" w:lineRule="auto"/>
        <w:rPr>
          <w:rFonts w:hint="eastAsia" w:ascii="宋体" w:hAnsi="宋体" w:eastAsia="宋体" w:cs="宋体"/>
          <w:sz w:val="24"/>
        </w:rPr>
      </w:pPr>
      <w:r>
        <w:rPr>
          <w:rFonts w:hint="eastAsia" w:ascii="宋体" w:hAnsi="宋体" w:eastAsia="宋体" w:cs="宋体"/>
          <w:sz w:val="24"/>
        </w:rPr>
        <w:t>8.1双方确定，乙方所完成的服务成果的所有权利，包括但不限于知识产权、专利申请权和所有权，归甲方所有。</w:t>
      </w:r>
    </w:p>
    <w:p w14:paraId="48FF39CB">
      <w:pPr>
        <w:spacing w:line="360" w:lineRule="auto"/>
        <w:rPr>
          <w:rFonts w:hint="eastAsia" w:ascii="宋体" w:hAnsi="宋体" w:eastAsia="宋体" w:cs="宋体"/>
          <w:sz w:val="24"/>
        </w:rPr>
      </w:pPr>
      <w:r>
        <w:rPr>
          <w:rFonts w:hint="eastAsia" w:ascii="宋体" w:hAnsi="宋体" w:eastAsia="宋体" w:cs="宋体"/>
          <w:sz w:val="24"/>
        </w:rPr>
        <w:t>8.2双方确定，甲方利用乙方的服务成果所完成的新的成果的所有权利，包括但不限于知识产权、专利申请权和所有权，归甲方所有。</w:t>
      </w:r>
    </w:p>
    <w:p w14:paraId="1E31169A">
      <w:pPr>
        <w:spacing w:line="360" w:lineRule="auto"/>
        <w:rPr>
          <w:rFonts w:hint="eastAsia" w:ascii="宋体" w:hAnsi="宋体" w:eastAsia="宋体" w:cs="宋体"/>
          <w:sz w:val="24"/>
        </w:rPr>
      </w:pPr>
      <w:r>
        <w:rPr>
          <w:rFonts w:hint="eastAsia" w:ascii="宋体" w:hAnsi="宋体" w:eastAsia="宋体" w:cs="宋体"/>
          <w:sz w:val="24"/>
        </w:rPr>
        <w:t>8.3乙方未经甲方书面同意，不得使用本合同中涉及的内容与信息做任何形式的推广。</w:t>
      </w:r>
    </w:p>
    <w:p w14:paraId="3E3DB719">
      <w:pPr>
        <w:spacing w:line="360" w:lineRule="auto"/>
        <w:rPr>
          <w:rFonts w:hint="eastAsia" w:ascii="宋体" w:hAnsi="宋体" w:eastAsia="宋体" w:cs="宋体"/>
          <w:sz w:val="24"/>
        </w:rPr>
      </w:pPr>
      <w:r>
        <w:rPr>
          <w:rFonts w:hint="eastAsia" w:ascii="宋体" w:hAnsi="宋体" w:eastAsia="宋体" w:cs="宋体"/>
          <w:sz w:val="24"/>
        </w:rPr>
        <w:t>第九条 违约责任</w:t>
      </w:r>
    </w:p>
    <w:p w14:paraId="1CEF96C3">
      <w:pPr>
        <w:spacing w:line="360" w:lineRule="auto"/>
        <w:rPr>
          <w:rFonts w:hint="eastAsia" w:ascii="宋体" w:hAnsi="宋体" w:eastAsia="宋体" w:cs="宋体"/>
          <w:sz w:val="24"/>
        </w:rPr>
      </w:pPr>
      <w:r>
        <w:rPr>
          <w:rFonts w:hint="eastAsia" w:ascii="宋体" w:hAnsi="宋体" w:eastAsia="宋体" w:cs="宋体"/>
          <w:sz w:val="24"/>
        </w:rPr>
        <w:t>9.1双方确定，任何一方未履行或未完全履行本合同项下的义务，均构成违约。违约方应赔偿因违约给对方造成的一切损失。</w:t>
      </w:r>
    </w:p>
    <w:p w14:paraId="4525146C">
      <w:pPr>
        <w:spacing w:line="360" w:lineRule="auto"/>
        <w:rPr>
          <w:rFonts w:hint="eastAsia" w:ascii="宋体" w:hAnsi="宋体" w:eastAsia="宋体" w:cs="宋体"/>
          <w:sz w:val="24"/>
        </w:rPr>
      </w:pPr>
      <w:r>
        <w:rPr>
          <w:rFonts w:hint="eastAsia" w:ascii="宋体" w:hAnsi="宋体" w:eastAsia="宋体" w:cs="宋体"/>
          <w:sz w:val="24"/>
        </w:rPr>
        <w:t>9.2乙方未能按本合同约定按期提供服务的，每逾期[  ]日，乙方应当按照本合同费用总额的[  ]%向甲方支付违约金。逾期超过[  ]日的，甲方有权终止本合同，乙方仍应支付上述违约金、退还甲方已支付款项并按照同期中国人民银行贷款利率计付利息，同时赔偿甲方的相应损失。</w:t>
      </w:r>
    </w:p>
    <w:p w14:paraId="4F7BCA36">
      <w:pPr>
        <w:spacing w:line="360" w:lineRule="auto"/>
        <w:rPr>
          <w:rFonts w:hint="eastAsia" w:ascii="宋体" w:hAnsi="宋体" w:eastAsia="宋体" w:cs="宋体"/>
          <w:sz w:val="24"/>
        </w:rPr>
      </w:pPr>
      <w:r>
        <w:rPr>
          <w:rFonts w:hint="eastAsia" w:ascii="宋体" w:hAnsi="宋体" w:eastAsia="宋体" w:cs="宋体"/>
          <w:sz w:val="24"/>
        </w:rPr>
        <w:t xml:space="preserve">9.3乙方提供服务不符合本合同要求的，乙方应当按照甲方要求更正和修改，并承担由此产生的全部费用。同时，甲方有权终止本合同，乙方应当退还甲方已支付款项并按照同期中国人民银行贷款利率计付利息，并赔偿甲方的相应损失。 </w:t>
      </w:r>
    </w:p>
    <w:p w14:paraId="13A211F7">
      <w:pPr>
        <w:spacing w:line="360" w:lineRule="auto"/>
        <w:rPr>
          <w:rFonts w:hint="eastAsia" w:ascii="宋体" w:hAnsi="宋体" w:eastAsia="宋体" w:cs="宋体"/>
          <w:sz w:val="24"/>
        </w:rPr>
      </w:pPr>
      <w:r>
        <w:rPr>
          <w:rFonts w:hint="eastAsia" w:ascii="宋体" w:hAnsi="宋体" w:eastAsia="宋体" w:cs="宋体"/>
          <w:sz w:val="24"/>
        </w:rPr>
        <w:t>第十条 双方确定，在本合同有效期内，甲方指定[  ]为甲方项目联系人，乙方指定[  ]为乙方项目联系人。一方变更项目联系人的，应当及时以书面形式通知另一方。未及时通知并影响本合同履行或，若造成损失的，应承担相应的责任。</w:t>
      </w:r>
    </w:p>
    <w:p w14:paraId="75C1B726">
      <w:pPr>
        <w:spacing w:line="360" w:lineRule="auto"/>
        <w:rPr>
          <w:rFonts w:hint="eastAsia" w:ascii="宋体" w:hAnsi="宋体" w:eastAsia="宋体" w:cs="宋体"/>
          <w:sz w:val="24"/>
        </w:rPr>
      </w:pPr>
      <w:r>
        <w:rPr>
          <w:rFonts w:hint="eastAsia" w:ascii="宋体" w:hAnsi="宋体" w:eastAsia="宋体" w:cs="宋体"/>
          <w:sz w:val="24"/>
        </w:rPr>
        <w:t>第十一条 双方确定，出现下列情形之一，致使本合同的履行成为不必要或不可能的，可以解除本合同：</w:t>
      </w:r>
    </w:p>
    <w:p w14:paraId="3837936D">
      <w:pPr>
        <w:spacing w:line="360" w:lineRule="auto"/>
        <w:rPr>
          <w:rFonts w:hint="eastAsia" w:ascii="宋体" w:hAnsi="宋体" w:eastAsia="宋体" w:cs="宋体"/>
          <w:sz w:val="24"/>
        </w:rPr>
      </w:pPr>
      <w:r>
        <w:rPr>
          <w:rFonts w:hint="eastAsia" w:ascii="宋体" w:hAnsi="宋体" w:eastAsia="宋体" w:cs="宋体"/>
          <w:sz w:val="24"/>
        </w:rPr>
        <w:t>11.1发生不可抗力。</w:t>
      </w:r>
    </w:p>
    <w:p w14:paraId="235B830F">
      <w:pPr>
        <w:spacing w:line="360" w:lineRule="auto"/>
        <w:rPr>
          <w:rFonts w:hint="eastAsia" w:ascii="宋体" w:hAnsi="宋体" w:eastAsia="宋体" w:cs="宋体"/>
          <w:sz w:val="24"/>
        </w:rPr>
      </w:pPr>
      <w:r>
        <w:rPr>
          <w:rFonts w:hint="eastAsia" w:ascii="宋体" w:hAnsi="宋体" w:eastAsia="宋体" w:cs="宋体"/>
          <w:sz w:val="24"/>
        </w:rPr>
        <w:t>11.2[  ]。</w:t>
      </w:r>
    </w:p>
    <w:p w14:paraId="5D7923E0">
      <w:pPr>
        <w:spacing w:line="360" w:lineRule="auto"/>
        <w:rPr>
          <w:rFonts w:hint="eastAsia" w:ascii="宋体" w:hAnsi="宋体" w:eastAsia="宋体" w:cs="宋体"/>
          <w:sz w:val="24"/>
        </w:rPr>
      </w:pPr>
      <w:r>
        <w:rPr>
          <w:rFonts w:hint="eastAsia" w:ascii="宋体" w:hAnsi="宋体" w:eastAsia="宋体" w:cs="宋体"/>
          <w:sz w:val="24"/>
        </w:rPr>
        <w:t>第十二条 法律适用和争议解决</w:t>
      </w:r>
    </w:p>
    <w:p w14:paraId="2F688FF7">
      <w:pPr>
        <w:spacing w:line="360" w:lineRule="auto"/>
        <w:rPr>
          <w:rFonts w:hint="eastAsia" w:ascii="宋体" w:hAnsi="宋体" w:eastAsia="宋体" w:cs="宋体"/>
          <w:sz w:val="24"/>
        </w:rPr>
      </w:pPr>
      <w:r>
        <w:rPr>
          <w:rFonts w:hint="eastAsia" w:ascii="宋体" w:hAnsi="宋体" w:eastAsia="宋体" w:cs="宋体"/>
          <w:sz w:val="24"/>
        </w:rPr>
        <w:t>12.1本合同适用中华人民共和国法律。</w:t>
      </w:r>
    </w:p>
    <w:p w14:paraId="5CBE4814">
      <w:pPr>
        <w:spacing w:line="360" w:lineRule="auto"/>
        <w:rPr>
          <w:rFonts w:hint="eastAsia" w:ascii="宋体" w:hAnsi="宋体" w:eastAsia="宋体" w:cs="宋体"/>
          <w:sz w:val="24"/>
        </w:rPr>
      </w:pPr>
      <w:r>
        <w:rPr>
          <w:rFonts w:hint="eastAsia" w:ascii="宋体" w:hAnsi="宋体" w:eastAsia="宋体" w:cs="宋体"/>
          <w:sz w:val="24"/>
        </w:rPr>
        <w:t>12.2所有因本合同引起的或与本合同有关的任何争议将通过双方友好协商解决。如果双方不能通过友好协商解决争议，则任何一方均可向甲方所在地有管辖权的人民法院起诉。诉讼进行过程中，双方将继续履行本合同未涉诉讼的其它部分。</w:t>
      </w:r>
    </w:p>
    <w:p w14:paraId="1BBDF250">
      <w:pPr>
        <w:spacing w:line="360" w:lineRule="auto"/>
        <w:rPr>
          <w:rFonts w:hint="eastAsia" w:ascii="宋体" w:hAnsi="宋体" w:eastAsia="宋体" w:cs="宋体"/>
          <w:sz w:val="24"/>
        </w:rPr>
      </w:pPr>
      <w:r>
        <w:rPr>
          <w:rFonts w:hint="eastAsia" w:ascii="宋体" w:hAnsi="宋体" w:eastAsia="宋体" w:cs="宋体"/>
          <w:sz w:val="24"/>
        </w:rPr>
        <w:t>第十三条 双方确定，本合同及相关附件中所涉及的有关名词和技术术语，其定义和解释如下：</w:t>
      </w:r>
    </w:p>
    <w:p w14:paraId="5ACC4F6F">
      <w:pPr>
        <w:spacing w:line="360" w:lineRule="auto"/>
        <w:rPr>
          <w:rFonts w:hint="eastAsia" w:ascii="宋体" w:hAnsi="宋体" w:eastAsia="宋体" w:cs="宋体"/>
          <w:sz w:val="24"/>
        </w:rPr>
      </w:pPr>
      <w:r>
        <w:rPr>
          <w:rFonts w:hint="eastAsia" w:ascii="宋体" w:hAnsi="宋体" w:eastAsia="宋体" w:cs="宋体"/>
          <w:sz w:val="24"/>
        </w:rPr>
        <w:t xml:space="preserve">13.1“不可抗力”：地震、台风、水灾、火灾、战争以及其它本合同各方不能预见，并且对其发生和后果不能防止或不能避免且不可克服的客观情况。 </w:t>
      </w:r>
    </w:p>
    <w:p w14:paraId="7C895198">
      <w:pPr>
        <w:spacing w:line="360" w:lineRule="auto"/>
        <w:rPr>
          <w:rFonts w:hint="eastAsia" w:ascii="宋体" w:hAnsi="宋体" w:eastAsia="宋体" w:cs="宋体"/>
          <w:sz w:val="24"/>
        </w:rPr>
      </w:pPr>
      <w:r>
        <w:rPr>
          <w:rFonts w:hint="eastAsia" w:ascii="宋体" w:hAnsi="宋体" w:eastAsia="宋体" w:cs="宋体"/>
          <w:sz w:val="24"/>
        </w:rPr>
        <w:t>13.2[  ]。</w:t>
      </w:r>
    </w:p>
    <w:p w14:paraId="28B73345">
      <w:pPr>
        <w:spacing w:line="360" w:lineRule="auto"/>
        <w:rPr>
          <w:rFonts w:hint="eastAsia" w:ascii="宋体" w:hAnsi="宋体" w:eastAsia="宋体" w:cs="宋体"/>
          <w:sz w:val="24"/>
        </w:rPr>
      </w:pPr>
      <w:r>
        <w:rPr>
          <w:rFonts w:hint="eastAsia" w:ascii="宋体" w:hAnsi="宋体" w:eastAsia="宋体" w:cs="宋体"/>
          <w:sz w:val="24"/>
        </w:rPr>
        <w:t>第十四条  双方约定本合同其他相关事项为：</w:t>
      </w:r>
    </w:p>
    <w:p w14:paraId="42F9180D">
      <w:pPr>
        <w:spacing w:line="360" w:lineRule="auto"/>
        <w:rPr>
          <w:rFonts w:hint="eastAsia" w:ascii="宋体" w:hAnsi="宋体" w:eastAsia="宋体" w:cs="宋体"/>
          <w:sz w:val="24"/>
        </w:rPr>
      </w:pPr>
      <w:r>
        <w:rPr>
          <w:rFonts w:hint="eastAsia" w:ascii="宋体" w:hAnsi="宋体" w:eastAsia="宋体" w:cs="宋体"/>
          <w:sz w:val="24"/>
        </w:rPr>
        <w:t>14.1任何一方未经另一方同意，不得向任何第三方透露本合同的签订及其内容。甲方向其关联公司透露的，不在此限。</w:t>
      </w:r>
    </w:p>
    <w:p w14:paraId="528374F0">
      <w:pPr>
        <w:spacing w:line="360" w:lineRule="auto"/>
        <w:rPr>
          <w:rFonts w:hint="eastAsia" w:ascii="宋体" w:hAnsi="宋体" w:eastAsia="宋体" w:cs="宋体"/>
          <w:sz w:val="24"/>
        </w:rPr>
      </w:pPr>
      <w:r>
        <w:rPr>
          <w:rFonts w:hint="eastAsia" w:ascii="宋体" w:hAnsi="宋体" w:eastAsia="宋体" w:cs="宋体"/>
          <w:sz w:val="24"/>
        </w:rPr>
        <w:t>14.2任何与本合同相关但未在本合同中明确规定的事项将由双方另行友好协商解决。对本合同作出的任何修改和补充应为书面形式，由双方签字并加盖单位公章或合同专用章后成为本合同不可分割的部分。本合同与其补充合同或补充协议冲突时，以补充合同或补充协议为准。</w:t>
      </w:r>
    </w:p>
    <w:p w14:paraId="408AD0EB">
      <w:pPr>
        <w:spacing w:line="360" w:lineRule="auto"/>
        <w:rPr>
          <w:rFonts w:hint="eastAsia" w:ascii="宋体" w:hAnsi="宋体" w:eastAsia="宋体" w:cs="宋体"/>
          <w:sz w:val="24"/>
        </w:rPr>
      </w:pPr>
      <w:r>
        <w:rPr>
          <w:rFonts w:hint="eastAsia" w:ascii="宋体" w:hAnsi="宋体" w:eastAsia="宋体" w:cs="宋体"/>
          <w:sz w:val="24"/>
        </w:rPr>
        <w:t>14.3本合同替代此前双方所有关于本合同事项的口头或书面的纪要、备忘录、合同和协议。</w:t>
      </w:r>
    </w:p>
    <w:p w14:paraId="4C3F28B9">
      <w:pPr>
        <w:spacing w:line="360" w:lineRule="auto"/>
        <w:rPr>
          <w:rFonts w:hint="eastAsia" w:ascii="宋体" w:hAnsi="宋体" w:eastAsia="宋体" w:cs="宋体"/>
          <w:sz w:val="24"/>
        </w:rPr>
      </w:pPr>
      <w:r>
        <w:rPr>
          <w:rFonts w:hint="eastAsia" w:ascii="宋体" w:hAnsi="宋体" w:eastAsia="宋体" w:cs="宋体"/>
          <w:sz w:val="24"/>
        </w:rPr>
        <w:t>14.4甲乙双方因履行本合同或与本合同有关的一切通知都必须按照本合同中的地址，以书面信函形式或双方确认的传真或类似的通讯方式进行。采用信函形式的应使用挂号信或者具有良好信誉的特快专递送达如使用传真或类似的通讯方式，通知日期即为通讯发出日期，如使用挂号信件或特快专递，通知日期即为邮件寄出日期并以邮戳为准。</w:t>
      </w:r>
    </w:p>
    <w:p w14:paraId="1484158D">
      <w:pPr>
        <w:spacing w:line="360" w:lineRule="auto"/>
        <w:rPr>
          <w:rFonts w:hint="eastAsia" w:ascii="宋体" w:hAnsi="宋体" w:eastAsia="宋体" w:cs="宋体"/>
          <w:sz w:val="24"/>
        </w:rPr>
      </w:pPr>
      <w:r>
        <w:rPr>
          <w:rFonts w:hint="eastAsia" w:ascii="宋体" w:hAnsi="宋体" w:eastAsia="宋体" w:cs="宋体"/>
          <w:sz w:val="24"/>
        </w:rPr>
        <w:t>第十五条 本合同自双方法定代表人或授权代表签字并加盖单位公章或合同专用章之日起生效。本合同一式[  ]份，甲方执[  ]份，乙方执[  ]份，具有同等法律效力。</w:t>
      </w:r>
    </w:p>
    <w:p w14:paraId="525BF016">
      <w:pPr>
        <w:spacing w:line="360" w:lineRule="auto"/>
        <w:rPr>
          <w:rFonts w:hint="eastAsia" w:ascii="宋体" w:hAnsi="宋体" w:eastAsia="宋体" w:cs="宋体"/>
          <w:sz w:val="24"/>
        </w:rPr>
      </w:pPr>
      <w:r>
        <w:rPr>
          <w:rFonts w:hint="eastAsia" w:ascii="宋体" w:hAnsi="宋体" w:eastAsia="宋体" w:cs="宋体"/>
          <w:sz w:val="24"/>
        </w:rPr>
        <w:t>第十六条 附件为本合同不可分割的部分。若附件与合同正文有任何冲突，以合同正文为准。</w:t>
      </w:r>
    </w:p>
    <w:p w14:paraId="3085B7C9">
      <w:pPr>
        <w:spacing w:line="360" w:lineRule="auto"/>
        <w:rPr>
          <w:rFonts w:hint="eastAsia" w:ascii="宋体" w:hAnsi="宋体" w:eastAsia="宋体" w:cs="宋体"/>
          <w:sz w:val="24"/>
        </w:rPr>
      </w:pPr>
      <w:r>
        <w:rPr>
          <w:rFonts w:hint="eastAsia" w:ascii="宋体" w:hAnsi="宋体" w:eastAsia="宋体" w:cs="宋体"/>
          <w:sz w:val="24"/>
        </w:rPr>
        <w:t>补充附页</w:t>
      </w:r>
    </w:p>
    <w:p w14:paraId="64D9FC61">
      <w:pPr>
        <w:spacing w:line="360" w:lineRule="auto"/>
        <w:rPr>
          <w:rFonts w:hint="eastAsia" w:ascii="宋体" w:hAnsi="宋体" w:eastAsia="宋体" w:cs="宋体"/>
          <w:sz w:val="24"/>
        </w:rPr>
      </w:pPr>
      <w:r>
        <w:rPr>
          <w:rFonts w:hint="eastAsia" w:ascii="宋体" w:hAnsi="宋体" w:eastAsia="宋体" w:cs="宋体"/>
          <w:sz w:val="24"/>
        </w:rPr>
        <w:t>经友好协商，对本合同条款补充、修改如下，本补充附页为合同正文的一部分，与合同正文冲突时，以本补充附页为准：</w:t>
      </w:r>
    </w:p>
    <w:p w14:paraId="2D10E0AF">
      <w:pPr>
        <w:spacing w:line="360" w:lineRule="auto"/>
        <w:rPr>
          <w:rFonts w:hint="eastAsia" w:ascii="宋体" w:hAnsi="宋体" w:eastAsia="宋体" w:cs="宋体"/>
          <w:sz w:val="24"/>
        </w:rPr>
      </w:pPr>
    </w:p>
    <w:p w14:paraId="12432BFB">
      <w:pPr>
        <w:spacing w:line="360" w:lineRule="auto"/>
        <w:rPr>
          <w:rFonts w:hint="eastAsia" w:ascii="宋体" w:hAnsi="宋体" w:eastAsia="宋体" w:cs="宋体"/>
          <w:sz w:val="24"/>
        </w:rPr>
      </w:pPr>
      <w:r>
        <w:rPr>
          <w:rFonts w:hint="eastAsia" w:ascii="宋体" w:hAnsi="宋体" w:eastAsia="宋体" w:cs="宋体"/>
          <w:sz w:val="24"/>
        </w:rPr>
        <w:t xml:space="preserve">甲方：[  ]         </w:t>
      </w:r>
    </w:p>
    <w:p w14:paraId="4F3F02A8">
      <w:pPr>
        <w:spacing w:line="360" w:lineRule="auto"/>
        <w:rPr>
          <w:rFonts w:hint="eastAsia" w:ascii="宋体" w:hAnsi="宋体" w:eastAsia="宋体" w:cs="宋体"/>
          <w:sz w:val="24"/>
        </w:rPr>
      </w:pPr>
      <w:r>
        <w:rPr>
          <w:rFonts w:hint="eastAsia" w:ascii="宋体" w:hAnsi="宋体" w:eastAsia="宋体" w:cs="宋体"/>
          <w:sz w:val="24"/>
        </w:rPr>
        <w:t>法定代表人/负责人</w:t>
      </w:r>
    </w:p>
    <w:p w14:paraId="7847DBE4">
      <w:pPr>
        <w:spacing w:line="360" w:lineRule="auto"/>
        <w:rPr>
          <w:rFonts w:hint="eastAsia" w:ascii="宋体" w:hAnsi="宋体" w:eastAsia="宋体" w:cs="宋体"/>
          <w:sz w:val="24"/>
        </w:rPr>
      </w:pPr>
      <w:r>
        <w:rPr>
          <w:rFonts w:hint="eastAsia" w:ascii="宋体" w:hAnsi="宋体" w:eastAsia="宋体" w:cs="宋体"/>
          <w:sz w:val="24"/>
        </w:rPr>
        <w:t xml:space="preserve">或授权代表：（签字）         </w:t>
      </w:r>
    </w:p>
    <w:p w14:paraId="6D3B390C">
      <w:pPr>
        <w:spacing w:line="360" w:lineRule="auto"/>
        <w:rPr>
          <w:rFonts w:hint="eastAsia" w:ascii="宋体" w:hAnsi="宋体" w:eastAsia="宋体" w:cs="宋体"/>
          <w:sz w:val="24"/>
        </w:rPr>
      </w:pPr>
      <w:r>
        <w:rPr>
          <w:rFonts w:hint="eastAsia" w:ascii="宋体" w:hAnsi="宋体" w:eastAsia="宋体" w:cs="宋体"/>
          <w:sz w:val="24"/>
        </w:rPr>
        <w:t>[  ]年[  ]月[  ]日</w:t>
      </w:r>
    </w:p>
    <w:p w14:paraId="13D4AB25">
      <w:pPr>
        <w:spacing w:line="360" w:lineRule="auto"/>
        <w:rPr>
          <w:rFonts w:hint="eastAsia" w:ascii="宋体" w:hAnsi="宋体" w:eastAsia="宋体" w:cs="宋体"/>
          <w:sz w:val="24"/>
        </w:rPr>
      </w:pPr>
    </w:p>
    <w:p w14:paraId="5D041A8F">
      <w:pPr>
        <w:spacing w:line="360" w:lineRule="auto"/>
        <w:rPr>
          <w:rFonts w:hint="eastAsia" w:ascii="宋体" w:hAnsi="宋体" w:eastAsia="宋体" w:cs="宋体"/>
          <w:sz w:val="24"/>
        </w:rPr>
      </w:pPr>
      <w:r>
        <w:rPr>
          <w:rFonts w:hint="eastAsia" w:ascii="宋体" w:hAnsi="宋体" w:eastAsia="宋体" w:cs="宋体"/>
          <w:sz w:val="24"/>
        </w:rPr>
        <w:t xml:space="preserve">乙方：[  ] </w:t>
      </w:r>
    </w:p>
    <w:p w14:paraId="418CB7DC">
      <w:pPr>
        <w:spacing w:line="360" w:lineRule="auto"/>
        <w:rPr>
          <w:rFonts w:hint="eastAsia" w:ascii="宋体" w:hAnsi="宋体" w:eastAsia="宋体" w:cs="宋体"/>
          <w:sz w:val="24"/>
        </w:rPr>
      </w:pPr>
      <w:r>
        <w:rPr>
          <w:rFonts w:hint="eastAsia" w:ascii="宋体" w:hAnsi="宋体" w:eastAsia="宋体" w:cs="宋体"/>
          <w:sz w:val="24"/>
        </w:rPr>
        <w:t xml:space="preserve">法定代表人/负责人                     </w:t>
      </w:r>
    </w:p>
    <w:p w14:paraId="3CC41A56">
      <w:pPr>
        <w:spacing w:line="360" w:lineRule="auto"/>
        <w:rPr>
          <w:rFonts w:hint="eastAsia" w:ascii="宋体" w:hAnsi="宋体" w:eastAsia="宋体" w:cs="宋体"/>
          <w:sz w:val="24"/>
        </w:rPr>
      </w:pPr>
      <w:r>
        <w:rPr>
          <w:rFonts w:hint="eastAsia" w:ascii="宋体" w:hAnsi="宋体" w:eastAsia="宋体" w:cs="宋体"/>
          <w:sz w:val="24"/>
        </w:rPr>
        <w:t>或授权代表：（签字）</w:t>
      </w:r>
    </w:p>
    <w:p w14:paraId="3D15D589">
      <w:pPr>
        <w:spacing w:line="360" w:lineRule="auto"/>
        <w:rPr>
          <w:rFonts w:hint="eastAsia" w:ascii="宋体" w:hAnsi="宋体" w:eastAsia="宋体" w:cs="宋体"/>
          <w:sz w:val="24"/>
        </w:rPr>
      </w:pPr>
      <w:r>
        <w:rPr>
          <w:rFonts w:hint="eastAsia" w:ascii="宋体" w:hAnsi="宋体" w:eastAsia="宋体" w:cs="宋体"/>
          <w:sz w:val="24"/>
        </w:rPr>
        <w:t>[  ]年[  ]月[  ]日</w:t>
      </w:r>
    </w:p>
    <w:p w14:paraId="7A187909">
      <w:pPr>
        <w:spacing w:line="360" w:lineRule="auto"/>
        <w:rPr>
          <w:rFonts w:hint="eastAsia" w:ascii="宋体" w:hAnsi="宋体" w:eastAsia="宋体" w:cs="宋体"/>
          <w:sz w:val="24"/>
        </w:rPr>
      </w:pPr>
    </w:p>
    <w:p w14:paraId="3BA0F23A">
      <w:pPr>
        <w:pStyle w:val="2"/>
        <w:keepNext w:val="0"/>
        <w:pageBreakBefore/>
        <w:numPr>
          <w:ilvl w:val="0"/>
          <w:numId w:val="0"/>
        </w:numPr>
        <w:spacing w:after="312"/>
        <w:ind w:firstLine="883" w:firstLineChars="200"/>
        <w:textAlignment w:val="baseline"/>
        <w:rPr>
          <w:rFonts w:hint="eastAsia" w:ascii="宋体" w:hAnsi="宋体" w:eastAsia="宋体" w:cs="宋体"/>
          <w:b/>
          <w:bCs/>
          <w:sz w:val="44"/>
          <w:szCs w:val="44"/>
        </w:rPr>
      </w:pPr>
      <w:bookmarkStart w:id="79" w:name="_Toc25683"/>
      <w:r>
        <w:rPr>
          <w:rFonts w:hint="eastAsia" w:ascii="宋体" w:hAnsi="宋体" w:eastAsia="宋体" w:cs="宋体"/>
          <w:b/>
          <w:bCs/>
          <w:sz w:val="44"/>
          <w:szCs w:val="44"/>
        </w:rPr>
        <w:t>第四章 项目需求</w:t>
      </w:r>
      <w:bookmarkEnd w:id="58"/>
      <w:bookmarkEnd w:id="59"/>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p>
    <w:p w14:paraId="2E7933EB">
      <w:pPr>
        <w:pStyle w:val="30"/>
        <w:numPr>
          <w:ilvl w:val="0"/>
          <w:numId w:val="4"/>
        </w:numPr>
        <w:wordWrap w:val="0"/>
        <w:spacing w:after="0" w:line="560" w:lineRule="exact"/>
        <w:ind w:left="-199" w:leftChars="-95" w:firstLine="0"/>
        <w:rPr>
          <w:rFonts w:hint="eastAsia" w:ascii="宋体" w:hAnsi="宋体" w:eastAsia="宋体" w:cs="宋体"/>
          <w:lang w:val="zh-CN"/>
        </w:rPr>
      </w:pPr>
      <w:bookmarkStart w:id="80" w:name="_Toc21448"/>
      <w:bookmarkStart w:id="81" w:name="_Toc20735"/>
      <w:bookmarkStart w:id="82" w:name="_Toc6599"/>
      <w:bookmarkStart w:id="83" w:name="_Toc10141"/>
      <w:bookmarkStart w:id="84" w:name="_Toc15806"/>
      <w:bookmarkStart w:id="85" w:name="_Toc7112"/>
      <w:bookmarkStart w:id="86" w:name="_Toc31247"/>
      <w:bookmarkStart w:id="87" w:name="_Toc8217"/>
      <w:bookmarkStart w:id="88" w:name="_Toc4121"/>
      <w:bookmarkStart w:id="89" w:name="_Toc19017"/>
      <w:bookmarkStart w:id="90" w:name="_Toc17145"/>
      <w:bookmarkStart w:id="91" w:name="_Toc20222"/>
      <w:bookmarkStart w:id="92" w:name="_Toc29781"/>
      <w:bookmarkStart w:id="93" w:name="_Toc26584"/>
      <w:bookmarkStart w:id="94" w:name="_Toc16326"/>
      <w:bookmarkStart w:id="95" w:name="_Toc20907"/>
      <w:bookmarkStart w:id="96" w:name="_Toc17095"/>
      <w:bookmarkStart w:id="97" w:name="_Toc23308"/>
      <w:r>
        <w:rPr>
          <w:rFonts w:hint="eastAsia" w:ascii="宋体" w:hAnsi="宋体" w:eastAsia="宋体" w:cs="宋体"/>
          <w:lang w:val="zh-CN"/>
        </w:rPr>
        <w:t>项目</w:t>
      </w:r>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r>
        <w:rPr>
          <w:rFonts w:hint="eastAsia" w:ascii="宋体" w:hAnsi="宋体" w:eastAsia="宋体" w:cs="宋体"/>
        </w:rPr>
        <w:t>概况</w:t>
      </w:r>
    </w:p>
    <w:p w14:paraId="79E436A0">
      <w:pPr>
        <w:wordWrap w:val="0"/>
        <w:spacing w:after="0" w:line="560" w:lineRule="exact"/>
        <w:ind w:firstLine="480" w:firstLineChars="200"/>
        <w:rPr>
          <w:rFonts w:hint="eastAsia" w:ascii="宋体" w:hAnsi="宋体" w:eastAsia="宋体" w:cs="宋体"/>
          <w:sz w:val="24"/>
          <w:szCs w:val="24"/>
          <w:lang w:val="zh-CN"/>
        </w:rPr>
      </w:pPr>
      <w:r>
        <w:rPr>
          <w:rFonts w:hint="eastAsia" w:ascii="宋体" w:hAnsi="宋体" w:eastAsia="宋体" w:cs="宋体"/>
          <w:sz w:val="24"/>
          <w:szCs w:val="24"/>
          <w:lang w:val="zh-CN" w:eastAsia="zh-CN"/>
        </w:rPr>
        <w:t>为进一步加强专项资金政策管理，提高财政资源配置效率和使用效益，根据省财政厅《江苏省财政厅关于2026年省级部门单位开展财政支出绩效评价工作的通知》（苏财绩〔2024〕4号）、《关于开展2025年度省级财政农业专项转移支付资金绩效自评价工作的通知》（苏农计〔2026〕11号）、《关于全面落实财政专项资金预算绩效管理工作的通知》（苏农办计〔2022〕8号）《关于进一步加强财政支农专项资金管理的实施意见》（苏财农〔2023〕81号）《江苏省农业农村厅专项资金绩效管理工作规程》等文件精神，拟开展2025年度省级专项转移支付资金部门绩效评价省级复评和2025年度省级专项资金政策绩效评价工作</w:t>
      </w:r>
      <w:r>
        <w:rPr>
          <w:rFonts w:hint="eastAsia" w:ascii="宋体" w:hAnsi="宋体" w:eastAsia="宋体" w:cs="宋体"/>
          <w:sz w:val="24"/>
          <w:szCs w:val="24"/>
          <w:lang w:val="zh-CN"/>
        </w:rPr>
        <w:t>。</w:t>
      </w:r>
    </w:p>
    <w:p w14:paraId="0B0ADB85">
      <w:pPr>
        <w:pStyle w:val="30"/>
        <w:numPr>
          <w:ilvl w:val="0"/>
          <w:numId w:val="4"/>
        </w:numPr>
        <w:wordWrap w:val="0"/>
        <w:spacing w:after="0" w:line="560" w:lineRule="exact"/>
        <w:ind w:left="-199" w:leftChars="-95" w:firstLine="0"/>
        <w:rPr>
          <w:rFonts w:hint="eastAsia" w:ascii="宋体" w:hAnsi="宋体" w:eastAsia="宋体" w:cs="宋体"/>
        </w:rPr>
      </w:pPr>
      <w:r>
        <w:rPr>
          <w:rFonts w:hint="eastAsia" w:ascii="宋体" w:hAnsi="宋体" w:eastAsia="宋体" w:cs="宋体"/>
        </w:rPr>
        <w:t>项目</w:t>
      </w:r>
      <w:r>
        <w:rPr>
          <w:rFonts w:hint="eastAsia" w:ascii="宋体" w:hAnsi="宋体" w:cs="宋体"/>
          <w:lang w:val="en-US" w:eastAsia="zh-CN"/>
        </w:rPr>
        <w:t>分包及工作内容</w:t>
      </w:r>
    </w:p>
    <w:p w14:paraId="7DA4CD1C">
      <w:pPr>
        <w:pStyle w:val="42"/>
        <w:wordWrap w:val="0"/>
        <w:spacing w:after="0" w:line="560" w:lineRule="exact"/>
        <w:ind w:left="480" w:firstLine="0" w:firstLineChars="0"/>
        <w:rPr>
          <w:rFonts w:hint="eastAsia" w:ascii="宋体" w:hAnsi="宋体" w:eastAsia="宋体" w:cs="宋体"/>
          <w:bCs/>
          <w:sz w:val="24"/>
          <w:szCs w:val="24"/>
        </w:rPr>
      </w:pPr>
      <w:r>
        <w:rPr>
          <w:rFonts w:hint="eastAsia" w:ascii="宋体" w:hAnsi="宋体" w:cs="宋体"/>
          <w:bCs/>
          <w:sz w:val="24"/>
          <w:szCs w:val="24"/>
          <w:lang w:val="en-US" w:eastAsia="zh-CN"/>
        </w:rPr>
        <w:t>采购包1</w:t>
      </w:r>
      <w:r>
        <w:rPr>
          <w:rFonts w:hint="eastAsia" w:ascii="宋体" w:hAnsi="宋体" w:eastAsia="宋体" w:cs="宋体"/>
          <w:bCs/>
          <w:sz w:val="24"/>
          <w:szCs w:val="24"/>
          <w:lang w:val="en-US" w:eastAsia="zh-CN"/>
        </w:rPr>
        <w:t>：</w:t>
      </w:r>
      <w:r>
        <w:rPr>
          <w:rFonts w:hint="eastAsia" w:ascii="宋体" w:hAnsi="宋体" w:cs="宋体"/>
          <w:bCs/>
          <w:sz w:val="24"/>
          <w:szCs w:val="24"/>
          <w:lang w:val="en-US" w:eastAsia="zh-CN"/>
        </w:rPr>
        <w:t>2025年省级专项资金绩效自评省级复评和重点政策全面绩效评价（苏南和苏中片区）</w:t>
      </w:r>
    </w:p>
    <w:p w14:paraId="4A463205">
      <w:pPr>
        <w:pStyle w:val="34"/>
        <w:wordWrap w:val="0"/>
        <w:spacing w:after="0" w:line="560" w:lineRule="exact"/>
        <w:ind w:firstLineChars="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1、培训、指标设定、方案制定</w:t>
      </w:r>
    </w:p>
    <w:p w14:paraId="6CA48781">
      <w:pPr>
        <w:pStyle w:val="34"/>
        <w:wordWrap w:val="0"/>
        <w:spacing w:after="0" w:line="560" w:lineRule="exact"/>
        <w:ind w:firstLineChars="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2、2025年度省级专项转移支付资金部门绩效评价省级复评</w:t>
      </w:r>
    </w:p>
    <w:p w14:paraId="5C7F4A13">
      <w:pPr>
        <w:pStyle w:val="34"/>
        <w:wordWrap w:val="0"/>
        <w:spacing w:after="0" w:line="560" w:lineRule="exact"/>
        <w:ind w:firstLineChars="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3、2025年度省级专项资金政策绩效评价</w:t>
      </w:r>
    </w:p>
    <w:p w14:paraId="296B797B">
      <w:pPr>
        <w:pStyle w:val="34"/>
        <w:wordWrap w:val="0"/>
        <w:spacing w:after="0" w:line="560" w:lineRule="exact"/>
        <w:ind w:firstLineChars="0"/>
        <w:rPr>
          <w:rFonts w:hint="eastAsia" w:ascii="宋体" w:hAnsi="宋体" w:eastAsia="宋体" w:cs="宋体"/>
          <w:bCs/>
          <w:sz w:val="24"/>
          <w:szCs w:val="24"/>
          <w:lang w:val="en-US" w:eastAsia="zh-CN"/>
        </w:rPr>
      </w:pPr>
      <w:r>
        <w:rPr>
          <w:rFonts w:hint="eastAsia" w:ascii="宋体" w:hAnsi="宋体" w:cs="宋体"/>
          <w:bCs/>
          <w:sz w:val="24"/>
          <w:szCs w:val="24"/>
          <w:lang w:val="en-US" w:eastAsia="zh-CN"/>
        </w:rPr>
        <w:t>采购包2：2025年省级专项资金绩效自评省级复评和重点政策全面绩效评价（苏北片区及省本级）</w:t>
      </w:r>
    </w:p>
    <w:p w14:paraId="5B87D159">
      <w:pPr>
        <w:pStyle w:val="34"/>
        <w:wordWrap w:val="0"/>
        <w:spacing w:after="0" w:line="560" w:lineRule="exact"/>
        <w:ind w:firstLine="48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1、2025年度省级专项转移支付资金部门绩效评价省级复评</w:t>
      </w:r>
    </w:p>
    <w:p w14:paraId="47FB365E">
      <w:pPr>
        <w:pStyle w:val="34"/>
        <w:wordWrap w:val="0"/>
        <w:spacing w:after="0" w:line="560" w:lineRule="exact"/>
        <w:ind w:firstLine="48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2、2025年度省级专项资金政策绩效评价</w:t>
      </w:r>
    </w:p>
    <w:p w14:paraId="6C792035">
      <w:pPr>
        <w:pStyle w:val="34"/>
        <w:wordWrap w:val="0"/>
        <w:spacing w:after="0" w:line="560" w:lineRule="exact"/>
        <w:ind w:firstLineChars="0"/>
        <w:rPr>
          <w:rFonts w:hint="eastAsia" w:ascii="宋体" w:hAnsi="宋体" w:eastAsia="宋体" w:cs="宋体"/>
          <w:bCs/>
          <w:sz w:val="24"/>
          <w:szCs w:val="24"/>
          <w:lang w:val="en-US" w:eastAsia="zh-CN"/>
        </w:rPr>
      </w:pPr>
      <w:r>
        <w:rPr>
          <w:rFonts w:hint="eastAsia" w:ascii="宋体" w:hAnsi="宋体" w:cs="宋体"/>
          <w:bCs/>
          <w:sz w:val="24"/>
          <w:szCs w:val="24"/>
          <w:lang w:val="en-US" w:eastAsia="zh-CN"/>
        </w:rPr>
        <w:t>采购包3：2025年省级专项资金绩效自评省级复评和重点政策全面绩效评价（全省范围常态化帮扶资金绩效评价）</w:t>
      </w:r>
    </w:p>
    <w:p w14:paraId="760B4110">
      <w:pPr>
        <w:pStyle w:val="34"/>
        <w:numPr>
          <w:ilvl w:val="0"/>
          <w:numId w:val="0"/>
        </w:numPr>
        <w:wordWrap w:val="0"/>
        <w:spacing w:after="0" w:line="560" w:lineRule="exact"/>
        <w:ind w:firstLine="480" w:firstLineChars="20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1、培训、指标设定、方案制定</w:t>
      </w:r>
    </w:p>
    <w:p w14:paraId="2AC9FD18">
      <w:pPr>
        <w:pStyle w:val="34"/>
        <w:numPr>
          <w:ilvl w:val="0"/>
          <w:numId w:val="0"/>
        </w:numPr>
        <w:wordWrap w:val="0"/>
        <w:spacing w:after="0" w:line="560" w:lineRule="exact"/>
        <w:ind w:firstLine="480" w:firstLineChars="200"/>
        <w:rPr>
          <w:rFonts w:hint="eastAsia" w:ascii="宋体" w:hAnsi="宋体" w:eastAsia="宋体" w:cs="宋体"/>
          <w:bCs/>
          <w:sz w:val="24"/>
          <w:szCs w:val="24"/>
          <w:lang w:val="en-US" w:eastAsia="zh-CN"/>
        </w:rPr>
      </w:pPr>
      <w:r>
        <w:rPr>
          <w:rFonts w:hint="eastAsia" w:ascii="宋体" w:hAnsi="宋体" w:cs="宋体"/>
          <w:bCs/>
          <w:sz w:val="24"/>
          <w:szCs w:val="24"/>
          <w:lang w:val="en-US" w:eastAsia="zh-CN"/>
        </w:rPr>
        <w:t>2、</w:t>
      </w:r>
      <w:r>
        <w:rPr>
          <w:rFonts w:hint="eastAsia" w:ascii="宋体" w:hAnsi="宋体" w:eastAsia="宋体" w:cs="宋体"/>
          <w:bCs/>
          <w:sz w:val="24"/>
          <w:szCs w:val="24"/>
          <w:lang w:val="en-US" w:eastAsia="zh-CN"/>
        </w:rPr>
        <w:t>2026年度省级专项转移支付资金部门绩效评价省级复评</w:t>
      </w:r>
    </w:p>
    <w:p w14:paraId="3D3D53C3">
      <w:pPr>
        <w:pStyle w:val="34"/>
        <w:wordWrap w:val="0"/>
        <w:spacing w:after="0" w:line="560" w:lineRule="exact"/>
        <w:ind w:firstLine="480"/>
        <w:rPr>
          <w:rFonts w:hint="eastAsia" w:ascii="宋体" w:hAnsi="宋体" w:eastAsia="宋体" w:cs="宋体"/>
          <w:bCs/>
          <w:sz w:val="24"/>
          <w:szCs w:val="24"/>
        </w:rPr>
      </w:pPr>
      <w:r>
        <w:rPr>
          <w:rFonts w:hint="eastAsia" w:ascii="宋体" w:hAnsi="宋体" w:cs="宋体"/>
          <w:bCs/>
          <w:sz w:val="24"/>
          <w:szCs w:val="24"/>
          <w:lang w:val="en-US" w:eastAsia="zh-CN"/>
        </w:rPr>
        <w:t>3</w:t>
      </w:r>
      <w:r>
        <w:rPr>
          <w:rFonts w:hint="eastAsia" w:ascii="宋体" w:hAnsi="宋体" w:eastAsia="宋体" w:cs="宋体"/>
          <w:bCs/>
          <w:sz w:val="24"/>
          <w:szCs w:val="24"/>
          <w:lang w:val="en-US" w:eastAsia="zh-CN"/>
        </w:rPr>
        <w:t>、2026年度省级专项资金政策绩效评价</w:t>
      </w:r>
    </w:p>
    <w:p w14:paraId="73E7D87A">
      <w:pPr>
        <w:pStyle w:val="30"/>
        <w:numPr>
          <w:ilvl w:val="0"/>
          <w:numId w:val="4"/>
        </w:numPr>
        <w:wordWrap w:val="0"/>
        <w:spacing w:after="0" w:line="560" w:lineRule="exact"/>
        <w:ind w:left="-199" w:leftChars="-95" w:firstLine="0"/>
        <w:rPr>
          <w:rFonts w:hint="eastAsia" w:ascii="宋体" w:hAnsi="宋体" w:eastAsia="宋体" w:cs="宋体"/>
          <w:lang w:val="zh-CN"/>
        </w:rPr>
      </w:pPr>
      <w:r>
        <w:rPr>
          <w:rFonts w:hint="eastAsia" w:ascii="宋体" w:hAnsi="宋体" w:cs="宋体"/>
          <w:lang w:val="en-US" w:eastAsia="zh-CN"/>
        </w:rPr>
        <w:t>服务内容、服务方式及要求</w:t>
      </w:r>
    </w:p>
    <w:p w14:paraId="4EF4523A">
      <w:pPr>
        <w:wordWrap w:val="0"/>
        <w:spacing w:after="0" w:line="560" w:lineRule="exact"/>
        <w:ind w:firstLine="480"/>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（一）培训、指标设定、方案制定的具体要求：</w:t>
      </w:r>
    </w:p>
    <w:p w14:paraId="5B328E58">
      <w:pPr>
        <w:wordWrap w:val="0"/>
        <w:spacing w:after="0" w:line="560" w:lineRule="exact"/>
        <w:ind w:firstLine="48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1、2025年度专项政策评价和全面绩效评价项目</w:t>
      </w:r>
      <w:r>
        <w:rPr>
          <w:rFonts w:hint="eastAsia" w:ascii="宋体" w:hAnsi="宋体" w:cs="宋体"/>
          <w:bCs/>
          <w:sz w:val="24"/>
          <w:szCs w:val="24"/>
          <w:lang w:val="en-US" w:eastAsia="zh-CN"/>
        </w:rPr>
        <w:t>培训</w:t>
      </w:r>
      <w:r>
        <w:rPr>
          <w:rFonts w:hint="eastAsia" w:ascii="宋体" w:hAnsi="宋体" w:eastAsia="宋体" w:cs="宋体"/>
          <w:bCs/>
          <w:sz w:val="24"/>
          <w:szCs w:val="24"/>
          <w:lang w:val="en-US" w:eastAsia="zh-CN"/>
        </w:rPr>
        <w:t>工作由采购包1的成交供应商牵头完成，根据采购人的要求制定本次2025年度专项政策评价和全面绩效评价项目工作方案、指标设定、任务培训、汇总等工作；202</w:t>
      </w:r>
      <w:r>
        <w:rPr>
          <w:rFonts w:hint="eastAsia" w:ascii="宋体" w:hAnsi="宋体" w:cs="宋体"/>
          <w:bCs/>
          <w:sz w:val="24"/>
          <w:szCs w:val="24"/>
          <w:lang w:val="en-US" w:eastAsia="zh-CN"/>
        </w:rPr>
        <w:t>6</w:t>
      </w:r>
      <w:r>
        <w:rPr>
          <w:rFonts w:hint="eastAsia" w:ascii="宋体" w:hAnsi="宋体" w:eastAsia="宋体" w:cs="宋体"/>
          <w:bCs/>
          <w:sz w:val="24"/>
          <w:szCs w:val="24"/>
          <w:lang w:val="en-US" w:eastAsia="zh-CN"/>
        </w:rPr>
        <w:t>年度</w:t>
      </w:r>
      <w:r>
        <w:rPr>
          <w:rFonts w:hint="eastAsia" w:ascii="宋体" w:hAnsi="宋体" w:cs="宋体"/>
          <w:bCs/>
          <w:sz w:val="24"/>
          <w:szCs w:val="24"/>
          <w:lang w:val="en-US" w:eastAsia="zh-CN"/>
        </w:rPr>
        <w:t>常态化帮扶资金绩效评价</w:t>
      </w:r>
      <w:r>
        <w:rPr>
          <w:rFonts w:hint="eastAsia" w:ascii="宋体" w:hAnsi="宋体" w:eastAsia="宋体" w:cs="宋体"/>
          <w:bCs/>
          <w:sz w:val="24"/>
          <w:szCs w:val="24"/>
          <w:lang w:val="en-US" w:eastAsia="zh-CN"/>
        </w:rPr>
        <w:t>项目</w:t>
      </w:r>
      <w:r>
        <w:rPr>
          <w:rFonts w:hint="eastAsia" w:ascii="宋体" w:hAnsi="宋体" w:cs="宋体"/>
          <w:bCs/>
          <w:sz w:val="24"/>
          <w:szCs w:val="24"/>
          <w:lang w:val="en-US" w:eastAsia="zh-CN"/>
        </w:rPr>
        <w:t>培训</w:t>
      </w:r>
      <w:r>
        <w:rPr>
          <w:rFonts w:hint="eastAsia" w:ascii="宋体" w:hAnsi="宋体" w:eastAsia="宋体" w:cs="宋体"/>
          <w:bCs/>
          <w:sz w:val="24"/>
          <w:szCs w:val="24"/>
          <w:lang w:val="en-US" w:eastAsia="zh-CN"/>
        </w:rPr>
        <w:t>工作由采购包</w:t>
      </w:r>
      <w:r>
        <w:rPr>
          <w:rFonts w:hint="eastAsia" w:ascii="宋体" w:hAnsi="宋体" w:cs="宋体"/>
          <w:bCs/>
          <w:sz w:val="24"/>
          <w:szCs w:val="24"/>
          <w:lang w:val="en-US" w:eastAsia="zh-CN"/>
        </w:rPr>
        <w:t>3</w:t>
      </w:r>
      <w:r>
        <w:rPr>
          <w:rFonts w:hint="eastAsia" w:ascii="宋体" w:hAnsi="宋体" w:eastAsia="宋体" w:cs="宋体"/>
          <w:bCs/>
          <w:sz w:val="24"/>
          <w:szCs w:val="24"/>
          <w:lang w:val="en-US" w:eastAsia="zh-CN"/>
        </w:rPr>
        <w:t>的成交供应商牵头完成，根据采购人的要求制定本次202</w:t>
      </w:r>
      <w:r>
        <w:rPr>
          <w:rFonts w:hint="eastAsia" w:ascii="宋体" w:hAnsi="宋体" w:cs="宋体"/>
          <w:bCs/>
          <w:sz w:val="24"/>
          <w:szCs w:val="24"/>
          <w:lang w:val="en-US" w:eastAsia="zh-CN"/>
        </w:rPr>
        <w:t>6</w:t>
      </w:r>
      <w:r>
        <w:rPr>
          <w:rFonts w:hint="eastAsia" w:ascii="宋体" w:hAnsi="宋体" w:eastAsia="宋体" w:cs="宋体"/>
          <w:bCs/>
          <w:sz w:val="24"/>
          <w:szCs w:val="24"/>
          <w:lang w:val="en-US" w:eastAsia="zh-CN"/>
        </w:rPr>
        <w:t>年度</w:t>
      </w:r>
      <w:r>
        <w:rPr>
          <w:rFonts w:hint="eastAsia" w:ascii="宋体" w:hAnsi="宋体" w:cs="宋体"/>
          <w:bCs/>
          <w:sz w:val="24"/>
          <w:szCs w:val="24"/>
          <w:lang w:val="en-US" w:eastAsia="zh-CN"/>
        </w:rPr>
        <w:t>常态化帮扶资金绩效评价</w:t>
      </w:r>
      <w:r>
        <w:rPr>
          <w:rFonts w:hint="eastAsia" w:ascii="宋体" w:hAnsi="宋体" w:eastAsia="宋体" w:cs="宋体"/>
          <w:bCs/>
          <w:sz w:val="24"/>
          <w:szCs w:val="24"/>
          <w:lang w:val="en-US" w:eastAsia="zh-CN"/>
        </w:rPr>
        <w:t>项目工作方案、指标设定、任务培训、汇总等工作；</w:t>
      </w:r>
    </w:p>
    <w:p w14:paraId="5311C3FD">
      <w:pPr>
        <w:wordWrap w:val="0"/>
        <w:spacing w:after="0" w:line="560" w:lineRule="exact"/>
        <w:ind w:firstLine="48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2、培训内容应与项目的实际需求相符，确保培训方案的科学性、实用性和有效性，以提升后期整体团队的工作效率和质量。</w:t>
      </w:r>
    </w:p>
    <w:p w14:paraId="6623E3C4">
      <w:pPr>
        <w:wordWrap w:val="0"/>
        <w:spacing w:after="0" w:line="560" w:lineRule="exact"/>
        <w:ind w:firstLine="48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3、‌指标设定应：①尽量具体，不能笼统模糊；②要尽量量化，不能量化的指标要细化，确保可以用具体的数字或标准来衡量；‌③指标科学合理，可以通过努力达成，避免设立过高或过低的无效目标‌；④指标必须在特定的期限内完成，确保有明确的时间节点。‌</w:t>
      </w:r>
    </w:p>
    <w:p w14:paraId="1C5CEE62">
      <w:pPr>
        <w:wordWrap w:val="0"/>
        <w:spacing w:after="0" w:line="560" w:lineRule="exact"/>
        <w:ind w:firstLine="480"/>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（二）2025年度省级专项转移支付资金部门绩效评价省级复评</w:t>
      </w:r>
    </w:p>
    <w:p w14:paraId="3BAE4EC6">
      <w:pPr>
        <w:wordWrap w:val="0"/>
        <w:spacing w:after="0" w:line="560" w:lineRule="exact"/>
        <w:ind w:firstLine="48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2025年度省级财政农业专项转移支付资金部门绩效评价省级复评。包括省级财政专项资金执行进度、工作任务完成情况和绩效目标实现等资金绩效情况、专项资金政策制定、分配立项、方案批复、项目验收、检查监管以及信息公开等部门监管情况。</w:t>
      </w:r>
    </w:p>
    <w:p w14:paraId="6AB40B4D">
      <w:pPr>
        <w:wordWrap w:val="0"/>
        <w:spacing w:after="0" w:line="560" w:lineRule="exact"/>
        <w:ind w:firstLine="48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1、复评工作目的</w:t>
      </w:r>
    </w:p>
    <w:p w14:paraId="2B3003DD">
      <w:pPr>
        <w:wordWrap w:val="0"/>
        <w:spacing w:after="0" w:line="560" w:lineRule="exact"/>
        <w:ind w:firstLine="48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科学全面、客观真实地掌握市县专项资金使用情况，摸清专项资金使用规律，有针对性地优化专项资金管理配套政策，提高专项资金使用质效。采购人利用各地绩效复评结果作为2027年度资金分配测算、政策调整的重要依据，制定与绩效挂钩的资金分配和政策调整方案，应用于2027年省级专项转移支付资金分配。</w:t>
      </w:r>
    </w:p>
    <w:p w14:paraId="729BFA7D">
      <w:pPr>
        <w:wordWrap w:val="0"/>
        <w:spacing w:after="0" w:line="560" w:lineRule="exact"/>
        <w:ind w:firstLine="48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2、复评范围</w:t>
      </w:r>
    </w:p>
    <w:p w14:paraId="17FFBDB3">
      <w:pPr>
        <w:wordWrap w:val="0"/>
        <w:spacing w:after="0" w:line="560" w:lineRule="exact"/>
        <w:ind w:firstLine="48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列入2025年度预算并下达的省级现代农业发展专项资金、2026年度下达的常态化帮扶补助资金。</w:t>
      </w:r>
    </w:p>
    <w:p w14:paraId="114DB7DE">
      <w:pPr>
        <w:wordWrap w:val="0"/>
        <w:spacing w:after="0" w:line="560" w:lineRule="exact"/>
        <w:ind w:firstLine="48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3、评价内容</w:t>
      </w:r>
    </w:p>
    <w:p w14:paraId="64AB1792">
      <w:pPr>
        <w:wordWrap w:val="0"/>
        <w:spacing w:after="0" w:line="560" w:lineRule="exact"/>
        <w:ind w:firstLine="48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（1）资金绩效情况。省级财政专项资金执行进度、工作任务完成情况和绩效目标实现情况。</w:t>
      </w:r>
    </w:p>
    <w:p w14:paraId="2ED105E9">
      <w:pPr>
        <w:wordWrap w:val="0"/>
        <w:spacing w:after="0" w:line="560" w:lineRule="exact"/>
        <w:ind w:firstLine="48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（2）部门监管情况。专项资金政策制定、分配立项、方案批复、项目验收、检查监管以及信息公开等情况。</w:t>
      </w:r>
    </w:p>
    <w:p w14:paraId="28542C7A">
      <w:pPr>
        <w:wordWrap w:val="0"/>
        <w:spacing w:after="0" w:line="560" w:lineRule="exact"/>
        <w:ind w:firstLine="48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4、工作方法</w:t>
      </w:r>
    </w:p>
    <w:p w14:paraId="54996DAC">
      <w:pPr>
        <w:wordWrap w:val="0"/>
        <w:spacing w:after="0" w:line="560" w:lineRule="exact"/>
        <w:ind w:firstLine="48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现场复评。在省厅提供省级专项管理平台审核2025年度市县填报的自评数据、归口处室自评数据、上报的书面佐证材料等资料的基础上，省级复评组分赴13个设区市，每个设区市随机抽取2个区县，选择部分项目对相关数据进行比对、核实。复评组依据项目现场核查情况，准确填写项目现场抽查工作底稿。</w:t>
      </w:r>
    </w:p>
    <w:p w14:paraId="4B44FB45">
      <w:pPr>
        <w:wordWrap w:val="0"/>
        <w:spacing w:after="0" w:line="560" w:lineRule="exact"/>
        <w:ind w:firstLine="48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（2）撰写报告。省级复评组在综合项目市县自评、现场复评、核查过程中发现问题和日常绩效监控数据的基础上，对绩效数据进行全面的定量、定性分析，并进行复评打分，按年度分专项形成评价报告。</w:t>
      </w:r>
    </w:p>
    <w:p w14:paraId="4EBB7C68">
      <w:pPr>
        <w:wordWrap w:val="0"/>
        <w:spacing w:after="0" w:line="560" w:lineRule="exact"/>
        <w:ind w:firstLine="48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（3）核查过程中发现问题的整理，送各业务处室牵头整改。</w:t>
      </w:r>
    </w:p>
    <w:p w14:paraId="25589A9F">
      <w:pPr>
        <w:wordWrap w:val="0"/>
        <w:spacing w:after="0" w:line="560" w:lineRule="exact"/>
        <w:ind w:firstLine="48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5、组织形式及安排</w:t>
      </w:r>
    </w:p>
    <w:p w14:paraId="085C2646">
      <w:pPr>
        <w:wordWrap w:val="0"/>
        <w:spacing w:after="0" w:line="560" w:lineRule="exact"/>
        <w:ind w:firstLine="48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（1）组织方式 由第三方服务机构与采购人相关业务处室组成省复评工作组，开展省级复评相关工作。</w:t>
      </w:r>
    </w:p>
    <w:p w14:paraId="794F04A0">
      <w:pPr>
        <w:wordWrap w:val="0"/>
        <w:spacing w:after="0" w:line="560" w:lineRule="exact"/>
        <w:ind w:firstLine="48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（2）人员安排 每个复评组由采购人业务处室和第三方服务机构人员组成。每组负责若干个设区市（含所辖区县）的复评工作。</w:t>
      </w:r>
    </w:p>
    <w:p w14:paraId="4324BA7D">
      <w:pPr>
        <w:wordWrap w:val="0"/>
        <w:spacing w:after="0" w:line="560" w:lineRule="exact"/>
        <w:ind w:firstLine="48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（3）时间安排 各地项目现场、各省级单位核查具体时间由复评组联络人与各地、各省级单位联系确定。</w:t>
      </w:r>
    </w:p>
    <w:p w14:paraId="3B89330B">
      <w:pPr>
        <w:wordWrap w:val="0"/>
        <w:spacing w:after="0" w:line="560" w:lineRule="exact"/>
        <w:ind w:firstLine="48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6、服务要求</w:t>
      </w:r>
    </w:p>
    <w:p w14:paraId="323DCBD1">
      <w:pPr>
        <w:wordWrap w:val="0"/>
        <w:spacing w:after="0" w:line="560" w:lineRule="exact"/>
        <w:ind w:firstLine="48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省级复评工作要认真严谨、客观公正，现场核查要做到轻车简从，严格遵守各项廉洁纪律。评价机构离开核查现场前，确保所有工作完成、所有材料收齐。</w:t>
      </w:r>
    </w:p>
    <w:p w14:paraId="1735FDE2">
      <w:pPr>
        <w:wordWrap w:val="0"/>
        <w:spacing w:after="0" w:line="560" w:lineRule="exact"/>
        <w:ind w:firstLine="480"/>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(三) 2025年度省级专项资金政策绩效评价</w:t>
      </w:r>
    </w:p>
    <w:p w14:paraId="6C4FE5F8">
      <w:pPr>
        <w:wordWrap w:val="0"/>
        <w:spacing w:after="0" w:line="560" w:lineRule="exact"/>
        <w:ind w:firstLine="48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1、绩效评价目的</w:t>
      </w:r>
    </w:p>
    <w:p w14:paraId="53F50E7F">
      <w:pPr>
        <w:wordWrap w:val="0"/>
        <w:spacing w:after="0" w:line="560" w:lineRule="exact"/>
        <w:ind w:firstLine="48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以绩效评价促进专项资金政策设置的优化。评价结果将与下一年度专项资金预算编制挂钩，作为资金安排和政策调整的重要依据。</w:t>
      </w:r>
    </w:p>
    <w:p w14:paraId="2A1464A2">
      <w:pPr>
        <w:wordWrap w:val="0"/>
        <w:spacing w:after="0" w:line="560" w:lineRule="exact"/>
        <w:ind w:firstLine="48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2、绩效评价范围</w:t>
      </w:r>
      <w:r>
        <w:rPr>
          <w:rFonts w:hint="eastAsia" w:ascii="宋体" w:hAnsi="宋体" w:cs="宋体"/>
          <w:bCs/>
          <w:sz w:val="24"/>
          <w:szCs w:val="24"/>
          <w:lang w:val="en-US" w:eastAsia="zh-CN"/>
        </w:rPr>
        <w:t>：</w:t>
      </w:r>
      <w:r>
        <w:rPr>
          <w:rFonts w:hint="eastAsia" w:ascii="宋体" w:hAnsi="宋体" w:eastAsia="宋体" w:cs="宋体"/>
          <w:bCs/>
          <w:sz w:val="24"/>
          <w:szCs w:val="24"/>
          <w:lang w:val="en-US" w:eastAsia="zh-CN"/>
        </w:rPr>
        <w:t>2025年度实施的新增或延续的政策项目</w:t>
      </w:r>
    </w:p>
    <w:p w14:paraId="7FAA04BA">
      <w:pPr>
        <w:wordWrap w:val="0"/>
        <w:spacing w:after="0" w:line="560" w:lineRule="exact"/>
        <w:ind w:firstLine="48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3、全面绩效评价服务的具体内容如下</w:t>
      </w:r>
    </w:p>
    <w:p w14:paraId="13665694">
      <w:pPr>
        <w:wordWrap w:val="0"/>
        <w:spacing w:after="0" w:line="560" w:lineRule="exact"/>
        <w:ind w:firstLine="48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（1）政策设立的决策情况。政策立项是否经过可行性研究、事前绩效评估等；是否制定预期绩效目标。</w:t>
      </w:r>
    </w:p>
    <w:p w14:paraId="571CFE6C">
      <w:pPr>
        <w:wordWrap w:val="0"/>
        <w:spacing w:after="0" w:line="560" w:lineRule="exact"/>
        <w:ind w:firstLine="48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（2）资金的分配和使用情况。资金分配是否合理、绩效因素有无纳入资金分配因素、是否存在超标准、超范围安排资金等。</w:t>
      </w:r>
    </w:p>
    <w:p w14:paraId="0C7C1A66">
      <w:pPr>
        <w:wordWrap w:val="0"/>
        <w:spacing w:after="0" w:line="560" w:lineRule="exact"/>
        <w:ind w:firstLine="48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（3）监管制度完善和执行情况。是否制定合理有效的监管制度并组织实施、是否及时完成市县绩效自评审核、是否完成年度政策资金绩效评价并按时报送。</w:t>
      </w:r>
    </w:p>
    <w:p w14:paraId="60D4D84A">
      <w:pPr>
        <w:wordWrap w:val="0"/>
        <w:spacing w:after="0" w:line="560" w:lineRule="exact"/>
        <w:ind w:firstLine="48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（4）绩效目标的产出情况。是否实现预期绩效目标，反映数量、质量、时效、成本等情况。</w:t>
      </w:r>
    </w:p>
    <w:p w14:paraId="2986C693">
      <w:pPr>
        <w:wordWrap w:val="0"/>
        <w:spacing w:after="0" w:line="560" w:lineRule="exact"/>
        <w:ind w:firstLine="48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（5）绩效目标的效益情况。是否实现良好的社会效益、经济效益、生态效益、可持续影响效益等；群众对项目实施是否满意等相关内容。</w:t>
      </w:r>
    </w:p>
    <w:p w14:paraId="570A7E25">
      <w:pPr>
        <w:wordWrap w:val="0"/>
        <w:spacing w:after="0" w:line="560" w:lineRule="exact"/>
        <w:ind w:firstLine="480"/>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4、工作方法</w:t>
      </w:r>
    </w:p>
    <w:p w14:paraId="78C17FDE">
      <w:pPr>
        <w:wordWrap w:val="0"/>
        <w:spacing w:after="0" w:line="560" w:lineRule="exact"/>
        <w:ind w:firstLine="48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由第三方服务机构与采购人成立联合绩效评价工作组，通过资料审核、现场核查、问卷调查等方式，综合运用成本效益分析、因素分析、对比分析、专家评议等方法进行评价。绩效等级设置为优秀（成效显著）、良好（成效明显）、合格（成效一般）、不合格（成效较差）四级，按百分制进行评分：90分（含）以上为优秀；80分（含）-89分为良好；60分（含）-79分为合格；低于60分为不合格。</w:t>
      </w:r>
    </w:p>
    <w:p w14:paraId="482B064C">
      <w:pPr>
        <w:wordWrap w:val="0"/>
        <w:spacing w:after="0" w:line="560" w:lineRule="exact"/>
        <w:ind w:firstLine="48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依据采购人归口处室梳理政策设置以来的相关资料（绩效自评表、自评报告、资料清单等），对照绩效评价指标体系审核归口处室报送数据，根据审核情况，结合2025年度省级绩效复评选择部分市县进行延伸核查，通过查阅市县相关项目资料，项目实地勘察、组织问卷调查等方式，查实有关情况。</w:t>
      </w:r>
    </w:p>
    <w:p w14:paraId="665C5E37">
      <w:pPr>
        <w:wordWrap w:val="0"/>
        <w:spacing w:after="0" w:line="560" w:lineRule="exact"/>
        <w:ind w:firstLine="48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绩效评价工作结束后，绩效评价工作组对评价情况进行整理汇总，综合分析，形成初步结论，以书面形式征求意见。归口处室对绩效评价结论有意见的，应提交书面说明。工作组根据工作底稿等资料，综合各方面意见，形成最终结论，并反馈相关评价结果，提出整改措施，限期整改。</w:t>
      </w:r>
    </w:p>
    <w:p w14:paraId="19E86A2A">
      <w:pPr>
        <w:wordWrap w:val="0"/>
        <w:spacing w:after="0" w:line="560" w:lineRule="exact"/>
        <w:ind w:firstLine="480"/>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5、工作要求</w:t>
      </w:r>
    </w:p>
    <w:p w14:paraId="6E5AFF09">
      <w:pPr>
        <w:wordWrap w:val="0"/>
        <w:spacing w:after="0" w:line="560" w:lineRule="exact"/>
        <w:ind w:firstLine="480"/>
        <w:rPr>
          <w:rFonts w:hint="eastAsia" w:ascii="宋体" w:hAnsi="宋体" w:eastAsia="宋体" w:cs="宋体"/>
          <w:bCs/>
          <w:sz w:val="24"/>
          <w:szCs w:val="24"/>
        </w:rPr>
      </w:pPr>
      <w:r>
        <w:rPr>
          <w:rFonts w:hint="eastAsia" w:ascii="宋体" w:hAnsi="宋体" w:eastAsia="宋体" w:cs="宋体"/>
          <w:bCs/>
          <w:sz w:val="24"/>
          <w:szCs w:val="24"/>
          <w:lang w:val="en-US" w:eastAsia="zh-CN"/>
        </w:rPr>
        <w:t>绩效评价工作组要严格遵守保密、回避、廉洁自律等有关制度规定，确保评价结果的独立、客观和公正，不得在规定的程序之外对评价工作施加倾向性影响，不得干预和影响项目实施单位的正常工作秩序</w:t>
      </w:r>
      <w:r>
        <w:rPr>
          <w:rFonts w:hint="eastAsia" w:ascii="宋体" w:hAnsi="宋体" w:eastAsia="宋体" w:cs="宋体"/>
          <w:bCs/>
          <w:sz w:val="24"/>
          <w:szCs w:val="24"/>
        </w:rPr>
        <w:t>。</w:t>
      </w:r>
    </w:p>
    <w:p w14:paraId="7A89F785">
      <w:pPr>
        <w:pStyle w:val="30"/>
        <w:numPr>
          <w:ilvl w:val="0"/>
          <w:numId w:val="0"/>
        </w:numPr>
        <w:wordWrap w:val="0"/>
        <w:spacing w:after="0" w:line="560" w:lineRule="exact"/>
        <w:rPr>
          <w:rFonts w:hint="default" w:ascii="宋体" w:hAnsi="宋体" w:eastAsia="宋体" w:cs="宋体"/>
          <w:lang w:val="en-US" w:eastAsia="zh-CN"/>
        </w:rPr>
      </w:pPr>
      <w:r>
        <w:rPr>
          <w:rFonts w:hint="eastAsia" w:ascii="宋体" w:hAnsi="宋体" w:eastAsia="宋体" w:cs="宋体"/>
          <w:lang w:val="en-US" w:eastAsia="zh-CN"/>
        </w:rPr>
        <w:t>四、质量标准</w:t>
      </w:r>
    </w:p>
    <w:p w14:paraId="6A733CF9">
      <w:pPr>
        <w:wordWrap w:val="0"/>
        <w:spacing w:after="0" w:line="560" w:lineRule="exact"/>
        <w:ind w:firstLine="480"/>
        <w:rPr>
          <w:rFonts w:hint="eastAsia" w:ascii="宋体" w:hAnsi="宋体" w:eastAsia="宋体" w:cs="宋体"/>
          <w:bCs/>
          <w:sz w:val="24"/>
          <w:szCs w:val="24"/>
        </w:rPr>
      </w:pPr>
      <w:r>
        <w:rPr>
          <w:rFonts w:hint="eastAsia" w:ascii="宋体" w:hAnsi="宋体" w:eastAsia="宋体" w:cs="宋体"/>
          <w:bCs/>
          <w:sz w:val="24"/>
          <w:szCs w:val="24"/>
          <w:lang w:val="en-US" w:eastAsia="zh-CN"/>
        </w:rPr>
        <w:t>质量标准：按照绩效评价程序要求及时、真实、准确、全面反映资金使用及项目实施情况，评价工作要认真严谨、客观公正，严格遵守各项廉洁纪律，确保所有工作完成、所有资料收齐</w:t>
      </w:r>
      <w:r>
        <w:rPr>
          <w:rFonts w:hint="eastAsia" w:ascii="宋体" w:hAnsi="宋体" w:eastAsia="宋体" w:cs="宋体"/>
          <w:bCs/>
          <w:sz w:val="24"/>
          <w:szCs w:val="24"/>
        </w:rPr>
        <w:t>。</w:t>
      </w:r>
    </w:p>
    <w:p w14:paraId="696047A9">
      <w:pPr>
        <w:wordWrap w:val="0"/>
        <w:spacing w:after="0" w:line="560" w:lineRule="exact"/>
        <w:rPr>
          <w:rFonts w:hint="default"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五、商务要求</w:t>
      </w:r>
    </w:p>
    <w:p w14:paraId="644AA1E4">
      <w:pPr>
        <w:wordWrap w:val="0"/>
        <w:spacing w:after="0" w:line="56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1、服务期限：采购包1、采购包2，自合同签订之日起至2026年11月底完成；采购包3，自合同签订之日起至2026年12月中旬完成。</w:t>
      </w:r>
    </w:p>
    <w:p w14:paraId="326310BD">
      <w:pPr>
        <w:wordWrap w:val="0"/>
        <w:spacing w:after="0" w:line="56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2、服务地点:采购人指定。</w:t>
      </w:r>
    </w:p>
    <w:p w14:paraId="7D1DC2E3">
      <w:pPr>
        <w:wordWrap w:val="0"/>
        <w:spacing w:after="0" w:line="56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3、成果要求：第三方机构完成省级复评并报送绩效评价工作报告。</w:t>
      </w:r>
    </w:p>
    <w:p w14:paraId="6B8B9F4D">
      <w:pPr>
        <w:wordWrap w:val="0"/>
        <w:spacing w:after="0" w:line="56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4、付款方式：合同签定后支付合同总金额的30%；完成绩效评价工作并交付成果报告后，支付合同总金额的70%。</w:t>
      </w:r>
    </w:p>
    <w:p w14:paraId="127ED2AB">
      <w:pPr>
        <w:wordWrap w:val="0"/>
        <w:spacing w:after="0" w:line="560" w:lineRule="exact"/>
        <w:ind w:firstLine="480"/>
        <w:rPr>
          <w:rFonts w:hint="eastAsia" w:ascii="宋体" w:hAnsi="宋体" w:eastAsia="宋体" w:cs="宋体"/>
          <w:b/>
          <w:bCs w:val="0"/>
          <w:i/>
          <w:iCs/>
          <w:color w:val="auto"/>
          <w:sz w:val="24"/>
          <w:szCs w:val="24"/>
          <w:highlight w:val="none"/>
          <w:u w:val="single"/>
        </w:rPr>
      </w:pPr>
      <w:r>
        <w:rPr>
          <w:rFonts w:hint="eastAsia" w:ascii="宋体" w:hAnsi="宋体" w:eastAsia="宋体" w:cs="宋体"/>
          <w:b/>
          <w:bCs w:val="0"/>
          <w:i/>
          <w:iCs/>
          <w:color w:val="auto"/>
          <w:sz w:val="24"/>
          <w:szCs w:val="24"/>
          <w:highlight w:val="none"/>
          <w:u w:val="single"/>
          <w:lang w:val="en-US" w:eastAsia="zh-CN"/>
        </w:rPr>
        <w:t>5、其他要求：所有报价、承诺事项及重要证明文件均须加盖公司公章</w:t>
      </w:r>
      <w:r>
        <w:rPr>
          <w:rFonts w:hint="eastAsia" w:ascii="宋体" w:hAnsi="宋体" w:eastAsia="宋体" w:cs="宋体"/>
          <w:b/>
          <w:bCs w:val="0"/>
          <w:i/>
          <w:iCs/>
          <w:color w:val="auto"/>
          <w:sz w:val="24"/>
          <w:szCs w:val="24"/>
          <w:highlight w:val="none"/>
          <w:u w:val="single"/>
        </w:rPr>
        <w:t>。</w:t>
      </w:r>
    </w:p>
    <w:p w14:paraId="39436B70">
      <w:pPr>
        <w:pStyle w:val="29"/>
        <w:pageBreakBefore/>
        <w:spacing w:after="317" w:line="360" w:lineRule="auto"/>
        <w:textAlignment w:val="baseline"/>
        <w:rPr>
          <w:rFonts w:hint="eastAsia" w:ascii="宋体" w:hAnsi="宋体" w:eastAsia="宋体" w:cs="宋体"/>
          <w:sz w:val="40"/>
        </w:rPr>
      </w:pPr>
      <w:bookmarkStart w:id="98" w:name="_Toc4369"/>
      <w:bookmarkStart w:id="99" w:name="_Toc8215"/>
      <w:bookmarkStart w:id="100" w:name="_Toc25710"/>
      <w:bookmarkStart w:id="101" w:name="_Toc11206"/>
      <w:bookmarkStart w:id="102" w:name="_Toc2013"/>
      <w:bookmarkStart w:id="103" w:name="_Toc14747"/>
      <w:bookmarkStart w:id="104" w:name="_Toc10125"/>
      <w:bookmarkStart w:id="105" w:name="_Toc12740"/>
      <w:bookmarkStart w:id="106" w:name="_Toc6651"/>
      <w:bookmarkStart w:id="107" w:name="_Toc29652"/>
      <w:bookmarkStart w:id="108" w:name="_Toc30554"/>
      <w:bookmarkStart w:id="109" w:name="_Toc20507"/>
      <w:r>
        <w:rPr>
          <w:rFonts w:hint="eastAsia" w:ascii="宋体" w:hAnsi="宋体" w:eastAsia="宋体" w:cs="宋体"/>
          <w:sz w:val="40"/>
        </w:rPr>
        <w:t>第五章 评审方法与评审标准</w:t>
      </w:r>
      <w:bookmarkEnd w:id="60"/>
      <w:bookmarkEnd w:id="61"/>
      <w:bookmarkEnd w:id="98"/>
      <w:bookmarkEnd w:id="99"/>
      <w:bookmarkEnd w:id="100"/>
      <w:bookmarkEnd w:id="101"/>
      <w:bookmarkEnd w:id="102"/>
      <w:bookmarkEnd w:id="103"/>
      <w:bookmarkEnd w:id="104"/>
      <w:bookmarkEnd w:id="105"/>
      <w:bookmarkEnd w:id="106"/>
      <w:bookmarkEnd w:id="107"/>
      <w:bookmarkEnd w:id="108"/>
      <w:bookmarkEnd w:id="109"/>
    </w:p>
    <w:p w14:paraId="59522298">
      <w:pPr>
        <w:pStyle w:val="30"/>
        <w:spacing w:line="360" w:lineRule="auto"/>
        <w:jc w:val="both"/>
        <w:textAlignment w:val="baseline"/>
        <w:rPr>
          <w:rFonts w:hint="eastAsia" w:ascii="宋体" w:hAnsi="宋体" w:eastAsia="宋体" w:cs="宋体"/>
          <w:kern w:val="0"/>
        </w:rPr>
      </w:pPr>
      <w:bookmarkStart w:id="110" w:name="_Toc20057"/>
      <w:bookmarkStart w:id="111" w:name="_Toc29596"/>
      <w:bookmarkStart w:id="112" w:name="_Toc19406"/>
      <w:bookmarkStart w:id="113" w:name="_Toc28602"/>
      <w:bookmarkStart w:id="114" w:name="_Toc24443"/>
      <w:bookmarkStart w:id="115" w:name="_Toc8431"/>
      <w:bookmarkStart w:id="116" w:name="_Toc28173"/>
      <w:bookmarkStart w:id="117" w:name="_Toc29851"/>
      <w:bookmarkStart w:id="118" w:name="_Toc27014"/>
      <w:bookmarkStart w:id="119" w:name="_Toc10921"/>
      <w:bookmarkStart w:id="120" w:name="_Toc11427"/>
      <w:bookmarkStart w:id="121" w:name="_Toc21249"/>
      <w:bookmarkStart w:id="122" w:name="_Toc22523"/>
      <w:bookmarkStart w:id="123" w:name="_Toc9244"/>
      <w:bookmarkStart w:id="124" w:name="_Toc19520"/>
      <w:bookmarkStart w:id="125" w:name="_Toc31260"/>
      <w:bookmarkStart w:id="126" w:name="_Toc6348"/>
      <w:bookmarkStart w:id="127" w:name="_Toc965"/>
      <w:bookmarkStart w:id="128" w:name="_Toc525"/>
      <w:bookmarkStart w:id="129" w:name="_Toc15428"/>
      <w:bookmarkStart w:id="130" w:name="_Toc30094"/>
      <w:bookmarkStart w:id="131" w:name="_Toc3647"/>
      <w:r>
        <w:rPr>
          <w:rFonts w:hint="eastAsia" w:ascii="宋体" w:hAnsi="宋体" w:eastAsia="宋体" w:cs="宋体"/>
          <w:kern w:val="0"/>
        </w:rPr>
        <w:t xml:space="preserve">    一、评审方法与评审原则</w:t>
      </w:r>
      <w:bookmarkEnd w:id="110"/>
      <w:bookmarkEnd w:id="111"/>
      <w:bookmarkEnd w:id="112"/>
      <w:bookmarkEnd w:id="113"/>
      <w:bookmarkEnd w:id="114"/>
      <w:bookmarkEnd w:id="115"/>
      <w:bookmarkEnd w:id="116"/>
      <w:bookmarkEnd w:id="117"/>
      <w:bookmarkEnd w:id="118"/>
      <w:bookmarkEnd w:id="119"/>
    </w:p>
    <w:p w14:paraId="66F6E8BC">
      <w:pPr>
        <w:snapToGrid w:val="0"/>
        <w:spacing w:line="360" w:lineRule="auto"/>
        <w:ind w:firstLine="480" w:firstLineChars="200"/>
        <w:textAlignment w:val="baseline"/>
        <w:rPr>
          <w:rFonts w:hint="eastAsia" w:ascii="宋体" w:hAnsi="宋体" w:eastAsia="宋体" w:cs="宋体"/>
          <w:sz w:val="24"/>
          <w:szCs w:val="24"/>
          <w:lang w:val="zh-CN"/>
        </w:rPr>
      </w:pPr>
      <w:r>
        <w:rPr>
          <w:rFonts w:hint="eastAsia" w:ascii="宋体" w:hAnsi="宋体" w:eastAsia="宋体" w:cs="宋体"/>
          <w:sz w:val="24"/>
          <w:szCs w:val="24"/>
          <w:lang w:val="zh-CN"/>
        </w:rPr>
        <w:t>磋商小组将对确定为实质性响应采购文件要求的响应文件进行评价和比较，评审采用综合评分法。采用综合评分法的，评审结果按评审后得分由高到低顺序</w:t>
      </w:r>
      <w:r>
        <w:rPr>
          <w:rFonts w:hint="eastAsia" w:ascii="宋体" w:hAnsi="宋体" w:eastAsia="宋体" w:cs="宋体"/>
          <w:sz w:val="24"/>
          <w:szCs w:val="24"/>
        </w:rPr>
        <w:t>排列</w:t>
      </w:r>
      <w:r>
        <w:rPr>
          <w:rFonts w:hint="eastAsia" w:ascii="宋体" w:hAnsi="宋体" w:eastAsia="宋体" w:cs="宋体"/>
          <w:sz w:val="24"/>
          <w:szCs w:val="24"/>
          <w:lang w:val="zh-CN"/>
        </w:rPr>
        <w:t>。得分相同的，按磋商</w:t>
      </w:r>
      <w:r>
        <w:rPr>
          <w:rFonts w:hint="eastAsia" w:ascii="宋体" w:hAnsi="宋体" w:eastAsia="宋体" w:cs="宋体"/>
          <w:sz w:val="24"/>
          <w:szCs w:val="24"/>
        </w:rPr>
        <w:t>最终</w:t>
      </w:r>
      <w:r>
        <w:rPr>
          <w:rFonts w:hint="eastAsia" w:ascii="宋体" w:hAnsi="宋体" w:eastAsia="宋体" w:cs="宋体"/>
          <w:sz w:val="24"/>
          <w:szCs w:val="24"/>
          <w:lang w:val="zh-CN"/>
        </w:rPr>
        <w:t>报价由低到高顺序排列。得分且磋商</w:t>
      </w:r>
      <w:r>
        <w:rPr>
          <w:rFonts w:hint="eastAsia" w:ascii="宋体" w:hAnsi="宋体" w:eastAsia="宋体" w:cs="宋体"/>
          <w:sz w:val="24"/>
          <w:szCs w:val="24"/>
        </w:rPr>
        <w:t>最终</w:t>
      </w:r>
      <w:r>
        <w:rPr>
          <w:rFonts w:hint="eastAsia" w:ascii="宋体" w:hAnsi="宋体" w:eastAsia="宋体" w:cs="宋体"/>
          <w:sz w:val="24"/>
          <w:szCs w:val="24"/>
          <w:lang w:val="zh-CN"/>
        </w:rPr>
        <w:t>报价相同的</w:t>
      </w:r>
      <w:r>
        <w:rPr>
          <w:rFonts w:hint="eastAsia" w:ascii="宋体" w:hAnsi="宋体" w:eastAsia="宋体" w:cs="宋体"/>
          <w:sz w:val="24"/>
          <w:szCs w:val="24"/>
          <w:lang w:val="en-US" w:eastAsia="zh-CN"/>
        </w:rPr>
        <w:t>并列</w:t>
      </w:r>
      <w:r>
        <w:rPr>
          <w:rFonts w:hint="eastAsia" w:ascii="宋体" w:hAnsi="宋体" w:eastAsia="宋体" w:cs="宋体"/>
          <w:sz w:val="24"/>
          <w:szCs w:val="24"/>
          <w:lang w:val="zh-CN"/>
        </w:rPr>
        <w:t>，响应文件满足磋商文件全部实质性要求，且按照评审因素的</w:t>
      </w:r>
      <w:r>
        <w:rPr>
          <w:rFonts w:hint="eastAsia" w:ascii="宋体" w:hAnsi="宋体" w:eastAsia="宋体" w:cs="宋体"/>
          <w:kern w:val="0"/>
          <w:sz w:val="24"/>
          <w:szCs w:val="24"/>
        </w:rPr>
        <w:t>量化指标</w:t>
      </w:r>
      <w:r>
        <w:rPr>
          <w:rFonts w:hint="eastAsia" w:ascii="宋体" w:hAnsi="宋体" w:eastAsia="宋体" w:cs="宋体"/>
          <w:sz w:val="24"/>
          <w:szCs w:val="24"/>
          <w:lang w:val="zh-CN"/>
        </w:rPr>
        <w:t>评审得分</w:t>
      </w:r>
      <w:r>
        <w:rPr>
          <w:rFonts w:hint="eastAsia" w:ascii="宋体" w:hAnsi="宋体" w:cs="宋体"/>
          <w:sz w:val="24"/>
          <w:szCs w:val="24"/>
          <w:lang w:val="en-US" w:eastAsia="zh-CN"/>
        </w:rPr>
        <w:t>每分包</w:t>
      </w:r>
      <w:bookmarkStart w:id="181" w:name="_GoBack"/>
      <w:bookmarkEnd w:id="181"/>
      <w:r>
        <w:rPr>
          <w:rFonts w:hint="eastAsia" w:ascii="宋体" w:hAnsi="宋体" w:eastAsia="宋体" w:cs="宋体"/>
          <w:sz w:val="24"/>
          <w:szCs w:val="24"/>
          <w:lang w:val="zh-CN"/>
        </w:rPr>
        <w:t>由高到低按顺序推荐3名成交候选人，由采购人确定1名成交供应商。具体打分办法如下：</w:t>
      </w:r>
    </w:p>
    <w:p w14:paraId="26508C1F">
      <w:pPr>
        <w:pStyle w:val="30"/>
        <w:numPr>
          <w:ilvl w:val="0"/>
          <w:numId w:val="5"/>
        </w:numPr>
        <w:spacing w:line="360" w:lineRule="auto"/>
        <w:ind w:left="1110" w:hanging="420"/>
        <w:textAlignment w:val="baseline"/>
        <w:rPr>
          <w:rFonts w:hint="eastAsia" w:ascii="宋体" w:hAnsi="宋体" w:eastAsia="宋体" w:cs="宋体"/>
        </w:rPr>
      </w:pPr>
      <w:bookmarkStart w:id="132" w:name="_Toc30006"/>
      <w:bookmarkStart w:id="133" w:name="_Toc19408"/>
      <w:bookmarkStart w:id="134" w:name="_Toc15724"/>
      <w:bookmarkStart w:id="135" w:name="_Toc20964"/>
      <w:bookmarkStart w:id="136" w:name="_Toc31111"/>
      <w:bookmarkStart w:id="137" w:name="_Toc9689"/>
      <w:bookmarkStart w:id="138" w:name="_Toc21820"/>
      <w:bookmarkStart w:id="139" w:name="_Toc9896"/>
      <w:bookmarkStart w:id="140" w:name="_Toc32460"/>
      <w:bookmarkStart w:id="141" w:name="_Toc12011"/>
      <w:r>
        <w:rPr>
          <w:rFonts w:hint="eastAsia" w:ascii="宋体" w:hAnsi="宋体" w:eastAsia="宋体" w:cs="宋体"/>
          <w:kern w:val="0"/>
        </w:rPr>
        <w:t>评审标准</w:t>
      </w:r>
      <w:bookmarkEnd w:id="132"/>
      <w:bookmarkEnd w:id="133"/>
      <w:bookmarkEnd w:id="134"/>
      <w:bookmarkEnd w:id="135"/>
      <w:bookmarkEnd w:id="136"/>
      <w:bookmarkEnd w:id="137"/>
      <w:bookmarkEnd w:id="138"/>
      <w:bookmarkEnd w:id="139"/>
      <w:bookmarkEnd w:id="140"/>
      <w:bookmarkEnd w:id="141"/>
    </w:p>
    <w:p w14:paraId="473A22DD">
      <w:pPr>
        <w:rPr>
          <w:rFonts w:hint="eastAsia" w:eastAsia="宋体"/>
          <w:b/>
          <w:bCs/>
          <w:lang w:val="en-US" w:eastAsia="zh-CN"/>
        </w:rPr>
      </w:pPr>
      <w:r>
        <w:rPr>
          <w:rFonts w:hint="eastAsia" w:ascii="宋体" w:hAnsi="宋体" w:cs="宋体"/>
          <w:b/>
          <w:bCs/>
          <w:kern w:val="0"/>
          <w:lang w:val="en-US" w:eastAsia="zh-CN"/>
        </w:rPr>
        <w:t>采购包1</w:t>
      </w:r>
      <w:r>
        <w:rPr>
          <w:rFonts w:hint="eastAsia" w:ascii="宋体" w:hAnsi="宋体" w:cs="宋体"/>
          <w:b/>
          <w:bCs/>
          <w:lang w:val="en-US" w:eastAsia="zh-CN"/>
        </w:rPr>
        <w:t>&amp;采购包3</w:t>
      </w:r>
      <w:r>
        <w:rPr>
          <w:rFonts w:hint="eastAsia" w:ascii="宋体" w:hAnsi="宋体" w:cs="宋体"/>
          <w:b/>
          <w:bCs/>
          <w:kern w:val="0"/>
          <w:lang w:val="en-US" w:eastAsia="zh-CN"/>
        </w:rPr>
        <w:t>：</w:t>
      </w:r>
    </w:p>
    <w:tbl>
      <w:tblPr>
        <w:tblStyle w:val="21"/>
        <w:tblW w:w="9557" w:type="dxa"/>
        <w:tblInd w:w="105" w:type="dxa"/>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Layout w:type="fixed"/>
        <w:tblCellMar>
          <w:top w:w="0" w:type="dxa"/>
          <w:left w:w="108" w:type="dxa"/>
          <w:bottom w:w="0" w:type="dxa"/>
          <w:right w:w="108" w:type="dxa"/>
        </w:tblCellMar>
      </w:tblPr>
      <w:tblGrid>
        <w:gridCol w:w="1245"/>
        <w:gridCol w:w="7303"/>
        <w:gridCol w:w="1009"/>
      </w:tblGrid>
      <w:tr w14:paraId="06FEED1E">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90" w:hRule="atLeast"/>
        </w:trPr>
        <w:tc>
          <w:tcPr>
            <w:tcW w:w="1245" w:type="dxa"/>
            <w:tcBorders>
              <w:top w:val="single" w:color="auto" w:sz="4" w:space="0"/>
              <w:left w:val="single" w:color="auto" w:sz="4" w:space="0"/>
              <w:bottom w:val="single" w:color="auto" w:sz="4" w:space="0"/>
              <w:right w:val="single" w:color="auto" w:sz="4" w:space="0"/>
            </w:tcBorders>
            <w:vAlign w:val="center"/>
          </w:tcPr>
          <w:p w14:paraId="084E4BBE">
            <w:pPr>
              <w:keepNext w:val="0"/>
              <w:keepLines w:val="0"/>
              <w:pageBreakBefore w:val="0"/>
              <w:kinsoku/>
              <w:wordWrap/>
              <w:overflowPunct/>
              <w:topLinePunct w:val="0"/>
              <w:autoSpaceDE/>
              <w:autoSpaceDN/>
              <w:bidi w:val="0"/>
              <w:adjustRightInd/>
              <w:snapToGrid/>
              <w:spacing w:line="0" w:lineRule="atLeast"/>
              <w:ind w:left="0" w:right="0" w:rightChars="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评分项目</w:t>
            </w:r>
          </w:p>
        </w:tc>
        <w:tc>
          <w:tcPr>
            <w:tcW w:w="7303" w:type="dxa"/>
            <w:tcBorders>
              <w:top w:val="single" w:color="auto" w:sz="4" w:space="0"/>
              <w:left w:val="nil"/>
              <w:bottom w:val="single" w:color="auto" w:sz="4" w:space="0"/>
              <w:right w:val="single" w:color="auto" w:sz="4" w:space="0"/>
            </w:tcBorders>
            <w:vAlign w:val="center"/>
          </w:tcPr>
          <w:p w14:paraId="01C100CE">
            <w:pPr>
              <w:keepNext w:val="0"/>
              <w:keepLines w:val="0"/>
              <w:pageBreakBefore w:val="0"/>
              <w:kinsoku/>
              <w:wordWrap/>
              <w:overflowPunct/>
              <w:topLinePunct w:val="0"/>
              <w:autoSpaceDE/>
              <w:autoSpaceDN/>
              <w:bidi w:val="0"/>
              <w:adjustRightInd/>
              <w:snapToGrid/>
              <w:spacing w:line="0" w:lineRule="atLeast"/>
              <w:ind w:left="0" w:right="0" w:rightChars="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评分标准</w:t>
            </w:r>
          </w:p>
        </w:tc>
        <w:tc>
          <w:tcPr>
            <w:tcW w:w="1009" w:type="dxa"/>
            <w:tcBorders>
              <w:top w:val="single" w:color="auto" w:sz="4" w:space="0"/>
              <w:left w:val="nil"/>
              <w:bottom w:val="single" w:color="auto" w:sz="4" w:space="0"/>
              <w:right w:val="single" w:color="auto" w:sz="4" w:space="0"/>
            </w:tcBorders>
            <w:vAlign w:val="center"/>
          </w:tcPr>
          <w:p w14:paraId="1707313C">
            <w:pPr>
              <w:keepNext w:val="0"/>
              <w:keepLines w:val="0"/>
              <w:pageBreakBefore w:val="0"/>
              <w:kinsoku/>
              <w:wordWrap/>
              <w:overflowPunct/>
              <w:topLinePunct w:val="0"/>
              <w:autoSpaceDE/>
              <w:autoSpaceDN/>
              <w:bidi w:val="0"/>
              <w:adjustRightInd/>
              <w:snapToGrid/>
              <w:spacing w:line="0" w:lineRule="atLeast"/>
              <w:ind w:left="0" w:right="0" w:rightChars="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得分</w:t>
            </w:r>
          </w:p>
        </w:tc>
      </w:tr>
      <w:tr w14:paraId="4AD9B6E9">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409" w:hRule="atLeast"/>
        </w:trPr>
        <w:tc>
          <w:tcPr>
            <w:tcW w:w="1245" w:type="dxa"/>
            <w:tcBorders>
              <w:top w:val="nil"/>
              <w:left w:val="single" w:color="auto" w:sz="4" w:space="0"/>
              <w:bottom w:val="single" w:color="auto" w:sz="4" w:space="0"/>
              <w:right w:val="single" w:color="auto" w:sz="4" w:space="0"/>
            </w:tcBorders>
            <w:vAlign w:val="center"/>
          </w:tcPr>
          <w:p w14:paraId="5C67D9D6">
            <w:pPr>
              <w:keepNext w:val="0"/>
              <w:keepLines w:val="0"/>
              <w:pageBreakBefore w:val="0"/>
              <w:kinsoku/>
              <w:wordWrap/>
              <w:overflowPunct/>
              <w:topLinePunct w:val="0"/>
              <w:autoSpaceDE/>
              <w:autoSpaceDN/>
              <w:bidi w:val="0"/>
              <w:adjustRightInd/>
              <w:snapToGrid/>
              <w:spacing w:line="0" w:lineRule="atLeast"/>
              <w:ind w:left="0" w:right="0" w:right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价格</w:t>
            </w:r>
          </w:p>
        </w:tc>
        <w:tc>
          <w:tcPr>
            <w:tcW w:w="7303" w:type="dxa"/>
            <w:tcBorders>
              <w:top w:val="nil"/>
              <w:left w:val="nil"/>
              <w:bottom w:val="single" w:color="auto" w:sz="4" w:space="0"/>
              <w:right w:val="single" w:color="auto" w:sz="4" w:space="0"/>
            </w:tcBorders>
            <w:vAlign w:val="center"/>
          </w:tcPr>
          <w:p w14:paraId="6D2A8392">
            <w:pPr>
              <w:keepNext w:val="0"/>
              <w:keepLines w:val="0"/>
              <w:pageBreakBefore w:val="0"/>
              <w:tabs>
                <w:tab w:val="left" w:pos="2520"/>
              </w:tabs>
              <w:kinsoku/>
              <w:wordWrap/>
              <w:overflowPunct/>
              <w:topLinePunct w:val="0"/>
              <w:autoSpaceDE/>
              <w:autoSpaceDN/>
              <w:bidi w:val="0"/>
              <w:adjustRightInd/>
              <w:snapToGrid/>
              <w:spacing w:line="240" w:lineRule="auto"/>
              <w:ind w:left="0" w:right="0" w:right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价格分采用低价优先法计算，满足磋商文件要求，进入详细评审的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lang w:val="en-US" w:eastAsia="zh-CN"/>
              </w:rPr>
              <w:t>最终</w:t>
            </w:r>
            <w:r>
              <w:rPr>
                <w:rFonts w:hint="eastAsia" w:ascii="宋体" w:hAnsi="宋体" w:eastAsia="宋体" w:cs="宋体"/>
                <w:color w:val="auto"/>
                <w:sz w:val="24"/>
                <w:szCs w:val="24"/>
                <w:highlight w:val="none"/>
              </w:rPr>
              <w:t>报价的最低值为评</w:t>
            </w:r>
            <w:r>
              <w:rPr>
                <w:rFonts w:hint="eastAsia" w:ascii="宋体" w:hAnsi="宋体" w:eastAsia="宋体" w:cs="宋体"/>
                <w:color w:val="auto"/>
                <w:sz w:val="24"/>
                <w:szCs w:val="24"/>
                <w:highlight w:val="none"/>
                <w:lang w:eastAsia="zh-CN"/>
              </w:rPr>
              <w:t>审</w:t>
            </w:r>
            <w:r>
              <w:rPr>
                <w:rFonts w:hint="eastAsia" w:ascii="宋体" w:hAnsi="宋体" w:eastAsia="宋体" w:cs="宋体"/>
                <w:color w:val="auto"/>
                <w:sz w:val="24"/>
                <w:szCs w:val="24"/>
                <w:highlight w:val="none"/>
              </w:rPr>
              <w:t>基准价A值，A值为价格分的满分，即</w:t>
            </w: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分。其他</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的价格分统一按照以下公式计算：</w:t>
            </w:r>
            <w:r>
              <w:rPr>
                <w:rFonts w:hint="eastAsia" w:ascii="宋体" w:hAnsi="宋体" w:eastAsia="宋体" w:cs="宋体"/>
                <w:color w:val="auto"/>
                <w:sz w:val="24"/>
                <w:szCs w:val="24"/>
                <w:highlight w:val="none"/>
                <w:lang w:val="en-US" w:eastAsia="zh-CN"/>
              </w:rPr>
              <w:t>报价得分=（</w:t>
            </w:r>
            <w:r>
              <w:rPr>
                <w:rFonts w:hint="eastAsia" w:ascii="宋体" w:hAnsi="宋体" w:eastAsia="宋体" w:cs="宋体"/>
                <w:color w:val="auto"/>
                <w:sz w:val="24"/>
                <w:szCs w:val="24"/>
                <w:highlight w:val="none"/>
              </w:rPr>
              <w:t>A值</w:t>
            </w:r>
            <w:r>
              <w:rPr>
                <w:rFonts w:hint="eastAsia" w:ascii="宋体" w:hAnsi="宋体" w:eastAsia="宋体" w:cs="宋体"/>
                <w:color w:val="auto"/>
                <w:sz w:val="24"/>
                <w:szCs w:val="24"/>
                <w:highlight w:val="none"/>
                <w:lang w:val="en-US" w:eastAsia="zh-CN"/>
              </w:rPr>
              <w:t>/该供应商的最终报价）×1</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分。分值保留小数点后2位。</w:t>
            </w:r>
          </w:p>
        </w:tc>
        <w:tc>
          <w:tcPr>
            <w:tcW w:w="1009" w:type="dxa"/>
            <w:tcBorders>
              <w:top w:val="nil"/>
              <w:left w:val="nil"/>
              <w:bottom w:val="single" w:color="auto" w:sz="4" w:space="0"/>
              <w:right w:val="single" w:color="auto" w:sz="4" w:space="0"/>
            </w:tcBorders>
            <w:vAlign w:val="center"/>
          </w:tcPr>
          <w:p w14:paraId="7BE753D6">
            <w:pPr>
              <w:keepNext w:val="0"/>
              <w:keepLines w:val="0"/>
              <w:pageBreakBefore w:val="0"/>
              <w:kinsoku/>
              <w:wordWrap/>
              <w:overflowPunct/>
              <w:topLinePunct w:val="0"/>
              <w:autoSpaceDE/>
              <w:autoSpaceDN/>
              <w:bidi w:val="0"/>
              <w:adjustRightInd/>
              <w:snapToGrid/>
              <w:spacing w:line="0" w:lineRule="atLeast"/>
              <w:ind w:left="0" w:right="0" w:rightChars="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分</w:t>
            </w:r>
          </w:p>
        </w:tc>
      </w:tr>
      <w:tr w14:paraId="30A75A3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468" w:hRule="atLeast"/>
        </w:trPr>
        <w:tc>
          <w:tcPr>
            <w:tcW w:w="1245" w:type="dxa"/>
            <w:tcBorders>
              <w:top w:val="nil"/>
              <w:left w:val="single" w:color="auto" w:sz="4" w:space="0"/>
              <w:bottom w:val="single" w:color="auto" w:sz="4" w:space="0"/>
              <w:right w:val="single" w:color="auto" w:sz="4" w:space="0"/>
            </w:tcBorders>
            <w:vAlign w:val="center"/>
          </w:tcPr>
          <w:p w14:paraId="18D594BE">
            <w:pPr>
              <w:keepNext w:val="0"/>
              <w:keepLines w:val="0"/>
              <w:pageBreakBefore w:val="0"/>
              <w:kinsoku/>
              <w:wordWrap/>
              <w:overflowPunct/>
              <w:topLinePunct w:val="0"/>
              <w:autoSpaceDE/>
              <w:autoSpaceDN/>
              <w:bidi w:val="0"/>
              <w:adjustRightInd/>
              <w:snapToGrid/>
              <w:spacing w:line="0" w:lineRule="atLeast"/>
              <w:ind w:left="0" w:right="0" w:right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实施方案</w:t>
            </w:r>
          </w:p>
        </w:tc>
        <w:tc>
          <w:tcPr>
            <w:tcW w:w="7303" w:type="dxa"/>
            <w:tcBorders>
              <w:top w:val="nil"/>
              <w:left w:val="nil"/>
              <w:bottom w:val="single" w:color="auto" w:sz="4" w:space="0"/>
              <w:right w:val="single" w:color="auto" w:sz="4" w:space="0"/>
            </w:tcBorders>
            <w:vAlign w:val="top"/>
          </w:tcPr>
          <w:p w14:paraId="2E83991B">
            <w:pPr>
              <w:keepNext w:val="0"/>
              <w:keepLines w:val="0"/>
              <w:pageBreakBefore w:val="0"/>
              <w:tabs>
                <w:tab w:val="left" w:pos="2520"/>
              </w:tabs>
              <w:kinsoku/>
              <w:wordWrap/>
              <w:overflowPunct/>
              <w:topLinePunct w:val="0"/>
              <w:autoSpaceDE/>
              <w:autoSpaceDN/>
              <w:bidi w:val="0"/>
              <w:adjustRightInd/>
              <w:snapToGrid/>
              <w:spacing w:line="240" w:lineRule="auto"/>
              <w:ind w:left="0" w:right="0" w:right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供应商根据本项目的工作范围、服务质量保证措施、责任划定、项目特点制定详细实施方案。实施方案具备较强的操作性、可行性，</w:t>
            </w:r>
            <w:r>
              <w:rPr>
                <w:rFonts w:hint="eastAsia" w:ascii="宋体" w:hAnsi="宋体" w:eastAsia="宋体" w:cs="宋体"/>
                <w:color w:val="auto"/>
                <w:sz w:val="24"/>
                <w:szCs w:val="24"/>
                <w:highlight w:val="none"/>
                <w:lang w:val="en-US" w:eastAsia="zh-CN"/>
              </w:rPr>
              <w:t>优于采购文件要求</w:t>
            </w:r>
            <w:r>
              <w:rPr>
                <w:rFonts w:hint="eastAsia" w:ascii="宋体" w:hAnsi="宋体" w:eastAsia="宋体" w:cs="宋体"/>
                <w:color w:val="auto"/>
                <w:sz w:val="24"/>
                <w:szCs w:val="24"/>
                <w:highlight w:val="none"/>
                <w:lang w:eastAsia="zh-CN"/>
              </w:rPr>
              <w:t>的得1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分；实施方案具备一定的操作性、可行性，满足</w:t>
            </w:r>
            <w:r>
              <w:rPr>
                <w:rFonts w:hint="eastAsia" w:ascii="宋体" w:hAnsi="宋体" w:eastAsia="宋体" w:cs="宋体"/>
                <w:color w:val="auto"/>
                <w:sz w:val="24"/>
                <w:szCs w:val="24"/>
                <w:highlight w:val="none"/>
                <w:lang w:val="en-US" w:eastAsia="zh-CN"/>
              </w:rPr>
              <w:t>采购文件要求</w:t>
            </w:r>
            <w:r>
              <w:rPr>
                <w:rFonts w:hint="eastAsia" w:ascii="宋体" w:hAnsi="宋体" w:eastAsia="宋体" w:cs="宋体"/>
                <w:color w:val="auto"/>
                <w:sz w:val="24"/>
                <w:szCs w:val="24"/>
                <w:highlight w:val="none"/>
                <w:lang w:eastAsia="zh-CN"/>
              </w:rPr>
              <w:t>的得</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分；实施方案操作性、可行性一般，</w:t>
            </w:r>
            <w:r>
              <w:rPr>
                <w:rFonts w:hint="eastAsia" w:ascii="宋体" w:hAnsi="宋体" w:eastAsia="宋体" w:cs="宋体"/>
                <w:color w:val="auto"/>
                <w:sz w:val="24"/>
                <w:szCs w:val="24"/>
                <w:highlight w:val="none"/>
                <w:lang w:val="en-US" w:eastAsia="zh-CN"/>
              </w:rPr>
              <w:t>低于采购文件要求</w:t>
            </w:r>
            <w:r>
              <w:rPr>
                <w:rFonts w:hint="eastAsia" w:ascii="宋体" w:hAnsi="宋体" w:eastAsia="宋体" w:cs="宋体"/>
                <w:color w:val="auto"/>
                <w:sz w:val="24"/>
                <w:szCs w:val="24"/>
                <w:highlight w:val="none"/>
                <w:lang w:eastAsia="zh-CN"/>
              </w:rPr>
              <w:t>的得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分；</w:t>
            </w:r>
            <w:r>
              <w:rPr>
                <w:rFonts w:hint="eastAsia" w:ascii="宋体" w:hAnsi="宋体" w:eastAsia="宋体" w:cs="宋体"/>
                <w:color w:val="auto"/>
                <w:sz w:val="24"/>
                <w:szCs w:val="24"/>
                <w:highlight w:val="none"/>
                <w:lang w:val="en-US" w:eastAsia="zh-CN"/>
              </w:rPr>
              <w:t>未提供不得分</w:t>
            </w:r>
            <w:r>
              <w:rPr>
                <w:rFonts w:hint="eastAsia" w:ascii="宋体" w:hAnsi="宋体" w:eastAsia="宋体" w:cs="宋体"/>
                <w:color w:val="auto"/>
                <w:sz w:val="24"/>
                <w:szCs w:val="24"/>
                <w:highlight w:val="none"/>
                <w:lang w:eastAsia="zh-CN"/>
              </w:rPr>
              <w:t>。</w:t>
            </w:r>
          </w:p>
        </w:tc>
        <w:tc>
          <w:tcPr>
            <w:tcW w:w="1009" w:type="dxa"/>
            <w:tcBorders>
              <w:top w:val="nil"/>
              <w:left w:val="nil"/>
              <w:bottom w:val="single" w:color="auto" w:sz="4" w:space="0"/>
              <w:right w:val="single" w:color="auto" w:sz="4" w:space="0"/>
            </w:tcBorders>
            <w:vAlign w:val="center"/>
          </w:tcPr>
          <w:p w14:paraId="2C8C400F">
            <w:pPr>
              <w:keepNext w:val="0"/>
              <w:keepLines w:val="0"/>
              <w:pageBreakBefore w:val="0"/>
              <w:kinsoku/>
              <w:wordWrap/>
              <w:overflowPunct/>
              <w:topLinePunct w:val="0"/>
              <w:autoSpaceDE/>
              <w:autoSpaceDN/>
              <w:bidi w:val="0"/>
              <w:adjustRightInd/>
              <w:snapToGrid/>
              <w:spacing w:line="0" w:lineRule="atLeast"/>
              <w:ind w:left="0" w:right="0" w:right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12分</w:t>
            </w:r>
          </w:p>
        </w:tc>
      </w:tr>
      <w:tr w14:paraId="0215224B">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232" w:hRule="atLeast"/>
        </w:trPr>
        <w:tc>
          <w:tcPr>
            <w:tcW w:w="1245" w:type="dxa"/>
            <w:tcBorders>
              <w:top w:val="single" w:color="auto" w:sz="4" w:space="0"/>
              <w:left w:val="single" w:color="auto" w:sz="4" w:space="0"/>
              <w:bottom w:val="single" w:color="auto" w:sz="4" w:space="0"/>
              <w:right w:val="single" w:color="auto" w:sz="4" w:space="0"/>
            </w:tcBorders>
            <w:vAlign w:val="center"/>
          </w:tcPr>
          <w:p w14:paraId="4F2C9111">
            <w:pPr>
              <w:keepNext w:val="0"/>
              <w:keepLines w:val="0"/>
              <w:pageBreakBefore w:val="0"/>
              <w:kinsoku/>
              <w:wordWrap/>
              <w:overflowPunct/>
              <w:topLinePunct w:val="0"/>
              <w:autoSpaceDE/>
              <w:autoSpaceDN/>
              <w:bidi w:val="0"/>
              <w:adjustRightInd/>
              <w:snapToGrid/>
              <w:spacing w:line="0" w:lineRule="atLeast"/>
              <w:ind w:left="0" w:right="0" w:right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rPr>
              <w:t>内控制度</w:t>
            </w:r>
          </w:p>
        </w:tc>
        <w:tc>
          <w:tcPr>
            <w:tcW w:w="7303" w:type="dxa"/>
            <w:tcBorders>
              <w:top w:val="single" w:color="auto" w:sz="4" w:space="0"/>
              <w:left w:val="nil"/>
              <w:bottom w:val="single" w:color="auto" w:sz="4" w:space="0"/>
              <w:right w:val="single" w:color="auto" w:sz="4" w:space="0"/>
            </w:tcBorders>
            <w:vAlign w:val="top"/>
          </w:tcPr>
          <w:p w14:paraId="60DAB59C">
            <w:pPr>
              <w:keepNext w:val="0"/>
              <w:keepLines w:val="0"/>
              <w:pageBreakBefore w:val="0"/>
              <w:tabs>
                <w:tab w:val="left" w:pos="2520"/>
              </w:tabs>
              <w:kinsoku/>
              <w:wordWrap/>
              <w:overflowPunct/>
              <w:topLinePunct w:val="0"/>
              <w:autoSpaceDE/>
              <w:autoSpaceDN/>
              <w:bidi w:val="0"/>
              <w:adjustRightInd/>
              <w:snapToGrid/>
              <w:spacing w:line="240" w:lineRule="auto"/>
              <w:ind w:left="0" w:right="0" w:right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根据供应商按照采购要求建立的组织机构图、工作流程图、档案管理制度等方面进行评审，组织到位，有利于提高服务的得</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lang w:eastAsia="zh-CN"/>
              </w:rPr>
              <w:t>分，基本能适应本项目要求的得</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分，</w:t>
            </w:r>
            <w:r>
              <w:rPr>
                <w:rFonts w:hint="eastAsia" w:ascii="宋体" w:hAnsi="宋体" w:eastAsia="宋体" w:cs="宋体"/>
                <w:color w:val="auto"/>
                <w:sz w:val="24"/>
                <w:szCs w:val="24"/>
                <w:highlight w:val="none"/>
                <w:lang w:val="en-US" w:eastAsia="zh-CN"/>
              </w:rPr>
              <w:t>内控制度</w:t>
            </w:r>
            <w:r>
              <w:rPr>
                <w:rFonts w:hint="eastAsia" w:ascii="宋体" w:hAnsi="宋体" w:eastAsia="宋体" w:cs="宋体"/>
                <w:color w:val="auto"/>
                <w:sz w:val="24"/>
                <w:szCs w:val="24"/>
                <w:highlight w:val="none"/>
                <w:lang w:eastAsia="zh-CN"/>
              </w:rPr>
              <w:t>一般的得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分，</w:t>
            </w:r>
            <w:r>
              <w:rPr>
                <w:rFonts w:hint="eastAsia" w:ascii="宋体" w:hAnsi="宋体" w:eastAsia="宋体" w:cs="宋体"/>
                <w:color w:val="auto"/>
                <w:sz w:val="24"/>
                <w:szCs w:val="24"/>
                <w:highlight w:val="none"/>
                <w:lang w:val="en-US" w:eastAsia="zh-CN"/>
              </w:rPr>
              <w:t>不完善或未提供的不得</w:t>
            </w:r>
            <w:r>
              <w:rPr>
                <w:rFonts w:hint="eastAsia" w:ascii="宋体" w:hAnsi="宋体" w:eastAsia="宋体" w:cs="宋体"/>
                <w:color w:val="auto"/>
                <w:sz w:val="24"/>
                <w:szCs w:val="24"/>
                <w:highlight w:val="none"/>
                <w:lang w:eastAsia="zh-CN"/>
              </w:rPr>
              <w:t>分。</w:t>
            </w:r>
          </w:p>
        </w:tc>
        <w:tc>
          <w:tcPr>
            <w:tcW w:w="1009" w:type="dxa"/>
            <w:tcBorders>
              <w:top w:val="nil"/>
              <w:left w:val="nil"/>
              <w:bottom w:val="single" w:color="auto" w:sz="4" w:space="0"/>
              <w:right w:val="single" w:color="auto" w:sz="4" w:space="0"/>
            </w:tcBorders>
            <w:vAlign w:val="center"/>
          </w:tcPr>
          <w:p w14:paraId="38BF63EA">
            <w:pPr>
              <w:keepNext w:val="0"/>
              <w:keepLines w:val="0"/>
              <w:pageBreakBefore w:val="0"/>
              <w:kinsoku/>
              <w:wordWrap/>
              <w:overflowPunct/>
              <w:topLinePunct w:val="0"/>
              <w:autoSpaceDE/>
              <w:autoSpaceDN/>
              <w:bidi w:val="0"/>
              <w:adjustRightInd/>
              <w:snapToGrid/>
              <w:spacing w:line="0" w:lineRule="atLeast"/>
              <w:ind w:left="0" w:leftChars="0" w:right="0" w:right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10分</w:t>
            </w:r>
          </w:p>
        </w:tc>
      </w:tr>
      <w:tr w14:paraId="44BDD597">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110" w:hRule="atLeast"/>
        </w:trPr>
        <w:tc>
          <w:tcPr>
            <w:tcW w:w="1245" w:type="dxa"/>
            <w:tcBorders>
              <w:top w:val="single" w:color="auto" w:sz="4" w:space="0"/>
              <w:left w:val="single" w:color="auto" w:sz="4" w:space="0"/>
              <w:bottom w:val="single" w:color="auto" w:sz="4" w:space="0"/>
              <w:right w:val="single" w:color="auto" w:sz="4" w:space="0"/>
            </w:tcBorders>
            <w:vAlign w:val="center"/>
          </w:tcPr>
          <w:p w14:paraId="141688B0">
            <w:pPr>
              <w:keepNext w:val="0"/>
              <w:keepLines w:val="0"/>
              <w:pageBreakBefore w:val="0"/>
              <w:kinsoku/>
              <w:wordWrap/>
              <w:overflowPunct/>
              <w:topLinePunct w:val="0"/>
              <w:autoSpaceDE/>
              <w:autoSpaceDN/>
              <w:bidi w:val="0"/>
              <w:adjustRightInd/>
              <w:snapToGrid/>
              <w:spacing w:line="0" w:lineRule="atLeast"/>
              <w:ind w:left="0" w:right="0" w:rightChars="0"/>
              <w:jc w:val="center"/>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重难点分析</w:t>
            </w:r>
          </w:p>
        </w:tc>
        <w:tc>
          <w:tcPr>
            <w:tcW w:w="7303" w:type="dxa"/>
            <w:tcBorders>
              <w:top w:val="single" w:color="auto" w:sz="4" w:space="0"/>
              <w:left w:val="nil"/>
              <w:bottom w:val="single" w:color="auto" w:sz="4" w:space="0"/>
              <w:right w:val="single" w:color="auto" w:sz="4" w:space="0"/>
            </w:tcBorders>
            <w:vAlign w:val="center"/>
          </w:tcPr>
          <w:p w14:paraId="0B36215F">
            <w:pPr>
              <w:keepNext w:val="0"/>
              <w:keepLines w:val="0"/>
              <w:pageBreakBefore w:val="0"/>
              <w:tabs>
                <w:tab w:val="left" w:pos="2520"/>
              </w:tabs>
              <w:kinsoku/>
              <w:wordWrap/>
              <w:overflowPunct/>
              <w:topLinePunct w:val="0"/>
              <w:autoSpaceDE/>
              <w:autoSpaceDN/>
              <w:bidi w:val="0"/>
              <w:adjustRightInd/>
              <w:snapToGrid/>
              <w:spacing w:line="240" w:lineRule="auto"/>
              <w:ind w:left="0" w:right="0" w:rightChars="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供应商针对本项目实施过程中的重难点进行分析，并提出切实有效的措施。对关键重难点分析准确性及措施的合理性和有效性进行综合评分，</w:t>
            </w:r>
            <w:r>
              <w:rPr>
                <w:rFonts w:hint="eastAsia" w:ascii="宋体" w:hAnsi="宋体" w:eastAsia="宋体" w:cs="宋体"/>
                <w:color w:val="auto"/>
                <w:sz w:val="24"/>
                <w:szCs w:val="24"/>
                <w:highlight w:val="none"/>
                <w:lang w:val="en-US" w:eastAsia="zh-CN"/>
              </w:rPr>
              <w:t>措施有效、全面合理的</w:t>
            </w:r>
            <w:r>
              <w:rPr>
                <w:rFonts w:hint="eastAsia" w:ascii="宋体" w:hAnsi="宋体" w:eastAsia="宋体" w:cs="宋体"/>
                <w:color w:val="auto"/>
                <w:sz w:val="24"/>
                <w:szCs w:val="24"/>
                <w:highlight w:val="none"/>
                <w:lang w:eastAsia="zh-CN"/>
              </w:rPr>
              <w:t>得</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lang w:eastAsia="zh-CN"/>
              </w:rPr>
              <w:t>分，</w:t>
            </w:r>
            <w:r>
              <w:rPr>
                <w:rFonts w:hint="eastAsia" w:ascii="宋体" w:hAnsi="宋体" w:eastAsia="宋体" w:cs="宋体"/>
                <w:color w:val="auto"/>
                <w:sz w:val="24"/>
                <w:szCs w:val="24"/>
                <w:highlight w:val="none"/>
                <w:lang w:val="en-US" w:eastAsia="zh-CN"/>
              </w:rPr>
              <w:t>措施基本合理的</w:t>
            </w:r>
            <w:r>
              <w:rPr>
                <w:rFonts w:hint="eastAsia" w:ascii="宋体" w:hAnsi="宋体" w:eastAsia="宋体" w:cs="宋体"/>
                <w:color w:val="auto"/>
                <w:sz w:val="24"/>
                <w:szCs w:val="24"/>
                <w:highlight w:val="none"/>
                <w:lang w:eastAsia="zh-CN"/>
              </w:rPr>
              <w:t>得</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分，</w:t>
            </w:r>
            <w:r>
              <w:rPr>
                <w:rFonts w:hint="eastAsia" w:ascii="宋体" w:hAnsi="宋体" w:eastAsia="宋体" w:cs="宋体"/>
                <w:color w:val="auto"/>
                <w:sz w:val="24"/>
                <w:szCs w:val="24"/>
                <w:highlight w:val="none"/>
                <w:lang w:val="en-US" w:eastAsia="zh-CN"/>
              </w:rPr>
              <w:t>措施</w:t>
            </w:r>
            <w:r>
              <w:rPr>
                <w:rFonts w:hint="eastAsia" w:ascii="宋体" w:hAnsi="宋体" w:eastAsia="宋体" w:cs="宋体"/>
                <w:color w:val="auto"/>
                <w:sz w:val="24"/>
                <w:szCs w:val="24"/>
                <w:highlight w:val="none"/>
                <w:lang w:eastAsia="zh-CN"/>
              </w:rPr>
              <w:t>一般得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分，较差的</w:t>
            </w:r>
            <w:r>
              <w:rPr>
                <w:rFonts w:hint="eastAsia" w:ascii="宋体" w:hAnsi="宋体" w:eastAsia="宋体" w:cs="宋体"/>
                <w:color w:val="auto"/>
                <w:sz w:val="24"/>
                <w:szCs w:val="24"/>
                <w:highlight w:val="none"/>
                <w:lang w:val="en-US" w:eastAsia="zh-CN"/>
              </w:rPr>
              <w:t>或未提供</w:t>
            </w:r>
            <w:r>
              <w:rPr>
                <w:rFonts w:hint="eastAsia" w:ascii="宋体" w:hAnsi="宋体" w:eastAsia="宋体" w:cs="宋体"/>
                <w:color w:val="auto"/>
                <w:sz w:val="24"/>
                <w:szCs w:val="24"/>
                <w:highlight w:val="none"/>
                <w:lang w:eastAsia="zh-CN"/>
              </w:rPr>
              <w:t>不得分。</w:t>
            </w:r>
          </w:p>
        </w:tc>
        <w:tc>
          <w:tcPr>
            <w:tcW w:w="1009" w:type="dxa"/>
            <w:tcBorders>
              <w:top w:val="nil"/>
              <w:left w:val="nil"/>
              <w:bottom w:val="single" w:color="auto" w:sz="4" w:space="0"/>
              <w:right w:val="single" w:color="auto" w:sz="4" w:space="0"/>
            </w:tcBorders>
            <w:vAlign w:val="center"/>
          </w:tcPr>
          <w:p w14:paraId="43089E30">
            <w:pPr>
              <w:keepNext w:val="0"/>
              <w:keepLines w:val="0"/>
              <w:pageBreakBefore w:val="0"/>
              <w:kinsoku/>
              <w:wordWrap/>
              <w:overflowPunct/>
              <w:topLinePunct w:val="0"/>
              <w:autoSpaceDE/>
              <w:autoSpaceDN/>
              <w:bidi w:val="0"/>
              <w:adjustRightInd/>
              <w:snapToGrid/>
              <w:spacing w:line="0" w:lineRule="atLeast"/>
              <w:ind w:left="0" w:leftChars="0" w:right="0" w:right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10分</w:t>
            </w:r>
          </w:p>
        </w:tc>
      </w:tr>
      <w:tr w14:paraId="1A6B04D6">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90" w:hRule="atLeast"/>
        </w:trPr>
        <w:tc>
          <w:tcPr>
            <w:tcW w:w="1245" w:type="dxa"/>
            <w:tcBorders>
              <w:top w:val="single" w:color="auto" w:sz="4" w:space="0"/>
              <w:left w:val="single" w:color="auto" w:sz="4" w:space="0"/>
              <w:bottom w:val="single" w:color="auto" w:sz="4" w:space="0"/>
              <w:right w:val="single" w:color="auto" w:sz="4" w:space="0"/>
            </w:tcBorders>
            <w:vAlign w:val="center"/>
          </w:tcPr>
          <w:p w14:paraId="0800F621">
            <w:pPr>
              <w:keepNext w:val="0"/>
              <w:keepLines w:val="0"/>
              <w:pageBreakBefore w:val="0"/>
              <w:kinsoku/>
              <w:wordWrap/>
              <w:overflowPunct/>
              <w:topLinePunct w:val="0"/>
              <w:autoSpaceDE/>
              <w:autoSpaceDN/>
              <w:bidi w:val="0"/>
              <w:adjustRightInd/>
              <w:snapToGrid/>
              <w:spacing w:line="0" w:lineRule="atLeast"/>
              <w:ind w:left="0" w:right="0" w:rightChars="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进度计划及保证措施</w:t>
            </w:r>
          </w:p>
        </w:tc>
        <w:tc>
          <w:tcPr>
            <w:tcW w:w="7303" w:type="dxa"/>
            <w:tcBorders>
              <w:top w:val="single" w:color="auto" w:sz="4" w:space="0"/>
              <w:left w:val="nil"/>
              <w:bottom w:val="single" w:color="auto" w:sz="4" w:space="0"/>
              <w:right w:val="single" w:color="auto" w:sz="4" w:space="0"/>
            </w:tcBorders>
            <w:vAlign w:val="center"/>
          </w:tcPr>
          <w:p w14:paraId="04FA71FD">
            <w:pPr>
              <w:keepNext w:val="0"/>
              <w:keepLines w:val="0"/>
              <w:pageBreakBefore w:val="0"/>
              <w:tabs>
                <w:tab w:val="left" w:pos="2520"/>
              </w:tabs>
              <w:kinsoku/>
              <w:wordWrap/>
              <w:overflowPunct/>
              <w:topLinePunct w:val="0"/>
              <w:autoSpaceDE/>
              <w:autoSpaceDN/>
              <w:bidi w:val="0"/>
              <w:adjustRightInd/>
              <w:snapToGrid/>
              <w:spacing w:line="240" w:lineRule="auto"/>
              <w:ind w:left="0" w:right="0" w:rightChars="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根据供应商提供的工作进度安排计划、工作服务期内目标控制及工作进度保证措施</w:t>
            </w:r>
            <w:r>
              <w:rPr>
                <w:rFonts w:hint="eastAsia" w:ascii="宋体" w:hAnsi="宋体" w:eastAsia="宋体" w:cs="宋体"/>
                <w:color w:val="auto"/>
                <w:sz w:val="24"/>
                <w:szCs w:val="24"/>
                <w:highlight w:val="none"/>
                <w:lang w:eastAsia="zh-CN"/>
              </w:rPr>
              <w:t>等方面综合评分。</w:t>
            </w:r>
            <w:r>
              <w:rPr>
                <w:rFonts w:hint="eastAsia" w:ascii="宋体" w:hAnsi="宋体" w:eastAsia="宋体" w:cs="宋体"/>
                <w:color w:val="auto"/>
                <w:sz w:val="24"/>
                <w:szCs w:val="24"/>
                <w:highlight w:val="none"/>
                <w:lang w:val="en-US" w:eastAsia="zh-CN"/>
              </w:rPr>
              <w:t>措施</w:t>
            </w:r>
            <w:r>
              <w:rPr>
                <w:rFonts w:hint="eastAsia" w:ascii="宋体" w:hAnsi="宋体" w:eastAsia="宋体" w:cs="宋体"/>
                <w:color w:val="auto"/>
                <w:sz w:val="24"/>
                <w:szCs w:val="24"/>
                <w:highlight w:val="none"/>
                <w:lang w:eastAsia="zh-CN"/>
              </w:rPr>
              <w:t>详细，可操作性强的得</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分，</w:t>
            </w:r>
            <w:r>
              <w:rPr>
                <w:rFonts w:hint="eastAsia" w:ascii="宋体" w:hAnsi="宋体" w:eastAsia="宋体" w:cs="宋体"/>
                <w:color w:val="auto"/>
                <w:sz w:val="24"/>
                <w:szCs w:val="24"/>
                <w:highlight w:val="none"/>
                <w:lang w:val="en-US" w:eastAsia="zh-CN"/>
              </w:rPr>
              <w:t>措施</w:t>
            </w:r>
            <w:r>
              <w:rPr>
                <w:rFonts w:hint="eastAsia" w:ascii="宋体" w:hAnsi="宋体" w:eastAsia="宋体" w:cs="宋体"/>
                <w:color w:val="auto"/>
                <w:sz w:val="24"/>
                <w:szCs w:val="24"/>
                <w:highlight w:val="none"/>
                <w:lang w:eastAsia="zh-CN"/>
              </w:rPr>
              <w:t>较详细，可操作性一般的得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分，</w:t>
            </w:r>
            <w:r>
              <w:rPr>
                <w:rFonts w:hint="eastAsia" w:ascii="宋体" w:hAnsi="宋体" w:eastAsia="宋体" w:cs="宋体"/>
                <w:color w:val="auto"/>
                <w:sz w:val="24"/>
                <w:szCs w:val="24"/>
                <w:highlight w:val="none"/>
                <w:lang w:val="en-US" w:eastAsia="zh-CN"/>
              </w:rPr>
              <w:t>措施</w:t>
            </w:r>
            <w:r>
              <w:rPr>
                <w:rFonts w:hint="eastAsia" w:ascii="宋体" w:hAnsi="宋体" w:eastAsia="宋体" w:cs="宋体"/>
                <w:color w:val="auto"/>
                <w:sz w:val="24"/>
                <w:szCs w:val="24"/>
                <w:highlight w:val="none"/>
                <w:lang w:eastAsia="zh-CN"/>
              </w:rPr>
              <w:t>有所欠缺的得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分，</w:t>
            </w:r>
            <w:r>
              <w:rPr>
                <w:rFonts w:hint="eastAsia" w:ascii="宋体" w:hAnsi="宋体" w:eastAsia="宋体" w:cs="宋体"/>
                <w:color w:val="auto"/>
                <w:sz w:val="24"/>
                <w:szCs w:val="24"/>
                <w:highlight w:val="none"/>
                <w:lang w:val="en-US" w:eastAsia="zh-CN"/>
              </w:rPr>
              <w:t>措施较差</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lang w:val="en-US" w:eastAsia="zh-CN"/>
              </w:rPr>
              <w:t>或未提供的</w:t>
            </w:r>
            <w:r>
              <w:rPr>
                <w:rFonts w:hint="eastAsia" w:ascii="宋体" w:hAnsi="宋体" w:eastAsia="宋体" w:cs="宋体"/>
                <w:color w:val="auto"/>
                <w:sz w:val="24"/>
                <w:szCs w:val="24"/>
                <w:highlight w:val="none"/>
                <w:lang w:eastAsia="zh-CN"/>
              </w:rPr>
              <w:t>不得分。</w:t>
            </w:r>
          </w:p>
        </w:tc>
        <w:tc>
          <w:tcPr>
            <w:tcW w:w="1009" w:type="dxa"/>
            <w:tcBorders>
              <w:top w:val="nil"/>
              <w:left w:val="nil"/>
              <w:bottom w:val="single" w:color="auto" w:sz="4" w:space="0"/>
              <w:right w:val="single" w:color="auto" w:sz="4" w:space="0"/>
            </w:tcBorders>
            <w:vAlign w:val="center"/>
          </w:tcPr>
          <w:p w14:paraId="459BFADF">
            <w:pPr>
              <w:keepNext w:val="0"/>
              <w:keepLines w:val="0"/>
              <w:pageBreakBefore w:val="0"/>
              <w:kinsoku/>
              <w:wordWrap/>
              <w:overflowPunct/>
              <w:topLinePunct w:val="0"/>
              <w:autoSpaceDE/>
              <w:autoSpaceDN/>
              <w:bidi w:val="0"/>
              <w:adjustRightInd/>
              <w:snapToGrid/>
              <w:spacing w:line="0" w:lineRule="atLeast"/>
              <w:ind w:left="0" w:leftChars="0" w:right="0" w:rightChars="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8分</w:t>
            </w:r>
          </w:p>
        </w:tc>
      </w:tr>
      <w:tr w14:paraId="5C58EE91">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110" w:hRule="atLeast"/>
        </w:trPr>
        <w:tc>
          <w:tcPr>
            <w:tcW w:w="1245" w:type="dxa"/>
            <w:tcBorders>
              <w:top w:val="single" w:color="auto" w:sz="4" w:space="0"/>
              <w:left w:val="single" w:color="auto" w:sz="4" w:space="0"/>
              <w:bottom w:val="single" w:color="auto" w:sz="4" w:space="0"/>
              <w:right w:val="single" w:color="auto" w:sz="4" w:space="0"/>
            </w:tcBorders>
            <w:vAlign w:val="center"/>
          </w:tcPr>
          <w:p w14:paraId="5EBD022C">
            <w:pPr>
              <w:keepNext w:val="0"/>
              <w:keepLines w:val="0"/>
              <w:pageBreakBefore w:val="0"/>
              <w:kinsoku/>
              <w:wordWrap/>
              <w:overflowPunct/>
              <w:topLinePunct w:val="0"/>
              <w:autoSpaceDE/>
              <w:autoSpaceDN/>
              <w:bidi w:val="0"/>
              <w:adjustRightInd/>
              <w:snapToGrid/>
              <w:spacing w:line="0" w:lineRule="atLeast"/>
              <w:ind w:left="0" w:right="0" w:rightChars="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培训方案</w:t>
            </w:r>
          </w:p>
        </w:tc>
        <w:tc>
          <w:tcPr>
            <w:tcW w:w="7303" w:type="dxa"/>
            <w:tcBorders>
              <w:top w:val="single" w:color="auto" w:sz="4" w:space="0"/>
              <w:left w:val="nil"/>
              <w:bottom w:val="single" w:color="auto" w:sz="4" w:space="0"/>
              <w:right w:val="single" w:color="auto" w:sz="4" w:space="0"/>
            </w:tcBorders>
            <w:vAlign w:val="center"/>
          </w:tcPr>
          <w:p w14:paraId="438346FC">
            <w:pPr>
              <w:keepNext w:val="0"/>
              <w:keepLines w:val="0"/>
              <w:pageBreakBefore w:val="0"/>
              <w:tabs>
                <w:tab w:val="left" w:pos="2520"/>
              </w:tabs>
              <w:kinsoku/>
              <w:wordWrap/>
              <w:overflowPunct/>
              <w:topLinePunct w:val="0"/>
              <w:autoSpaceDE/>
              <w:autoSpaceDN/>
              <w:bidi w:val="0"/>
              <w:adjustRightInd/>
              <w:snapToGrid/>
              <w:spacing w:line="240" w:lineRule="auto"/>
              <w:ind w:left="0" w:right="0" w:rightChars="0"/>
              <w:jc w:val="left"/>
              <w:textAlignment w:val="auto"/>
              <w:rPr>
                <w:rFonts w:hint="eastAsia" w:ascii="宋体" w:hAnsi="宋体" w:eastAsia="宋体" w:cs="宋体"/>
                <w:color w:val="auto"/>
                <w:sz w:val="24"/>
                <w:szCs w:val="24"/>
              </w:rPr>
            </w:pPr>
            <w:r>
              <w:rPr>
                <w:rFonts w:hint="eastAsia" w:ascii="宋体" w:hAnsi="宋体" w:cs="宋体"/>
                <w:color w:val="000000" w:themeColor="text1"/>
                <w:kern w:val="0"/>
                <w:sz w:val="24"/>
                <w:szCs w:val="24"/>
                <w:lang w:val="en-US" w:eastAsia="zh-CN"/>
                <w14:textFill>
                  <w14:solidFill>
                    <w14:schemeClr w14:val="tx1"/>
                  </w14:solidFill>
                </w14:textFill>
              </w:rPr>
              <w:t>根据供应商提供的</w:t>
            </w:r>
            <w:r>
              <w:rPr>
                <w:rFonts w:hint="eastAsia" w:ascii="宋体" w:hAnsi="宋体" w:eastAsia="宋体" w:cs="宋体"/>
                <w:color w:val="000000" w:themeColor="text1"/>
                <w:kern w:val="0"/>
                <w:sz w:val="24"/>
                <w:szCs w:val="24"/>
                <w14:textFill>
                  <w14:solidFill>
                    <w14:schemeClr w14:val="tx1"/>
                  </w14:solidFill>
                </w14:textFill>
              </w:rPr>
              <w:t>培训方案及计划等方面综合评分。方案详细，可操作性强，完全满足项目需要的，得</w:t>
            </w:r>
            <w:r>
              <w:rPr>
                <w:rFonts w:hint="eastAsia" w:ascii="宋体" w:hAnsi="宋体" w:cs="宋体"/>
                <w:color w:val="000000" w:themeColor="text1"/>
                <w:kern w:val="0"/>
                <w:sz w:val="24"/>
                <w:szCs w:val="24"/>
                <w:lang w:val="en-US" w:eastAsia="zh-CN"/>
                <w14:textFill>
                  <w14:solidFill>
                    <w14:schemeClr w14:val="tx1"/>
                  </w14:solidFill>
                </w14:textFill>
              </w:rPr>
              <w:t>8</w:t>
            </w:r>
            <w:r>
              <w:rPr>
                <w:rFonts w:hint="eastAsia" w:ascii="宋体" w:hAnsi="宋体" w:eastAsia="宋体" w:cs="宋体"/>
                <w:color w:val="000000" w:themeColor="text1"/>
                <w:kern w:val="0"/>
                <w:sz w:val="24"/>
                <w:szCs w:val="24"/>
                <w14:textFill>
                  <w14:solidFill>
                    <w14:schemeClr w14:val="tx1"/>
                  </w14:solidFill>
                </w14:textFill>
              </w:rPr>
              <w:t>分；方案较详细，可操作性较强，基本满足项目需要，略有欠缺需要完善的，得</w:t>
            </w:r>
            <w:r>
              <w:rPr>
                <w:rFonts w:hint="eastAsia" w:ascii="宋体" w:hAnsi="宋体" w:cs="宋体"/>
                <w:color w:val="000000" w:themeColor="text1"/>
                <w:kern w:val="0"/>
                <w:sz w:val="24"/>
                <w:szCs w:val="24"/>
                <w:lang w:val="en-US" w:eastAsia="zh-CN"/>
                <w14:textFill>
                  <w14:solidFill>
                    <w14:schemeClr w14:val="tx1"/>
                  </w14:solidFill>
                </w14:textFill>
              </w:rPr>
              <w:t>5</w:t>
            </w:r>
            <w:r>
              <w:rPr>
                <w:rFonts w:hint="eastAsia" w:ascii="宋体" w:hAnsi="宋体" w:eastAsia="宋体" w:cs="宋体"/>
                <w:color w:val="000000" w:themeColor="text1"/>
                <w:kern w:val="0"/>
                <w:sz w:val="24"/>
                <w:szCs w:val="24"/>
                <w14:textFill>
                  <w14:solidFill>
                    <w14:schemeClr w14:val="tx1"/>
                  </w14:solidFill>
                </w14:textFill>
              </w:rPr>
              <w:t>分；方案简单粗略，可操作性差，基本不能满足项目需要的，</w:t>
            </w:r>
            <w:r>
              <w:rPr>
                <w:rFonts w:hint="eastAsia" w:ascii="宋体" w:hAnsi="宋体" w:cs="宋体"/>
                <w:color w:val="000000" w:themeColor="text1"/>
                <w:kern w:val="0"/>
                <w:sz w:val="24"/>
                <w:szCs w:val="24"/>
                <w:lang w:val="en-US" w:eastAsia="zh-CN"/>
                <w14:textFill>
                  <w14:solidFill>
                    <w14:schemeClr w14:val="tx1"/>
                  </w14:solidFill>
                </w14:textFill>
              </w:rPr>
              <w:t>2</w:t>
            </w:r>
            <w:r>
              <w:rPr>
                <w:rFonts w:hint="eastAsia" w:ascii="宋体" w:hAnsi="宋体" w:eastAsia="宋体" w:cs="宋体"/>
                <w:color w:val="000000" w:themeColor="text1"/>
                <w:kern w:val="0"/>
                <w:sz w:val="24"/>
                <w:szCs w:val="24"/>
                <w14:textFill>
                  <w14:solidFill>
                    <w14:schemeClr w14:val="tx1"/>
                  </w14:solidFill>
                </w14:textFill>
              </w:rPr>
              <w:t>分；未描述的或者完全不能满足项目需要的，得0分。</w:t>
            </w:r>
          </w:p>
        </w:tc>
        <w:tc>
          <w:tcPr>
            <w:tcW w:w="1009" w:type="dxa"/>
            <w:tcBorders>
              <w:top w:val="nil"/>
              <w:left w:val="nil"/>
              <w:bottom w:val="single" w:color="auto" w:sz="4" w:space="0"/>
              <w:right w:val="single" w:color="auto" w:sz="4" w:space="0"/>
            </w:tcBorders>
            <w:vAlign w:val="center"/>
          </w:tcPr>
          <w:p w14:paraId="56467033">
            <w:pPr>
              <w:keepNext w:val="0"/>
              <w:keepLines w:val="0"/>
              <w:pageBreakBefore w:val="0"/>
              <w:kinsoku/>
              <w:wordWrap/>
              <w:overflowPunct/>
              <w:topLinePunct w:val="0"/>
              <w:autoSpaceDE/>
              <w:autoSpaceDN/>
              <w:bidi w:val="0"/>
              <w:adjustRightInd/>
              <w:snapToGrid/>
              <w:spacing w:line="0" w:lineRule="atLeast"/>
              <w:ind w:left="0" w:leftChars="0" w:right="0" w:rightChars="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8分</w:t>
            </w:r>
          </w:p>
        </w:tc>
      </w:tr>
      <w:tr w14:paraId="277DF121">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110" w:hRule="atLeast"/>
        </w:trPr>
        <w:tc>
          <w:tcPr>
            <w:tcW w:w="1245" w:type="dxa"/>
            <w:tcBorders>
              <w:top w:val="single" w:color="auto" w:sz="4" w:space="0"/>
              <w:left w:val="single" w:color="auto" w:sz="4" w:space="0"/>
              <w:bottom w:val="single" w:color="auto" w:sz="4" w:space="0"/>
              <w:right w:val="single" w:color="auto" w:sz="4" w:space="0"/>
            </w:tcBorders>
            <w:vAlign w:val="center"/>
          </w:tcPr>
          <w:p w14:paraId="4A235FC3">
            <w:pPr>
              <w:keepNext w:val="0"/>
              <w:keepLines w:val="0"/>
              <w:pageBreakBefore w:val="0"/>
              <w:kinsoku/>
              <w:wordWrap/>
              <w:overflowPunct/>
              <w:topLinePunct w:val="0"/>
              <w:autoSpaceDE/>
              <w:autoSpaceDN/>
              <w:bidi w:val="0"/>
              <w:adjustRightInd/>
              <w:snapToGrid/>
              <w:spacing w:line="0" w:lineRule="atLeast"/>
              <w:ind w:left="0" w:right="0" w:rightChars="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履约能力</w:t>
            </w:r>
          </w:p>
        </w:tc>
        <w:tc>
          <w:tcPr>
            <w:tcW w:w="7303" w:type="dxa"/>
            <w:tcBorders>
              <w:top w:val="single" w:color="auto" w:sz="4" w:space="0"/>
              <w:left w:val="nil"/>
              <w:bottom w:val="single" w:color="auto" w:sz="4" w:space="0"/>
              <w:right w:val="single" w:color="auto" w:sz="4" w:space="0"/>
            </w:tcBorders>
            <w:vAlign w:val="center"/>
          </w:tcPr>
          <w:p w14:paraId="61C8800D">
            <w:pPr>
              <w:keepNext w:val="0"/>
              <w:keepLines w:val="0"/>
              <w:pageBreakBefore w:val="0"/>
              <w:tabs>
                <w:tab w:val="left" w:pos="2520"/>
              </w:tabs>
              <w:kinsoku/>
              <w:wordWrap/>
              <w:overflowPunct/>
              <w:topLinePunct w:val="0"/>
              <w:autoSpaceDE/>
              <w:autoSpaceDN/>
              <w:bidi w:val="0"/>
              <w:adjustRightInd/>
              <w:snapToGrid/>
              <w:spacing w:line="240" w:lineRule="auto"/>
              <w:ind w:left="0" w:right="0" w:right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企业注册会计师人数，供应商在拥有1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名执业注册会计师基础上得</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分，每增加1人得2分，满分1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分。（响应文件中提供上述人员的注册会计师执业资格证书的复印件,及在职期间由社会保险机构出具的社保缴费证明</w:t>
            </w:r>
            <w:r>
              <w:rPr>
                <w:rFonts w:hint="eastAsia" w:ascii="宋体" w:hAnsi="宋体" w:cs="宋体"/>
                <w:color w:val="auto"/>
                <w:sz w:val="24"/>
                <w:szCs w:val="24"/>
                <w:highlight w:val="none"/>
                <w:lang w:val="en-US" w:eastAsia="zh-CN"/>
              </w:rPr>
              <w:t>；退休人员须提供单位聘用合同和退休证明，否则视为未提供社保证明；以上证明材料如未提供，该人员不得分</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w:t>
            </w:r>
          </w:p>
        </w:tc>
        <w:tc>
          <w:tcPr>
            <w:tcW w:w="1009" w:type="dxa"/>
            <w:tcBorders>
              <w:top w:val="nil"/>
              <w:left w:val="nil"/>
              <w:bottom w:val="single" w:color="auto" w:sz="4" w:space="0"/>
              <w:right w:val="single" w:color="auto" w:sz="4" w:space="0"/>
            </w:tcBorders>
            <w:vAlign w:val="center"/>
          </w:tcPr>
          <w:p w14:paraId="7451439A">
            <w:pPr>
              <w:keepNext w:val="0"/>
              <w:keepLines w:val="0"/>
              <w:pageBreakBefore w:val="0"/>
              <w:kinsoku/>
              <w:wordWrap/>
              <w:overflowPunct/>
              <w:topLinePunct w:val="0"/>
              <w:autoSpaceDE/>
              <w:autoSpaceDN/>
              <w:bidi w:val="0"/>
              <w:adjustRightInd/>
              <w:snapToGrid/>
              <w:spacing w:line="0" w:lineRule="atLeast"/>
              <w:ind w:left="0" w:leftChars="0" w:right="0" w:right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12分</w:t>
            </w:r>
          </w:p>
        </w:tc>
      </w:tr>
      <w:tr w14:paraId="02DB172B">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601" w:hRule="atLeast"/>
        </w:trPr>
        <w:tc>
          <w:tcPr>
            <w:tcW w:w="1245" w:type="dxa"/>
            <w:vMerge w:val="restart"/>
            <w:tcBorders>
              <w:top w:val="single" w:color="auto" w:sz="4" w:space="0"/>
              <w:left w:val="single" w:color="auto" w:sz="4" w:space="0"/>
              <w:right w:val="single" w:color="auto" w:sz="4" w:space="0"/>
            </w:tcBorders>
            <w:vAlign w:val="center"/>
          </w:tcPr>
          <w:p w14:paraId="3C226AD4">
            <w:pPr>
              <w:keepNext w:val="0"/>
              <w:keepLines w:val="0"/>
              <w:pageBreakBefore w:val="0"/>
              <w:kinsoku/>
              <w:wordWrap/>
              <w:overflowPunct/>
              <w:topLinePunct w:val="0"/>
              <w:autoSpaceDE/>
              <w:autoSpaceDN/>
              <w:bidi w:val="0"/>
              <w:adjustRightInd/>
              <w:snapToGrid/>
              <w:spacing w:line="0" w:lineRule="atLeast"/>
              <w:ind w:left="0" w:right="0" w:rightChars="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团队人员</w:t>
            </w:r>
          </w:p>
        </w:tc>
        <w:tc>
          <w:tcPr>
            <w:tcW w:w="7303" w:type="dxa"/>
            <w:tcBorders>
              <w:top w:val="single" w:color="auto" w:sz="4" w:space="0"/>
              <w:left w:val="single" w:color="auto" w:sz="4" w:space="0"/>
              <w:bottom w:val="single" w:color="auto" w:sz="4" w:space="0"/>
              <w:right w:val="single" w:color="auto" w:sz="4" w:space="0"/>
            </w:tcBorders>
            <w:vAlign w:val="center"/>
          </w:tcPr>
          <w:p w14:paraId="69DCEA4A">
            <w:pPr>
              <w:keepNext w:val="0"/>
              <w:keepLines w:val="0"/>
              <w:pageBreakBefore w:val="0"/>
              <w:tabs>
                <w:tab w:val="left" w:pos="2520"/>
              </w:tabs>
              <w:kinsoku/>
              <w:wordWrap/>
              <w:overflowPunct/>
              <w:topLinePunct w:val="0"/>
              <w:autoSpaceDE/>
              <w:autoSpaceDN/>
              <w:bidi w:val="0"/>
              <w:adjustRightInd/>
              <w:snapToGrid/>
              <w:spacing w:line="240" w:lineRule="auto"/>
              <w:ind w:left="0" w:right="0" w:rightChars="0"/>
              <w:jc w:val="left"/>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（1）拟委派的项目负责人具有高级职称得2分。</w:t>
            </w:r>
          </w:p>
        </w:tc>
        <w:tc>
          <w:tcPr>
            <w:tcW w:w="1009" w:type="dxa"/>
            <w:tcBorders>
              <w:top w:val="single" w:color="auto" w:sz="4" w:space="0"/>
              <w:left w:val="nil"/>
              <w:bottom w:val="single" w:color="auto" w:sz="4" w:space="0"/>
              <w:right w:val="single" w:color="auto" w:sz="4" w:space="0"/>
            </w:tcBorders>
            <w:vAlign w:val="center"/>
          </w:tcPr>
          <w:p w14:paraId="457F7CCB">
            <w:pPr>
              <w:keepNext w:val="0"/>
              <w:keepLines w:val="0"/>
              <w:pageBreakBefore w:val="0"/>
              <w:kinsoku/>
              <w:wordWrap/>
              <w:overflowPunct/>
              <w:topLinePunct w:val="0"/>
              <w:autoSpaceDE/>
              <w:autoSpaceDN/>
              <w:bidi w:val="0"/>
              <w:adjustRightInd/>
              <w:snapToGrid/>
              <w:spacing w:line="0" w:lineRule="atLeast"/>
              <w:ind w:left="0" w:leftChars="0" w:right="0" w:right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w:t>
            </w:r>
          </w:p>
        </w:tc>
      </w:tr>
      <w:tr w14:paraId="2D3790E5">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050" w:hRule="atLeast"/>
        </w:trPr>
        <w:tc>
          <w:tcPr>
            <w:tcW w:w="1245" w:type="dxa"/>
            <w:vMerge w:val="continue"/>
            <w:tcBorders>
              <w:left w:val="single" w:color="auto" w:sz="4" w:space="0"/>
              <w:bottom w:val="single" w:color="auto" w:sz="4" w:space="0"/>
              <w:right w:val="single" w:color="auto" w:sz="4" w:space="0"/>
            </w:tcBorders>
            <w:vAlign w:val="center"/>
          </w:tcPr>
          <w:p w14:paraId="36A7BF73">
            <w:pPr>
              <w:keepNext w:val="0"/>
              <w:keepLines w:val="0"/>
              <w:pageBreakBefore w:val="0"/>
              <w:kinsoku/>
              <w:wordWrap/>
              <w:overflowPunct/>
              <w:topLinePunct w:val="0"/>
              <w:autoSpaceDE/>
              <w:autoSpaceDN/>
              <w:bidi w:val="0"/>
              <w:adjustRightInd/>
              <w:snapToGrid/>
              <w:spacing w:line="0" w:lineRule="atLeast"/>
              <w:ind w:left="0" w:right="0" w:rightChars="0"/>
              <w:jc w:val="both"/>
              <w:textAlignment w:val="auto"/>
              <w:rPr>
                <w:rFonts w:hint="eastAsia" w:ascii="宋体" w:hAnsi="宋体" w:eastAsia="宋体" w:cs="宋体"/>
                <w:sz w:val="24"/>
                <w:szCs w:val="24"/>
                <w:lang w:val="en-US" w:eastAsia="zh-CN"/>
              </w:rPr>
            </w:pPr>
          </w:p>
        </w:tc>
        <w:tc>
          <w:tcPr>
            <w:tcW w:w="7303" w:type="dxa"/>
            <w:tcBorders>
              <w:top w:val="single" w:color="auto" w:sz="4" w:space="0"/>
              <w:left w:val="nil"/>
              <w:bottom w:val="single" w:color="auto" w:sz="4" w:space="0"/>
              <w:right w:val="single" w:color="auto" w:sz="4" w:space="0"/>
            </w:tcBorders>
            <w:vAlign w:val="center"/>
          </w:tcPr>
          <w:p w14:paraId="7DC63FCC">
            <w:pPr>
              <w:keepNext w:val="0"/>
              <w:keepLines w:val="0"/>
              <w:pageBreakBefore w:val="0"/>
              <w:tabs>
                <w:tab w:val="left" w:pos="2520"/>
              </w:tabs>
              <w:kinsoku/>
              <w:wordWrap/>
              <w:overflowPunct/>
              <w:topLinePunct w:val="0"/>
              <w:autoSpaceDE/>
              <w:autoSpaceDN/>
              <w:bidi w:val="0"/>
              <w:adjustRightInd/>
              <w:snapToGrid/>
              <w:spacing w:line="240" w:lineRule="auto"/>
              <w:ind w:left="0" w:right="0" w:right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拟投入团队人员除项目负责人外，每提供一名具有高级职称的人员得2分，每提供一名具有中级职称的人员得1分，本项最多得6分。（团队人员须为投标人本单位正式员工，并须提供投标人为其缴纳的近半年社保证明</w:t>
            </w:r>
            <w:r>
              <w:rPr>
                <w:rFonts w:hint="eastAsia" w:ascii="宋体" w:hAnsi="宋体" w:cs="宋体"/>
                <w:color w:val="auto"/>
                <w:sz w:val="24"/>
                <w:szCs w:val="24"/>
                <w:highlight w:val="none"/>
                <w:lang w:val="en-US" w:eastAsia="zh-CN"/>
              </w:rPr>
              <w:t>；退休人员须提供单位聘用合同和退休证明，否则视为未提供社保证明；以上证明材料如未提供，该人员不得分</w:t>
            </w:r>
            <w:r>
              <w:rPr>
                <w:rFonts w:hint="eastAsia" w:ascii="宋体" w:hAnsi="宋体" w:eastAsia="宋体" w:cs="宋体"/>
                <w:color w:val="auto"/>
                <w:sz w:val="24"/>
                <w:szCs w:val="24"/>
                <w:highlight w:val="none"/>
                <w:lang w:val="en-US" w:eastAsia="zh-CN"/>
              </w:rPr>
              <w:t>。）</w:t>
            </w:r>
          </w:p>
        </w:tc>
        <w:tc>
          <w:tcPr>
            <w:tcW w:w="1009" w:type="dxa"/>
            <w:tcBorders>
              <w:top w:val="single" w:color="auto" w:sz="4" w:space="0"/>
              <w:left w:val="nil"/>
              <w:bottom w:val="single" w:color="auto" w:sz="4" w:space="0"/>
              <w:right w:val="single" w:color="auto" w:sz="4" w:space="0"/>
            </w:tcBorders>
            <w:vAlign w:val="center"/>
          </w:tcPr>
          <w:p w14:paraId="2D2907A4">
            <w:pPr>
              <w:keepNext w:val="0"/>
              <w:keepLines w:val="0"/>
              <w:pageBreakBefore w:val="0"/>
              <w:kinsoku/>
              <w:wordWrap/>
              <w:overflowPunct/>
              <w:topLinePunct w:val="0"/>
              <w:autoSpaceDE/>
              <w:autoSpaceDN/>
              <w:bidi w:val="0"/>
              <w:adjustRightInd/>
              <w:snapToGrid/>
              <w:spacing w:line="0" w:lineRule="atLeast"/>
              <w:ind w:left="0" w:leftChars="0" w:right="0" w:right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6分</w:t>
            </w:r>
          </w:p>
        </w:tc>
      </w:tr>
      <w:tr w14:paraId="7FA2CB96">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461" w:hRule="atLeast"/>
        </w:trPr>
        <w:tc>
          <w:tcPr>
            <w:tcW w:w="1245" w:type="dxa"/>
            <w:vMerge w:val="restart"/>
            <w:tcBorders>
              <w:top w:val="single" w:color="auto" w:sz="4" w:space="0"/>
              <w:left w:val="single" w:color="auto" w:sz="4" w:space="0"/>
              <w:right w:val="single" w:color="auto" w:sz="4" w:space="0"/>
            </w:tcBorders>
            <w:vAlign w:val="center"/>
          </w:tcPr>
          <w:p w14:paraId="722F8E89">
            <w:pPr>
              <w:keepNext w:val="0"/>
              <w:keepLines w:val="0"/>
              <w:pageBreakBefore w:val="0"/>
              <w:kinsoku/>
              <w:wordWrap/>
              <w:overflowPunct/>
              <w:topLinePunct w:val="0"/>
              <w:autoSpaceDE/>
              <w:autoSpaceDN/>
              <w:bidi w:val="0"/>
              <w:adjustRightInd/>
              <w:snapToGrid/>
              <w:spacing w:line="0" w:lineRule="atLeast"/>
              <w:ind w:left="0" w:leftChars="0" w:right="0" w:right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业绩</w:t>
            </w:r>
          </w:p>
        </w:tc>
        <w:tc>
          <w:tcPr>
            <w:tcW w:w="7303" w:type="dxa"/>
            <w:tcBorders>
              <w:top w:val="single" w:color="auto" w:sz="4" w:space="0"/>
              <w:left w:val="nil"/>
              <w:bottom w:val="single" w:color="auto" w:sz="4" w:space="0"/>
              <w:right w:val="single" w:color="auto" w:sz="4" w:space="0"/>
            </w:tcBorders>
            <w:vAlign w:val="center"/>
          </w:tcPr>
          <w:p w14:paraId="4832116D">
            <w:pPr>
              <w:keepNext w:val="0"/>
              <w:keepLines w:val="0"/>
              <w:pageBreakBefore w:val="0"/>
              <w:tabs>
                <w:tab w:val="left" w:pos="2520"/>
              </w:tabs>
              <w:kinsoku/>
              <w:wordWrap/>
              <w:overflowPunct/>
              <w:topLinePunct w:val="0"/>
              <w:autoSpaceDE/>
              <w:autoSpaceDN/>
              <w:bidi w:val="0"/>
              <w:adjustRightInd/>
              <w:snapToGrid/>
              <w:spacing w:line="240" w:lineRule="auto"/>
              <w:ind w:left="0" w:leftChars="0" w:right="0" w:right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根据供应商近三年(</w:t>
            </w:r>
            <w:r>
              <w:rPr>
                <w:rFonts w:hint="eastAsia" w:ascii="宋体" w:hAnsi="宋体" w:eastAsia="宋体" w:cs="宋体"/>
                <w:color w:val="auto"/>
                <w:sz w:val="24"/>
                <w:szCs w:val="24"/>
                <w:highlight w:val="none"/>
                <w:lang w:val="en-US" w:eastAsia="zh-CN"/>
              </w:rPr>
              <w:t>2023年7月1日至今</w:t>
            </w:r>
            <w:r>
              <w:rPr>
                <w:rFonts w:hint="eastAsia" w:ascii="宋体" w:hAnsi="宋体" w:eastAsia="宋体" w:cs="宋体"/>
                <w:color w:val="auto"/>
                <w:sz w:val="24"/>
                <w:szCs w:val="24"/>
                <w:highlight w:val="none"/>
              </w:rPr>
              <w:t>)以来完成的类似</w:t>
            </w:r>
            <w:r>
              <w:rPr>
                <w:rFonts w:hint="eastAsia" w:ascii="宋体" w:hAnsi="宋体" w:cs="宋体"/>
                <w:color w:val="auto"/>
                <w:sz w:val="24"/>
                <w:szCs w:val="24"/>
                <w:highlight w:val="none"/>
                <w:lang w:val="en-US" w:eastAsia="zh-CN"/>
              </w:rPr>
              <w:t>财政资金</w:t>
            </w:r>
            <w:r>
              <w:rPr>
                <w:rFonts w:hint="eastAsia" w:ascii="宋体" w:hAnsi="宋体" w:eastAsia="宋体" w:cs="宋体"/>
                <w:color w:val="auto"/>
                <w:sz w:val="24"/>
                <w:szCs w:val="24"/>
                <w:highlight w:val="none"/>
                <w:lang w:val="en-US" w:eastAsia="zh-CN"/>
              </w:rPr>
              <w:t>绩效评价项目案例，每提供一个得3分，最高得12分</w:t>
            </w:r>
            <w:r>
              <w:rPr>
                <w:rFonts w:hint="eastAsia" w:ascii="宋体" w:hAnsi="宋体" w:eastAsia="宋体" w:cs="宋体"/>
                <w:color w:val="auto"/>
                <w:sz w:val="24"/>
                <w:szCs w:val="24"/>
                <w:highlight w:val="none"/>
              </w:rPr>
              <w:t>。（响应文件中提供合同复印件</w:t>
            </w:r>
            <w:r>
              <w:rPr>
                <w:rFonts w:hint="eastAsia" w:ascii="宋体" w:hAnsi="宋体" w:eastAsia="宋体" w:cs="宋体"/>
                <w:color w:val="auto"/>
                <w:sz w:val="24"/>
                <w:szCs w:val="24"/>
                <w:highlight w:val="none"/>
                <w:lang w:val="en-US" w:eastAsia="zh-CN"/>
              </w:rPr>
              <w:t>并加盖公章</w:t>
            </w:r>
            <w:r>
              <w:rPr>
                <w:rFonts w:hint="eastAsia" w:ascii="宋体" w:hAnsi="宋体" w:eastAsia="宋体" w:cs="宋体"/>
                <w:color w:val="auto"/>
                <w:sz w:val="24"/>
                <w:szCs w:val="24"/>
                <w:highlight w:val="none"/>
              </w:rPr>
              <w:t>，业绩合同中</w:t>
            </w:r>
            <w:r>
              <w:rPr>
                <w:rFonts w:hint="eastAsia" w:ascii="宋体" w:hAnsi="宋体" w:eastAsia="宋体" w:cs="宋体"/>
                <w:color w:val="auto"/>
                <w:sz w:val="24"/>
                <w:szCs w:val="24"/>
                <w:highlight w:val="none"/>
                <w:lang w:val="en-US" w:eastAsia="zh-CN"/>
              </w:rPr>
              <w:t>主</w:t>
            </w:r>
            <w:r>
              <w:rPr>
                <w:rFonts w:hint="eastAsia" w:ascii="宋体" w:hAnsi="宋体" w:eastAsia="宋体" w:cs="宋体"/>
                <w:color w:val="auto"/>
                <w:sz w:val="24"/>
                <w:szCs w:val="24"/>
                <w:highlight w:val="none"/>
              </w:rPr>
              <w:t>要内容、标的等需清晰可见，未提供或提供不完整或字迹模糊不清不得分）</w:t>
            </w:r>
          </w:p>
        </w:tc>
        <w:tc>
          <w:tcPr>
            <w:tcW w:w="1009" w:type="dxa"/>
            <w:tcBorders>
              <w:top w:val="single" w:color="auto" w:sz="4" w:space="0"/>
              <w:left w:val="nil"/>
              <w:bottom w:val="single" w:color="auto" w:sz="4" w:space="0"/>
              <w:right w:val="single" w:color="auto" w:sz="4" w:space="0"/>
            </w:tcBorders>
            <w:vAlign w:val="center"/>
          </w:tcPr>
          <w:p w14:paraId="44748B17">
            <w:pPr>
              <w:keepNext w:val="0"/>
              <w:keepLines w:val="0"/>
              <w:pageBreakBefore w:val="0"/>
              <w:kinsoku/>
              <w:wordWrap/>
              <w:overflowPunct/>
              <w:topLinePunct w:val="0"/>
              <w:autoSpaceDE/>
              <w:autoSpaceDN/>
              <w:bidi w:val="0"/>
              <w:adjustRightInd/>
              <w:snapToGrid/>
              <w:spacing w:line="0" w:lineRule="atLeast"/>
              <w:ind w:left="0" w:leftChars="0" w:right="0" w:right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lang w:eastAsia="zh-CN"/>
              </w:rPr>
              <w:t>分</w:t>
            </w:r>
          </w:p>
        </w:tc>
      </w:tr>
      <w:tr w14:paraId="2F222BCB">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649" w:hRule="atLeast"/>
        </w:trPr>
        <w:tc>
          <w:tcPr>
            <w:tcW w:w="1245" w:type="dxa"/>
            <w:vMerge w:val="continue"/>
            <w:tcBorders>
              <w:left w:val="single" w:color="auto" w:sz="4" w:space="0"/>
              <w:bottom w:val="single" w:color="auto" w:sz="4" w:space="0"/>
              <w:right w:val="single" w:color="auto" w:sz="4" w:space="0"/>
            </w:tcBorders>
            <w:vAlign w:val="center"/>
          </w:tcPr>
          <w:p w14:paraId="4CF28371">
            <w:pPr>
              <w:keepNext w:val="0"/>
              <w:keepLines w:val="0"/>
              <w:pageBreakBefore w:val="0"/>
              <w:kinsoku/>
              <w:wordWrap/>
              <w:overflowPunct/>
              <w:topLinePunct w:val="0"/>
              <w:autoSpaceDE/>
              <w:autoSpaceDN/>
              <w:bidi w:val="0"/>
              <w:adjustRightInd/>
              <w:snapToGrid/>
              <w:spacing w:line="0" w:lineRule="atLeast"/>
              <w:ind w:left="0" w:leftChars="0" w:right="0" w:rightChars="0"/>
              <w:jc w:val="center"/>
              <w:textAlignment w:val="auto"/>
              <w:rPr>
                <w:rFonts w:hint="eastAsia" w:ascii="宋体" w:hAnsi="宋体" w:eastAsia="宋体" w:cs="宋体"/>
                <w:color w:val="auto"/>
                <w:sz w:val="24"/>
                <w:szCs w:val="24"/>
                <w:highlight w:val="none"/>
                <w:lang w:val="en-US" w:eastAsia="zh-CN"/>
              </w:rPr>
            </w:pPr>
          </w:p>
        </w:tc>
        <w:tc>
          <w:tcPr>
            <w:tcW w:w="7303" w:type="dxa"/>
            <w:tcBorders>
              <w:top w:val="single" w:color="auto" w:sz="4" w:space="0"/>
              <w:left w:val="nil"/>
              <w:bottom w:val="single" w:color="auto" w:sz="4" w:space="0"/>
              <w:right w:val="single" w:color="auto" w:sz="4" w:space="0"/>
            </w:tcBorders>
            <w:vAlign w:val="center"/>
          </w:tcPr>
          <w:p w14:paraId="3DD9760A">
            <w:pPr>
              <w:keepNext w:val="0"/>
              <w:keepLines w:val="0"/>
              <w:pageBreakBefore w:val="0"/>
              <w:tabs>
                <w:tab w:val="left" w:pos="2520"/>
              </w:tabs>
              <w:kinsoku/>
              <w:wordWrap/>
              <w:overflowPunct/>
              <w:topLinePunct w:val="0"/>
              <w:autoSpaceDE/>
              <w:autoSpaceDN/>
              <w:bidi w:val="0"/>
              <w:adjustRightInd/>
              <w:snapToGrid/>
              <w:spacing w:line="240" w:lineRule="auto"/>
              <w:ind w:left="0" w:right="0" w:right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拟委派的项目负责人</w:t>
            </w:r>
            <w:r>
              <w:rPr>
                <w:rFonts w:hint="eastAsia" w:ascii="宋体" w:hAnsi="宋体" w:eastAsia="宋体" w:cs="宋体"/>
                <w:color w:val="auto"/>
                <w:sz w:val="24"/>
                <w:szCs w:val="24"/>
                <w:highlight w:val="none"/>
              </w:rPr>
              <w:t>近三年(</w:t>
            </w:r>
            <w:r>
              <w:rPr>
                <w:rFonts w:hint="eastAsia" w:ascii="宋体" w:hAnsi="宋体" w:eastAsia="宋体" w:cs="宋体"/>
                <w:color w:val="auto"/>
                <w:sz w:val="24"/>
                <w:szCs w:val="24"/>
                <w:highlight w:val="none"/>
                <w:lang w:val="en-US" w:eastAsia="zh-CN"/>
              </w:rPr>
              <w:t>2023年7月1日至今</w:t>
            </w:r>
            <w:r>
              <w:rPr>
                <w:rFonts w:hint="eastAsia" w:ascii="宋体" w:hAnsi="宋体" w:eastAsia="宋体" w:cs="宋体"/>
                <w:color w:val="auto"/>
                <w:sz w:val="24"/>
                <w:szCs w:val="24"/>
                <w:highlight w:val="none"/>
              </w:rPr>
              <w:t>)以来完成的</w:t>
            </w:r>
            <w:r>
              <w:rPr>
                <w:rFonts w:hint="eastAsia" w:ascii="宋体" w:hAnsi="宋体" w:eastAsia="宋体" w:cs="宋体"/>
                <w:color w:val="auto"/>
                <w:sz w:val="24"/>
                <w:szCs w:val="24"/>
                <w:highlight w:val="none"/>
                <w:lang w:val="en-US" w:eastAsia="zh-CN"/>
              </w:rPr>
              <w:t>具有</w:t>
            </w:r>
            <w:r>
              <w:rPr>
                <w:rFonts w:hint="eastAsia" w:ascii="宋体" w:hAnsi="宋体" w:eastAsia="宋体" w:cs="宋体"/>
                <w:color w:val="auto"/>
                <w:sz w:val="24"/>
                <w:szCs w:val="24"/>
                <w:highlight w:val="none"/>
              </w:rPr>
              <w:t>类似</w:t>
            </w:r>
            <w:r>
              <w:rPr>
                <w:rFonts w:hint="eastAsia" w:ascii="宋体" w:hAnsi="宋体" w:cs="宋体"/>
                <w:color w:val="auto"/>
                <w:sz w:val="24"/>
                <w:szCs w:val="24"/>
                <w:highlight w:val="none"/>
                <w:lang w:val="en-US" w:eastAsia="zh-CN"/>
              </w:rPr>
              <w:t>财政资金</w:t>
            </w:r>
            <w:r>
              <w:rPr>
                <w:rFonts w:hint="eastAsia" w:ascii="宋体" w:hAnsi="宋体" w:eastAsia="宋体" w:cs="宋体"/>
                <w:color w:val="auto"/>
                <w:sz w:val="24"/>
                <w:szCs w:val="24"/>
                <w:highlight w:val="none"/>
                <w:lang w:val="en-US" w:eastAsia="zh-CN"/>
              </w:rPr>
              <w:t>绩效评价</w:t>
            </w:r>
            <w:r>
              <w:rPr>
                <w:rFonts w:hint="eastAsia" w:ascii="宋体" w:hAnsi="宋体" w:cs="宋体"/>
                <w:color w:val="auto"/>
                <w:sz w:val="24"/>
                <w:szCs w:val="24"/>
                <w:highlight w:val="none"/>
                <w:lang w:val="en-US" w:eastAsia="zh-CN"/>
              </w:rPr>
              <w:t>业绩</w:t>
            </w:r>
            <w:r>
              <w:rPr>
                <w:rFonts w:hint="eastAsia" w:ascii="宋体" w:hAnsi="宋体" w:eastAsia="宋体" w:cs="宋体"/>
                <w:color w:val="auto"/>
                <w:sz w:val="24"/>
                <w:szCs w:val="24"/>
                <w:highlight w:val="none"/>
                <w:lang w:val="en-US" w:eastAsia="zh-CN"/>
              </w:rPr>
              <w:t>（须提供相关证明文件加盖公章），每提供一份得2分，不提供不得分，最多得8分。（</w:t>
            </w:r>
            <w:r>
              <w:rPr>
                <w:rFonts w:hint="eastAsia" w:ascii="宋体" w:hAnsi="宋体" w:eastAsia="宋体" w:cs="宋体"/>
                <w:color w:val="auto"/>
                <w:sz w:val="24"/>
                <w:szCs w:val="24"/>
                <w:highlight w:val="none"/>
              </w:rPr>
              <w:t>响应文件中提供合同复印件</w:t>
            </w:r>
            <w:r>
              <w:rPr>
                <w:rFonts w:hint="eastAsia" w:ascii="宋体" w:hAnsi="宋体" w:eastAsia="宋体" w:cs="宋体"/>
                <w:color w:val="auto"/>
                <w:sz w:val="24"/>
                <w:szCs w:val="24"/>
                <w:highlight w:val="none"/>
                <w:lang w:val="en-US" w:eastAsia="zh-CN"/>
              </w:rPr>
              <w:t>并加盖公章</w:t>
            </w:r>
            <w:r>
              <w:rPr>
                <w:rFonts w:hint="eastAsia" w:ascii="宋体" w:hAnsi="宋体" w:eastAsia="宋体" w:cs="宋体"/>
                <w:color w:val="auto"/>
                <w:sz w:val="24"/>
                <w:szCs w:val="24"/>
                <w:highlight w:val="none"/>
              </w:rPr>
              <w:t>，业绩合同中</w:t>
            </w:r>
            <w:r>
              <w:rPr>
                <w:rFonts w:hint="eastAsia" w:ascii="宋体" w:hAnsi="宋体" w:eastAsia="宋体" w:cs="宋体"/>
                <w:color w:val="auto"/>
                <w:sz w:val="24"/>
                <w:szCs w:val="24"/>
                <w:highlight w:val="none"/>
                <w:lang w:val="en-US" w:eastAsia="zh-CN"/>
              </w:rPr>
              <w:t>主</w:t>
            </w:r>
            <w:r>
              <w:rPr>
                <w:rFonts w:hint="eastAsia" w:ascii="宋体" w:hAnsi="宋体" w:eastAsia="宋体" w:cs="宋体"/>
                <w:color w:val="auto"/>
                <w:sz w:val="24"/>
                <w:szCs w:val="24"/>
                <w:highlight w:val="none"/>
              </w:rPr>
              <w:t>要内容、标的等需清晰可见，未提供或提供不完整或字迹模糊不清不得分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w:t>
            </w:r>
          </w:p>
          <w:p w14:paraId="05C9CB5A">
            <w:pPr>
              <w:pStyle w:val="4"/>
              <w:spacing w:line="240" w:lineRule="auto"/>
              <w:rPr>
                <w:rFonts w:hint="eastAsia" w:ascii="宋体" w:hAnsi="宋体" w:eastAsia="宋体" w:cs="宋体"/>
              </w:rPr>
            </w:pPr>
            <w:r>
              <w:rPr>
                <w:rFonts w:hint="eastAsia" w:ascii="宋体" w:hAnsi="宋体" w:eastAsia="宋体" w:cs="宋体"/>
                <w:b/>
                <w:bCs/>
                <w:color w:val="auto"/>
                <w:kern w:val="2"/>
                <w:sz w:val="24"/>
                <w:szCs w:val="24"/>
                <w:highlight w:val="none"/>
                <w:lang w:val="en-US" w:eastAsia="zh-CN" w:bidi="ar-SA"/>
              </w:rPr>
              <w:t>（注：企业业绩和项目负责人业绩不可兼得。）</w:t>
            </w:r>
          </w:p>
        </w:tc>
        <w:tc>
          <w:tcPr>
            <w:tcW w:w="1009" w:type="dxa"/>
            <w:tcBorders>
              <w:top w:val="single" w:color="auto" w:sz="4" w:space="0"/>
              <w:left w:val="nil"/>
              <w:bottom w:val="single" w:color="auto" w:sz="4" w:space="0"/>
              <w:right w:val="single" w:color="auto" w:sz="4" w:space="0"/>
            </w:tcBorders>
            <w:vAlign w:val="center"/>
          </w:tcPr>
          <w:p w14:paraId="3011D68C">
            <w:pPr>
              <w:keepNext w:val="0"/>
              <w:keepLines w:val="0"/>
              <w:pageBreakBefore w:val="0"/>
              <w:kinsoku/>
              <w:wordWrap/>
              <w:overflowPunct/>
              <w:topLinePunct w:val="0"/>
              <w:autoSpaceDE/>
              <w:autoSpaceDN/>
              <w:bidi w:val="0"/>
              <w:adjustRightInd/>
              <w:snapToGrid/>
              <w:spacing w:line="0" w:lineRule="atLeast"/>
              <w:ind w:left="0" w:leftChars="0" w:right="0" w:right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8分</w:t>
            </w:r>
          </w:p>
        </w:tc>
      </w:tr>
      <w:tr w14:paraId="4464CA9F">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425" w:hRule="atLeast"/>
        </w:trPr>
        <w:tc>
          <w:tcPr>
            <w:tcW w:w="9557" w:type="dxa"/>
            <w:gridSpan w:val="3"/>
            <w:tcBorders>
              <w:top w:val="single" w:color="auto" w:sz="4" w:space="0"/>
              <w:left w:val="single" w:color="auto" w:sz="4" w:space="0"/>
              <w:bottom w:val="single" w:color="auto" w:sz="4" w:space="0"/>
              <w:right w:val="single" w:color="auto" w:sz="4" w:space="0"/>
            </w:tcBorders>
            <w:vAlign w:val="center"/>
          </w:tcPr>
          <w:p w14:paraId="4A41BCDC">
            <w:pPr>
              <w:keepNext w:val="0"/>
              <w:keepLines w:val="0"/>
              <w:pageBreakBefore w:val="0"/>
              <w:kinsoku/>
              <w:wordWrap/>
              <w:overflowPunct/>
              <w:topLinePunct w:val="0"/>
              <w:autoSpaceDE/>
              <w:autoSpaceDN/>
              <w:bidi w:val="0"/>
              <w:adjustRightInd/>
              <w:snapToGrid/>
              <w:spacing w:line="0" w:lineRule="atLeast"/>
              <w:ind w:left="0" w:right="0" w:rightChars="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合计</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100</w:t>
            </w:r>
            <w:r>
              <w:rPr>
                <w:rFonts w:hint="eastAsia" w:ascii="宋体" w:hAnsi="宋体" w:eastAsia="宋体" w:cs="宋体"/>
                <w:color w:val="auto"/>
                <w:sz w:val="24"/>
                <w:szCs w:val="24"/>
                <w:highlight w:val="none"/>
                <w:lang w:eastAsia="zh-CN"/>
              </w:rPr>
              <w:t>分</w:t>
            </w:r>
          </w:p>
        </w:tc>
      </w:tr>
    </w:tbl>
    <w:p w14:paraId="4068F503">
      <w:pPr>
        <w:textAlignment w:val="baseline"/>
        <w:rPr>
          <w:rFonts w:hint="eastAsia" w:ascii="宋体" w:hAnsi="宋体" w:eastAsia="宋体" w:cs="宋体"/>
          <w:b/>
          <w:bCs/>
        </w:rPr>
      </w:pPr>
    </w:p>
    <w:p w14:paraId="387C8D18">
      <w:pPr>
        <w:textAlignment w:val="baseline"/>
        <w:rPr>
          <w:rFonts w:hint="default" w:ascii="宋体" w:hAnsi="宋体" w:eastAsia="宋体" w:cs="宋体"/>
          <w:b/>
          <w:bCs/>
          <w:lang w:val="en-US" w:eastAsia="zh-CN"/>
        </w:rPr>
      </w:pPr>
      <w:r>
        <w:rPr>
          <w:rFonts w:hint="eastAsia" w:ascii="宋体" w:hAnsi="宋体" w:cs="宋体"/>
          <w:b/>
          <w:bCs/>
          <w:lang w:val="en-US" w:eastAsia="zh-CN"/>
        </w:rPr>
        <w:t>采购包2：</w:t>
      </w:r>
    </w:p>
    <w:tbl>
      <w:tblPr>
        <w:tblStyle w:val="21"/>
        <w:tblW w:w="9557" w:type="dxa"/>
        <w:tblInd w:w="105" w:type="dxa"/>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Layout w:type="fixed"/>
        <w:tblCellMar>
          <w:top w:w="0" w:type="dxa"/>
          <w:left w:w="108" w:type="dxa"/>
          <w:bottom w:w="0" w:type="dxa"/>
          <w:right w:w="108" w:type="dxa"/>
        </w:tblCellMar>
      </w:tblPr>
      <w:tblGrid>
        <w:gridCol w:w="1245"/>
        <w:gridCol w:w="7303"/>
        <w:gridCol w:w="1009"/>
      </w:tblGrid>
      <w:tr w14:paraId="1FDD0057">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461" w:hRule="atLeast"/>
        </w:trPr>
        <w:tc>
          <w:tcPr>
            <w:tcW w:w="1245" w:type="dxa"/>
            <w:tcBorders>
              <w:top w:val="single" w:color="auto" w:sz="4" w:space="0"/>
              <w:left w:val="single" w:color="auto" w:sz="4" w:space="0"/>
              <w:bottom w:val="single" w:color="auto" w:sz="4" w:space="0"/>
              <w:right w:val="single" w:color="auto" w:sz="4" w:space="0"/>
            </w:tcBorders>
            <w:vAlign w:val="center"/>
          </w:tcPr>
          <w:p w14:paraId="2A4617EB">
            <w:pPr>
              <w:keepNext w:val="0"/>
              <w:keepLines w:val="0"/>
              <w:pageBreakBefore w:val="0"/>
              <w:kinsoku/>
              <w:wordWrap/>
              <w:overflowPunct/>
              <w:topLinePunct w:val="0"/>
              <w:autoSpaceDE/>
              <w:autoSpaceDN/>
              <w:bidi w:val="0"/>
              <w:adjustRightInd/>
              <w:snapToGrid/>
              <w:spacing w:line="0" w:lineRule="atLeast"/>
              <w:ind w:left="0" w:right="0" w:rightChars="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评分项目</w:t>
            </w:r>
          </w:p>
        </w:tc>
        <w:tc>
          <w:tcPr>
            <w:tcW w:w="7303" w:type="dxa"/>
            <w:tcBorders>
              <w:top w:val="single" w:color="auto" w:sz="4" w:space="0"/>
              <w:left w:val="nil"/>
              <w:bottom w:val="single" w:color="auto" w:sz="4" w:space="0"/>
              <w:right w:val="single" w:color="auto" w:sz="4" w:space="0"/>
            </w:tcBorders>
            <w:vAlign w:val="center"/>
          </w:tcPr>
          <w:p w14:paraId="6A4A7AD6">
            <w:pPr>
              <w:keepNext w:val="0"/>
              <w:keepLines w:val="0"/>
              <w:pageBreakBefore w:val="0"/>
              <w:kinsoku/>
              <w:wordWrap/>
              <w:overflowPunct/>
              <w:topLinePunct w:val="0"/>
              <w:autoSpaceDE/>
              <w:autoSpaceDN/>
              <w:bidi w:val="0"/>
              <w:adjustRightInd/>
              <w:snapToGrid/>
              <w:spacing w:line="0" w:lineRule="atLeast"/>
              <w:ind w:left="0" w:right="0" w:rightChars="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评分标准</w:t>
            </w:r>
          </w:p>
        </w:tc>
        <w:tc>
          <w:tcPr>
            <w:tcW w:w="1009" w:type="dxa"/>
            <w:tcBorders>
              <w:top w:val="single" w:color="auto" w:sz="4" w:space="0"/>
              <w:left w:val="nil"/>
              <w:bottom w:val="single" w:color="auto" w:sz="4" w:space="0"/>
              <w:right w:val="single" w:color="auto" w:sz="4" w:space="0"/>
            </w:tcBorders>
            <w:vAlign w:val="center"/>
          </w:tcPr>
          <w:p w14:paraId="7F98652A">
            <w:pPr>
              <w:keepNext w:val="0"/>
              <w:keepLines w:val="0"/>
              <w:pageBreakBefore w:val="0"/>
              <w:kinsoku/>
              <w:wordWrap/>
              <w:overflowPunct/>
              <w:topLinePunct w:val="0"/>
              <w:autoSpaceDE/>
              <w:autoSpaceDN/>
              <w:bidi w:val="0"/>
              <w:adjustRightInd/>
              <w:snapToGrid/>
              <w:spacing w:line="0" w:lineRule="atLeast"/>
              <w:ind w:left="0" w:right="0" w:rightChars="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得分</w:t>
            </w:r>
          </w:p>
        </w:tc>
      </w:tr>
      <w:tr w14:paraId="1D1044BB">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409" w:hRule="atLeast"/>
        </w:trPr>
        <w:tc>
          <w:tcPr>
            <w:tcW w:w="1245" w:type="dxa"/>
            <w:tcBorders>
              <w:top w:val="nil"/>
              <w:left w:val="single" w:color="auto" w:sz="4" w:space="0"/>
              <w:bottom w:val="single" w:color="auto" w:sz="4" w:space="0"/>
              <w:right w:val="single" w:color="auto" w:sz="4" w:space="0"/>
            </w:tcBorders>
            <w:vAlign w:val="center"/>
          </w:tcPr>
          <w:p w14:paraId="0A73D13E">
            <w:pPr>
              <w:keepNext w:val="0"/>
              <w:keepLines w:val="0"/>
              <w:pageBreakBefore w:val="0"/>
              <w:kinsoku/>
              <w:wordWrap/>
              <w:overflowPunct/>
              <w:topLinePunct w:val="0"/>
              <w:autoSpaceDE/>
              <w:autoSpaceDN/>
              <w:bidi w:val="0"/>
              <w:adjustRightInd/>
              <w:snapToGrid/>
              <w:spacing w:line="0" w:lineRule="atLeast"/>
              <w:ind w:left="0" w:right="0" w:right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价格</w:t>
            </w:r>
          </w:p>
        </w:tc>
        <w:tc>
          <w:tcPr>
            <w:tcW w:w="7303" w:type="dxa"/>
            <w:tcBorders>
              <w:top w:val="nil"/>
              <w:left w:val="nil"/>
              <w:bottom w:val="single" w:color="auto" w:sz="4" w:space="0"/>
              <w:right w:val="single" w:color="auto" w:sz="4" w:space="0"/>
            </w:tcBorders>
            <w:vAlign w:val="center"/>
          </w:tcPr>
          <w:p w14:paraId="58C2ECBA">
            <w:pPr>
              <w:keepNext w:val="0"/>
              <w:keepLines w:val="0"/>
              <w:pageBreakBefore w:val="0"/>
              <w:tabs>
                <w:tab w:val="left" w:pos="2520"/>
              </w:tabs>
              <w:kinsoku/>
              <w:wordWrap/>
              <w:overflowPunct/>
              <w:topLinePunct w:val="0"/>
              <w:autoSpaceDE/>
              <w:autoSpaceDN/>
              <w:bidi w:val="0"/>
              <w:adjustRightInd/>
              <w:snapToGrid/>
              <w:spacing w:line="240" w:lineRule="auto"/>
              <w:ind w:left="0" w:right="0" w:right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价格分采用低价优先法计算，满足磋商文件要求，进入详细评审的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lang w:val="en-US" w:eastAsia="zh-CN"/>
              </w:rPr>
              <w:t>最终</w:t>
            </w:r>
            <w:r>
              <w:rPr>
                <w:rFonts w:hint="eastAsia" w:ascii="宋体" w:hAnsi="宋体" w:eastAsia="宋体" w:cs="宋体"/>
                <w:color w:val="auto"/>
                <w:sz w:val="24"/>
                <w:szCs w:val="24"/>
                <w:highlight w:val="none"/>
              </w:rPr>
              <w:t>报价的最低值为评</w:t>
            </w:r>
            <w:r>
              <w:rPr>
                <w:rFonts w:hint="eastAsia" w:ascii="宋体" w:hAnsi="宋体" w:eastAsia="宋体" w:cs="宋体"/>
                <w:color w:val="auto"/>
                <w:sz w:val="24"/>
                <w:szCs w:val="24"/>
                <w:highlight w:val="none"/>
                <w:lang w:eastAsia="zh-CN"/>
              </w:rPr>
              <w:t>审</w:t>
            </w:r>
            <w:r>
              <w:rPr>
                <w:rFonts w:hint="eastAsia" w:ascii="宋体" w:hAnsi="宋体" w:eastAsia="宋体" w:cs="宋体"/>
                <w:color w:val="auto"/>
                <w:sz w:val="24"/>
                <w:szCs w:val="24"/>
                <w:highlight w:val="none"/>
              </w:rPr>
              <w:t>基准价A值，A值为价格分的满分，即</w:t>
            </w: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分。其他</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的价格分统一按照以下公式计算：</w:t>
            </w:r>
            <w:r>
              <w:rPr>
                <w:rFonts w:hint="eastAsia" w:ascii="宋体" w:hAnsi="宋体" w:eastAsia="宋体" w:cs="宋体"/>
                <w:color w:val="auto"/>
                <w:sz w:val="24"/>
                <w:szCs w:val="24"/>
                <w:highlight w:val="none"/>
                <w:lang w:val="en-US" w:eastAsia="zh-CN"/>
              </w:rPr>
              <w:t>报价得分=（</w:t>
            </w:r>
            <w:r>
              <w:rPr>
                <w:rFonts w:hint="eastAsia" w:ascii="宋体" w:hAnsi="宋体" w:eastAsia="宋体" w:cs="宋体"/>
                <w:color w:val="auto"/>
                <w:sz w:val="24"/>
                <w:szCs w:val="24"/>
                <w:highlight w:val="none"/>
              </w:rPr>
              <w:t>A值</w:t>
            </w:r>
            <w:r>
              <w:rPr>
                <w:rFonts w:hint="eastAsia" w:ascii="宋体" w:hAnsi="宋体" w:eastAsia="宋体" w:cs="宋体"/>
                <w:color w:val="auto"/>
                <w:sz w:val="24"/>
                <w:szCs w:val="24"/>
                <w:highlight w:val="none"/>
                <w:lang w:val="en-US" w:eastAsia="zh-CN"/>
              </w:rPr>
              <w:t>/该供应商的最终报价）×1</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分。分值保留小数点后2位。</w:t>
            </w:r>
          </w:p>
        </w:tc>
        <w:tc>
          <w:tcPr>
            <w:tcW w:w="1009" w:type="dxa"/>
            <w:tcBorders>
              <w:top w:val="nil"/>
              <w:left w:val="nil"/>
              <w:bottom w:val="single" w:color="auto" w:sz="4" w:space="0"/>
              <w:right w:val="single" w:color="auto" w:sz="4" w:space="0"/>
            </w:tcBorders>
            <w:vAlign w:val="center"/>
          </w:tcPr>
          <w:p w14:paraId="12D58E34">
            <w:pPr>
              <w:keepNext w:val="0"/>
              <w:keepLines w:val="0"/>
              <w:pageBreakBefore w:val="0"/>
              <w:kinsoku/>
              <w:wordWrap/>
              <w:overflowPunct/>
              <w:topLinePunct w:val="0"/>
              <w:autoSpaceDE/>
              <w:autoSpaceDN/>
              <w:bidi w:val="0"/>
              <w:adjustRightInd/>
              <w:snapToGrid/>
              <w:spacing w:line="0" w:lineRule="atLeast"/>
              <w:ind w:left="0" w:right="0" w:rightChars="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分</w:t>
            </w:r>
          </w:p>
        </w:tc>
      </w:tr>
      <w:tr w14:paraId="05877DCA">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468" w:hRule="atLeast"/>
        </w:trPr>
        <w:tc>
          <w:tcPr>
            <w:tcW w:w="1245" w:type="dxa"/>
            <w:tcBorders>
              <w:top w:val="nil"/>
              <w:left w:val="single" w:color="auto" w:sz="4" w:space="0"/>
              <w:bottom w:val="single" w:color="auto" w:sz="4" w:space="0"/>
              <w:right w:val="single" w:color="auto" w:sz="4" w:space="0"/>
            </w:tcBorders>
            <w:vAlign w:val="center"/>
          </w:tcPr>
          <w:p w14:paraId="5368BCC6">
            <w:pPr>
              <w:keepNext w:val="0"/>
              <w:keepLines w:val="0"/>
              <w:pageBreakBefore w:val="0"/>
              <w:kinsoku/>
              <w:wordWrap/>
              <w:overflowPunct/>
              <w:topLinePunct w:val="0"/>
              <w:autoSpaceDE/>
              <w:autoSpaceDN/>
              <w:bidi w:val="0"/>
              <w:adjustRightInd/>
              <w:snapToGrid/>
              <w:spacing w:line="0" w:lineRule="atLeast"/>
              <w:ind w:left="0" w:right="0" w:right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实施方案</w:t>
            </w:r>
          </w:p>
        </w:tc>
        <w:tc>
          <w:tcPr>
            <w:tcW w:w="7303" w:type="dxa"/>
            <w:tcBorders>
              <w:top w:val="nil"/>
              <w:left w:val="nil"/>
              <w:bottom w:val="single" w:color="auto" w:sz="4" w:space="0"/>
              <w:right w:val="single" w:color="auto" w:sz="4" w:space="0"/>
            </w:tcBorders>
            <w:vAlign w:val="top"/>
          </w:tcPr>
          <w:p w14:paraId="67598A9E">
            <w:pPr>
              <w:keepNext w:val="0"/>
              <w:keepLines w:val="0"/>
              <w:pageBreakBefore w:val="0"/>
              <w:tabs>
                <w:tab w:val="left" w:pos="2520"/>
              </w:tabs>
              <w:kinsoku/>
              <w:wordWrap/>
              <w:overflowPunct/>
              <w:topLinePunct w:val="0"/>
              <w:autoSpaceDE/>
              <w:autoSpaceDN/>
              <w:bidi w:val="0"/>
              <w:adjustRightInd/>
              <w:snapToGrid/>
              <w:spacing w:line="240" w:lineRule="auto"/>
              <w:ind w:left="0" w:right="0" w:right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供应商根据本项目的工作范围、服务质量保证措施、责任划定、项目特点制定详细实施方案。实施方案具备较强的操作性、可行性，</w:t>
            </w:r>
            <w:r>
              <w:rPr>
                <w:rFonts w:hint="eastAsia" w:ascii="宋体" w:hAnsi="宋体" w:eastAsia="宋体" w:cs="宋体"/>
                <w:color w:val="auto"/>
                <w:sz w:val="24"/>
                <w:szCs w:val="24"/>
                <w:highlight w:val="none"/>
                <w:lang w:val="en-US" w:eastAsia="zh-CN"/>
              </w:rPr>
              <w:t>优于采购文件要求</w:t>
            </w:r>
            <w:r>
              <w:rPr>
                <w:rFonts w:hint="eastAsia" w:ascii="宋体" w:hAnsi="宋体" w:eastAsia="宋体" w:cs="宋体"/>
                <w:color w:val="auto"/>
                <w:sz w:val="24"/>
                <w:szCs w:val="24"/>
                <w:highlight w:val="none"/>
                <w:lang w:eastAsia="zh-CN"/>
              </w:rPr>
              <w:t>的得1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分；实施方案具备一定的操作性、可行性，满足</w:t>
            </w:r>
            <w:r>
              <w:rPr>
                <w:rFonts w:hint="eastAsia" w:ascii="宋体" w:hAnsi="宋体" w:eastAsia="宋体" w:cs="宋体"/>
                <w:color w:val="auto"/>
                <w:sz w:val="24"/>
                <w:szCs w:val="24"/>
                <w:highlight w:val="none"/>
                <w:lang w:val="en-US" w:eastAsia="zh-CN"/>
              </w:rPr>
              <w:t>采购文件要求</w:t>
            </w:r>
            <w:r>
              <w:rPr>
                <w:rFonts w:hint="eastAsia" w:ascii="宋体" w:hAnsi="宋体" w:eastAsia="宋体" w:cs="宋体"/>
                <w:color w:val="auto"/>
                <w:sz w:val="24"/>
                <w:szCs w:val="24"/>
                <w:highlight w:val="none"/>
                <w:lang w:eastAsia="zh-CN"/>
              </w:rPr>
              <w:t>的得</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分；实施方案操作性、可行性一般，</w:t>
            </w:r>
            <w:r>
              <w:rPr>
                <w:rFonts w:hint="eastAsia" w:ascii="宋体" w:hAnsi="宋体" w:eastAsia="宋体" w:cs="宋体"/>
                <w:color w:val="auto"/>
                <w:sz w:val="24"/>
                <w:szCs w:val="24"/>
                <w:highlight w:val="none"/>
                <w:lang w:val="en-US" w:eastAsia="zh-CN"/>
              </w:rPr>
              <w:t>低于采购文件要求</w:t>
            </w:r>
            <w:r>
              <w:rPr>
                <w:rFonts w:hint="eastAsia" w:ascii="宋体" w:hAnsi="宋体" w:eastAsia="宋体" w:cs="宋体"/>
                <w:color w:val="auto"/>
                <w:sz w:val="24"/>
                <w:szCs w:val="24"/>
                <w:highlight w:val="none"/>
                <w:lang w:eastAsia="zh-CN"/>
              </w:rPr>
              <w:t>的得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分；</w:t>
            </w:r>
            <w:r>
              <w:rPr>
                <w:rFonts w:hint="eastAsia" w:ascii="宋体" w:hAnsi="宋体" w:eastAsia="宋体" w:cs="宋体"/>
                <w:color w:val="auto"/>
                <w:sz w:val="24"/>
                <w:szCs w:val="24"/>
                <w:highlight w:val="none"/>
                <w:lang w:val="en-US" w:eastAsia="zh-CN"/>
              </w:rPr>
              <w:t>未提供不得分</w:t>
            </w:r>
            <w:r>
              <w:rPr>
                <w:rFonts w:hint="eastAsia" w:ascii="宋体" w:hAnsi="宋体" w:eastAsia="宋体" w:cs="宋体"/>
                <w:color w:val="auto"/>
                <w:sz w:val="24"/>
                <w:szCs w:val="24"/>
                <w:highlight w:val="none"/>
                <w:lang w:eastAsia="zh-CN"/>
              </w:rPr>
              <w:t>。</w:t>
            </w:r>
          </w:p>
        </w:tc>
        <w:tc>
          <w:tcPr>
            <w:tcW w:w="1009" w:type="dxa"/>
            <w:tcBorders>
              <w:top w:val="nil"/>
              <w:left w:val="nil"/>
              <w:bottom w:val="single" w:color="auto" w:sz="4" w:space="0"/>
              <w:right w:val="single" w:color="auto" w:sz="4" w:space="0"/>
            </w:tcBorders>
            <w:vAlign w:val="center"/>
          </w:tcPr>
          <w:p w14:paraId="53C02980">
            <w:pPr>
              <w:keepNext w:val="0"/>
              <w:keepLines w:val="0"/>
              <w:pageBreakBefore w:val="0"/>
              <w:kinsoku/>
              <w:wordWrap/>
              <w:overflowPunct/>
              <w:topLinePunct w:val="0"/>
              <w:autoSpaceDE/>
              <w:autoSpaceDN/>
              <w:bidi w:val="0"/>
              <w:adjustRightInd/>
              <w:snapToGrid/>
              <w:spacing w:line="0" w:lineRule="atLeast"/>
              <w:ind w:left="0" w:right="0" w:right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12分</w:t>
            </w:r>
          </w:p>
        </w:tc>
      </w:tr>
      <w:tr w14:paraId="7E4F715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232" w:hRule="atLeast"/>
        </w:trPr>
        <w:tc>
          <w:tcPr>
            <w:tcW w:w="1245" w:type="dxa"/>
            <w:tcBorders>
              <w:top w:val="single" w:color="auto" w:sz="4" w:space="0"/>
              <w:left w:val="single" w:color="auto" w:sz="4" w:space="0"/>
              <w:bottom w:val="single" w:color="auto" w:sz="4" w:space="0"/>
              <w:right w:val="single" w:color="auto" w:sz="4" w:space="0"/>
            </w:tcBorders>
            <w:vAlign w:val="center"/>
          </w:tcPr>
          <w:p w14:paraId="1CA40512">
            <w:pPr>
              <w:keepNext w:val="0"/>
              <w:keepLines w:val="0"/>
              <w:pageBreakBefore w:val="0"/>
              <w:kinsoku/>
              <w:wordWrap/>
              <w:overflowPunct/>
              <w:topLinePunct w:val="0"/>
              <w:autoSpaceDE/>
              <w:autoSpaceDN/>
              <w:bidi w:val="0"/>
              <w:adjustRightInd/>
              <w:snapToGrid/>
              <w:spacing w:line="0" w:lineRule="atLeast"/>
              <w:ind w:left="0" w:right="0" w:right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rPr>
              <w:t>内控制度</w:t>
            </w:r>
          </w:p>
        </w:tc>
        <w:tc>
          <w:tcPr>
            <w:tcW w:w="7303" w:type="dxa"/>
            <w:tcBorders>
              <w:top w:val="single" w:color="auto" w:sz="4" w:space="0"/>
              <w:left w:val="nil"/>
              <w:bottom w:val="single" w:color="auto" w:sz="4" w:space="0"/>
              <w:right w:val="single" w:color="auto" w:sz="4" w:space="0"/>
            </w:tcBorders>
            <w:vAlign w:val="top"/>
          </w:tcPr>
          <w:p w14:paraId="2A3F4F04">
            <w:pPr>
              <w:keepNext w:val="0"/>
              <w:keepLines w:val="0"/>
              <w:pageBreakBefore w:val="0"/>
              <w:tabs>
                <w:tab w:val="left" w:pos="2520"/>
              </w:tabs>
              <w:kinsoku/>
              <w:wordWrap/>
              <w:overflowPunct/>
              <w:topLinePunct w:val="0"/>
              <w:autoSpaceDE/>
              <w:autoSpaceDN/>
              <w:bidi w:val="0"/>
              <w:adjustRightInd/>
              <w:snapToGrid/>
              <w:spacing w:line="240" w:lineRule="auto"/>
              <w:ind w:left="0" w:right="0" w:right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根据供应商按照采购要求建立的组织机构图、工作流程图、档案管理制度等方面进行评审，组织到位，有利于提高服务的得</w:t>
            </w: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分，基本能适应本项目要求的得</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分，</w:t>
            </w:r>
            <w:r>
              <w:rPr>
                <w:rFonts w:hint="eastAsia" w:ascii="宋体" w:hAnsi="宋体" w:eastAsia="宋体" w:cs="宋体"/>
                <w:color w:val="auto"/>
                <w:sz w:val="24"/>
                <w:szCs w:val="24"/>
                <w:highlight w:val="none"/>
                <w:lang w:val="en-US" w:eastAsia="zh-CN"/>
              </w:rPr>
              <w:t>内控制度</w:t>
            </w:r>
            <w:r>
              <w:rPr>
                <w:rFonts w:hint="eastAsia" w:ascii="宋体" w:hAnsi="宋体" w:eastAsia="宋体" w:cs="宋体"/>
                <w:color w:val="auto"/>
                <w:sz w:val="24"/>
                <w:szCs w:val="24"/>
                <w:highlight w:val="none"/>
                <w:lang w:eastAsia="zh-CN"/>
              </w:rPr>
              <w:t>一般的得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分，</w:t>
            </w:r>
            <w:r>
              <w:rPr>
                <w:rFonts w:hint="eastAsia" w:ascii="宋体" w:hAnsi="宋体" w:eastAsia="宋体" w:cs="宋体"/>
                <w:color w:val="auto"/>
                <w:sz w:val="24"/>
                <w:szCs w:val="24"/>
                <w:highlight w:val="none"/>
                <w:lang w:val="en-US" w:eastAsia="zh-CN"/>
              </w:rPr>
              <w:t>不完善或未提供的不得</w:t>
            </w:r>
            <w:r>
              <w:rPr>
                <w:rFonts w:hint="eastAsia" w:ascii="宋体" w:hAnsi="宋体" w:eastAsia="宋体" w:cs="宋体"/>
                <w:color w:val="auto"/>
                <w:sz w:val="24"/>
                <w:szCs w:val="24"/>
                <w:highlight w:val="none"/>
                <w:lang w:eastAsia="zh-CN"/>
              </w:rPr>
              <w:t>分。</w:t>
            </w:r>
          </w:p>
        </w:tc>
        <w:tc>
          <w:tcPr>
            <w:tcW w:w="1009" w:type="dxa"/>
            <w:tcBorders>
              <w:top w:val="nil"/>
              <w:left w:val="nil"/>
              <w:bottom w:val="single" w:color="auto" w:sz="4" w:space="0"/>
              <w:right w:val="single" w:color="auto" w:sz="4" w:space="0"/>
            </w:tcBorders>
            <w:vAlign w:val="center"/>
          </w:tcPr>
          <w:p w14:paraId="0D352C0D">
            <w:pPr>
              <w:keepNext w:val="0"/>
              <w:keepLines w:val="0"/>
              <w:pageBreakBefore w:val="0"/>
              <w:kinsoku/>
              <w:wordWrap/>
              <w:overflowPunct/>
              <w:topLinePunct w:val="0"/>
              <w:autoSpaceDE/>
              <w:autoSpaceDN/>
              <w:bidi w:val="0"/>
              <w:adjustRightInd/>
              <w:snapToGrid/>
              <w:spacing w:line="0" w:lineRule="atLeast"/>
              <w:ind w:left="0" w:leftChars="0" w:right="0" w:right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w:t>
            </w:r>
          </w:p>
        </w:tc>
      </w:tr>
      <w:tr w14:paraId="3C00373B">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110" w:hRule="atLeast"/>
        </w:trPr>
        <w:tc>
          <w:tcPr>
            <w:tcW w:w="1245" w:type="dxa"/>
            <w:tcBorders>
              <w:top w:val="single" w:color="auto" w:sz="4" w:space="0"/>
              <w:left w:val="single" w:color="auto" w:sz="4" w:space="0"/>
              <w:bottom w:val="single" w:color="auto" w:sz="4" w:space="0"/>
              <w:right w:val="single" w:color="auto" w:sz="4" w:space="0"/>
            </w:tcBorders>
            <w:vAlign w:val="center"/>
          </w:tcPr>
          <w:p w14:paraId="12C35D04">
            <w:pPr>
              <w:keepNext w:val="0"/>
              <w:keepLines w:val="0"/>
              <w:pageBreakBefore w:val="0"/>
              <w:kinsoku/>
              <w:wordWrap/>
              <w:overflowPunct/>
              <w:topLinePunct w:val="0"/>
              <w:autoSpaceDE/>
              <w:autoSpaceDN/>
              <w:bidi w:val="0"/>
              <w:adjustRightInd/>
              <w:snapToGrid/>
              <w:spacing w:line="0" w:lineRule="atLeast"/>
              <w:ind w:left="0" w:right="0" w:rightChars="0"/>
              <w:jc w:val="center"/>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重难点分析</w:t>
            </w:r>
          </w:p>
        </w:tc>
        <w:tc>
          <w:tcPr>
            <w:tcW w:w="7303" w:type="dxa"/>
            <w:tcBorders>
              <w:top w:val="single" w:color="auto" w:sz="4" w:space="0"/>
              <w:left w:val="nil"/>
              <w:bottom w:val="single" w:color="auto" w:sz="4" w:space="0"/>
              <w:right w:val="single" w:color="auto" w:sz="4" w:space="0"/>
            </w:tcBorders>
            <w:vAlign w:val="center"/>
          </w:tcPr>
          <w:p w14:paraId="22DDE937">
            <w:pPr>
              <w:keepNext w:val="0"/>
              <w:keepLines w:val="0"/>
              <w:pageBreakBefore w:val="0"/>
              <w:tabs>
                <w:tab w:val="left" w:pos="2520"/>
              </w:tabs>
              <w:kinsoku/>
              <w:wordWrap/>
              <w:overflowPunct/>
              <w:topLinePunct w:val="0"/>
              <w:autoSpaceDE/>
              <w:autoSpaceDN/>
              <w:bidi w:val="0"/>
              <w:adjustRightInd/>
              <w:snapToGrid/>
              <w:spacing w:line="240" w:lineRule="auto"/>
              <w:ind w:left="0" w:right="0" w:rightChars="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供应商针对本项目实施过程中的重难点进行分析，并提出切实有效的措施。对关键重难点分析准确性及措施的合理性和有效性进行综合评分，</w:t>
            </w:r>
            <w:r>
              <w:rPr>
                <w:rFonts w:hint="eastAsia" w:ascii="宋体" w:hAnsi="宋体" w:eastAsia="宋体" w:cs="宋体"/>
                <w:color w:val="auto"/>
                <w:sz w:val="24"/>
                <w:szCs w:val="24"/>
                <w:highlight w:val="none"/>
                <w:lang w:val="en-US" w:eastAsia="zh-CN"/>
              </w:rPr>
              <w:t>措施有效、全面合理的</w:t>
            </w:r>
            <w:r>
              <w:rPr>
                <w:rFonts w:hint="eastAsia" w:ascii="宋体" w:hAnsi="宋体" w:eastAsia="宋体" w:cs="宋体"/>
                <w:color w:val="auto"/>
                <w:sz w:val="24"/>
                <w:szCs w:val="24"/>
                <w:highlight w:val="none"/>
                <w:lang w:eastAsia="zh-CN"/>
              </w:rPr>
              <w:t>得</w:t>
            </w: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lang w:eastAsia="zh-CN"/>
              </w:rPr>
              <w:t>分，</w:t>
            </w:r>
            <w:r>
              <w:rPr>
                <w:rFonts w:hint="eastAsia" w:ascii="宋体" w:hAnsi="宋体" w:eastAsia="宋体" w:cs="宋体"/>
                <w:color w:val="auto"/>
                <w:sz w:val="24"/>
                <w:szCs w:val="24"/>
                <w:highlight w:val="none"/>
                <w:lang w:val="en-US" w:eastAsia="zh-CN"/>
              </w:rPr>
              <w:t>措施基本合理的</w:t>
            </w:r>
            <w:r>
              <w:rPr>
                <w:rFonts w:hint="eastAsia" w:ascii="宋体" w:hAnsi="宋体" w:eastAsia="宋体" w:cs="宋体"/>
                <w:color w:val="auto"/>
                <w:sz w:val="24"/>
                <w:szCs w:val="24"/>
                <w:highlight w:val="none"/>
                <w:lang w:eastAsia="zh-CN"/>
              </w:rPr>
              <w:t>得</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分，</w:t>
            </w:r>
            <w:r>
              <w:rPr>
                <w:rFonts w:hint="eastAsia" w:ascii="宋体" w:hAnsi="宋体" w:eastAsia="宋体" w:cs="宋体"/>
                <w:color w:val="auto"/>
                <w:sz w:val="24"/>
                <w:szCs w:val="24"/>
                <w:highlight w:val="none"/>
                <w:lang w:val="en-US" w:eastAsia="zh-CN"/>
              </w:rPr>
              <w:t>措施</w:t>
            </w:r>
            <w:r>
              <w:rPr>
                <w:rFonts w:hint="eastAsia" w:ascii="宋体" w:hAnsi="宋体" w:eastAsia="宋体" w:cs="宋体"/>
                <w:color w:val="auto"/>
                <w:sz w:val="24"/>
                <w:szCs w:val="24"/>
                <w:highlight w:val="none"/>
                <w:lang w:eastAsia="zh-CN"/>
              </w:rPr>
              <w:t>一般得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分，较差的</w:t>
            </w:r>
            <w:r>
              <w:rPr>
                <w:rFonts w:hint="eastAsia" w:ascii="宋体" w:hAnsi="宋体" w:eastAsia="宋体" w:cs="宋体"/>
                <w:color w:val="auto"/>
                <w:sz w:val="24"/>
                <w:szCs w:val="24"/>
                <w:highlight w:val="none"/>
                <w:lang w:val="en-US" w:eastAsia="zh-CN"/>
              </w:rPr>
              <w:t>或未提供</w:t>
            </w:r>
            <w:r>
              <w:rPr>
                <w:rFonts w:hint="eastAsia" w:ascii="宋体" w:hAnsi="宋体" w:eastAsia="宋体" w:cs="宋体"/>
                <w:color w:val="auto"/>
                <w:sz w:val="24"/>
                <w:szCs w:val="24"/>
                <w:highlight w:val="none"/>
                <w:lang w:eastAsia="zh-CN"/>
              </w:rPr>
              <w:t>不得分。</w:t>
            </w:r>
          </w:p>
        </w:tc>
        <w:tc>
          <w:tcPr>
            <w:tcW w:w="1009" w:type="dxa"/>
            <w:tcBorders>
              <w:top w:val="nil"/>
              <w:left w:val="nil"/>
              <w:bottom w:val="single" w:color="auto" w:sz="4" w:space="0"/>
              <w:right w:val="single" w:color="auto" w:sz="4" w:space="0"/>
            </w:tcBorders>
            <w:vAlign w:val="center"/>
          </w:tcPr>
          <w:p w14:paraId="4166B542">
            <w:pPr>
              <w:keepNext w:val="0"/>
              <w:keepLines w:val="0"/>
              <w:pageBreakBefore w:val="0"/>
              <w:kinsoku/>
              <w:wordWrap/>
              <w:overflowPunct/>
              <w:topLinePunct w:val="0"/>
              <w:autoSpaceDE/>
              <w:autoSpaceDN/>
              <w:bidi w:val="0"/>
              <w:adjustRightInd/>
              <w:snapToGrid/>
              <w:spacing w:line="0" w:lineRule="atLeast"/>
              <w:ind w:left="0" w:leftChars="0" w:right="0" w:right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w:t>
            </w:r>
          </w:p>
        </w:tc>
      </w:tr>
      <w:tr w14:paraId="16686A88">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110" w:hRule="atLeast"/>
        </w:trPr>
        <w:tc>
          <w:tcPr>
            <w:tcW w:w="1245" w:type="dxa"/>
            <w:tcBorders>
              <w:top w:val="single" w:color="auto" w:sz="4" w:space="0"/>
              <w:left w:val="single" w:color="auto" w:sz="4" w:space="0"/>
              <w:bottom w:val="single" w:color="auto" w:sz="4" w:space="0"/>
              <w:right w:val="single" w:color="auto" w:sz="4" w:space="0"/>
            </w:tcBorders>
            <w:vAlign w:val="center"/>
          </w:tcPr>
          <w:p w14:paraId="30AA2FC1">
            <w:pPr>
              <w:keepNext w:val="0"/>
              <w:keepLines w:val="0"/>
              <w:pageBreakBefore w:val="0"/>
              <w:kinsoku/>
              <w:wordWrap/>
              <w:overflowPunct/>
              <w:topLinePunct w:val="0"/>
              <w:autoSpaceDE/>
              <w:autoSpaceDN/>
              <w:bidi w:val="0"/>
              <w:adjustRightInd/>
              <w:snapToGrid/>
              <w:spacing w:line="0" w:lineRule="atLeast"/>
              <w:ind w:left="0" w:right="0" w:rightChars="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进度计划及保证措施</w:t>
            </w:r>
          </w:p>
        </w:tc>
        <w:tc>
          <w:tcPr>
            <w:tcW w:w="7303" w:type="dxa"/>
            <w:tcBorders>
              <w:top w:val="single" w:color="auto" w:sz="4" w:space="0"/>
              <w:left w:val="nil"/>
              <w:bottom w:val="single" w:color="auto" w:sz="4" w:space="0"/>
              <w:right w:val="single" w:color="auto" w:sz="4" w:space="0"/>
            </w:tcBorders>
            <w:vAlign w:val="center"/>
          </w:tcPr>
          <w:p w14:paraId="4B1A45F6">
            <w:pPr>
              <w:keepNext w:val="0"/>
              <w:keepLines w:val="0"/>
              <w:pageBreakBefore w:val="0"/>
              <w:tabs>
                <w:tab w:val="left" w:pos="2520"/>
              </w:tabs>
              <w:kinsoku/>
              <w:wordWrap/>
              <w:overflowPunct/>
              <w:topLinePunct w:val="0"/>
              <w:autoSpaceDE/>
              <w:autoSpaceDN/>
              <w:bidi w:val="0"/>
              <w:adjustRightInd/>
              <w:snapToGrid/>
              <w:spacing w:line="240" w:lineRule="auto"/>
              <w:ind w:left="0" w:right="0" w:rightChars="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根据供应商提供的工作进度安排计划、工作服务期内目标控制及工作进度保证措施</w:t>
            </w:r>
            <w:r>
              <w:rPr>
                <w:rFonts w:hint="eastAsia" w:ascii="宋体" w:hAnsi="宋体" w:eastAsia="宋体" w:cs="宋体"/>
                <w:color w:val="auto"/>
                <w:sz w:val="24"/>
                <w:szCs w:val="24"/>
                <w:highlight w:val="none"/>
                <w:lang w:eastAsia="zh-CN"/>
              </w:rPr>
              <w:t>等方面综合评分。</w:t>
            </w:r>
            <w:r>
              <w:rPr>
                <w:rFonts w:hint="eastAsia" w:ascii="宋体" w:hAnsi="宋体" w:eastAsia="宋体" w:cs="宋体"/>
                <w:color w:val="auto"/>
                <w:sz w:val="24"/>
                <w:szCs w:val="24"/>
                <w:highlight w:val="none"/>
                <w:lang w:val="en-US" w:eastAsia="zh-CN"/>
              </w:rPr>
              <w:t>措施</w:t>
            </w:r>
            <w:r>
              <w:rPr>
                <w:rFonts w:hint="eastAsia" w:ascii="宋体" w:hAnsi="宋体" w:eastAsia="宋体" w:cs="宋体"/>
                <w:color w:val="auto"/>
                <w:sz w:val="24"/>
                <w:szCs w:val="24"/>
                <w:highlight w:val="none"/>
                <w:lang w:eastAsia="zh-CN"/>
              </w:rPr>
              <w:t>详细，可操作性强的得</w:t>
            </w: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lang w:eastAsia="zh-CN"/>
              </w:rPr>
              <w:t>分，</w:t>
            </w:r>
            <w:r>
              <w:rPr>
                <w:rFonts w:hint="eastAsia" w:ascii="宋体" w:hAnsi="宋体" w:eastAsia="宋体" w:cs="宋体"/>
                <w:color w:val="auto"/>
                <w:sz w:val="24"/>
                <w:szCs w:val="24"/>
                <w:highlight w:val="none"/>
                <w:lang w:val="en-US" w:eastAsia="zh-CN"/>
              </w:rPr>
              <w:t>措施</w:t>
            </w:r>
            <w:r>
              <w:rPr>
                <w:rFonts w:hint="eastAsia" w:ascii="宋体" w:hAnsi="宋体" w:eastAsia="宋体" w:cs="宋体"/>
                <w:color w:val="auto"/>
                <w:sz w:val="24"/>
                <w:szCs w:val="24"/>
                <w:highlight w:val="none"/>
                <w:lang w:eastAsia="zh-CN"/>
              </w:rPr>
              <w:t>较详细，可操作性一般的得</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分，</w:t>
            </w:r>
            <w:r>
              <w:rPr>
                <w:rFonts w:hint="eastAsia" w:ascii="宋体" w:hAnsi="宋体" w:eastAsia="宋体" w:cs="宋体"/>
                <w:color w:val="auto"/>
                <w:sz w:val="24"/>
                <w:szCs w:val="24"/>
                <w:highlight w:val="none"/>
                <w:lang w:val="en-US" w:eastAsia="zh-CN"/>
              </w:rPr>
              <w:t>措施</w:t>
            </w:r>
            <w:r>
              <w:rPr>
                <w:rFonts w:hint="eastAsia" w:ascii="宋体" w:hAnsi="宋体" w:eastAsia="宋体" w:cs="宋体"/>
                <w:color w:val="auto"/>
                <w:sz w:val="24"/>
                <w:szCs w:val="24"/>
                <w:highlight w:val="none"/>
                <w:lang w:eastAsia="zh-CN"/>
              </w:rPr>
              <w:t>有所欠缺的得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分，</w:t>
            </w:r>
            <w:r>
              <w:rPr>
                <w:rFonts w:hint="eastAsia" w:ascii="宋体" w:hAnsi="宋体" w:eastAsia="宋体" w:cs="宋体"/>
                <w:color w:val="auto"/>
                <w:sz w:val="24"/>
                <w:szCs w:val="24"/>
                <w:highlight w:val="none"/>
                <w:lang w:val="en-US" w:eastAsia="zh-CN"/>
              </w:rPr>
              <w:t>措施较差</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lang w:val="en-US" w:eastAsia="zh-CN"/>
              </w:rPr>
              <w:t>或未提供的</w:t>
            </w:r>
            <w:r>
              <w:rPr>
                <w:rFonts w:hint="eastAsia" w:ascii="宋体" w:hAnsi="宋体" w:eastAsia="宋体" w:cs="宋体"/>
                <w:color w:val="auto"/>
                <w:sz w:val="24"/>
                <w:szCs w:val="24"/>
                <w:highlight w:val="none"/>
                <w:lang w:eastAsia="zh-CN"/>
              </w:rPr>
              <w:t>不得分。</w:t>
            </w:r>
          </w:p>
        </w:tc>
        <w:tc>
          <w:tcPr>
            <w:tcW w:w="1009" w:type="dxa"/>
            <w:tcBorders>
              <w:top w:val="nil"/>
              <w:left w:val="nil"/>
              <w:bottom w:val="single" w:color="auto" w:sz="4" w:space="0"/>
              <w:right w:val="single" w:color="auto" w:sz="4" w:space="0"/>
            </w:tcBorders>
            <w:vAlign w:val="center"/>
          </w:tcPr>
          <w:p w14:paraId="7D696577">
            <w:pPr>
              <w:keepNext w:val="0"/>
              <w:keepLines w:val="0"/>
              <w:pageBreakBefore w:val="0"/>
              <w:kinsoku/>
              <w:wordWrap/>
              <w:overflowPunct/>
              <w:topLinePunct w:val="0"/>
              <w:autoSpaceDE/>
              <w:autoSpaceDN/>
              <w:bidi w:val="0"/>
              <w:adjustRightInd/>
              <w:snapToGrid/>
              <w:spacing w:line="0" w:lineRule="atLeast"/>
              <w:ind w:left="0" w:leftChars="0" w:right="0" w:rightChars="0"/>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lang w:val="en-US" w:eastAsia="zh-CN"/>
              </w:rPr>
              <w:t>分</w:t>
            </w:r>
          </w:p>
        </w:tc>
      </w:tr>
      <w:tr w14:paraId="36BCDD4A">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110" w:hRule="atLeast"/>
        </w:trPr>
        <w:tc>
          <w:tcPr>
            <w:tcW w:w="1245" w:type="dxa"/>
            <w:tcBorders>
              <w:top w:val="single" w:color="auto" w:sz="4" w:space="0"/>
              <w:left w:val="single" w:color="auto" w:sz="4" w:space="0"/>
              <w:bottom w:val="single" w:color="auto" w:sz="4" w:space="0"/>
              <w:right w:val="single" w:color="auto" w:sz="4" w:space="0"/>
            </w:tcBorders>
            <w:vAlign w:val="center"/>
          </w:tcPr>
          <w:p w14:paraId="051B6E43">
            <w:pPr>
              <w:keepNext w:val="0"/>
              <w:keepLines w:val="0"/>
              <w:pageBreakBefore w:val="0"/>
              <w:kinsoku/>
              <w:wordWrap/>
              <w:overflowPunct/>
              <w:topLinePunct w:val="0"/>
              <w:autoSpaceDE/>
              <w:autoSpaceDN/>
              <w:bidi w:val="0"/>
              <w:adjustRightInd/>
              <w:snapToGrid/>
              <w:spacing w:line="0" w:lineRule="atLeast"/>
              <w:ind w:left="0" w:right="0" w:rightChars="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履约能力</w:t>
            </w:r>
          </w:p>
        </w:tc>
        <w:tc>
          <w:tcPr>
            <w:tcW w:w="7303" w:type="dxa"/>
            <w:tcBorders>
              <w:top w:val="single" w:color="auto" w:sz="4" w:space="0"/>
              <w:left w:val="nil"/>
              <w:bottom w:val="single" w:color="auto" w:sz="4" w:space="0"/>
              <w:right w:val="single" w:color="auto" w:sz="4" w:space="0"/>
            </w:tcBorders>
            <w:vAlign w:val="center"/>
          </w:tcPr>
          <w:p w14:paraId="787F605A">
            <w:pPr>
              <w:keepNext w:val="0"/>
              <w:keepLines w:val="0"/>
              <w:pageBreakBefore w:val="0"/>
              <w:tabs>
                <w:tab w:val="left" w:pos="2520"/>
              </w:tabs>
              <w:kinsoku/>
              <w:wordWrap/>
              <w:overflowPunct/>
              <w:topLinePunct w:val="0"/>
              <w:autoSpaceDE/>
              <w:autoSpaceDN/>
              <w:bidi w:val="0"/>
              <w:adjustRightInd/>
              <w:snapToGrid/>
              <w:spacing w:line="240" w:lineRule="auto"/>
              <w:ind w:left="0" w:right="0" w:right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企业注册会计师人数，供应商在拥有1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名执业注册会计师基础上得</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分，每增加1人得2分，满分1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分。（响应文件中提供上述人员的注册会计师执业资格证书的复印件,及在职期间由社会保险机构出具的社保缴费证明</w:t>
            </w:r>
            <w:r>
              <w:rPr>
                <w:rFonts w:hint="eastAsia" w:ascii="宋体" w:hAnsi="宋体" w:cs="宋体"/>
                <w:color w:val="auto"/>
                <w:sz w:val="24"/>
                <w:szCs w:val="24"/>
                <w:highlight w:val="none"/>
                <w:lang w:val="en-US" w:eastAsia="zh-CN"/>
              </w:rPr>
              <w:t>；退休人员须提供单位聘用合同和退休证明，否则视为未提供社保证明；以上证明材料如未提供，该人员不得分</w:t>
            </w:r>
            <w:r>
              <w:rPr>
                <w:rFonts w:hint="eastAsia" w:ascii="宋体" w:hAnsi="宋体" w:eastAsia="宋体" w:cs="宋体"/>
                <w:color w:val="auto"/>
                <w:sz w:val="24"/>
                <w:szCs w:val="24"/>
                <w:highlight w:val="none"/>
              </w:rPr>
              <w:t>）</w:t>
            </w:r>
          </w:p>
        </w:tc>
        <w:tc>
          <w:tcPr>
            <w:tcW w:w="1009" w:type="dxa"/>
            <w:tcBorders>
              <w:top w:val="nil"/>
              <w:left w:val="nil"/>
              <w:bottom w:val="single" w:color="auto" w:sz="4" w:space="0"/>
              <w:right w:val="single" w:color="auto" w:sz="4" w:space="0"/>
            </w:tcBorders>
            <w:vAlign w:val="center"/>
          </w:tcPr>
          <w:p w14:paraId="7E8CD422">
            <w:pPr>
              <w:keepNext w:val="0"/>
              <w:keepLines w:val="0"/>
              <w:pageBreakBefore w:val="0"/>
              <w:kinsoku/>
              <w:wordWrap/>
              <w:overflowPunct/>
              <w:topLinePunct w:val="0"/>
              <w:autoSpaceDE/>
              <w:autoSpaceDN/>
              <w:bidi w:val="0"/>
              <w:adjustRightInd/>
              <w:snapToGrid/>
              <w:spacing w:line="0" w:lineRule="atLeast"/>
              <w:ind w:left="0" w:leftChars="0" w:right="0" w:right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12分</w:t>
            </w:r>
          </w:p>
        </w:tc>
      </w:tr>
      <w:tr w14:paraId="17052CB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00" w:hRule="atLeast"/>
        </w:trPr>
        <w:tc>
          <w:tcPr>
            <w:tcW w:w="1245" w:type="dxa"/>
            <w:vMerge w:val="restart"/>
            <w:tcBorders>
              <w:top w:val="single" w:color="auto" w:sz="4" w:space="0"/>
              <w:left w:val="single" w:color="auto" w:sz="4" w:space="0"/>
              <w:right w:val="single" w:color="auto" w:sz="4" w:space="0"/>
            </w:tcBorders>
            <w:vAlign w:val="center"/>
          </w:tcPr>
          <w:p w14:paraId="765E11BB">
            <w:pPr>
              <w:keepNext w:val="0"/>
              <w:keepLines w:val="0"/>
              <w:pageBreakBefore w:val="0"/>
              <w:kinsoku/>
              <w:wordWrap/>
              <w:overflowPunct/>
              <w:topLinePunct w:val="0"/>
              <w:autoSpaceDE/>
              <w:autoSpaceDN/>
              <w:bidi w:val="0"/>
              <w:adjustRightInd/>
              <w:snapToGrid/>
              <w:spacing w:line="0" w:lineRule="atLeast"/>
              <w:ind w:left="0" w:right="0" w:rightChars="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团队人员</w:t>
            </w:r>
          </w:p>
        </w:tc>
        <w:tc>
          <w:tcPr>
            <w:tcW w:w="7303" w:type="dxa"/>
            <w:tcBorders>
              <w:top w:val="single" w:color="auto" w:sz="4" w:space="0"/>
              <w:left w:val="single" w:color="auto" w:sz="4" w:space="0"/>
              <w:bottom w:val="single" w:color="auto" w:sz="4" w:space="0"/>
              <w:right w:val="single" w:color="auto" w:sz="4" w:space="0"/>
            </w:tcBorders>
            <w:vAlign w:val="center"/>
          </w:tcPr>
          <w:p w14:paraId="55FFB21A">
            <w:pPr>
              <w:keepNext w:val="0"/>
              <w:keepLines w:val="0"/>
              <w:pageBreakBefore w:val="0"/>
              <w:tabs>
                <w:tab w:val="left" w:pos="2520"/>
              </w:tabs>
              <w:kinsoku/>
              <w:wordWrap/>
              <w:overflowPunct/>
              <w:topLinePunct w:val="0"/>
              <w:autoSpaceDE/>
              <w:autoSpaceDN/>
              <w:bidi w:val="0"/>
              <w:adjustRightInd/>
              <w:snapToGrid/>
              <w:spacing w:line="240" w:lineRule="auto"/>
              <w:ind w:left="0" w:right="0" w:rightChars="0"/>
              <w:jc w:val="left"/>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（1）拟委派的项目负责人具有高级职称得2分。</w:t>
            </w:r>
          </w:p>
        </w:tc>
        <w:tc>
          <w:tcPr>
            <w:tcW w:w="1009" w:type="dxa"/>
            <w:tcBorders>
              <w:top w:val="single" w:color="auto" w:sz="4" w:space="0"/>
              <w:left w:val="nil"/>
              <w:bottom w:val="single" w:color="auto" w:sz="4" w:space="0"/>
              <w:right w:val="single" w:color="auto" w:sz="4" w:space="0"/>
            </w:tcBorders>
            <w:vAlign w:val="center"/>
          </w:tcPr>
          <w:p w14:paraId="1DF127C1">
            <w:pPr>
              <w:keepNext w:val="0"/>
              <w:keepLines w:val="0"/>
              <w:pageBreakBefore w:val="0"/>
              <w:kinsoku/>
              <w:wordWrap/>
              <w:overflowPunct/>
              <w:topLinePunct w:val="0"/>
              <w:autoSpaceDE/>
              <w:autoSpaceDN/>
              <w:bidi w:val="0"/>
              <w:adjustRightInd/>
              <w:snapToGrid/>
              <w:spacing w:line="0" w:lineRule="atLeast"/>
              <w:ind w:left="0" w:leftChars="0" w:right="0" w:right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w:t>
            </w:r>
          </w:p>
        </w:tc>
      </w:tr>
      <w:tr w14:paraId="212A7241">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050" w:hRule="atLeast"/>
        </w:trPr>
        <w:tc>
          <w:tcPr>
            <w:tcW w:w="1245" w:type="dxa"/>
            <w:vMerge w:val="continue"/>
            <w:tcBorders>
              <w:left w:val="single" w:color="auto" w:sz="4" w:space="0"/>
              <w:bottom w:val="single" w:color="auto" w:sz="4" w:space="0"/>
              <w:right w:val="single" w:color="auto" w:sz="4" w:space="0"/>
            </w:tcBorders>
            <w:vAlign w:val="center"/>
          </w:tcPr>
          <w:p w14:paraId="3E6AEF75">
            <w:pPr>
              <w:keepNext w:val="0"/>
              <w:keepLines w:val="0"/>
              <w:pageBreakBefore w:val="0"/>
              <w:kinsoku/>
              <w:wordWrap/>
              <w:overflowPunct/>
              <w:topLinePunct w:val="0"/>
              <w:autoSpaceDE/>
              <w:autoSpaceDN/>
              <w:bidi w:val="0"/>
              <w:adjustRightInd/>
              <w:snapToGrid/>
              <w:spacing w:line="0" w:lineRule="atLeast"/>
              <w:ind w:left="0" w:right="0" w:rightChars="0"/>
              <w:jc w:val="both"/>
              <w:textAlignment w:val="auto"/>
              <w:rPr>
                <w:rFonts w:hint="eastAsia" w:ascii="宋体" w:hAnsi="宋体" w:eastAsia="宋体" w:cs="宋体"/>
                <w:sz w:val="24"/>
                <w:szCs w:val="24"/>
                <w:lang w:val="en-US" w:eastAsia="zh-CN"/>
              </w:rPr>
            </w:pPr>
          </w:p>
        </w:tc>
        <w:tc>
          <w:tcPr>
            <w:tcW w:w="7303" w:type="dxa"/>
            <w:tcBorders>
              <w:top w:val="single" w:color="auto" w:sz="4" w:space="0"/>
              <w:left w:val="nil"/>
              <w:bottom w:val="single" w:color="auto" w:sz="4" w:space="0"/>
              <w:right w:val="single" w:color="auto" w:sz="4" w:space="0"/>
            </w:tcBorders>
            <w:vAlign w:val="center"/>
          </w:tcPr>
          <w:p w14:paraId="67E789F8">
            <w:pPr>
              <w:keepNext w:val="0"/>
              <w:keepLines w:val="0"/>
              <w:pageBreakBefore w:val="0"/>
              <w:tabs>
                <w:tab w:val="left" w:pos="2520"/>
              </w:tabs>
              <w:kinsoku/>
              <w:wordWrap/>
              <w:overflowPunct/>
              <w:topLinePunct w:val="0"/>
              <w:autoSpaceDE/>
              <w:autoSpaceDN/>
              <w:bidi w:val="0"/>
              <w:adjustRightInd/>
              <w:snapToGrid/>
              <w:spacing w:line="240" w:lineRule="auto"/>
              <w:ind w:left="0" w:right="0" w:right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拟投入团队人员除项目负责人外，每提供一名具有高级职称的人员得2分，每提供一名具有中级职称的人员得1分，本项最多得6分。（团队人员须为投标人本单位正式员工，并须提供投标人为其缴纳的近半年社保证明</w:t>
            </w:r>
            <w:r>
              <w:rPr>
                <w:rFonts w:hint="eastAsia" w:ascii="宋体" w:hAnsi="宋体" w:cs="宋体"/>
                <w:color w:val="auto"/>
                <w:sz w:val="24"/>
                <w:szCs w:val="24"/>
                <w:highlight w:val="none"/>
                <w:lang w:val="en-US" w:eastAsia="zh-CN"/>
              </w:rPr>
              <w:t>；退休人员须提供单位聘用合同和退休证明，否则视为未提供社保证明；以上证明材料如未提供，该人员不得分</w:t>
            </w:r>
            <w:r>
              <w:rPr>
                <w:rFonts w:hint="eastAsia" w:ascii="宋体" w:hAnsi="宋体" w:eastAsia="宋体" w:cs="宋体"/>
                <w:color w:val="auto"/>
                <w:sz w:val="24"/>
                <w:szCs w:val="24"/>
                <w:highlight w:val="none"/>
                <w:lang w:val="en-US" w:eastAsia="zh-CN"/>
              </w:rPr>
              <w:t>。）</w:t>
            </w:r>
          </w:p>
        </w:tc>
        <w:tc>
          <w:tcPr>
            <w:tcW w:w="1009" w:type="dxa"/>
            <w:tcBorders>
              <w:top w:val="single" w:color="auto" w:sz="4" w:space="0"/>
              <w:left w:val="nil"/>
              <w:bottom w:val="single" w:color="auto" w:sz="4" w:space="0"/>
              <w:right w:val="single" w:color="auto" w:sz="4" w:space="0"/>
            </w:tcBorders>
            <w:vAlign w:val="center"/>
          </w:tcPr>
          <w:p w14:paraId="203F65A4">
            <w:pPr>
              <w:keepNext w:val="0"/>
              <w:keepLines w:val="0"/>
              <w:pageBreakBefore w:val="0"/>
              <w:kinsoku/>
              <w:wordWrap/>
              <w:overflowPunct/>
              <w:topLinePunct w:val="0"/>
              <w:autoSpaceDE/>
              <w:autoSpaceDN/>
              <w:bidi w:val="0"/>
              <w:adjustRightInd/>
              <w:snapToGrid/>
              <w:spacing w:line="0" w:lineRule="atLeast"/>
              <w:ind w:left="0" w:leftChars="0" w:right="0" w:right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6分</w:t>
            </w:r>
          </w:p>
        </w:tc>
      </w:tr>
      <w:tr w14:paraId="11D3A9E2">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461" w:hRule="atLeast"/>
        </w:trPr>
        <w:tc>
          <w:tcPr>
            <w:tcW w:w="1245" w:type="dxa"/>
            <w:vMerge w:val="restart"/>
            <w:tcBorders>
              <w:top w:val="single" w:color="auto" w:sz="4" w:space="0"/>
              <w:left w:val="single" w:color="auto" w:sz="4" w:space="0"/>
              <w:right w:val="single" w:color="auto" w:sz="4" w:space="0"/>
            </w:tcBorders>
            <w:vAlign w:val="center"/>
          </w:tcPr>
          <w:p w14:paraId="2142ED6C">
            <w:pPr>
              <w:keepNext w:val="0"/>
              <w:keepLines w:val="0"/>
              <w:pageBreakBefore w:val="0"/>
              <w:kinsoku/>
              <w:wordWrap/>
              <w:overflowPunct/>
              <w:topLinePunct w:val="0"/>
              <w:autoSpaceDE/>
              <w:autoSpaceDN/>
              <w:bidi w:val="0"/>
              <w:adjustRightInd/>
              <w:snapToGrid/>
              <w:spacing w:line="0" w:lineRule="atLeast"/>
              <w:ind w:left="0" w:leftChars="0" w:right="0" w:right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业绩</w:t>
            </w:r>
          </w:p>
        </w:tc>
        <w:tc>
          <w:tcPr>
            <w:tcW w:w="7303" w:type="dxa"/>
            <w:tcBorders>
              <w:top w:val="single" w:color="auto" w:sz="4" w:space="0"/>
              <w:left w:val="nil"/>
              <w:bottom w:val="single" w:color="auto" w:sz="4" w:space="0"/>
              <w:right w:val="single" w:color="auto" w:sz="4" w:space="0"/>
            </w:tcBorders>
            <w:vAlign w:val="center"/>
          </w:tcPr>
          <w:p w14:paraId="68869282">
            <w:pPr>
              <w:keepNext w:val="0"/>
              <w:keepLines w:val="0"/>
              <w:pageBreakBefore w:val="0"/>
              <w:tabs>
                <w:tab w:val="left" w:pos="2520"/>
              </w:tabs>
              <w:kinsoku/>
              <w:wordWrap/>
              <w:overflowPunct/>
              <w:topLinePunct w:val="0"/>
              <w:autoSpaceDE/>
              <w:autoSpaceDN/>
              <w:bidi w:val="0"/>
              <w:adjustRightInd/>
              <w:snapToGrid/>
              <w:spacing w:line="240" w:lineRule="auto"/>
              <w:ind w:left="0" w:leftChars="0" w:right="0" w:right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根据供应商近三年(</w:t>
            </w:r>
            <w:r>
              <w:rPr>
                <w:rFonts w:hint="eastAsia" w:ascii="宋体" w:hAnsi="宋体" w:eastAsia="宋体" w:cs="宋体"/>
                <w:color w:val="auto"/>
                <w:sz w:val="24"/>
                <w:szCs w:val="24"/>
                <w:highlight w:val="none"/>
                <w:lang w:val="en-US" w:eastAsia="zh-CN"/>
              </w:rPr>
              <w:t>2023年7月1日至今</w:t>
            </w:r>
            <w:r>
              <w:rPr>
                <w:rFonts w:hint="eastAsia" w:ascii="宋体" w:hAnsi="宋体" w:eastAsia="宋体" w:cs="宋体"/>
                <w:color w:val="auto"/>
                <w:sz w:val="24"/>
                <w:szCs w:val="24"/>
                <w:highlight w:val="none"/>
              </w:rPr>
              <w:t>)以来完成的类似</w:t>
            </w:r>
            <w:r>
              <w:rPr>
                <w:rFonts w:hint="eastAsia" w:ascii="宋体" w:hAnsi="宋体" w:cs="宋体"/>
                <w:color w:val="auto"/>
                <w:sz w:val="24"/>
                <w:szCs w:val="24"/>
                <w:highlight w:val="none"/>
                <w:lang w:val="en-US" w:eastAsia="zh-CN"/>
              </w:rPr>
              <w:t>财政资金</w:t>
            </w:r>
            <w:r>
              <w:rPr>
                <w:rFonts w:hint="eastAsia" w:ascii="宋体" w:hAnsi="宋体" w:eastAsia="宋体" w:cs="宋体"/>
                <w:color w:val="auto"/>
                <w:sz w:val="24"/>
                <w:szCs w:val="24"/>
                <w:highlight w:val="none"/>
                <w:lang w:val="en-US" w:eastAsia="zh-CN"/>
              </w:rPr>
              <w:t>绩效评价项目案例，每提供一个得3分，最高得12分</w:t>
            </w:r>
            <w:r>
              <w:rPr>
                <w:rFonts w:hint="eastAsia" w:ascii="宋体" w:hAnsi="宋体" w:eastAsia="宋体" w:cs="宋体"/>
                <w:color w:val="auto"/>
                <w:sz w:val="24"/>
                <w:szCs w:val="24"/>
                <w:highlight w:val="none"/>
              </w:rPr>
              <w:t>。（响应文件中提供合同复印件</w:t>
            </w:r>
            <w:r>
              <w:rPr>
                <w:rFonts w:hint="eastAsia" w:ascii="宋体" w:hAnsi="宋体" w:eastAsia="宋体" w:cs="宋体"/>
                <w:color w:val="auto"/>
                <w:sz w:val="24"/>
                <w:szCs w:val="24"/>
                <w:highlight w:val="none"/>
                <w:lang w:val="en-US" w:eastAsia="zh-CN"/>
              </w:rPr>
              <w:t>并加盖公章</w:t>
            </w:r>
            <w:r>
              <w:rPr>
                <w:rFonts w:hint="eastAsia" w:ascii="宋体" w:hAnsi="宋体" w:eastAsia="宋体" w:cs="宋体"/>
                <w:color w:val="auto"/>
                <w:sz w:val="24"/>
                <w:szCs w:val="24"/>
                <w:highlight w:val="none"/>
              </w:rPr>
              <w:t>，业绩合同中</w:t>
            </w:r>
            <w:r>
              <w:rPr>
                <w:rFonts w:hint="eastAsia" w:ascii="宋体" w:hAnsi="宋体" w:eastAsia="宋体" w:cs="宋体"/>
                <w:color w:val="auto"/>
                <w:sz w:val="24"/>
                <w:szCs w:val="24"/>
                <w:highlight w:val="none"/>
                <w:lang w:val="en-US" w:eastAsia="zh-CN"/>
              </w:rPr>
              <w:t>主</w:t>
            </w:r>
            <w:r>
              <w:rPr>
                <w:rFonts w:hint="eastAsia" w:ascii="宋体" w:hAnsi="宋体" w:eastAsia="宋体" w:cs="宋体"/>
                <w:color w:val="auto"/>
                <w:sz w:val="24"/>
                <w:szCs w:val="24"/>
                <w:highlight w:val="none"/>
              </w:rPr>
              <w:t>要内容、标的等需清晰可见，未提供或提供不完整或字迹模糊不清不得分）</w:t>
            </w:r>
          </w:p>
        </w:tc>
        <w:tc>
          <w:tcPr>
            <w:tcW w:w="1009" w:type="dxa"/>
            <w:tcBorders>
              <w:top w:val="single" w:color="auto" w:sz="4" w:space="0"/>
              <w:left w:val="nil"/>
              <w:bottom w:val="single" w:color="auto" w:sz="4" w:space="0"/>
              <w:right w:val="single" w:color="auto" w:sz="4" w:space="0"/>
            </w:tcBorders>
            <w:vAlign w:val="center"/>
          </w:tcPr>
          <w:p w14:paraId="3A0E5005">
            <w:pPr>
              <w:keepNext w:val="0"/>
              <w:keepLines w:val="0"/>
              <w:pageBreakBefore w:val="0"/>
              <w:kinsoku/>
              <w:wordWrap/>
              <w:overflowPunct/>
              <w:topLinePunct w:val="0"/>
              <w:autoSpaceDE/>
              <w:autoSpaceDN/>
              <w:bidi w:val="0"/>
              <w:adjustRightInd/>
              <w:snapToGrid/>
              <w:spacing w:line="0" w:lineRule="atLeast"/>
              <w:ind w:left="0" w:leftChars="0" w:right="0" w:right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lang w:eastAsia="zh-CN"/>
              </w:rPr>
              <w:t>分</w:t>
            </w:r>
          </w:p>
        </w:tc>
      </w:tr>
      <w:tr w14:paraId="356C494E">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649" w:hRule="atLeast"/>
        </w:trPr>
        <w:tc>
          <w:tcPr>
            <w:tcW w:w="1245" w:type="dxa"/>
            <w:vMerge w:val="continue"/>
            <w:tcBorders>
              <w:left w:val="single" w:color="auto" w:sz="4" w:space="0"/>
              <w:bottom w:val="single" w:color="auto" w:sz="4" w:space="0"/>
              <w:right w:val="single" w:color="auto" w:sz="4" w:space="0"/>
            </w:tcBorders>
            <w:vAlign w:val="center"/>
          </w:tcPr>
          <w:p w14:paraId="07C25F95">
            <w:pPr>
              <w:keepNext w:val="0"/>
              <w:keepLines w:val="0"/>
              <w:pageBreakBefore w:val="0"/>
              <w:kinsoku/>
              <w:wordWrap/>
              <w:overflowPunct/>
              <w:topLinePunct w:val="0"/>
              <w:autoSpaceDE/>
              <w:autoSpaceDN/>
              <w:bidi w:val="0"/>
              <w:adjustRightInd/>
              <w:snapToGrid/>
              <w:spacing w:line="0" w:lineRule="atLeast"/>
              <w:ind w:left="0" w:leftChars="0" w:right="0" w:rightChars="0"/>
              <w:jc w:val="center"/>
              <w:textAlignment w:val="auto"/>
              <w:rPr>
                <w:rFonts w:hint="eastAsia" w:ascii="宋体" w:hAnsi="宋体" w:eastAsia="宋体" w:cs="宋体"/>
                <w:color w:val="auto"/>
                <w:sz w:val="24"/>
                <w:szCs w:val="24"/>
                <w:highlight w:val="none"/>
                <w:lang w:val="en-US" w:eastAsia="zh-CN"/>
              </w:rPr>
            </w:pPr>
          </w:p>
        </w:tc>
        <w:tc>
          <w:tcPr>
            <w:tcW w:w="7303" w:type="dxa"/>
            <w:tcBorders>
              <w:top w:val="single" w:color="auto" w:sz="4" w:space="0"/>
              <w:left w:val="nil"/>
              <w:bottom w:val="single" w:color="auto" w:sz="4" w:space="0"/>
              <w:right w:val="single" w:color="auto" w:sz="4" w:space="0"/>
            </w:tcBorders>
            <w:vAlign w:val="center"/>
          </w:tcPr>
          <w:p w14:paraId="2B9191ED">
            <w:pPr>
              <w:keepNext w:val="0"/>
              <w:keepLines w:val="0"/>
              <w:pageBreakBefore w:val="0"/>
              <w:tabs>
                <w:tab w:val="left" w:pos="2520"/>
              </w:tabs>
              <w:kinsoku/>
              <w:wordWrap/>
              <w:overflowPunct/>
              <w:topLinePunct w:val="0"/>
              <w:autoSpaceDE/>
              <w:autoSpaceDN/>
              <w:bidi w:val="0"/>
              <w:adjustRightInd/>
              <w:snapToGrid/>
              <w:spacing w:line="240" w:lineRule="auto"/>
              <w:ind w:left="0" w:right="0" w:right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拟委派的项目负责人</w:t>
            </w:r>
            <w:r>
              <w:rPr>
                <w:rFonts w:hint="eastAsia" w:ascii="宋体" w:hAnsi="宋体" w:eastAsia="宋体" w:cs="宋体"/>
                <w:color w:val="auto"/>
                <w:sz w:val="24"/>
                <w:szCs w:val="24"/>
                <w:highlight w:val="none"/>
              </w:rPr>
              <w:t>近三年(</w:t>
            </w:r>
            <w:r>
              <w:rPr>
                <w:rFonts w:hint="eastAsia" w:ascii="宋体" w:hAnsi="宋体" w:eastAsia="宋体" w:cs="宋体"/>
                <w:color w:val="auto"/>
                <w:sz w:val="24"/>
                <w:szCs w:val="24"/>
                <w:highlight w:val="none"/>
                <w:lang w:val="en-US" w:eastAsia="zh-CN"/>
              </w:rPr>
              <w:t>2023年7月1日至今</w:t>
            </w:r>
            <w:r>
              <w:rPr>
                <w:rFonts w:hint="eastAsia" w:ascii="宋体" w:hAnsi="宋体" w:eastAsia="宋体" w:cs="宋体"/>
                <w:color w:val="auto"/>
                <w:sz w:val="24"/>
                <w:szCs w:val="24"/>
                <w:highlight w:val="none"/>
              </w:rPr>
              <w:t>)以来完成的</w:t>
            </w:r>
            <w:r>
              <w:rPr>
                <w:rFonts w:hint="eastAsia" w:ascii="宋体" w:hAnsi="宋体" w:eastAsia="宋体" w:cs="宋体"/>
                <w:color w:val="auto"/>
                <w:sz w:val="24"/>
                <w:szCs w:val="24"/>
                <w:highlight w:val="none"/>
                <w:lang w:val="en-US" w:eastAsia="zh-CN"/>
              </w:rPr>
              <w:t>具有</w:t>
            </w:r>
            <w:r>
              <w:rPr>
                <w:rFonts w:hint="eastAsia" w:ascii="宋体" w:hAnsi="宋体" w:eastAsia="宋体" w:cs="宋体"/>
                <w:color w:val="auto"/>
                <w:sz w:val="24"/>
                <w:szCs w:val="24"/>
                <w:highlight w:val="none"/>
              </w:rPr>
              <w:t>类似</w:t>
            </w:r>
            <w:r>
              <w:rPr>
                <w:rFonts w:hint="eastAsia" w:ascii="宋体" w:hAnsi="宋体" w:cs="宋体"/>
                <w:color w:val="auto"/>
                <w:sz w:val="24"/>
                <w:szCs w:val="24"/>
                <w:highlight w:val="none"/>
                <w:lang w:val="en-US" w:eastAsia="zh-CN"/>
              </w:rPr>
              <w:t>财政资金</w:t>
            </w:r>
            <w:r>
              <w:rPr>
                <w:rFonts w:hint="eastAsia" w:ascii="宋体" w:hAnsi="宋体" w:eastAsia="宋体" w:cs="宋体"/>
                <w:color w:val="auto"/>
                <w:sz w:val="24"/>
                <w:szCs w:val="24"/>
                <w:highlight w:val="none"/>
                <w:lang w:val="en-US" w:eastAsia="zh-CN"/>
              </w:rPr>
              <w:t>绩效评价</w:t>
            </w:r>
            <w:r>
              <w:rPr>
                <w:rFonts w:hint="eastAsia" w:ascii="宋体" w:hAnsi="宋体" w:cs="宋体"/>
                <w:color w:val="auto"/>
                <w:sz w:val="24"/>
                <w:szCs w:val="24"/>
                <w:highlight w:val="none"/>
                <w:lang w:val="en-US" w:eastAsia="zh-CN"/>
              </w:rPr>
              <w:t>业绩</w:t>
            </w:r>
            <w:r>
              <w:rPr>
                <w:rFonts w:hint="eastAsia" w:ascii="宋体" w:hAnsi="宋体" w:eastAsia="宋体" w:cs="宋体"/>
                <w:color w:val="auto"/>
                <w:sz w:val="24"/>
                <w:szCs w:val="24"/>
                <w:highlight w:val="none"/>
                <w:lang w:val="en-US" w:eastAsia="zh-CN"/>
              </w:rPr>
              <w:t>（须提供相关证明文件加盖公章），每提供一份得2分，不提供不得分，最多得8分。（</w:t>
            </w:r>
            <w:r>
              <w:rPr>
                <w:rFonts w:hint="eastAsia" w:ascii="宋体" w:hAnsi="宋体" w:eastAsia="宋体" w:cs="宋体"/>
                <w:color w:val="auto"/>
                <w:sz w:val="24"/>
                <w:szCs w:val="24"/>
                <w:highlight w:val="none"/>
              </w:rPr>
              <w:t>响应文件中提供合同复印件</w:t>
            </w:r>
            <w:r>
              <w:rPr>
                <w:rFonts w:hint="eastAsia" w:ascii="宋体" w:hAnsi="宋体" w:eastAsia="宋体" w:cs="宋体"/>
                <w:color w:val="auto"/>
                <w:sz w:val="24"/>
                <w:szCs w:val="24"/>
                <w:highlight w:val="none"/>
                <w:lang w:val="en-US" w:eastAsia="zh-CN"/>
              </w:rPr>
              <w:t>并加盖公章</w:t>
            </w:r>
            <w:r>
              <w:rPr>
                <w:rFonts w:hint="eastAsia" w:ascii="宋体" w:hAnsi="宋体" w:eastAsia="宋体" w:cs="宋体"/>
                <w:color w:val="auto"/>
                <w:sz w:val="24"/>
                <w:szCs w:val="24"/>
                <w:highlight w:val="none"/>
              </w:rPr>
              <w:t>，业绩合同中</w:t>
            </w:r>
            <w:r>
              <w:rPr>
                <w:rFonts w:hint="eastAsia" w:ascii="宋体" w:hAnsi="宋体" w:eastAsia="宋体" w:cs="宋体"/>
                <w:color w:val="auto"/>
                <w:sz w:val="24"/>
                <w:szCs w:val="24"/>
                <w:highlight w:val="none"/>
                <w:lang w:val="en-US" w:eastAsia="zh-CN"/>
              </w:rPr>
              <w:t>主</w:t>
            </w:r>
            <w:r>
              <w:rPr>
                <w:rFonts w:hint="eastAsia" w:ascii="宋体" w:hAnsi="宋体" w:eastAsia="宋体" w:cs="宋体"/>
                <w:color w:val="auto"/>
                <w:sz w:val="24"/>
                <w:szCs w:val="24"/>
                <w:highlight w:val="none"/>
              </w:rPr>
              <w:t>要内容、标的等需清晰可见，未提供或提供不完整或字迹模糊不清不得分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w:t>
            </w:r>
          </w:p>
          <w:p w14:paraId="66EC31F1">
            <w:pPr>
              <w:pStyle w:val="4"/>
              <w:spacing w:line="240" w:lineRule="auto"/>
              <w:rPr>
                <w:rFonts w:hint="eastAsia" w:ascii="宋体" w:hAnsi="宋体" w:eastAsia="宋体" w:cs="宋体"/>
              </w:rPr>
            </w:pPr>
            <w:r>
              <w:rPr>
                <w:rFonts w:hint="eastAsia" w:ascii="宋体" w:hAnsi="宋体" w:eastAsia="宋体" w:cs="宋体"/>
                <w:b/>
                <w:bCs/>
                <w:color w:val="auto"/>
                <w:kern w:val="2"/>
                <w:sz w:val="24"/>
                <w:szCs w:val="24"/>
                <w:highlight w:val="none"/>
                <w:lang w:val="en-US" w:eastAsia="zh-CN" w:bidi="ar-SA"/>
              </w:rPr>
              <w:t>（注：企业业绩和项目负责人业绩不可兼得。）</w:t>
            </w:r>
          </w:p>
        </w:tc>
        <w:tc>
          <w:tcPr>
            <w:tcW w:w="1009" w:type="dxa"/>
            <w:tcBorders>
              <w:top w:val="single" w:color="auto" w:sz="4" w:space="0"/>
              <w:left w:val="nil"/>
              <w:bottom w:val="single" w:color="auto" w:sz="4" w:space="0"/>
              <w:right w:val="single" w:color="auto" w:sz="4" w:space="0"/>
            </w:tcBorders>
            <w:vAlign w:val="center"/>
          </w:tcPr>
          <w:p w14:paraId="56186931">
            <w:pPr>
              <w:keepNext w:val="0"/>
              <w:keepLines w:val="0"/>
              <w:pageBreakBefore w:val="0"/>
              <w:kinsoku/>
              <w:wordWrap/>
              <w:overflowPunct/>
              <w:topLinePunct w:val="0"/>
              <w:autoSpaceDE/>
              <w:autoSpaceDN/>
              <w:bidi w:val="0"/>
              <w:adjustRightInd/>
              <w:snapToGrid/>
              <w:spacing w:line="0" w:lineRule="atLeast"/>
              <w:ind w:left="0" w:leftChars="0" w:right="0" w:right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8分</w:t>
            </w:r>
          </w:p>
        </w:tc>
      </w:tr>
      <w:tr w14:paraId="797D0A0A">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425" w:hRule="atLeast"/>
        </w:trPr>
        <w:tc>
          <w:tcPr>
            <w:tcW w:w="9557" w:type="dxa"/>
            <w:gridSpan w:val="3"/>
            <w:tcBorders>
              <w:top w:val="single" w:color="auto" w:sz="4" w:space="0"/>
              <w:left w:val="single" w:color="auto" w:sz="4" w:space="0"/>
              <w:bottom w:val="single" w:color="auto" w:sz="4" w:space="0"/>
              <w:right w:val="single" w:color="auto" w:sz="4" w:space="0"/>
            </w:tcBorders>
            <w:vAlign w:val="center"/>
          </w:tcPr>
          <w:p w14:paraId="7D6A184F">
            <w:pPr>
              <w:keepNext w:val="0"/>
              <w:keepLines w:val="0"/>
              <w:pageBreakBefore w:val="0"/>
              <w:kinsoku/>
              <w:wordWrap/>
              <w:overflowPunct/>
              <w:topLinePunct w:val="0"/>
              <w:autoSpaceDE/>
              <w:autoSpaceDN/>
              <w:bidi w:val="0"/>
              <w:adjustRightInd/>
              <w:snapToGrid/>
              <w:spacing w:line="0" w:lineRule="atLeast"/>
              <w:ind w:left="0" w:right="0" w:rightChars="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合计</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100</w:t>
            </w:r>
            <w:r>
              <w:rPr>
                <w:rFonts w:hint="eastAsia" w:ascii="宋体" w:hAnsi="宋体" w:eastAsia="宋体" w:cs="宋体"/>
                <w:color w:val="auto"/>
                <w:sz w:val="24"/>
                <w:szCs w:val="24"/>
                <w:highlight w:val="none"/>
                <w:lang w:eastAsia="zh-CN"/>
              </w:rPr>
              <w:t>分</w:t>
            </w:r>
          </w:p>
        </w:tc>
      </w:tr>
    </w:tbl>
    <w:p w14:paraId="078AB4FC">
      <w:pPr>
        <w:textAlignment w:val="baseline"/>
        <w:rPr>
          <w:rFonts w:hint="eastAsia" w:ascii="宋体" w:hAnsi="宋体" w:eastAsia="宋体" w:cs="宋体"/>
          <w:b/>
          <w:bCs/>
        </w:rPr>
      </w:pPr>
    </w:p>
    <w:p w14:paraId="42D2AD7B">
      <w:pPr>
        <w:textAlignment w:val="baseline"/>
        <w:rPr>
          <w:rFonts w:hint="eastAsia" w:ascii="宋体" w:hAnsi="宋体" w:eastAsia="宋体" w:cs="宋体"/>
          <w:b/>
          <w:bCs/>
        </w:rPr>
      </w:pPr>
    </w:p>
    <w:p w14:paraId="19C6C80D">
      <w:pPr>
        <w:textAlignment w:val="baseline"/>
        <w:rPr>
          <w:rFonts w:hint="eastAsia" w:ascii="宋体" w:hAnsi="宋体" w:eastAsia="宋体" w:cs="宋体"/>
          <w:b/>
          <w:bCs/>
          <w:sz w:val="20"/>
        </w:rPr>
      </w:pPr>
      <w:r>
        <w:rPr>
          <w:rFonts w:hint="eastAsia" w:ascii="宋体" w:hAnsi="宋体" w:eastAsia="宋体" w:cs="宋体"/>
          <w:b/>
          <w:bCs/>
        </w:rPr>
        <w:t>说明：</w:t>
      </w:r>
    </w:p>
    <w:p w14:paraId="4429F54B">
      <w:pPr>
        <w:spacing w:line="240" w:lineRule="exact"/>
        <w:rPr>
          <w:rFonts w:hint="eastAsia" w:ascii="宋体" w:hAnsi="宋体" w:eastAsia="宋体" w:cs="宋体"/>
        </w:rPr>
      </w:pPr>
      <w:r>
        <w:rPr>
          <w:rFonts w:hint="eastAsia" w:ascii="宋体" w:hAnsi="宋体" w:eastAsia="宋体" w:cs="宋体"/>
        </w:rPr>
        <w:t>（一）对于专门面向中小企业或小型、微型企业的项目，只面向中小企业或小型、微型企业采购。对于非专门面向中小企业的项目，对小型和微型企业产品的价格给予10%的扣除，用扣除后的价格参与评审。</w:t>
      </w:r>
    </w:p>
    <w:p w14:paraId="4E59678A">
      <w:pPr>
        <w:spacing w:line="240" w:lineRule="exact"/>
        <w:rPr>
          <w:rFonts w:hint="eastAsia" w:ascii="宋体" w:hAnsi="宋体" w:eastAsia="宋体" w:cs="宋体"/>
        </w:rPr>
      </w:pPr>
      <w:r>
        <w:rPr>
          <w:rFonts w:hint="eastAsia" w:ascii="宋体" w:hAnsi="宋体" w:eastAsia="宋体" w:cs="宋体"/>
        </w:rPr>
        <w:t>供应商提供的货物、工程或者服务符合下列情形的，享受本办法规定的中小企业扶持政策：</w:t>
      </w:r>
    </w:p>
    <w:p w14:paraId="68DDE95C">
      <w:pPr>
        <w:spacing w:line="240" w:lineRule="exact"/>
        <w:rPr>
          <w:rFonts w:hint="eastAsia" w:ascii="宋体" w:hAnsi="宋体" w:eastAsia="宋体" w:cs="宋体"/>
        </w:rPr>
      </w:pPr>
      <w:r>
        <w:rPr>
          <w:rFonts w:hint="eastAsia" w:ascii="宋体" w:hAnsi="宋体" w:eastAsia="宋体" w:cs="宋体"/>
        </w:rPr>
        <w:t>1.在货物采购项目中，货物由中小企业制造，即货物由中小企业生产且使用该中小企业商号或者注册商标；</w:t>
      </w:r>
    </w:p>
    <w:p w14:paraId="4DD47A59">
      <w:pPr>
        <w:spacing w:line="240" w:lineRule="exact"/>
        <w:rPr>
          <w:rFonts w:hint="eastAsia" w:ascii="宋体" w:hAnsi="宋体" w:eastAsia="宋体" w:cs="宋体"/>
        </w:rPr>
      </w:pPr>
      <w:r>
        <w:rPr>
          <w:rFonts w:hint="eastAsia" w:ascii="宋体" w:hAnsi="宋体" w:eastAsia="宋体" w:cs="宋体"/>
        </w:rPr>
        <w:t>2.在工程采购项目中，工程由中小企业承建，即工程施工单位为中小企业；</w:t>
      </w:r>
    </w:p>
    <w:p w14:paraId="3698A2DC">
      <w:pPr>
        <w:spacing w:line="240" w:lineRule="exact"/>
        <w:rPr>
          <w:rFonts w:hint="eastAsia" w:ascii="宋体" w:hAnsi="宋体" w:eastAsia="宋体" w:cs="宋体"/>
        </w:rPr>
      </w:pPr>
      <w:r>
        <w:rPr>
          <w:rFonts w:hint="eastAsia" w:ascii="宋体" w:hAnsi="宋体" w:eastAsia="宋体" w:cs="宋体"/>
        </w:rPr>
        <w:t>3.在服务采购项目中，服务由中小企业承接，即提供服务的人员为中小企业依照《中华人民共和国劳动合同法》订立劳动合同的从业人员。</w:t>
      </w:r>
    </w:p>
    <w:p w14:paraId="461C89E5">
      <w:pPr>
        <w:spacing w:line="240" w:lineRule="exact"/>
        <w:rPr>
          <w:rFonts w:hint="eastAsia" w:ascii="宋体" w:hAnsi="宋体" w:eastAsia="宋体" w:cs="宋体"/>
        </w:rPr>
      </w:pPr>
      <w:r>
        <w:rPr>
          <w:rFonts w:hint="eastAsia" w:ascii="宋体" w:hAnsi="宋体" w:eastAsia="宋体" w:cs="宋体"/>
        </w:rPr>
        <w:t>在货物采购项目中，供应商提供的货物既有中小企业制造货物，也有大型企业制造货物的，不享受本办法规定的中小企业扶持政策。</w:t>
      </w:r>
    </w:p>
    <w:p w14:paraId="7FA3BFA8">
      <w:pPr>
        <w:spacing w:line="240" w:lineRule="exact"/>
        <w:rPr>
          <w:rFonts w:hint="eastAsia" w:ascii="宋体" w:hAnsi="宋体" w:eastAsia="宋体" w:cs="宋体"/>
        </w:rPr>
      </w:pPr>
      <w:r>
        <w:rPr>
          <w:rFonts w:hint="eastAsia" w:ascii="宋体" w:hAnsi="宋体" w:eastAsia="宋体" w:cs="宋体"/>
        </w:rPr>
        <w:t>以联合体形式参加政府采购活动，联合体各方均为中小企业的，联合体视同中小企业。其中，联合体各方均为小微企业的，联合体视同小微企业。</w:t>
      </w:r>
    </w:p>
    <w:p w14:paraId="02437BA0">
      <w:pPr>
        <w:spacing w:line="240" w:lineRule="exact"/>
        <w:rPr>
          <w:rFonts w:hint="eastAsia" w:ascii="宋体" w:hAnsi="宋体" w:eastAsia="宋体" w:cs="宋体"/>
        </w:rPr>
      </w:pPr>
      <w:r>
        <w:rPr>
          <w:rFonts w:hint="eastAsia" w:ascii="宋体" w:hAnsi="宋体" w:eastAsia="宋体" w:cs="宋体"/>
        </w:rPr>
        <w:t>（二）参加政府采购活动的中小企业应当提供《中小企业声明函》、由省级以上监狱管理局戒毒管理局(含新疆生产建设兵团)出具的属于监狱企业的证明文件或《残疾人福利性单位声明函》。</w:t>
      </w:r>
    </w:p>
    <w:p w14:paraId="78F5580D">
      <w:pPr>
        <w:spacing w:line="240" w:lineRule="exact"/>
        <w:rPr>
          <w:rFonts w:hint="eastAsia" w:ascii="宋体" w:hAnsi="宋体" w:eastAsia="宋体" w:cs="宋体"/>
        </w:rPr>
      </w:pPr>
      <w:r>
        <w:rPr>
          <w:rFonts w:hint="eastAsia" w:ascii="宋体" w:hAnsi="宋体" w:eastAsia="宋体" w:cs="宋体"/>
        </w:rPr>
        <w:t>（三）根据46号文第九条，接受大中型企业与小微企业组成联合体或者允许大中型企业向一家或者多家小微企业分包的采购项目，对于联合协议或者分包意向协议约定小微企业的合同份额占到合同总金额30%以上的，给予联合体2%的价格扣除，用扣除后的价格参加评审。</w:t>
      </w:r>
    </w:p>
    <w:p w14:paraId="0A219B9F">
      <w:pPr>
        <w:spacing w:line="240" w:lineRule="exact"/>
        <w:rPr>
          <w:rFonts w:hint="eastAsia" w:ascii="宋体" w:hAnsi="宋体" w:eastAsia="宋体" w:cs="宋体"/>
        </w:rPr>
      </w:pPr>
      <w:r>
        <w:rPr>
          <w:rFonts w:hint="eastAsia" w:ascii="宋体" w:hAnsi="宋体" w:eastAsia="宋体" w:cs="宋体"/>
        </w:rPr>
        <w:t>（四）异常低价的处理</w:t>
      </w:r>
    </w:p>
    <w:p w14:paraId="73A85FB6">
      <w:pPr>
        <w:spacing w:line="240" w:lineRule="exact"/>
        <w:rPr>
          <w:rFonts w:hint="eastAsia" w:ascii="宋体" w:hAnsi="宋体" w:eastAsia="宋体" w:cs="宋体"/>
        </w:rPr>
      </w:pPr>
      <w:r>
        <w:rPr>
          <w:rFonts w:hint="eastAsia" w:ascii="宋体" w:hAnsi="宋体" w:eastAsia="宋体" w:cs="宋体"/>
        </w:rPr>
        <w:t>1.评审过程中出现下列情形之一的，评审委员会将启动异常低价投标（响应）审查程序：</w:t>
      </w:r>
    </w:p>
    <w:p w14:paraId="7E2E009A">
      <w:pPr>
        <w:spacing w:line="240" w:lineRule="exact"/>
        <w:rPr>
          <w:rFonts w:hint="eastAsia" w:ascii="宋体" w:hAnsi="宋体" w:eastAsia="宋体" w:cs="宋体"/>
        </w:rPr>
      </w:pPr>
      <w:r>
        <w:rPr>
          <w:rFonts w:hint="eastAsia" w:ascii="宋体" w:hAnsi="宋体" w:eastAsia="宋体" w:cs="宋体"/>
        </w:rPr>
        <w:t>（1）投标（响应）报价低于全部通过符合性审查供应商投标（响应）报价平均值50%的，即投标（响应）报价&lt;全部通过符合性审查供应商投标（响应）报价平均值×50%；</w:t>
      </w:r>
    </w:p>
    <w:p w14:paraId="4D2C1209">
      <w:pPr>
        <w:spacing w:line="240" w:lineRule="exact"/>
        <w:rPr>
          <w:rFonts w:hint="eastAsia" w:ascii="宋体" w:hAnsi="宋体" w:eastAsia="宋体" w:cs="宋体"/>
        </w:rPr>
      </w:pPr>
      <w:r>
        <w:rPr>
          <w:rFonts w:hint="eastAsia" w:ascii="宋体" w:hAnsi="宋体" w:eastAsia="宋体" w:cs="宋体"/>
        </w:rPr>
        <w:t>（2）投标（响应）报价低于通过符合性审查的次低报价供应商投标（响应）报价50%的，即投标（响应）报价&lt;通过符合性审查的次低报价供应商投标（响应）报价×50%；</w:t>
      </w:r>
    </w:p>
    <w:p w14:paraId="3CF7E95F">
      <w:pPr>
        <w:spacing w:line="240" w:lineRule="exact"/>
        <w:rPr>
          <w:rFonts w:hint="eastAsia" w:ascii="宋体" w:hAnsi="宋体" w:eastAsia="宋体" w:cs="宋体"/>
        </w:rPr>
      </w:pPr>
      <w:r>
        <w:rPr>
          <w:rFonts w:hint="eastAsia" w:ascii="宋体" w:hAnsi="宋体" w:eastAsia="宋体" w:cs="宋体"/>
        </w:rPr>
        <w:t>（3）投标（响应）报价低于采购项目最高限价45%的，即投标（响应）报价&lt;采购项目最高限价×45%（未设定最高限价的采购项目，以采购项目预算金额作为最高限价）；</w:t>
      </w:r>
    </w:p>
    <w:p w14:paraId="7A240D6D">
      <w:pPr>
        <w:spacing w:line="240" w:lineRule="exact"/>
        <w:rPr>
          <w:rFonts w:hint="eastAsia" w:ascii="宋体" w:hAnsi="宋体" w:eastAsia="宋体" w:cs="宋体"/>
        </w:rPr>
      </w:pPr>
      <w:r>
        <w:rPr>
          <w:rFonts w:hint="eastAsia" w:ascii="宋体" w:hAnsi="宋体" w:eastAsia="宋体" w:cs="宋体"/>
        </w:rPr>
        <w:t>（4）评审委员会基于专业判断，认为供应商报价过低，有可能影响产品质量或者不能诚信履约的其他情形。</w:t>
      </w:r>
    </w:p>
    <w:p w14:paraId="3750D535">
      <w:pPr>
        <w:spacing w:line="240" w:lineRule="exact"/>
        <w:rPr>
          <w:rFonts w:hint="eastAsia" w:ascii="宋体" w:hAnsi="宋体" w:eastAsia="宋体" w:cs="宋体"/>
        </w:rPr>
      </w:pPr>
      <w:r>
        <w:rPr>
          <w:rFonts w:hint="eastAsia" w:ascii="宋体" w:hAnsi="宋体" w:eastAsia="宋体" w:cs="宋体"/>
        </w:rPr>
        <w:t>2.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27BC5ED8">
      <w:pPr>
        <w:spacing w:line="240" w:lineRule="exact"/>
        <w:rPr>
          <w:rFonts w:hint="eastAsia" w:ascii="宋体" w:hAnsi="宋体" w:eastAsia="宋体" w:cs="宋体"/>
        </w:rPr>
      </w:pPr>
      <w:r>
        <w:rPr>
          <w:rFonts w:hint="eastAsia" w:ascii="宋体" w:hAnsi="宋体" w:eastAsia="宋体" w:cs="宋体"/>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4FB4586">
      <w:pPr>
        <w:spacing w:line="240" w:lineRule="exact"/>
        <w:rPr>
          <w:rFonts w:hint="eastAsia" w:ascii="宋体" w:hAnsi="宋体" w:eastAsia="宋体" w:cs="宋体"/>
        </w:rPr>
      </w:pPr>
      <w:r>
        <w:rPr>
          <w:rFonts w:hint="eastAsia" w:ascii="宋体" w:hAnsi="宋体" w:eastAsia="宋体" w:cs="宋体"/>
        </w:rPr>
        <w:t>（五）采购本国产品的支持政策</w:t>
      </w:r>
    </w:p>
    <w:p w14:paraId="69E4F0C6">
      <w:pPr>
        <w:spacing w:line="240" w:lineRule="exact"/>
        <w:rPr>
          <w:rFonts w:hint="eastAsia" w:ascii="宋体" w:hAnsi="宋体" w:eastAsia="宋体" w:cs="宋体"/>
        </w:rPr>
      </w:pPr>
      <w:r>
        <w:rPr>
          <w:rFonts w:hint="eastAsia" w:ascii="宋体" w:hAnsi="宋体" w:eastAsia="宋体" w:cs="宋体"/>
        </w:rPr>
        <w:t>（1）政府采购活动中既有本国产品又有非本国产品参与竞争的，依法对本国产品给予价格评审优惠，对本国产品的报价给予20%的价格扣除，用扣除后的价格参与评审。</w:t>
      </w:r>
    </w:p>
    <w:p w14:paraId="4D6978B6">
      <w:pPr>
        <w:spacing w:line="240" w:lineRule="exact"/>
        <w:rPr>
          <w:rFonts w:hint="eastAsia" w:ascii="宋体" w:hAnsi="宋体" w:eastAsia="宋体" w:cs="宋体"/>
        </w:rPr>
      </w:pPr>
      <w:r>
        <w:rPr>
          <w:rFonts w:hint="eastAsia" w:ascii="宋体" w:hAnsi="宋体" w:eastAsia="宋体" w:cs="宋体"/>
        </w:rPr>
        <w:t>（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7F822432">
      <w:pPr>
        <w:spacing w:line="240" w:lineRule="exact"/>
        <w:rPr>
          <w:rFonts w:hint="eastAsia" w:ascii="宋体" w:hAnsi="宋体" w:eastAsia="宋体" w:cs="宋体"/>
        </w:rPr>
      </w:pPr>
      <w:r>
        <w:rPr>
          <w:rFonts w:hint="eastAsia" w:ascii="宋体" w:hAnsi="宋体" w:eastAsia="宋体" w:cs="宋体"/>
        </w:rPr>
        <w:t>（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DD91278">
      <w:pPr>
        <w:spacing w:line="240" w:lineRule="exact"/>
        <w:rPr>
          <w:rFonts w:hint="eastAsia" w:ascii="宋体" w:hAnsi="宋体" w:eastAsia="宋体" w:cs="宋体"/>
        </w:rPr>
      </w:pPr>
      <w:r>
        <w:rPr>
          <w:rFonts w:hint="eastAsia" w:ascii="宋体" w:hAnsi="宋体" w:eastAsia="宋体" w:cs="宋体"/>
        </w:rPr>
        <w:t>（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4E1B341">
      <w:pPr>
        <w:spacing w:line="240" w:lineRule="exact"/>
        <w:rPr>
          <w:rFonts w:hint="eastAsia" w:ascii="宋体" w:hAnsi="宋体" w:eastAsia="宋体" w:cs="宋体"/>
        </w:rPr>
      </w:pPr>
      <w:r>
        <w:rPr>
          <w:rFonts w:hint="eastAsia" w:ascii="宋体" w:hAnsi="宋体" w:eastAsia="宋体" w:cs="宋体"/>
        </w:rPr>
        <w:t>（5）供应商需按照招标文件的要求提供《关于符合本国产品标准的声明函》（以下简称《声明函》），如不提供将不享受本国产品价格评审优惠。</w:t>
      </w:r>
    </w:p>
    <w:p w14:paraId="22F3910F">
      <w:pPr>
        <w:spacing w:line="240" w:lineRule="exact"/>
        <w:rPr>
          <w:rFonts w:hint="eastAsia" w:ascii="宋体" w:hAnsi="宋体" w:eastAsia="宋体" w:cs="宋体"/>
        </w:rPr>
      </w:pPr>
      <w:r>
        <w:rPr>
          <w:rFonts w:hint="eastAsia" w:ascii="宋体" w:hAnsi="宋体" w:eastAsia="宋体" w:cs="宋体"/>
        </w:rPr>
        <w:t>（6）供应商需在《声明函》中逐一、准确填写产品名称、厂名、生产厂址三项信息（《声明函》中用斜线划除的地方无需填写），三项信息中任意一项未填写的视为该项产品不符合本国产品标准，不享受本国产品价格评审优惠。</w:t>
      </w:r>
    </w:p>
    <w:p w14:paraId="49058877">
      <w:pPr>
        <w:spacing w:line="240" w:lineRule="exact"/>
        <w:rPr>
          <w:rFonts w:hint="eastAsia" w:ascii="宋体" w:hAnsi="宋体" w:eastAsia="宋体" w:cs="宋体"/>
          <w:sz w:val="20"/>
        </w:rPr>
      </w:pPr>
      <w:r>
        <w:rPr>
          <w:rFonts w:hint="eastAsia" w:ascii="宋体" w:hAnsi="宋体" w:eastAsia="宋体" w:cs="宋体"/>
        </w:rPr>
        <w:t>（7）评审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17C512A5">
      <w:pPr>
        <w:pStyle w:val="29"/>
        <w:pageBreakBefore/>
        <w:spacing w:after="317" w:line="360" w:lineRule="auto"/>
        <w:textAlignment w:val="baseline"/>
        <w:rPr>
          <w:rFonts w:hint="eastAsia" w:ascii="宋体" w:hAnsi="宋体" w:eastAsia="宋体" w:cs="宋体"/>
        </w:rPr>
      </w:pPr>
      <w:r>
        <w:rPr>
          <w:rFonts w:hint="eastAsia" w:ascii="宋体" w:hAnsi="宋体" w:eastAsia="宋体" w:cs="宋体"/>
          <w:sz w:val="40"/>
        </w:rPr>
        <w:t>第六章 响应文件格式</w:t>
      </w:r>
      <w:bookmarkEnd w:id="120"/>
      <w:bookmarkEnd w:id="121"/>
      <w:bookmarkEnd w:id="122"/>
      <w:bookmarkEnd w:id="123"/>
      <w:bookmarkEnd w:id="124"/>
      <w:bookmarkEnd w:id="125"/>
      <w:bookmarkEnd w:id="126"/>
      <w:bookmarkEnd w:id="127"/>
      <w:bookmarkEnd w:id="128"/>
      <w:bookmarkEnd w:id="129"/>
      <w:bookmarkEnd w:id="130"/>
      <w:bookmarkEnd w:id="131"/>
    </w:p>
    <w:p w14:paraId="5640894C">
      <w:pPr>
        <w:pStyle w:val="28"/>
        <w:spacing w:before="0" w:after="0"/>
        <w:ind w:firstLine="0" w:firstLineChars="0"/>
        <w:jc w:val="center"/>
        <w:textAlignment w:val="baseline"/>
        <w:rPr>
          <w:rFonts w:hint="eastAsia" w:ascii="宋体" w:hAnsi="宋体" w:eastAsia="宋体" w:cs="宋体"/>
          <w:b/>
          <w:bCs/>
          <w:sz w:val="72"/>
          <w:szCs w:val="72"/>
        </w:rPr>
      </w:pPr>
    </w:p>
    <w:p w14:paraId="5CCC449E">
      <w:pPr>
        <w:pStyle w:val="28"/>
        <w:shd w:val="clear" w:color="auto" w:fill="auto"/>
        <w:spacing w:before="0" w:after="0"/>
        <w:ind w:firstLine="0" w:firstLineChars="0"/>
        <w:jc w:val="center"/>
        <w:rPr>
          <w:rFonts w:hint="eastAsia" w:ascii="宋体" w:hAnsi="宋体" w:eastAsia="宋体" w:cs="宋体"/>
          <w:b/>
          <w:bCs/>
          <w:color w:val="000000"/>
          <w:sz w:val="72"/>
          <w:szCs w:val="72"/>
          <w:highlight w:val="none"/>
        </w:rPr>
      </w:pPr>
      <w:r>
        <w:rPr>
          <w:rFonts w:hint="eastAsia" w:ascii="宋体" w:hAnsi="宋体" w:eastAsia="宋体" w:cs="宋体"/>
          <w:b/>
          <w:bCs/>
          <w:color w:val="000000"/>
          <w:sz w:val="72"/>
          <w:szCs w:val="72"/>
          <w:highlight w:val="none"/>
        </w:rPr>
        <w:t>响</w:t>
      </w:r>
      <w:r>
        <w:rPr>
          <w:rFonts w:hint="eastAsia" w:ascii="宋体" w:hAnsi="宋体" w:eastAsia="宋体" w:cs="宋体"/>
          <w:b/>
          <w:bCs/>
          <w:color w:val="000000"/>
          <w:sz w:val="72"/>
          <w:szCs w:val="72"/>
          <w:highlight w:val="none"/>
          <w:lang w:val="en-US" w:eastAsia="zh-CN"/>
        </w:rPr>
        <w:t xml:space="preserve">  </w:t>
      </w:r>
      <w:r>
        <w:rPr>
          <w:rFonts w:hint="eastAsia" w:ascii="宋体" w:hAnsi="宋体" w:eastAsia="宋体" w:cs="宋体"/>
          <w:b/>
          <w:bCs/>
          <w:color w:val="000000"/>
          <w:sz w:val="72"/>
          <w:szCs w:val="72"/>
          <w:highlight w:val="none"/>
        </w:rPr>
        <w:t>应</w:t>
      </w:r>
      <w:r>
        <w:rPr>
          <w:rFonts w:hint="eastAsia" w:ascii="宋体" w:hAnsi="宋体" w:eastAsia="宋体" w:cs="宋体"/>
          <w:b/>
          <w:bCs/>
          <w:color w:val="000000"/>
          <w:sz w:val="72"/>
          <w:szCs w:val="72"/>
          <w:highlight w:val="none"/>
          <w:lang w:val="en-US" w:eastAsia="zh-CN"/>
        </w:rPr>
        <w:t xml:space="preserve">  </w:t>
      </w:r>
      <w:r>
        <w:rPr>
          <w:rFonts w:hint="eastAsia" w:ascii="宋体" w:hAnsi="宋体" w:eastAsia="宋体" w:cs="宋体"/>
          <w:b/>
          <w:bCs/>
          <w:color w:val="000000"/>
          <w:sz w:val="72"/>
          <w:szCs w:val="72"/>
          <w:highlight w:val="none"/>
        </w:rPr>
        <w:t>文</w:t>
      </w:r>
      <w:r>
        <w:rPr>
          <w:rFonts w:hint="eastAsia" w:ascii="宋体" w:hAnsi="宋体" w:eastAsia="宋体" w:cs="宋体"/>
          <w:b/>
          <w:bCs/>
          <w:color w:val="000000"/>
          <w:sz w:val="72"/>
          <w:szCs w:val="72"/>
          <w:highlight w:val="none"/>
          <w:lang w:val="en-US" w:eastAsia="zh-CN"/>
        </w:rPr>
        <w:t xml:space="preserve">  </w:t>
      </w:r>
      <w:r>
        <w:rPr>
          <w:rFonts w:hint="eastAsia" w:ascii="宋体" w:hAnsi="宋体" w:eastAsia="宋体" w:cs="宋体"/>
          <w:b/>
          <w:bCs/>
          <w:color w:val="000000"/>
          <w:sz w:val="72"/>
          <w:szCs w:val="72"/>
          <w:highlight w:val="none"/>
        </w:rPr>
        <w:t>件</w:t>
      </w:r>
    </w:p>
    <w:p w14:paraId="038C3468">
      <w:pPr>
        <w:pStyle w:val="28"/>
        <w:shd w:val="clear" w:color="auto" w:fill="auto"/>
        <w:spacing w:before="0" w:after="0"/>
        <w:ind w:firstLine="0" w:firstLineChars="0"/>
        <w:jc w:val="center"/>
        <w:rPr>
          <w:rFonts w:hint="eastAsia" w:ascii="宋体" w:hAnsi="宋体" w:eastAsia="宋体" w:cs="宋体"/>
          <w:b/>
          <w:bCs/>
          <w:color w:val="000000"/>
          <w:sz w:val="52"/>
          <w:szCs w:val="52"/>
          <w:highlight w:val="none"/>
        </w:rPr>
      </w:pPr>
      <w:bookmarkStart w:id="142" w:name="_Toc3841"/>
      <w:bookmarkStart w:id="143" w:name="_Toc27695"/>
    </w:p>
    <w:bookmarkEnd w:id="142"/>
    <w:bookmarkEnd w:id="143"/>
    <w:p w14:paraId="785C528A">
      <w:pPr>
        <w:pStyle w:val="28"/>
        <w:shd w:val="clear" w:color="auto" w:fill="auto"/>
        <w:spacing w:before="0" w:after="0"/>
        <w:ind w:firstLine="0" w:firstLineChars="0"/>
        <w:jc w:val="center"/>
        <w:rPr>
          <w:rFonts w:hint="eastAsia" w:ascii="宋体" w:hAnsi="宋体" w:eastAsia="宋体" w:cs="宋体"/>
          <w:b/>
          <w:bCs/>
          <w:color w:val="000000"/>
          <w:sz w:val="32"/>
          <w:szCs w:val="32"/>
          <w:highlight w:val="none"/>
        </w:rPr>
      </w:pPr>
    </w:p>
    <w:p w14:paraId="07FCBB34">
      <w:pPr>
        <w:pStyle w:val="28"/>
        <w:shd w:val="clear" w:color="auto" w:fill="auto"/>
        <w:spacing w:before="0" w:after="0"/>
        <w:ind w:firstLine="0" w:firstLineChars="0"/>
        <w:rPr>
          <w:rFonts w:hint="eastAsia" w:ascii="宋体" w:hAnsi="宋体" w:eastAsia="宋体" w:cs="宋体"/>
          <w:color w:val="000000"/>
          <w:highlight w:val="none"/>
        </w:rPr>
      </w:pPr>
    </w:p>
    <w:p w14:paraId="78FB4B29">
      <w:pPr>
        <w:pStyle w:val="28"/>
        <w:shd w:val="clear" w:color="auto" w:fill="auto"/>
        <w:spacing w:before="0" w:after="0"/>
        <w:ind w:firstLine="0" w:firstLineChars="0"/>
        <w:rPr>
          <w:rFonts w:hint="eastAsia" w:ascii="宋体" w:hAnsi="宋体" w:eastAsia="宋体" w:cs="宋体"/>
          <w:color w:val="000000"/>
          <w:highlight w:val="none"/>
        </w:rPr>
      </w:pPr>
    </w:p>
    <w:p w14:paraId="3F505B47">
      <w:pPr>
        <w:pStyle w:val="28"/>
        <w:shd w:val="clear" w:color="auto" w:fill="auto"/>
        <w:spacing w:before="0" w:after="0"/>
        <w:ind w:firstLine="0" w:firstLineChars="0"/>
        <w:rPr>
          <w:rFonts w:hint="eastAsia" w:ascii="宋体" w:hAnsi="宋体" w:eastAsia="宋体" w:cs="宋体"/>
          <w:color w:val="000000"/>
          <w:highlight w:val="none"/>
        </w:rPr>
      </w:pPr>
    </w:p>
    <w:p w14:paraId="413F60E2">
      <w:pPr>
        <w:pStyle w:val="28"/>
        <w:shd w:val="clear" w:color="auto" w:fill="auto"/>
        <w:spacing w:before="0" w:after="0"/>
        <w:rPr>
          <w:rFonts w:hint="eastAsia" w:ascii="宋体" w:hAnsi="宋体" w:eastAsia="宋体" w:cs="宋体"/>
          <w:color w:val="000000"/>
          <w:highlight w:val="none"/>
        </w:rPr>
      </w:pPr>
    </w:p>
    <w:p w14:paraId="1DFFDE69">
      <w:pPr>
        <w:spacing w:beforeLines="0" w:afterLines="0"/>
        <w:ind w:firstLine="1905" w:firstLineChars="527"/>
        <w:rPr>
          <w:rFonts w:hint="eastAsia" w:ascii="宋体" w:hAnsi="宋体" w:eastAsia="宋体" w:cs="宋体"/>
          <w:b/>
          <w:color w:val="000000"/>
          <w:sz w:val="36"/>
          <w:szCs w:val="21"/>
        </w:rPr>
      </w:pPr>
      <w:bookmarkStart w:id="144" w:name="_Toc28"/>
      <w:bookmarkStart w:id="145" w:name="_Toc32649"/>
      <w:bookmarkStart w:id="146" w:name="_Toc16453"/>
      <w:bookmarkStart w:id="147" w:name="_Toc25917"/>
      <w:r>
        <w:rPr>
          <w:rFonts w:hint="eastAsia" w:ascii="宋体" w:hAnsi="宋体" w:eastAsia="宋体" w:cs="宋体"/>
          <w:b/>
          <w:color w:val="000000"/>
          <w:sz w:val="36"/>
          <w:szCs w:val="21"/>
        </w:rPr>
        <w:t>项 目 名 称：</w:t>
      </w:r>
      <w:r>
        <w:rPr>
          <w:rFonts w:hint="eastAsia" w:ascii="宋体" w:hAnsi="宋体" w:eastAsia="宋体" w:cs="宋体"/>
          <w:b/>
          <w:color w:val="000000"/>
          <w:sz w:val="36"/>
          <w:szCs w:val="21"/>
          <w:u w:val="single"/>
        </w:rPr>
        <w:t xml:space="preserve">                   </w:t>
      </w:r>
    </w:p>
    <w:p w14:paraId="2566E5BC">
      <w:pPr>
        <w:spacing w:beforeLines="0" w:afterLines="0"/>
        <w:ind w:firstLine="1905" w:firstLineChars="527"/>
        <w:rPr>
          <w:rFonts w:hint="eastAsia" w:ascii="宋体" w:hAnsi="宋体" w:eastAsia="宋体" w:cs="宋体"/>
          <w:b/>
          <w:color w:val="000000"/>
          <w:sz w:val="36"/>
          <w:szCs w:val="21"/>
          <w:u w:val="single"/>
        </w:rPr>
      </w:pPr>
      <w:r>
        <w:rPr>
          <w:rFonts w:hint="eastAsia" w:ascii="宋体" w:hAnsi="宋体" w:eastAsia="宋体" w:cs="宋体"/>
          <w:b/>
          <w:color w:val="000000"/>
          <w:sz w:val="36"/>
          <w:szCs w:val="21"/>
        </w:rPr>
        <w:t>项 目 编 号：</w:t>
      </w:r>
      <w:r>
        <w:rPr>
          <w:rFonts w:hint="eastAsia" w:ascii="宋体" w:hAnsi="宋体" w:eastAsia="宋体" w:cs="宋体"/>
          <w:b/>
          <w:color w:val="000000"/>
          <w:sz w:val="36"/>
          <w:szCs w:val="21"/>
          <w:u w:val="single"/>
        </w:rPr>
        <w:t xml:space="preserve">                   </w:t>
      </w:r>
    </w:p>
    <w:p w14:paraId="4A4E791E">
      <w:pPr>
        <w:spacing w:beforeLines="0" w:afterLines="0"/>
        <w:ind w:firstLine="1905" w:firstLineChars="527"/>
        <w:rPr>
          <w:rFonts w:hint="eastAsia" w:ascii="宋体" w:hAnsi="宋体" w:eastAsia="宋体" w:cs="宋体"/>
          <w:b/>
          <w:color w:val="000000"/>
          <w:sz w:val="36"/>
          <w:szCs w:val="21"/>
          <w:u w:val="single"/>
        </w:rPr>
      </w:pPr>
      <w:r>
        <w:rPr>
          <w:rFonts w:hint="eastAsia" w:ascii="宋体" w:hAnsi="宋体" w:eastAsia="宋体" w:cs="宋体"/>
          <w:b/>
          <w:color w:val="000000"/>
          <w:sz w:val="36"/>
          <w:szCs w:val="21"/>
        </w:rPr>
        <w:t>供应商名称 ：</w:t>
      </w:r>
      <w:r>
        <w:rPr>
          <w:rFonts w:hint="eastAsia" w:ascii="宋体" w:hAnsi="宋体" w:eastAsia="宋体" w:cs="宋体"/>
          <w:b/>
          <w:bCs w:val="0"/>
          <w:color w:val="000000"/>
          <w:sz w:val="36"/>
          <w:szCs w:val="21"/>
          <w:u w:val="single"/>
        </w:rPr>
        <w:t>（加盖电子公章）</w:t>
      </w:r>
      <w:r>
        <w:rPr>
          <w:rFonts w:hint="eastAsia" w:ascii="宋体" w:hAnsi="宋体" w:eastAsia="宋体" w:cs="宋体"/>
          <w:b/>
          <w:color w:val="000000"/>
          <w:sz w:val="36"/>
          <w:szCs w:val="21"/>
          <w:u w:val="single"/>
        </w:rPr>
        <w:t xml:space="preserve">   </w:t>
      </w:r>
    </w:p>
    <w:p w14:paraId="45050211">
      <w:pPr>
        <w:spacing w:beforeLines="0" w:afterLines="0"/>
        <w:ind w:firstLine="1905" w:firstLineChars="527"/>
        <w:rPr>
          <w:rFonts w:hint="eastAsia" w:ascii="宋体" w:hAnsi="宋体" w:eastAsia="宋体" w:cs="宋体"/>
          <w:b/>
          <w:color w:val="000000"/>
          <w:sz w:val="36"/>
          <w:szCs w:val="21"/>
          <w:u w:val="single"/>
        </w:rPr>
      </w:pPr>
      <w:r>
        <w:rPr>
          <w:rFonts w:hint="eastAsia" w:ascii="宋体" w:hAnsi="宋体" w:eastAsia="宋体" w:cs="宋体"/>
          <w:b/>
          <w:color w:val="000000"/>
          <w:sz w:val="36"/>
          <w:szCs w:val="21"/>
        </w:rPr>
        <w:t>日      期 ：</w:t>
      </w:r>
      <w:r>
        <w:rPr>
          <w:rFonts w:hint="eastAsia" w:ascii="宋体" w:hAnsi="宋体" w:eastAsia="宋体" w:cs="宋体"/>
          <w:b/>
          <w:color w:val="000000"/>
          <w:sz w:val="36"/>
          <w:szCs w:val="21"/>
          <w:u w:val="single"/>
        </w:rPr>
        <w:t xml:space="preserve">                   </w:t>
      </w:r>
    </w:p>
    <w:bookmarkEnd w:id="144"/>
    <w:bookmarkEnd w:id="145"/>
    <w:bookmarkEnd w:id="146"/>
    <w:bookmarkEnd w:id="147"/>
    <w:p w14:paraId="637F40AE">
      <w:pPr>
        <w:shd w:val="clear" w:color="auto" w:fill="auto"/>
        <w:spacing w:line="360" w:lineRule="auto"/>
        <w:jc w:val="center"/>
        <w:rPr>
          <w:rFonts w:hint="eastAsia" w:ascii="宋体" w:hAnsi="宋体" w:eastAsia="宋体" w:cs="宋体"/>
          <w:b/>
          <w:bCs/>
          <w:color w:val="000000"/>
          <w:sz w:val="36"/>
          <w:szCs w:val="36"/>
          <w:highlight w:val="none"/>
          <w:u w:val="single"/>
        </w:rPr>
      </w:pPr>
      <w:r>
        <w:rPr>
          <w:rFonts w:hint="eastAsia" w:ascii="宋体" w:hAnsi="宋体" w:eastAsia="宋体" w:cs="宋体"/>
          <w:b/>
          <w:bCs/>
          <w:color w:val="000000"/>
          <w:sz w:val="36"/>
          <w:szCs w:val="36"/>
          <w:highlight w:val="none"/>
          <w:u w:val="single"/>
        </w:rPr>
        <w:br w:type="page"/>
      </w:r>
      <w:bookmarkStart w:id="148" w:name="_Toc9798"/>
      <w:bookmarkStart w:id="149" w:name="_Toc27163"/>
    </w:p>
    <w:p w14:paraId="0C2C5DD8">
      <w:pPr>
        <w:spacing w:beforeLines="0" w:afterLines="0"/>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响应文件目录</w:t>
      </w:r>
    </w:p>
    <w:p w14:paraId="61E8DA10">
      <w:pPr>
        <w:spacing w:beforeLines="0" w:afterLines="0" w:line="440" w:lineRule="exact"/>
        <w:jc w:val="center"/>
        <w:rPr>
          <w:rFonts w:hint="eastAsia" w:ascii="宋体" w:hAnsi="宋体" w:eastAsia="宋体" w:cs="宋体"/>
          <w:b/>
          <w:color w:val="000000"/>
          <w:sz w:val="32"/>
          <w:szCs w:val="32"/>
        </w:rPr>
      </w:pPr>
    </w:p>
    <w:p w14:paraId="66C54B18">
      <w:pPr>
        <w:spacing w:beforeLines="0" w:afterLines="0" w:line="6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rPr>
        <w:t>一、</w:t>
      </w:r>
      <w:r>
        <w:rPr>
          <w:rFonts w:hint="eastAsia" w:ascii="宋体" w:hAnsi="宋体" w:eastAsia="宋体" w:cs="宋体"/>
          <w:color w:val="000000"/>
          <w:sz w:val="28"/>
          <w:szCs w:val="28"/>
          <w:highlight w:val="none"/>
        </w:rPr>
        <w:t>法人授权书</w:t>
      </w:r>
    </w:p>
    <w:p w14:paraId="10A9C39C">
      <w:pPr>
        <w:spacing w:beforeLines="0" w:afterLines="0" w:line="6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二</w:t>
      </w:r>
      <w:r>
        <w:rPr>
          <w:rFonts w:hint="eastAsia" w:ascii="宋体" w:hAnsi="宋体" w:eastAsia="宋体" w:cs="宋体"/>
          <w:color w:val="000000"/>
          <w:sz w:val="28"/>
          <w:szCs w:val="28"/>
          <w:highlight w:val="none"/>
        </w:rPr>
        <w:t>、磋商响应函</w:t>
      </w:r>
    </w:p>
    <w:p w14:paraId="2AFB5A8B">
      <w:pPr>
        <w:spacing w:beforeLines="0" w:afterLines="0" w:line="600" w:lineRule="exact"/>
        <w:ind w:firstLine="560"/>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val="en-US" w:eastAsia="zh-CN"/>
        </w:rPr>
        <w:t>三</w:t>
      </w:r>
      <w:r>
        <w:rPr>
          <w:rFonts w:hint="eastAsia" w:ascii="宋体" w:hAnsi="宋体" w:eastAsia="宋体" w:cs="宋体"/>
          <w:color w:val="000000"/>
          <w:sz w:val="28"/>
          <w:szCs w:val="28"/>
          <w:highlight w:val="none"/>
        </w:rPr>
        <w:t>、报价</w:t>
      </w:r>
      <w:r>
        <w:rPr>
          <w:rFonts w:hint="eastAsia" w:ascii="宋体" w:hAnsi="宋体" w:eastAsia="宋体" w:cs="宋体"/>
          <w:color w:val="000000"/>
          <w:sz w:val="28"/>
          <w:szCs w:val="28"/>
          <w:highlight w:val="none"/>
          <w:lang w:eastAsia="zh-CN"/>
        </w:rPr>
        <w:t>一览表</w:t>
      </w:r>
    </w:p>
    <w:p w14:paraId="0C546543">
      <w:pPr>
        <w:spacing w:beforeLines="0" w:afterLines="0" w:line="6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四</w:t>
      </w:r>
      <w:r>
        <w:rPr>
          <w:rFonts w:hint="eastAsia" w:ascii="宋体" w:hAnsi="宋体" w:eastAsia="宋体" w:cs="宋体"/>
          <w:color w:val="000000"/>
          <w:sz w:val="28"/>
          <w:szCs w:val="28"/>
          <w:highlight w:val="none"/>
        </w:rPr>
        <w:t>、报价明细表</w:t>
      </w:r>
    </w:p>
    <w:p w14:paraId="1785566E">
      <w:pPr>
        <w:spacing w:beforeLines="0" w:afterLines="0" w:line="6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五</w:t>
      </w:r>
      <w:r>
        <w:rPr>
          <w:rFonts w:hint="eastAsia" w:ascii="宋体" w:hAnsi="宋体" w:eastAsia="宋体" w:cs="宋体"/>
          <w:color w:val="000000"/>
          <w:sz w:val="28"/>
          <w:szCs w:val="28"/>
          <w:highlight w:val="none"/>
        </w:rPr>
        <w:t>、商务要求响应及偏离表</w:t>
      </w:r>
    </w:p>
    <w:p w14:paraId="590C6182">
      <w:pPr>
        <w:spacing w:beforeLines="0" w:afterLines="0" w:line="6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六</w:t>
      </w:r>
      <w:r>
        <w:rPr>
          <w:rFonts w:hint="eastAsia" w:ascii="宋体" w:hAnsi="宋体" w:eastAsia="宋体" w:cs="宋体"/>
          <w:color w:val="000000"/>
          <w:sz w:val="28"/>
          <w:szCs w:val="28"/>
          <w:highlight w:val="none"/>
        </w:rPr>
        <w:t>、</w:t>
      </w:r>
      <w:r>
        <w:rPr>
          <w:rFonts w:hint="eastAsia" w:ascii="宋体" w:hAnsi="宋体" w:eastAsia="宋体" w:cs="宋体"/>
          <w:color w:val="000000"/>
          <w:sz w:val="28"/>
          <w:szCs w:val="28"/>
          <w:highlight w:val="none"/>
          <w:lang w:eastAsia="zh-CN"/>
        </w:rPr>
        <w:t>服务</w:t>
      </w:r>
      <w:r>
        <w:rPr>
          <w:rFonts w:hint="eastAsia" w:ascii="宋体" w:hAnsi="宋体" w:eastAsia="宋体" w:cs="宋体"/>
          <w:color w:val="000000"/>
          <w:sz w:val="28"/>
          <w:szCs w:val="28"/>
          <w:highlight w:val="none"/>
        </w:rPr>
        <w:t>要求响应及偏离表</w:t>
      </w:r>
    </w:p>
    <w:p w14:paraId="24B95886">
      <w:pPr>
        <w:spacing w:beforeLines="0" w:afterLines="0" w:line="6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七</w:t>
      </w:r>
      <w:r>
        <w:rPr>
          <w:rFonts w:hint="eastAsia" w:ascii="宋体" w:hAnsi="宋体" w:eastAsia="宋体" w:cs="宋体"/>
          <w:color w:val="000000"/>
          <w:sz w:val="28"/>
          <w:szCs w:val="28"/>
          <w:highlight w:val="none"/>
        </w:rPr>
        <w:t>、拟投入项目人员一览表</w:t>
      </w:r>
    </w:p>
    <w:p w14:paraId="2A6A6B00">
      <w:pPr>
        <w:spacing w:beforeLines="0" w:afterLines="0" w:line="600" w:lineRule="exact"/>
        <w:ind w:firstLine="560"/>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val="en-US" w:eastAsia="zh-CN"/>
        </w:rPr>
        <w:t>八</w:t>
      </w:r>
      <w:r>
        <w:rPr>
          <w:rFonts w:hint="eastAsia" w:ascii="宋体" w:hAnsi="宋体" w:eastAsia="宋体" w:cs="宋体"/>
          <w:color w:val="000000"/>
          <w:sz w:val="28"/>
          <w:szCs w:val="28"/>
          <w:highlight w:val="none"/>
          <w:lang w:eastAsia="zh-CN"/>
        </w:rPr>
        <w:t>、业绩</w:t>
      </w:r>
    </w:p>
    <w:p w14:paraId="0B8756F7">
      <w:pPr>
        <w:spacing w:beforeLines="0" w:afterLines="0" w:line="6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九</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rPr>
        <w:t>中小企业声明函（如有）</w:t>
      </w:r>
    </w:p>
    <w:p w14:paraId="2D19030D">
      <w:pPr>
        <w:numPr>
          <w:ilvl w:val="-1"/>
          <w:numId w:val="0"/>
        </w:numPr>
        <w:spacing w:beforeLines="0" w:afterLines="0" w:line="600" w:lineRule="exact"/>
        <w:ind w:firstLine="560" w:firstLineChars="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十、</w:t>
      </w:r>
      <w:r>
        <w:rPr>
          <w:rFonts w:hint="eastAsia" w:ascii="宋体" w:hAnsi="宋体" w:eastAsia="宋体" w:cs="宋体"/>
          <w:color w:val="000000"/>
          <w:sz w:val="28"/>
          <w:szCs w:val="28"/>
          <w:highlight w:val="none"/>
        </w:rPr>
        <w:t>残疾人福利性单位声明函（如有）</w:t>
      </w:r>
    </w:p>
    <w:p w14:paraId="1FE7DB24">
      <w:pPr>
        <w:spacing w:beforeLines="0" w:afterLines="0" w:line="600" w:lineRule="exact"/>
        <w:ind w:firstLine="560" w:firstLineChars="200"/>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十</w:t>
      </w:r>
      <w:r>
        <w:rPr>
          <w:rFonts w:hint="eastAsia" w:ascii="宋体" w:hAnsi="宋体" w:eastAsia="宋体" w:cs="宋体"/>
          <w:color w:val="000000"/>
          <w:sz w:val="28"/>
          <w:szCs w:val="28"/>
          <w:highlight w:val="none"/>
          <w:lang w:val="en-US" w:eastAsia="zh-CN"/>
        </w:rPr>
        <w:t>一</w:t>
      </w:r>
      <w:r>
        <w:rPr>
          <w:rFonts w:hint="eastAsia" w:ascii="宋体" w:hAnsi="宋体" w:eastAsia="宋体" w:cs="宋体"/>
          <w:color w:val="000000"/>
          <w:sz w:val="28"/>
          <w:szCs w:val="28"/>
          <w:highlight w:val="none"/>
          <w:lang w:eastAsia="zh-CN"/>
        </w:rPr>
        <w:t>、方案与承诺（格式自拟）</w:t>
      </w:r>
    </w:p>
    <w:p w14:paraId="6DB4B3D3">
      <w:pPr>
        <w:spacing w:beforeLines="0" w:afterLines="0" w:line="6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十</w:t>
      </w:r>
      <w:r>
        <w:rPr>
          <w:rFonts w:hint="eastAsia" w:ascii="宋体" w:hAnsi="宋体" w:eastAsia="宋体" w:cs="宋体"/>
          <w:color w:val="000000"/>
          <w:sz w:val="28"/>
          <w:szCs w:val="28"/>
          <w:highlight w:val="none"/>
          <w:lang w:val="en-US" w:eastAsia="zh-CN"/>
        </w:rPr>
        <w:t>二</w:t>
      </w:r>
      <w:r>
        <w:rPr>
          <w:rFonts w:hint="eastAsia" w:ascii="宋体" w:hAnsi="宋体" w:eastAsia="宋体" w:cs="宋体"/>
          <w:color w:val="000000"/>
          <w:sz w:val="28"/>
          <w:szCs w:val="28"/>
          <w:highlight w:val="none"/>
          <w:lang w:eastAsia="zh-CN"/>
        </w:rPr>
        <w:t>、其他（</w:t>
      </w:r>
      <w:r>
        <w:rPr>
          <w:rFonts w:hint="eastAsia" w:ascii="宋体" w:hAnsi="宋体" w:eastAsia="宋体" w:cs="宋体"/>
          <w:color w:val="000000"/>
          <w:sz w:val="28"/>
          <w:szCs w:val="28"/>
          <w:highlight w:val="none"/>
        </w:rPr>
        <w:t>如有）</w:t>
      </w:r>
    </w:p>
    <w:p w14:paraId="00FDDCDF">
      <w:pPr>
        <w:spacing w:beforeLines="0" w:afterLines="0" w:line="600" w:lineRule="exact"/>
        <w:ind w:firstLine="482" w:firstLineChars="200"/>
        <w:rPr>
          <w:rFonts w:hint="eastAsia" w:ascii="宋体" w:hAnsi="宋体" w:eastAsia="宋体" w:cs="宋体"/>
          <w:color w:val="000000"/>
          <w:sz w:val="28"/>
          <w:szCs w:val="28"/>
          <w:highlight w:val="none"/>
          <w:lang w:eastAsia="zh-CN"/>
        </w:rPr>
      </w:pPr>
      <w:r>
        <w:rPr>
          <w:rFonts w:hint="eastAsia"/>
          <w:b/>
          <w:sz w:val="24"/>
          <w:szCs w:val="24"/>
        </w:rPr>
        <w:t>注：如招标文件中提供的投标文件格式与苏采云系统内不一致的，以招标文件内的格式为准</w:t>
      </w:r>
      <w:r>
        <w:rPr>
          <w:rFonts w:hint="eastAsia"/>
          <w:b/>
          <w:sz w:val="24"/>
          <w:szCs w:val="24"/>
          <w:lang w:eastAsia="zh-CN"/>
        </w:rPr>
        <w:t>。</w:t>
      </w:r>
    </w:p>
    <w:p w14:paraId="46FD5DAC">
      <w:pPr>
        <w:pStyle w:val="20"/>
        <w:numPr>
          <w:ilvl w:val="-1"/>
          <w:numId w:val="0"/>
        </w:numPr>
        <w:ind w:firstLine="560" w:firstLineChars="200"/>
        <w:rPr>
          <w:rFonts w:hint="eastAsia" w:ascii="宋体" w:hAnsi="宋体" w:eastAsia="宋体" w:cs="宋体"/>
          <w:sz w:val="28"/>
          <w:szCs w:val="21"/>
        </w:rPr>
      </w:pPr>
    </w:p>
    <w:p w14:paraId="532F68A1">
      <w:pPr>
        <w:spacing w:beforeLines="0" w:afterLines="0" w:line="600" w:lineRule="exact"/>
        <w:ind w:firstLine="560"/>
        <w:rPr>
          <w:rFonts w:hint="eastAsia" w:ascii="宋体" w:hAnsi="宋体" w:eastAsia="宋体" w:cs="宋体"/>
          <w:color w:val="000000"/>
          <w:sz w:val="28"/>
          <w:szCs w:val="28"/>
        </w:rPr>
      </w:pPr>
    </w:p>
    <w:p w14:paraId="1430471F">
      <w:pPr>
        <w:pStyle w:val="46"/>
        <w:ind w:left="0" w:leftChars="0" w:firstLine="0" w:firstLineChars="0"/>
        <w:rPr>
          <w:rFonts w:hint="eastAsia" w:ascii="宋体" w:hAnsi="宋体" w:eastAsia="宋体" w:cs="宋体"/>
          <w:color w:val="000000"/>
          <w:sz w:val="28"/>
          <w:szCs w:val="28"/>
        </w:rPr>
      </w:pPr>
    </w:p>
    <w:p w14:paraId="286B2F8A">
      <w:pPr>
        <w:pStyle w:val="30"/>
        <w:keepNext w:val="0"/>
        <w:keepLines w:val="0"/>
        <w:pageBreakBefore/>
        <w:widowControl/>
        <w:numPr>
          <w:ilvl w:val="255"/>
          <w:numId w:val="0"/>
        </w:numPr>
        <w:kinsoku/>
        <w:wordWrap/>
        <w:overflowPunct/>
        <w:topLinePunct w:val="0"/>
        <w:autoSpaceDE/>
        <w:autoSpaceDN/>
        <w:bidi w:val="0"/>
        <w:adjustRightInd/>
        <w:snapToGrid/>
        <w:spacing w:line="360" w:lineRule="auto"/>
        <w:textAlignment w:val="auto"/>
        <w:rPr>
          <w:rFonts w:hint="eastAsia" w:ascii="宋体" w:hAnsi="宋体" w:eastAsia="宋体" w:cs="宋体"/>
          <w:snapToGrid w:val="0"/>
          <w:color w:val="000000"/>
          <w:kern w:val="0"/>
          <w:sz w:val="32"/>
          <w:szCs w:val="32"/>
        </w:rPr>
      </w:pPr>
      <w:r>
        <w:rPr>
          <w:rFonts w:hint="eastAsia" w:ascii="宋体" w:hAnsi="宋体" w:eastAsia="宋体" w:cs="宋体"/>
          <w:snapToGrid w:val="0"/>
          <w:color w:val="000000"/>
          <w:kern w:val="0"/>
          <w:sz w:val="32"/>
          <w:szCs w:val="32"/>
        </w:rPr>
        <w:t>一、法人授权书</w:t>
      </w:r>
    </w:p>
    <w:p w14:paraId="7D68DB97">
      <w:pPr>
        <w:spacing w:beforeLines="-2147483648" w:afterLines="-2147483648" w:line="240" w:lineRule="auto"/>
        <w:jc w:val="center"/>
        <w:outlineLvl w:val="9"/>
        <w:rPr>
          <w:rFonts w:hint="eastAsia" w:ascii="宋体" w:hAnsi="宋体" w:eastAsia="宋体" w:cs="宋体"/>
          <w:sz w:val="32"/>
          <w:szCs w:val="21"/>
          <w:lang w:val="zh-CN"/>
        </w:rPr>
      </w:pPr>
      <w:r>
        <w:rPr>
          <w:rFonts w:hint="eastAsia" w:ascii="宋体" w:hAnsi="宋体" w:eastAsia="宋体" w:cs="宋体"/>
          <w:sz w:val="32"/>
          <w:szCs w:val="21"/>
          <w:lang w:val="zh-CN"/>
        </w:rPr>
        <w:t>法人授权书</w:t>
      </w:r>
    </w:p>
    <w:p w14:paraId="3F16FC61">
      <w:pPr>
        <w:pStyle w:val="48"/>
        <w:spacing w:beforeLines="0" w:afterLines="0" w:line="48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本授权书声明：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（供应商名称）授权</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（被授权人的姓名）作为我方就编号为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的项目采购活动的合法代理人，以本单位名义全权处理一切与该项目采购有关的事务。</w:t>
      </w:r>
    </w:p>
    <w:p w14:paraId="1F0F2041">
      <w:pPr>
        <w:pStyle w:val="48"/>
        <w:spacing w:beforeLines="0" w:afterLines="0" w:line="48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本授权书于______年____月____日起生效，特此声明。</w:t>
      </w:r>
    </w:p>
    <w:p w14:paraId="17484F87">
      <w:pPr>
        <w:pStyle w:val="48"/>
        <w:spacing w:beforeLines="0" w:afterLines="0" w:line="480" w:lineRule="auto"/>
        <w:ind w:firstLine="0"/>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    被授权人身份证号码：</w:t>
      </w:r>
    </w:p>
    <w:p w14:paraId="1E05E80D">
      <w:pPr>
        <w:pStyle w:val="48"/>
        <w:spacing w:beforeLines="0" w:afterLines="0" w:line="480" w:lineRule="auto"/>
        <w:ind w:firstLine="480"/>
        <w:rPr>
          <w:rFonts w:hint="eastAsia" w:ascii="宋体" w:hAnsi="宋体" w:eastAsia="宋体" w:cs="宋体"/>
          <w:color w:val="000000"/>
          <w:sz w:val="24"/>
          <w:szCs w:val="24"/>
          <w:u w:val="single"/>
        </w:rPr>
      </w:pPr>
      <w:r>
        <w:rPr>
          <w:rFonts w:hint="eastAsia" w:ascii="宋体" w:hAnsi="宋体" w:eastAsia="宋体" w:cs="宋体"/>
          <w:color w:val="000000"/>
          <w:sz w:val="24"/>
          <w:szCs w:val="24"/>
        </w:rPr>
        <w:t>被授权人联系电话：（手机）</w:t>
      </w:r>
    </w:p>
    <w:p w14:paraId="0F69F729">
      <w:pPr>
        <w:pStyle w:val="48"/>
        <w:spacing w:beforeLines="0" w:afterLines="0" w:line="48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授权单位名称：（加盖电子公章）</w:t>
      </w:r>
    </w:p>
    <w:p w14:paraId="03C9EAA9">
      <w:pPr>
        <w:pStyle w:val="48"/>
        <w:spacing w:beforeLines="0" w:afterLines="0" w:line="480" w:lineRule="auto"/>
        <w:ind w:firstLine="480"/>
        <w:rPr>
          <w:rFonts w:hint="eastAsia" w:ascii="宋体" w:hAnsi="宋体" w:eastAsia="宋体" w:cs="宋体"/>
          <w:color w:val="000000"/>
          <w:sz w:val="24"/>
          <w:szCs w:val="24"/>
          <w:u w:val="single"/>
        </w:rPr>
      </w:pPr>
      <w:r>
        <w:rPr>
          <w:rFonts w:hint="eastAsia" w:ascii="宋体" w:hAnsi="宋体" w:eastAsia="宋体" w:cs="宋体"/>
          <w:color w:val="000000"/>
          <w:sz w:val="24"/>
          <w:szCs w:val="24"/>
        </w:rPr>
        <w:t>单位地址：</w:t>
      </w:r>
    </w:p>
    <w:p w14:paraId="2C1B79D3">
      <w:pPr>
        <w:pStyle w:val="48"/>
        <w:spacing w:beforeLines="0" w:afterLines="0" w:line="48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日    期：</w:t>
      </w:r>
      <w:bookmarkStart w:id="150" w:name="_Hlt26671380"/>
      <w:bookmarkEnd w:id="150"/>
      <w:bookmarkStart w:id="151" w:name="_格式3__银行出具的资信证明"/>
      <w:bookmarkEnd w:id="151"/>
      <w:bookmarkStart w:id="152" w:name="_Hlt26955070"/>
      <w:bookmarkEnd w:id="152"/>
    </w:p>
    <w:p w14:paraId="608988FD">
      <w:pPr>
        <w:tabs>
          <w:tab w:val="left" w:pos="360"/>
        </w:tabs>
        <w:spacing w:beforeLines="0" w:afterLines="0"/>
        <w:ind w:firstLine="480"/>
        <w:rPr>
          <w:rFonts w:hint="eastAsia" w:ascii="宋体" w:hAnsi="宋体" w:eastAsia="宋体" w:cs="宋体"/>
          <w:color w:val="000000"/>
          <w:sz w:val="24"/>
          <w:szCs w:val="24"/>
          <w:u w:val="single"/>
        </w:rPr>
      </w:pPr>
    </w:p>
    <w:p w14:paraId="6DDEF5BD">
      <w:pPr>
        <w:tabs>
          <w:tab w:val="left" w:pos="360"/>
        </w:tabs>
        <w:spacing w:beforeLines="0" w:afterLines="0"/>
        <w:ind w:firstLine="480"/>
        <w:rPr>
          <w:rFonts w:hint="eastAsia" w:ascii="宋体" w:hAnsi="宋体" w:eastAsia="宋体" w:cs="宋体"/>
          <w:color w:val="000000"/>
          <w:sz w:val="24"/>
          <w:szCs w:val="24"/>
          <w:u w:val="single"/>
        </w:rPr>
      </w:pPr>
    </w:p>
    <w:p w14:paraId="357869F5">
      <w:pPr>
        <w:tabs>
          <w:tab w:val="left" w:pos="360"/>
        </w:tabs>
        <w:spacing w:beforeLines="0" w:afterLines="0"/>
        <w:ind w:firstLine="480"/>
        <w:rPr>
          <w:rFonts w:hint="eastAsia" w:ascii="宋体" w:hAnsi="宋体" w:eastAsia="宋体" w:cs="宋体"/>
          <w:color w:val="000000"/>
          <w:sz w:val="24"/>
          <w:szCs w:val="24"/>
          <w:u w:val="single"/>
        </w:rPr>
      </w:pPr>
    </w:p>
    <w:p w14:paraId="7D9F0024">
      <w:pPr>
        <w:tabs>
          <w:tab w:val="left" w:pos="360"/>
        </w:tabs>
        <w:spacing w:beforeLines="0" w:afterLines="0"/>
        <w:ind w:firstLine="480"/>
        <w:rPr>
          <w:rFonts w:hint="eastAsia" w:ascii="宋体" w:hAnsi="宋体" w:eastAsia="宋体" w:cs="宋体"/>
          <w:color w:val="000000"/>
          <w:sz w:val="24"/>
          <w:szCs w:val="24"/>
          <w:u w:val="single"/>
        </w:rPr>
      </w:pPr>
    </w:p>
    <w:p w14:paraId="2FCDFEE6">
      <w:pPr>
        <w:spacing w:line="360" w:lineRule="auto"/>
        <w:jc w:val="center"/>
        <w:rPr>
          <w:rFonts w:hint="eastAsia" w:ascii="宋体" w:hAnsi="宋体" w:eastAsia="宋体" w:cs="宋体"/>
          <w:color w:val="000000"/>
        </w:rPr>
      </w:pPr>
      <w:r>
        <w:rPr>
          <w:rFonts w:hint="eastAsia" w:ascii="宋体" w:hAnsi="宋体" w:eastAsia="宋体" w:cs="宋体"/>
          <w:color w:val="000000"/>
        </w:rPr>
        <w:br w:type="page"/>
      </w:r>
    </w:p>
    <w:p w14:paraId="27723A98">
      <w:pPr>
        <w:pStyle w:val="30"/>
        <w:numPr>
          <w:ilvl w:val="255"/>
          <w:numId w:val="0"/>
        </w:numPr>
        <w:spacing w:line="360" w:lineRule="auto"/>
        <w:rPr>
          <w:rFonts w:hint="eastAsia" w:ascii="宋体" w:hAnsi="宋体" w:eastAsia="宋体" w:cs="宋体"/>
          <w:snapToGrid w:val="0"/>
          <w:color w:val="000000"/>
          <w:kern w:val="0"/>
          <w:sz w:val="32"/>
          <w:szCs w:val="32"/>
        </w:rPr>
      </w:pPr>
      <w:bookmarkStart w:id="153" w:name="_Toc1849"/>
      <w:bookmarkStart w:id="154" w:name="_Toc14000"/>
      <w:bookmarkStart w:id="155" w:name="_Toc22742"/>
      <w:bookmarkStart w:id="156" w:name="_Toc3101"/>
      <w:bookmarkStart w:id="157" w:name="_Toc30238"/>
      <w:r>
        <w:rPr>
          <w:rFonts w:hint="eastAsia" w:ascii="宋体" w:hAnsi="宋体" w:eastAsia="宋体" w:cs="宋体"/>
          <w:snapToGrid w:val="0"/>
          <w:color w:val="000000"/>
          <w:kern w:val="0"/>
          <w:sz w:val="32"/>
          <w:szCs w:val="32"/>
          <w:lang w:val="en-US" w:eastAsia="zh-CN"/>
        </w:rPr>
        <w:t>二</w:t>
      </w:r>
      <w:r>
        <w:rPr>
          <w:rFonts w:hint="eastAsia" w:ascii="宋体" w:hAnsi="宋体" w:eastAsia="宋体" w:cs="宋体"/>
          <w:snapToGrid w:val="0"/>
          <w:color w:val="000000"/>
          <w:kern w:val="0"/>
          <w:sz w:val="32"/>
          <w:szCs w:val="32"/>
        </w:rPr>
        <w:t>、磋商响应函</w:t>
      </w:r>
    </w:p>
    <w:p w14:paraId="0A6E22A7">
      <w:pPr>
        <w:spacing w:beforeLines="-2147483648" w:afterLines="-2147483648" w:line="240" w:lineRule="auto"/>
        <w:jc w:val="center"/>
        <w:outlineLvl w:val="9"/>
        <w:rPr>
          <w:rFonts w:hint="eastAsia" w:ascii="宋体" w:hAnsi="宋体" w:eastAsia="宋体" w:cs="宋体"/>
          <w:sz w:val="32"/>
          <w:szCs w:val="21"/>
          <w:lang w:val="zh-CN"/>
        </w:rPr>
      </w:pPr>
      <w:r>
        <w:rPr>
          <w:rFonts w:hint="eastAsia" w:ascii="宋体" w:hAnsi="宋体" w:eastAsia="宋体" w:cs="宋体"/>
          <w:sz w:val="32"/>
          <w:szCs w:val="21"/>
        </w:rPr>
        <w:t>磋商响应函</w:t>
      </w:r>
    </w:p>
    <w:p w14:paraId="36700CE0">
      <w:pPr>
        <w:spacing w:beforeLines="0" w:afterLines="0" w:line="240" w:lineRule="auto"/>
        <w:jc w:val="left"/>
        <w:rPr>
          <w:rFonts w:hint="eastAsia" w:ascii="宋体" w:hAnsi="宋体" w:eastAsia="宋体" w:cs="宋体"/>
          <w:color w:val="000000"/>
          <w:sz w:val="24"/>
          <w:szCs w:val="21"/>
        </w:rPr>
      </w:pPr>
      <w:r>
        <w:rPr>
          <w:rFonts w:hint="eastAsia" w:ascii="宋体" w:hAnsi="宋体" w:eastAsia="宋体" w:cs="宋体"/>
          <w:color w:val="000000"/>
          <w:sz w:val="24"/>
          <w:szCs w:val="21"/>
        </w:rPr>
        <w:t>致：</w:t>
      </w:r>
      <w:r>
        <w:rPr>
          <w:rFonts w:hint="eastAsia" w:ascii="宋体" w:hAnsi="宋体" w:eastAsia="宋体" w:cs="宋体"/>
          <w:color w:val="000000"/>
          <w:sz w:val="24"/>
        </w:rPr>
        <w:t>江苏臻采招标代理有限公司</w:t>
      </w:r>
    </w:p>
    <w:p w14:paraId="7ACA2A16">
      <w:pPr>
        <w:pStyle w:val="28"/>
        <w:spacing w:before="0" w:beforeLines="0" w:after="0" w:afterLines="0" w:line="240" w:lineRule="auto"/>
        <w:rPr>
          <w:rFonts w:hint="eastAsia" w:ascii="宋体" w:hAnsi="宋体" w:eastAsia="宋体" w:cs="宋体"/>
          <w:color w:val="000000"/>
          <w:sz w:val="24"/>
          <w:szCs w:val="21"/>
        </w:rPr>
      </w:pPr>
      <w:r>
        <w:rPr>
          <w:rFonts w:hint="eastAsia" w:ascii="宋体" w:hAnsi="宋体" w:eastAsia="宋体" w:cs="宋体"/>
          <w:color w:val="000000"/>
          <w:sz w:val="24"/>
          <w:szCs w:val="21"/>
        </w:rPr>
        <w:t>根据贵方编号为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的</w:t>
      </w:r>
      <w:r>
        <w:rPr>
          <w:rFonts w:hint="eastAsia" w:ascii="宋体" w:hAnsi="宋体" w:eastAsia="宋体" w:cs="宋体"/>
          <w:color w:val="000000"/>
          <w:sz w:val="24"/>
          <w:szCs w:val="21"/>
        </w:rPr>
        <w:t>项目磋商文件，我方正式提</w:t>
      </w:r>
      <w:r>
        <w:rPr>
          <w:rFonts w:hint="eastAsia" w:ascii="宋体" w:hAnsi="宋体" w:eastAsia="宋体" w:cs="宋体"/>
          <w:color w:val="000000"/>
          <w:sz w:val="24"/>
          <w:szCs w:val="24"/>
        </w:rPr>
        <w:t>交磋商响应函，</w:t>
      </w:r>
      <w:r>
        <w:rPr>
          <w:rFonts w:hint="eastAsia" w:ascii="宋体" w:hAnsi="宋体" w:eastAsia="宋体" w:cs="宋体"/>
          <w:color w:val="000000"/>
          <w:sz w:val="24"/>
          <w:szCs w:val="21"/>
        </w:rPr>
        <w:t>并宣布同意如下内容：</w:t>
      </w:r>
    </w:p>
    <w:p w14:paraId="2920A0A4">
      <w:pPr>
        <w:spacing w:beforeLines="0" w:afterLines="0" w:line="240" w:lineRule="auto"/>
        <w:ind w:firstLine="480"/>
        <w:jc w:val="left"/>
        <w:rPr>
          <w:rFonts w:hint="eastAsia" w:ascii="宋体" w:hAnsi="宋体" w:eastAsia="宋体" w:cs="宋体"/>
          <w:color w:val="000000"/>
          <w:sz w:val="24"/>
          <w:szCs w:val="21"/>
        </w:rPr>
      </w:pPr>
      <w:r>
        <w:rPr>
          <w:rFonts w:hint="eastAsia" w:ascii="宋体" w:hAnsi="宋体" w:eastAsia="宋体" w:cs="宋体"/>
          <w:color w:val="000000"/>
          <w:sz w:val="24"/>
          <w:szCs w:val="21"/>
        </w:rPr>
        <w:t>1.按磋商文件规定的各项要求，向买方提供所需服务（包含与货物相关的服务及与服务相关的货物）。</w:t>
      </w:r>
    </w:p>
    <w:p w14:paraId="3A9F33BE">
      <w:pPr>
        <w:spacing w:beforeLines="0" w:afterLines="0" w:line="240" w:lineRule="auto"/>
        <w:ind w:firstLine="480"/>
        <w:jc w:val="left"/>
        <w:rPr>
          <w:rFonts w:hint="eastAsia" w:ascii="宋体" w:hAnsi="宋体" w:eastAsia="宋体" w:cs="宋体"/>
          <w:color w:val="000000"/>
          <w:sz w:val="24"/>
          <w:szCs w:val="21"/>
        </w:rPr>
      </w:pPr>
      <w:r>
        <w:rPr>
          <w:rFonts w:hint="eastAsia" w:ascii="宋体" w:hAnsi="宋体" w:eastAsia="宋体" w:cs="宋体"/>
          <w:color w:val="000000"/>
          <w:sz w:val="24"/>
          <w:szCs w:val="21"/>
        </w:rPr>
        <w:t>2.我们完全理解贵方不一定将合同授予最低报价的供应商。</w:t>
      </w:r>
    </w:p>
    <w:p w14:paraId="2DDAC6B2">
      <w:pPr>
        <w:spacing w:beforeLines="0" w:afterLines="0" w:line="240" w:lineRule="auto"/>
        <w:ind w:firstLine="480"/>
        <w:jc w:val="left"/>
        <w:rPr>
          <w:rFonts w:hint="eastAsia" w:ascii="宋体" w:hAnsi="宋体" w:eastAsia="宋体" w:cs="宋体"/>
          <w:color w:val="000000"/>
          <w:sz w:val="24"/>
          <w:szCs w:val="21"/>
        </w:rPr>
      </w:pPr>
      <w:r>
        <w:rPr>
          <w:rFonts w:hint="eastAsia" w:ascii="宋体" w:hAnsi="宋体" w:eastAsia="宋体" w:cs="宋体"/>
          <w:color w:val="000000"/>
          <w:sz w:val="24"/>
          <w:szCs w:val="21"/>
        </w:rPr>
        <w:t>3.我们已详细审核全部磋商文件及其有效补充文件，我们知道必须放弃提出含糊不清或误解问题的权利。</w:t>
      </w:r>
    </w:p>
    <w:p w14:paraId="7E970771">
      <w:pPr>
        <w:spacing w:beforeLines="0" w:afterLines="0" w:line="240" w:lineRule="auto"/>
        <w:ind w:firstLine="480"/>
        <w:jc w:val="left"/>
        <w:rPr>
          <w:rFonts w:hint="eastAsia" w:ascii="宋体" w:hAnsi="宋体" w:eastAsia="宋体" w:cs="宋体"/>
          <w:color w:val="000000"/>
          <w:sz w:val="24"/>
          <w:szCs w:val="21"/>
        </w:rPr>
      </w:pPr>
      <w:r>
        <w:rPr>
          <w:rFonts w:hint="eastAsia" w:ascii="宋体" w:hAnsi="宋体" w:eastAsia="宋体" w:cs="宋体"/>
          <w:color w:val="000000"/>
          <w:sz w:val="24"/>
          <w:szCs w:val="21"/>
        </w:rPr>
        <w:t>4.我们同意从规定的磋商日期起遵循本响应文件，并在规定的磋商有效期期满之前均具有约束力。</w:t>
      </w:r>
    </w:p>
    <w:p w14:paraId="08C61623">
      <w:pPr>
        <w:spacing w:beforeLines="0" w:afterLines="0" w:line="240" w:lineRule="auto"/>
        <w:ind w:firstLine="480"/>
        <w:jc w:val="left"/>
        <w:rPr>
          <w:rFonts w:hint="eastAsia" w:ascii="宋体" w:hAnsi="宋体" w:eastAsia="宋体" w:cs="宋体"/>
          <w:color w:val="000000"/>
          <w:sz w:val="24"/>
          <w:szCs w:val="21"/>
        </w:rPr>
      </w:pPr>
      <w:r>
        <w:rPr>
          <w:rFonts w:hint="eastAsia" w:ascii="宋体" w:hAnsi="宋体" w:eastAsia="宋体" w:cs="宋体"/>
          <w:color w:val="000000"/>
          <w:sz w:val="24"/>
          <w:szCs w:val="21"/>
        </w:rPr>
        <w:t>5.同意向贵方提供贵方可能另外要求的与磋商有关的任何证据或资料，并保证我方已提供和将要提供的文件是真实的、准确的。</w:t>
      </w:r>
    </w:p>
    <w:p w14:paraId="545A62E6">
      <w:pPr>
        <w:spacing w:beforeLines="0" w:afterLines="0" w:line="240" w:lineRule="auto"/>
        <w:ind w:firstLine="480"/>
        <w:jc w:val="left"/>
        <w:rPr>
          <w:rFonts w:hint="eastAsia" w:ascii="宋体" w:hAnsi="宋体" w:eastAsia="宋体" w:cs="宋体"/>
          <w:color w:val="000000"/>
          <w:sz w:val="24"/>
          <w:szCs w:val="21"/>
        </w:rPr>
      </w:pPr>
      <w:r>
        <w:rPr>
          <w:rFonts w:hint="eastAsia" w:ascii="宋体" w:hAnsi="宋体" w:eastAsia="宋体" w:cs="宋体"/>
          <w:color w:val="000000"/>
          <w:sz w:val="24"/>
          <w:szCs w:val="21"/>
        </w:rPr>
        <w:t>6.一旦我方成交，我方将根据磋商文件的规定，严格履行合同的责任和义务,并保证在磋商文件规定的时间完成项目，交付买方验收、使用。</w:t>
      </w:r>
    </w:p>
    <w:p w14:paraId="576A61B5">
      <w:pPr>
        <w:spacing w:beforeLines="0" w:afterLines="0" w:line="24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7.我方为：</w:t>
      </w:r>
      <w:r>
        <w:rPr>
          <w:rFonts w:hint="eastAsia" w:ascii="宋体" w:hAnsi="宋体" w:eastAsia="宋体" w:cs="宋体"/>
          <w:color w:val="000000"/>
          <w:sz w:val="24"/>
          <w:szCs w:val="24"/>
        </w:rPr>
        <w:sym w:font="Wingdings" w:char="F0A8"/>
      </w:r>
      <w:r>
        <w:rPr>
          <w:rFonts w:hint="eastAsia" w:ascii="宋体" w:hAnsi="宋体" w:eastAsia="宋体" w:cs="宋体"/>
          <w:color w:val="000000"/>
          <w:sz w:val="24"/>
          <w:szCs w:val="24"/>
        </w:rPr>
        <w:t xml:space="preserve">大型企业 </w:t>
      </w:r>
      <w:r>
        <w:rPr>
          <w:rFonts w:hint="eastAsia" w:ascii="宋体" w:hAnsi="宋体" w:eastAsia="宋体" w:cs="宋体"/>
          <w:color w:val="000000"/>
          <w:sz w:val="24"/>
          <w:szCs w:val="24"/>
        </w:rPr>
        <w:sym w:font="Wingdings" w:char="F0A8"/>
      </w:r>
      <w:r>
        <w:rPr>
          <w:rFonts w:hint="eastAsia" w:ascii="宋体" w:hAnsi="宋体" w:eastAsia="宋体" w:cs="宋体"/>
          <w:color w:val="000000"/>
          <w:sz w:val="24"/>
          <w:szCs w:val="24"/>
        </w:rPr>
        <w:t xml:space="preserve">中型企业 </w:t>
      </w:r>
      <w:r>
        <w:rPr>
          <w:rFonts w:hint="eastAsia" w:ascii="宋体" w:hAnsi="宋体" w:eastAsia="宋体" w:cs="宋体"/>
          <w:color w:val="000000"/>
          <w:sz w:val="24"/>
          <w:szCs w:val="24"/>
        </w:rPr>
        <w:sym w:font="Wingdings" w:char="F0A8"/>
      </w:r>
      <w:r>
        <w:rPr>
          <w:rFonts w:hint="eastAsia" w:ascii="宋体" w:hAnsi="宋体" w:eastAsia="宋体" w:cs="宋体"/>
          <w:color w:val="000000"/>
          <w:sz w:val="24"/>
          <w:szCs w:val="24"/>
        </w:rPr>
        <w:t xml:space="preserve">小型企业 </w:t>
      </w:r>
      <w:r>
        <w:rPr>
          <w:rFonts w:hint="eastAsia" w:ascii="宋体" w:hAnsi="宋体" w:eastAsia="宋体" w:cs="宋体"/>
          <w:color w:val="000000"/>
          <w:sz w:val="24"/>
          <w:szCs w:val="24"/>
        </w:rPr>
        <w:sym w:font="Wingdings" w:char="F0A8"/>
      </w:r>
      <w:r>
        <w:rPr>
          <w:rFonts w:hint="eastAsia" w:ascii="宋体" w:hAnsi="宋体" w:eastAsia="宋体" w:cs="宋体"/>
          <w:color w:val="000000"/>
          <w:sz w:val="24"/>
          <w:szCs w:val="24"/>
        </w:rPr>
        <w:t>微型企业（在对应</w:t>
      </w:r>
      <w:r>
        <w:rPr>
          <w:rFonts w:hint="eastAsia" w:ascii="宋体" w:hAnsi="宋体" w:eastAsia="宋体" w:cs="宋体"/>
          <w:color w:val="000000"/>
          <w:sz w:val="24"/>
          <w:szCs w:val="24"/>
        </w:rPr>
        <w:sym w:font="Wingdings" w:char="F0A8"/>
      </w:r>
      <w:r>
        <w:rPr>
          <w:rFonts w:hint="eastAsia" w:ascii="宋体" w:hAnsi="宋体" w:eastAsia="宋体" w:cs="宋体"/>
          <w:color w:val="000000"/>
          <w:sz w:val="24"/>
          <w:szCs w:val="24"/>
        </w:rPr>
        <w:t>内</w:t>
      </w:r>
      <w:r>
        <w:rPr>
          <w:rFonts w:hint="eastAsia" w:ascii="宋体" w:hAnsi="宋体" w:eastAsia="宋体" w:cs="宋体"/>
          <w:color w:val="000000"/>
          <w:sz w:val="24"/>
          <w:szCs w:val="24"/>
          <w:lang w:val="zh-CN"/>
        </w:rPr>
        <w:t>打“√”</w:t>
      </w:r>
      <w:r>
        <w:rPr>
          <w:rFonts w:hint="eastAsia" w:ascii="宋体" w:hAnsi="宋体" w:eastAsia="宋体" w:cs="宋体"/>
          <w:color w:val="000000"/>
          <w:sz w:val="24"/>
          <w:szCs w:val="24"/>
        </w:rPr>
        <w:t>）</w:t>
      </w:r>
    </w:p>
    <w:p w14:paraId="6BD1D8A4">
      <w:pPr>
        <w:spacing w:beforeLines="0" w:afterLines="0" w:line="240" w:lineRule="auto"/>
        <w:ind w:firstLine="480"/>
        <w:jc w:val="left"/>
        <w:rPr>
          <w:rFonts w:hint="eastAsia" w:ascii="宋体" w:hAnsi="宋体" w:eastAsia="宋体" w:cs="宋体"/>
          <w:color w:val="000000"/>
          <w:sz w:val="24"/>
          <w:szCs w:val="21"/>
        </w:rPr>
      </w:pPr>
      <w:r>
        <w:rPr>
          <w:rFonts w:hint="eastAsia" w:ascii="宋体" w:hAnsi="宋体" w:eastAsia="宋体" w:cs="宋体"/>
          <w:color w:val="000000"/>
          <w:sz w:val="24"/>
          <w:szCs w:val="21"/>
        </w:rPr>
        <w:t>8.我方与本磋商有关的正式通讯地址为：</w:t>
      </w:r>
    </w:p>
    <w:p w14:paraId="2C62DE4D">
      <w:pPr>
        <w:pStyle w:val="28"/>
        <w:spacing w:before="0" w:beforeLines="0" w:after="0" w:afterLines="0" w:line="240" w:lineRule="auto"/>
        <w:rPr>
          <w:rFonts w:hint="eastAsia" w:ascii="宋体" w:hAnsi="宋体" w:eastAsia="宋体" w:cs="宋体"/>
          <w:color w:val="000000"/>
          <w:sz w:val="24"/>
          <w:szCs w:val="21"/>
        </w:rPr>
      </w:pPr>
      <w:r>
        <w:rPr>
          <w:rFonts w:hint="eastAsia" w:ascii="宋体" w:hAnsi="宋体" w:eastAsia="宋体" w:cs="宋体"/>
          <w:color w:val="000000"/>
          <w:sz w:val="24"/>
          <w:szCs w:val="21"/>
        </w:rPr>
        <w:t>地  址：</w:t>
      </w:r>
    </w:p>
    <w:p w14:paraId="6FD02B8F">
      <w:pPr>
        <w:pStyle w:val="28"/>
        <w:spacing w:before="0" w:beforeLines="0" w:after="0" w:afterLines="0" w:line="240" w:lineRule="auto"/>
        <w:rPr>
          <w:rFonts w:hint="eastAsia" w:ascii="宋体" w:hAnsi="宋体" w:eastAsia="宋体" w:cs="宋体"/>
          <w:color w:val="000000"/>
          <w:sz w:val="24"/>
          <w:szCs w:val="21"/>
        </w:rPr>
      </w:pPr>
      <w:r>
        <w:rPr>
          <w:rFonts w:hint="eastAsia" w:ascii="宋体" w:hAnsi="宋体" w:eastAsia="宋体" w:cs="宋体"/>
          <w:color w:val="000000"/>
          <w:sz w:val="24"/>
          <w:szCs w:val="21"/>
        </w:rPr>
        <w:t>邮  编：</w:t>
      </w:r>
    </w:p>
    <w:p w14:paraId="42E2DD07">
      <w:pPr>
        <w:pStyle w:val="28"/>
        <w:spacing w:before="0" w:beforeLines="0" w:after="0" w:afterLines="0" w:line="240" w:lineRule="auto"/>
        <w:rPr>
          <w:rFonts w:hint="eastAsia" w:ascii="宋体" w:hAnsi="宋体" w:eastAsia="宋体" w:cs="宋体"/>
          <w:color w:val="000000"/>
          <w:sz w:val="24"/>
          <w:szCs w:val="21"/>
          <w:u w:val="single"/>
        </w:rPr>
      </w:pPr>
      <w:r>
        <w:rPr>
          <w:rFonts w:hint="eastAsia" w:ascii="宋体" w:hAnsi="宋体" w:eastAsia="宋体" w:cs="宋体"/>
          <w:color w:val="000000"/>
          <w:sz w:val="24"/>
          <w:szCs w:val="21"/>
        </w:rPr>
        <w:t>电  话：</w:t>
      </w:r>
    </w:p>
    <w:p w14:paraId="40EEFD1A">
      <w:pPr>
        <w:pStyle w:val="28"/>
        <w:spacing w:before="0" w:beforeLines="0" w:after="0" w:afterLines="0" w:line="240" w:lineRule="auto"/>
        <w:rPr>
          <w:rFonts w:hint="eastAsia" w:ascii="宋体" w:hAnsi="宋体" w:eastAsia="宋体" w:cs="宋体"/>
          <w:color w:val="000000"/>
          <w:sz w:val="24"/>
          <w:szCs w:val="21"/>
          <w:u w:val="single"/>
        </w:rPr>
      </w:pPr>
      <w:r>
        <w:rPr>
          <w:rFonts w:hint="eastAsia" w:ascii="宋体" w:hAnsi="宋体" w:eastAsia="宋体" w:cs="宋体"/>
          <w:color w:val="000000"/>
          <w:sz w:val="24"/>
          <w:szCs w:val="21"/>
        </w:rPr>
        <w:t>传  真：</w:t>
      </w:r>
    </w:p>
    <w:p w14:paraId="40079955">
      <w:pPr>
        <w:pStyle w:val="28"/>
        <w:spacing w:before="0" w:beforeLines="0" w:after="0" w:afterLines="0" w:line="240" w:lineRule="auto"/>
        <w:rPr>
          <w:rFonts w:hint="eastAsia" w:ascii="宋体" w:hAnsi="宋体" w:eastAsia="宋体" w:cs="宋体"/>
          <w:color w:val="000000"/>
          <w:sz w:val="24"/>
          <w:szCs w:val="21"/>
          <w:u w:val="single"/>
        </w:rPr>
      </w:pPr>
      <w:r>
        <w:rPr>
          <w:rFonts w:hint="eastAsia" w:ascii="宋体" w:hAnsi="宋体" w:eastAsia="宋体" w:cs="宋体"/>
          <w:color w:val="000000"/>
          <w:sz w:val="24"/>
          <w:szCs w:val="21"/>
        </w:rPr>
        <w:t>开户行：</w:t>
      </w:r>
    </w:p>
    <w:p w14:paraId="7A377CA1">
      <w:pPr>
        <w:pStyle w:val="28"/>
        <w:spacing w:before="0" w:beforeLines="0" w:after="0" w:afterLines="0" w:line="240" w:lineRule="auto"/>
        <w:rPr>
          <w:rFonts w:hint="eastAsia" w:ascii="宋体" w:hAnsi="宋体" w:eastAsia="宋体" w:cs="宋体"/>
          <w:color w:val="000000"/>
          <w:sz w:val="24"/>
          <w:szCs w:val="21"/>
          <w:u w:val="single"/>
        </w:rPr>
      </w:pPr>
      <w:r>
        <w:rPr>
          <w:rFonts w:hint="eastAsia" w:ascii="宋体" w:hAnsi="宋体" w:eastAsia="宋体" w:cs="宋体"/>
          <w:color w:val="000000"/>
          <w:sz w:val="24"/>
          <w:szCs w:val="21"/>
        </w:rPr>
        <w:t>账  号：</w:t>
      </w:r>
    </w:p>
    <w:p w14:paraId="1E5735D3">
      <w:pPr>
        <w:spacing w:beforeLines="0" w:afterLines="0" w:line="240" w:lineRule="auto"/>
        <w:ind w:right="180" w:firstLine="480"/>
        <w:rPr>
          <w:rFonts w:hint="eastAsia" w:ascii="宋体" w:hAnsi="宋体" w:eastAsia="宋体" w:cs="宋体"/>
          <w:color w:val="000000"/>
          <w:sz w:val="24"/>
          <w:szCs w:val="24"/>
        </w:rPr>
      </w:pPr>
      <w:r>
        <w:rPr>
          <w:rFonts w:hint="eastAsia" w:ascii="宋体" w:hAnsi="宋体" w:eastAsia="宋体" w:cs="宋体"/>
          <w:color w:val="000000"/>
          <w:sz w:val="24"/>
          <w:szCs w:val="24"/>
        </w:rPr>
        <w:t>供应商名称：（加盖电子公章）</w:t>
      </w:r>
    </w:p>
    <w:p w14:paraId="5EDDFA72">
      <w:pPr>
        <w:pStyle w:val="28"/>
        <w:spacing w:before="0" w:beforeLines="0" w:after="0" w:afterLines="0" w:line="240" w:lineRule="auto"/>
        <w:rPr>
          <w:rFonts w:hint="eastAsia" w:ascii="宋体" w:hAnsi="宋体" w:eastAsia="宋体" w:cs="宋体"/>
          <w:color w:val="000000"/>
          <w:sz w:val="24"/>
          <w:szCs w:val="21"/>
        </w:rPr>
      </w:pPr>
      <w:r>
        <w:rPr>
          <w:rFonts w:hint="eastAsia" w:ascii="宋体" w:hAnsi="宋体" w:eastAsia="宋体" w:cs="宋体"/>
          <w:color w:val="000000"/>
          <w:sz w:val="24"/>
          <w:szCs w:val="21"/>
        </w:rPr>
        <w:t>日  期：</w:t>
      </w:r>
    </w:p>
    <w:p w14:paraId="6BA116EE">
      <w:pPr>
        <w:pStyle w:val="28"/>
        <w:spacing w:before="0" w:beforeLines="0" w:after="0" w:afterLines="0" w:line="240" w:lineRule="auto"/>
        <w:rPr>
          <w:rFonts w:hint="eastAsia" w:ascii="宋体" w:hAnsi="宋体" w:eastAsia="宋体" w:cs="宋体"/>
          <w:color w:val="000000"/>
          <w:sz w:val="24"/>
          <w:szCs w:val="21"/>
        </w:rPr>
      </w:pPr>
    </w:p>
    <w:bookmarkEnd w:id="153"/>
    <w:bookmarkEnd w:id="154"/>
    <w:bookmarkEnd w:id="155"/>
    <w:bookmarkEnd w:id="156"/>
    <w:bookmarkEnd w:id="157"/>
    <w:p w14:paraId="48E1F28A">
      <w:pPr>
        <w:pStyle w:val="30"/>
        <w:numPr>
          <w:ilvl w:val="255"/>
          <w:numId w:val="0"/>
        </w:numPr>
        <w:rPr>
          <w:rFonts w:hint="eastAsia" w:ascii="宋体" w:hAnsi="宋体" w:eastAsia="宋体" w:cs="宋体"/>
          <w:snapToGrid w:val="0"/>
          <w:color w:val="000000"/>
          <w:kern w:val="0"/>
          <w:sz w:val="32"/>
          <w:szCs w:val="32"/>
          <w:lang w:eastAsia="zh-CN"/>
        </w:rPr>
      </w:pPr>
      <w:bookmarkStart w:id="158" w:name="_Toc12235"/>
      <w:bookmarkStart w:id="159" w:name="_Toc26536"/>
      <w:bookmarkStart w:id="160" w:name="_Toc10758"/>
      <w:bookmarkStart w:id="161" w:name="_Toc8568"/>
      <w:bookmarkStart w:id="162" w:name="_Toc11385"/>
    </w:p>
    <w:p w14:paraId="7861ABAB">
      <w:pPr>
        <w:pStyle w:val="30"/>
        <w:keepNext w:val="0"/>
        <w:keepLines w:val="0"/>
        <w:pageBreakBefore/>
        <w:widowControl w:val="0"/>
        <w:numPr>
          <w:ilvl w:val="255"/>
          <w:numId w:val="0"/>
        </w:numPr>
        <w:kinsoku/>
        <w:wordWrap/>
        <w:overflowPunct/>
        <w:topLinePunct w:val="0"/>
        <w:autoSpaceDE/>
        <w:autoSpaceDN/>
        <w:bidi w:val="0"/>
        <w:adjustRightInd/>
        <w:snapToGrid/>
        <w:textAlignment w:val="auto"/>
        <w:rPr>
          <w:rFonts w:hint="eastAsia" w:ascii="宋体" w:hAnsi="宋体" w:eastAsia="宋体" w:cs="宋体"/>
          <w:snapToGrid w:val="0"/>
          <w:color w:val="000000"/>
          <w:kern w:val="0"/>
          <w:sz w:val="32"/>
          <w:szCs w:val="32"/>
        </w:rPr>
      </w:pPr>
      <w:r>
        <w:rPr>
          <w:rFonts w:hint="eastAsia" w:ascii="宋体" w:hAnsi="宋体" w:eastAsia="宋体" w:cs="宋体"/>
          <w:snapToGrid w:val="0"/>
          <w:color w:val="000000"/>
          <w:kern w:val="0"/>
          <w:sz w:val="32"/>
          <w:szCs w:val="32"/>
          <w:lang w:val="en-US" w:eastAsia="zh-CN"/>
        </w:rPr>
        <w:t>三</w:t>
      </w:r>
      <w:r>
        <w:rPr>
          <w:rFonts w:hint="eastAsia" w:ascii="宋体" w:hAnsi="宋体" w:eastAsia="宋体" w:cs="宋体"/>
          <w:snapToGrid w:val="0"/>
          <w:color w:val="000000"/>
          <w:kern w:val="0"/>
          <w:sz w:val="32"/>
          <w:szCs w:val="32"/>
          <w:lang w:eastAsia="zh-CN"/>
        </w:rPr>
        <w:t>、</w:t>
      </w:r>
      <w:r>
        <w:rPr>
          <w:rFonts w:hint="eastAsia" w:ascii="宋体" w:hAnsi="宋体" w:eastAsia="宋体" w:cs="宋体"/>
          <w:snapToGrid w:val="0"/>
          <w:color w:val="000000"/>
          <w:kern w:val="0"/>
          <w:sz w:val="32"/>
          <w:szCs w:val="32"/>
        </w:rPr>
        <w:t>报价</w:t>
      </w:r>
      <w:r>
        <w:rPr>
          <w:rFonts w:hint="eastAsia" w:ascii="宋体" w:hAnsi="宋体" w:eastAsia="宋体" w:cs="宋体"/>
          <w:snapToGrid w:val="0"/>
          <w:color w:val="000000"/>
          <w:kern w:val="0"/>
          <w:sz w:val="32"/>
          <w:szCs w:val="32"/>
          <w:lang w:eastAsia="zh-CN"/>
        </w:rPr>
        <w:t>一览表</w:t>
      </w:r>
    </w:p>
    <w:p w14:paraId="179AEB09">
      <w:pPr>
        <w:numPr>
          <w:ilvl w:val="-1"/>
          <w:numId w:val="0"/>
        </w:numPr>
        <w:spacing w:beforeLines="0" w:afterLines="0" w:line="360" w:lineRule="auto"/>
        <w:jc w:val="center"/>
        <w:rPr>
          <w:rFonts w:hint="eastAsia" w:ascii="宋体" w:hAnsi="宋体" w:eastAsia="宋体" w:cs="宋体"/>
          <w:color w:val="000000"/>
          <w:sz w:val="32"/>
          <w:szCs w:val="32"/>
        </w:rPr>
      </w:pPr>
      <w:r>
        <w:rPr>
          <w:rFonts w:hint="eastAsia" w:ascii="宋体" w:hAnsi="宋体" w:eastAsia="宋体" w:cs="宋体"/>
          <w:color w:val="000000"/>
          <w:sz w:val="32"/>
          <w:szCs w:val="32"/>
          <w:lang w:eastAsia="zh-CN"/>
        </w:rPr>
        <w:t>报价一览表</w:t>
      </w:r>
    </w:p>
    <w:p w14:paraId="378802F7">
      <w:pPr>
        <w:numPr>
          <w:ilvl w:val="-1"/>
          <w:numId w:val="0"/>
        </w:numPr>
        <w:spacing w:beforeLines="0" w:afterLines="0" w:line="360" w:lineRule="auto"/>
        <w:jc w:val="both"/>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供应商名称：（加盖电子公章）</w:t>
      </w:r>
    </w:p>
    <w:p w14:paraId="34BCC19B">
      <w:pPr>
        <w:numPr>
          <w:ilvl w:val="-1"/>
          <w:numId w:val="0"/>
        </w:numPr>
        <w:spacing w:beforeLines="0" w:afterLines="0" w:line="360" w:lineRule="auto"/>
        <w:jc w:val="both"/>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项目名称：</w:t>
      </w:r>
    </w:p>
    <w:p w14:paraId="510E39FD">
      <w:pPr>
        <w:numPr>
          <w:ilvl w:val="-1"/>
          <w:numId w:val="0"/>
        </w:numPr>
        <w:spacing w:beforeLines="0" w:afterLines="0" w:line="360" w:lineRule="auto"/>
        <w:jc w:val="both"/>
        <w:rPr>
          <w:rFonts w:hint="eastAsia" w:ascii="宋体" w:hAnsi="宋体" w:eastAsia="宋体" w:cs="宋体"/>
          <w:color w:val="000000"/>
          <w:sz w:val="32"/>
          <w:szCs w:val="32"/>
          <w:lang w:val="en-US" w:eastAsia="zh-CN"/>
        </w:rPr>
      </w:pPr>
      <w:r>
        <w:rPr>
          <w:rFonts w:hint="eastAsia" w:ascii="宋体" w:hAnsi="宋体" w:eastAsia="宋体" w:cs="宋体"/>
          <w:color w:val="000000"/>
          <w:sz w:val="24"/>
          <w:szCs w:val="24"/>
          <w:lang w:val="en-US" w:eastAsia="zh-CN"/>
        </w:rPr>
        <w:t>项目编号：</w:t>
      </w:r>
      <w:r>
        <w:rPr>
          <w:rFonts w:hint="eastAsia" w:ascii="宋体" w:hAnsi="宋体" w:eastAsia="宋体" w:cs="宋体"/>
          <w:color w:val="000000"/>
          <w:sz w:val="24"/>
          <w:szCs w:val="24"/>
        </w:rPr>
        <w:t xml:space="preserve">                                 </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17"/>
        <w:gridCol w:w="5692"/>
      </w:tblGrid>
      <w:tr w14:paraId="78745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jc w:val="center"/>
        </w:trPr>
        <w:tc>
          <w:tcPr>
            <w:tcW w:w="3817" w:type="dxa"/>
            <w:vAlign w:val="center"/>
          </w:tcPr>
          <w:p w14:paraId="0547AC63">
            <w:pPr>
              <w:pStyle w:val="19"/>
              <w:spacing w:before="0" w:beforeLines="0" w:beforeAutospacing="0" w:after="0" w:afterLines="0" w:afterAutospacing="0" w:line="360" w:lineRule="auto"/>
              <w:jc w:val="center"/>
              <w:rPr>
                <w:rFonts w:hint="eastAsia" w:ascii="宋体" w:hAnsi="宋体" w:eastAsia="宋体" w:cs="宋体"/>
                <w:color w:val="000000"/>
                <w:sz w:val="24"/>
                <w:szCs w:val="24"/>
                <w:vertAlign w:val="baseline"/>
              </w:rPr>
            </w:pPr>
            <w:r>
              <w:rPr>
                <w:rFonts w:hint="eastAsia" w:ascii="宋体" w:hAnsi="宋体" w:eastAsia="宋体" w:cs="宋体"/>
                <w:color w:val="000000"/>
              </w:rPr>
              <w:t>总报价</w:t>
            </w:r>
          </w:p>
        </w:tc>
        <w:tc>
          <w:tcPr>
            <w:tcW w:w="5692" w:type="dxa"/>
            <w:vAlign w:val="center"/>
          </w:tcPr>
          <w:p w14:paraId="22DF2161">
            <w:pPr>
              <w:pStyle w:val="19"/>
              <w:spacing w:before="0" w:beforeLines="0" w:beforeAutospacing="0" w:after="0" w:afterLines="0" w:afterAutospacing="0" w:line="360" w:lineRule="auto"/>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t>￥</w:t>
            </w:r>
            <w:r>
              <w:rPr>
                <w:rFonts w:hint="eastAsia" w:ascii="宋体" w:hAnsi="宋体" w:eastAsia="宋体" w:cs="宋体"/>
                <w:color w:val="000000"/>
                <w:sz w:val="24"/>
                <w:szCs w:val="24"/>
                <w:u w:val="single"/>
                <w:vertAlign w:val="baseline"/>
              </w:rPr>
              <w:t> 　　    　</w:t>
            </w:r>
            <w:r>
              <w:rPr>
                <w:rFonts w:hint="eastAsia" w:ascii="宋体" w:hAnsi="宋体" w:eastAsia="宋体" w:cs="宋体"/>
                <w:color w:val="000000"/>
                <w:sz w:val="24"/>
                <w:szCs w:val="24"/>
                <w:vertAlign w:val="baseline"/>
              </w:rPr>
              <w:t>元</w:t>
            </w:r>
          </w:p>
          <w:p w14:paraId="52821BF0">
            <w:pPr>
              <w:pStyle w:val="19"/>
              <w:spacing w:before="0" w:beforeLines="0" w:beforeAutospacing="0" w:after="0" w:afterLines="0" w:afterAutospacing="0" w:line="360" w:lineRule="auto"/>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t>人民币 (大写)：</w:t>
            </w:r>
          </w:p>
        </w:tc>
      </w:tr>
      <w:tr w14:paraId="52CEF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3817" w:type="dxa"/>
            <w:vAlign w:val="center"/>
          </w:tcPr>
          <w:p w14:paraId="374B7FF6">
            <w:pPr>
              <w:pStyle w:val="19"/>
              <w:spacing w:before="0" w:beforeLines="0" w:beforeAutospacing="0" w:after="0" w:afterLines="0" w:afterAutospacing="0" w:line="360" w:lineRule="auto"/>
              <w:jc w:val="center"/>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rPr>
              <w:t>服务</w:t>
            </w:r>
            <w:r>
              <w:rPr>
                <w:rFonts w:hint="eastAsia" w:ascii="宋体" w:hAnsi="宋体" w:eastAsia="宋体" w:cs="宋体"/>
                <w:color w:val="000000"/>
                <w:sz w:val="24"/>
                <w:szCs w:val="24"/>
                <w:vertAlign w:val="baseline"/>
                <w:lang w:val="en-US" w:eastAsia="zh-CN"/>
              </w:rPr>
              <w:t>时间</w:t>
            </w:r>
          </w:p>
        </w:tc>
        <w:tc>
          <w:tcPr>
            <w:tcW w:w="5692" w:type="dxa"/>
            <w:vAlign w:val="center"/>
          </w:tcPr>
          <w:p w14:paraId="5EB0BD33">
            <w:pPr>
              <w:pStyle w:val="19"/>
              <w:spacing w:before="0" w:beforeLines="0" w:beforeAutospacing="0" w:after="0" w:afterLines="0" w:afterAutospacing="0" w:line="360" w:lineRule="auto"/>
              <w:jc w:val="center"/>
              <w:rPr>
                <w:rFonts w:hint="eastAsia" w:ascii="宋体" w:hAnsi="宋体" w:eastAsia="宋体" w:cs="宋体"/>
                <w:color w:val="000000"/>
                <w:sz w:val="24"/>
                <w:szCs w:val="24"/>
                <w:vertAlign w:val="baseline"/>
              </w:rPr>
            </w:pPr>
          </w:p>
        </w:tc>
      </w:tr>
      <w:tr w14:paraId="21AC3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8" w:hRule="atLeast"/>
          <w:jc w:val="center"/>
        </w:trPr>
        <w:tc>
          <w:tcPr>
            <w:tcW w:w="3817" w:type="dxa"/>
            <w:vAlign w:val="center"/>
          </w:tcPr>
          <w:p w14:paraId="71F84926">
            <w:pPr>
              <w:pStyle w:val="19"/>
              <w:spacing w:before="0" w:beforeLines="0" w:beforeAutospacing="0" w:after="0" w:afterLines="0" w:afterAutospacing="0" w:line="360" w:lineRule="auto"/>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t>项目负责人</w:t>
            </w:r>
          </w:p>
        </w:tc>
        <w:tc>
          <w:tcPr>
            <w:tcW w:w="5692" w:type="dxa"/>
            <w:vAlign w:val="center"/>
          </w:tcPr>
          <w:p w14:paraId="408E7E17">
            <w:pPr>
              <w:pStyle w:val="19"/>
              <w:spacing w:before="0" w:beforeLines="0" w:beforeAutospacing="0" w:after="0" w:afterLines="0" w:afterAutospacing="0" w:line="360" w:lineRule="auto"/>
              <w:jc w:val="center"/>
              <w:rPr>
                <w:rFonts w:hint="eastAsia" w:ascii="宋体" w:hAnsi="宋体" w:eastAsia="宋体" w:cs="宋体"/>
                <w:color w:val="000000"/>
                <w:sz w:val="24"/>
                <w:szCs w:val="24"/>
                <w:vertAlign w:val="baseline"/>
              </w:rPr>
            </w:pPr>
          </w:p>
        </w:tc>
      </w:tr>
    </w:tbl>
    <w:p w14:paraId="61069BAB">
      <w:pPr>
        <w:pStyle w:val="19"/>
        <w:spacing w:before="0" w:beforeLines="0" w:beforeAutospacing="0" w:after="0" w:afterLines="0" w:afterAutospacing="0" w:line="360" w:lineRule="auto"/>
        <w:rPr>
          <w:rFonts w:hint="eastAsia" w:ascii="宋体" w:hAnsi="宋体" w:eastAsia="宋体" w:cs="宋体"/>
          <w:color w:val="000000"/>
          <w:sz w:val="24"/>
          <w:szCs w:val="24"/>
        </w:rPr>
      </w:pPr>
    </w:p>
    <w:p w14:paraId="58DEBCD6">
      <w:pPr>
        <w:spacing w:beforeLines="0" w:afterLines="0" w:line="240" w:lineRule="atLeast"/>
        <w:ind w:firstLine="7379" w:firstLineChars="3500"/>
        <w:rPr>
          <w:rStyle w:val="24"/>
          <w:rFonts w:hint="eastAsia" w:ascii="宋体" w:hAnsi="宋体" w:eastAsia="宋体" w:cs="宋体"/>
          <w:color w:val="000000"/>
          <w:sz w:val="21"/>
          <w:szCs w:val="21"/>
        </w:rPr>
      </w:pPr>
      <w:r>
        <w:rPr>
          <w:rStyle w:val="24"/>
          <w:rFonts w:hint="eastAsia" w:ascii="宋体" w:hAnsi="宋体" w:eastAsia="宋体" w:cs="宋体"/>
          <w:color w:val="000000"/>
          <w:sz w:val="21"/>
          <w:szCs w:val="21"/>
          <w:lang w:eastAsia="zh-CN"/>
        </w:rPr>
        <w:t>日</w:t>
      </w:r>
      <w:r>
        <w:rPr>
          <w:rStyle w:val="24"/>
          <w:rFonts w:hint="eastAsia" w:ascii="宋体" w:hAnsi="宋体" w:eastAsia="宋体" w:cs="宋体"/>
          <w:color w:val="000000"/>
          <w:sz w:val="21"/>
          <w:szCs w:val="21"/>
          <w:lang w:val="en-US" w:eastAsia="zh-CN"/>
        </w:rPr>
        <w:t xml:space="preserve">  </w:t>
      </w:r>
      <w:r>
        <w:rPr>
          <w:rStyle w:val="24"/>
          <w:rFonts w:hint="eastAsia" w:ascii="宋体" w:hAnsi="宋体" w:eastAsia="宋体" w:cs="宋体"/>
          <w:color w:val="000000"/>
          <w:sz w:val="21"/>
          <w:szCs w:val="21"/>
          <w:lang w:eastAsia="zh-CN"/>
        </w:rPr>
        <w:t>期：</w:t>
      </w:r>
    </w:p>
    <w:p w14:paraId="08E03402">
      <w:pPr>
        <w:spacing w:beforeLines="0" w:afterLines="0" w:line="240" w:lineRule="atLeast"/>
        <w:rPr>
          <w:rStyle w:val="24"/>
          <w:rFonts w:hint="eastAsia" w:ascii="宋体" w:hAnsi="宋体" w:eastAsia="宋体" w:cs="宋体"/>
          <w:color w:val="000000"/>
          <w:sz w:val="21"/>
          <w:szCs w:val="21"/>
        </w:rPr>
      </w:pPr>
      <w:r>
        <w:rPr>
          <w:rStyle w:val="24"/>
          <w:rFonts w:hint="eastAsia" w:ascii="宋体" w:hAnsi="宋体" w:eastAsia="宋体" w:cs="宋体"/>
          <w:color w:val="000000"/>
          <w:sz w:val="21"/>
          <w:szCs w:val="21"/>
        </w:rPr>
        <w:t>注:</w:t>
      </w:r>
    </w:p>
    <w:p w14:paraId="061FCDC8">
      <w:pPr>
        <w:keepNext w:val="0"/>
        <w:keepLines w:val="0"/>
        <w:pageBreakBefore w:val="0"/>
        <w:widowControl w:val="0"/>
        <w:kinsoku/>
        <w:wordWrap/>
        <w:overflowPunct/>
        <w:topLinePunct w:val="0"/>
        <w:autoSpaceDE/>
        <w:autoSpaceDN/>
        <w:bidi w:val="0"/>
        <w:adjustRightInd/>
        <w:snapToGrid/>
        <w:spacing w:beforeLines="0" w:after="0" w:afterLines="0" w:line="280" w:lineRule="exact"/>
        <w:textAlignment w:val="auto"/>
        <w:rPr>
          <w:rFonts w:hint="eastAsia" w:ascii="宋体" w:hAnsi="宋体" w:eastAsia="宋体" w:cs="宋体"/>
          <w:color w:val="000000"/>
          <w:sz w:val="20"/>
          <w:szCs w:val="20"/>
        </w:rPr>
      </w:pPr>
      <w:r>
        <w:rPr>
          <w:rFonts w:hint="eastAsia" w:ascii="宋体" w:hAnsi="宋体" w:eastAsia="宋体" w:cs="宋体"/>
          <w:color w:val="000000"/>
          <w:sz w:val="20"/>
          <w:szCs w:val="20"/>
        </w:rPr>
        <w:t>1.所有价格均以人民币表示；</w:t>
      </w:r>
    </w:p>
    <w:p w14:paraId="11D44A3D">
      <w:pPr>
        <w:keepNext w:val="0"/>
        <w:keepLines w:val="0"/>
        <w:pageBreakBefore w:val="0"/>
        <w:widowControl w:val="0"/>
        <w:kinsoku/>
        <w:wordWrap/>
        <w:overflowPunct/>
        <w:topLinePunct w:val="0"/>
        <w:autoSpaceDE/>
        <w:autoSpaceDN/>
        <w:bidi w:val="0"/>
        <w:adjustRightInd/>
        <w:snapToGrid/>
        <w:spacing w:beforeLines="0" w:after="0" w:afterLines="0" w:line="280" w:lineRule="exact"/>
        <w:textAlignment w:val="auto"/>
        <w:rPr>
          <w:rFonts w:hint="eastAsia" w:ascii="宋体" w:hAnsi="宋体" w:eastAsia="宋体" w:cs="宋体"/>
          <w:color w:val="000000"/>
          <w:sz w:val="20"/>
          <w:szCs w:val="20"/>
        </w:rPr>
      </w:pPr>
      <w:r>
        <w:rPr>
          <w:rFonts w:hint="eastAsia" w:ascii="宋体" w:hAnsi="宋体" w:eastAsia="宋体" w:cs="宋体"/>
          <w:color w:val="000000"/>
          <w:sz w:val="20"/>
          <w:szCs w:val="20"/>
        </w:rPr>
        <w:t>2.报价应包括磋商文件所规定的采购范围的全部内容（各类人工、税费、管理费以及一切技术和服务费等）。供应商漏报的费用，视为此项费用已隐含在响应报价中，成交后不得再向采购人收取任何费用；</w:t>
      </w:r>
    </w:p>
    <w:p w14:paraId="3DB20A4C">
      <w:pPr>
        <w:keepNext w:val="0"/>
        <w:keepLines w:val="0"/>
        <w:pageBreakBefore w:val="0"/>
        <w:widowControl w:val="0"/>
        <w:kinsoku/>
        <w:wordWrap/>
        <w:overflowPunct/>
        <w:topLinePunct w:val="0"/>
        <w:autoSpaceDE/>
        <w:autoSpaceDN/>
        <w:bidi w:val="0"/>
        <w:adjustRightInd/>
        <w:snapToGrid/>
        <w:spacing w:beforeLines="0" w:after="0" w:afterLines="0" w:line="280" w:lineRule="exact"/>
        <w:textAlignment w:val="auto"/>
        <w:rPr>
          <w:rFonts w:hint="eastAsia" w:ascii="宋体" w:hAnsi="宋体" w:eastAsia="宋体" w:cs="宋体"/>
          <w:color w:val="000000"/>
          <w:sz w:val="20"/>
          <w:szCs w:val="20"/>
        </w:rPr>
      </w:pPr>
      <w:r>
        <w:rPr>
          <w:rFonts w:hint="eastAsia" w:ascii="宋体" w:hAnsi="宋体" w:eastAsia="宋体" w:cs="宋体"/>
          <w:color w:val="000000"/>
          <w:sz w:val="20"/>
          <w:szCs w:val="20"/>
        </w:rPr>
        <w:t>3.磋商文件未列明，而供应商认为必需的费用也需列入报价；</w:t>
      </w:r>
    </w:p>
    <w:p w14:paraId="022194BB">
      <w:pPr>
        <w:keepNext w:val="0"/>
        <w:keepLines w:val="0"/>
        <w:pageBreakBefore w:val="0"/>
        <w:widowControl w:val="0"/>
        <w:kinsoku/>
        <w:wordWrap/>
        <w:overflowPunct/>
        <w:topLinePunct w:val="0"/>
        <w:autoSpaceDE/>
        <w:autoSpaceDN/>
        <w:bidi w:val="0"/>
        <w:adjustRightInd/>
        <w:snapToGrid/>
        <w:spacing w:beforeLines="0" w:after="0" w:afterLines="0" w:line="280" w:lineRule="exact"/>
        <w:textAlignment w:val="auto"/>
        <w:rPr>
          <w:rFonts w:hint="eastAsia" w:ascii="宋体" w:hAnsi="宋体" w:eastAsia="宋体" w:cs="宋体"/>
          <w:color w:val="000000"/>
          <w:sz w:val="20"/>
          <w:szCs w:val="20"/>
        </w:rPr>
      </w:pPr>
      <w:r>
        <w:rPr>
          <w:rFonts w:hint="eastAsia" w:ascii="宋体" w:hAnsi="宋体" w:eastAsia="宋体" w:cs="宋体"/>
          <w:color w:val="000000"/>
          <w:sz w:val="20"/>
          <w:szCs w:val="20"/>
        </w:rPr>
        <w:t>4.供应商不得实质性改动报价一览表格式及内容。</w:t>
      </w:r>
    </w:p>
    <w:p w14:paraId="20E25A3B">
      <w:pPr>
        <w:keepNext w:val="0"/>
        <w:keepLines w:val="0"/>
        <w:pageBreakBefore w:val="0"/>
        <w:widowControl w:val="0"/>
        <w:kinsoku/>
        <w:wordWrap/>
        <w:overflowPunct/>
        <w:topLinePunct w:val="0"/>
        <w:autoSpaceDE/>
        <w:autoSpaceDN/>
        <w:bidi w:val="0"/>
        <w:adjustRightInd/>
        <w:snapToGrid/>
        <w:spacing w:beforeLines="0" w:after="0" w:afterLines="0" w:line="280" w:lineRule="exact"/>
        <w:textAlignment w:val="auto"/>
        <w:rPr>
          <w:rFonts w:hint="eastAsia" w:ascii="宋体" w:hAnsi="宋体" w:eastAsia="宋体" w:cs="宋体"/>
          <w:bCs/>
          <w:color w:val="000000"/>
          <w:sz w:val="20"/>
          <w:szCs w:val="20"/>
          <w:highlight w:val="none"/>
        </w:rPr>
      </w:pPr>
      <w:r>
        <w:rPr>
          <w:rFonts w:hint="eastAsia" w:ascii="宋体" w:hAnsi="宋体" w:eastAsia="宋体" w:cs="宋体"/>
          <w:color w:val="000000"/>
          <w:sz w:val="20"/>
          <w:szCs w:val="20"/>
          <w:lang w:val="en-US" w:eastAsia="zh-CN"/>
        </w:rPr>
        <w:t>5.</w:t>
      </w:r>
      <w:r>
        <w:rPr>
          <w:rFonts w:hint="eastAsia" w:ascii="宋体" w:hAnsi="宋体" w:eastAsia="宋体" w:cs="宋体"/>
          <w:bCs/>
          <w:color w:val="000000"/>
          <w:sz w:val="20"/>
          <w:szCs w:val="20"/>
          <w:highlight w:val="none"/>
        </w:rPr>
        <w:t>异常低价的处理</w:t>
      </w:r>
    </w:p>
    <w:p w14:paraId="6FB87974">
      <w:pPr>
        <w:keepNext w:val="0"/>
        <w:keepLines w:val="0"/>
        <w:pageBreakBefore w:val="0"/>
        <w:widowControl w:val="0"/>
        <w:kinsoku/>
        <w:wordWrap/>
        <w:overflowPunct/>
        <w:topLinePunct w:val="0"/>
        <w:autoSpaceDE/>
        <w:autoSpaceDN/>
        <w:bidi w:val="0"/>
        <w:adjustRightInd/>
        <w:snapToGrid/>
        <w:spacing w:beforeLines="0" w:after="0" w:afterLines="0" w:line="280" w:lineRule="exact"/>
        <w:textAlignment w:val="auto"/>
        <w:rPr>
          <w:rFonts w:hint="eastAsia" w:ascii="宋体" w:hAnsi="宋体" w:eastAsia="宋体" w:cs="宋体"/>
          <w:color w:val="000000"/>
          <w:sz w:val="20"/>
          <w:szCs w:val="20"/>
        </w:rPr>
      </w:pPr>
      <w:r>
        <w:rPr>
          <w:rFonts w:hint="eastAsia" w:ascii="宋体" w:hAnsi="宋体" w:eastAsia="宋体" w:cs="宋体"/>
          <w:bCs/>
          <w:color w:val="000000"/>
          <w:sz w:val="20"/>
          <w:szCs w:val="20"/>
          <w:highlight w:val="none"/>
          <w:lang w:val="en-US" w:eastAsia="zh-CN"/>
        </w:rPr>
        <w:t>a.</w:t>
      </w:r>
      <w:r>
        <w:rPr>
          <w:rFonts w:hint="eastAsia" w:ascii="宋体" w:hAnsi="宋体" w:eastAsia="宋体" w:cs="宋体"/>
          <w:color w:val="000000"/>
          <w:sz w:val="20"/>
          <w:szCs w:val="20"/>
        </w:rPr>
        <w:t>评审过程中出现下列情形之一的，评审委员会将启动异常低价投标（响应）审查程序：</w:t>
      </w:r>
    </w:p>
    <w:p w14:paraId="0BB6187D">
      <w:pPr>
        <w:keepNext w:val="0"/>
        <w:keepLines w:val="0"/>
        <w:pageBreakBefore w:val="0"/>
        <w:widowControl w:val="0"/>
        <w:kinsoku/>
        <w:wordWrap/>
        <w:overflowPunct/>
        <w:topLinePunct w:val="0"/>
        <w:autoSpaceDE/>
        <w:autoSpaceDN/>
        <w:bidi w:val="0"/>
        <w:adjustRightInd/>
        <w:snapToGrid/>
        <w:spacing w:beforeLines="0" w:after="0" w:afterLines="0" w:line="280" w:lineRule="exact"/>
        <w:textAlignment w:val="auto"/>
        <w:rPr>
          <w:rFonts w:hint="eastAsia" w:ascii="宋体" w:hAnsi="宋体" w:eastAsia="宋体" w:cs="宋体"/>
          <w:color w:val="000000"/>
          <w:sz w:val="20"/>
          <w:szCs w:val="20"/>
        </w:rPr>
      </w:pPr>
      <w:r>
        <w:rPr>
          <w:rFonts w:hint="eastAsia" w:ascii="宋体" w:hAnsi="宋体" w:eastAsia="宋体" w:cs="宋体"/>
          <w:color w:val="000000"/>
          <w:sz w:val="20"/>
          <w:szCs w:val="20"/>
          <w:lang w:eastAsia="zh-CN"/>
        </w:rPr>
        <w:t>（</w:t>
      </w:r>
      <w:r>
        <w:rPr>
          <w:rFonts w:hint="eastAsia" w:ascii="宋体" w:hAnsi="宋体" w:eastAsia="宋体" w:cs="宋体"/>
          <w:color w:val="000000"/>
          <w:sz w:val="20"/>
          <w:szCs w:val="20"/>
          <w:lang w:val="en-US" w:eastAsia="zh-CN"/>
        </w:rPr>
        <w:t>1）</w:t>
      </w:r>
      <w:r>
        <w:rPr>
          <w:rFonts w:hint="eastAsia" w:ascii="宋体" w:hAnsi="宋体" w:eastAsia="宋体" w:cs="宋体"/>
          <w:color w:val="000000"/>
          <w:sz w:val="20"/>
          <w:szCs w:val="20"/>
        </w:rPr>
        <w:t>投标（响应）报价低于全部通过符合性审查供应商投标（响应）报价平均值50%的，即投标（响应）报价&lt;全部通过符合性审查供应商投标（响应）报价平均值×50%；</w:t>
      </w:r>
    </w:p>
    <w:p w14:paraId="3561BED0">
      <w:pPr>
        <w:keepNext w:val="0"/>
        <w:keepLines w:val="0"/>
        <w:pageBreakBefore w:val="0"/>
        <w:widowControl w:val="0"/>
        <w:kinsoku/>
        <w:wordWrap/>
        <w:overflowPunct/>
        <w:topLinePunct w:val="0"/>
        <w:autoSpaceDE/>
        <w:autoSpaceDN/>
        <w:bidi w:val="0"/>
        <w:adjustRightInd/>
        <w:snapToGrid/>
        <w:spacing w:beforeLines="0" w:after="0" w:afterLines="0" w:line="280" w:lineRule="exact"/>
        <w:textAlignment w:val="auto"/>
        <w:rPr>
          <w:rFonts w:hint="eastAsia" w:ascii="宋体" w:hAnsi="宋体" w:eastAsia="宋体" w:cs="宋体"/>
          <w:color w:val="000000"/>
          <w:sz w:val="20"/>
          <w:szCs w:val="20"/>
        </w:rPr>
      </w:pPr>
      <w:r>
        <w:rPr>
          <w:rFonts w:hint="eastAsia" w:ascii="宋体" w:hAnsi="宋体" w:eastAsia="宋体" w:cs="宋体"/>
          <w:color w:val="000000"/>
          <w:sz w:val="20"/>
          <w:szCs w:val="20"/>
          <w:lang w:eastAsia="zh-CN"/>
        </w:rPr>
        <w:t>（</w:t>
      </w:r>
      <w:r>
        <w:rPr>
          <w:rFonts w:hint="eastAsia" w:ascii="宋体" w:hAnsi="宋体" w:eastAsia="宋体" w:cs="宋体"/>
          <w:color w:val="000000"/>
          <w:sz w:val="20"/>
          <w:szCs w:val="20"/>
          <w:lang w:val="en-US" w:eastAsia="zh-CN"/>
        </w:rPr>
        <w:t>2）</w:t>
      </w:r>
      <w:r>
        <w:rPr>
          <w:rFonts w:hint="eastAsia" w:ascii="宋体" w:hAnsi="宋体" w:eastAsia="宋体" w:cs="宋体"/>
          <w:color w:val="000000"/>
          <w:sz w:val="20"/>
          <w:szCs w:val="20"/>
        </w:rPr>
        <w:t>投标（响应）报价低于通过符合性审查的次低报价供应商投标（响应）报价50%的，即投标（响应）报价&lt;通过符合性审查的次低报价供应商投标（响应）报价×50%；</w:t>
      </w:r>
    </w:p>
    <w:p w14:paraId="27B283EE">
      <w:pPr>
        <w:keepNext w:val="0"/>
        <w:keepLines w:val="0"/>
        <w:pageBreakBefore w:val="0"/>
        <w:widowControl w:val="0"/>
        <w:kinsoku/>
        <w:wordWrap/>
        <w:overflowPunct/>
        <w:topLinePunct w:val="0"/>
        <w:autoSpaceDE/>
        <w:autoSpaceDN/>
        <w:bidi w:val="0"/>
        <w:adjustRightInd/>
        <w:snapToGrid/>
        <w:spacing w:beforeLines="0" w:after="0" w:afterLines="0" w:line="280" w:lineRule="exact"/>
        <w:textAlignment w:val="auto"/>
        <w:rPr>
          <w:rFonts w:hint="eastAsia" w:ascii="宋体" w:hAnsi="宋体" w:eastAsia="宋体" w:cs="宋体"/>
          <w:color w:val="000000"/>
          <w:sz w:val="20"/>
          <w:szCs w:val="20"/>
        </w:rPr>
      </w:pPr>
      <w:r>
        <w:rPr>
          <w:rFonts w:hint="eastAsia" w:ascii="宋体" w:hAnsi="宋体" w:eastAsia="宋体" w:cs="宋体"/>
          <w:color w:val="000000"/>
          <w:sz w:val="20"/>
          <w:szCs w:val="20"/>
          <w:lang w:eastAsia="zh-CN"/>
        </w:rPr>
        <w:t>（</w:t>
      </w:r>
      <w:r>
        <w:rPr>
          <w:rFonts w:hint="eastAsia" w:ascii="宋体" w:hAnsi="宋体" w:eastAsia="宋体" w:cs="宋体"/>
          <w:color w:val="000000"/>
          <w:sz w:val="20"/>
          <w:szCs w:val="20"/>
          <w:lang w:val="en-US" w:eastAsia="zh-CN"/>
        </w:rPr>
        <w:t>3）</w:t>
      </w:r>
      <w:r>
        <w:rPr>
          <w:rFonts w:hint="eastAsia" w:ascii="宋体" w:hAnsi="宋体" w:eastAsia="宋体" w:cs="宋体"/>
          <w:color w:val="000000"/>
          <w:sz w:val="20"/>
          <w:szCs w:val="20"/>
        </w:rPr>
        <w:t>投标（响应）报价低于采购项目最高限价45%的，即投标（响应）报价&lt;采购项目最高限价×45%（未设定最高限价的采购项目，以采购项目预算金额作为最高限价）；</w:t>
      </w:r>
    </w:p>
    <w:p w14:paraId="48ED6B1F">
      <w:pPr>
        <w:keepNext w:val="0"/>
        <w:keepLines w:val="0"/>
        <w:pageBreakBefore w:val="0"/>
        <w:widowControl w:val="0"/>
        <w:kinsoku/>
        <w:wordWrap/>
        <w:overflowPunct/>
        <w:topLinePunct w:val="0"/>
        <w:autoSpaceDE/>
        <w:autoSpaceDN/>
        <w:bidi w:val="0"/>
        <w:adjustRightInd/>
        <w:snapToGrid/>
        <w:spacing w:beforeLines="0" w:after="0" w:afterLines="0" w:line="280" w:lineRule="exact"/>
        <w:textAlignment w:val="auto"/>
        <w:rPr>
          <w:rFonts w:hint="eastAsia" w:ascii="宋体" w:hAnsi="宋体" w:eastAsia="宋体" w:cs="宋体"/>
          <w:color w:val="000000"/>
          <w:sz w:val="20"/>
          <w:szCs w:val="20"/>
        </w:rPr>
      </w:pPr>
      <w:r>
        <w:rPr>
          <w:rFonts w:hint="eastAsia" w:ascii="宋体" w:hAnsi="宋体" w:eastAsia="宋体" w:cs="宋体"/>
          <w:color w:val="000000"/>
          <w:sz w:val="20"/>
          <w:szCs w:val="20"/>
          <w:lang w:eastAsia="zh-CN"/>
        </w:rPr>
        <w:t>（</w:t>
      </w:r>
      <w:r>
        <w:rPr>
          <w:rFonts w:hint="eastAsia" w:ascii="宋体" w:hAnsi="宋体" w:eastAsia="宋体" w:cs="宋体"/>
          <w:color w:val="000000"/>
          <w:sz w:val="20"/>
          <w:szCs w:val="20"/>
          <w:lang w:val="en-US" w:eastAsia="zh-CN"/>
        </w:rPr>
        <w:t>4）</w:t>
      </w:r>
      <w:r>
        <w:rPr>
          <w:rFonts w:hint="eastAsia" w:ascii="宋体" w:hAnsi="宋体" w:eastAsia="宋体" w:cs="宋体"/>
          <w:color w:val="000000"/>
          <w:sz w:val="20"/>
          <w:szCs w:val="20"/>
        </w:rPr>
        <w:t>评审委员会基于专业判断，认为供应商报价过低，有可能影响产品质量或者不能诚信履约的其他情形。</w:t>
      </w:r>
    </w:p>
    <w:p w14:paraId="34A7D194">
      <w:pPr>
        <w:keepNext w:val="0"/>
        <w:keepLines w:val="0"/>
        <w:pageBreakBefore w:val="0"/>
        <w:widowControl w:val="0"/>
        <w:kinsoku/>
        <w:wordWrap/>
        <w:overflowPunct/>
        <w:topLinePunct w:val="0"/>
        <w:autoSpaceDE/>
        <w:autoSpaceDN/>
        <w:bidi w:val="0"/>
        <w:adjustRightInd/>
        <w:snapToGrid/>
        <w:spacing w:beforeLines="0" w:after="0" w:afterLines="0" w:line="280" w:lineRule="exact"/>
        <w:textAlignment w:val="auto"/>
        <w:rPr>
          <w:rFonts w:hint="eastAsia" w:ascii="宋体" w:hAnsi="宋体" w:eastAsia="宋体" w:cs="宋体"/>
          <w:color w:val="000000"/>
          <w:sz w:val="20"/>
          <w:szCs w:val="20"/>
        </w:rPr>
      </w:pPr>
      <w:r>
        <w:rPr>
          <w:rFonts w:hint="eastAsia" w:ascii="宋体" w:hAnsi="宋体" w:eastAsia="宋体" w:cs="宋体"/>
          <w:color w:val="000000"/>
          <w:sz w:val="20"/>
          <w:szCs w:val="20"/>
          <w:lang w:val="en-US" w:eastAsia="zh-CN"/>
        </w:rPr>
        <w:t>b.</w:t>
      </w:r>
      <w:r>
        <w:rPr>
          <w:rFonts w:hint="eastAsia" w:ascii="宋体" w:hAnsi="宋体" w:eastAsia="宋体" w:cs="宋体"/>
          <w:color w:val="000000"/>
          <w:sz w:val="20"/>
          <w:szCs w:val="20"/>
        </w:rPr>
        <w:t>评审委员会启动异常低价投标（响应）审查后，属于前述第</w:t>
      </w:r>
      <w:r>
        <w:rPr>
          <w:rFonts w:hint="eastAsia" w:ascii="宋体" w:hAnsi="宋体" w:eastAsia="宋体" w:cs="宋体"/>
          <w:color w:val="000000"/>
          <w:sz w:val="20"/>
          <w:szCs w:val="20"/>
          <w:lang w:eastAsia="zh-CN"/>
        </w:rPr>
        <w:t>（</w:t>
      </w:r>
      <w:r>
        <w:rPr>
          <w:rFonts w:hint="eastAsia" w:ascii="宋体" w:hAnsi="宋体" w:eastAsia="宋体" w:cs="宋体"/>
          <w:color w:val="000000"/>
          <w:sz w:val="20"/>
          <w:szCs w:val="20"/>
          <w:lang w:val="en-US" w:eastAsia="zh-CN"/>
        </w:rPr>
        <w:t>1）</w:t>
      </w:r>
      <w:r>
        <w:rPr>
          <w:rFonts w:hint="eastAsia" w:ascii="宋体" w:hAnsi="宋体" w:eastAsia="宋体" w:cs="宋体"/>
          <w:color w:val="000000"/>
          <w:sz w:val="20"/>
          <w:szCs w:val="20"/>
        </w:rPr>
        <w:t>项至第</w:t>
      </w:r>
      <w:r>
        <w:rPr>
          <w:rFonts w:hint="eastAsia" w:ascii="宋体" w:hAnsi="宋体" w:eastAsia="宋体" w:cs="宋体"/>
          <w:color w:val="000000"/>
          <w:sz w:val="20"/>
          <w:szCs w:val="20"/>
          <w:lang w:eastAsia="zh-CN"/>
        </w:rPr>
        <w:t>（</w:t>
      </w:r>
      <w:r>
        <w:rPr>
          <w:rFonts w:hint="eastAsia" w:ascii="宋体" w:hAnsi="宋体" w:eastAsia="宋体" w:cs="宋体"/>
          <w:color w:val="000000"/>
          <w:sz w:val="20"/>
          <w:szCs w:val="20"/>
          <w:lang w:val="en-US" w:eastAsia="zh-CN"/>
        </w:rPr>
        <w:t>4）</w:t>
      </w:r>
      <w:r>
        <w:rPr>
          <w:rFonts w:hint="eastAsia" w:ascii="宋体" w:hAnsi="宋体" w:eastAsia="宋体" w:cs="宋体"/>
          <w:color w:val="000000"/>
          <w:sz w:val="20"/>
          <w:szCs w:val="20"/>
        </w:rPr>
        <w:t>项情形的，将要求相关供应商在评审现场合理的时间内对投标（响应）价格作出解释，提供项目具体成本测算等与报价合理性相关的书面说明及必要的证明材料，包括但不限于原材料成本、人工成本、制造费用等。其中，属于第</w:t>
      </w:r>
      <w:r>
        <w:rPr>
          <w:rFonts w:hint="eastAsia" w:ascii="宋体" w:hAnsi="宋体" w:eastAsia="宋体" w:cs="宋体"/>
          <w:color w:val="000000"/>
          <w:sz w:val="20"/>
          <w:szCs w:val="20"/>
          <w:lang w:val="en-US" w:eastAsia="zh-CN"/>
        </w:rPr>
        <w:t>（3）</w:t>
      </w:r>
      <w:r>
        <w:rPr>
          <w:rFonts w:hint="eastAsia" w:ascii="宋体" w:hAnsi="宋体" w:eastAsia="宋体" w:cs="宋体"/>
          <w:color w:val="000000"/>
          <w:sz w:val="20"/>
          <w:szCs w:val="20"/>
        </w:rPr>
        <w:t>项情形，供应商已随投标（响应）文件一并提交相关书面说明及必要的证明材料的，在评审现场可不再重复提交。</w:t>
      </w:r>
    </w:p>
    <w:p w14:paraId="6F11962C">
      <w:pPr>
        <w:keepNext w:val="0"/>
        <w:keepLines w:val="0"/>
        <w:pageBreakBefore w:val="0"/>
        <w:widowControl w:val="0"/>
        <w:kinsoku/>
        <w:wordWrap/>
        <w:overflowPunct/>
        <w:topLinePunct w:val="0"/>
        <w:autoSpaceDE/>
        <w:autoSpaceDN/>
        <w:bidi w:val="0"/>
        <w:adjustRightInd/>
        <w:snapToGrid/>
        <w:spacing w:beforeLines="0" w:after="0" w:afterLines="0" w:line="280" w:lineRule="exact"/>
        <w:textAlignment w:val="auto"/>
        <w:rPr>
          <w:rFonts w:hint="eastAsia" w:ascii="宋体" w:hAnsi="宋体" w:eastAsia="宋体" w:cs="宋体"/>
          <w:lang w:val="en-US" w:eastAsia="zh-CN"/>
        </w:rPr>
      </w:pPr>
      <w:r>
        <w:rPr>
          <w:rFonts w:hint="eastAsia" w:ascii="宋体" w:hAnsi="宋体" w:eastAsia="宋体" w:cs="宋体"/>
          <w:color w:val="000000"/>
          <w:sz w:val="20"/>
          <w:szCs w:val="20"/>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sz w:val="20"/>
          <w:szCs w:val="20"/>
          <w:lang w:val="zh-CN"/>
        </w:rPr>
        <w:t>。</w:t>
      </w:r>
    </w:p>
    <w:p w14:paraId="70548212">
      <w:pPr>
        <w:pStyle w:val="30"/>
        <w:keepNext w:val="0"/>
        <w:keepLines w:val="0"/>
        <w:pageBreakBefore/>
        <w:widowControl w:val="0"/>
        <w:numPr>
          <w:ilvl w:val="255"/>
          <w:numId w:val="0"/>
        </w:numPr>
        <w:kinsoku/>
        <w:wordWrap/>
        <w:overflowPunct/>
        <w:topLinePunct w:val="0"/>
        <w:autoSpaceDE/>
        <w:autoSpaceDN/>
        <w:bidi w:val="0"/>
        <w:adjustRightInd/>
        <w:snapToGrid/>
        <w:textAlignment w:val="auto"/>
        <w:rPr>
          <w:rFonts w:hint="eastAsia" w:ascii="宋体" w:hAnsi="宋体" w:eastAsia="宋体" w:cs="宋体"/>
          <w:snapToGrid w:val="0"/>
          <w:color w:val="000000"/>
          <w:kern w:val="0"/>
          <w:sz w:val="32"/>
          <w:szCs w:val="32"/>
        </w:rPr>
      </w:pPr>
      <w:r>
        <w:rPr>
          <w:rFonts w:hint="eastAsia" w:ascii="宋体" w:hAnsi="宋体" w:eastAsia="宋体" w:cs="宋体"/>
          <w:snapToGrid w:val="0"/>
          <w:color w:val="000000"/>
          <w:kern w:val="0"/>
          <w:sz w:val="32"/>
          <w:szCs w:val="32"/>
          <w:lang w:val="en-US" w:eastAsia="zh-CN"/>
        </w:rPr>
        <w:t>四、报价明细表</w:t>
      </w:r>
    </w:p>
    <w:bookmarkEnd w:id="158"/>
    <w:bookmarkEnd w:id="159"/>
    <w:bookmarkEnd w:id="160"/>
    <w:bookmarkEnd w:id="161"/>
    <w:bookmarkEnd w:id="162"/>
    <w:p w14:paraId="2CF476E9">
      <w:pPr>
        <w:spacing w:line="240" w:lineRule="auto"/>
        <w:jc w:val="center"/>
        <w:rPr>
          <w:rFonts w:hint="eastAsia" w:ascii="宋体" w:hAnsi="宋体" w:eastAsia="宋体" w:cs="宋体"/>
          <w:sz w:val="24"/>
          <w:lang w:val="en-US" w:eastAsia="zh-CN"/>
        </w:rPr>
      </w:pPr>
      <w:r>
        <w:rPr>
          <w:rFonts w:hint="eastAsia" w:ascii="宋体" w:hAnsi="宋体" w:eastAsia="宋体" w:cs="宋体"/>
          <w:sz w:val="32"/>
          <w:szCs w:val="21"/>
        </w:rPr>
        <w:t>报价明细表</w:t>
      </w:r>
    </w:p>
    <w:p w14:paraId="2F94B327">
      <w:pPr>
        <w:spacing w:line="360" w:lineRule="auto"/>
        <w:ind w:firstLine="420" w:firstLineChars="175"/>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供应商名称：（加盖电子公章）</w:t>
      </w:r>
    </w:p>
    <w:p w14:paraId="17730F1A">
      <w:pPr>
        <w:spacing w:line="360" w:lineRule="auto"/>
        <w:ind w:firstLine="420" w:firstLineChars="175"/>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项目名称：</w:t>
      </w:r>
    </w:p>
    <w:p w14:paraId="25012080">
      <w:pPr>
        <w:spacing w:line="360" w:lineRule="auto"/>
        <w:ind w:firstLine="420" w:firstLineChars="175"/>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项目编号：</w:t>
      </w:r>
    </w:p>
    <w:tbl>
      <w:tblPr>
        <w:tblStyle w:val="21"/>
        <w:tblW w:w="88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4"/>
        <w:gridCol w:w="1924"/>
        <w:gridCol w:w="1810"/>
        <w:gridCol w:w="1639"/>
        <w:gridCol w:w="1271"/>
        <w:gridCol w:w="1467"/>
      </w:tblGrid>
      <w:tr w14:paraId="20EE5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724" w:type="dxa"/>
            <w:vAlign w:val="center"/>
          </w:tcPr>
          <w:p w14:paraId="3F790357">
            <w:pPr>
              <w:spacing w:line="0" w:lineRule="atLeas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序号</w:t>
            </w:r>
          </w:p>
        </w:tc>
        <w:tc>
          <w:tcPr>
            <w:tcW w:w="1924" w:type="dxa"/>
            <w:vAlign w:val="center"/>
          </w:tcPr>
          <w:p w14:paraId="2081F61A">
            <w:pPr>
              <w:spacing w:line="0" w:lineRule="atLeas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服务名称</w:t>
            </w:r>
          </w:p>
        </w:tc>
        <w:tc>
          <w:tcPr>
            <w:tcW w:w="1810" w:type="dxa"/>
            <w:vAlign w:val="center"/>
          </w:tcPr>
          <w:p w14:paraId="34CB0096">
            <w:pPr>
              <w:spacing w:line="0" w:lineRule="atLeas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服务内容</w:t>
            </w:r>
          </w:p>
        </w:tc>
        <w:tc>
          <w:tcPr>
            <w:tcW w:w="1639" w:type="dxa"/>
            <w:vAlign w:val="center"/>
          </w:tcPr>
          <w:p w14:paraId="6AE25CB9">
            <w:pPr>
              <w:spacing w:line="0" w:lineRule="atLeas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数量/单位</w:t>
            </w:r>
          </w:p>
        </w:tc>
        <w:tc>
          <w:tcPr>
            <w:tcW w:w="1271" w:type="dxa"/>
            <w:vAlign w:val="center"/>
          </w:tcPr>
          <w:p w14:paraId="090C0412">
            <w:pPr>
              <w:spacing w:line="0" w:lineRule="atLeas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单价</w:t>
            </w:r>
          </w:p>
          <w:p w14:paraId="2D04D885">
            <w:pPr>
              <w:spacing w:line="0" w:lineRule="atLeas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（元）</w:t>
            </w:r>
          </w:p>
        </w:tc>
        <w:tc>
          <w:tcPr>
            <w:tcW w:w="1467" w:type="dxa"/>
            <w:vAlign w:val="center"/>
          </w:tcPr>
          <w:p w14:paraId="2DF31FB7">
            <w:pPr>
              <w:spacing w:line="0" w:lineRule="atLeas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单项合计价</w:t>
            </w:r>
          </w:p>
          <w:p w14:paraId="63146833">
            <w:pPr>
              <w:spacing w:line="0" w:lineRule="atLeas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（元）</w:t>
            </w:r>
          </w:p>
        </w:tc>
      </w:tr>
      <w:tr w14:paraId="3A313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724" w:type="dxa"/>
            <w:vAlign w:val="center"/>
          </w:tcPr>
          <w:p w14:paraId="72F11495">
            <w:pPr>
              <w:spacing w:line="0" w:lineRule="atLeast"/>
              <w:jc w:val="center"/>
              <w:rPr>
                <w:rFonts w:hint="eastAsia" w:ascii="宋体" w:hAnsi="宋体" w:eastAsia="宋体" w:cs="宋体"/>
                <w:color w:val="000000" w:themeColor="text1"/>
                <w:sz w:val="24"/>
                <w14:textFill>
                  <w14:solidFill>
                    <w14:schemeClr w14:val="tx1"/>
                  </w14:solidFill>
                </w14:textFill>
              </w:rPr>
            </w:pPr>
          </w:p>
        </w:tc>
        <w:tc>
          <w:tcPr>
            <w:tcW w:w="1924" w:type="dxa"/>
            <w:vAlign w:val="center"/>
          </w:tcPr>
          <w:p w14:paraId="25AF8095">
            <w:pPr>
              <w:spacing w:line="0" w:lineRule="atLeast"/>
              <w:jc w:val="center"/>
              <w:rPr>
                <w:rFonts w:hint="eastAsia" w:ascii="宋体" w:hAnsi="宋体" w:eastAsia="宋体" w:cs="宋体"/>
                <w:color w:val="000000" w:themeColor="text1"/>
                <w:sz w:val="24"/>
                <w14:textFill>
                  <w14:solidFill>
                    <w14:schemeClr w14:val="tx1"/>
                  </w14:solidFill>
                </w14:textFill>
              </w:rPr>
            </w:pPr>
          </w:p>
        </w:tc>
        <w:tc>
          <w:tcPr>
            <w:tcW w:w="1810" w:type="dxa"/>
            <w:vAlign w:val="center"/>
          </w:tcPr>
          <w:p w14:paraId="58E48FB2">
            <w:pPr>
              <w:spacing w:line="0" w:lineRule="atLeast"/>
              <w:jc w:val="center"/>
              <w:rPr>
                <w:rFonts w:hint="eastAsia" w:ascii="宋体" w:hAnsi="宋体" w:eastAsia="宋体" w:cs="宋体"/>
                <w:color w:val="000000" w:themeColor="text1"/>
                <w:sz w:val="24"/>
                <w14:textFill>
                  <w14:solidFill>
                    <w14:schemeClr w14:val="tx1"/>
                  </w14:solidFill>
                </w14:textFill>
              </w:rPr>
            </w:pPr>
          </w:p>
        </w:tc>
        <w:tc>
          <w:tcPr>
            <w:tcW w:w="1639" w:type="dxa"/>
            <w:vAlign w:val="center"/>
          </w:tcPr>
          <w:p w14:paraId="53698903">
            <w:pPr>
              <w:spacing w:line="0" w:lineRule="atLeast"/>
              <w:jc w:val="center"/>
              <w:rPr>
                <w:rFonts w:hint="eastAsia" w:ascii="宋体" w:hAnsi="宋体" w:eastAsia="宋体" w:cs="宋体"/>
                <w:color w:val="000000" w:themeColor="text1"/>
                <w:sz w:val="24"/>
                <w14:textFill>
                  <w14:solidFill>
                    <w14:schemeClr w14:val="tx1"/>
                  </w14:solidFill>
                </w14:textFill>
              </w:rPr>
            </w:pPr>
          </w:p>
        </w:tc>
        <w:tc>
          <w:tcPr>
            <w:tcW w:w="1271" w:type="dxa"/>
            <w:vAlign w:val="center"/>
          </w:tcPr>
          <w:p w14:paraId="12BA20C5">
            <w:pPr>
              <w:spacing w:line="0" w:lineRule="atLeast"/>
              <w:jc w:val="center"/>
              <w:rPr>
                <w:rFonts w:hint="eastAsia" w:ascii="宋体" w:hAnsi="宋体" w:eastAsia="宋体" w:cs="宋体"/>
                <w:color w:val="000000" w:themeColor="text1"/>
                <w:sz w:val="24"/>
                <w14:textFill>
                  <w14:solidFill>
                    <w14:schemeClr w14:val="tx1"/>
                  </w14:solidFill>
                </w14:textFill>
              </w:rPr>
            </w:pPr>
          </w:p>
        </w:tc>
        <w:tc>
          <w:tcPr>
            <w:tcW w:w="1467" w:type="dxa"/>
            <w:vAlign w:val="center"/>
          </w:tcPr>
          <w:p w14:paraId="0987CF88">
            <w:pPr>
              <w:spacing w:line="0" w:lineRule="atLeast"/>
              <w:jc w:val="center"/>
              <w:rPr>
                <w:rFonts w:hint="eastAsia" w:ascii="宋体" w:hAnsi="宋体" w:eastAsia="宋体" w:cs="宋体"/>
                <w:color w:val="000000" w:themeColor="text1"/>
                <w:sz w:val="24"/>
                <w14:textFill>
                  <w14:solidFill>
                    <w14:schemeClr w14:val="tx1"/>
                  </w14:solidFill>
                </w14:textFill>
              </w:rPr>
            </w:pPr>
          </w:p>
        </w:tc>
      </w:tr>
      <w:tr w14:paraId="2D9EF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724" w:type="dxa"/>
            <w:vAlign w:val="center"/>
          </w:tcPr>
          <w:p w14:paraId="0E018D66">
            <w:pPr>
              <w:spacing w:line="0" w:lineRule="atLeast"/>
              <w:jc w:val="center"/>
              <w:rPr>
                <w:rFonts w:hint="eastAsia" w:ascii="宋体" w:hAnsi="宋体" w:eastAsia="宋体" w:cs="宋体"/>
                <w:color w:val="000000" w:themeColor="text1"/>
                <w:sz w:val="24"/>
                <w14:textFill>
                  <w14:solidFill>
                    <w14:schemeClr w14:val="tx1"/>
                  </w14:solidFill>
                </w14:textFill>
              </w:rPr>
            </w:pPr>
          </w:p>
        </w:tc>
        <w:tc>
          <w:tcPr>
            <w:tcW w:w="1924" w:type="dxa"/>
            <w:vAlign w:val="center"/>
          </w:tcPr>
          <w:p w14:paraId="6C9A4710">
            <w:pPr>
              <w:spacing w:line="0" w:lineRule="atLeast"/>
              <w:jc w:val="center"/>
              <w:rPr>
                <w:rFonts w:hint="eastAsia" w:ascii="宋体" w:hAnsi="宋体" w:eastAsia="宋体" w:cs="宋体"/>
                <w:color w:val="000000" w:themeColor="text1"/>
                <w:sz w:val="24"/>
                <w14:textFill>
                  <w14:solidFill>
                    <w14:schemeClr w14:val="tx1"/>
                  </w14:solidFill>
                </w14:textFill>
              </w:rPr>
            </w:pPr>
          </w:p>
        </w:tc>
        <w:tc>
          <w:tcPr>
            <w:tcW w:w="1810" w:type="dxa"/>
            <w:vAlign w:val="center"/>
          </w:tcPr>
          <w:p w14:paraId="75A515D0">
            <w:pPr>
              <w:spacing w:line="0" w:lineRule="atLeast"/>
              <w:jc w:val="center"/>
              <w:rPr>
                <w:rFonts w:hint="eastAsia" w:ascii="宋体" w:hAnsi="宋体" w:eastAsia="宋体" w:cs="宋体"/>
                <w:color w:val="000000" w:themeColor="text1"/>
                <w:sz w:val="24"/>
                <w14:textFill>
                  <w14:solidFill>
                    <w14:schemeClr w14:val="tx1"/>
                  </w14:solidFill>
                </w14:textFill>
              </w:rPr>
            </w:pPr>
          </w:p>
        </w:tc>
        <w:tc>
          <w:tcPr>
            <w:tcW w:w="1639" w:type="dxa"/>
            <w:vAlign w:val="center"/>
          </w:tcPr>
          <w:p w14:paraId="5942C712">
            <w:pPr>
              <w:spacing w:line="0" w:lineRule="atLeast"/>
              <w:jc w:val="center"/>
              <w:rPr>
                <w:rFonts w:hint="eastAsia" w:ascii="宋体" w:hAnsi="宋体" w:eastAsia="宋体" w:cs="宋体"/>
                <w:color w:val="000000" w:themeColor="text1"/>
                <w:sz w:val="24"/>
                <w14:textFill>
                  <w14:solidFill>
                    <w14:schemeClr w14:val="tx1"/>
                  </w14:solidFill>
                </w14:textFill>
              </w:rPr>
            </w:pPr>
          </w:p>
        </w:tc>
        <w:tc>
          <w:tcPr>
            <w:tcW w:w="1271" w:type="dxa"/>
            <w:vAlign w:val="center"/>
          </w:tcPr>
          <w:p w14:paraId="71DBD6C7">
            <w:pPr>
              <w:spacing w:line="0" w:lineRule="atLeast"/>
              <w:jc w:val="center"/>
              <w:rPr>
                <w:rFonts w:hint="eastAsia" w:ascii="宋体" w:hAnsi="宋体" w:eastAsia="宋体" w:cs="宋体"/>
                <w:color w:val="000000" w:themeColor="text1"/>
                <w:sz w:val="24"/>
                <w14:textFill>
                  <w14:solidFill>
                    <w14:schemeClr w14:val="tx1"/>
                  </w14:solidFill>
                </w14:textFill>
              </w:rPr>
            </w:pPr>
          </w:p>
        </w:tc>
        <w:tc>
          <w:tcPr>
            <w:tcW w:w="1467" w:type="dxa"/>
            <w:vAlign w:val="center"/>
          </w:tcPr>
          <w:p w14:paraId="19CB76F3">
            <w:pPr>
              <w:spacing w:line="0" w:lineRule="atLeast"/>
              <w:jc w:val="center"/>
              <w:rPr>
                <w:rFonts w:hint="eastAsia" w:ascii="宋体" w:hAnsi="宋体" w:eastAsia="宋体" w:cs="宋体"/>
                <w:color w:val="000000" w:themeColor="text1"/>
                <w:sz w:val="24"/>
                <w14:textFill>
                  <w14:solidFill>
                    <w14:schemeClr w14:val="tx1"/>
                  </w14:solidFill>
                </w14:textFill>
              </w:rPr>
            </w:pPr>
          </w:p>
        </w:tc>
      </w:tr>
      <w:tr w14:paraId="2AABF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724" w:type="dxa"/>
            <w:vAlign w:val="center"/>
          </w:tcPr>
          <w:p w14:paraId="4652769D">
            <w:pPr>
              <w:spacing w:line="0" w:lineRule="atLeast"/>
              <w:jc w:val="center"/>
              <w:rPr>
                <w:rFonts w:hint="eastAsia" w:ascii="宋体" w:hAnsi="宋体" w:eastAsia="宋体" w:cs="宋体"/>
                <w:color w:val="000000" w:themeColor="text1"/>
                <w:sz w:val="24"/>
                <w14:textFill>
                  <w14:solidFill>
                    <w14:schemeClr w14:val="tx1"/>
                  </w14:solidFill>
                </w14:textFill>
              </w:rPr>
            </w:pPr>
          </w:p>
        </w:tc>
        <w:tc>
          <w:tcPr>
            <w:tcW w:w="1924" w:type="dxa"/>
            <w:vAlign w:val="center"/>
          </w:tcPr>
          <w:p w14:paraId="649D44B7">
            <w:pPr>
              <w:spacing w:line="0" w:lineRule="atLeast"/>
              <w:jc w:val="center"/>
              <w:rPr>
                <w:rFonts w:hint="eastAsia" w:ascii="宋体" w:hAnsi="宋体" w:eastAsia="宋体" w:cs="宋体"/>
                <w:color w:val="000000" w:themeColor="text1"/>
                <w:sz w:val="24"/>
                <w14:textFill>
                  <w14:solidFill>
                    <w14:schemeClr w14:val="tx1"/>
                  </w14:solidFill>
                </w14:textFill>
              </w:rPr>
            </w:pPr>
          </w:p>
        </w:tc>
        <w:tc>
          <w:tcPr>
            <w:tcW w:w="1810" w:type="dxa"/>
            <w:vAlign w:val="center"/>
          </w:tcPr>
          <w:p w14:paraId="00621EF7">
            <w:pPr>
              <w:spacing w:line="0" w:lineRule="atLeast"/>
              <w:jc w:val="center"/>
              <w:rPr>
                <w:rFonts w:hint="eastAsia" w:ascii="宋体" w:hAnsi="宋体" w:eastAsia="宋体" w:cs="宋体"/>
                <w:color w:val="000000" w:themeColor="text1"/>
                <w:sz w:val="24"/>
                <w14:textFill>
                  <w14:solidFill>
                    <w14:schemeClr w14:val="tx1"/>
                  </w14:solidFill>
                </w14:textFill>
              </w:rPr>
            </w:pPr>
          </w:p>
        </w:tc>
        <w:tc>
          <w:tcPr>
            <w:tcW w:w="1639" w:type="dxa"/>
            <w:vAlign w:val="center"/>
          </w:tcPr>
          <w:p w14:paraId="4F4A8E38">
            <w:pPr>
              <w:spacing w:line="0" w:lineRule="atLeast"/>
              <w:jc w:val="center"/>
              <w:rPr>
                <w:rFonts w:hint="eastAsia" w:ascii="宋体" w:hAnsi="宋体" w:eastAsia="宋体" w:cs="宋体"/>
                <w:color w:val="000000" w:themeColor="text1"/>
                <w:sz w:val="24"/>
                <w14:textFill>
                  <w14:solidFill>
                    <w14:schemeClr w14:val="tx1"/>
                  </w14:solidFill>
                </w14:textFill>
              </w:rPr>
            </w:pPr>
          </w:p>
        </w:tc>
        <w:tc>
          <w:tcPr>
            <w:tcW w:w="1271" w:type="dxa"/>
            <w:vAlign w:val="center"/>
          </w:tcPr>
          <w:p w14:paraId="7A3EE5CA">
            <w:pPr>
              <w:spacing w:line="0" w:lineRule="atLeast"/>
              <w:jc w:val="center"/>
              <w:rPr>
                <w:rFonts w:hint="eastAsia" w:ascii="宋体" w:hAnsi="宋体" w:eastAsia="宋体" w:cs="宋体"/>
                <w:color w:val="000000" w:themeColor="text1"/>
                <w:sz w:val="24"/>
                <w14:textFill>
                  <w14:solidFill>
                    <w14:schemeClr w14:val="tx1"/>
                  </w14:solidFill>
                </w14:textFill>
              </w:rPr>
            </w:pPr>
          </w:p>
        </w:tc>
        <w:tc>
          <w:tcPr>
            <w:tcW w:w="1467" w:type="dxa"/>
            <w:vAlign w:val="center"/>
          </w:tcPr>
          <w:p w14:paraId="5A0270BD">
            <w:pPr>
              <w:spacing w:line="0" w:lineRule="atLeast"/>
              <w:jc w:val="center"/>
              <w:rPr>
                <w:rFonts w:hint="eastAsia" w:ascii="宋体" w:hAnsi="宋体" w:eastAsia="宋体" w:cs="宋体"/>
                <w:color w:val="000000" w:themeColor="text1"/>
                <w:sz w:val="24"/>
                <w14:textFill>
                  <w14:solidFill>
                    <w14:schemeClr w14:val="tx1"/>
                  </w14:solidFill>
                </w14:textFill>
              </w:rPr>
            </w:pPr>
          </w:p>
        </w:tc>
      </w:tr>
      <w:tr w14:paraId="608D9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724" w:type="dxa"/>
            <w:vAlign w:val="center"/>
          </w:tcPr>
          <w:p w14:paraId="21C9030C">
            <w:pPr>
              <w:spacing w:line="0" w:lineRule="atLeast"/>
              <w:jc w:val="center"/>
              <w:rPr>
                <w:rFonts w:hint="eastAsia" w:ascii="宋体" w:hAnsi="宋体" w:eastAsia="宋体" w:cs="宋体"/>
                <w:color w:val="000000" w:themeColor="text1"/>
                <w:sz w:val="24"/>
                <w14:textFill>
                  <w14:solidFill>
                    <w14:schemeClr w14:val="tx1"/>
                  </w14:solidFill>
                </w14:textFill>
              </w:rPr>
            </w:pPr>
          </w:p>
        </w:tc>
        <w:tc>
          <w:tcPr>
            <w:tcW w:w="1924" w:type="dxa"/>
            <w:vAlign w:val="center"/>
          </w:tcPr>
          <w:p w14:paraId="3786B69B">
            <w:pPr>
              <w:spacing w:line="0" w:lineRule="atLeast"/>
              <w:jc w:val="center"/>
              <w:rPr>
                <w:rFonts w:hint="eastAsia" w:ascii="宋体" w:hAnsi="宋体" w:eastAsia="宋体" w:cs="宋体"/>
                <w:color w:val="000000" w:themeColor="text1"/>
                <w:sz w:val="24"/>
                <w14:textFill>
                  <w14:solidFill>
                    <w14:schemeClr w14:val="tx1"/>
                  </w14:solidFill>
                </w14:textFill>
              </w:rPr>
            </w:pPr>
          </w:p>
        </w:tc>
        <w:tc>
          <w:tcPr>
            <w:tcW w:w="1810" w:type="dxa"/>
            <w:vAlign w:val="center"/>
          </w:tcPr>
          <w:p w14:paraId="46182A94">
            <w:pPr>
              <w:spacing w:line="0" w:lineRule="atLeast"/>
              <w:jc w:val="center"/>
              <w:rPr>
                <w:rFonts w:hint="eastAsia" w:ascii="宋体" w:hAnsi="宋体" w:eastAsia="宋体" w:cs="宋体"/>
                <w:color w:val="000000" w:themeColor="text1"/>
                <w:sz w:val="24"/>
                <w14:textFill>
                  <w14:solidFill>
                    <w14:schemeClr w14:val="tx1"/>
                  </w14:solidFill>
                </w14:textFill>
              </w:rPr>
            </w:pPr>
          </w:p>
        </w:tc>
        <w:tc>
          <w:tcPr>
            <w:tcW w:w="1639" w:type="dxa"/>
            <w:vAlign w:val="center"/>
          </w:tcPr>
          <w:p w14:paraId="28265A8A">
            <w:pPr>
              <w:spacing w:line="0" w:lineRule="atLeast"/>
              <w:jc w:val="center"/>
              <w:rPr>
                <w:rFonts w:hint="eastAsia" w:ascii="宋体" w:hAnsi="宋体" w:eastAsia="宋体" w:cs="宋体"/>
                <w:color w:val="000000" w:themeColor="text1"/>
                <w:sz w:val="24"/>
                <w14:textFill>
                  <w14:solidFill>
                    <w14:schemeClr w14:val="tx1"/>
                  </w14:solidFill>
                </w14:textFill>
              </w:rPr>
            </w:pPr>
          </w:p>
        </w:tc>
        <w:tc>
          <w:tcPr>
            <w:tcW w:w="1271" w:type="dxa"/>
            <w:vAlign w:val="center"/>
          </w:tcPr>
          <w:p w14:paraId="626C33C0">
            <w:pPr>
              <w:spacing w:line="0" w:lineRule="atLeast"/>
              <w:jc w:val="center"/>
              <w:rPr>
                <w:rFonts w:hint="eastAsia" w:ascii="宋体" w:hAnsi="宋体" w:eastAsia="宋体" w:cs="宋体"/>
                <w:color w:val="000000" w:themeColor="text1"/>
                <w:sz w:val="24"/>
                <w14:textFill>
                  <w14:solidFill>
                    <w14:schemeClr w14:val="tx1"/>
                  </w14:solidFill>
                </w14:textFill>
              </w:rPr>
            </w:pPr>
          </w:p>
        </w:tc>
        <w:tc>
          <w:tcPr>
            <w:tcW w:w="1467" w:type="dxa"/>
            <w:vAlign w:val="center"/>
          </w:tcPr>
          <w:p w14:paraId="6C0A41DC">
            <w:pPr>
              <w:spacing w:line="0" w:lineRule="atLeast"/>
              <w:jc w:val="center"/>
              <w:rPr>
                <w:rFonts w:hint="eastAsia" w:ascii="宋体" w:hAnsi="宋体" w:eastAsia="宋体" w:cs="宋体"/>
                <w:color w:val="000000" w:themeColor="text1"/>
                <w:sz w:val="24"/>
                <w14:textFill>
                  <w14:solidFill>
                    <w14:schemeClr w14:val="tx1"/>
                  </w14:solidFill>
                </w14:textFill>
              </w:rPr>
            </w:pPr>
          </w:p>
        </w:tc>
      </w:tr>
      <w:tr w14:paraId="304E6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724" w:type="dxa"/>
            <w:vAlign w:val="center"/>
          </w:tcPr>
          <w:p w14:paraId="3211E4C9">
            <w:pPr>
              <w:spacing w:line="0" w:lineRule="atLeast"/>
              <w:jc w:val="center"/>
              <w:rPr>
                <w:rFonts w:hint="eastAsia" w:ascii="宋体" w:hAnsi="宋体" w:eastAsia="宋体" w:cs="宋体"/>
                <w:color w:val="000000" w:themeColor="text1"/>
                <w:sz w:val="24"/>
                <w14:textFill>
                  <w14:solidFill>
                    <w14:schemeClr w14:val="tx1"/>
                  </w14:solidFill>
                </w14:textFill>
              </w:rPr>
            </w:pPr>
          </w:p>
        </w:tc>
        <w:tc>
          <w:tcPr>
            <w:tcW w:w="1924" w:type="dxa"/>
            <w:vAlign w:val="center"/>
          </w:tcPr>
          <w:p w14:paraId="7382BE18">
            <w:pPr>
              <w:spacing w:line="0" w:lineRule="atLeast"/>
              <w:jc w:val="center"/>
              <w:rPr>
                <w:rFonts w:hint="eastAsia" w:ascii="宋体" w:hAnsi="宋体" w:eastAsia="宋体" w:cs="宋体"/>
                <w:color w:val="000000" w:themeColor="text1"/>
                <w:sz w:val="24"/>
                <w14:textFill>
                  <w14:solidFill>
                    <w14:schemeClr w14:val="tx1"/>
                  </w14:solidFill>
                </w14:textFill>
              </w:rPr>
            </w:pPr>
          </w:p>
        </w:tc>
        <w:tc>
          <w:tcPr>
            <w:tcW w:w="1810" w:type="dxa"/>
            <w:vAlign w:val="center"/>
          </w:tcPr>
          <w:p w14:paraId="79C39F11">
            <w:pPr>
              <w:spacing w:line="0" w:lineRule="atLeast"/>
              <w:jc w:val="center"/>
              <w:rPr>
                <w:rFonts w:hint="eastAsia" w:ascii="宋体" w:hAnsi="宋体" w:eastAsia="宋体" w:cs="宋体"/>
                <w:color w:val="000000" w:themeColor="text1"/>
                <w:sz w:val="24"/>
                <w14:textFill>
                  <w14:solidFill>
                    <w14:schemeClr w14:val="tx1"/>
                  </w14:solidFill>
                </w14:textFill>
              </w:rPr>
            </w:pPr>
          </w:p>
        </w:tc>
        <w:tc>
          <w:tcPr>
            <w:tcW w:w="1639" w:type="dxa"/>
            <w:vAlign w:val="center"/>
          </w:tcPr>
          <w:p w14:paraId="60BA5539">
            <w:pPr>
              <w:spacing w:line="0" w:lineRule="atLeast"/>
              <w:jc w:val="center"/>
              <w:rPr>
                <w:rFonts w:hint="eastAsia" w:ascii="宋体" w:hAnsi="宋体" w:eastAsia="宋体" w:cs="宋体"/>
                <w:color w:val="000000" w:themeColor="text1"/>
                <w:sz w:val="24"/>
                <w14:textFill>
                  <w14:solidFill>
                    <w14:schemeClr w14:val="tx1"/>
                  </w14:solidFill>
                </w14:textFill>
              </w:rPr>
            </w:pPr>
          </w:p>
        </w:tc>
        <w:tc>
          <w:tcPr>
            <w:tcW w:w="1271" w:type="dxa"/>
            <w:vAlign w:val="center"/>
          </w:tcPr>
          <w:p w14:paraId="676443E5">
            <w:pPr>
              <w:spacing w:line="0" w:lineRule="atLeast"/>
              <w:jc w:val="center"/>
              <w:rPr>
                <w:rFonts w:hint="eastAsia" w:ascii="宋体" w:hAnsi="宋体" w:eastAsia="宋体" w:cs="宋体"/>
                <w:color w:val="000000" w:themeColor="text1"/>
                <w:sz w:val="24"/>
                <w14:textFill>
                  <w14:solidFill>
                    <w14:schemeClr w14:val="tx1"/>
                  </w14:solidFill>
                </w14:textFill>
              </w:rPr>
            </w:pPr>
          </w:p>
        </w:tc>
        <w:tc>
          <w:tcPr>
            <w:tcW w:w="1467" w:type="dxa"/>
            <w:vAlign w:val="center"/>
          </w:tcPr>
          <w:p w14:paraId="0C8DA061">
            <w:pPr>
              <w:spacing w:line="0" w:lineRule="atLeast"/>
              <w:jc w:val="center"/>
              <w:rPr>
                <w:rFonts w:hint="eastAsia" w:ascii="宋体" w:hAnsi="宋体" w:eastAsia="宋体" w:cs="宋体"/>
                <w:color w:val="000000" w:themeColor="text1"/>
                <w:sz w:val="24"/>
                <w14:textFill>
                  <w14:solidFill>
                    <w14:schemeClr w14:val="tx1"/>
                  </w14:solidFill>
                </w14:textFill>
              </w:rPr>
            </w:pPr>
          </w:p>
        </w:tc>
      </w:tr>
      <w:tr w14:paraId="05473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6097" w:type="dxa"/>
            <w:gridSpan w:val="4"/>
            <w:vAlign w:val="center"/>
          </w:tcPr>
          <w:p w14:paraId="4B4D12E0">
            <w:pPr>
              <w:spacing w:line="0" w:lineRule="atLeast"/>
              <w:jc w:val="left"/>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报价总计（小写）：</w:t>
            </w:r>
          </w:p>
          <w:p w14:paraId="66D9E7E0">
            <w:pPr>
              <w:spacing w:line="0" w:lineRule="atLeast"/>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 xml:space="preserve">            （大写）：</w:t>
            </w:r>
          </w:p>
        </w:tc>
        <w:tc>
          <w:tcPr>
            <w:tcW w:w="1271" w:type="dxa"/>
            <w:vAlign w:val="center"/>
          </w:tcPr>
          <w:p w14:paraId="50A167AC">
            <w:pPr>
              <w:spacing w:line="0" w:lineRule="atLeast"/>
              <w:jc w:val="left"/>
              <w:rPr>
                <w:rFonts w:hint="eastAsia" w:ascii="宋体" w:hAnsi="宋体" w:eastAsia="宋体" w:cs="宋体"/>
                <w:color w:val="000000" w:themeColor="text1"/>
                <w14:textFill>
                  <w14:solidFill>
                    <w14:schemeClr w14:val="tx1"/>
                  </w14:solidFill>
                </w14:textFill>
              </w:rPr>
            </w:pPr>
          </w:p>
        </w:tc>
        <w:tc>
          <w:tcPr>
            <w:tcW w:w="1467" w:type="dxa"/>
            <w:vAlign w:val="center"/>
          </w:tcPr>
          <w:p w14:paraId="5B130F85">
            <w:pPr>
              <w:spacing w:line="0" w:lineRule="atLeast"/>
              <w:jc w:val="left"/>
              <w:rPr>
                <w:rFonts w:hint="eastAsia" w:ascii="宋体" w:hAnsi="宋体" w:eastAsia="宋体" w:cs="宋体"/>
                <w:color w:val="000000" w:themeColor="text1"/>
                <w14:textFill>
                  <w14:solidFill>
                    <w14:schemeClr w14:val="tx1"/>
                  </w14:solidFill>
                </w14:textFill>
              </w:rPr>
            </w:pPr>
          </w:p>
        </w:tc>
      </w:tr>
    </w:tbl>
    <w:p w14:paraId="1878E1EC">
      <w:pPr>
        <w:pStyle w:val="20"/>
        <w:ind w:firstLine="0" w:firstLineChars="0"/>
        <w:rPr>
          <w:rFonts w:hint="eastAsia" w:ascii="宋体" w:hAnsi="宋体" w:eastAsia="宋体" w:cs="宋体"/>
          <w:color w:val="000000"/>
          <w:sz w:val="24"/>
        </w:rPr>
      </w:pPr>
    </w:p>
    <w:p w14:paraId="707FD793">
      <w:pPr>
        <w:rPr>
          <w:rFonts w:hint="eastAsia" w:ascii="宋体" w:hAnsi="宋体" w:eastAsia="宋体" w:cs="宋体"/>
          <w:color w:val="000000"/>
          <w:sz w:val="24"/>
        </w:rPr>
      </w:pPr>
    </w:p>
    <w:p w14:paraId="0135D5AC">
      <w:pPr>
        <w:spacing w:line="0" w:lineRule="atLeast"/>
        <w:rPr>
          <w:rFonts w:hint="eastAsia" w:ascii="宋体" w:hAnsi="宋体" w:eastAsia="宋体" w:cs="宋体"/>
          <w:b/>
          <w:bCs/>
          <w:color w:val="000000"/>
        </w:rPr>
      </w:pPr>
    </w:p>
    <w:p w14:paraId="0952EA8D">
      <w:pPr>
        <w:spacing w:line="0" w:lineRule="atLeast"/>
        <w:rPr>
          <w:rFonts w:hint="eastAsia" w:ascii="宋体" w:hAnsi="宋体" w:eastAsia="宋体" w:cs="宋体"/>
          <w:b/>
          <w:bCs/>
          <w:color w:val="000000"/>
        </w:rPr>
      </w:pPr>
    </w:p>
    <w:p w14:paraId="4CFCC624">
      <w:pPr>
        <w:spacing w:line="0" w:lineRule="atLeast"/>
        <w:ind w:firstLine="422" w:firstLineChars="200"/>
        <w:rPr>
          <w:rFonts w:hint="eastAsia" w:ascii="宋体" w:hAnsi="宋体" w:eastAsia="宋体" w:cs="宋体"/>
          <w:b/>
          <w:bCs/>
          <w:color w:val="000000"/>
        </w:rPr>
      </w:pPr>
      <w:r>
        <w:rPr>
          <w:rFonts w:hint="eastAsia" w:ascii="宋体" w:hAnsi="宋体" w:eastAsia="宋体" w:cs="宋体"/>
          <w:b/>
          <w:bCs/>
          <w:color w:val="000000"/>
        </w:rPr>
        <w:t>价格构成或报价要求：</w:t>
      </w:r>
    </w:p>
    <w:p w14:paraId="184A2AC9">
      <w:pPr>
        <w:spacing w:line="0" w:lineRule="atLeast"/>
        <w:ind w:left="210" w:leftChars="100" w:firstLine="420" w:firstLineChars="200"/>
        <w:rPr>
          <w:rFonts w:hint="eastAsia" w:ascii="宋体" w:hAnsi="宋体" w:eastAsia="宋体" w:cs="宋体"/>
          <w:color w:val="000000"/>
        </w:rPr>
      </w:pPr>
      <w:r>
        <w:rPr>
          <w:rFonts w:hint="eastAsia" w:ascii="宋体" w:hAnsi="宋体" w:eastAsia="宋体" w:cs="宋体"/>
          <w:color w:val="000000"/>
        </w:rPr>
        <w:t>1、此表为表样，行数可自行添加，但表式不变；</w:t>
      </w:r>
    </w:p>
    <w:p w14:paraId="705818C3">
      <w:pPr>
        <w:spacing w:line="0" w:lineRule="atLeast"/>
        <w:ind w:left="210" w:leftChars="100" w:firstLine="420" w:firstLineChars="200"/>
        <w:rPr>
          <w:rFonts w:hint="eastAsia" w:ascii="宋体" w:hAnsi="宋体" w:eastAsia="宋体" w:cs="宋体"/>
          <w:color w:val="000000"/>
        </w:rPr>
      </w:pPr>
      <w:r>
        <w:rPr>
          <w:rFonts w:hint="eastAsia" w:ascii="宋体" w:hAnsi="宋体" w:eastAsia="宋体" w:cs="宋体"/>
          <w:color w:val="000000"/>
        </w:rPr>
        <w:t>2、后续服务及其他所有费用由供应商自行计算填列；</w:t>
      </w:r>
    </w:p>
    <w:p w14:paraId="7EBAF66F">
      <w:pPr>
        <w:spacing w:line="0" w:lineRule="atLeast"/>
        <w:ind w:left="210" w:leftChars="100" w:firstLine="420" w:firstLineChars="200"/>
        <w:rPr>
          <w:rFonts w:hint="eastAsia" w:ascii="宋体" w:hAnsi="宋体" w:eastAsia="宋体" w:cs="宋体"/>
          <w:color w:val="000000"/>
        </w:rPr>
      </w:pPr>
      <w:r>
        <w:rPr>
          <w:rFonts w:hint="eastAsia" w:ascii="宋体" w:hAnsi="宋体" w:eastAsia="宋体" w:cs="宋体"/>
          <w:color w:val="000000"/>
        </w:rPr>
        <w:t>3、上表中的“报价总计”应当等于“报价一览表”中“总报价”。</w:t>
      </w:r>
    </w:p>
    <w:p w14:paraId="658CFB6E">
      <w:pPr>
        <w:ind w:firstLine="480" w:firstLineChars="200"/>
        <w:rPr>
          <w:rFonts w:hint="eastAsia" w:ascii="宋体" w:hAnsi="宋体" w:eastAsia="宋体" w:cs="宋体"/>
          <w:color w:val="000000"/>
          <w:sz w:val="24"/>
        </w:rPr>
      </w:pPr>
    </w:p>
    <w:p w14:paraId="6C969595">
      <w:pPr>
        <w:pStyle w:val="20"/>
        <w:ind w:firstLine="480"/>
        <w:rPr>
          <w:rFonts w:hint="eastAsia" w:ascii="宋体" w:hAnsi="宋体" w:eastAsia="宋体" w:cs="宋体"/>
          <w:color w:val="000000"/>
          <w:sz w:val="24"/>
        </w:rPr>
      </w:pPr>
    </w:p>
    <w:p w14:paraId="67F5612C">
      <w:pPr>
        <w:rPr>
          <w:rFonts w:hint="eastAsia" w:ascii="宋体" w:hAnsi="宋体" w:eastAsia="宋体" w:cs="宋体"/>
          <w:color w:val="000000"/>
          <w:sz w:val="24"/>
        </w:rPr>
      </w:pPr>
    </w:p>
    <w:p w14:paraId="7992B128">
      <w:pPr>
        <w:rPr>
          <w:rFonts w:hint="eastAsia" w:ascii="宋体" w:hAnsi="宋体" w:eastAsia="宋体" w:cs="宋体"/>
          <w:lang w:val="en-US" w:eastAsia="zh-CN"/>
        </w:rPr>
      </w:pPr>
      <w:bookmarkStart w:id="163" w:name="_Toc3859"/>
      <w:bookmarkStart w:id="164" w:name="_Toc2456"/>
      <w:bookmarkStart w:id="165" w:name="_Toc11522"/>
      <w:bookmarkStart w:id="166" w:name="_Toc22428"/>
      <w:bookmarkStart w:id="167" w:name="_Toc31616"/>
    </w:p>
    <w:p w14:paraId="26D430B7">
      <w:pPr>
        <w:pStyle w:val="30"/>
        <w:keepNext w:val="0"/>
        <w:keepLines w:val="0"/>
        <w:pageBreakBefore/>
        <w:widowControl/>
        <w:numPr>
          <w:ilvl w:val="255"/>
          <w:numId w:val="0"/>
        </w:numPr>
        <w:kinsoku/>
        <w:wordWrap/>
        <w:overflowPunct/>
        <w:topLinePunct w:val="0"/>
        <w:autoSpaceDE/>
        <w:autoSpaceDN/>
        <w:bidi w:val="0"/>
        <w:adjustRightInd/>
        <w:snapToGrid/>
        <w:textAlignment w:val="auto"/>
        <w:rPr>
          <w:rFonts w:hint="eastAsia" w:ascii="宋体" w:hAnsi="宋体" w:eastAsia="宋体" w:cs="宋体"/>
          <w:snapToGrid w:val="0"/>
          <w:color w:val="000000"/>
          <w:kern w:val="0"/>
          <w:sz w:val="32"/>
          <w:szCs w:val="32"/>
          <w:lang w:val="en-US" w:eastAsia="zh-CN"/>
        </w:rPr>
      </w:pPr>
      <w:r>
        <w:rPr>
          <w:rFonts w:hint="eastAsia" w:ascii="宋体" w:hAnsi="宋体" w:eastAsia="宋体" w:cs="宋体"/>
          <w:b/>
          <w:bCs/>
          <w:snapToGrid w:val="0"/>
          <w:color w:val="000000"/>
          <w:kern w:val="0"/>
          <w:sz w:val="32"/>
          <w:szCs w:val="32"/>
          <w:lang w:val="en-US" w:eastAsia="zh-CN"/>
        </w:rPr>
        <w:t>五</w:t>
      </w:r>
      <w:r>
        <w:rPr>
          <w:rFonts w:hint="eastAsia" w:ascii="宋体" w:hAnsi="宋体" w:eastAsia="宋体" w:cs="宋体"/>
          <w:snapToGrid w:val="0"/>
          <w:color w:val="000000"/>
          <w:kern w:val="0"/>
          <w:sz w:val="32"/>
          <w:szCs w:val="32"/>
          <w:lang w:val="en-US" w:eastAsia="zh-CN"/>
        </w:rPr>
        <w:t>、商务要求响应及偏离表</w:t>
      </w:r>
    </w:p>
    <w:bookmarkEnd w:id="163"/>
    <w:bookmarkEnd w:id="164"/>
    <w:bookmarkEnd w:id="165"/>
    <w:bookmarkEnd w:id="166"/>
    <w:bookmarkEnd w:id="167"/>
    <w:p w14:paraId="30FFF606">
      <w:pPr>
        <w:jc w:val="center"/>
        <w:rPr>
          <w:rFonts w:hint="eastAsia" w:ascii="宋体" w:hAnsi="宋体" w:eastAsia="宋体" w:cs="宋体"/>
          <w:b w:val="0"/>
          <w:bCs w:val="0"/>
          <w:color w:val="000000"/>
          <w:sz w:val="32"/>
          <w:szCs w:val="32"/>
        </w:rPr>
      </w:pPr>
      <w:r>
        <w:rPr>
          <w:rFonts w:hint="eastAsia" w:ascii="宋体" w:hAnsi="宋体" w:eastAsia="宋体" w:cs="宋体"/>
          <w:b w:val="0"/>
          <w:bCs w:val="0"/>
          <w:color w:val="000000"/>
          <w:sz w:val="32"/>
          <w:szCs w:val="32"/>
        </w:rPr>
        <w:t>商务要求响应及偏离表</w:t>
      </w:r>
    </w:p>
    <w:p w14:paraId="3CD39DE3">
      <w:pPr>
        <w:spacing w:line="360" w:lineRule="auto"/>
        <w:ind w:firstLine="420" w:firstLineChars="175"/>
        <w:jc w:val="left"/>
        <w:rPr>
          <w:rFonts w:hint="eastAsia" w:ascii="宋体" w:hAnsi="宋体" w:eastAsia="宋体" w:cs="宋体"/>
          <w:b w:val="0"/>
          <w:bCs w:val="0"/>
          <w:color w:val="000000"/>
          <w:sz w:val="24"/>
          <w:szCs w:val="21"/>
          <w:lang w:val="en-US" w:eastAsia="zh-CN"/>
        </w:rPr>
      </w:pPr>
      <w:r>
        <w:rPr>
          <w:rFonts w:hint="eastAsia" w:ascii="宋体" w:hAnsi="宋体" w:eastAsia="宋体" w:cs="宋体"/>
          <w:b w:val="0"/>
          <w:bCs w:val="0"/>
          <w:color w:val="000000"/>
          <w:sz w:val="24"/>
          <w:szCs w:val="21"/>
          <w:lang w:val="en-US" w:eastAsia="zh-CN"/>
        </w:rPr>
        <w:t>供应商名称：（加盖电子公章）</w:t>
      </w:r>
    </w:p>
    <w:p w14:paraId="7BB6027E">
      <w:pPr>
        <w:spacing w:line="360" w:lineRule="auto"/>
        <w:ind w:firstLine="420" w:firstLineChars="175"/>
        <w:jc w:val="left"/>
        <w:rPr>
          <w:rFonts w:hint="eastAsia" w:ascii="宋体" w:hAnsi="宋体" w:eastAsia="宋体" w:cs="宋体"/>
          <w:b w:val="0"/>
          <w:bCs w:val="0"/>
          <w:color w:val="000000"/>
          <w:sz w:val="24"/>
          <w:szCs w:val="21"/>
          <w:lang w:val="en-US" w:eastAsia="zh-CN"/>
        </w:rPr>
      </w:pPr>
      <w:r>
        <w:rPr>
          <w:rFonts w:hint="eastAsia" w:ascii="宋体" w:hAnsi="宋体" w:eastAsia="宋体" w:cs="宋体"/>
          <w:b w:val="0"/>
          <w:bCs w:val="0"/>
          <w:color w:val="000000"/>
          <w:sz w:val="24"/>
          <w:szCs w:val="21"/>
          <w:lang w:val="en-US" w:eastAsia="zh-CN"/>
        </w:rPr>
        <w:t>项目名称：</w:t>
      </w:r>
    </w:p>
    <w:p w14:paraId="7DE0CF33">
      <w:pPr>
        <w:spacing w:line="360" w:lineRule="auto"/>
        <w:ind w:firstLine="420" w:firstLineChars="175"/>
        <w:jc w:val="left"/>
        <w:rPr>
          <w:rFonts w:hint="eastAsia" w:ascii="宋体" w:hAnsi="宋体" w:eastAsia="宋体" w:cs="宋体"/>
          <w:b w:val="0"/>
          <w:bCs w:val="0"/>
          <w:color w:val="000000"/>
          <w:sz w:val="32"/>
          <w:szCs w:val="32"/>
        </w:rPr>
      </w:pPr>
      <w:r>
        <w:rPr>
          <w:rFonts w:hint="eastAsia" w:ascii="宋体" w:hAnsi="宋体" w:eastAsia="宋体" w:cs="宋体"/>
          <w:b w:val="0"/>
          <w:bCs w:val="0"/>
          <w:color w:val="000000"/>
          <w:sz w:val="24"/>
          <w:szCs w:val="21"/>
          <w:lang w:val="en-US" w:eastAsia="zh-CN"/>
        </w:rPr>
        <w:t>项目编号：</w:t>
      </w:r>
      <w:r>
        <w:rPr>
          <w:rFonts w:hint="eastAsia" w:ascii="宋体" w:hAnsi="宋体" w:eastAsia="宋体" w:cs="宋体"/>
          <w:b w:val="0"/>
          <w:bCs w:val="0"/>
          <w:color w:val="000000"/>
          <w:sz w:val="24"/>
          <w:szCs w:val="21"/>
        </w:rPr>
        <w:t xml:space="preserve"> </w:t>
      </w:r>
      <w:r>
        <w:rPr>
          <w:rFonts w:hint="eastAsia" w:ascii="宋体" w:hAnsi="宋体" w:eastAsia="宋体" w:cs="宋体"/>
          <w:b w:val="0"/>
          <w:bCs w:val="0"/>
          <w:color w:val="000000"/>
          <w:sz w:val="32"/>
          <w:szCs w:val="32"/>
        </w:rPr>
        <w:t xml:space="preserve"> </w:t>
      </w:r>
    </w:p>
    <w:tbl>
      <w:tblPr>
        <w:tblStyle w:val="21"/>
        <w:tblW w:w="904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39"/>
        <w:gridCol w:w="1565"/>
        <w:gridCol w:w="2474"/>
        <w:gridCol w:w="2735"/>
        <w:gridCol w:w="1436"/>
      </w:tblGrid>
      <w:tr w14:paraId="554945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839" w:type="dxa"/>
            <w:tcBorders>
              <w:top w:val="single" w:color="auto" w:sz="4" w:space="0"/>
              <w:left w:val="single" w:color="auto" w:sz="4" w:space="0"/>
              <w:bottom w:val="single" w:color="auto" w:sz="4" w:space="0"/>
              <w:right w:val="single" w:color="auto" w:sz="4" w:space="0"/>
            </w:tcBorders>
            <w:vAlign w:val="center"/>
          </w:tcPr>
          <w:p w14:paraId="668E1DA4">
            <w:pPr>
              <w:widowControl/>
              <w:spacing w:line="360" w:lineRule="auto"/>
              <w:jc w:val="left"/>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rPr>
              <w:t>序号</w:t>
            </w:r>
          </w:p>
        </w:tc>
        <w:tc>
          <w:tcPr>
            <w:tcW w:w="1565" w:type="dxa"/>
            <w:tcBorders>
              <w:top w:val="single" w:color="auto" w:sz="4" w:space="0"/>
              <w:left w:val="single" w:color="auto" w:sz="4" w:space="0"/>
              <w:bottom w:val="single" w:color="auto" w:sz="4" w:space="0"/>
              <w:right w:val="single" w:color="auto" w:sz="4" w:space="0"/>
            </w:tcBorders>
            <w:vAlign w:val="center"/>
          </w:tcPr>
          <w:p w14:paraId="75141822">
            <w:pPr>
              <w:widowControl/>
              <w:spacing w:line="360" w:lineRule="auto"/>
              <w:jc w:val="center"/>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rPr>
              <w:t>商务要求条目</w:t>
            </w:r>
          </w:p>
        </w:tc>
        <w:tc>
          <w:tcPr>
            <w:tcW w:w="2474" w:type="dxa"/>
            <w:tcBorders>
              <w:top w:val="single" w:color="auto" w:sz="4" w:space="0"/>
              <w:left w:val="single" w:color="auto" w:sz="4" w:space="0"/>
              <w:bottom w:val="single" w:color="auto" w:sz="4" w:space="0"/>
              <w:right w:val="single" w:color="auto" w:sz="4" w:space="0"/>
            </w:tcBorders>
            <w:vAlign w:val="center"/>
          </w:tcPr>
          <w:p w14:paraId="1EEEBE59">
            <w:pPr>
              <w:widowControl/>
              <w:jc w:val="center"/>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rPr>
              <w:t>磋商文件中的商务要求</w:t>
            </w:r>
          </w:p>
        </w:tc>
        <w:tc>
          <w:tcPr>
            <w:tcW w:w="2735" w:type="dxa"/>
            <w:tcBorders>
              <w:top w:val="single" w:color="auto" w:sz="4" w:space="0"/>
              <w:left w:val="single" w:color="auto" w:sz="4" w:space="0"/>
              <w:bottom w:val="single" w:color="auto" w:sz="4" w:space="0"/>
              <w:right w:val="single" w:color="auto" w:sz="4" w:space="0"/>
            </w:tcBorders>
            <w:vAlign w:val="center"/>
          </w:tcPr>
          <w:p w14:paraId="480928AF">
            <w:pPr>
              <w:widowControl/>
              <w:jc w:val="center"/>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rPr>
              <w:t>响应供应商的承诺或说明</w:t>
            </w:r>
          </w:p>
        </w:tc>
        <w:tc>
          <w:tcPr>
            <w:tcW w:w="1436" w:type="dxa"/>
            <w:tcBorders>
              <w:top w:val="single" w:color="auto" w:sz="4" w:space="0"/>
              <w:left w:val="single" w:color="auto" w:sz="4" w:space="0"/>
              <w:bottom w:val="single" w:color="auto" w:sz="4" w:space="0"/>
              <w:right w:val="single" w:color="auto" w:sz="4" w:space="0"/>
            </w:tcBorders>
            <w:vAlign w:val="center"/>
          </w:tcPr>
          <w:p w14:paraId="226A9EF0">
            <w:pPr>
              <w:widowControl/>
              <w:jc w:val="center"/>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rPr>
              <w:t>偏离情况</w:t>
            </w:r>
          </w:p>
          <w:p w14:paraId="6F601D19">
            <w:pPr>
              <w:widowControl/>
              <w:jc w:val="center"/>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rPr>
              <w:t>（＋/-/=）</w:t>
            </w:r>
          </w:p>
        </w:tc>
      </w:tr>
      <w:tr w14:paraId="63B8C31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839" w:type="dxa"/>
            <w:tcBorders>
              <w:top w:val="single" w:color="auto" w:sz="4" w:space="0"/>
              <w:left w:val="single" w:color="auto" w:sz="4" w:space="0"/>
              <w:bottom w:val="single" w:color="auto" w:sz="4" w:space="0"/>
              <w:right w:val="single" w:color="auto" w:sz="4" w:space="0"/>
            </w:tcBorders>
            <w:vAlign w:val="center"/>
          </w:tcPr>
          <w:p w14:paraId="770DCE33">
            <w:pPr>
              <w:widowControl/>
              <w:spacing w:line="360" w:lineRule="auto"/>
              <w:jc w:val="center"/>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rPr>
              <w:t>1</w:t>
            </w:r>
          </w:p>
        </w:tc>
        <w:tc>
          <w:tcPr>
            <w:tcW w:w="1565" w:type="dxa"/>
            <w:tcBorders>
              <w:top w:val="single" w:color="auto" w:sz="4" w:space="0"/>
              <w:left w:val="single" w:color="auto" w:sz="4" w:space="0"/>
              <w:bottom w:val="single" w:color="auto" w:sz="4" w:space="0"/>
              <w:right w:val="single" w:color="auto" w:sz="4" w:space="0"/>
            </w:tcBorders>
            <w:vAlign w:val="center"/>
          </w:tcPr>
          <w:p w14:paraId="67AC6094">
            <w:pPr>
              <w:widowControl/>
              <w:spacing w:line="360" w:lineRule="auto"/>
              <w:jc w:val="left"/>
              <w:textAlignment w:val="center"/>
              <w:rPr>
                <w:rFonts w:hint="eastAsia" w:ascii="宋体" w:hAnsi="宋体" w:eastAsia="宋体" w:cs="宋体"/>
                <w:color w:val="000000"/>
                <w:sz w:val="22"/>
                <w:szCs w:val="22"/>
              </w:rPr>
            </w:pPr>
          </w:p>
        </w:tc>
        <w:tc>
          <w:tcPr>
            <w:tcW w:w="2474" w:type="dxa"/>
            <w:tcBorders>
              <w:top w:val="single" w:color="auto" w:sz="4" w:space="0"/>
              <w:left w:val="single" w:color="auto" w:sz="4" w:space="0"/>
              <w:bottom w:val="single" w:color="auto" w:sz="4" w:space="0"/>
              <w:right w:val="single" w:color="auto" w:sz="4" w:space="0"/>
            </w:tcBorders>
            <w:vAlign w:val="center"/>
          </w:tcPr>
          <w:p w14:paraId="5B01F6E4">
            <w:pPr>
              <w:widowControl/>
              <w:spacing w:line="360" w:lineRule="auto"/>
              <w:jc w:val="left"/>
              <w:textAlignment w:val="center"/>
              <w:rPr>
                <w:rFonts w:hint="eastAsia" w:ascii="宋体" w:hAnsi="宋体" w:eastAsia="宋体" w:cs="宋体"/>
                <w:color w:val="000000"/>
                <w:sz w:val="22"/>
                <w:szCs w:val="22"/>
              </w:rPr>
            </w:pPr>
          </w:p>
        </w:tc>
        <w:tc>
          <w:tcPr>
            <w:tcW w:w="2735" w:type="dxa"/>
            <w:tcBorders>
              <w:top w:val="single" w:color="auto" w:sz="4" w:space="0"/>
              <w:left w:val="single" w:color="auto" w:sz="4" w:space="0"/>
              <w:bottom w:val="single" w:color="auto" w:sz="4" w:space="0"/>
              <w:right w:val="single" w:color="auto" w:sz="4" w:space="0"/>
            </w:tcBorders>
            <w:vAlign w:val="center"/>
          </w:tcPr>
          <w:p w14:paraId="75695C98">
            <w:pPr>
              <w:widowControl/>
              <w:spacing w:line="360" w:lineRule="auto"/>
              <w:jc w:val="left"/>
              <w:textAlignment w:val="center"/>
              <w:rPr>
                <w:rFonts w:hint="eastAsia" w:ascii="宋体" w:hAnsi="宋体" w:eastAsia="宋体" w:cs="宋体"/>
                <w:color w:val="000000"/>
                <w:sz w:val="22"/>
                <w:szCs w:val="22"/>
              </w:rPr>
            </w:pPr>
          </w:p>
        </w:tc>
        <w:tc>
          <w:tcPr>
            <w:tcW w:w="1436" w:type="dxa"/>
            <w:tcBorders>
              <w:top w:val="single" w:color="auto" w:sz="4" w:space="0"/>
              <w:left w:val="single" w:color="auto" w:sz="4" w:space="0"/>
              <w:bottom w:val="single" w:color="auto" w:sz="4" w:space="0"/>
              <w:right w:val="single" w:color="auto" w:sz="4" w:space="0"/>
            </w:tcBorders>
            <w:vAlign w:val="center"/>
          </w:tcPr>
          <w:p w14:paraId="66123644">
            <w:pPr>
              <w:widowControl/>
              <w:spacing w:line="360" w:lineRule="auto"/>
              <w:jc w:val="left"/>
              <w:textAlignment w:val="center"/>
              <w:rPr>
                <w:rFonts w:hint="eastAsia" w:ascii="宋体" w:hAnsi="宋体" w:eastAsia="宋体" w:cs="宋体"/>
                <w:color w:val="000000"/>
                <w:sz w:val="22"/>
                <w:szCs w:val="22"/>
              </w:rPr>
            </w:pPr>
          </w:p>
        </w:tc>
      </w:tr>
      <w:tr w14:paraId="78B5247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839" w:type="dxa"/>
            <w:tcBorders>
              <w:top w:val="single" w:color="auto" w:sz="4" w:space="0"/>
              <w:left w:val="single" w:color="auto" w:sz="4" w:space="0"/>
              <w:bottom w:val="single" w:color="auto" w:sz="4" w:space="0"/>
              <w:right w:val="single" w:color="auto" w:sz="4" w:space="0"/>
            </w:tcBorders>
            <w:vAlign w:val="center"/>
          </w:tcPr>
          <w:p w14:paraId="42204063">
            <w:pPr>
              <w:widowControl/>
              <w:spacing w:line="360" w:lineRule="auto"/>
              <w:jc w:val="center"/>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rPr>
              <w:t>2</w:t>
            </w:r>
          </w:p>
        </w:tc>
        <w:tc>
          <w:tcPr>
            <w:tcW w:w="1565" w:type="dxa"/>
            <w:tcBorders>
              <w:top w:val="single" w:color="auto" w:sz="4" w:space="0"/>
              <w:left w:val="single" w:color="auto" w:sz="4" w:space="0"/>
              <w:bottom w:val="single" w:color="auto" w:sz="4" w:space="0"/>
              <w:right w:val="single" w:color="auto" w:sz="4" w:space="0"/>
            </w:tcBorders>
            <w:vAlign w:val="center"/>
          </w:tcPr>
          <w:p w14:paraId="6A52EE4E">
            <w:pPr>
              <w:widowControl/>
              <w:spacing w:line="360" w:lineRule="auto"/>
              <w:jc w:val="left"/>
              <w:textAlignment w:val="center"/>
              <w:rPr>
                <w:rFonts w:hint="eastAsia" w:ascii="宋体" w:hAnsi="宋体" w:eastAsia="宋体" w:cs="宋体"/>
                <w:color w:val="000000"/>
                <w:sz w:val="22"/>
                <w:szCs w:val="22"/>
              </w:rPr>
            </w:pPr>
          </w:p>
        </w:tc>
        <w:tc>
          <w:tcPr>
            <w:tcW w:w="2474" w:type="dxa"/>
            <w:tcBorders>
              <w:top w:val="single" w:color="auto" w:sz="4" w:space="0"/>
              <w:left w:val="single" w:color="auto" w:sz="4" w:space="0"/>
              <w:bottom w:val="single" w:color="auto" w:sz="4" w:space="0"/>
              <w:right w:val="single" w:color="auto" w:sz="4" w:space="0"/>
            </w:tcBorders>
            <w:vAlign w:val="center"/>
          </w:tcPr>
          <w:p w14:paraId="0A8D0619">
            <w:pPr>
              <w:widowControl/>
              <w:spacing w:line="360" w:lineRule="auto"/>
              <w:jc w:val="left"/>
              <w:textAlignment w:val="center"/>
              <w:rPr>
                <w:rFonts w:hint="eastAsia" w:ascii="宋体" w:hAnsi="宋体" w:eastAsia="宋体" w:cs="宋体"/>
                <w:color w:val="000000"/>
                <w:sz w:val="22"/>
                <w:szCs w:val="22"/>
              </w:rPr>
            </w:pPr>
          </w:p>
        </w:tc>
        <w:tc>
          <w:tcPr>
            <w:tcW w:w="2735" w:type="dxa"/>
            <w:tcBorders>
              <w:top w:val="single" w:color="auto" w:sz="4" w:space="0"/>
              <w:left w:val="single" w:color="auto" w:sz="4" w:space="0"/>
              <w:bottom w:val="single" w:color="auto" w:sz="4" w:space="0"/>
              <w:right w:val="single" w:color="auto" w:sz="4" w:space="0"/>
            </w:tcBorders>
            <w:vAlign w:val="center"/>
          </w:tcPr>
          <w:p w14:paraId="5F2FA5CD">
            <w:pPr>
              <w:widowControl/>
              <w:spacing w:line="360" w:lineRule="auto"/>
              <w:jc w:val="left"/>
              <w:textAlignment w:val="center"/>
              <w:rPr>
                <w:rFonts w:hint="eastAsia" w:ascii="宋体" w:hAnsi="宋体" w:eastAsia="宋体" w:cs="宋体"/>
                <w:color w:val="000000"/>
                <w:sz w:val="22"/>
                <w:szCs w:val="22"/>
              </w:rPr>
            </w:pPr>
          </w:p>
        </w:tc>
        <w:tc>
          <w:tcPr>
            <w:tcW w:w="1436" w:type="dxa"/>
            <w:tcBorders>
              <w:top w:val="single" w:color="auto" w:sz="4" w:space="0"/>
              <w:left w:val="single" w:color="auto" w:sz="4" w:space="0"/>
              <w:bottom w:val="single" w:color="auto" w:sz="4" w:space="0"/>
              <w:right w:val="single" w:color="auto" w:sz="4" w:space="0"/>
            </w:tcBorders>
            <w:vAlign w:val="center"/>
          </w:tcPr>
          <w:p w14:paraId="41F89692">
            <w:pPr>
              <w:widowControl/>
              <w:spacing w:line="360" w:lineRule="auto"/>
              <w:jc w:val="left"/>
              <w:textAlignment w:val="center"/>
              <w:rPr>
                <w:rFonts w:hint="eastAsia" w:ascii="宋体" w:hAnsi="宋体" w:eastAsia="宋体" w:cs="宋体"/>
                <w:color w:val="000000"/>
                <w:sz w:val="22"/>
                <w:szCs w:val="22"/>
              </w:rPr>
            </w:pPr>
          </w:p>
        </w:tc>
      </w:tr>
      <w:tr w14:paraId="53D6EAF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6" w:hRule="atLeast"/>
          <w:jc w:val="center"/>
        </w:trPr>
        <w:tc>
          <w:tcPr>
            <w:tcW w:w="839" w:type="dxa"/>
            <w:tcBorders>
              <w:top w:val="single" w:color="auto" w:sz="4" w:space="0"/>
              <w:left w:val="single" w:color="auto" w:sz="4" w:space="0"/>
              <w:bottom w:val="single" w:color="auto" w:sz="4" w:space="0"/>
              <w:right w:val="single" w:color="auto" w:sz="4" w:space="0"/>
            </w:tcBorders>
            <w:vAlign w:val="center"/>
          </w:tcPr>
          <w:p w14:paraId="58460496">
            <w:pPr>
              <w:widowControl/>
              <w:spacing w:line="360" w:lineRule="auto"/>
              <w:jc w:val="center"/>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rPr>
              <w:t>3</w:t>
            </w:r>
          </w:p>
        </w:tc>
        <w:tc>
          <w:tcPr>
            <w:tcW w:w="1565" w:type="dxa"/>
            <w:tcBorders>
              <w:top w:val="single" w:color="auto" w:sz="4" w:space="0"/>
              <w:left w:val="single" w:color="auto" w:sz="4" w:space="0"/>
              <w:bottom w:val="single" w:color="auto" w:sz="4" w:space="0"/>
              <w:right w:val="single" w:color="auto" w:sz="4" w:space="0"/>
            </w:tcBorders>
            <w:vAlign w:val="center"/>
          </w:tcPr>
          <w:p w14:paraId="112AD06D">
            <w:pPr>
              <w:widowControl/>
              <w:spacing w:line="360" w:lineRule="auto"/>
              <w:jc w:val="left"/>
              <w:textAlignment w:val="center"/>
              <w:rPr>
                <w:rFonts w:hint="eastAsia" w:ascii="宋体" w:hAnsi="宋体" w:eastAsia="宋体" w:cs="宋体"/>
                <w:color w:val="000000"/>
                <w:sz w:val="22"/>
                <w:szCs w:val="22"/>
              </w:rPr>
            </w:pPr>
          </w:p>
        </w:tc>
        <w:tc>
          <w:tcPr>
            <w:tcW w:w="2474" w:type="dxa"/>
            <w:tcBorders>
              <w:top w:val="single" w:color="auto" w:sz="4" w:space="0"/>
              <w:left w:val="single" w:color="auto" w:sz="4" w:space="0"/>
              <w:bottom w:val="single" w:color="auto" w:sz="4" w:space="0"/>
              <w:right w:val="single" w:color="auto" w:sz="4" w:space="0"/>
            </w:tcBorders>
            <w:vAlign w:val="center"/>
          </w:tcPr>
          <w:p w14:paraId="328AA896">
            <w:pPr>
              <w:widowControl/>
              <w:spacing w:line="360" w:lineRule="auto"/>
              <w:jc w:val="left"/>
              <w:textAlignment w:val="center"/>
              <w:rPr>
                <w:rFonts w:hint="eastAsia" w:ascii="宋体" w:hAnsi="宋体" w:eastAsia="宋体" w:cs="宋体"/>
                <w:color w:val="000000"/>
                <w:sz w:val="22"/>
                <w:szCs w:val="22"/>
              </w:rPr>
            </w:pPr>
          </w:p>
        </w:tc>
        <w:tc>
          <w:tcPr>
            <w:tcW w:w="2735" w:type="dxa"/>
            <w:tcBorders>
              <w:top w:val="single" w:color="auto" w:sz="4" w:space="0"/>
              <w:left w:val="single" w:color="auto" w:sz="4" w:space="0"/>
              <w:bottom w:val="single" w:color="auto" w:sz="4" w:space="0"/>
              <w:right w:val="single" w:color="auto" w:sz="4" w:space="0"/>
            </w:tcBorders>
            <w:vAlign w:val="center"/>
          </w:tcPr>
          <w:p w14:paraId="0C7244CF">
            <w:pPr>
              <w:widowControl/>
              <w:spacing w:line="360" w:lineRule="auto"/>
              <w:jc w:val="left"/>
              <w:textAlignment w:val="center"/>
              <w:rPr>
                <w:rFonts w:hint="eastAsia" w:ascii="宋体" w:hAnsi="宋体" w:eastAsia="宋体" w:cs="宋体"/>
                <w:color w:val="000000"/>
                <w:sz w:val="22"/>
                <w:szCs w:val="22"/>
              </w:rPr>
            </w:pPr>
          </w:p>
        </w:tc>
        <w:tc>
          <w:tcPr>
            <w:tcW w:w="1436" w:type="dxa"/>
            <w:tcBorders>
              <w:top w:val="single" w:color="auto" w:sz="4" w:space="0"/>
              <w:left w:val="single" w:color="auto" w:sz="4" w:space="0"/>
              <w:bottom w:val="single" w:color="auto" w:sz="4" w:space="0"/>
              <w:right w:val="single" w:color="auto" w:sz="4" w:space="0"/>
            </w:tcBorders>
            <w:vAlign w:val="center"/>
          </w:tcPr>
          <w:p w14:paraId="16C66329">
            <w:pPr>
              <w:widowControl/>
              <w:spacing w:line="360" w:lineRule="auto"/>
              <w:jc w:val="left"/>
              <w:textAlignment w:val="center"/>
              <w:rPr>
                <w:rFonts w:hint="eastAsia" w:ascii="宋体" w:hAnsi="宋体" w:eastAsia="宋体" w:cs="宋体"/>
                <w:color w:val="000000"/>
                <w:sz w:val="22"/>
                <w:szCs w:val="22"/>
              </w:rPr>
            </w:pPr>
          </w:p>
        </w:tc>
      </w:tr>
      <w:tr w14:paraId="45C601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839" w:type="dxa"/>
            <w:tcBorders>
              <w:top w:val="single" w:color="auto" w:sz="4" w:space="0"/>
              <w:left w:val="single" w:color="auto" w:sz="4" w:space="0"/>
              <w:bottom w:val="single" w:color="auto" w:sz="4" w:space="0"/>
              <w:right w:val="single" w:color="auto" w:sz="4" w:space="0"/>
            </w:tcBorders>
            <w:vAlign w:val="center"/>
          </w:tcPr>
          <w:p w14:paraId="77001197">
            <w:pPr>
              <w:widowControl/>
              <w:spacing w:line="360" w:lineRule="auto"/>
              <w:jc w:val="center"/>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rPr>
              <w:t>4</w:t>
            </w:r>
          </w:p>
        </w:tc>
        <w:tc>
          <w:tcPr>
            <w:tcW w:w="1565" w:type="dxa"/>
            <w:tcBorders>
              <w:top w:val="single" w:color="auto" w:sz="4" w:space="0"/>
              <w:left w:val="single" w:color="auto" w:sz="4" w:space="0"/>
              <w:bottom w:val="single" w:color="auto" w:sz="4" w:space="0"/>
              <w:right w:val="single" w:color="auto" w:sz="4" w:space="0"/>
            </w:tcBorders>
            <w:vAlign w:val="center"/>
          </w:tcPr>
          <w:p w14:paraId="58AFB93A">
            <w:pPr>
              <w:widowControl/>
              <w:spacing w:line="360" w:lineRule="auto"/>
              <w:jc w:val="left"/>
              <w:textAlignment w:val="center"/>
              <w:rPr>
                <w:rFonts w:hint="eastAsia" w:ascii="宋体" w:hAnsi="宋体" w:eastAsia="宋体" w:cs="宋体"/>
                <w:color w:val="000000"/>
                <w:sz w:val="22"/>
                <w:szCs w:val="22"/>
              </w:rPr>
            </w:pPr>
          </w:p>
        </w:tc>
        <w:tc>
          <w:tcPr>
            <w:tcW w:w="2474" w:type="dxa"/>
            <w:tcBorders>
              <w:top w:val="single" w:color="auto" w:sz="4" w:space="0"/>
              <w:left w:val="single" w:color="auto" w:sz="4" w:space="0"/>
              <w:bottom w:val="single" w:color="auto" w:sz="4" w:space="0"/>
              <w:right w:val="single" w:color="auto" w:sz="4" w:space="0"/>
            </w:tcBorders>
            <w:vAlign w:val="center"/>
          </w:tcPr>
          <w:p w14:paraId="6861CB25">
            <w:pPr>
              <w:widowControl/>
              <w:spacing w:line="360" w:lineRule="auto"/>
              <w:jc w:val="left"/>
              <w:textAlignment w:val="center"/>
              <w:rPr>
                <w:rFonts w:hint="eastAsia" w:ascii="宋体" w:hAnsi="宋体" w:eastAsia="宋体" w:cs="宋体"/>
                <w:color w:val="000000"/>
                <w:sz w:val="22"/>
                <w:szCs w:val="22"/>
              </w:rPr>
            </w:pPr>
          </w:p>
        </w:tc>
        <w:tc>
          <w:tcPr>
            <w:tcW w:w="2735" w:type="dxa"/>
            <w:tcBorders>
              <w:top w:val="single" w:color="auto" w:sz="4" w:space="0"/>
              <w:left w:val="single" w:color="auto" w:sz="4" w:space="0"/>
              <w:bottom w:val="single" w:color="auto" w:sz="4" w:space="0"/>
              <w:right w:val="single" w:color="auto" w:sz="4" w:space="0"/>
            </w:tcBorders>
            <w:vAlign w:val="center"/>
          </w:tcPr>
          <w:p w14:paraId="0ABB4BEC">
            <w:pPr>
              <w:widowControl/>
              <w:spacing w:line="360" w:lineRule="auto"/>
              <w:jc w:val="left"/>
              <w:textAlignment w:val="center"/>
              <w:rPr>
                <w:rFonts w:hint="eastAsia" w:ascii="宋体" w:hAnsi="宋体" w:eastAsia="宋体" w:cs="宋体"/>
                <w:color w:val="000000"/>
                <w:sz w:val="22"/>
                <w:szCs w:val="22"/>
              </w:rPr>
            </w:pPr>
          </w:p>
        </w:tc>
        <w:tc>
          <w:tcPr>
            <w:tcW w:w="1436" w:type="dxa"/>
            <w:tcBorders>
              <w:top w:val="single" w:color="auto" w:sz="4" w:space="0"/>
              <w:left w:val="single" w:color="auto" w:sz="4" w:space="0"/>
              <w:bottom w:val="single" w:color="auto" w:sz="4" w:space="0"/>
              <w:right w:val="single" w:color="auto" w:sz="4" w:space="0"/>
            </w:tcBorders>
            <w:vAlign w:val="center"/>
          </w:tcPr>
          <w:p w14:paraId="4E5C4B6A">
            <w:pPr>
              <w:widowControl/>
              <w:spacing w:line="360" w:lineRule="auto"/>
              <w:jc w:val="left"/>
              <w:textAlignment w:val="center"/>
              <w:rPr>
                <w:rFonts w:hint="eastAsia" w:ascii="宋体" w:hAnsi="宋体" w:eastAsia="宋体" w:cs="宋体"/>
                <w:color w:val="000000"/>
                <w:sz w:val="22"/>
                <w:szCs w:val="22"/>
              </w:rPr>
            </w:pPr>
          </w:p>
        </w:tc>
      </w:tr>
      <w:tr w14:paraId="415830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8" w:hRule="atLeast"/>
          <w:jc w:val="center"/>
        </w:trPr>
        <w:tc>
          <w:tcPr>
            <w:tcW w:w="839" w:type="dxa"/>
            <w:tcBorders>
              <w:top w:val="single" w:color="auto" w:sz="4" w:space="0"/>
              <w:left w:val="single" w:color="auto" w:sz="4" w:space="0"/>
              <w:bottom w:val="single" w:color="auto" w:sz="4" w:space="0"/>
              <w:right w:val="single" w:color="auto" w:sz="4" w:space="0"/>
            </w:tcBorders>
            <w:vAlign w:val="center"/>
          </w:tcPr>
          <w:p w14:paraId="5836EC45">
            <w:pPr>
              <w:widowControl/>
              <w:spacing w:line="360" w:lineRule="auto"/>
              <w:jc w:val="center"/>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rPr>
              <w:t>5</w:t>
            </w:r>
          </w:p>
        </w:tc>
        <w:tc>
          <w:tcPr>
            <w:tcW w:w="1565" w:type="dxa"/>
            <w:tcBorders>
              <w:top w:val="single" w:color="auto" w:sz="4" w:space="0"/>
              <w:left w:val="single" w:color="auto" w:sz="4" w:space="0"/>
              <w:bottom w:val="single" w:color="auto" w:sz="4" w:space="0"/>
              <w:right w:val="single" w:color="auto" w:sz="4" w:space="0"/>
            </w:tcBorders>
            <w:vAlign w:val="center"/>
          </w:tcPr>
          <w:p w14:paraId="4E12EFAD">
            <w:pPr>
              <w:widowControl/>
              <w:spacing w:line="360" w:lineRule="auto"/>
              <w:jc w:val="left"/>
              <w:textAlignment w:val="center"/>
              <w:rPr>
                <w:rFonts w:hint="eastAsia" w:ascii="宋体" w:hAnsi="宋体" w:eastAsia="宋体" w:cs="宋体"/>
                <w:color w:val="000000"/>
                <w:sz w:val="22"/>
                <w:szCs w:val="22"/>
              </w:rPr>
            </w:pPr>
          </w:p>
        </w:tc>
        <w:tc>
          <w:tcPr>
            <w:tcW w:w="2474" w:type="dxa"/>
            <w:tcBorders>
              <w:top w:val="single" w:color="auto" w:sz="4" w:space="0"/>
              <w:left w:val="single" w:color="auto" w:sz="4" w:space="0"/>
              <w:bottom w:val="single" w:color="auto" w:sz="4" w:space="0"/>
              <w:right w:val="single" w:color="auto" w:sz="4" w:space="0"/>
            </w:tcBorders>
            <w:vAlign w:val="center"/>
          </w:tcPr>
          <w:p w14:paraId="4781AD2B">
            <w:pPr>
              <w:widowControl/>
              <w:spacing w:line="360" w:lineRule="auto"/>
              <w:jc w:val="left"/>
              <w:textAlignment w:val="center"/>
              <w:rPr>
                <w:rFonts w:hint="eastAsia" w:ascii="宋体" w:hAnsi="宋体" w:eastAsia="宋体" w:cs="宋体"/>
                <w:color w:val="000000"/>
                <w:sz w:val="22"/>
                <w:szCs w:val="22"/>
              </w:rPr>
            </w:pPr>
          </w:p>
        </w:tc>
        <w:tc>
          <w:tcPr>
            <w:tcW w:w="2735" w:type="dxa"/>
            <w:tcBorders>
              <w:top w:val="single" w:color="auto" w:sz="4" w:space="0"/>
              <w:left w:val="single" w:color="auto" w:sz="4" w:space="0"/>
              <w:bottom w:val="single" w:color="auto" w:sz="4" w:space="0"/>
              <w:right w:val="single" w:color="auto" w:sz="4" w:space="0"/>
            </w:tcBorders>
            <w:vAlign w:val="center"/>
          </w:tcPr>
          <w:p w14:paraId="54DD24FC">
            <w:pPr>
              <w:widowControl/>
              <w:spacing w:line="360" w:lineRule="auto"/>
              <w:jc w:val="left"/>
              <w:textAlignment w:val="center"/>
              <w:rPr>
                <w:rFonts w:hint="eastAsia" w:ascii="宋体" w:hAnsi="宋体" w:eastAsia="宋体" w:cs="宋体"/>
                <w:color w:val="000000"/>
                <w:sz w:val="22"/>
                <w:szCs w:val="22"/>
              </w:rPr>
            </w:pPr>
          </w:p>
        </w:tc>
        <w:tc>
          <w:tcPr>
            <w:tcW w:w="1436" w:type="dxa"/>
            <w:tcBorders>
              <w:top w:val="single" w:color="auto" w:sz="4" w:space="0"/>
              <w:left w:val="single" w:color="auto" w:sz="4" w:space="0"/>
              <w:bottom w:val="single" w:color="auto" w:sz="4" w:space="0"/>
              <w:right w:val="single" w:color="auto" w:sz="4" w:space="0"/>
            </w:tcBorders>
            <w:vAlign w:val="center"/>
          </w:tcPr>
          <w:p w14:paraId="42E0B3A2">
            <w:pPr>
              <w:widowControl/>
              <w:spacing w:line="360" w:lineRule="auto"/>
              <w:jc w:val="left"/>
              <w:textAlignment w:val="center"/>
              <w:rPr>
                <w:rFonts w:hint="eastAsia" w:ascii="宋体" w:hAnsi="宋体" w:eastAsia="宋体" w:cs="宋体"/>
                <w:color w:val="000000"/>
                <w:sz w:val="22"/>
                <w:szCs w:val="22"/>
              </w:rPr>
            </w:pPr>
          </w:p>
        </w:tc>
      </w:tr>
      <w:tr w14:paraId="0C0B2B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839" w:type="dxa"/>
            <w:tcBorders>
              <w:top w:val="single" w:color="auto" w:sz="4" w:space="0"/>
              <w:left w:val="single" w:color="auto" w:sz="4" w:space="0"/>
              <w:bottom w:val="single" w:color="auto" w:sz="4" w:space="0"/>
              <w:right w:val="single" w:color="auto" w:sz="4" w:space="0"/>
            </w:tcBorders>
            <w:vAlign w:val="center"/>
          </w:tcPr>
          <w:p w14:paraId="6F535352">
            <w:pPr>
              <w:widowControl/>
              <w:spacing w:line="360" w:lineRule="auto"/>
              <w:jc w:val="center"/>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rPr>
              <w:t>6</w:t>
            </w:r>
          </w:p>
        </w:tc>
        <w:tc>
          <w:tcPr>
            <w:tcW w:w="1565" w:type="dxa"/>
            <w:tcBorders>
              <w:top w:val="single" w:color="auto" w:sz="4" w:space="0"/>
              <w:left w:val="single" w:color="auto" w:sz="4" w:space="0"/>
              <w:bottom w:val="single" w:color="auto" w:sz="4" w:space="0"/>
              <w:right w:val="single" w:color="auto" w:sz="4" w:space="0"/>
            </w:tcBorders>
            <w:vAlign w:val="center"/>
          </w:tcPr>
          <w:p w14:paraId="6AB0709D">
            <w:pPr>
              <w:widowControl/>
              <w:spacing w:line="360" w:lineRule="auto"/>
              <w:jc w:val="left"/>
              <w:textAlignment w:val="center"/>
              <w:rPr>
                <w:rFonts w:hint="eastAsia" w:ascii="宋体" w:hAnsi="宋体" w:eastAsia="宋体" w:cs="宋体"/>
                <w:color w:val="000000"/>
                <w:sz w:val="22"/>
                <w:szCs w:val="22"/>
              </w:rPr>
            </w:pPr>
          </w:p>
        </w:tc>
        <w:tc>
          <w:tcPr>
            <w:tcW w:w="2474" w:type="dxa"/>
            <w:tcBorders>
              <w:top w:val="single" w:color="auto" w:sz="4" w:space="0"/>
              <w:left w:val="single" w:color="auto" w:sz="4" w:space="0"/>
              <w:bottom w:val="single" w:color="auto" w:sz="4" w:space="0"/>
              <w:right w:val="single" w:color="auto" w:sz="4" w:space="0"/>
            </w:tcBorders>
            <w:vAlign w:val="center"/>
          </w:tcPr>
          <w:p w14:paraId="0DDD32BF">
            <w:pPr>
              <w:widowControl/>
              <w:spacing w:line="360" w:lineRule="auto"/>
              <w:jc w:val="left"/>
              <w:textAlignment w:val="center"/>
              <w:rPr>
                <w:rFonts w:hint="eastAsia" w:ascii="宋体" w:hAnsi="宋体" w:eastAsia="宋体" w:cs="宋体"/>
                <w:color w:val="000000"/>
                <w:sz w:val="22"/>
                <w:szCs w:val="22"/>
              </w:rPr>
            </w:pPr>
          </w:p>
        </w:tc>
        <w:tc>
          <w:tcPr>
            <w:tcW w:w="2735" w:type="dxa"/>
            <w:tcBorders>
              <w:top w:val="single" w:color="auto" w:sz="4" w:space="0"/>
              <w:left w:val="single" w:color="auto" w:sz="4" w:space="0"/>
              <w:bottom w:val="single" w:color="auto" w:sz="4" w:space="0"/>
              <w:right w:val="single" w:color="auto" w:sz="4" w:space="0"/>
            </w:tcBorders>
            <w:vAlign w:val="center"/>
          </w:tcPr>
          <w:p w14:paraId="79F07897">
            <w:pPr>
              <w:widowControl/>
              <w:spacing w:line="360" w:lineRule="auto"/>
              <w:jc w:val="left"/>
              <w:textAlignment w:val="center"/>
              <w:rPr>
                <w:rFonts w:hint="eastAsia" w:ascii="宋体" w:hAnsi="宋体" w:eastAsia="宋体" w:cs="宋体"/>
                <w:color w:val="000000"/>
                <w:sz w:val="22"/>
                <w:szCs w:val="22"/>
              </w:rPr>
            </w:pPr>
          </w:p>
        </w:tc>
        <w:tc>
          <w:tcPr>
            <w:tcW w:w="1436" w:type="dxa"/>
            <w:tcBorders>
              <w:top w:val="single" w:color="auto" w:sz="4" w:space="0"/>
              <w:left w:val="single" w:color="auto" w:sz="4" w:space="0"/>
              <w:bottom w:val="single" w:color="auto" w:sz="4" w:space="0"/>
              <w:right w:val="single" w:color="auto" w:sz="4" w:space="0"/>
            </w:tcBorders>
            <w:vAlign w:val="center"/>
          </w:tcPr>
          <w:p w14:paraId="194F2355">
            <w:pPr>
              <w:widowControl/>
              <w:spacing w:line="360" w:lineRule="auto"/>
              <w:jc w:val="left"/>
              <w:textAlignment w:val="center"/>
              <w:rPr>
                <w:rFonts w:hint="eastAsia" w:ascii="宋体" w:hAnsi="宋体" w:eastAsia="宋体" w:cs="宋体"/>
                <w:color w:val="000000"/>
                <w:sz w:val="22"/>
                <w:szCs w:val="22"/>
              </w:rPr>
            </w:pPr>
          </w:p>
        </w:tc>
      </w:tr>
      <w:tr w14:paraId="41DE591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839" w:type="dxa"/>
            <w:tcBorders>
              <w:top w:val="single" w:color="auto" w:sz="4" w:space="0"/>
              <w:left w:val="single" w:color="auto" w:sz="4" w:space="0"/>
              <w:bottom w:val="single" w:color="auto" w:sz="4" w:space="0"/>
              <w:right w:val="single" w:color="auto" w:sz="4" w:space="0"/>
            </w:tcBorders>
            <w:vAlign w:val="center"/>
          </w:tcPr>
          <w:p w14:paraId="2398583B">
            <w:pPr>
              <w:widowControl/>
              <w:spacing w:line="360" w:lineRule="auto"/>
              <w:jc w:val="center"/>
              <w:textAlignment w:val="center"/>
              <w:rPr>
                <w:rFonts w:hint="eastAsia" w:ascii="宋体" w:hAnsi="宋体" w:eastAsia="宋体" w:cs="宋体"/>
                <w:color w:val="000000"/>
                <w:sz w:val="22"/>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67D9FFC">
            <w:pPr>
              <w:widowControl/>
              <w:spacing w:line="360" w:lineRule="auto"/>
              <w:jc w:val="left"/>
              <w:textAlignment w:val="center"/>
              <w:rPr>
                <w:rFonts w:hint="eastAsia" w:ascii="宋体" w:hAnsi="宋体" w:eastAsia="宋体" w:cs="宋体"/>
                <w:color w:val="000000"/>
                <w:sz w:val="22"/>
                <w:szCs w:val="22"/>
              </w:rPr>
            </w:pPr>
          </w:p>
        </w:tc>
        <w:tc>
          <w:tcPr>
            <w:tcW w:w="2474" w:type="dxa"/>
            <w:tcBorders>
              <w:top w:val="single" w:color="auto" w:sz="4" w:space="0"/>
              <w:left w:val="single" w:color="auto" w:sz="4" w:space="0"/>
              <w:bottom w:val="single" w:color="auto" w:sz="4" w:space="0"/>
              <w:right w:val="single" w:color="auto" w:sz="4" w:space="0"/>
            </w:tcBorders>
            <w:vAlign w:val="center"/>
          </w:tcPr>
          <w:p w14:paraId="3C6F4423">
            <w:pPr>
              <w:widowControl/>
              <w:spacing w:line="360" w:lineRule="auto"/>
              <w:jc w:val="left"/>
              <w:textAlignment w:val="center"/>
              <w:rPr>
                <w:rFonts w:hint="eastAsia" w:ascii="宋体" w:hAnsi="宋体" w:eastAsia="宋体" w:cs="宋体"/>
                <w:color w:val="000000"/>
                <w:sz w:val="22"/>
                <w:szCs w:val="22"/>
              </w:rPr>
            </w:pPr>
          </w:p>
        </w:tc>
        <w:tc>
          <w:tcPr>
            <w:tcW w:w="2735" w:type="dxa"/>
            <w:tcBorders>
              <w:top w:val="single" w:color="auto" w:sz="4" w:space="0"/>
              <w:left w:val="single" w:color="auto" w:sz="4" w:space="0"/>
              <w:bottom w:val="single" w:color="auto" w:sz="4" w:space="0"/>
              <w:right w:val="single" w:color="auto" w:sz="4" w:space="0"/>
            </w:tcBorders>
            <w:vAlign w:val="center"/>
          </w:tcPr>
          <w:p w14:paraId="1395D865">
            <w:pPr>
              <w:widowControl/>
              <w:spacing w:line="360" w:lineRule="auto"/>
              <w:jc w:val="left"/>
              <w:textAlignment w:val="center"/>
              <w:rPr>
                <w:rFonts w:hint="eastAsia" w:ascii="宋体" w:hAnsi="宋体" w:eastAsia="宋体" w:cs="宋体"/>
                <w:color w:val="000000"/>
                <w:sz w:val="22"/>
                <w:szCs w:val="22"/>
              </w:rPr>
            </w:pPr>
          </w:p>
        </w:tc>
        <w:tc>
          <w:tcPr>
            <w:tcW w:w="1436" w:type="dxa"/>
            <w:tcBorders>
              <w:top w:val="single" w:color="auto" w:sz="4" w:space="0"/>
              <w:left w:val="single" w:color="auto" w:sz="4" w:space="0"/>
              <w:bottom w:val="single" w:color="auto" w:sz="4" w:space="0"/>
              <w:right w:val="single" w:color="auto" w:sz="4" w:space="0"/>
            </w:tcBorders>
            <w:vAlign w:val="center"/>
          </w:tcPr>
          <w:p w14:paraId="769B60D2">
            <w:pPr>
              <w:widowControl/>
              <w:spacing w:line="360" w:lineRule="auto"/>
              <w:jc w:val="left"/>
              <w:textAlignment w:val="center"/>
              <w:rPr>
                <w:rFonts w:hint="eastAsia" w:ascii="宋体" w:hAnsi="宋体" w:eastAsia="宋体" w:cs="宋体"/>
                <w:color w:val="000000"/>
                <w:sz w:val="22"/>
                <w:szCs w:val="22"/>
              </w:rPr>
            </w:pPr>
          </w:p>
        </w:tc>
      </w:tr>
      <w:tr w14:paraId="44F250B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9" w:hRule="atLeast"/>
          <w:jc w:val="center"/>
        </w:trPr>
        <w:tc>
          <w:tcPr>
            <w:tcW w:w="839" w:type="dxa"/>
            <w:tcBorders>
              <w:top w:val="single" w:color="auto" w:sz="4" w:space="0"/>
              <w:left w:val="single" w:color="auto" w:sz="4" w:space="0"/>
              <w:bottom w:val="single" w:color="auto" w:sz="4" w:space="0"/>
              <w:right w:val="single" w:color="auto" w:sz="4" w:space="0"/>
            </w:tcBorders>
            <w:vAlign w:val="center"/>
          </w:tcPr>
          <w:p w14:paraId="0A0CAA7D">
            <w:pPr>
              <w:widowControl/>
              <w:spacing w:line="360" w:lineRule="auto"/>
              <w:jc w:val="left"/>
              <w:textAlignment w:val="center"/>
              <w:rPr>
                <w:rFonts w:hint="eastAsia" w:ascii="宋体" w:hAnsi="宋体" w:eastAsia="宋体" w:cs="宋体"/>
                <w:color w:val="000000"/>
                <w:sz w:val="22"/>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2F53CCD">
            <w:pPr>
              <w:widowControl/>
              <w:spacing w:line="360" w:lineRule="auto"/>
              <w:jc w:val="left"/>
              <w:textAlignment w:val="center"/>
              <w:rPr>
                <w:rFonts w:hint="eastAsia" w:ascii="宋体" w:hAnsi="宋体" w:eastAsia="宋体" w:cs="宋体"/>
                <w:color w:val="000000"/>
                <w:sz w:val="22"/>
                <w:szCs w:val="22"/>
              </w:rPr>
            </w:pPr>
          </w:p>
        </w:tc>
        <w:tc>
          <w:tcPr>
            <w:tcW w:w="2474" w:type="dxa"/>
            <w:tcBorders>
              <w:top w:val="single" w:color="auto" w:sz="4" w:space="0"/>
              <w:left w:val="single" w:color="auto" w:sz="4" w:space="0"/>
              <w:bottom w:val="single" w:color="auto" w:sz="4" w:space="0"/>
              <w:right w:val="single" w:color="auto" w:sz="4" w:space="0"/>
            </w:tcBorders>
            <w:vAlign w:val="center"/>
          </w:tcPr>
          <w:p w14:paraId="352A5193">
            <w:pPr>
              <w:widowControl/>
              <w:spacing w:line="360" w:lineRule="auto"/>
              <w:jc w:val="left"/>
              <w:textAlignment w:val="center"/>
              <w:rPr>
                <w:rFonts w:hint="eastAsia" w:ascii="宋体" w:hAnsi="宋体" w:eastAsia="宋体" w:cs="宋体"/>
                <w:color w:val="000000"/>
                <w:sz w:val="22"/>
                <w:szCs w:val="22"/>
              </w:rPr>
            </w:pPr>
          </w:p>
        </w:tc>
        <w:tc>
          <w:tcPr>
            <w:tcW w:w="2735" w:type="dxa"/>
            <w:tcBorders>
              <w:top w:val="single" w:color="auto" w:sz="4" w:space="0"/>
              <w:left w:val="single" w:color="auto" w:sz="4" w:space="0"/>
              <w:bottom w:val="single" w:color="auto" w:sz="4" w:space="0"/>
              <w:right w:val="single" w:color="auto" w:sz="4" w:space="0"/>
            </w:tcBorders>
            <w:vAlign w:val="center"/>
          </w:tcPr>
          <w:p w14:paraId="33884AB9">
            <w:pPr>
              <w:widowControl/>
              <w:spacing w:line="360" w:lineRule="auto"/>
              <w:jc w:val="left"/>
              <w:textAlignment w:val="center"/>
              <w:rPr>
                <w:rFonts w:hint="eastAsia" w:ascii="宋体" w:hAnsi="宋体" w:eastAsia="宋体" w:cs="宋体"/>
                <w:color w:val="000000"/>
                <w:sz w:val="22"/>
                <w:szCs w:val="22"/>
              </w:rPr>
            </w:pPr>
          </w:p>
        </w:tc>
        <w:tc>
          <w:tcPr>
            <w:tcW w:w="1436" w:type="dxa"/>
            <w:tcBorders>
              <w:top w:val="single" w:color="auto" w:sz="4" w:space="0"/>
              <w:left w:val="single" w:color="auto" w:sz="4" w:space="0"/>
              <w:bottom w:val="single" w:color="auto" w:sz="4" w:space="0"/>
              <w:right w:val="single" w:color="auto" w:sz="4" w:space="0"/>
            </w:tcBorders>
            <w:vAlign w:val="center"/>
          </w:tcPr>
          <w:p w14:paraId="0EA75847">
            <w:pPr>
              <w:widowControl/>
              <w:spacing w:line="360" w:lineRule="auto"/>
              <w:jc w:val="left"/>
              <w:textAlignment w:val="center"/>
              <w:rPr>
                <w:rFonts w:hint="eastAsia" w:ascii="宋体" w:hAnsi="宋体" w:eastAsia="宋体" w:cs="宋体"/>
                <w:color w:val="000000"/>
                <w:sz w:val="22"/>
                <w:szCs w:val="22"/>
              </w:rPr>
            </w:pPr>
          </w:p>
        </w:tc>
      </w:tr>
    </w:tbl>
    <w:p w14:paraId="7632E4F9">
      <w:pPr>
        <w:rPr>
          <w:rFonts w:hint="eastAsia" w:ascii="宋体" w:hAnsi="宋体" w:eastAsia="宋体" w:cs="宋体"/>
          <w:color w:val="000000"/>
        </w:rPr>
      </w:pPr>
    </w:p>
    <w:p w14:paraId="720BE854">
      <w:pPr>
        <w:spacing w:line="0" w:lineRule="atLeast"/>
        <w:rPr>
          <w:rFonts w:hint="eastAsia" w:ascii="宋体" w:hAnsi="宋体" w:eastAsia="宋体" w:cs="宋体"/>
          <w:color w:val="000000"/>
        </w:rPr>
      </w:pPr>
    </w:p>
    <w:p w14:paraId="4DDCC039">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填写说明：</w:t>
      </w:r>
    </w:p>
    <w:p w14:paraId="28C71F27">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fldChar w:fldCharType="begin"/>
      </w:r>
      <w:r>
        <w:rPr>
          <w:rFonts w:hint="eastAsia" w:ascii="宋体" w:hAnsi="宋体" w:eastAsia="宋体" w:cs="宋体"/>
          <w:color w:val="000000"/>
          <w:sz w:val="24"/>
        </w:rPr>
        <w:instrText xml:space="preserve">= 1 \* GB3</w:instrText>
      </w:r>
      <w:r>
        <w:rPr>
          <w:rFonts w:hint="eastAsia" w:ascii="宋体" w:hAnsi="宋体" w:eastAsia="宋体" w:cs="宋体"/>
          <w:color w:val="000000"/>
          <w:sz w:val="24"/>
        </w:rPr>
        <w:fldChar w:fldCharType="separate"/>
      </w:r>
      <w:r>
        <w:rPr>
          <w:rFonts w:hint="eastAsia" w:ascii="宋体" w:hAnsi="宋体" w:eastAsia="宋体" w:cs="宋体"/>
          <w:color w:val="000000"/>
          <w:sz w:val="24"/>
        </w:rPr>
        <w:t>①</w:t>
      </w:r>
      <w:r>
        <w:rPr>
          <w:rFonts w:hint="eastAsia" w:ascii="宋体" w:hAnsi="宋体" w:eastAsia="宋体" w:cs="宋体"/>
          <w:color w:val="000000"/>
          <w:sz w:val="24"/>
        </w:rPr>
        <w:fldChar w:fldCharType="end"/>
      </w:r>
      <w:r>
        <w:rPr>
          <w:rFonts w:hint="eastAsia" w:ascii="宋体" w:hAnsi="宋体" w:eastAsia="宋体" w:cs="宋体"/>
          <w:color w:val="000000"/>
          <w:sz w:val="24"/>
        </w:rPr>
        <w:t>此表为表样，行数可自行添加，但表式不变。</w:t>
      </w:r>
    </w:p>
    <w:p w14:paraId="7A02E9D7">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fldChar w:fldCharType="begin"/>
      </w:r>
      <w:r>
        <w:rPr>
          <w:rFonts w:hint="eastAsia" w:ascii="宋体" w:hAnsi="宋体" w:eastAsia="宋体" w:cs="宋体"/>
          <w:color w:val="000000"/>
          <w:sz w:val="24"/>
        </w:rPr>
        <w:instrText xml:space="preserve">= 2 \* GB3</w:instrText>
      </w:r>
      <w:r>
        <w:rPr>
          <w:rFonts w:hint="eastAsia" w:ascii="宋体" w:hAnsi="宋体" w:eastAsia="宋体" w:cs="宋体"/>
          <w:color w:val="000000"/>
          <w:sz w:val="24"/>
        </w:rPr>
        <w:fldChar w:fldCharType="separate"/>
      </w:r>
      <w:r>
        <w:rPr>
          <w:rFonts w:hint="eastAsia" w:ascii="宋体" w:hAnsi="宋体" w:eastAsia="宋体" w:cs="宋体"/>
          <w:color w:val="000000"/>
          <w:sz w:val="24"/>
        </w:rPr>
        <w:t>②</w:t>
      </w:r>
      <w:r>
        <w:rPr>
          <w:rFonts w:hint="eastAsia" w:ascii="宋体" w:hAnsi="宋体" w:eastAsia="宋体" w:cs="宋体"/>
          <w:color w:val="000000"/>
          <w:sz w:val="24"/>
        </w:rPr>
        <w:fldChar w:fldCharType="end"/>
      </w:r>
      <w:r>
        <w:rPr>
          <w:rFonts w:hint="eastAsia" w:ascii="宋体" w:hAnsi="宋体" w:eastAsia="宋体" w:cs="宋体"/>
          <w:color w:val="000000"/>
          <w:sz w:val="24"/>
        </w:rPr>
        <w:t>是否偏离用符号“+、-”分别表示正偏离、负偏离。</w:t>
      </w:r>
    </w:p>
    <w:p w14:paraId="5CD1D2AB">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fldChar w:fldCharType="begin"/>
      </w:r>
      <w:r>
        <w:rPr>
          <w:rFonts w:hint="eastAsia" w:ascii="宋体" w:hAnsi="宋体" w:eastAsia="宋体" w:cs="宋体"/>
          <w:color w:val="000000"/>
          <w:sz w:val="24"/>
        </w:rPr>
        <w:instrText xml:space="preserve">= 3 \* GB3</w:instrText>
      </w:r>
      <w:r>
        <w:rPr>
          <w:rFonts w:hint="eastAsia" w:ascii="宋体" w:hAnsi="宋体" w:eastAsia="宋体" w:cs="宋体"/>
          <w:color w:val="000000"/>
          <w:sz w:val="24"/>
        </w:rPr>
        <w:fldChar w:fldCharType="separate"/>
      </w:r>
      <w:r>
        <w:rPr>
          <w:rFonts w:hint="eastAsia" w:ascii="宋体" w:hAnsi="宋体" w:eastAsia="宋体" w:cs="宋体"/>
          <w:color w:val="000000"/>
          <w:sz w:val="24"/>
        </w:rPr>
        <w:t>③</w:t>
      </w:r>
      <w:r>
        <w:rPr>
          <w:rFonts w:hint="eastAsia" w:ascii="宋体" w:hAnsi="宋体" w:eastAsia="宋体" w:cs="宋体"/>
          <w:color w:val="000000"/>
          <w:sz w:val="24"/>
        </w:rPr>
        <w:fldChar w:fldCharType="end"/>
      </w:r>
      <w:r>
        <w:rPr>
          <w:rFonts w:hint="eastAsia" w:ascii="宋体" w:hAnsi="宋体" w:eastAsia="宋体" w:cs="宋体"/>
          <w:color w:val="000000"/>
          <w:sz w:val="24"/>
        </w:rPr>
        <w:t>供应商必须阅读本采购文件中所有商务要求</w:t>
      </w:r>
      <w:r>
        <w:rPr>
          <w:rFonts w:hint="eastAsia" w:ascii="宋体" w:hAnsi="宋体" w:eastAsia="宋体" w:cs="宋体"/>
          <w:color w:val="000000"/>
          <w:sz w:val="24"/>
          <w:lang w:eastAsia="zh-CN"/>
        </w:rPr>
        <w:t>，并列入上表</w:t>
      </w:r>
      <w:r>
        <w:rPr>
          <w:rFonts w:hint="eastAsia" w:ascii="宋体" w:hAnsi="宋体" w:eastAsia="宋体" w:cs="宋体"/>
          <w:color w:val="000000"/>
          <w:sz w:val="24"/>
        </w:rPr>
        <w:t>。</w:t>
      </w:r>
    </w:p>
    <w:p w14:paraId="788BC3CF">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④若响应文件中出现与此表表述不一致的，以此表为准。</w:t>
      </w:r>
    </w:p>
    <w:p w14:paraId="302EDE7D">
      <w:pPr>
        <w:pStyle w:val="30"/>
        <w:keepNext w:val="0"/>
        <w:keepLines w:val="0"/>
        <w:pageBreakBefore/>
        <w:widowControl w:val="0"/>
        <w:numPr>
          <w:ilvl w:val="255"/>
          <w:numId w:val="0"/>
        </w:numPr>
        <w:kinsoku/>
        <w:wordWrap/>
        <w:overflowPunct/>
        <w:topLinePunct w:val="0"/>
        <w:autoSpaceDE/>
        <w:autoSpaceDN/>
        <w:bidi w:val="0"/>
        <w:adjustRightInd/>
        <w:snapToGrid/>
        <w:textAlignment w:val="auto"/>
        <w:rPr>
          <w:rFonts w:hint="eastAsia" w:ascii="宋体" w:hAnsi="宋体" w:eastAsia="宋体" w:cs="宋体"/>
          <w:snapToGrid w:val="0"/>
          <w:color w:val="000000"/>
          <w:kern w:val="0"/>
          <w:sz w:val="32"/>
          <w:szCs w:val="32"/>
        </w:rPr>
      </w:pPr>
      <w:bookmarkStart w:id="168" w:name="_Toc4599"/>
      <w:bookmarkStart w:id="169" w:name="_Toc7161"/>
      <w:bookmarkStart w:id="170" w:name="_Toc27488"/>
      <w:bookmarkStart w:id="171" w:name="_Toc23079"/>
      <w:bookmarkStart w:id="172" w:name="_Toc24645"/>
      <w:r>
        <w:rPr>
          <w:rFonts w:hint="eastAsia" w:ascii="宋体" w:hAnsi="宋体" w:eastAsia="宋体" w:cs="宋体"/>
          <w:snapToGrid w:val="0"/>
          <w:color w:val="000000"/>
          <w:kern w:val="0"/>
          <w:sz w:val="32"/>
          <w:szCs w:val="32"/>
          <w:lang w:val="en-US" w:eastAsia="zh-CN"/>
        </w:rPr>
        <w:t>六</w:t>
      </w:r>
      <w:r>
        <w:rPr>
          <w:rFonts w:hint="eastAsia" w:ascii="宋体" w:hAnsi="宋体" w:eastAsia="宋体" w:cs="宋体"/>
          <w:snapToGrid w:val="0"/>
          <w:color w:val="000000"/>
          <w:kern w:val="0"/>
          <w:sz w:val="32"/>
          <w:szCs w:val="32"/>
        </w:rPr>
        <w:t>、</w:t>
      </w:r>
      <w:r>
        <w:rPr>
          <w:rFonts w:hint="eastAsia" w:ascii="宋体" w:hAnsi="宋体" w:eastAsia="宋体" w:cs="宋体"/>
          <w:snapToGrid w:val="0"/>
          <w:color w:val="000000"/>
          <w:kern w:val="0"/>
          <w:sz w:val="32"/>
          <w:szCs w:val="32"/>
          <w:lang w:eastAsia="zh-CN"/>
        </w:rPr>
        <w:t>服务</w:t>
      </w:r>
      <w:r>
        <w:rPr>
          <w:rFonts w:hint="eastAsia" w:ascii="宋体" w:hAnsi="宋体" w:eastAsia="宋体" w:cs="宋体"/>
          <w:snapToGrid w:val="0"/>
          <w:color w:val="000000"/>
          <w:kern w:val="0"/>
          <w:sz w:val="32"/>
          <w:szCs w:val="32"/>
        </w:rPr>
        <w:t>要求响应及偏离表</w:t>
      </w:r>
    </w:p>
    <w:p w14:paraId="2D5774F5">
      <w:pPr>
        <w:spacing w:beforeLines="-2147483648" w:afterLines="-2147483648" w:line="240" w:lineRule="auto"/>
        <w:jc w:val="center"/>
        <w:outlineLvl w:val="9"/>
        <w:rPr>
          <w:rFonts w:hint="eastAsia" w:ascii="宋体" w:hAnsi="宋体" w:eastAsia="宋体" w:cs="宋体"/>
          <w:sz w:val="32"/>
          <w:szCs w:val="21"/>
        </w:rPr>
      </w:pPr>
      <w:r>
        <w:rPr>
          <w:rFonts w:hint="eastAsia" w:ascii="宋体" w:hAnsi="宋体" w:eastAsia="宋体" w:cs="宋体"/>
          <w:sz w:val="32"/>
          <w:lang w:eastAsia="zh-CN"/>
        </w:rPr>
        <w:t>服务</w:t>
      </w:r>
      <w:r>
        <w:rPr>
          <w:rFonts w:hint="eastAsia" w:ascii="宋体" w:hAnsi="宋体" w:eastAsia="宋体" w:cs="宋体"/>
          <w:sz w:val="32"/>
          <w:szCs w:val="21"/>
        </w:rPr>
        <w:t>要求响应及偏离表</w:t>
      </w:r>
    </w:p>
    <w:bookmarkEnd w:id="168"/>
    <w:bookmarkEnd w:id="169"/>
    <w:bookmarkEnd w:id="170"/>
    <w:bookmarkEnd w:id="171"/>
    <w:bookmarkEnd w:id="172"/>
    <w:p w14:paraId="065242C9">
      <w:pPr>
        <w:spacing w:line="360" w:lineRule="auto"/>
        <w:ind w:firstLine="420" w:firstLineChars="175"/>
        <w:jc w:val="lef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供应商名称：（加盖电子公章）</w:t>
      </w:r>
    </w:p>
    <w:p w14:paraId="1265D682">
      <w:pPr>
        <w:spacing w:line="360" w:lineRule="auto"/>
        <w:ind w:firstLine="420" w:firstLineChars="175"/>
        <w:jc w:val="lef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项目名称：</w:t>
      </w:r>
    </w:p>
    <w:p w14:paraId="45EC8E2E">
      <w:pPr>
        <w:spacing w:line="360" w:lineRule="auto"/>
        <w:ind w:firstLine="420" w:firstLineChars="175"/>
        <w:jc w:val="left"/>
        <w:rPr>
          <w:rFonts w:hint="eastAsia" w:ascii="宋体" w:hAnsi="宋体" w:eastAsia="宋体" w:cs="宋体"/>
          <w:color w:val="000000"/>
          <w:sz w:val="24"/>
        </w:rPr>
      </w:pPr>
      <w:r>
        <w:rPr>
          <w:rFonts w:hint="eastAsia" w:ascii="宋体" w:hAnsi="宋体" w:eastAsia="宋体" w:cs="宋体"/>
          <w:color w:val="000000"/>
          <w:sz w:val="24"/>
          <w:lang w:val="en-US" w:eastAsia="zh-CN"/>
        </w:rPr>
        <w:t>项目编号：</w:t>
      </w:r>
      <w:r>
        <w:rPr>
          <w:rFonts w:hint="eastAsia" w:ascii="宋体" w:hAnsi="宋体" w:eastAsia="宋体" w:cs="宋体"/>
          <w:color w:val="000000"/>
          <w:sz w:val="24"/>
        </w:rPr>
        <w:t xml:space="preserve"> </w:t>
      </w:r>
    </w:p>
    <w:tbl>
      <w:tblPr>
        <w:tblStyle w:val="21"/>
        <w:tblW w:w="904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19"/>
        <w:gridCol w:w="1890"/>
        <w:gridCol w:w="2298"/>
        <w:gridCol w:w="1788"/>
        <w:gridCol w:w="2148"/>
      </w:tblGrid>
      <w:tr w14:paraId="1A4AE54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6" w:hRule="atLeast"/>
          <w:jc w:val="center"/>
        </w:trPr>
        <w:tc>
          <w:tcPr>
            <w:tcW w:w="919" w:type="dxa"/>
            <w:tcBorders>
              <w:top w:val="single" w:color="auto" w:sz="4" w:space="0"/>
              <w:left w:val="single" w:color="auto" w:sz="4" w:space="0"/>
              <w:bottom w:val="single" w:color="auto" w:sz="4" w:space="0"/>
              <w:right w:val="single" w:color="auto" w:sz="4" w:space="0"/>
            </w:tcBorders>
            <w:vAlign w:val="center"/>
          </w:tcPr>
          <w:p w14:paraId="67299EFF">
            <w:pPr>
              <w:widowControl/>
              <w:jc w:val="center"/>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rPr>
              <w:t>序号</w:t>
            </w:r>
          </w:p>
        </w:tc>
        <w:tc>
          <w:tcPr>
            <w:tcW w:w="1890" w:type="dxa"/>
            <w:tcBorders>
              <w:top w:val="single" w:color="auto" w:sz="4" w:space="0"/>
              <w:left w:val="single" w:color="auto" w:sz="4" w:space="0"/>
              <w:bottom w:val="single" w:color="auto" w:sz="4" w:space="0"/>
              <w:right w:val="single" w:color="auto" w:sz="4" w:space="0"/>
            </w:tcBorders>
            <w:vAlign w:val="center"/>
          </w:tcPr>
          <w:p w14:paraId="42C595CC">
            <w:pPr>
              <w:widowControl/>
              <w:ind w:firstLine="0" w:firstLineChars="0"/>
              <w:jc w:val="center"/>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rPr>
              <w:t>服务需求条目</w:t>
            </w:r>
          </w:p>
        </w:tc>
        <w:tc>
          <w:tcPr>
            <w:tcW w:w="2298" w:type="dxa"/>
            <w:tcBorders>
              <w:top w:val="single" w:color="auto" w:sz="4" w:space="0"/>
              <w:left w:val="single" w:color="auto" w:sz="4" w:space="0"/>
              <w:bottom w:val="single" w:color="auto" w:sz="4" w:space="0"/>
              <w:right w:val="single" w:color="auto" w:sz="4" w:space="0"/>
            </w:tcBorders>
            <w:vAlign w:val="center"/>
          </w:tcPr>
          <w:p w14:paraId="311081EF">
            <w:pPr>
              <w:widowControl/>
              <w:jc w:val="center"/>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rPr>
              <w:t>采购文件中的</w:t>
            </w:r>
          </w:p>
          <w:p w14:paraId="61558AF5">
            <w:pPr>
              <w:widowControl/>
              <w:jc w:val="center"/>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rPr>
              <w:t>服务要求</w:t>
            </w:r>
          </w:p>
        </w:tc>
        <w:tc>
          <w:tcPr>
            <w:tcW w:w="1788" w:type="dxa"/>
            <w:tcBorders>
              <w:top w:val="single" w:color="auto" w:sz="4" w:space="0"/>
              <w:left w:val="single" w:color="auto" w:sz="4" w:space="0"/>
              <w:bottom w:val="single" w:color="auto" w:sz="4" w:space="0"/>
              <w:right w:val="single" w:color="auto" w:sz="4" w:space="0"/>
            </w:tcBorders>
            <w:vAlign w:val="center"/>
          </w:tcPr>
          <w:p w14:paraId="29C0D0BE">
            <w:pPr>
              <w:widowControl/>
              <w:jc w:val="center"/>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rPr>
              <w:t>供应商</w:t>
            </w:r>
          </w:p>
          <w:p w14:paraId="6514C68A">
            <w:pPr>
              <w:widowControl/>
              <w:jc w:val="center"/>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rPr>
              <w:t>的承诺或说明</w:t>
            </w:r>
          </w:p>
        </w:tc>
        <w:tc>
          <w:tcPr>
            <w:tcW w:w="2148" w:type="dxa"/>
            <w:tcBorders>
              <w:top w:val="single" w:color="auto" w:sz="4" w:space="0"/>
              <w:left w:val="single" w:color="auto" w:sz="4" w:space="0"/>
              <w:bottom w:val="single" w:color="auto" w:sz="4" w:space="0"/>
              <w:right w:val="single" w:color="auto" w:sz="4" w:space="0"/>
            </w:tcBorders>
            <w:vAlign w:val="center"/>
          </w:tcPr>
          <w:p w14:paraId="69117AD7">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偏离情况</w:t>
            </w:r>
          </w:p>
          <w:p w14:paraId="5EA27AB9">
            <w:pPr>
              <w:widowControl/>
              <w:jc w:val="center"/>
              <w:textAlignment w:val="center"/>
              <w:rPr>
                <w:rFonts w:hint="eastAsia" w:ascii="宋体" w:hAnsi="宋体" w:eastAsia="宋体" w:cs="宋体"/>
                <w:color w:val="000000"/>
                <w:sz w:val="22"/>
                <w:szCs w:val="22"/>
              </w:rPr>
            </w:pPr>
            <w:r>
              <w:rPr>
                <w:rFonts w:hint="eastAsia" w:ascii="宋体" w:hAnsi="宋体" w:eastAsia="宋体" w:cs="宋体"/>
                <w:color w:val="000000"/>
                <w:sz w:val="24"/>
                <w:szCs w:val="24"/>
              </w:rPr>
              <w:t>（+/-/=）</w:t>
            </w:r>
          </w:p>
        </w:tc>
      </w:tr>
      <w:tr w14:paraId="17B766E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7" w:hRule="atLeast"/>
          <w:jc w:val="center"/>
        </w:trPr>
        <w:tc>
          <w:tcPr>
            <w:tcW w:w="919" w:type="dxa"/>
            <w:tcBorders>
              <w:top w:val="single" w:color="auto" w:sz="4" w:space="0"/>
              <w:left w:val="single" w:color="auto" w:sz="4" w:space="0"/>
              <w:bottom w:val="single" w:color="auto" w:sz="4" w:space="0"/>
              <w:right w:val="single" w:color="auto" w:sz="4" w:space="0"/>
            </w:tcBorders>
            <w:vAlign w:val="center"/>
          </w:tcPr>
          <w:p w14:paraId="464A6EA5">
            <w:pPr>
              <w:widowControl/>
              <w:jc w:val="center"/>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rPr>
              <w:t>1</w:t>
            </w:r>
          </w:p>
        </w:tc>
        <w:tc>
          <w:tcPr>
            <w:tcW w:w="1890" w:type="dxa"/>
            <w:tcBorders>
              <w:top w:val="single" w:color="auto" w:sz="4" w:space="0"/>
              <w:left w:val="single" w:color="auto" w:sz="4" w:space="0"/>
              <w:bottom w:val="single" w:color="auto" w:sz="4" w:space="0"/>
              <w:right w:val="single" w:color="auto" w:sz="4" w:space="0"/>
            </w:tcBorders>
            <w:vAlign w:val="center"/>
          </w:tcPr>
          <w:p w14:paraId="30837CF8">
            <w:pPr>
              <w:widowControl/>
              <w:jc w:val="left"/>
              <w:textAlignment w:val="center"/>
              <w:rPr>
                <w:rFonts w:hint="eastAsia" w:ascii="宋体" w:hAnsi="宋体" w:eastAsia="宋体" w:cs="宋体"/>
                <w:color w:val="000000"/>
                <w:sz w:val="22"/>
                <w:szCs w:val="22"/>
              </w:rPr>
            </w:pPr>
          </w:p>
        </w:tc>
        <w:tc>
          <w:tcPr>
            <w:tcW w:w="2298" w:type="dxa"/>
            <w:tcBorders>
              <w:top w:val="single" w:color="auto" w:sz="4" w:space="0"/>
              <w:left w:val="single" w:color="auto" w:sz="4" w:space="0"/>
              <w:bottom w:val="single" w:color="auto" w:sz="4" w:space="0"/>
              <w:right w:val="single" w:color="auto" w:sz="4" w:space="0"/>
            </w:tcBorders>
            <w:vAlign w:val="center"/>
          </w:tcPr>
          <w:p w14:paraId="3F5E0571">
            <w:pPr>
              <w:widowControl/>
              <w:jc w:val="left"/>
              <w:textAlignment w:val="center"/>
              <w:rPr>
                <w:rFonts w:hint="eastAsia" w:ascii="宋体" w:hAnsi="宋体" w:eastAsia="宋体" w:cs="宋体"/>
                <w:color w:val="000000"/>
                <w:sz w:val="22"/>
                <w:szCs w:val="22"/>
              </w:rPr>
            </w:pPr>
          </w:p>
        </w:tc>
        <w:tc>
          <w:tcPr>
            <w:tcW w:w="1788" w:type="dxa"/>
            <w:tcBorders>
              <w:top w:val="single" w:color="auto" w:sz="4" w:space="0"/>
              <w:left w:val="single" w:color="auto" w:sz="4" w:space="0"/>
              <w:bottom w:val="single" w:color="auto" w:sz="4" w:space="0"/>
              <w:right w:val="single" w:color="auto" w:sz="4" w:space="0"/>
            </w:tcBorders>
            <w:vAlign w:val="center"/>
          </w:tcPr>
          <w:p w14:paraId="1503A79B">
            <w:pPr>
              <w:widowControl/>
              <w:jc w:val="left"/>
              <w:textAlignment w:val="center"/>
              <w:rPr>
                <w:rFonts w:hint="eastAsia" w:ascii="宋体" w:hAnsi="宋体" w:eastAsia="宋体" w:cs="宋体"/>
                <w:color w:val="000000"/>
                <w:sz w:val="22"/>
                <w:szCs w:val="22"/>
              </w:rPr>
            </w:pPr>
          </w:p>
        </w:tc>
        <w:tc>
          <w:tcPr>
            <w:tcW w:w="2148" w:type="dxa"/>
            <w:tcBorders>
              <w:top w:val="single" w:color="auto" w:sz="4" w:space="0"/>
              <w:left w:val="single" w:color="auto" w:sz="4" w:space="0"/>
              <w:bottom w:val="single" w:color="auto" w:sz="4" w:space="0"/>
              <w:right w:val="single" w:color="auto" w:sz="4" w:space="0"/>
            </w:tcBorders>
            <w:vAlign w:val="center"/>
          </w:tcPr>
          <w:p w14:paraId="484199D5">
            <w:pPr>
              <w:widowControl/>
              <w:jc w:val="left"/>
              <w:textAlignment w:val="center"/>
              <w:rPr>
                <w:rFonts w:hint="eastAsia" w:ascii="宋体" w:hAnsi="宋体" w:eastAsia="宋体" w:cs="宋体"/>
                <w:color w:val="000000"/>
                <w:sz w:val="22"/>
                <w:szCs w:val="22"/>
              </w:rPr>
            </w:pPr>
          </w:p>
        </w:tc>
      </w:tr>
      <w:tr w14:paraId="3C6BD2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jc w:val="center"/>
        </w:trPr>
        <w:tc>
          <w:tcPr>
            <w:tcW w:w="919" w:type="dxa"/>
            <w:tcBorders>
              <w:top w:val="single" w:color="auto" w:sz="4" w:space="0"/>
              <w:left w:val="single" w:color="auto" w:sz="4" w:space="0"/>
              <w:bottom w:val="single" w:color="auto" w:sz="4" w:space="0"/>
              <w:right w:val="single" w:color="auto" w:sz="4" w:space="0"/>
            </w:tcBorders>
            <w:vAlign w:val="center"/>
          </w:tcPr>
          <w:p w14:paraId="71F2B228">
            <w:pPr>
              <w:widowControl/>
              <w:jc w:val="center"/>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rPr>
              <w:t>2</w:t>
            </w:r>
          </w:p>
        </w:tc>
        <w:tc>
          <w:tcPr>
            <w:tcW w:w="1890" w:type="dxa"/>
            <w:tcBorders>
              <w:top w:val="single" w:color="auto" w:sz="4" w:space="0"/>
              <w:left w:val="single" w:color="auto" w:sz="4" w:space="0"/>
              <w:bottom w:val="single" w:color="auto" w:sz="4" w:space="0"/>
              <w:right w:val="single" w:color="auto" w:sz="4" w:space="0"/>
            </w:tcBorders>
            <w:vAlign w:val="center"/>
          </w:tcPr>
          <w:p w14:paraId="06A9A25E">
            <w:pPr>
              <w:widowControl/>
              <w:jc w:val="left"/>
              <w:textAlignment w:val="center"/>
              <w:rPr>
                <w:rFonts w:hint="eastAsia" w:ascii="宋体" w:hAnsi="宋体" w:eastAsia="宋体" w:cs="宋体"/>
                <w:color w:val="000000"/>
                <w:sz w:val="22"/>
                <w:szCs w:val="22"/>
              </w:rPr>
            </w:pPr>
          </w:p>
        </w:tc>
        <w:tc>
          <w:tcPr>
            <w:tcW w:w="2298" w:type="dxa"/>
            <w:tcBorders>
              <w:top w:val="single" w:color="auto" w:sz="4" w:space="0"/>
              <w:left w:val="single" w:color="auto" w:sz="4" w:space="0"/>
              <w:bottom w:val="single" w:color="auto" w:sz="4" w:space="0"/>
              <w:right w:val="single" w:color="auto" w:sz="4" w:space="0"/>
            </w:tcBorders>
            <w:vAlign w:val="center"/>
          </w:tcPr>
          <w:p w14:paraId="34C6B11D">
            <w:pPr>
              <w:widowControl/>
              <w:jc w:val="left"/>
              <w:textAlignment w:val="center"/>
              <w:rPr>
                <w:rFonts w:hint="eastAsia" w:ascii="宋体" w:hAnsi="宋体" w:eastAsia="宋体" w:cs="宋体"/>
                <w:color w:val="000000"/>
                <w:sz w:val="22"/>
                <w:szCs w:val="22"/>
              </w:rPr>
            </w:pPr>
          </w:p>
        </w:tc>
        <w:tc>
          <w:tcPr>
            <w:tcW w:w="1788" w:type="dxa"/>
            <w:tcBorders>
              <w:top w:val="single" w:color="auto" w:sz="4" w:space="0"/>
              <w:left w:val="single" w:color="auto" w:sz="4" w:space="0"/>
              <w:bottom w:val="single" w:color="auto" w:sz="4" w:space="0"/>
              <w:right w:val="single" w:color="auto" w:sz="4" w:space="0"/>
            </w:tcBorders>
            <w:vAlign w:val="center"/>
          </w:tcPr>
          <w:p w14:paraId="45856B85">
            <w:pPr>
              <w:widowControl/>
              <w:jc w:val="left"/>
              <w:textAlignment w:val="center"/>
              <w:rPr>
                <w:rFonts w:hint="eastAsia" w:ascii="宋体" w:hAnsi="宋体" w:eastAsia="宋体" w:cs="宋体"/>
                <w:color w:val="000000"/>
                <w:sz w:val="22"/>
                <w:szCs w:val="22"/>
              </w:rPr>
            </w:pPr>
          </w:p>
        </w:tc>
        <w:tc>
          <w:tcPr>
            <w:tcW w:w="2148" w:type="dxa"/>
            <w:tcBorders>
              <w:top w:val="single" w:color="auto" w:sz="4" w:space="0"/>
              <w:left w:val="single" w:color="auto" w:sz="4" w:space="0"/>
              <w:bottom w:val="single" w:color="auto" w:sz="4" w:space="0"/>
              <w:right w:val="single" w:color="auto" w:sz="4" w:space="0"/>
            </w:tcBorders>
            <w:vAlign w:val="center"/>
          </w:tcPr>
          <w:p w14:paraId="2A7A99D2">
            <w:pPr>
              <w:widowControl/>
              <w:jc w:val="left"/>
              <w:textAlignment w:val="center"/>
              <w:rPr>
                <w:rFonts w:hint="eastAsia" w:ascii="宋体" w:hAnsi="宋体" w:eastAsia="宋体" w:cs="宋体"/>
                <w:color w:val="000000"/>
                <w:sz w:val="22"/>
                <w:szCs w:val="22"/>
              </w:rPr>
            </w:pPr>
          </w:p>
        </w:tc>
      </w:tr>
      <w:tr w14:paraId="7AAEFF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3" w:hRule="atLeast"/>
          <w:jc w:val="center"/>
        </w:trPr>
        <w:tc>
          <w:tcPr>
            <w:tcW w:w="919" w:type="dxa"/>
            <w:tcBorders>
              <w:top w:val="single" w:color="auto" w:sz="4" w:space="0"/>
              <w:left w:val="single" w:color="auto" w:sz="4" w:space="0"/>
              <w:bottom w:val="single" w:color="auto" w:sz="4" w:space="0"/>
              <w:right w:val="single" w:color="auto" w:sz="4" w:space="0"/>
            </w:tcBorders>
            <w:vAlign w:val="center"/>
          </w:tcPr>
          <w:p w14:paraId="0F6CB2BF">
            <w:pPr>
              <w:widowControl/>
              <w:jc w:val="center"/>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rPr>
              <w:t>3</w:t>
            </w:r>
          </w:p>
        </w:tc>
        <w:tc>
          <w:tcPr>
            <w:tcW w:w="1890" w:type="dxa"/>
            <w:tcBorders>
              <w:top w:val="single" w:color="auto" w:sz="4" w:space="0"/>
              <w:left w:val="single" w:color="auto" w:sz="4" w:space="0"/>
              <w:bottom w:val="single" w:color="auto" w:sz="4" w:space="0"/>
              <w:right w:val="single" w:color="auto" w:sz="4" w:space="0"/>
            </w:tcBorders>
            <w:vAlign w:val="center"/>
          </w:tcPr>
          <w:p w14:paraId="5811FB4A">
            <w:pPr>
              <w:widowControl/>
              <w:jc w:val="left"/>
              <w:textAlignment w:val="center"/>
              <w:rPr>
                <w:rFonts w:hint="eastAsia" w:ascii="宋体" w:hAnsi="宋体" w:eastAsia="宋体" w:cs="宋体"/>
                <w:color w:val="000000"/>
                <w:sz w:val="22"/>
                <w:szCs w:val="22"/>
              </w:rPr>
            </w:pPr>
          </w:p>
        </w:tc>
        <w:tc>
          <w:tcPr>
            <w:tcW w:w="2298" w:type="dxa"/>
            <w:tcBorders>
              <w:top w:val="single" w:color="auto" w:sz="4" w:space="0"/>
              <w:left w:val="single" w:color="auto" w:sz="4" w:space="0"/>
              <w:bottom w:val="single" w:color="auto" w:sz="4" w:space="0"/>
              <w:right w:val="single" w:color="auto" w:sz="4" w:space="0"/>
            </w:tcBorders>
            <w:vAlign w:val="center"/>
          </w:tcPr>
          <w:p w14:paraId="44E21EAC">
            <w:pPr>
              <w:widowControl/>
              <w:jc w:val="left"/>
              <w:textAlignment w:val="center"/>
              <w:rPr>
                <w:rFonts w:hint="eastAsia" w:ascii="宋体" w:hAnsi="宋体" w:eastAsia="宋体" w:cs="宋体"/>
                <w:color w:val="000000"/>
                <w:sz w:val="22"/>
                <w:szCs w:val="22"/>
              </w:rPr>
            </w:pPr>
          </w:p>
        </w:tc>
        <w:tc>
          <w:tcPr>
            <w:tcW w:w="1788" w:type="dxa"/>
            <w:tcBorders>
              <w:top w:val="single" w:color="auto" w:sz="4" w:space="0"/>
              <w:left w:val="single" w:color="auto" w:sz="4" w:space="0"/>
              <w:bottom w:val="single" w:color="auto" w:sz="4" w:space="0"/>
              <w:right w:val="single" w:color="auto" w:sz="4" w:space="0"/>
            </w:tcBorders>
            <w:vAlign w:val="center"/>
          </w:tcPr>
          <w:p w14:paraId="31BF8FB1">
            <w:pPr>
              <w:widowControl/>
              <w:jc w:val="left"/>
              <w:textAlignment w:val="center"/>
              <w:rPr>
                <w:rFonts w:hint="eastAsia" w:ascii="宋体" w:hAnsi="宋体" w:eastAsia="宋体" w:cs="宋体"/>
                <w:color w:val="000000"/>
                <w:sz w:val="22"/>
                <w:szCs w:val="22"/>
              </w:rPr>
            </w:pPr>
          </w:p>
        </w:tc>
        <w:tc>
          <w:tcPr>
            <w:tcW w:w="2148" w:type="dxa"/>
            <w:tcBorders>
              <w:top w:val="single" w:color="auto" w:sz="4" w:space="0"/>
              <w:left w:val="single" w:color="auto" w:sz="4" w:space="0"/>
              <w:bottom w:val="single" w:color="auto" w:sz="4" w:space="0"/>
              <w:right w:val="single" w:color="auto" w:sz="4" w:space="0"/>
            </w:tcBorders>
            <w:vAlign w:val="center"/>
          </w:tcPr>
          <w:p w14:paraId="1CF83FA9">
            <w:pPr>
              <w:widowControl/>
              <w:jc w:val="left"/>
              <w:textAlignment w:val="center"/>
              <w:rPr>
                <w:rFonts w:hint="eastAsia" w:ascii="宋体" w:hAnsi="宋体" w:eastAsia="宋体" w:cs="宋体"/>
                <w:color w:val="000000"/>
                <w:sz w:val="22"/>
                <w:szCs w:val="22"/>
              </w:rPr>
            </w:pPr>
          </w:p>
        </w:tc>
      </w:tr>
      <w:tr w14:paraId="7CAC52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2" w:hRule="atLeast"/>
          <w:jc w:val="center"/>
        </w:trPr>
        <w:tc>
          <w:tcPr>
            <w:tcW w:w="919" w:type="dxa"/>
            <w:tcBorders>
              <w:top w:val="single" w:color="auto" w:sz="4" w:space="0"/>
              <w:left w:val="single" w:color="auto" w:sz="4" w:space="0"/>
              <w:bottom w:val="single" w:color="auto" w:sz="4" w:space="0"/>
              <w:right w:val="single" w:color="auto" w:sz="4" w:space="0"/>
            </w:tcBorders>
            <w:vAlign w:val="center"/>
          </w:tcPr>
          <w:p w14:paraId="2687DC92">
            <w:pPr>
              <w:widowControl/>
              <w:jc w:val="center"/>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rPr>
              <w:t>4</w:t>
            </w:r>
          </w:p>
        </w:tc>
        <w:tc>
          <w:tcPr>
            <w:tcW w:w="1890" w:type="dxa"/>
            <w:tcBorders>
              <w:top w:val="single" w:color="auto" w:sz="4" w:space="0"/>
              <w:left w:val="single" w:color="auto" w:sz="4" w:space="0"/>
              <w:bottom w:val="single" w:color="auto" w:sz="4" w:space="0"/>
              <w:right w:val="single" w:color="auto" w:sz="4" w:space="0"/>
            </w:tcBorders>
            <w:vAlign w:val="center"/>
          </w:tcPr>
          <w:p w14:paraId="452586A9">
            <w:pPr>
              <w:widowControl/>
              <w:jc w:val="left"/>
              <w:textAlignment w:val="center"/>
              <w:rPr>
                <w:rFonts w:hint="eastAsia" w:ascii="宋体" w:hAnsi="宋体" w:eastAsia="宋体" w:cs="宋体"/>
                <w:color w:val="000000"/>
                <w:sz w:val="22"/>
                <w:szCs w:val="22"/>
              </w:rPr>
            </w:pPr>
          </w:p>
        </w:tc>
        <w:tc>
          <w:tcPr>
            <w:tcW w:w="2298" w:type="dxa"/>
            <w:tcBorders>
              <w:top w:val="single" w:color="auto" w:sz="4" w:space="0"/>
              <w:left w:val="single" w:color="auto" w:sz="4" w:space="0"/>
              <w:bottom w:val="single" w:color="auto" w:sz="4" w:space="0"/>
              <w:right w:val="single" w:color="auto" w:sz="4" w:space="0"/>
            </w:tcBorders>
            <w:vAlign w:val="center"/>
          </w:tcPr>
          <w:p w14:paraId="4BABCF05">
            <w:pPr>
              <w:widowControl/>
              <w:jc w:val="left"/>
              <w:textAlignment w:val="center"/>
              <w:rPr>
                <w:rFonts w:hint="eastAsia" w:ascii="宋体" w:hAnsi="宋体" w:eastAsia="宋体" w:cs="宋体"/>
                <w:color w:val="000000"/>
                <w:sz w:val="22"/>
                <w:szCs w:val="22"/>
              </w:rPr>
            </w:pPr>
          </w:p>
        </w:tc>
        <w:tc>
          <w:tcPr>
            <w:tcW w:w="1788" w:type="dxa"/>
            <w:tcBorders>
              <w:top w:val="single" w:color="auto" w:sz="4" w:space="0"/>
              <w:left w:val="single" w:color="auto" w:sz="4" w:space="0"/>
              <w:bottom w:val="single" w:color="auto" w:sz="4" w:space="0"/>
              <w:right w:val="single" w:color="auto" w:sz="4" w:space="0"/>
            </w:tcBorders>
            <w:vAlign w:val="center"/>
          </w:tcPr>
          <w:p w14:paraId="1931D38D">
            <w:pPr>
              <w:widowControl/>
              <w:jc w:val="left"/>
              <w:textAlignment w:val="center"/>
              <w:rPr>
                <w:rFonts w:hint="eastAsia" w:ascii="宋体" w:hAnsi="宋体" w:eastAsia="宋体" w:cs="宋体"/>
                <w:color w:val="000000"/>
                <w:sz w:val="22"/>
                <w:szCs w:val="22"/>
              </w:rPr>
            </w:pPr>
          </w:p>
        </w:tc>
        <w:tc>
          <w:tcPr>
            <w:tcW w:w="2148" w:type="dxa"/>
            <w:tcBorders>
              <w:top w:val="single" w:color="auto" w:sz="4" w:space="0"/>
              <w:left w:val="single" w:color="auto" w:sz="4" w:space="0"/>
              <w:bottom w:val="single" w:color="auto" w:sz="4" w:space="0"/>
              <w:right w:val="single" w:color="auto" w:sz="4" w:space="0"/>
            </w:tcBorders>
            <w:vAlign w:val="center"/>
          </w:tcPr>
          <w:p w14:paraId="278D8ECF">
            <w:pPr>
              <w:widowControl/>
              <w:jc w:val="left"/>
              <w:textAlignment w:val="center"/>
              <w:rPr>
                <w:rFonts w:hint="eastAsia" w:ascii="宋体" w:hAnsi="宋体" w:eastAsia="宋体" w:cs="宋体"/>
                <w:color w:val="000000"/>
                <w:sz w:val="22"/>
                <w:szCs w:val="22"/>
              </w:rPr>
            </w:pPr>
          </w:p>
        </w:tc>
      </w:tr>
      <w:tr w14:paraId="0E211F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5" w:hRule="atLeast"/>
          <w:jc w:val="center"/>
        </w:trPr>
        <w:tc>
          <w:tcPr>
            <w:tcW w:w="919" w:type="dxa"/>
            <w:tcBorders>
              <w:top w:val="single" w:color="auto" w:sz="4" w:space="0"/>
              <w:left w:val="single" w:color="auto" w:sz="4" w:space="0"/>
              <w:bottom w:val="single" w:color="auto" w:sz="4" w:space="0"/>
              <w:right w:val="single" w:color="auto" w:sz="4" w:space="0"/>
            </w:tcBorders>
            <w:vAlign w:val="center"/>
          </w:tcPr>
          <w:p w14:paraId="79EE4D88">
            <w:pPr>
              <w:widowControl/>
              <w:jc w:val="center"/>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rPr>
              <w:t>5</w:t>
            </w:r>
          </w:p>
        </w:tc>
        <w:tc>
          <w:tcPr>
            <w:tcW w:w="1890" w:type="dxa"/>
            <w:tcBorders>
              <w:top w:val="single" w:color="auto" w:sz="4" w:space="0"/>
              <w:left w:val="single" w:color="auto" w:sz="4" w:space="0"/>
              <w:bottom w:val="single" w:color="auto" w:sz="4" w:space="0"/>
              <w:right w:val="single" w:color="auto" w:sz="4" w:space="0"/>
            </w:tcBorders>
            <w:vAlign w:val="center"/>
          </w:tcPr>
          <w:p w14:paraId="462161CD">
            <w:pPr>
              <w:widowControl/>
              <w:jc w:val="left"/>
              <w:textAlignment w:val="center"/>
              <w:rPr>
                <w:rFonts w:hint="eastAsia" w:ascii="宋体" w:hAnsi="宋体" w:eastAsia="宋体" w:cs="宋体"/>
                <w:color w:val="000000"/>
                <w:sz w:val="22"/>
                <w:szCs w:val="22"/>
              </w:rPr>
            </w:pPr>
          </w:p>
        </w:tc>
        <w:tc>
          <w:tcPr>
            <w:tcW w:w="2298" w:type="dxa"/>
            <w:tcBorders>
              <w:top w:val="single" w:color="auto" w:sz="4" w:space="0"/>
              <w:left w:val="single" w:color="auto" w:sz="4" w:space="0"/>
              <w:bottom w:val="single" w:color="auto" w:sz="4" w:space="0"/>
              <w:right w:val="single" w:color="auto" w:sz="4" w:space="0"/>
            </w:tcBorders>
            <w:vAlign w:val="center"/>
          </w:tcPr>
          <w:p w14:paraId="09B1D802">
            <w:pPr>
              <w:widowControl/>
              <w:jc w:val="left"/>
              <w:textAlignment w:val="center"/>
              <w:rPr>
                <w:rFonts w:hint="eastAsia" w:ascii="宋体" w:hAnsi="宋体" w:eastAsia="宋体" w:cs="宋体"/>
                <w:color w:val="000000"/>
                <w:sz w:val="22"/>
                <w:szCs w:val="22"/>
              </w:rPr>
            </w:pPr>
          </w:p>
        </w:tc>
        <w:tc>
          <w:tcPr>
            <w:tcW w:w="1788" w:type="dxa"/>
            <w:tcBorders>
              <w:top w:val="single" w:color="auto" w:sz="4" w:space="0"/>
              <w:left w:val="single" w:color="auto" w:sz="4" w:space="0"/>
              <w:bottom w:val="single" w:color="auto" w:sz="4" w:space="0"/>
              <w:right w:val="single" w:color="auto" w:sz="4" w:space="0"/>
            </w:tcBorders>
            <w:vAlign w:val="center"/>
          </w:tcPr>
          <w:p w14:paraId="06B872BD">
            <w:pPr>
              <w:widowControl/>
              <w:jc w:val="left"/>
              <w:textAlignment w:val="center"/>
              <w:rPr>
                <w:rFonts w:hint="eastAsia" w:ascii="宋体" w:hAnsi="宋体" w:eastAsia="宋体" w:cs="宋体"/>
                <w:color w:val="000000"/>
                <w:sz w:val="22"/>
                <w:szCs w:val="22"/>
              </w:rPr>
            </w:pPr>
          </w:p>
        </w:tc>
        <w:tc>
          <w:tcPr>
            <w:tcW w:w="2148" w:type="dxa"/>
            <w:tcBorders>
              <w:top w:val="single" w:color="auto" w:sz="4" w:space="0"/>
              <w:left w:val="single" w:color="auto" w:sz="4" w:space="0"/>
              <w:bottom w:val="single" w:color="auto" w:sz="4" w:space="0"/>
              <w:right w:val="single" w:color="auto" w:sz="4" w:space="0"/>
            </w:tcBorders>
            <w:vAlign w:val="center"/>
          </w:tcPr>
          <w:p w14:paraId="6D165E00">
            <w:pPr>
              <w:widowControl/>
              <w:jc w:val="left"/>
              <w:textAlignment w:val="center"/>
              <w:rPr>
                <w:rFonts w:hint="eastAsia" w:ascii="宋体" w:hAnsi="宋体" w:eastAsia="宋体" w:cs="宋体"/>
                <w:color w:val="000000"/>
                <w:sz w:val="22"/>
                <w:szCs w:val="22"/>
              </w:rPr>
            </w:pPr>
          </w:p>
        </w:tc>
      </w:tr>
      <w:tr w14:paraId="5F571F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919" w:type="dxa"/>
            <w:tcBorders>
              <w:top w:val="single" w:color="auto" w:sz="4" w:space="0"/>
              <w:left w:val="single" w:color="auto" w:sz="4" w:space="0"/>
              <w:bottom w:val="single" w:color="auto" w:sz="4" w:space="0"/>
              <w:right w:val="single" w:color="auto" w:sz="4" w:space="0"/>
            </w:tcBorders>
            <w:vAlign w:val="center"/>
          </w:tcPr>
          <w:p w14:paraId="27C955D1">
            <w:pPr>
              <w:widowControl/>
              <w:jc w:val="center"/>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rPr>
              <w:t>6</w:t>
            </w:r>
          </w:p>
        </w:tc>
        <w:tc>
          <w:tcPr>
            <w:tcW w:w="1890" w:type="dxa"/>
            <w:tcBorders>
              <w:top w:val="single" w:color="auto" w:sz="4" w:space="0"/>
              <w:left w:val="single" w:color="auto" w:sz="4" w:space="0"/>
              <w:bottom w:val="single" w:color="auto" w:sz="4" w:space="0"/>
              <w:right w:val="single" w:color="auto" w:sz="4" w:space="0"/>
            </w:tcBorders>
            <w:vAlign w:val="center"/>
          </w:tcPr>
          <w:p w14:paraId="71EDF336">
            <w:pPr>
              <w:widowControl/>
              <w:jc w:val="center"/>
              <w:textAlignment w:val="center"/>
              <w:rPr>
                <w:rFonts w:hint="eastAsia" w:ascii="宋体" w:hAnsi="宋体" w:eastAsia="宋体" w:cs="宋体"/>
                <w:color w:val="000000"/>
                <w:sz w:val="22"/>
                <w:szCs w:val="22"/>
              </w:rPr>
            </w:pPr>
          </w:p>
        </w:tc>
        <w:tc>
          <w:tcPr>
            <w:tcW w:w="2298" w:type="dxa"/>
            <w:tcBorders>
              <w:top w:val="single" w:color="auto" w:sz="4" w:space="0"/>
              <w:left w:val="single" w:color="auto" w:sz="4" w:space="0"/>
              <w:bottom w:val="single" w:color="auto" w:sz="4" w:space="0"/>
              <w:right w:val="single" w:color="auto" w:sz="4" w:space="0"/>
            </w:tcBorders>
            <w:vAlign w:val="center"/>
          </w:tcPr>
          <w:p w14:paraId="509858F9">
            <w:pPr>
              <w:widowControl/>
              <w:jc w:val="left"/>
              <w:textAlignment w:val="center"/>
              <w:rPr>
                <w:rFonts w:hint="eastAsia" w:ascii="宋体" w:hAnsi="宋体" w:eastAsia="宋体" w:cs="宋体"/>
                <w:color w:val="000000"/>
                <w:sz w:val="22"/>
                <w:szCs w:val="22"/>
              </w:rPr>
            </w:pPr>
          </w:p>
        </w:tc>
        <w:tc>
          <w:tcPr>
            <w:tcW w:w="1788" w:type="dxa"/>
            <w:tcBorders>
              <w:top w:val="single" w:color="auto" w:sz="4" w:space="0"/>
              <w:left w:val="single" w:color="auto" w:sz="4" w:space="0"/>
              <w:bottom w:val="single" w:color="auto" w:sz="4" w:space="0"/>
              <w:right w:val="single" w:color="auto" w:sz="4" w:space="0"/>
            </w:tcBorders>
            <w:vAlign w:val="center"/>
          </w:tcPr>
          <w:p w14:paraId="7F9A3A1F">
            <w:pPr>
              <w:widowControl/>
              <w:jc w:val="left"/>
              <w:textAlignment w:val="center"/>
              <w:rPr>
                <w:rFonts w:hint="eastAsia" w:ascii="宋体" w:hAnsi="宋体" w:eastAsia="宋体" w:cs="宋体"/>
                <w:color w:val="000000"/>
                <w:sz w:val="22"/>
                <w:szCs w:val="22"/>
              </w:rPr>
            </w:pPr>
          </w:p>
        </w:tc>
        <w:tc>
          <w:tcPr>
            <w:tcW w:w="2148" w:type="dxa"/>
            <w:tcBorders>
              <w:top w:val="single" w:color="auto" w:sz="4" w:space="0"/>
              <w:left w:val="single" w:color="auto" w:sz="4" w:space="0"/>
              <w:bottom w:val="single" w:color="auto" w:sz="4" w:space="0"/>
              <w:right w:val="single" w:color="auto" w:sz="4" w:space="0"/>
            </w:tcBorders>
            <w:vAlign w:val="center"/>
          </w:tcPr>
          <w:p w14:paraId="5AB4A627">
            <w:pPr>
              <w:widowControl/>
              <w:jc w:val="left"/>
              <w:textAlignment w:val="center"/>
              <w:rPr>
                <w:rFonts w:hint="eastAsia" w:ascii="宋体" w:hAnsi="宋体" w:eastAsia="宋体" w:cs="宋体"/>
                <w:color w:val="000000"/>
                <w:sz w:val="22"/>
                <w:szCs w:val="22"/>
              </w:rPr>
            </w:pPr>
          </w:p>
        </w:tc>
      </w:tr>
      <w:tr w14:paraId="5DA735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8" w:hRule="atLeast"/>
          <w:jc w:val="center"/>
        </w:trPr>
        <w:tc>
          <w:tcPr>
            <w:tcW w:w="919" w:type="dxa"/>
            <w:tcBorders>
              <w:top w:val="single" w:color="auto" w:sz="4" w:space="0"/>
              <w:left w:val="single" w:color="auto" w:sz="4" w:space="0"/>
              <w:bottom w:val="single" w:color="auto" w:sz="4" w:space="0"/>
              <w:right w:val="single" w:color="auto" w:sz="4" w:space="0"/>
            </w:tcBorders>
            <w:vAlign w:val="center"/>
          </w:tcPr>
          <w:p w14:paraId="59ED14CA">
            <w:pPr>
              <w:widowControl/>
              <w:jc w:val="center"/>
              <w:textAlignment w:val="center"/>
              <w:rPr>
                <w:rFonts w:hint="eastAsia" w:ascii="宋体" w:hAnsi="宋体" w:eastAsia="宋体" w:cs="宋体"/>
                <w:color w:val="000000"/>
                <w:sz w:val="22"/>
                <w:szCs w:val="22"/>
              </w:rPr>
            </w:pPr>
          </w:p>
        </w:tc>
        <w:tc>
          <w:tcPr>
            <w:tcW w:w="1890" w:type="dxa"/>
            <w:tcBorders>
              <w:top w:val="single" w:color="auto" w:sz="4" w:space="0"/>
              <w:left w:val="single" w:color="auto" w:sz="4" w:space="0"/>
              <w:bottom w:val="single" w:color="auto" w:sz="4" w:space="0"/>
              <w:right w:val="single" w:color="auto" w:sz="4" w:space="0"/>
            </w:tcBorders>
            <w:vAlign w:val="center"/>
          </w:tcPr>
          <w:p w14:paraId="70CC21A9">
            <w:pPr>
              <w:widowControl/>
              <w:jc w:val="center"/>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rPr>
              <w:t>（本表可根据需要自行添加行）</w:t>
            </w:r>
          </w:p>
        </w:tc>
        <w:tc>
          <w:tcPr>
            <w:tcW w:w="2298" w:type="dxa"/>
            <w:tcBorders>
              <w:top w:val="single" w:color="auto" w:sz="4" w:space="0"/>
              <w:left w:val="single" w:color="auto" w:sz="4" w:space="0"/>
              <w:bottom w:val="single" w:color="auto" w:sz="4" w:space="0"/>
              <w:right w:val="single" w:color="auto" w:sz="4" w:space="0"/>
            </w:tcBorders>
            <w:vAlign w:val="center"/>
          </w:tcPr>
          <w:p w14:paraId="623434B9">
            <w:pPr>
              <w:widowControl/>
              <w:jc w:val="left"/>
              <w:textAlignment w:val="center"/>
              <w:rPr>
                <w:rFonts w:hint="eastAsia" w:ascii="宋体" w:hAnsi="宋体" w:eastAsia="宋体" w:cs="宋体"/>
                <w:color w:val="000000"/>
                <w:sz w:val="22"/>
                <w:szCs w:val="22"/>
              </w:rPr>
            </w:pPr>
          </w:p>
        </w:tc>
        <w:tc>
          <w:tcPr>
            <w:tcW w:w="1788" w:type="dxa"/>
            <w:tcBorders>
              <w:top w:val="single" w:color="auto" w:sz="4" w:space="0"/>
              <w:left w:val="single" w:color="auto" w:sz="4" w:space="0"/>
              <w:bottom w:val="single" w:color="auto" w:sz="4" w:space="0"/>
              <w:right w:val="single" w:color="auto" w:sz="4" w:space="0"/>
            </w:tcBorders>
            <w:vAlign w:val="center"/>
          </w:tcPr>
          <w:p w14:paraId="07D77F71">
            <w:pPr>
              <w:widowControl/>
              <w:jc w:val="left"/>
              <w:textAlignment w:val="center"/>
              <w:rPr>
                <w:rFonts w:hint="eastAsia" w:ascii="宋体" w:hAnsi="宋体" w:eastAsia="宋体" w:cs="宋体"/>
                <w:color w:val="000000"/>
                <w:sz w:val="22"/>
                <w:szCs w:val="22"/>
              </w:rPr>
            </w:pPr>
          </w:p>
        </w:tc>
        <w:tc>
          <w:tcPr>
            <w:tcW w:w="2148" w:type="dxa"/>
            <w:tcBorders>
              <w:top w:val="single" w:color="auto" w:sz="4" w:space="0"/>
              <w:left w:val="single" w:color="auto" w:sz="4" w:space="0"/>
              <w:bottom w:val="single" w:color="auto" w:sz="4" w:space="0"/>
              <w:right w:val="single" w:color="auto" w:sz="4" w:space="0"/>
            </w:tcBorders>
            <w:vAlign w:val="center"/>
          </w:tcPr>
          <w:p w14:paraId="7140CA8B">
            <w:pPr>
              <w:widowControl/>
              <w:jc w:val="left"/>
              <w:textAlignment w:val="center"/>
              <w:rPr>
                <w:rFonts w:hint="eastAsia" w:ascii="宋体" w:hAnsi="宋体" w:eastAsia="宋体" w:cs="宋体"/>
                <w:color w:val="000000"/>
                <w:sz w:val="22"/>
                <w:szCs w:val="22"/>
              </w:rPr>
            </w:pPr>
          </w:p>
        </w:tc>
      </w:tr>
    </w:tbl>
    <w:p w14:paraId="4633C9EB">
      <w:pPr>
        <w:tabs>
          <w:tab w:val="left" w:pos="142"/>
        </w:tabs>
        <w:spacing w:line="500" w:lineRule="exact"/>
        <w:ind w:firstLine="480" w:firstLineChars="200"/>
        <w:jc w:val="left"/>
        <w:rPr>
          <w:rFonts w:hint="eastAsia" w:ascii="宋体" w:hAnsi="宋体" w:eastAsia="宋体" w:cs="宋体"/>
          <w:color w:val="000000"/>
          <w:sz w:val="24"/>
          <w:szCs w:val="24"/>
        </w:rPr>
      </w:pPr>
    </w:p>
    <w:p w14:paraId="4BD6244C">
      <w:pPr>
        <w:tabs>
          <w:tab w:val="left" w:pos="142"/>
        </w:tabs>
        <w:spacing w:line="500" w:lineRule="exact"/>
        <w:ind w:firstLine="480" w:firstLineChars="200"/>
        <w:jc w:val="left"/>
        <w:rPr>
          <w:rFonts w:hint="eastAsia" w:ascii="宋体" w:hAnsi="宋体" w:eastAsia="宋体" w:cs="宋体"/>
          <w:color w:val="000000"/>
          <w:sz w:val="24"/>
          <w:szCs w:val="24"/>
        </w:rPr>
      </w:pPr>
    </w:p>
    <w:p w14:paraId="713B4EF9">
      <w:pPr>
        <w:tabs>
          <w:tab w:val="left" w:pos="142"/>
        </w:tabs>
        <w:spacing w:line="500" w:lineRule="exact"/>
        <w:ind w:firstLine="480" w:firstLineChars="200"/>
        <w:jc w:val="left"/>
        <w:rPr>
          <w:rFonts w:hint="eastAsia" w:ascii="宋体" w:hAnsi="宋体" w:eastAsia="宋体" w:cs="宋体"/>
          <w:color w:val="000000"/>
          <w:sz w:val="24"/>
          <w:szCs w:val="24"/>
        </w:rPr>
      </w:pPr>
    </w:p>
    <w:p w14:paraId="0B519EB8">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填写说明：</w:t>
      </w:r>
    </w:p>
    <w:p w14:paraId="5542C0D9">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①此表为表样，行数可自行添加，但表式不变。</w:t>
      </w:r>
    </w:p>
    <w:p w14:paraId="7CED3406">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②是否偏离用符号“+、-”分别表示正偏离、负偏离。</w:t>
      </w:r>
    </w:p>
    <w:p w14:paraId="32F1B94D">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③供应商必须仔细阅读本采购文件中所有服务要求，并列入上表。</w:t>
      </w:r>
    </w:p>
    <w:p w14:paraId="40572F98">
      <w:pPr>
        <w:pStyle w:val="20"/>
        <w:spacing w:line="360" w:lineRule="auto"/>
        <w:ind w:firstLine="480"/>
        <w:rPr>
          <w:rFonts w:hint="eastAsia" w:ascii="宋体" w:hAnsi="宋体" w:eastAsia="宋体" w:cs="宋体"/>
          <w:color w:val="000000"/>
          <w:sz w:val="32"/>
          <w:szCs w:val="32"/>
        </w:rPr>
      </w:pPr>
      <w:r>
        <w:rPr>
          <w:rFonts w:hint="eastAsia" w:ascii="宋体" w:hAnsi="宋体" w:eastAsia="宋体" w:cs="宋体"/>
          <w:color w:val="000000"/>
          <w:sz w:val="24"/>
        </w:rPr>
        <w:t>④若响应文件中出现与此表表述不一致的，以此表为准。</w:t>
      </w:r>
      <w:bookmarkStart w:id="173" w:name="_Toc26322"/>
      <w:bookmarkStart w:id="174" w:name="_Toc15783"/>
      <w:bookmarkStart w:id="175" w:name="_Toc20527"/>
      <w:bookmarkStart w:id="176" w:name="_Toc4008"/>
      <w:bookmarkStart w:id="177" w:name="_Toc32726"/>
    </w:p>
    <w:p w14:paraId="558F969C">
      <w:pPr>
        <w:pStyle w:val="30"/>
        <w:keepNext w:val="0"/>
        <w:keepLines w:val="0"/>
        <w:pageBreakBefore/>
        <w:widowControl/>
        <w:numPr>
          <w:ilvl w:val="255"/>
          <w:numId w:val="0"/>
        </w:numPr>
        <w:kinsoku/>
        <w:wordWrap/>
        <w:overflowPunct/>
        <w:topLinePunct w:val="0"/>
        <w:autoSpaceDE/>
        <w:autoSpaceDN/>
        <w:bidi w:val="0"/>
        <w:adjustRightInd/>
        <w:snapToGrid/>
        <w:textAlignment w:val="auto"/>
        <w:rPr>
          <w:rFonts w:hint="eastAsia" w:ascii="宋体" w:hAnsi="宋体" w:eastAsia="宋体" w:cs="宋体"/>
          <w:snapToGrid w:val="0"/>
          <w:color w:val="000000"/>
          <w:kern w:val="0"/>
          <w:sz w:val="28"/>
          <w:szCs w:val="28"/>
          <w:lang w:eastAsia="zh-CN"/>
        </w:rPr>
      </w:pPr>
      <w:r>
        <w:rPr>
          <w:rFonts w:hint="eastAsia" w:ascii="宋体" w:hAnsi="宋体" w:eastAsia="宋体" w:cs="宋体"/>
          <w:snapToGrid w:val="0"/>
          <w:color w:val="000000"/>
          <w:kern w:val="0"/>
          <w:sz w:val="28"/>
          <w:szCs w:val="28"/>
          <w:lang w:val="en-US" w:eastAsia="zh-CN"/>
        </w:rPr>
        <w:t>七</w:t>
      </w:r>
      <w:r>
        <w:rPr>
          <w:rFonts w:hint="eastAsia" w:ascii="宋体" w:hAnsi="宋体" w:eastAsia="宋体" w:cs="宋体"/>
          <w:snapToGrid w:val="0"/>
          <w:color w:val="000000"/>
          <w:kern w:val="0"/>
          <w:sz w:val="28"/>
          <w:szCs w:val="28"/>
          <w:lang w:eastAsia="zh-CN"/>
        </w:rPr>
        <w:t>、</w:t>
      </w:r>
      <w:r>
        <w:rPr>
          <w:rFonts w:hint="eastAsia" w:ascii="宋体" w:hAnsi="宋体" w:eastAsia="宋体" w:cs="宋体"/>
          <w:snapToGrid w:val="0"/>
          <w:color w:val="000000"/>
          <w:kern w:val="0"/>
        </w:rPr>
        <w:t>拟投入项目人员一览表</w:t>
      </w:r>
    </w:p>
    <w:p w14:paraId="687EA069">
      <w:pPr>
        <w:jc w:val="center"/>
        <w:outlineLvl w:val="9"/>
        <w:rPr>
          <w:rFonts w:hint="eastAsia" w:ascii="宋体" w:hAnsi="宋体" w:eastAsia="宋体" w:cs="宋体"/>
          <w:b w:val="0"/>
          <w:bCs w:val="0"/>
          <w:snapToGrid/>
          <w:kern w:val="2"/>
          <w:sz w:val="32"/>
          <w:szCs w:val="21"/>
        </w:rPr>
      </w:pPr>
      <w:r>
        <w:rPr>
          <w:rFonts w:hint="eastAsia" w:ascii="宋体" w:hAnsi="宋体" w:eastAsia="宋体" w:cs="宋体"/>
          <w:b w:val="0"/>
          <w:bCs w:val="0"/>
          <w:snapToGrid/>
          <w:kern w:val="2"/>
          <w:sz w:val="32"/>
          <w:szCs w:val="21"/>
        </w:rPr>
        <w:t>拟投入项目人员一览表</w:t>
      </w:r>
    </w:p>
    <w:p w14:paraId="1D032F2E">
      <w:pPr>
        <w:spacing w:line="360" w:lineRule="auto"/>
        <w:ind w:firstLine="420" w:firstLineChars="175"/>
        <w:jc w:val="left"/>
        <w:rPr>
          <w:rFonts w:hint="eastAsia" w:ascii="宋体" w:hAnsi="宋体" w:eastAsia="宋体" w:cs="宋体"/>
          <w:b w:val="0"/>
          <w:bCs w:val="0"/>
          <w:snapToGrid/>
          <w:color w:val="000000"/>
          <w:kern w:val="2"/>
          <w:sz w:val="24"/>
          <w:szCs w:val="21"/>
          <w:lang w:val="en-US" w:eastAsia="zh-CN"/>
        </w:rPr>
      </w:pPr>
      <w:r>
        <w:rPr>
          <w:rFonts w:hint="eastAsia" w:ascii="宋体" w:hAnsi="宋体" w:eastAsia="宋体" w:cs="宋体"/>
          <w:b w:val="0"/>
          <w:bCs w:val="0"/>
          <w:snapToGrid/>
          <w:color w:val="000000"/>
          <w:kern w:val="2"/>
          <w:sz w:val="24"/>
          <w:szCs w:val="21"/>
          <w:lang w:val="en-US" w:eastAsia="zh-CN"/>
        </w:rPr>
        <w:t>供应商名称：（加盖电子公章）</w:t>
      </w:r>
    </w:p>
    <w:p w14:paraId="35F96F41">
      <w:pPr>
        <w:spacing w:line="360" w:lineRule="auto"/>
        <w:ind w:firstLine="420" w:firstLineChars="175"/>
        <w:jc w:val="left"/>
        <w:rPr>
          <w:rFonts w:hint="eastAsia" w:ascii="宋体" w:hAnsi="宋体" w:eastAsia="宋体" w:cs="宋体"/>
          <w:b w:val="0"/>
          <w:bCs w:val="0"/>
          <w:snapToGrid/>
          <w:color w:val="000000"/>
          <w:kern w:val="2"/>
          <w:sz w:val="24"/>
          <w:szCs w:val="21"/>
          <w:lang w:val="en-US" w:eastAsia="zh-CN"/>
        </w:rPr>
      </w:pPr>
      <w:r>
        <w:rPr>
          <w:rFonts w:hint="eastAsia" w:ascii="宋体" w:hAnsi="宋体" w:eastAsia="宋体" w:cs="宋体"/>
          <w:b w:val="0"/>
          <w:bCs w:val="0"/>
          <w:snapToGrid/>
          <w:color w:val="000000"/>
          <w:kern w:val="2"/>
          <w:sz w:val="24"/>
          <w:szCs w:val="21"/>
          <w:lang w:val="en-US" w:eastAsia="zh-CN"/>
        </w:rPr>
        <w:t>项目名称：</w:t>
      </w:r>
    </w:p>
    <w:p w14:paraId="595B713F">
      <w:pPr>
        <w:spacing w:line="360" w:lineRule="auto"/>
        <w:ind w:firstLine="420" w:firstLineChars="175"/>
        <w:jc w:val="left"/>
        <w:rPr>
          <w:rFonts w:hint="eastAsia" w:ascii="宋体" w:hAnsi="宋体" w:eastAsia="宋体" w:cs="宋体"/>
          <w:snapToGrid/>
          <w:color w:val="000000"/>
          <w:kern w:val="2"/>
          <w:sz w:val="24"/>
          <w:szCs w:val="21"/>
        </w:rPr>
      </w:pPr>
      <w:r>
        <w:rPr>
          <w:rFonts w:hint="eastAsia" w:ascii="宋体" w:hAnsi="宋体" w:eastAsia="宋体" w:cs="宋体"/>
          <w:b w:val="0"/>
          <w:bCs w:val="0"/>
          <w:snapToGrid/>
          <w:color w:val="000000"/>
          <w:kern w:val="2"/>
          <w:sz w:val="24"/>
          <w:szCs w:val="21"/>
          <w:lang w:val="en-US" w:eastAsia="zh-CN"/>
        </w:rPr>
        <w:t>项目编号：</w:t>
      </w:r>
      <w:r>
        <w:rPr>
          <w:rFonts w:hint="eastAsia" w:ascii="宋体" w:hAnsi="宋体" w:eastAsia="宋体" w:cs="宋体"/>
          <w:b w:val="0"/>
          <w:bCs w:val="0"/>
          <w:snapToGrid/>
          <w:color w:val="000000"/>
          <w:kern w:val="2"/>
          <w:sz w:val="24"/>
          <w:szCs w:val="21"/>
        </w:rPr>
        <w:t xml:space="preserve"> </w:t>
      </w:r>
    </w:p>
    <w:tbl>
      <w:tblPr>
        <w:tblStyle w:val="21"/>
        <w:tblW w:w="9696" w:type="dxa"/>
        <w:jc w:val="center"/>
        <w:tblLayout w:type="fixed"/>
        <w:tblCellMar>
          <w:top w:w="0" w:type="dxa"/>
          <w:left w:w="108" w:type="dxa"/>
          <w:bottom w:w="0" w:type="dxa"/>
          <w:right w:w="108" w:type="dxa"/>
        </w:tblCellMar>
      </w:tblPr>
      <w:tblGrid>
        <w:gridCol w:w="766"/>
        <w:gridCol w:w="896"/>
        <w:gridCol w:w="783"/>
        <w:gridCol w:w="750"/>
        <w:gridCol w:w="973"/>
        <w:gridCol w:w="931"/>
        <w:gridCol w:w="1020"/>
        <w:gridCol w:w="994"/>
        <w:gridCol w:w="882"/>
        <w:gridCol w:w="850"/>
        <w:gridCol w:w="851"/>
      </w:tblGrid>
      <w:tr w14:paraId="4FA6BB2C">
        <w:tblPrEx>
          <w:tblCellMar>
            <w:top w:w="0" w:type="dxa"/>
            <w:left w:w="108" w:type="dxa"/>
            <w:bottom w:w="0" w:type="dxa"/>
            <w:right w:w="108" w:type="dxa"/>
          </w:tblCellMar>
        </w:tblPrEx>
        <w:trPr>
          <w:jc w:val="center"/>
        </w:trPr>
        <w:tc>
          <w:tcPr>
            <w:tcW w:w="766" w:type="dxa"/>
            <w:tcBorders>
              <w:top w:val="single" w:color="000000" w:sz="4" w:space="0"/>
              <w:left w:val="single" w:color="000000" w:sz="4" w:space="0"/>
              <w:bottom w:val="single" w:color="000000" w:sz="4" w:space="0"/>
              <w:right w:val="single" w:color="000000" w:sz="4" w:space="0"/>
            </w:tcBorders>
            <w:noWrap w:val="0"/>
            <w:vAlign w:val="center"/>
          </w:tcPr>
          <w:p w14:paraId="48E60B06">
            <w:pPr>
              <w:pStyle w:val="30"/>
              <w:numPr>
                <w:ilvl w:val="255"/>
                <w:numId w:val="0"/>
              </w:numPr>
              <w:jc w:val="center"/>
              <w:rPr>
                <w:rFonts w:hint="eastAsia" w:ascii="宋体" w:hAnsi="宋体" w:eastAsia="宋体" w:cs="宋体"/>
                <w:b w:val="0"/>
                <w:bCs w:val="0"/>
                <w:snapToGrid w:val="0"/>
                <w:color w:val="000000"/>
                <w:kern w:val="0"/>
                <w:sz w:val="24"/>
                <w:szCs w:val="24"/>
              </w:rPr>
            </w:pPr>
            <w:r>
              <w:rPr>
                <w:rFonts w:hint="eastAsia" w:ascii="宋体" w:hAnsi="宋体" w:eastAsia="宋体" w:cs="宋体"/>
                <w:b w:val="0"/>
                <w:bCs w:val="0"/>
                <w:snapToGrid w:val="0"/>
                <w:color w:val="000000"/>
                <w:kern w:val="0"/>
                <w:sz w:val="24"/>
                <w:szCs w:val="24"/>
              </w:rPr>
              <w:t>序号</w:t>
            </w:r>
          </w:p>
        </w:tc>
        <w:tc>
          <w:tcPr>
            <w:tcW w:w="896" w:type="dxa"/>
            <w:tcBorders>
              <w:top w:val="single" w:color="000000" w:sz="4" w:space="0"/>
              <w:left w:val="nil"/>
              <w:bottom w:val="single" w:color="000000" w:sz="4" w:space="0"/>
              <w:right w:val="single" w:color="000000" w:sz="4" w:space="0"/>
            </w:tcBorders>
            <w:noWrap w:val="0"/>
            <w:vAlign w:val="center"/>
          </w:tcPr>
          <w:p w14:paraId="52DCFC00">
            <w:pPr>
              <w:pStyle w:val="30"/>
              <w:numPr>
                <w:ilvl w:val="255"/>
                <w:numId w:val="0"/>
              </w:numPr>
              <w:jc w:val="center"/>
              <w:rPr>
                <w:rFonts w:hint="eastAsia" w:ascii="宋体" w:hAnsi="宋体" w:eastAsia="宋体" w:cs="宋体"/>
                <w:b w:val="0"/>
                <w:bCs w:val="0"/>
                <w:snapToGrid w:val="0"/>
                <w:color w:val="000000"/>
                <w:kern w:val="0"/>
                <w:sz w:val="24"/>
                <w:szCs w:val="24"/>
              </w:rPr>
            </w:pPr>
            <w:r>
              <w:rPr>
                <w:rFonts w:hint="eastAsia" w:ascii="宋体" w:hAnsi="宋体" w:eastAsia="宋体" w:cs="宋体"/>
                <w:b w:val="0"/>
                <w:bCs w:val="0"/>
                <w:snapToGrid w:val="0"/>
                <w:color w:val="000000"/>
                <w:kern w:val="0"/>
                <w:sz w:val="24"/>
                <w:szCs w:val="24"/>
              </w:rPr>
              <w:t>姓名</w:t>
            </w:r>
          </w:p>
        </w:tc>
        <w:tc>
          <w:tcPr>
            <w:tcW w:w="783" w:type="dxa"/>
            <w:tcBorders>
              <w:top w:val="single" w:color="000000" w:sz="4" w:space="0"/>
              <w:left w:val="nil"/>
              <w:bottom w:val="single" w:color="000000" w:sz="4" w:space="0"/>
              <w:right w:val="single" w:color="000000" w:sz="4" w:space="0"/>
            </w:tcBorders>
            <w:noWrap w:val="0"/>
            <w:vAlign w:val="center"/>
          </w:tcPr>
          <w:p w14:paraId="143C85CE">
            <w:pPr>
              <w:pStyle w:val="30"/>
              <w:numPr>
                <w:ilvl w:val="255"/>
                <w:numId w:val="0"/>
              </w:numPr>
              <w:jc w:val="center"/>
              <w:rPr>
                <w:rFonts w:hint="eastAsia" w:ascii="宋体" w:hAnsi="宋体" w:eastAsia="宋体" w:cs="宋体"/>
                <w:b w:val="0"/>
                <w:bCs w:val="0"/>
                <w:snapToGrid w:val="0"/>
                <w:color w:val="000000"/>
                <w:kern w:val="0"/>
                <w:sz w:val="24"/>
                <w:szCs w:val="24"/>
              </w:rPr>
            </w:pPr>
            <w:r>
              <w:rPr>
                <w:rFonts w:hint="eastAsia" w:ascii="宋体" w:hAnsi="宋体" w:eastAsia="宋体" w:cs="宋体"/>
                <w:b w:val="0"/>
                <w:bCs w:val="0"/>
                <w:snapToGrid w:val="0"/>
                <w:color w:val="000000"/>
                <w:kern w:val="0"/>
                <w:sz w:val="24"/>
                <w:szCs w:val="24"/>
              </w:rPr>
              <w:t>性别</w:t>
            </w:r>
          </w:p>
        </w:tc>
        <w:tc>
          <w:tcPr>
            <w:tcW w:w="750" w:type="dxa"/>
            <w:tcBorders>
              <w:top w:val="single" w:color="000000" w:sz="4" w:space="0"/>
              <w:left w:val="nil"/>
              <w:bottom w:val="single" w:color="000000" w:sz="4" w:space="0"/>
              <w:right w:val="single" w:color="000000" w:sz="4" w:space="0"/>
            </w:tcBorders>
            <w:noWrap w:val="0"/>
            <w:vAlign w:val="center"/>
          </w:tcPr>
          <w:p w14:paraId="74E80B2D">
            <w:pPr>
              <w:pStyle w:val="30"/>
              <w:numPr>
                <w:ilvl w:val="255"/>
                <w:numId w:val="0"/>
              </w:numPr>
              <w:jc w:val="center"/>
              <w:rPr>
                <w:rFonts w:hint="eastAsia" w:ascii="宋体" w:hAnsi="宋体" w:eastAsia="宋体" w:cs="宋体"/>
                <w:b w:val="0"/>
                <w:bCs w:val="0"/>
                <w:snapToGrid w:val="0"/>
                <w:color w:val="000000"/>
                <w:kern w:val="0"/>
                <w:sz w:val="24"/>
                <w:szCs w:val="24"/>
              </w:rPr>
            </w:pPr>
            <w:r>
              <w:rPr>
                <w:rFonts w:hint="eastAsia" w:ascii="宋体" w:hAnsi="宋体" w:eastAsia="宋体" w:cs="宋体"/>
                <w:b w:val="0"/>
                <w:bCs w:val="0"/>
                <w:snapToGrid w:val="0"/>
                <w:color w:val="000000"/>
                <w:kern w:val="0"/>
                <w:sz w:val="24"/>
                <w:szCs w:val="24"/>
              </w:rPr>
              <w:t>年龄</w:t>
            </w:r>
          </w:p>
        </w:tc>
        <w:tc>
          <w:tcPr>
            <w:tcW w:w="973" w:type="dxa"/>
            <w:tcBorders>
              <w:top w:val="single" w:color="000000" w:sz="4" w:space="0"/>
              <w:left w:val="nil"/>
              <w:bottom w:val="single" w:color="000000" w:sz="4" w:space="0"/>
              <w:right w:val="single" w:color="000000" w:sz="4" w:space="0"/>
            </w:tcBorders>
            <w:noWrap w:val="0"/>
            <w:vAlign w:val="center"/>
          </w:tcPr>
          <w:p w14:paraId="4F513289">
            <w:pPr>
              <w:pStyle w:val="30"/>
              <w:numPr>
                <w:ilvl w:val="255"/>
                <w:numId w:val="0"/>
              </w:numPr>
              <w:jc w:val="center"/>
              <w:rPr>
                <w:rFonts w:hint="eastAsia" w:ascii="宋体" w:hAnsi="宋体" w:eastAsia="宋体" w:cs="宋体"/>
                <w:b w:val="0"/>
                <w:bCs w:val="0"/>
                <w:snapToGrid w:val="0"/>
                <w:color w:val="000000"/>
                <w:kern w:val="0"/>
                <w:sz w:val="24"/>
                <w:szCs w:val="24"/>
              </w:rPr>
            </w:pPr>
            <w:r>
              <w:rPr>
                <w:rFonts w:hint="eastAsia" w:ascii="宋体" w:hAnsi="宋体" w:eastAsia="宋体" w:cs="宋体"/>
                <w:b w:val="0"/>
                <w:bCs w:val="0"/>
                <w:snapToGrid w:val="0"/>
                <w:color w:val="000000"/>
                <w:kern w:val="0"/>
                <w:sz w:val="24"/>
                <w:szCs w:val="24"/>
              </w:rPr>
              <w:t>专业</w:t>
            </w:r>
          </w:p>
        </w:tc>
        <w:tc>
          <w:tcPr>
            <w:tcW w:w="931" w:type="dxa"/>
            <w:tcBorders>
              <w:top w:val="single" w:color="000000" w:sz="4" w:space="0"/>
              <w:left w:val="nil"/>
              <w:bottom w:val="single" w:color="000000" w:sz="4" w:space="0"/>
              <w:right w:val="single" w:color="000000" w:sz="4" w:space="0"/>
            </w:tcBorders>
            <w:noWrap w:val="0"/>
            <w:vAlign w:val="center"/>
          </w:tcPr>
          <w:p w14:paraId="6AC5D698">
            <w:pPr>
              <w:pStyle w:val="30"/>
              <w:numPr>
                <w:ilvl w:val="255"/>
                <w:numId w:val="0"/>
              </w:numPr>
              <w:jc w:val="center"/>
              <w:rPr>
                <w:rFonts w:hint="eastAsia" w:ascii="宋体" w:hAnsi="宋体" w:eastAsia="宋体" w:cs="宋体"/>
                <w:b w:val="0"/>
                <w:bCs w:val="0"/>
                <w:snapToGrid w:val="0"/>
                <w:color w:val="000000"/>
                <w:kern w:val="0"/>
                <w:sz w:val="24"/>
                <w:szCs w:val="24"/>
              </w:rPr>
            </w:pPr>
            <w:r>
              <w:rPr>
                <w:rFonts w:hint="eastAsia" w:ascii="宋体" w:hAnsi="宋体" w:eastAsia="宋体" w:cs="宋体"/>
                <w:b w:val="0"/>
                <w:bCs w:val="0"/>
                <w:snapToGrid w:val="0"/>
                <w:color w:val="000000"/>
                <w:kern w:val="0"/>
                <w:sz w:val="24"/>
                <w:szCs w:val="24"/>
              </w:rPr>
              <w:t>学历</w:t>
            </w:r>
          </w:p>
        </w:tc>
        <w:tc>
          <w:tcPr>
            <w:tcW w:w="1020" w:type="dxa"/>
            <w:tcBorders>
              <w:top w:val="single" w:color="000000" w:sz="4" w:space="0"/>
              <w:left w:val="nil"/>
              <w:bottom w:val="single" w:color="000000" w:sz="4" w:space="0"/>
              <w:right w:val="single" w:color="000000" w:sz="4" w:space="0"/>
            </w:tcBorders>
            <w:noWrap w:val="0"/>
            <w:vAlign w:val="center"/>
          </w:tcPr>
          <w:p w14:paraId="73D24028">
            <w:pPr>
              <w:pStyle w:val="30"/>
              <w:numPr>
                <w:ilvl w:val="255"/>
                <w:numId w:val="0"/>
              </w:numPr>
              <w:jc w:val="center"/>
              <w:rPr>
                <w:rFonts w:hint="eastAsia" w:ascii="宋体" w:hAnsi="宋体" w:eastAsia="宋体" w:cs="宋体"/>
                <w:b w:val="0"/>
                <w:bCs w:val="0"/>
                <w:snapToGrid w:val="0"/>
                <w:color w:val="000000"/>
                <w:kern w:val="0"/>
                <w:sz w:val="24"/>
                <w:szCs w:val="24"/>
              </w:rPr>
            </w:pPr>
            <w:r>
              <w:rPr>
                <w:rFonts w:hint="eastAsia" w:ascii="宋体" w:hAnsi="宋体" w:eastAsia="宋体" w:cs="宋体"/>
                <w:b w:val="0"/>
                <w:bCs w:val="0"/>
                <w:snapToGrid w:val="0"/>
                <w:color w:val="000000"/>
                <w:kern w:val="0"/>
                <w:sz w:val="24"/>
                <w:szCs w:val="24"/>
              </w:rPr>
              <w:t>执业</w:t>
            </w:r>
          </w:p>
          <w:p w14:paraId="491E0336">
            <w:pPr>
              <w:pStyle w:val="30"/>
              <w:numPr>
                <w:ilvl w:val="255"/>
                <w:numId w:val="0"/>
              </w:numPr>
              <w:jc w:val="center"/>
              <w:rPr>
                <w:rFonts w:hint="eastAsia" w:ascii="宋体" w:hAnsi="宋体" w:eastAsia="宋体" w:cs="宋体"/>
                <w:b w:val="0"/>
                <w:bCs w:val="0"/>
                <w:snapToGrid w:val="0"/>
                <w:color w:val="000000"/>
                <w:kern w:val="0"/>
                <w:sz w:val="24"/>
                <w:szCs w:val="24"/>
              </w:rPr>
            </w:pPr>
            <w:r>
              <w:rPr>
                <w:rFonts w:hint="eastAsia" w:ascii="宋体" w:hAnsi="宋体" w:eastAsia="宋体" w:cs="宋体"/>
                <w:b w:val="0"/>
                <w:bCs w:val="0"/>
                <w:snapToGrid w:val="0"/>
                <w:color w:val="000000"/>
                <w:kern w:val="0"/>
                <w:sz w:val="24"/>
                <w:szCs w:val="24"/>
              </w:rPr>
              <w:t>资格</w:t>
            </w:r>
          </w:p>
        </w:tc>
        <w:tc>
          <w:tcPr>
            <w:tcW w:w="994" w:type="dxa"/>
            <w:tcBorders>
              <w:top w:val="single" w:color="000000" w:sz="4" w:space="0"/>
              <w:left w:val="nil"/>
              <w:bottom w:val="single" w:color="000000" w:sz="4" w:space="0"/>
              <w:right w:val="single" w:color="000000" w:sz="4" w:space="0"/>
            </w:tcBorders>
            <w:noWrap w:val="0"/>
            <w:vAlign w:val="center"/>
          </w:tcPr>
          <w:p w14:paraId="46989567">
            <w:pPr>
              <w:pStyle w:val="30"/>
              <w:numPr>
                <w:ilvl w:val="255"/>
                <w:numId w:val="0"/>
              </w:numPr>
              <w:jc w:val="center"/>
              <w:rPr>
                <w:rFonts w:hint="eastAsia" w:ascii="宋体" w:hAnsi="宋体" w:eastAsia="宋体" w:cs="宋体"/>
                <w:b w:val="0"/>
                <w:bCs w:val="0"/>
                <w:snapToGrid w:val="0"/>
                <w:color w:val="000000"/>
                <w:kern w:val="0"/>
                <w:sz w:val="24"/>
                <w:szCs w:val="24"/>
              </w:rPr>
            </w:pPr>
            <w:r>
              <w:rPr>
                <w:rFonts w:hint="eastAsia" w:ascii="宋体" w:hAnsi="宋体" w:eastAsia="宋体" w:cs="宋体"/>
                <w:b w:val="0"/>
                <w:bCs w:val="0"/>
                <w:snapToGrid w:val="0"/>
                <w:color w:val="000000"/>
                <w:kern w:val="0"/>
                <w:sz w:val="24"/>
                <w:szCs w:val="24"/>
              </w:rPr>
              <w:t>证书号</w:t>
            </w:r>
          </w:p>
        </w:tc>
        <w:tc>
          <w:tcPr>
            <w:tcW w:w="882" w:type="dxa"/>
            <w:tcBorders>
              <w:top w:val="single" w:color="000000" w:sz="4" w:space="0"/>
              <w:left w:val="nil"/>
              <w:bottom w:val="single" w:color="000000" w:sz="4" w:space="0"/>
              <w:right w:val="single" w:color="000000" w:sz="4" w:space="0"/>
            </w:tcBorders>
            <w:noWrap w:val="0"/>
            <w:vAlign w:val="center"/>
          </w:tcPr>
          <w:p w14:paraId="508819B3">
            <w:pPr>
              <w:pStyle w:val="30"/>
              <w:numPr>
                <w:ilvl w:val="255"/>
                <w:numId w:val="0"/>
              </w:numPr>
              <w:jc w:val="center"/>
              <w:rPr>
                <w:rFonts w:hint="eastAsia" w:ascii="宋体" w:hAnsi="宋体" w:eastAsia="宋体" w:cs="宋体"/>
                <w:b w:val="0"/>
                <w:bCs w:val="0"/>
                <w:snapToGrid w:val="0"/>
                <w:color w:val="000000"/>
                <w:kern w:val="0"/>
                <w:sz w:val="24"/>
                <w:szCs w:val="24"/>
              </w:rPr>
            </w:pPr>
            <w:r>
              <w:rPr>
                <w:rFonts w:hint="eastAsia" w:ascii="宋体" w:hAnsi="宋体" w:eastAsia="宋体" w:cs="宋体"/>
                <w:b w:val="0"/>
                <w:bCs w:val="0"/>
                <w:snapToGrid w:val="0"/>
                <w:color w:val="000000"/>
                <w:kern w:val="0"/>
                <w:sz w:val="24"/>
                <w:szCs w:val="24"/>
              </w:rPr>
              <w:t>技术职称</w:t>
            </w:r>
          </w:p>
        </w:tc>
        <w:tc>
          <w:tcPr>
            <w:tcW w:w="850" w:type="dxa"/>
            <w:tcBorders>
              <w:top w:val="single" w:color="000000" w:sz="4" w:space="0"/>
              <w:left w:val="nil"/>
              <w:bottom w:val="single" w:color="000000" w:sz="4" w:space="0"/>
              <w:right w:val="single" w:color="000000" w:sz="4" w:space="0"/>
            </w:tcBorders>
            <w:noWrap w:val="0"/>
            <w:vAlign w:val="center"/>
          </w:tcPr>
          <w:p w14:paraId="5DB392D8">
            <w:pPr>
              <w:pStyle w:val="30"/>
              <w:numPr>
                <w:ilvl w:val="255"/>
                <w:numId w:val="0"/>
              </w:numPr>
              <w:jc w:val="center"/>
              <w:rPr>
                <w:rFonts w:hint="eastAsia" w:ascii="宋体" w:hAnsi="宋体" w:eastAsia="宋体" w:cs="宋体"/>
                <w:b w:val="0"/>
                <w:bCs w:val="0"/>
                <w:snapToGrid w:val="0"/>
                <w:color w:val="000000"/>
                <w:kern w:val="0"/>
                <w:sz w:val="24"/>
                <w:szCs w:val="24"/>
              </w:rPr>
            </w:pPr>
            <w:r>
              <w:rPr>
                <w:rFonts w:hint="eastAsia" w:ascii="宋体" w:hAnsi="宋体" w:eastAsia="宋体" w:cs="宋体"/>
                <w:b w:val="0"/>
                <w:bCs w:val="0"/>
                <w:snapToGrid w:val="0"/>
                <w:color w:val="000000"/>
                <w:kern w:val="0"/>
                <w:sz w:val="24"/>
                <w:szCs w:val="24"/>
              </w:rPr>
              <w:t>相关工作年限</w:t>
            </w:r>
          </w:p>
        </w:tc>
        <w:tc>
          <w:tcPr>
            <w:tcW w:w="851" w:type="dxa"/>
            <w:tcBorders>
              <w:top w:val="single" w:color="000000" w:sz="4" w:space="0"/>
              <w:left w:val="nil"/>
              <w:bottom w:val="single" w:color="000000" w:sz="4" w:space="0"/>
              <w:right w:val="single" w:color="000000" w:sz="4" w:space="0"/>
            </w:tcBorders>
            <w:noWrap w:val="0"/>
            <w:vAlign w:val="center"/>
          </w:tcPr>
          <w:p w14:paraId="7D53541C">
            <w:pPr>
              <w:pStyle w:val="30"/>
              <w:numPr>
                <w:ilvl w:val="255"/>
                <w:numId w:val="0"/>
              </w:numPr>
              <w:jc w:val="center"/>
              <w:rPr>
                <w:rFonts w:hint="eastAsia" w:ascii="宋体" w:hAnsi="宋体" w:eastAsia="宋体" w:cs="宋体"/>
                <w:b w:val="0"/>
                <w:bCs w:val="0"/>
                <w:snapToGrid w:val="0"/>
                <w:color w:val="000000"/>
                <w:kern w:val="0"/>
                <w:sz w:val="24"/>
                <w:szCs w:val="24"/>
              </w:rPr>
            </w:pPr>
            <w:r>
              <w:rPr>
                <w:rFonts w:hint="eastAsia" w:ascii="宋体" w:hAnsi="宋体" w:eastAsia="宋体" w:cs="宋体"/>
                <w:b w:val="0"/>
                <w:bCs w:val="0"/>
                <w:snapToGrid w:val="0"/>
                <w:color w:val="000000"/>
                <w:kern w:val="0"/>
                <w:sz w:val="24"/>
                <w:szCs w:val="24"/>
              </w:rPr>
              <w:t>备注</w:t>
            </w:r>
          </w:p>
        </w:tc>
      </w:tr>
      <w:tr w14:paraId="7A15E0A0">
        <w:tblPrEx>
          <w:tblCellMar>
            <w:top w:w="0" w:type="dxa"/>
            <w:left w:w="108" w:type="dxa"/>
            <w:bottom w:w="0" w:type="dxa"/>
            <w:right w:w="108" w:type="dxa"/>
          </w:tblCellMar>
        </w:tblPrEx>
        <w:trPr>
          <w:jc w:val="center"/>
        </w:trPr>
        <w:tc>
          <w:tcPr>
            <w:tcW w:w="766" w:type="dxa"/>
            <w:tcBorders>
              <w:top w:val="single" w:color="000000" w:sz="4" w:space="0"/>
              <w:left w:val="single" w:color="000000" w:sz="4" w:space="0"/>
              <w:bottom w:val="single" w:color="000000" w:sz="4" w:space="0"/>
              <w:right w:val="single" w:color="000000" w:sz="4" w:space="0"/>
            </w:tcBorders>
            <w:noWrap w:val="0"/>
          </w:tcPr>
          <w:p w14:paraId="1445D776">
            <w:pPr>
              <w:pStyle w:val="30"/>
              <w:numPr>
                <w:ilvl w:val="255"/>
                <w:numId w:val="0"/>
              </w:numPr>
              <w:rPr>
                <w:rFonts w:hint="eastAsia" w:ascii="宋体" w:hAnsi="宋体" w:eastAsia="宋体" w:cs="宋体"/>
                <w:snapToGrid w:val="0"/>
                <w:color w:val="000000"/>
                <w:kern w:val="0"/>
                <w:sz w:val="28"/>
                <w:szCs w:val="28"/>
              </w:rPr>
            </w:pPr>
          </w:p>
        </w:tc>
        <w:tc>
          <w:tcPr>
            <w:tcW w:w="896" w:type="dxa"/>
            <w:tcBorders>
              <w:top w:val="single" w:color="000000" w:sz="4" w:space="0"/>
              <w:left w:val="nil"/>
              <w:bottom w:val="single" w:color="000000" w:sz="4" w:space="0"/>
              <w:right w:val="single" w:color="000000" w:sz="4" w:space="0"/>
            </w:tcBorders>
            <w:noWrap w:val="0"/>
          </w:tcPr>
          <w:p w14:paraId="1AF18CF0">
            <w:pPr>
              <w:pStyle w:val="30"/>
              <w:numPr>
                <w:ilvl w:val="255"/>
                <w:numId w:val="0"/>
              </w:numPr>
              <w:rPr>
                <w:rFonts w:hint="eastAsia" w:ascii="宋体" w:hAnsi="宋体" w:eastAsia="宋体" w:cs="宋体"/>
                <w:snapToGrid w:val="0"/>
                <w:color w:val="000000"/>
                <w:kern w:val="0"/>
                <w:sz w:val="28"/>
                <w:szCs w:val="28"/>
              </w:rPr>
            </w:pPr>
          </w:p>
        </w:tc>
        <w:tc>
          <w:tcPr>
            <w:tcW w:w="783" w:type="dxa"/>
            <w:tcBorders>
              <w:top w:val="single" w:color="000000" w:sz="4" w:space="0"/>
              <w:left w:val="nil"/>
              <w:bottom w:val="single" w:color="000000" w:sz="4" w:space="0"/>
              <w:right w:val="single" w:color="000000" w:sz="4" w:space="0"/>
            </w:tcBorders>
            <w:noWrap w:val="0"/>
          </w:tcPr>
          <w:p w14:paraId="7288B53B">
            <w:pPr>
              <w:pStyle w:val="30"/>
              <w:numPr>
                <w:ilvl w:val="255"/>
                <w:numId w:val="0"/>
              </w:numPr>
              <w:rPr>
                <w:rFonts w:hint="eastAsia" w:ascii="宋体" w:hAnsi="宋体" w:eastAsia="宋体" w:cs="宋体"/>
                <w:snapToGrid w:val="0"/>
                <w:color w:val="000000"/>
                <w:kern w:val="0"/>
                <w:sz w:val="28"/>
                <w:szCs w:val="28"/>
              </w:rPr>
            </w:pPr>
          </w:p>
        </w:tc>
        <w:tc>
          <w:tcPr>
            <w:tcW w:w="750" w:type="dxa"/>
            <w:tcBorders>
              <w:top w:val="single" w:color="000000" w:sz="4" w:space="0"/>
              <w:left w:val="nil"/>
              <w:bottom w:val="single" w:color="000000" w:sz="4" w:space="0"/>
              <w:right w:val="single" w:color="000000" w:sz="4" w:space="0"/>
            </w:tcBorders>
            <w:noWrap w:val="0"/>
          </w:tcPr>
          <w:p w14:paraId="75FD76FE">
            <w:pPr>
              <w:pStyle w:val="30"/>
              <w:numPr>
                <w:ilvl w:val="255"/>
                <w:numId w:val="0"/>
              </w:numPr>
              <w:rPr>
                <w:rFonts w:hint="eastAsia" w:ascii="宋体" w:hAnsi="宋体" w:eastAsia="宋体" w:cs="宋体"/>
                <w:snapToGrid w:val="0"/>
                <w:color w:val="000000"/>
                <w:kern w:val="0"/>
                <w:sz w:val="28"/>
                <w:szCs w:val="28"/>
              </w:rPr>
            </w:pPr>
          </w:p>
        </w:tc>
        <w:tc>
          <w:tcPr>
            <w:tcW w:w="973" w:type="dxa"/>
            <w:tcBorders>
              <w:top w:val="single" w:color="000000" w:sz="4" w:space="0"/>
              <w:left w:val="nil"/>
              <w:bottom w:val="single" w:color="000000" w:sz="4" w:space="0"/>
              <w:right w:val="single" w:color="000000" w:sz="4" w:space="0"/>
            </w:tcBorders>
            <w:noWrap w:val="0"/>
          </w:tcPr>
          <w:p w14:paraId="2726AA48">
            <w:pPr>
              <w:pStyle w:val="30"/>
              <w:numPr>
                <w:ilvl w:val="255"/>
                <w:numId w:val="0"/>
              </w:numPr>
              <w:rPr>
                <w:rFonts w:hint="eastAsia" w:ascii="宋体" w:hAnsi="宋体" w:eastAsia="宋体" w:cs="宋体"/>
                <w:snapToGrid w:val="0"/>
                <w:color w:val="000000"/>
                <w:kern w:val="0"/>
                <w:sz w:val="28"/>
                <w:szCs w:val="28"/>
              </w:rPr>
            </w:pPr>
          </w:p>
        </w:tc>
        <w:tc>
          <w:tcPr>
            <w:tcW w:w="931" w:type="dxa"/>
            <w:tcBorders>
              <w:top w:val="single" w:color="000000" w:sz="4" w:space="0"/>
              <w:left w:val="nil"/>
              <w:bottom w:val="single" w:color="000000" w:sz="4" w:space="0"/>
              <w:right w:val="single" w:color="000000" w:sz="4" w:space="0"/>
            </w:tcBorders>
            <w:noWrap w:val="0"/>
          </w:tcPr>
          <w:p w14:paraId="04733C60">
            <w:pPr>
              <w:pStyle w:val="30"/>
              <w:numPr>
                <w:ilvl w:val="255"/>
                <w:numId w:val="0"/>
              </w:numPr>
              <w:rPr>
                <w:rFonts w:hint="eastAsia" w:ascii="宋体" w:hAnsi="宋体" w:eastAsia="宋体" w:cs="宋体"/>
                <w:snapToGrid w:val="0"/>
                <w:color w:val="000000"/>
                <w:kern w:val="0"/>
                <w:sz w:val="28"/>
                <w:szCs w:val="28"/>
              </w:rPr>
            </w:pPr>
          </w:p>
        </w:tc>
        <w:tc>
          <w:tcPr>
            <w:tcW w:w="1020" w:type="dxa"/>
            <w:tcBorders>
              <w:top w:val="single" w:color="000000" w:sz="4" w:space="0"/>
              <w:left w:val="nil"/>
              <w:bottom w:val="single" w:color="000000" w:sz="4" w:space="0"/>
              <w:right w:val="single" w:color="000000" w:sz="4" w:space="0"/>
            </w:tcBorders>
            <w:noWrap w:val="0"/>
          </w:tcPr>
          <w:p w14:paraId="40364ACD">
            <w:pPr>
              <w:pStyle w:val="30"/>
              <w:numPr>
                <w:ilvl w:val="255"/>
                <w:numId w:val="0"/>
              </w:numPr>
              <w:rPr>
                <w:rFonts w:hint="eastAsia" w:ascii="宋体" w:hAnsi="宋体" w:eastAsia="宋体" w:cs="宋体"/>
                <w:snapToGrid w:val="0"/>
                <w:color w:val="000000"/>
                <w:kern w:val="0"/>
                <w:sz w:val="28"/>
                <w:szCs w:val="28"/>
              </w:rPr>
            </w:pPr>
          </w:p>
        </w:tc>
        <w:tc>
          <w:tcPr>
            <w:tcW w:w="994" w:type="dxa"/>
            <w:tcBorders>
              <w:top w:val="single" w:color="000000" w:sz="4" w:space="0"/>
              <w:left w:val="nil"/>
              <w:bottom w:val="single" w:color="000000" w:sz="4" w:space="0"/>
              <w:right w:val="single" w:color="000000" w:sz="4" w:space="0"/>
            </w:tcBorders>
            <w:noWrap w:val="0"/>
          </w:tcPr>
          <w:p w14:paraId="3B20DCC3">
            <w:pPr>
              <w:pStyle w:val="30"/>
              <w:numPr>
                <w:ilvl w:val="255"/>
                <w:numId w:val="0"/>
              </w:numPr>
              <w:rPr>
                <w:rFonts w:hint="eastAsia" w:ascii="宋体" w:hAnsi="宋体" w:eastAsia="宋体" w:cs="宋体"/>
                <w:snapToGrid w:val="0"/>
                <w:color w:val="000000"/>
                <w:kern w:val="0"/>
                <w:sz w:val="28"/>
                <w:szCs w:val="28"/>
              </w:rPr>
            </w:pPr>
          </w:p>
        </w:tc>
        <w:tc>
          <w:tcPr>
            <w:tcW w:w="882" w:type="dxa"/>
            <w:tcBorders>
              <w:top w:val="single" w:color="000000" w:sz="4" w:space="0"/>
              <w:left w:val="nil"/>
              <w:bottom w:val="single" w:color="000000" w:sz="4" w:space="0"/>
              <w:right w:val="single" w:color="000000" w:sz="4" w:space="0"/>
            </w:tcBorders>
            <w:noWrap w:val="0"/>
          </w:tcPr>
          <w:p w14:paraId="2B8D3894">
            <w:pPr>
              <w:pStyle w:val="30"/>
              <w:numPr>
                <w:ilvl w:val="255"/>
                <w:numId w:val="0"/>
              </w:numPr>
              <w:rPr>
                <w:rFonts w:hint="eastAsia" w:ascii="宋体" w:hAnsi="宋体" w:eastAsia="宋体" w:cs="宋体"/>
                <w:snapToGrid w:val="0"/>
                <w:color w:val="000000"/>
                <w:kern w:val="0"/>
                <w:sz w:val="28"/>
                <w:szCs w:val="28"/>
              </w:rPr>
            </w:pPr>
          </w:p>
        </w:tc>
        <w:tc>
          <w:tcPr>
            <w:tcW w:w="850" w:type="dxa"/>
            <w:tcBorders>
              <w:top w:val="single" w:color="000000" w:sz="4" w:space="0"/>
              <w:left w:val="nil"/>
              <w:bottom w:val="single" w:color="000000" w:sz="4" w:space="0"/>
              <w:right w:val="single" w:color="000000" w:sz="4" w:space="0"/>
            </w:tcBorders>
            <w:noWrap w:val="0"/>
          </w:tcPr>
          <w:p w14:paraId="543039B1">
            <w:pPr>
              <w:pStyle w:val="30"/>
              <w:numPr>
                <w:ilvl w:val="255"/>
                <w:numId w:val="0"/>
              </w:numPr>
              <w:rPr>
                <w:rFonts w:hint="eastAsia" w:ascii="宋体" w:hAnsi="宋体" w:eastAsia="宋体" w:cs="宋体"/>
                <w:snapToGrid w:val="0"/>
                <w:color w:val="000000"/>
                <w:kern w:val="0"/>
                <w:sz w:val="28"/>
                <w:szCs w:val="28"/>
              </w:rPr>
            </w:pPr>
          </w:p>
        </w:tc>
        <w:tc>
          <w:tcPr>
            <w:tcW w:w="851" w:type="dxa"/>
            <w:tcBorders>
              <w:top w:val="single" w:color="000000" w:sz="4" w:space="0"/>
              <w:left w:val="nil"/>
              <w:bottom w:val="single" w:color="000000" w:sz="4" w:space="0"/>
              <w:right w:val="single" w:color="000000" w:sz="4" w:space="0"/>
            </w:tcBorders>
            <w:noWrap w:val="0"/>
          </w:tcPr>
          <w:p w14:paraId="32723331">
            <w:pPr>
              <w:pStyle w:val="30"/>
              <w:numPr>
                <w:ilvl w:val="255"/>
                <w:numId w:val="0"/>
              </w:numPr>
              <w:rPr>
                <w:rFonts w:hint="eastAsia" w:ascii="宋体" w:hAnsi="宋体" w:eastAsia="宋体" w:cs="宋体"/>
                <w:snapToGrid w:val="0"/>
                <w:color w:val="000000"/>
                <w:kern w:val="0"/>
                <w:sz w:val="28"/>
                <w:szCs w:val="28"/>
              </w:rPr>
            </w:pPr>
          </w:p>
        </w:tc>
      </w:tr>
      <w:tr w14:paraId="485CF8C4">
        <w:tblPrEx>
          <w:tblCellMar>
            <w:top w:w="0" w:type="dxa"/>
            <w:left w:w="108" w:type="dxa"/>
            <w:bottom w:w="0" w:type="dxa"/>
            <w:right w:w="108" w:type="dxa"/>
          </w:tblCellMar>
        </w:tblPrEx>
        <w:trPr>
          <w:jc w:val="center"/>
        </w:trPr>
        <w:tc>
          <w:tcPr>
            <w:tcW w:w="766" w:type="dxa"/>
            <w:tcBorders>
              <w:top w:val="single" w:color="000000" w:sz="4" w:space="0"/>
              <w:left w:val="single" w:color="000000" w:sz="4" w:space="0"/>
              <w:bottom w:val="single" w:color="000000" w:sz="4" w:space="0"/>
              <w:right w:val="single" w:color="000000" w:sz="4" w:space="0"/>
            </w:tcBorders>
            <w:noWrap w:val="0"/>
          </w:tcPr>
          <w:p w14:paraId="545F38EB">
            <w:pPr>
              <w:pStyle w:val="30"/>
              <w:numPr>
                <w:ilvl w:val="255"/>
                <w:numId w:val="0"/>
              </w:numPr>
              <w:rPr>
                <w:rFonts w:hint="eastAsia" w:ascii="宋体" w:hAnsi="宋体" w:eastAsia="宋体" w:cs="宋体"/>
                <w:snapToGrid w:val="0"/>
                <w:color w:val="000000"/>
                <w:kern w:val="0"/>
                <w:sz w:val="28"/>
                <w:szCs w:val="28"/>
              </w:rPr>
            </w:pPr>
          </w:p>
        </w:tc>
        <w:tc>
          <w:tcPr>
            <w:tcW w:w="896" w:type="dxa"/>
            <w:tcBorders>
              <w:top w:val="single" w:color="000000" w:sz="4" w:space="0"/>
              <w:left w:val="nil"/>
              <w:bottom w:val="single" w:color="000000" w:sz="4" w:space="0"/>
              <w:right w:val="single" w:color="000000" w:sz="4" w:space="0"/>
            </w:tcBorders>
            <w:noWrap w:val="0"/>
          </w:tcPr>
          <w:p w14:paraId="11132E37">
            <w:pPr>
              <w:pStyle w:val="30"/>
              <w:numPr>
                <w:ilvl w:val="255"/>
                <w:numId w:val="0"/>
              </w:numPr>
              <w:rPr>
                <w:rFonts w:hint="eastAsia" w:ascii="宋体" w:hAnsi="宋体" w:eastAsia="宋体" w:cs="宋体"/>
                <w:snapToGrid w:val="0"/>
                <w:color w:val="000000"/>
                <w:kern w:val="0"/>
                <w:sz w:val="28"/>
                <w:szCs w:val="28"/>
              </w:rPr>
            </w:pPr>
          </w:p>
        </w:tc>
        <w:tc>
          <w:tcPr>
            <w:tcW w:w="783" w:type="dxa"/>
            <w:tcBorders>
              <w:top w:val="single" w:color="000000" w:sz="4" w:space="0"/>
              <w:left w:val="nil"/>
              <w:bottom w:val="single" w:color="000000" w:sz="4" w:space="0"/>
              <w:right w:val="single" w:color="000000" w:sz="4" w:space="0"/>
            </w:tcBorders>
            <w:noWrap w:val="0"/>
          </w:tcPr>
          <w:p w14:paraId="40A7ECC5">
            <w:pPr>
              <w:pStyle w:val="30"/>
              <w:numPr>
                <w:ilvl w:val="255"/>
                <w:numId w:val="0"/>
              </w:numPr>
              <w:rPr>
                <w:rFonts w:hint="eastAsia" w:ascii="宋体" w:hAnsi="宋体" w:eastAsia="宋体" w:cs="宋体"/>
                <w:snapToGrid w:val="0"/>
                <w:color w:val="000000"/>
                <w:kern w:val="0"/>
                <w:sz w:val="28"/>
                <w:szCs w:val="28"/>
              </w:rPr>
            </w:pPr>
          </w:p>
        </w:tc>
        <w:tc>
          <w:tcPr>
            <w:tcW w:w="750" w:type="dxa"/>
            <w:tcBorders>
              <w:top w:val="single" w:color="000000" w:sz="4" w:space="0"/>
              <w:left w:val="nil"/>
              <w:bottom w:val="single" w:color="000000" w:sz="4" w:space="0"/>
              <w:right w:val="single" w:color="000000" w:sz="4" w:space="0"/>
            </w:tcBorders>
            <w:noWrap w:val="0"/>
          </w:tcPr>
          <w:p w14:paraId="73DE6D3A">
            <w:pPr>
              <w:pStyle w:val="30"/>
              <w:numPr>
                <w:ilvl w:val="255"/>
                <w:numId w:val="0"/>
              </w:numPr>
              <w:rPr>
                <w:rFonts w:hint="eastAsia" w:ascii="宋体" w:hAnsi="宋体" w:eastAsia="宋体" w:cs="宋体"/>
                <w:snapToGrid w:val="0"/>
                <w:color w:val="000000"/>
                <w:kern w:val="0"/>
                <w:sz w:val="28"/>
                <w:szCs w:val="28"/>
              </w:rPr>
            </w:pPr>
          </w:p>
        </w:tc>
        <w:tc>
          <w:tcPr>
            <w:tcW w:w="973" w:type="dxa"/>
            <w:tcBorders>
              <w:top w:val="single" w:color="000000" w:sz="4" w:space="0"/>
              <w:left w:val="nil"/>
              <w:bottom w:val="single" w:color="000000" w:sz="4" w:space="0"/>
              <w:right w:val="single" w:color="000000" w:sz="4" w:space="0"/>
            </w:tcBorders>
            <w:noWrap w:val="0"/>
          </w:tcPr>
          <w:p w14:paraId="4C5C376F">
            <w:pPr>
              <w:pStyle w:val="30"/>
              <w:numPr>
                <w:ilvl w:val="255"/>
                <w:numId w:val="0"/>
              </w:numPr>
              <w:rPr>
                <w:rFonts w:hint="eastAsia" w:ascii="宋体" w:hAnsi="宋体" w:eastAsia="宋体" w:cs="宋体"/>
                <w:snapToGrid w:val="0"/>
                <w:color w:val="000000"/>
                <w:kern w:val="0"/>
                <w:sz w:val="28"/>
                <w:szCs w:val="28"/>
              </w:rPr>
            </w:pPr>
          </w:p>
        </w:tc>
        <w:tc>
          <w:tcPr>
            <w:tcW w:w="931" w:type="dxa"/>
            <w:tcBorders>
              <w:top w:val="single" w:color="000000" w:sz="4" w:space="0"/>
              <w:left w:val="nil"/>
              <w:bottom w:val="single" w:color="000000" w:sz="4" w:space="0"/>
              <w:right w:val="single" w:color="000000" w:sz="4" w:space="0"/>
            </w:tcBorders>
            <w:noWrap w:val="0"/>
          </w:tcPr>
          <w:p w14:paraId="40877B5F">
            <w:pPr>
              <w:pStyle w:val="30"/>
              <w:numPr>
                <w:ilvl w:val="255"/>
                <w:numId w:val="0"/>
              </w:numPr>
              <w:rPr>
                <w:rFonts w:hint="eastAsia" w:ascii="宋体" w:hAnsi="宋体" w:eastAsia="宋体" w:cs="宋体"/>
                <w:snapToGrid w:val="0"/>
                <w:color w:val="000000"/>
                <w:kern w:val="0"/>
                <w:sz w:val="28"/>
                <w:szCs w:val="28"/>
              </w:rPr>
            </w:pPr>
          </w:p>
        </w:tc>
        <w:tc>
          <w:tcPr>
            <w:tcW w:w="1020" w:type="dxa"/>
            <w:tcBorders>
              <w:top w:val="single" w:color="000000" w:sz="4" w:space="0"/>
              <w:left w:val="nil"/>
              <w:bottom w:val="single" w:color="000000" w:sz="4" w:space="0"/>
              <w:right w:val="single" w:color="000000" w:sz="4" w:space="0"/>
            </w:tcBorders>
            <w:noWrap w:val="0"/>
          </w:tcPr>
          <w:p w14:paraId="159D4913">
            <w:pPr>
              <w:pStyle w:val="30"/>
              <w:numPr>
                <w:ilvl w:val="255"/>
                <w:numId w:val="0"/>
              </w:numPr>
              <w:rPr>
                <w:rFonts w:hint="eastAsia" w:ascii="宋体" w:hAnsi="宋体" w:eastAsia="宋体" w:cs="宋体"/>
                <w:snapToGrid w:val="0"/>
                <w:color w:val="000000"/>
                <w:kern w:val="0"/>
                <w:sz w:val="28"/>
                <w:szCs w:val="28"/>
              </w:rPr>
            </w:pPr>
          </w:p>
        </w:tc>
        <w:tc>
          <w:tcPr>
            <w:tcW w:w="994" w:type="dxa"/>
            <w:tcBorders>
              <w:top w:val="single" w:color="000000" w:sz="4" w:space="0"/>
              <w:left w:val="nil"/>
              <w:bottom w:val="single" w:color="000000" w:sz="4" w:space="0"/>
              <w:right w:val="single" w:color="000000" w:sz="4" w:space="0"/>
            </w:tcBorders>
            <w:noWrap w:val="0"/>
          </w:tcPr>
          <w:p w14:paraId="41AD82E1">
            <w:pPr>
              <w:pStyle w:val="30"/>
              <w:numPr>
                <w:ilvl w:val="255"/>
                <w:numId w:val="0"/>
              </w:numPr>
              <w:rPr>
                <w:rFonts w:hint="eastAsia" w:ascii="宋体" w:hAnsi="宋体" w:eastAsia="宋体" w:cs="宋体"/>
                <w:snapToGrid w:val="0"/>
                <w:color w:val="000000"/>
                <w:kern w:val="0"/>
                <w:sz w:val="28"/>
                <w:szCs w:val="28"/>
              </w:rPr>
            </w:pPr>
          </w:p>
        </w:tc>
        <w:tc>
          <w:tcPr>
            <w:tcW w:w="882" w:type="dxa"/>
            <w:tcBorders>
              <w:top w:val="single" w:color="000000" w:sz="4" w:space="0"/>
              <w:left w:val="nil"/>
              <w:bottom w:val="single" w:color="000000" w:sz="4" w:space="0"/>
              <w:right w:val="single" w:color="000000" w:sz="4" w:space="0"/>
            </w:tcBorders>
            <w:noWrap w:val="0"/>
          </w:tcPr>
          <w:p w14:paraId="62907E9E">
            <w:pPr>
              <w:pStyle w:val="30"/>
              <w:numPr>
                <w:ilvl w:val="255"/>
                <w:numId w:val="0"/>
              </w:numPr>
              <w:rPr>
                <w:rFonts w:hint="eastAsia" w:ascii="宋体" w:hAnsi="宋体" w:eastAsia="宋体" w:cs="宋体"/>
                <w:snapToGrid w:val="0"/>
                <w:color w:val="000000"/>
                <w:kern w:val="0"/>
                <w:sz w:val="28"/>
                <w:szCs w:val="28"/>
              </w:rPr>
            </w:pPr>
          </w:p>
        </w:tc>
        <w:tc>
          <w:tcPr>
            <w:tcW w:w="850" w:type="dxa"/>
            <w:tcBorders>
              <w:top w:val="single" w:color="000000" w:sz="4" w:space="0"/>
              <w:left w:val="nil"/>
              <w:bottom w:val="single" w:color="000000" w:sz="4" w:space="0"/>
              <w:right w:val="single" w:color="000000" w:sz="4" w:space="0"/>
            </w:tcBorders>
            <w:noWrap w:val="0"/>
          </w:tcPr>
          <w:p w14:paraId="176FEB59">
            <w:pPr>
              <w:pStyle w:val="30"/>
              <w:numPr>
                <w:ilvl w:val="255"/>
                <w:numId w:val="0"/>
              </w:numPr>
              <w:rPr>
                <w:rFonts w:hint="eastAsia" w:ascii="宋体" w:hAnsi="宋体" w:eastAsia="宋体" w:cs="宋体"/>
                <w:snapToGrid w:val="0"/>
                <w:color w:val="000000"/>
                <w:kern w:val="0"/>
                <w:sz w:val="28"/>
                <w:szCs w:val="28"/>
              </w:rPr>
            </w:pPr>
          </w:p>
        </w:tc>
        <w:tc>
          <w:tcPr>
            <w:tcW w:w="851" w:type="dxa"/>
            <w:tcBorders>
              <w:top w:val="single" w:color="000000" w:sz="4" w:space="0"/>
              <w:left w:val="nil"/>
              <w:bottom w:val="single" w:color="000000" w:sz="4" w:space="0"/>
              <w:right w:val="single" w:color="000000" w:sz="4" w:space="0"/>
            </w:tcBorders>
            <w:noWrap w:val="0"/>
          </w:tcPr>
          <w:p w14:paraId="6E3639B2">
            <w:pPr>
              <w:pStyle w:val="30"/>
              <w:numPr>
                <w:ilvl w:val="255"/>
                <w:numId w:val="0"/>
              </w:numPr>
              <w:rPr>
                <w:rFonts w:hint="eastAsia" w:ascii="宋体" w:hAnsi="宋体" w:eastAsia="宋体" w:cs="宋体"/>
                <w:snapToGrid w:val="0"/>
                <w:color w:val="000000"/>
                <w:kern w:val="0"/>
                <w:sz w:val="28"/>
                <w:szCs w:val="28"/>
              </w:rPr>
            </w:pPr>
          </w:p>
        </w:tc>
      </w:tr>
      <w:tr w14:paraId="45BF704D">
        <w:tblPrEx>
          <w:tblCellMar>
            <w:top w:w="0" w:type="dxa"/>
            <w:left w:w="108" w:type="dxa"/>
            <w:bottom w:w="0" w:type="dxa"/>
            <w:right w:w="108" w:type="dxa"/>
          </w:tblCellMar>
        </w:tblPrEx>
        <w:trPr>
          <w:jc w:val="center"/>
        </w:trPr>
        <w:tc>
          <w:tcPr>
            <w:tcW w:w="766" w:type="dxa"/>
            <w:tcBorders>
              <w:top w:val="single" w:color="000000" w:sz="4" w:space="0"/>
              <w:left w:val="single" w:color="000000" w:sz="4" w:space="0"/>
              <w:bottom w:val="single" w:color="000000" w:sz="4" w:space="0"/>
              <w:right w:val="single" w:color="000000" w:sz="4" w:space="0"/>
            </w:tcBorders>
            <w:noWrap w:val="0"/>
          </w:tcPr>
          <w:p w14:paraId="0D625C11">
            <w:pPr>
              <w:pStyle w:val="30"/>
              <w:numPr>
                <w:ilvl w:val="255"/>
                <w:numId w:val="0"/>
              </w:numPr>
              <w:rPr>
                <w:rFonts w:hint="eastAsia" w:ascii="宋体" w:hAnsi="宋体" w:eastAsia="宋体" w:cs="宋体"/>
                <w:snapToGrid w:val="0"/>
                <w:color w:val="000000"/>
                <w:kern w:val="0"/>
                <w:sz w:val="28"/>
                <w:szCs w:val="28"/>
              </w:rPr>
            </w:pPr>
          </w:p>
        </w:tc>
        <w:tc>
          <w:tcPr>
            <w:tcW w:w="896" w:type="dxa"/>
            <w:tcBorders>
              <w:top w:val="single" w:color="000000" w:sz="4" w:space="0"/>
              <w:left w:val="nil"/>
              <w:bottom w:val="single" w:color="000000" w:sz="4" w:space="0"/>
              <w:right w:val="single" w:color="000000" w:sz="4" w:space="0"/>
            </w:tcBorders>
            <w:noWrap w:val="0"/>
          </w:tcPr>
          <w:p w14:paraId="5F1C5958">
            <w:pPr>
              <w:pStyle w:val="30"/>
              <w:numPr>
                <w:ilvl w:val="255"/>
                <w:numId w:val="0"/>
              </w:numPr>
              <w:rPr>
                <w:rFonts w:hint="eastAsia" w:ascii="宋体" w:hAnsi="宋体" w:eastAsia="宋体" w:cs="宋体"/>
                <w:snapToGrid w:val="0"/>
                <w:color w:val="000000"/>
                <w:kern w:val="0"/>
                <w:sz w:val="28"/>
                <w:szCs w:val="28"/>
              </w:rPr>
            </w:pPr>
          </w:p>
        </w:tc>
        <w:tc>
          <w:tcPr>
            <w:tcW w:w="783" w:type="dxa"/>
            <w:tcBorders>
              <w:top w:val="single" w:color="000000" w:sz="4" w:space="0"/>
              <w:left w:val="nil"/>
              <w:bottom w:val="single" w:color="000000" w:sz="4" w:space="0"/>
              <w:right w:val="single" w:color="000000" w:sz="4" w:space="0"/>
            </w:tcBorders>
            <w:noWrap w:val="0"/>
          </w:tcPr>
          <w:p w14:paraId="162C85FA">
            <w:pPr>
              <w:pStyle w:val="30"/>
              <w:numPr>
                <w:ilvl w:val="255"/>
                <w:numId w:val="0"/>
              </w:numPr>
              <w:rPr>
                <w:rFonts w:hint="eastAsia" w:ascii="宋体" w:hAnsi="宋体" w:eastAsia="宋体" w:cs="宋体"/>
                <w:snapToGrid w:val="0"/>
                <w:color w:val="000000"/>
                <w:kern w:val="0"/>
                <w:sz w:val="28"/>
                <w:szCs w:val="28"/>
              </w:rPr>
            </w:pPr>
          </w:p>
        </w:tc>
        <w:tc>
          <w:tcPr>
            <w:tcW w:w="750" w:type="dxa"/>
            <w:tcBorders>
              <w:top w:val="single" w:color="000000" w:sz="4" w:space="0"/>
              <w:left w:val="nil"/>
              <w:bottom w:val="single" w:color="000000" w:sz="4" w:space="0"/>
              <w:right w:val="single" w:color="000000" w:sz="4" w:space="0"/>
            </w:tcBorders>
            <w:noWrap w:val="0"/>
          </w:tcPr>
          <w:p w14:paraId="4DCCEFE1">
            <w:pPr>
              <w:pStyle w:val="30"/>
              <w:numPr>
                <w:ilvl w:val="255"/>
                <w:numId w:val="0"/>
              </w:numPr>
              <w:rPr>
                <w:rFonts w:hint="eastAsia" w:ascii="宋体" w:hAnsi="宋体" w:eastAsia="宋体" w:cs="宋体"/>
                <w:snapToGrid w:val="0"/>
                <w:color w:val="000000"/>
                <w:kern w:val="0"/>
                <w:sz w:val="28"/>
                <w:szCs w:val="28"/>
              </w:rPr>
            </w:pPr>
          </w:p>
        </w:tc>
        <w:tc>
          <w:tcPr>
            <w:tcW w:w="973" w:type="dxa"/>
            <w:tcBorders>
              <w:top w:val="single" w:color="000000" w:sz="4" w:space="0"/>
              <w:left w:val="nil"/>
              <w:bottom w:val="single" w:color="000000" w:sz="4" w:space="0"/>
              <w:right w:val="single" w:color="000000" w:sz="4" w:space="0"/>
            </w:tcBorders>
            <w:noWrap w:val="0"/>
          </w:tcPr>
          <w:p w14:paraId="28E0887D">
            <w:pPr>
              <w:pStyle w:val="30"/>
              <w:numPr>
                <w:ilvl w:val="255"/>
                <w:numId w:val="0"/>
              </w:numPr>
              <w:rPr>
                <w:rFonts w:hint="eastAsia" w:ascii="宋体" w:hAnsi="宋体" w:eastAsia="宋体" w:cs="宋体"/>
                <w:snapToGrid w:val="0"/>
                <w:color w:val="000000"/>
                <w:kern w:val="0"/>
                <w:sz w:val="28"/>
                <w:szCs w:val="28"/>
              </w:rPr>
            </w:pPr>
          </w:p>
        </w:tc>
        <w:tc>
          <w:tcPr>
            <w:tcW w:w="931" w:type="dxa"/>
            <w:tcBorders>
              <w:top w:val="single" w:color="000000" w:sz="4" w:space="0"/>
              <w:left w:val="nil"/>
              <w:bottom w:val="single" w:color="000000" w:sz="4" w:space="0"/>
              <w:right w:val="single" w:color="000000" w:sz="4" w:space="0"/>
            </w:tcBorders>
            <w:noWrap w:val="0"/>
          </w:tcPr>
          <w:p w14:paraId="65DF872B">
            <w:pPr>
              <w:pStyle w:val="30"/>
              <w:numPr>
                <w:ilvl w:val="255"/>
                <w:numId w:val="0"/>
              </w:numPr>
              <w:rPr>
                <w:rFonts w:hint="eastAsia" w:ascii="宋体" w:hAnsi="宋体" w:eastAsia="宋体" w:cs="宋体"/>
                <w:snapToGrid w:val="0"/>
                <w:color w:val="000000"/>
                <w:kern w:val="0"/>
                <w:sz w:val="28"/>
                <w:szCs w:val="28"/>
              </w:rPr>
            </w:pPr>
          </w:p>
        </w:tc>
        <w:tc>
          <w:tcPr>
            <w:tcW w:w="1020" w:type="dxa"/>
            <w:tcBorders>
              <w:top w:val="single" w:color="000000" w:sz="4" w:space="0"/>
              <w:left w:val="nil"/>
              <w:bottom w:val="single" w:color="000000" w:sz="4" w:space="0"/>
              <w:right w:val="single" w:color="000000" w:sz="4" w:space="0"/>
            </w:tcBorders>
            <w:noWrap w:val="0"/>
          </w:tcPr>
          <w:p w14:paraId="44F3089A">
            <w:pPr>
              <w:pStyle w:val="30"/>
              <w:numPr>
                <w:ilvl w:val="255"/>
                <w:numId w:val="0"/>
              </w:numPr>
              <w:rPr>
                <w:rFonts w:hint="eastAsia" w:ascii="宋体" w:hAnsi="宋体" w:eastAsia="宋体" w:cs="宋体"/>
                <w:snapToGrid w:val="0"/>
                <w:color w:val="000000"/>
                <w:kern w:val="0"/>
                <w:sz w:val="28"/>
                <w:szCs w:val="28"/>
              </w:rPr>
            </w:pPr>
          </w:p>
        </w:tc>
        <w:tc>
          <w:tcPr>
            <w:tcW w:w="994" w:type="dxa"/>
            <w:tcBorders>
              <w:top w:val="single" w:color="000000" w:sz="4" w:space="0"/>
              <w:left w:val="nil"/>
              <w:bottom w:val="single" w:color="000000" w:sz="4" w:space="0"/>
              <w:right w:val="single" w:color="000000" w:sz="4" w:space="0"/>
            </w:tcBorders>
            <w:noWrap w:val="0"/>
          </w:tcPr>
          <w:p w14:paraId="09ED4F46">
            <w:pPr>
              <w:pStyle w:val="30"/>
              <w:numPr>
                <w:ilvl w:val="255"/>
                <w:numId w:val="0"/>
              </w:numPr>
              <w:rPr>
                <w:rFonts w:hint="eastAsia" w:ascii="宋体" w:hAnsi="宋体" w:eastAsia="宋体" w:cs="宋体"/>
                <w:snapToGrid w:val="0"/>
                <w:color w:val="000000"/>
                <w:kern w:val="0"/>
                <w:sz w:val="28"/>
                <w:szCs w:val="28"/>
              </w:rPr>
            </w:pPr>
          </w:p>
        </w:tc>
        <w:tc>
          <w:tcPr>
            <w:tcW w:w="882" w:type="dxa"/>
            <w:tcBorders>
              <w:top w:val="single" w:color="000000" w:sz="4" w:space="0"/>
              <w:left w:val="nil"/>
              <w:bottom w:val="single" w:color="000000" w:sz="4" w:space="0"/>
              <w:right w:val="single" w:color="000000" w:sz="4" w:space="0"/>
            </w:tcBorders>
            <w:noWrap w:val="0"/>
          </w:tcPr>
          <w:p w14:paraId="4F9AF293">
            <w:pPr>
              <w:pStyle w:val="30"/>
              <w:numPr>
                <w:ilvl w:val="255"/>
                <w:numId w:val="0"/>
              </w:numPr>
              <w:rPr>
                <w:rFonts w:hint="eastAsia" w:ascii="宋体" w:hAnsi="宋体" w:eastAsia="宋体" w:cs="宋体"/>
                <w:snapToGrid w:val="0"/>
                <w:color w:val="000000"/>
                <w:kern w:val="0"/>
                <w:sz w:val="28"/>
                <w:szCs w:val="28"/>
              </w:rPr>
            </w:pPr>
          </w:p>
        </w:tc>
        <w:tc>
          <w:tcPr>
            <w:tcW w:w="850" w:type="dxa"/>
            <w:tcBorders>
              <w:top w:val="single" w:color="000000" w:sz="4" w:space="0"/>
              <w:left w:val="nil"/>
              <w:bottom w:val="single" w:color="000000" w:sz="4" w:space="0"/>
              <w:right w:val="single" w:color="000000" w:sz="4" w:space="0"/>
            </w:tcBorders>
            <w:noWrap w:val="0"/>
          </w:tcPr>
          <w:p w14:paraId="1684CDC4">
            <w:pPr>
              <w:pStyle w:val="30"/>
              <w:numPr>
                <w:ilvl w:val="255"/>
                <w:numId w:val="0"/>
              </w:numPr>
              <w:rPr>
                <w:rFonts w:hint="eastAsia" w:ascii="宋体" w:hAnsi="宋体" w:eastAsia="宋体" w:cs="宋体"/>
                <w:snapToGrid w:val="0"/>
                <w:color w:val="000000"/>
                <w:kern w:val="0"/>
                <w:sz w:val="28"/>
                <w:szCs w:val="28"/>
              </w:rPr>
            </w:pPr>
          </w:p>
        </w:tc>
        <w:tc>
          <w:tcPr>
            <w:tcW w:w="851" w:type="dxa"/>
            <w:tcBorders>
              <w:top w:val="single" w:color="000000" w:sz="4" w:space="0"/>
              <w:left w:val="nil"/>
              <w:bottom w:val="single" w:color="000000" w:sz="4" w:space="0"/>
              <w:right w:val="single" w:color="000000" w:sz="4" w:space="0"/>
            </w:tcBorders>
            <w:noWrap w:val="0"/>
          </w:tcPr>
          <w:p w14:paraId="6C7BA8A3">
            <w:pPr>
              <w:pStyle w:val="30"/>
              <w:numPr>
                <w:ilvl w:val="255"/>
                <w:numId w:val="0"/>
              </w:numPr>
              <w:rPr>
                <w:rFonts w:hint="eastAsia" w:ascii="宋体" w:hAnsi="宋体" w:eastAsia="宋体" w:cs="宋体"/>
                <w:snapToGrid w:val="0"/>
                <w:color w:val="000000"/>
                <w:kern w:val="0"/>
                <w:sz w:val="28"/>
                <w:szCs w:val="28"/>
              </w:rPr>
            </w:pPr>
          </w:p>
        </w:tc>
      </w:tr>
      <w:tr w14:paraId="61CAB536">
        <w:tblPrEx>
          <w:tblCellMar>
            <w:top w:w="0" w:type="dxa"/>
            <w:left w:w="108" w:type="dxa"/>
            <w:bottom w:w="0" w:type="dxa"/>
            <w:right w:w="108" w:type="dxa"/>
          </w:tblCellMar>
        </w:tblPrEx>
        <w:trPr>
          <w:jc w:val="center"/>
        </w:trPr>
        <w:tc>
          <w:tcPr>
            <w:tcW w:w="766" w:type="dxa"/>
            <w:tcBorders>
              <w:top w:val="single" w:color="000000" w:sz="4" w:space="0"/>
              <w:left w:val="single" w:color="000000" w:sz="4" w:space="0"/>
              <w:bottom w:val="single" w:color="000000" w:sz="4" w:space="0"/>
              <w:right w:val="single" w:color="000000" w:sz="4" w:space="0"/>
            </w:tcBorders>
            <w:noWrap w:val="0"/>
          </w:tcPr>
          <w:p w14:paraId="1F092C55">
            <w:pPr>
              <w:pStyle w:val="30"/>
              <w:numPr>
                <w:ilvl w:val="255"/>
                <w:numId w:val="0"/>
              </w:numPr>
              <w:rPr>
                <w:rFonts w:hint="eastAsia" w:ascii="宋体" w:hAnsi="宋体" w:eastAsia="宋体" w:cs="宋体"/>
                <w:snapToGrid w:val="0"/>
                <w:color w:val="000000"/>
                <w:kern w:val="0"/>
                <w:sz w:val="28"/>
                <w:szCs w:val="28"/>
              </w:rPr>
            </w:pPr>
          </w:p>
        </w:tc>
        <w:tc>
          <w:tcPr>
            <w:tcW w:w="896" w:type="dxa"/>
            <w:tcBorders>
              <w:top w:val="single" w:color="000000" w:sz="4" w:space="0"/>
              <w:left w:val="nil"/>
              <w:bottom w:val="single" w:color="000000" w:sz="4" w:space="0"/>
              <w:right w:val="single" w:color="000000" w:sz="4" w:space="0"/>
            </w:tcBorders>
            <w:noWrap w:val="0"/>
          </w:tcPr>
          <w:p w14:paraId="7BC2AE73">
            <w:pPr>
              <w:pStyle w:val="30"/>
              <w:numPr>
                <w:ilvl w:val="255"/>
                <w:numId w:val="0"/>
              </w:numPr>
              <w:rPr>
                <w:rFonts w:hint="eastAsia" w:ascii="宋体" w:hAnsi="宋体" w:eastAsia="宋体" w:cs="宋体"/>
                <w:snapToGrid w:val="0"/>
                <w:color w:val="000000"/>
                <w:kern w:val="0"/>
                <w:sz w:val="28"/>
                <w:szCs w:val="28"/>
              </w:rPr>
            </w:pPr>
          </w:p>
        </w:tc>
        <w:tc>
          <w:tcPr>
            <w:tcW w:w="783" w:type="dxa"/>
            <w:tcBorders>
              <w:top w:val="single" w:color="000000" w:sz="4" w:space="0"/>
              <w:left w:val="nil"/>
              <w:bottom w:val="single" w:color="000000" w:sz="4" w:space="0"/>
              <w:right w:val="single" w:color="000000" w:sz="4" w:space="0"/>
            </w:tcBorders>
            <w:noWrap w:val="0"/>
          </w:tcPr>
          <w:p w14:paraId="49648127">
            <w:pPr>
              <w:pStyle w:val="30"/>
              <w:numPr>
                <w:ilvl w:val="255"/>
                <w:numId w:val="0"/>
              </w:numPr>
              <w:rPr>
                <w:rFonts w:hint="eastAsia" w:ascii="宋体" w:hAnsi="宋体" w:eastAsia="宋体" w:cs="宋体"/>
                <w:snapToGrid w:val="0"/>
                <w:color w:val="000000"/>
                <w:kern w:val="0"/>
                <w:sz w:val="28"/>
                <w:szCs w:val="28"/>
              </w:rPr>
            </w:pPr>
          </w:p>
        </w:tc>
        <w:tc>
          <w:tcPr>
            <w:tcW w:w="750" w:type="dxa"/>
            <w:tcBorders>
              <w:top w:val="single" w:color="000000" w:sz="4" w:space="0"/>
              <w:left w:val="nil"/>
              <w:bottom w:val="single" w:color="000000" w:sz="4" w:space="0"/>
              <w:right w:val="single" w:color="000000" w:sz="4" w:space="0"/>
            </w:tcBorders>
            <w:noWrap w:val="0"/>
          </w:tcPr>
          <w:p w14:paraId="7634BC04">
            <w:pPr>
              <w:pStyle w:val="30"/>
              <w:numPr>
                <w:ilvl w:val="255"/>
                <w:numId w:val="0"/>
              </w:numPr>
              <w:rPr>
                <w:rFonts w:hint="eastAsia" w:ascii="宋体" w:hAnsi="宋体" w:eastAsia="宋体" w:cs="宋体"/>
                <w:snapToGrid w:val="0"/>
                <w:color w:val="000000"/>
                <w:kern w:val="0"/>
                <w:sz w:val="28"/>
                <w:szCs w:val="28"/>
              </w:rPr>
            </w:pPr>
          </w:p>
        </w:tc>
        <w:tc>
          <w:tcPr>
            <w:tcW w:w="973" w:type="dxa"/>
            <w:tcBorders>
              <w:top w:val="single" w:color="000000" w:sz="4" w:space="0"/>
              <w:left w:val="nil"/>
              <w:bottom w:val="single" w:color="000000" w:sz="4" w:space="0"/>
              <w:right w:val="single" w:color="000000" w:sz="4" w:space="0"/>
            </w:tcBorders>
            <w:noWrap w:val="0"/>
          </w:tcPr>
          <w:p w14:paraId="22113DB5">
            <w:pPr>
              <w:pStyle w:val="30"/>
              <w:numPr>
                <w:ilvl w:val="255"/>
                <w:numId w:val="0"/>
              </w:numPr>
              <w:rPr>
                <w:rFonts w:hint="eastAsia" w:ascii="宋体" w:hAnsi="宋体" w:eastAsia="宋体" w:cs="宋体"/>
                <w:snapToGrid w:val="0"/>
                <w:color w:val="000000"/>
                <w:kern w:val="0"/>
                <w:sz w:val="28"/>
                <w:szCs w:val="28"/>
              </w:rPr>
            </w:pPr>
          </w:p>
        </w:tc>
        <w:tc>
          <w:tcPr>
            <w:tcW w:w="931" w:type="dxa"/>
            <w:tcBorders>
              <w:top w:val="single" w:color="000000" w:sz="4" w:space="0"/>
              <w:left w:val="nil"/>
              <w:bottom w:val="single" w:color="000000" w:sz="4" w:space="0"/>
              <w:right w:val="single" w:color="000000" w:sz="4" w:space="0"/>
            </w:tcBorders>
            <w:noWrap w:val="0"/>
          </w:tcPr>
          <w:p w14:paraId="2B427825">
            <w:pPr>
              <w:pStyle w:val="30"/>
              <w:numPr>
                <w:ilvl w:val="255"/>
                <w:numId w:val="0"/>
              </w:numPr>
              <w:rPr>
                <w:rFonts w:hint="eastAsia" w:ascii="宋体" w:hAnsi="宋体" w:eastAsia="宋体" w:cs="宋体"/>
                <w:snapToGrid w:val="0"/>
                <w:color w:val="000000"/>
                <w:kern w:val="0"/>
                <w:sz w:val="28"/>
                <w:szCs w:val="28"/>
              </w:rPr>
            </w:pPr>
          </w:p>
        </w:tc>
        <w:tc>
          <w:tcPr>
            <w:tcW w:w="1020" w:type="dxa"/>
            <w:tcBorders>
              <w:top w:val="single" w:color="000000" w:sz="4" w:space="0"/>
              <w:left w:val="nil"/>
              <w:bottom w:val="single" w:color="000000" w:sz="4" w:space="0"/>
              <w:right w:val="single" w:color="000000" w:sz="4" w:space="0"/>
            </w:tcBorders>
            <w:noWrap w:val="0"/>
          </w:tcPr>
          <w:p w14:paraId="0F02D658">
            <w:pPr>
              <w:pStyle w:val="30"/>
              <w:numPr>
                <w:ilvl w:val="255"/>
                <w:numId w:val="0"/>
              </w:numPr>
              <w:rPr>
                <w:rFonts w:hint="eastAsia" w:ascii="宋体" w:hAnsi="宋体" w:eastAsia="宋体" w:cs="宋体"/>
                <w:snapToGrid w:val="0"/>
                <w:color w:val="000000"/>
                <w:kern w:val="0"/>
                <w:sz w:val="28"/>
                <w:szCs w:val="28"/>
              </w:rPr>
            </w:pPr>
          </w:p>
        </w:tc>
        <w:tc>
          <w:tcPr>
            <w:tcW w:w="994" w:type="dxa"/>
            <w:tcBorders>
              <w:top w:val="single" w:color="000000" w:sz="4" w:space="0"/>
              <w:left w:val="nil"/>
              <w:bottom w:val="single" w:color="000000" w:sz="4" w:space="0"/>
              <w:right w:val="single" w:color="000000" w:sz="4" w:space="0"/>
            </w:tcBorders>
            <w:noWrap w:val="0"/>
          </w:tcPr>
          <w:p w14:paraId="5CDE96C3">
            <w:pPr>
              <w:pStyle w:val="30"/>
              <w:numPr>
                <w:ilvl w:val="255"/>
                <w:numId w:val="0"/>
              </w:numPr>
              <w:rPr>
                <w:rFonts w:hint="eastAsia" w:ascii="宋体" w:hAnsi="宋体" w:eastAsia="宋体" w:cs="宋体"/>
                <w:snapToGrid w:val="0"/>
                <w:color w:val="000000"/>
                <w:kern w:val="0"/>
                <w:sz w:val="28"/>
                <w:szCs w:val="28"/>
              </w:rPr>
            </w:pPr>
          </w:p>
        </w:tc>
        <w:tc>
          <w:tcPr>
            <w:tcW w:w="882" w:type="dxa"/>
            <w:tcBorders>
              <w:top w:val="single" w:color="000000" w:sz="4" w:space="0"/>
              <w:left w:val="nil"/>
              <w:bottom w:val="single" w:color="000000" w:sz="4" w:space="0"/>
              <w:right w:val="single" w:color="000000" w:sz="4" w:space="0"/>
            </w:tcBorders>
            <w:noWrap w:val="0"/>
          </w:tcPr>
          <w:p w14:paraId="018FADD0">
            <w:pPr>
              <w:pStyle w:val="30"/>
              <w:numPr>
                <w:ilvl w:val="255"/>
                <w:numId w:val="0"/>
              </w:numPr>
              <w:rPr>
                <w:rFonts w:hint="eastAsia" w:ascii="宋体" w:hAnsi="宋体" w:eastAsia="宋体" w:cs="宋体"/>
                <w:snapToGrid w:val="0"/>
                <w:color w:val="000000"/>
                <w:kern w:val="0"/>
                <w:sz w:val="28"/>
                <w:szCs w:val="28"/>
              </w:rPr>
            </w:pPr>
          </w:p>
        </w:tc>
        <w:tc>
          <w:tcPr>
            <w:tcW w:w="850" w:type="dxa"/>
            <w:tcBorders>
              <w:top w:val="single" w:color="000000" w:sz="4" w:space="0"/>
              <w:left w:val="nil"/>
              <w:bottom w:val="single" w:color="000000" w:sz="4" w:space="0"/>
              <w:right w:val="single" w:color="000000" w:sz="4" w:space="0"/>
            </w:tcBorders>
            <w:noWrap w:val="0"/>
          </w:tcPr>
          <w:p w14:paraId="6562A2F1">
            <w:pPr>
              <w:pStyle w:val="30"/>
              <w:numPr>
                <w:ilvl w:val="255"/>
                <w:numId w:val="0"/>
              </w:numPr>
              <w:rPr>
                <w:rFonts w:hint="eastAsia" w:ascii="宋体" w:hAnsi="宋体" w:eastAsia="宋体" w:cs="宋体"/>
                <w:snapToGrid w:val="0"/>
                <w:color w:val="000000"/>
                <w:kern w:val="0"/>
                <w:sz w:val="28"/>
                <w:szCs w:val="28"/>
              </w:rPr>
            </w:pPr>
          </w:p>
        </w:tc>
        <w:tc>
          <w:tcPr>
            <w:tcW w:w="851" w:type="dxa"/>
            <w:tcBorders>
              <w:top w:val="single" w:color="000000" w:sz="4" w:space="0"/>
              <w:left w:val="nil"/>
              <w:bottom w:val="single" w:color="000000" w:sz="4" w:space="0"/>
              <w:right w:val="single" w:color="000000" w:sz="4" w:space="0"/>
            </w:tcBorders>
            <w:noWrap w:val="0"/>
          </w:tcPr>
          <w:p w14:paraId="23B05F06">
            <w:pPr>
              <w:pStyle w:val="30"/>
              <w:numPr>
                <w:ilvl w:val="255"/>
                <w:numId w:val="0"/>
              </w:numPr>
              <w:rPr>
                <w:rFonts w:hint="eastAsia" w:ascii="宋体" w:hAnsi="宋体" w:eastAsia="宋体" w:cs="宋体"/>
                <w:snapToGrid w:val="0"/>
                <w:color w:val="000000"/>
                <w:kern w:val="0"/>
                <w:sz w:val="28"/>
                <w:szCs w:val="28"/>
              </w:rPr>
            </w:pPr>
          </w:p>
        </w:tc>
      </w:tr>
      <w:tr w14:paraId="7EE0A384">
        <w:tblPrEx>
          <w:tblCellMar>
            <w:top w:w="0" w:type="dxa"/>
            <w:left w:w="108" w:type="dxa"/>
            <w:bottom w:w="0" w:type="dxa"/>
            <w:right w:w="108" w:type="dxa"/>
          </w:tblCellMar>
        </w:tblPrEx>
        <w:trPr>
          <w:jc w:val="center"/>
        </w:trPr>
        <w:tc>
          <w:tcPr>
            <w:tcW w:w="766" w:type="dxa"/>
            <w:tcBorders>
              <w:top w:val="single" w:color="000000" w:sz="4" w:space="0"/>
              <w:left w:val="single" w:color="000000" w:sz="4" w:space="0"/>
              <w:bottom w:val="single" w:color="000000" w:sz="4" w:space="0"/>
              <w:right w:val="single" w:color="000000" w:sz="4" w:space="0"/>
            </w:tcBorders>
            <w:noWrap w:val="0"/>
          </w:tcPr>
          <w:p w14:paraId="1ADBD4A4">
            <w:pPr>
              <w:pStyle w:val="30"/>
              <w:numPr>
                <w:ilvl w:val="255"/>
                <w:numId w:val="0"/>
              </w:numPr>
              <w:rPr>
                <w:rFonts w:hint="eastAsia" w:ascii="宋体" w:hAnsi="宋体" w:eastAsia="宋体" w:cs="宋体"/>
                <w:snapToGrid w:val="0"/>
                <w:color w:val="000000"/>
                <w:kern w:val="0"/>
                <w:sz w:val="28"/>
                <w:szCs w:val="28"/>
              </w:rPr>
            </w:pPr>
          </w:p>
        </w:tc>
        <w:tc>
          <w:tcPr>
            <w:tcW w:w="896" w:type="dxa"/>
            <w:tcBorders>
              <w:top w:val="single" w:color="000000" w:sz="4" w:space="0"/>
              <w:left w:val="nil"/>
              <w:bottom w:val="single" w:color="000000" w:sz="4" w:space="0"/>
              <w:right w:val="single" w:color="000000" w:sz="4" w:space="0"/>
            </w:tcBorders>
            <w:noWrap w:val="0"/>
          </w:tcPr>
          <w:p w14:paraId="45DF9887">
            <w:pPr>
              <w:pStyle w:val="30"/>
              <w:numPr>
                <w:ilvl w:val="255"/>
                <w:numId w:val="0"/>
              </w:numPr>
              <w:rPr>
                <w:rFonts w:hint="eastAsia" w:ascii="宋体" w:hAnsi="宋体" w:eastAsia="宋体" w:cs="宋体"/>
                <w:snapToGrid w:val="0"/>
                <w:color w:val="000000"/>
                <w:kern w:val="0"/>
                <w:sz w:val="28"/>
                <w:szCs w:val="28"/>
              </w:rPr>
            </w:pPr>
          </w:p>
        </w:tc>
        <w:tc>
          <w:tcPr>
            <w:tcW w:w="783" w:type="dxa"/>
            <w:tcBorders>
              <w:top w:val="single" w:color="000000" w:sz="4" w:space="0"/>
              <w:left w:val="nil"/>
              <w:bottom w:val="single" w:color="000000" w:sz="4" w:space="0"/>
              <w:right w:val="single" w:color="000000" w:sz="4" w:space="0"/>
            </w:tcBorders>
            <w:noWrap w:val="0"/>
          </w:tcPr>
          <w:p w14:paraId="21280889">
            <w:pPr>
              <w:pStyle w:val="30"/>
              <w:numPr>
                <w:ilvl w:val="255"/>
                <w:numId w:val="0"/>
              </w:numPr>
              <w:rPr>
                <w:rFonts w:hint="eastAsia" w:ascii="宋体" w:hAnsi="宋体" w:eastAsia="宋体" w:cs="宋体"/>
                <w:snapToGrid w:val="0"/>
                <w:color w:val="000000"/>
                <w:kern w:val="0"/>
                <w:sz w:val="28"/>
                <w:szCs w:val="28"/>
              </w:rPr>
            </w:pPr>
          </w:p>
        </w:tc>
        <w:tc>
          <w:tcPr>
            <w:tcW w:w="750" w:type="dxa"/>
            <w:tcBorders>
              <w:top w:val="single" w:color="000000" w:sz="4" w:space="0"/>
              <w:left w:val="nil"/>
              <w:bottom w:val="single" w:color="000000" w:sz="4" w:space="0"/>
              <w:right w:val="single" w:color="000000" w:sz="4" w:space="0"/>
            </w:tcBorders>
            <w:noWrap w:val="0"/>
          </w:tcPr>
          <w:p w14:paraId="18B3D257">
            <w:pPr>
              <w:pStyle w:val="30"/>
              <w:numPr>
                <w:ilvl w:val="255"/>
                <w:numId w:val="0"/>
              </w:numPr>
              <w:rPr>
                <w:rFonts w:hint="eastAsia" w:ascii="宋体" w:hAnsi="宋体" w:eastAsia="宋体" w:cs="宋体"/>
                <w:snapToGrid w:val="0"/>
                <w:color w:val="000000"/>
                <w:kern w:val="0"/>
                <w:sz w:val="28"/>
                <w:szCs w:val="28"/>
              </w:rPr>
            </w:pPr>
          </w:p>
        </w:tc>
        <w:tc>
          <w:tcPr>
            <w:tcW w:w="973" w:type="dxa"/>
            <w:tcBorders>
              <w:top w:val="single" w:color="000000" w:sz="4" w:space="0"/>
              <w:left w:val="nil"/>
              <w:bottom w:val="single" w:color="000000" w:sz="4" w:space="0"/>
              <w:right w:val="single" w:color="000000" w:sz="4" w:space="0"/>
            </w:tcBorders>
            <w:noWrap w:val="0"/>
          </w:tcPr>
          <w:p w14:paraId="5D0CA6B7">
            <w:pPr>
              <w:pStyle w:val="30"/>
              <w:numPr>
                <w:ilvl w:val="255"/>
                <w:numId w:val="0"/>
              </w:numPr>
              <w:rPr>
                <w:rFonts w:hint="eastAsia" w:ascii="宋体" w:hAnsi="宋体" w:eastAsia="宋体" w:cs="宋体"/>
                <w:snapToGrid w:val="0"/>
                <w:color w:val="000000"/>
                <w:kern w:val="0"/>
                <w:sz w:val="28"/>
                <w:szCs w:val="28"/>
              </w:rPr>
            </w:pPr>
          </w:p>
        </w:tc>
        <w:tc>
          <w:tcPr>
            <w:tcW w:w="931" w:type="dxa"/>
            <w:tcBorders>
              <w:top w:val="single" w:color="000000" w:sz="4" w:space="0"/>
              <w:left w:val="nil"/>
              <w:bottom w:val="single" w:color="000000" w:sz="4" w:space="0"/>
              <w:right w:val="single" w:color="000000" w:sz="4" w:space="0"/>
            </w:tcBorders>
            <w:noWrap w:val="0"/>
          </w:tcPr>
          <w:p w14:paraId="71885F1C">
            <w:pPr>
              <w:pStyle w:val="30"/>
              <w:numPr>
                <w:ilvl w:val="255"/>
                <w:numId w:val="0"/>
              </w:numPr>
              <w:rPr>
                <w:rFonts w:hint="eastAsia" w:ascii="宋体" w:hAnsi="宋体" w:eastAsia="宋体" w:cs="宋体"/>
                <w:snapToGrid w:val="0"/>
                <w:color w:val="000000"/>
                <w:kern w:val="0"/>
                <w:sz w:val="28"/>
                <w:szCs w:val="28"/>
              </w:rPr>
            </w:pPr>
          </w:p>
        </w:tc>
        <w:tc>
          <w:tcPr>
            <w:tcW w:w="1020" w:type="dxa"/>
            <w:tcBorders>
              <w:top w:val="single" w:color="000000" w:sz="4" w:space="0"/>
              <w:left w:val="nil"/>
              <w:bottom w:val="single" w:color="000000" w:sz="4" w:space="0"/>
              <w:right w:val="single" w:color="000000" w:sz="4" w:space="0"/>
            </w:tcBorders>
            <w:noWrap w:val="0"/>
          </w:tcPr>
          <w:p w14:paraId="663F91C8">
            <w:pPr>
              <w:pStyle w:val="30"/>
              <w:numPr>
                <w:ilvl w:val="255"/>
                <w:numId w:val="0"/>
              </w:numPr>
              <w:rPr>
                <w:rFonts w:hint="eastAsia" w:ascii="宋体" w:hAnsi="宋体" w:eastAsia="宋体" w:cs="宋体"/>
                <w:snapToGrid w:val="0"/>
                <w:color w:val="000000"/>
                <w:kern w:val="0"/>
                <w:sz w:val="28"/>
                <w:szCs w:val="28"/>
              </w:rPr>
            </w:pPr>
          </w:p>
        </w:tc>
        <w:tc>
          <w:tcPr>
            <w:tcW w:w="994" w:type="dxa"/>
            <w:tcBorders>
              <w:top w:val="single" w:color="000000" w:sz="4" w:space="0"/>
              <w:left w:val="nil"/>
              <w:bottom w:val="single" w:color="000000" w:sz="4" w:space="0"/>
              <w:right w:val="single" w:color="000000" w:sz="4" w:space="0"/>
            </w:tcBorders>
            <w:noWrap w:val="0"/>
          </w:tcPr>
          <w:p w14:paraId="0E545EA3">
            <w:pPr>
              <w:pStyle w:val="30"/>
              <w:numPr>
                <w:ilvl w:val="255"/>
                <w:numId w:val="0"/>
              </w:numPr>
              <w:rPr>
                <w:rFonts w:hint="eastAsia" w:ascii="宋体" w:hAnsi="宋体" w:eastAsia="宋体" w:cs="宋体"/>
                <w:snapToGrid w:val="0"/>
                <w:color w:val="000000"/>
                <w:kern w:val="0"/>
                <w:sz w:val="28"/>
                <w:szCs w:val="28"/>
              </w:rPr>
            </w:pPr>
          </w:p>
        </w:tc>
        <w:tc>
          <w:tcPr>
            <w:tcW w:w="882" w:type="dxa"/>
            <w:tcBorders>
              <w:top w:val="single" w:color="000000" w:sz="4" w:space="0"/>
              <w:left w:val="nil"/>
              <w:bottom w:val="single" w:color="000000" w:sz="4" w:space="0"/>
              <w:right w:val="single" w:color="000000" w:sz="4" w:space="0"/>
            </w:tcBorders>
            <w:noWrap w:val="0"/>
          </w:tcPr>
          <w:p w14:paraId="3FC8D134">
            <w:pPr>
              <w:pStyle w:val="30"/>
              <w:numPr>
                <w:ilvl w:val="255"/>
                <w:numId w:val="0"/>
              </w:numPr>
              <w:rPr>
                <w:rFonts w:hint="eastAsia" w:ascii="宋体" w:hAnsi="宋体" w:eastAsia="宋体" w:cs="宋体"/>
                <w:snapToGrid w:val="0"/>
                <w:color w:val="000000"/>
                <w:kern w:val="0"/>
                <w:sz w:val="28"/>
                <w:szCs w:val="28"/>
              </w:rPr>
            </w:pPr>
          </w:p>
        </w:tc>
        <w:tc>
          <w:tcPr>
            <w:tcW w:w="850" w:type="dxa"/>
            <w:tcBorders>
              <w:top w:val="single" w:color="000000" w:sz="4" w:space="0"/>
              <w:left w:val="nil"/>
              <w:bottom w:val="single" w:color="000000" w:sz="4" w:space="0"/>
              <w:right w:val="single" w:color="000000" w:sz="4" w:space="0"/>
            </w:tcBorders>
            <w:noWrap w:val="0"/>
          </w:tcPr>
          <w:p w14:paraId="3AD5D750">
            <w:pPr>
              <w:pStyle w:val="30"/>
              <w:numPr>
                <w:ilvl w:val="255"/>
                <w:numId w:val="0"/>
              </w:numPr>
              <w:rPr>
                <w:rFonts w:hint="eastAsia" w:ascii="宋体" w:hAnsi="宋体" w:eastAsia="宋体" w:cs="宋体"/>
                <w:snapToGrid w:val="0"/>
                <w:color w:val="000000"/>
                <w:kern w:val="0"/>
                <w:sz w:val="28"/>
                <w:szCs w:val="28"/>
              </w:rPr>
            </w:pPr>
          </w:p>
        </w:tc>
        <w:tc>
          <w:tcPr>
            <w:tcW w:w="851" w:type="dxa"/>
            <w:tcBorders>
              <w:top w:val="single" w:color="000000" w:sz="4" w:space="0"/>
              <w:left w:val="nil"/>
              <w:bottom w:val="single" w:color="000000" w:sz="4" w:space="0"/>
              <w:right w:val="single" w:color="000000" w:sz="4" w:space="0"/>
            </w:tcBorders>
            <w:noWrap w:val="0"/>
          </w:tcPr>
          <w:p w14:paraId="595B5BC4">
            <w:pPr>
              <w:pStyle w:val="30"/>
              <w:numPr>
                <w:ilvl w:val="255"/>
                <w:numId w:val="0"/>
              </w:numPr>
              <w:rPr>
                <w:rFonts w:hint="eastAsia" w:ascii="宋体" w:hAnsi="宋体" w:eastAsia="宋体" w:cs="宋体"/>
                <w:snapToGrid w:val="0"/>
                <w:color w:val="000000"/>
                <w:kern w:val="0"/>
                <w:sz w:val="28"/>
                <w:szCs w:val="28"/>
              </w:rPr>
            </w:pPr>
          </w:p>
        </w:tc>
      </w:tr>
      <w:tr w14:paraId="6C5BF6E4">
        <w:tblPrEx>
          <w:tblCellMar>
            <w:top w:w="0" w:type="dxa"/>
            <w:left w:w="108" w:type="dxa"/>
            <w:bottom w:w="0" w:type="dxa"/>
            <w:right w:w="108" w:type="dxa"/>
          </w:tblCellMar>
        </w:tblPrEx>
        <w:trPr>
          <w:jc w:val="center"/>
        </w:trPr>
        <w:tc>
          <w:tcPr>
            <w:tcW w:w="766" w:type="dxa"/>
            <w:tcBorders>
              <w:top w:val="single" w:color="000000" w:sz="4" w:space="0"/>
              <w:left w:val="single" w:color="000000" w:sz="4" w:space="0"/>
              <w:bottom w:val="single" w:color="000000" w:sz="4" w:space="0"/>
              <w:right w:val="single" w:color="000000" w:sz="4" w:space="0"/>
            </w:tcBorders>
            <w:noWrap w:val="0"/>
          </w:tcPr>
          <w:p w14:paraId="2EE82CF2">
            <w:pPr>
              <w:pStyle w:val="30"/>
              <w:numPr>
                <w:ilvl w:val="255"/>
                <w:numId w:val="0"/>
              </w:numPr>
              <w:rPr>
                <w:rFonts w:hint="eastAsia" w:ascii="宋体" w:hAnsi="宋体" w:eastAsia="宋体" w:cs="宋体"/>
                <w:snapToGrid w:val="0"/>
                <w:color w:val="000000"/>
                <w:kern w:val="0"/>
                <w:sz w:val="28"/>
                <w:szCs w:val="28"/>
              </w:rPr>
            </w:pPr>
          </w:p>
        </w:tc>
        <w:tc>
          <w:tcPr>
            <w:tcW w:w="896" w:type="dxa"/>
            <w:tcBorders>
              <w:top w:val="single" w:color="000000" w:sz="4" w:space="0"/>
              <w:left w:val="nil"/>
              <w:bottom w:val="single" w:color="000000" w:sz="4" w:space="0"/>
              <w:right w:val="single" w:color="000000" w:sz="4" w:space="0"/>
            </w:tcBorders>
            <w:noWrap w:val="0"/>
          </w:tcPr>
          <w:p w14:paraId="4D80EA39">
            <w:pPr>
              <w:pStyle w:val="30"/>
              <w:numPr>
                <w:ilvl w:val="255"/>
                <w:numId w:val="0"/>
              </w:numPr>
              <w:rPr>
                <w:rFonts w:hint="eastAsia" w:ascii="宋体" w:hAnsi="宋体" w:eastAsia="宋体" w:cs="宋体"/>
                <w:snapToGrid w:val="0"/>
                <w:color w:val="000000"/>
                <w:kern w:val="0"/>
                <w:sz w:val="28"/>
                <w:szCs w:val="28"/>
              </w:rPr>
            </w:pPr>
          </w:p>
        </w:tc>
        <w:tc>
          <w:tcPr>
            <w:tcW w:w="783" w:type="dxa"/>
            <w:tcBorders>
              <w:top w:val="single" w:color="000000" w:sz="4" w:space="0"/>
              <w:left w:val="nil"/>
              <w:bottom w:val="single" w:color="000000" w:sz="4" w:space="0"/>
              <w:right w:val="single" w:color="000000" w:sz="4" w:space="0"/>
            </w:tcBorders>
            <w:noWrap w:val="0"/>
          </w:tcPr>
          <w:p w14:paraId="126CE2B0">
            <w:pPr>
              <w:pStyle w:val="30"/>
              <w:numPr>
                <w:ilvl w:val="255"/>
                <w:numId w:val="0"/>
              </w:numPr>
              <w:rPr>
                <w:rFonts w:hint="eastAsia" w:ascii="宋体" w:hAnsi="宋体" w:eastAsia="宋体" w:cs="宋体"/>
                <w:snapToGrid w:val="0"/>
                <w:color w:val="000000"/>
                <w:kern w:val="0"/>
                <w:sz w:val="28"/>
                <w:szCs w:val="28"/>
              </w:rPr>
            </w:pPr>
          </w:p>
        </w:tc>
        <w:tc>
          <w:tcPr>
            <w:tcW w:w="750" w:type="dxa"/>
            <w:tcBorders>
              <w:top w:val="single" w:color="000000" w:sz="4" w:space="0"/>
              <w:left w:val="nil"/>
              <w:bottom w:val="single" w:color="000000" w:sz="4" w:space="0"/>
              <w:right w:val="single" w:color="000000" w:sz="4" w:space="0"/>
            </w:tcBorders>
            <w:noWrap w:val="0"/>
          </w:tcPr>
          <w:p w14:paraId="6B246578">
            <w:pPr>
              <w:pStyle w:val="30"/>
              <w:numPr>
                <w:ilvl w:val="255"/>
                <w:numId w:val="0"/>
              </w:numPr>
              <w:rPr>
                <w:rFonts w:hint="eastAsia" w:ascii="宋体" w:hAnsi="宋体" w:eastAsia="宋体" w:cs="宋体"/>
                <w:snapToGrid w:val="0"/>
                <w:color w:val="000000"/>
                <w:kern w:val="0"/>
                <w:sz w:val="28"/>
                <w:szCs w:val="28"/>
              </w:rPr>
            </w:pPr>
          </w:p>
        </w:tc>
        <w:tc>
          <w:tcPr>
            <w:tcW w:w="973" w:type="dxa"/>
            <w:tcBorders>
              <w:top w:val="single" w:color="000000" w:sz="4" w:space="0"/>
              <w:left w:val="nil"/>
              <w:bottom w:val="single" w:color="000000" w:sz="4" w:space="0"/>
              <w:right w:val="single" w:color="000000" w:sz="4" w:space="0"/>
            </w:tcBorders>
            <w:noWrap w:val="0"/>
          </w:tcPr>
          <w:p w14:paraId="062EC576">
            <w:pPr>
              <w:pStyle w:val="30"/>
              <w:numPr>
                <w:ilvl w:val="255"/>
                <w:numId w:val="0"/>
              </w:numPr>
              <w:rPr>
                <w:rFonts w:hint="eastAsia" w:ascii="宋体" w:hAnsi="宋体" w:eastAsia="宋体" w:cs="宋体"/>
                <w:snapToGrid w:val="0"/>
                <w:color w:val="000000"/>
                <w:kern w:val="0"/>
                <w:sz w:val="28"/>
                <w:szCs w:val="28"/>
              </w:rPr>
            </w:pPr>
          </w:p>
        </w:tc>
        <w:tc>
          <w:tcPr>
            <w:tcW w:w="931" w:type="dxa"/>
            <w:tcBorders>
              <w:top w:val="single" w:color="000000" w:sz="4" w:space="0"/>
              <w:left w:val="nil"/>
              <w:bottom w:val="single" w:color="000000" w:sz="4" w:space="0"/>
              <w:right w:val="single" w:color="000000" w:sz="4" w:space="0"/>
            </w:tcBorders>
            <w:noWrap w:val="0"/>
          </w:tcPr>
          <w:p w14:paraId="656492CB">
            <w:pPr>
              <w:pStyle w:val="30"/>
              <w:numPr>
                <w:ilvl w:val="255"/>
                <w:numId w:val="0"/>
              </w:numPr>
              <w:rPr>
                <w:rFonts w:hint="eastAsia" w:ascii="宋体" w:hAnsi="宋体" w:eastAsia="宋体" w:cs="宋体"/>
                <w:snapToGrid w:val="0"/>
                <w:color w:val="000000"/>
                <w:kern w:val="0"/>
                <w:sz w:val="28"/>
                <w:szCs w:val="28"/>
              </w:rPr>
            </w:pPr>
          </w:p>
        </w:tc>
        <w:tc>
          <w:tcPr>
            <w:tcW w:w="1020" w:type="dxa"/>
            <w:tcBorders>
              <w:top w:val="single" w:color="000000" w:sz="4" w:space="0"/>
              <w:left w:val="nil"/>
              <w:bottom w:val="single" w:color="000000" w:sz="4" w:space="0"/>
              <w:right w:val="single" w:color="000000" w:sz="4" w:space="0"/>
            </w:tcBorders>
            <w:noWrap w:val="0"/>
          </w:tcPr>
          <w:p w14:paraId="1EABACD3">
            <w:pPr>
              <w:pStyle w:val="30"/>
              <w:numPr>
                <w:ilvl w:val="255"/>
                <w:numId w:val="0"/>
              </w:numPr>
              <w:rPr>
                <w:rFonts w:hint="eastAsia" w:ascii="宋体" w:hAnsi="宋体" w:eastAsia="宋体" w:cs="宋体"/>
                <w:snapToGrid w:val="0"/>
                <w:color w:val="000000"/>
                <w:kern w:val="0"/>
                <w:sz w:val="28"/>
                <w:szCs w:val="28"/>
              </w:rPr>
            </w:pPr>
          </w:p>
        </w:tc>
        <w:tc>
          <w:tcPr>
            <w:tcW w:w="994" w:type="dxa"/>
            <w:tcBorders>
              <w:top w:val="single" w:color="000000" w:sz="4" w:space="0"/>
              <w:left w:val="nil"/>
              <w:bottom w:val="single" w:color="000000" w:sz="4" w:space="0"/>
              <w:right w:val="single" w:color="000000" w:sz="4" w:space="0"/>
            </w:tcBorders>
            <w:noWrap w:val="0"/>
          </w:tcPr>
          <w:p w14:paraId="051A78E7">
            <w:pPr>
              <w:pStyle w:val="30"/>
              <w:numPr>
                <w:ilvl w:val="255"/>
                <w:numId w:val="0"/>
              </w:numPr>
              <w:rPr>
                <w:rFonts w:hint="eastAsia" w:ascii="宋体" w:hAnsi="宋体" w:eastAsia="宋体" w:cs="宋体"/>
                <w:snapToGrid w:val="0"/>
                <w:color w:val="000000"/>
                <w:kern w:val="0"/>
                <w:sz w:val="28"/>
                <w:szCs w:val="28"/>
              </w:rPr>
            </w:pPr>
          </w:p>
        </w:tc>
        <w:tc>
          <w:tcPr>
            <w:tcW w:w="882" w:type="dxa"/>
            <w:tcBorders>
              <w:top w:val="single" w:color="000000" w:sz="4" w:space="0"/>
              <w:left w:val="nil"/>
              <w:bottom w:val="single" w:color="000000" w:sz="4" w:space="0"/>
              <w:right w:val="single" w:color="000000" w:sz="4" w:space="0"/>
            </w:tcBorders>
            <w:noWrap w:val="0"/>
          </w:tcPr>
          <w:p w14:paraId="4EDCEABD">
            <w:pPr>
              <w:pStyle w:val="30"/>
              <w:numPr>
                <w:ilvl w:val="255"/>
                <w:numId w:val="0"/>
              </w:numPr>
              <w:rPr>
                <w:rFonts w:hint="eastAsia" w:ascii="宋体" w:hAnsi="宋体" w:eastAsia="宋体" w:cs="宋体"/>
                <w:snapToGrid w:val="0"/>
                <w:color w:val="000000"/>
                <w:kern w:val="0"/>
                <w:sz w:val="28"/>
                <w:szCs w:val="28"/>
              </w:rPr>
            </w:pPr>
          </w:p>
        </w:tc>
        <w:tc>
          <w:tcPr>
            <w:tcW w:w="850" w:type="dxa"/>
            <w:tcBorders>
              <w:top w:val="single" w:color="000000" w:sz="4" w:space="0"/>
              <w:left w:val="nil"/>
              <w:bottom w:val="single" w:color="000000" w:sz="4" w:space="0"/>
              <w:right w:val="single" w:color="000000" w:sz="4" w:space="0"/>
            </w:tcBorders>
            <w:noWrap w:val="0"/>
          </w:tcPr>
          <w:p w14:paraId="1E786C03">
            <w:pPr>
              <w:pStyle w:val="30"/>
              <w:numPr>
                <w:ilvl w:val="255"/>
                <w:numId w:val="0"/>
              </w:numPr>
              <w:rPr>
                <w:rFonts w:hint="eastAsia" w:ascii="宋体" w:hAnsi="宋体" w:eastAsia="宋体" w:cs="宋体"/>
                <w:snapToGrid w:val="0"/>
                <w:color w:val="000000"/>
                <w:kern w:val="0"/>
                <w:sz w:val="28"/>
                <w:szCs w:val="28"/>
              </w:rPr>
            </w:pPr>
          </w:p>
        </w:tc>
        <w:tc>
          <w:tcPr>
            <w:tcW w:w="851" w:type="dxa"/>
            <w:tcBorders>
              <w:top w:val="single" w:color="000000" w:sz="4" w:space="0"/>
              <w:left w:val="nil"/>
              <w:bottom w:val="single" w:color="000000" w:sz="4" w:space="0"/>
              <w:right w:val="single" w:color="000000" w:sz="4" w:space="0"/>
            </w:tcBorders>
            <w:noWrap w:val="0"/>
          </w:tcPr>
          <w:p w14:paraId="5ADEAD71">
            <w:pPr>
              <w:pStyle w:val="30"/>
              <w:numPr>
                <w:ilvl w:val="255"/>
                <w:numId w:val="0"/>
              </w:numPr>
              <w:rPr>
                <w:rFonts w:hint="eastAsia" w:ascii="宋体" w:hAnsi="宋体" w:eastAsia="宋体" w:cs="宋体"/>
                <w:snapToGrid w:val="0"/>
                <w:color w:val="000000"/>
                <w:kern w:val="0"/>
                <w:sz w:val="28"/>
                <w:szCs w:val="28"/>
              </w:rPr>
            </w:pPr>
          </w:p>
        </w:tc>
      </w:tr>
      <w:tr w14:paraId="0559C1DD">
        <w:tblPrEx>
          <w:tblCellMar>
            <w:top w:w="0" w:type="dxa"/>
            <w:left w:w="108" w:type="dxa"/>
            <w:bottom w:w="0" w:type="dxa"/>
            <w:right w:w="108" w:type="dxa"/>
          </w:tblCellMar>
        </w:tblPrEx>
        <w:trPr>
          <w:jc w:val="center"/>
        </w:trPr>
        <w:tc>
          <w:tcPr>
            <w:tcW w:w="766" w:type="dxa"/>
            <w:tcBorders>
              <w:top w:val="single" w:color="000000" w:sz="4" w:space="0"/>
              <w:left w:val="single" w:color="000000" w:sz="4" w:space="0"/>
              <w:bottom w:val="single" w:color="000000" w:sz="4" w:space="0"/>
              <w:right w:val="single" w:color="000000" w:sz="4" w:space="0"/>
            </w:tcBorders>
            <w:noWrap w:val="0"/>
          </w:tcPr>
          <w:p w14:paraId="294D3D42">
            <w:pPr>
              <w:pStyle w:val="30"/>
              <w:numPr>
                <w:ilvl w:val="255"/>
                <w:numId w:val="0"/>
              </w:numPr>
              <w:rPr>
                <w:rFonts w:hint="eastAsia" w:ascii="宋体" w:hAnsi="宋体" w:eastAsia="宋体" w:cs="宋体"/>
                <w:snapToGrid w:val="0"/>
                <w:color w:val="000000"/>
                <w:kern w:val="0"/>
                <w:sz w:val="28"/>
                <w:szCs w:val="28"/>
              </w:rPr>
            </w:pPr>
          </w:p>
        </w:tc>
        <w:tc>
          <w:tcPr>
            <w:tcW w:w="896" w:type="dxa"/>
            <w:tcBorders>
              <w:top w:val="single" w:color="000000" w:sz="4" w:space="0"/>
              <w:left w:val="nil"/>
              <w:bottom w:val="single" w:color="000000" w:sz="4" w:space="0"/>
              <w:right w:val="single" w:color="000000" w:sz="4" w:space="0"/>
            </w:tcBorders>
            <w:noWrap w:val="0"/>
          </w:tcPr>
          <w:p w14:paraId="404EA306">
            <w:pPr>
              <w:pStyle w:val="30"/>
              <w:numPr>
                <w:ilvl w:val="255"/>
                <w:numId w:val="0"/>
              </w:numPr>
              <w:rPr>
                <w:rFonts w:hint="eastAsia" w:ascii="宋体" w:hAnsi="宋体" w:eastAsia="宋体" w:cs="宋体"/>
                <w:snapToGrid w:val="0"/>
                <w:color w:val="000000"/>
                <w:kern w:val="0"/>
                <w:sz w:val="28"/>
                <w:szCs w:val="28"/>
              </w:rPr>
            </w:pPr>
          </w:p>
        </w:tc>
        <w:tc>
          <w:tcPr>
            <w:tcW w:w="783" w:type="dxa"/>
            <w:tcBorders>
              <w:top w:val="single" w:color="000000" w:sz="4" w:space="0"/>
              <w:left w:val="nil"/>
              <w:bottom w:val="single" w:color="000000" w:sz="4" w:space="0"/>
              <w:right w:val="single" w:color="000000" w:sz="4" w:space="0"/>
            </w:tcBorders>
            <w:noWrap w:val="0"/>
          </w:tcPr>
          <w:p w14:paraId="72B96DA5">
            <w:pPr>
              <w:pStyle w:val="30"/>
              <w:numPr>
                <w:ilvl w:val="255"/>
                <w:numId w:val="0"/>
              </w:numPr>
              <w:rPr>
                <w:rFonts w:hint="eastAsia" w:ascii="宋体" w:hAnsi="宋体" w:eastAsia="宋体" w:cs="宋体"/>
                <w:snapToGrid w:val="0"/>
                <w:color w:val="000000"/>
                <w:kern w:val="0"/>
                <w:sz w:val="28"/>
                <w:szCs w:val="28"/>
              </w:rPr>
            </w:pPr>
          </w:p>
        </w:tc>
        <w:tc>
          <w:tcPr>
            <w:tcW w:w="750" w:type="dxa"/>
            <w:tcBorders>
              <w:top w:val="single" w:color="000000" w:sz="4" w:space="0"/>
              <w:left w:val="nil"/>
              <w:bottom w:val="single" w:color="000000" w:sz="4" w:space="0"/>
              <w:right w:val="single" w:color="000000" w:sz="4" w:space="0"/>
            </w:tcBorders>
            <w:noWrap w:val="0"/>
          </w:tcPr>
          <w:p w14:paraId="3C5C0764">
            <w:pPr>
              <w:pStyle w:val="30"/>
              <w:numPr>
                <w:ilvl w:val="255"/>
                <w:numId w:val="0"/>
              </w:numPr>
              <w:rPr>
                <w:rFonts w:hint="eastAsia" w:ascii="宋体" w:hAnsi="宋体" w:eastAsia="宋体" w:cs="宋体"/>
                <w:snapToGrid w:val="0"/>
                <w:color w:val="000000"/>
                <w:kern w:val="0"/>
                <w:sz w:val="28"/>
                <w:szCs w:val="28"/>
              </w:rPr>
            </w:pPr>
          </w:p>
        </w:tc>
        <w:tc>
          <w:tcPr>
            <w:tcW w:w="973" w:type="dxa"/>
            <w:tcBorders>
              <w:top w:val="single" w:color="000000" w:sz="4" w:space="0"/>
              <w:left w:val="nil"/>
              <w:bottom w:val="single" w:color="000000" w:sz="4" w:space="0"/>
              <w:right w:val="single" w:color="000000" w:sz="4" w:space="0"/>
            </w:tcBorders>
            <w:noWrap w:val="0"/>
          </w:tcPr>
          <w:p w14:paraId="1CD77B63">
            <w:pPr>
              <w:pStyle w:val="30"/>
              <w:numPr>
                <w:ilvl w:val="255"/>
                <w:numId w:val="0"/>
              </w:numPr>
              <w:rPr>
                <w:rFonts w:hint="eastAsia" w:ascii="宋体" w:hAnsi="宋体" w:eastAsia="宋体" w:cs="宋体"/>
                <w:snapToGrid w:val="0"/>
                <w:color w:val="000000"/>
                <w:kern w:val="0"/>
                <w:sz w:val="28"/>
                <w:szCs w:val="28"/>
              </w:rPr>
            </w:pPr>
          </w:p>
        </w:tc>
        <w:tc>
          <w:tcPr>
            <w:tcW w:w="931" w:type="dxa"/>
            <w:tcBorders>
              <w:top w:val="single" w:color="000000" w:sz="4" w:space="0"/>
              <w:left w:val="nil"/>
              <w:bottom w:val="single" w:color="000000" w:sz="4" w:space="0"/>
              <w:right w:val="single" w:color="000000" w:sz="4" w:space="0"/>
            </w:tcBorders>
            <w:noWrap w:val="0"/>
          </w:tcPr>
          <w:p w14:paraId="3778AA33">
            <w:pPr>
              <w:pStyle w:val="30"/>
              <w:numPr>
                <w:ilvl w:val="255"/>
                <w:numId w:val="0"/>
              </w:numPr>
              <w:rPr>
                <w:rFonts w:hint="eastAsia" w:ascii="宋体" w:hAnsi="宋体" w:eastAsia="宋体" w:cs="宋体"/>
                <w:snapToGrid w:val="0"/>
                <w:color w:val="000000"/>
                <w:kern w:val="0"/>
                <w:sz w:val="28"/>
                <w:szCs w:val="28"/>
              </w:rPr>
            </w:pPr>
          </w:p>
        </w:tc>
        <w:tc>
          <w:tcPr>
            <w:tcW w:w="1020" w:type="dxa"/>
            <w:tcBorders>
              <w:top w:val="single" w:color="000000" w:sz="4" w:space="0"/>
              <w:left w:val="nil"/>
              <w:bottom w:val="single" w:color="000000" w:sz="4" w:space="0"/>
              <w:right w:val="single" w:color="000000" w:sz="4" w:space="0"/>
            </w:tcBorders>
            <w:noWrap w:val="0"/>
          </w:tcPr>
          <w:p w14:paraId="191B2D95">
            <w:pPr>
              <w:pStyle w:val="30"/>
              <w:numPr>
                <w:ilvl w:val="255"/>
                <w:numId w:val="0"/>
              </w:numPr>
              <w:rPr>
                <w:rFonts w:hint="eastAsia" w:ascii="宋体" w:hAnsi="宋体" w:eastAsia="宋体" w:cs="宋体"/>
                <w:snapToGrid w:val="0"/>
                <w:color w:val="000000"/>
                <w:kern w:val="0"/>
                <w:sz w:val="28"/>
                <w:szCs w:val="28"/>
              </w:rPr>
            </w:pPr>
          </w:p>
        </w:tc>
        <w:tc>
          <w:tcPr>
            <w:tcW w:w="994" w:type="dxa"/>
            <w:tcBorders>
              <w:top w:val="single" w:color="000000" w:sz="4" w:space="0"/>
              <w:left w:val="nil"/>
              <w:bottom w:val="single" w:color="000000" w:sz="4" w:space="0"/>
              <w:right w:val="single" w:color="000000" w:sz="4" w:space="0"/>
            </w:tcBorders>
            <w:noWrap w:val="0"/>
          </w:tcPr>
          <w:p w14:paraId="7B0CFEC4">
            <w:pPr>
              <w:pStyle w:val="30"/>
              <w:numPr>
                <w:ilvl w:val="255"/>
                <w:numId w:val="0"/>
              </w:numPr>
              <w:rPr>
                <w:rFonts w:hint="eastAsia" w:ascii="宋体" w:hAnsi="宋体" w:eastAsia="宋体" w:cs="宋体"/>
                <w:snapToGrid w:val="0"/>
                <w:color w:val="000000"/>
                <w:kern w:val="0"/>
                <w:sz w:val="28"/>
                <w:szCs w:val="28"/>
              </w:rPr>
            </w:pPr>
          </w:p>
        </w:tc>
        <w:tc>
          <w:tcPr>
            <w:tcW w:w="882" w:type="dxa"/>
            <w:tcBorders>
              <w:top w:val="single" w:color="000000" w:sz="4" w:space="0"/>
              <w:left w:val="nil"/>
              <w:bottom w:val="single" w:color="000000" w:sz="4" w:space="0"/>
              <w:right w:val="single" w:color="000000" w:sz="4" w:space="0"/>
            </w:tcBorders>
            <w:noWrap w:val="0"/>
          </w:tcPr>
          <w:p w14:paraId="68C2876F">
            <w:pPr>
              <w:pStyle w:val="30"/>
              <w:numPr>
                <w:ilvl w:val="255"/>
                <w:numId w:val="0"/>
              </w:numPr>
              <w:rPr>
                <w:rFonts w:hint="eastAsia" w:ascii="宋体" w:hAnsi="宋体" w:eastAsia="宋体" w:cs="宋体"/>
                <w:snapToGrid w:val="0"/>
                <w:color w:val="000000"/>
                <w:kern w:val="0"/>
                <w:sz w:val="28"/>
                <w:szCs w:val="28"/>
              </w:rPr>
            </w:pPr>
          </w:p>
        </w:tc>
        <w:tc>
          <w:tcPr>
            <w:tcW w:w="850" w:type="dxa"/>
            <w:tcBorders>
              <w:top w:val="single" w:color="000000" w:sz="4" w:space="0"/>
              <w:left w:val="nil"/>
              <w:bottom w:val="single" w:color="000000" w:sz="4" w:space="0"/>
              <w:right w:val="single" w:color="000000" w:sz="4" w:space="0"/>
            </w:tcBorders>
            <w:noWrap w:val="0"/>
          </w:tcPr>
          <w:p w14:paraId="21EFC4D6">
            <w:pPr>
              <w:pStyle w:val="30"/>
              <w:numPr>
                <w:ilvl w:val="255"/>
                <w:numId w:val="0"/>
              </w:numPr>
              <w:rPr>
                <w:rFonts w:hint="eastAsia" w:ascii="宋体" w:hAnsi="宋体" w:eastAsia="宋体" w:cs="宋体"/>
                <w:snapToGrid w:val="0"/>
                <w:color w:val="000000"/>
                <w:kern w:val="0"/>
                <w:sz w:val="28"/>
                <w:szCs w:val="28"/>
              </w:rPr>
            </w:pPr>
          </w:p>
        </w:tc>
        <w:tc>
          <w:tcPr>
            <w:tcW w:w="851" w:type="dxa"/>
            <w:tcBorders>
              <w:top w:val="single" w:color="000000" w:sz="4" w:space="0"/>
              <w:left w:val="nil"/>
              <w:bottom w:val="single" w:color="000000" w:sz="4" w:space="0"/>
              <w:right w:val="single" w:color="000000" w:sz="4" w:space="0"/>
            </w:tcBorders>
            <w:noWrap w:val="0"/>
          </w:tcPr>
          <w:p w14:paraId="54F73A5E">
            <w:pPr>
              <w:pStyle w:val="30"/>
              <w:numPr>
                <w:ilvl w:val="255"/>
                <w:numId w:val="0"/>
              </w:numPr>
              <w:rPr>
                <w:rFonts w:hint="eastAsia" w:ascii="宋体" w:hAnsi="宋体" w:eastAsia="宋体" w:cs="宋体"/>
                <w:snapToGrid w:val="0"/>
                <w:color w:val="000000"/>
                <w:kern w:val="0"/>
                <w:sz w:val="28"/>
                <w:szCs w:val="28"/>
              </w:rPr>
            </w:pPr>
          </w:p>
        </w:tc>
      </w:tr>
      <w:tr w14:paraId="31EB6286">
        <w:tblPrEx>
          <w:tblCellMar>
            <w:top w:w="0" w:type="dxa"/>
            <w:left w:w="108" w:type="dxa"/>
            <w:bottom w:w="0" w:type="dxa"/>
            <w:right w:w="108" w:type="dxa"/>
          </w:tblCellMar>
        </w:tblPrEx>
        <w:trPr>
          <w:jc w:val="center"/>
        </w:trPr>
        <w:tc>
          <w:tcPr>
            <w:tcW w:w="766" w:type="dxa"/>
            <w:tcBorders>
              <w:top w:val="single" w:color="000000" w:sz="4" w:space="0"/>
              <w:left w:val="single" w:color="000000" w:sz="4" w:space="0"/>
              <w:bottom w:val="single" w:color="000000" w:sz="4" w:space="0"/>
              <w:right w:val="single" w:color="000000" w:sz="4" w:space="0"/>
            </w:tcBorders>
            <w:noWrap w:val="0"/>
          </w:tcPr>
          <w:p w14:paraId="5C2C7654">
            <w:pPr>
              <w:pStyle w:val="30"/>
              <w:numPr>
                <w:ilvl w:val="255"/>
                <w:numId w:val="0"/>
              </w:numPr>
              <w:rPr>
                <w:rFonts w:hint="eastAsia" w:ascii="宋体" w:hAnsi="宋体" w:eastAsia="宋体" w:cs="宋体"/>
                <w:snapToGrid w:val="0"/>
                <w:color w:val="000000"/>
                <w:kern w:val="0"/>
                <w:sz w:val="28"/>
                <w:szCs w:val="28"/>
              </w:rPr>
            </w:pPr>
          </w:p>
        </w:tc>
        <w:tc>
          <w:tcPr>
            <w:tcW w:w="896" w:type="dxa"/>
            <w:tcBorders>
              <w:top w:val="single" w:color="000000" w:sz="4" w:space="0"/>
              <w:left w:val="nil"/>
              <w:bottom w:val="single" w:color="000000" w:sz="4" w:space="0"/>
              <w:right w:val="single" w:color="000000" w:sz="4" w:space="0"/>
            </w:tcBorders>
            <w:noWrap w:val="0"/>
          </w:tcPr>
          <w:p w14:paraId="55EDA2D9">
            <w:pPr>
              <w:pStyle w:val="30"/>
              <w:numPr>
                <w:ilvl w:val="255"/>
                <w:numId w:val="0"/>
              </w:numPr>
              <w:rPr>
                <w:rFonts w:hint="eastAsia" w:ascii="宋体" w:hAnsi="宋体" w:eastAsia="宋体" w:cs="宋体"/>
                <w:snapToGrid w:val="0"/>
                <w:color w:val="000000"/>
                <w:kern w:val="0"/>
                <w:sz w:val="28"/>
                <w:szCs w:val="28"/>
              </w:rPr>
            </w:pPr>
          </w:p>
        </w:tc>
        <w:tc>
          <w:tcPr>
            <w:tcW w:w="783" w:type="dxa"/>
            <w:tcBorders>
              <w:top w:val="single" w:color="000000" w:sz="4" w:space="0"/>
              <w:left w:val="nil"/>
              <w:bottom w:val="single" w:color="000000" w:sz="4" w:space="0"/>
              <w:right w:val="single" w:color="000000" w:sz="4" w:space="0"/>
            </w:tcBorders>
            <w:noWrap w:val="0"/>
          </w:tcPr>
          <w:p w14:paraId="119236E5">
            <w:pPr>
              <w:pStyle w:val="30"/>
              <w:numPr>
                <w:ilvl w:val="255"/>
                <w:numId w:val="0"/>
              </w:numPr>
              <w:rPr>
                <w:rFonts w:hint="eastAsia" w:ascii="宋体" w:hAnsi="宋体" w:eastAsia="宋体" w:cs="宋体"/>
                <w:snapToGrid w:val="0"/>
                <w:color w:val="000000"/>
                <w:kern w:val="0"/>
                <w:sz w:val="28"/>
                <w:szCs w:val="28"/>
              </w:rPr>
            </w:pPr>
          </w:p>
        </w:tc>
        <w:tc>
          <w:tcPr>
            <w:tcW w:w="750" w:type="dxa"/>
            <w:tcBorders>
              <w:top w:val="single" w:color="000000" w:sz="4" w:space="0"/>
              <w:left w:val="nil"/>
              <w:bottom w:val="single" w:color="000000" w:sz="4" w:space="0"/>
              <w:right w:val="single" w:color="000000" w:sz="4" w:space="0"/>
            </w:tcBorders>
            <w:noWrap w:val="0"/>
          </w:tcPr>
          <w:p w14:paraId="3EF0A914">
            <w:pPr>
              <w:pStyle w:val="30"/>
              <w:numPr>
                <w:ilvl w:val="255"/>
                <w:numId w:val="0"/>
              </w:numPr>
              <w:rPr>
                <w:rFonts w:hint="eastAsia" w:ascii="宋体" w:hAnsi="宋体" w:eastAsia="宋体" w:cs="宋体"/>
                <w:snapToGrid w:val="0"/>
                <w:color w:val="000000"/>
                <w:kern w:val="0"/>
                <w:sz w:val="28"/>
                <w:szCs w:val="28"/>
              </w:rPr>
            </w:pPr>
          </w:p>
        </w:tc>
        <w:tc>
          <w:tcPr>
            <w:tcW w:w="973" w:type="dxa"/>
            <w:tcBorders>
              <w:top w:val="single" w:color="000000" w:sz="4" w:space="0"/>
              <w:left w:val="nil"/>
              <w:bottom w:val="single" w:color="000000" w:sz="4" w:space="0"/>
              <w:right w:val="single" w:color="000000" w:sz="4" w:space="0"/>
            </w:tcBorders>
            <w:noWrap w:val="0"/>
          </w:tcPr>
          <w:p w14:paraId="32CACB11">
            <w:pPr>
              <w:pStyle w:val="30"/>
              <w:numPr>
                <w:ilvl w:val="255"/>
                <w:numId w:val="0"/>
              </w:numPr>
              <w:rPr>
                <w:rFonts w:hint="eastAsia" w:ascii="宋体" w:hAnsi="宋体" w:eastAsia="宋体" w:cs="宋体"/>
                <w:snapToGrid w:val="0"/>
                <w:color w:val="000000"/>
                <w:kern w:val="0"/>
                <w:sz w:val="28"/>
                <w:szCs w:val="28"/>
              </w:rPr>
            </w:pPr>
          </w:p>
        </w:tc>
        <w:tc>
          <w:tcPr>
            <w:tcW w:w="931" w:type="dxa"/>
            <w:tcBorders>
              <w:top w:val="single" w:color="000000" w:sz="4" w:space="0"/>
              <w:left w:val="nil"/>
              <w:bottom w:val="single" w:color="000000" w:sz="4" w:space="0"/>
              <w:right w:val="single" w:color="000000" w:sz="4" w:space="0"/>
            </w:tcBorders>
            <w:noWrap w:val="0"/>
          </w:tcPr>
          <w:p w14:paraId="3B4E8488">
            <w:pPr>
              <w:pStyle w:val="30"/>
              <w:numPr>
                <w:ilvl w:val="255"/>
                <w:numId w:val="0"/>
              </w:numPr>
              <w:rPr>
                <w:rFonts w:hint="eastAsia" w:ascii="宋体" w:hAnsi="宋体" w:eastAsia="宋体" w:cs="宋体"/>
                <w:snapToGrid w:val="0"/>
                <w:color w:val="000000"/>
                <w:kern w:val="0"/>
                <w:sz w:val="28"/>
                <w:szCs w:val="28"/>
              </w:rPr>
            </w:pPr>
          </w:p>
        </w:tc>
        <w:tc>
          <w:tcPr>
            <w:tcW w:w="1020" w:type="dxa"/>
            <w:tcBorders>
              <w:top w:val="single" w:color="000000" w:sz="4" w:space="0"/>
              <w:left w:val="nil"/>
              <w:bottom w:val="single" w:color="000000" w:sz="4" w:space="0"/>
              <w:right w:val="single" w:color="000000" w:sz="4" w:space="0"/>
            </w:tcBorders>
            <w:noWrap w:val="0"/>
          </w:tcPr>
          <w:p w14:paraId="5AFD6034">
            <w:pPr>
              <w:pStyle w:val="30"/>
              <w:numPr>
                <w:ilvl w:val="255"/>
                <w:numId w:val="0"/>
              </w:numPr>
              <w:rPr>
                <w:rFonts w:hint="eastAsia" w:ascii="宋体" w:hAnsi="宋体" w:eastAsia="宋体" w:cs="宋体"/>
                <w:snapToGrid w:val="0"/>
                <w:color w:val="000000"/>
                <w:kern w:val="0"/>
                <w:sz w:val="28"/>
                <w:szCs w:val="28"/>
              </w:rPr>
            </w:pPr>
          </w:p>
        </w:tc>
        <w:tc>
          <w:tcPr>
            <w:tcW w:w="994" w:type="dxa"/>
            <w:tcBorders>
              <w:top w:val="single" w:color="000000" w:sz="4" w:space="0"/>
              <w:left w:val="nil"/>
              <w:bottom w:val="single" w:color="000000" w:sz="4" w:space="0"/>
              <w:right w:val="single" w:color="000000" w:sz="4" w:space="0"/>
            </w:tcBorders>
            <w:noWrap w:val="0"/>
          </w:tcPr>
          <w:p w14:paraId="716E3D48">
            <w:pPr>
              <w:pStyle w:val="30"/>
              <w:numPr>
                <w:ilvl w:val="255"/>
                <w:numId w:val="0"/>
              </w:numPr>
              <w:rPr>
                <w:rFonts w:hint="eastAsia" w:ascii="宋体" w:hAnsi="宋体" w:eastAsia="宋体" w:cs="宋体"/>
                <w:snapToGrid w:val="0"/>
                <w:color w:val="000000"/>
                <w:kern w:val="0"/>
                <w:sz w:val="28"/>
                <w:szCs w:val="28"/>
              </w:rPr>
            </w:pPr>
          </w:p>
        </w:tc>
        <w:tc>
          <w:tcPr>
            <w:tcW w:w="882" w:type="dxa"/>
            <w:tcBorders>
              <w:top w:val="single" w:color="000000" w:sz="4" w:space="0"/>
              <w:left w:val="nil"/>
              <w:bottom w:val="single" w:color="000000" w:sz="4" w:space="0"/>
              <w:right w:val="single" w:color="000000" w:sz="4" w:space="0"/>
            </w:tcBorders>
            <w:noWrap w:val="0"/>
          </w:tcPr>
          <w:p w14:paraId="6A495BFF">
            <w:pPr>
              <w:pStyle w:val="30"/>
              <w:numPr>
                <w:ilvl w:val="255"/>
                <w:numId w:val="0"/>
              </w:numPr>
              <w:rPr>
                <w:rFonts w:hint="eastAsia" w:ascii="宋体" w:hAnsi="宋体" w:eastAsia="宋体" w:cs="宋体"/>
                <w:snapToGrid w:val="0"/>
                <w:color w:val="000000"/>
                <w:kern w:val="0"/>
                <w:sz w:val="28"/>
                <w:szCs w:val="28"/>
              </w:rPr>
            </w:pPr>
          </w:p>
        </w:tc>
        <w:tc>
          <w:tcPr>
            <w:tcW w:w="850" w:type="dxa"/>
            <w:tcBorders>
              <w:top w:val="single" w:color="000000" w:sz="4" w:space="0"/>
              <w:left w:val="nil"/>
              <w:bottom w:val="single" w:color="000000" w:sz="4" w:space="0"/>
              <w:right w:val="single" w:color="000000" w:sz="4" w:space="0"/>
            </w:tcBorders>
            <w:noWrap w:val="0"/>
          </w:tcPr>
          <w:p w14:paraId="59EA2E11">
            <w:pPr>
              <w:pStyle w:val="30"/>
              <w:numPr>
                <w:ilvl w:val="255"/>
                <w:numId w:val="0"/>
              </w:numPr>
              <w:rPr>
                <w:rFonts w:hint="eastAsia" w:ascii="宋体" w:hAnsi="宋体" w:eastAsia="宋体" w:cs="宋体"/>
                <w:snapToGrid w:val="0"/>
                <w:color w:val="000000"/>
                <w:kern w:val="0"/>
                <w:sz w:val="28"/>
                <w:szCs w:val="28"/>
              </w:rPr>
            </w:pPr>
          </w:p>
        </w:tc>
        <w:tc>
          <w:tcPr>
            <w:tcW w:w="851" w:type="dxa"/>
            <w:tcBorders>
              <w:top w:val="single" w:color="000000" w:sz="4" w:space="0"/>
              <w:left w:val="nil"/>
              <w:bottom w:val="single" w:color="000000" w:sz="4" w:space="0"/>
              <w:right w:val="single" w:color="000000" w:sz="4" w:space="0"/>
            </w:tcBorders>
            <w:noWrap w:val="0"/>
          </w:tcPr>
          <w:p w14:paraId="5088A44A">
            <w:pPr>
              <w:pStyle w:val="30"/>
              <w:numPr>
                <w:ilvl w:val="255"/>
                <w:numId w:val="0"/>
              </w:numPr>
              <w:rPr>
                <w:rFonts w:hint="eastAsia" w:ascii="宋体" w:hAnsi="宋体" w:eastAsia="宋体" w:cs="宋体"/>
                <w:snapToGrid w:val="0"/>
                <w:color w:val="000000"/>
                <w:kern w:val="0"/>
                <w:sz w:val="28"/>
                <w:szCs w:val="28"/>
              </w:rPr>
            </w:pPr>
          </w:p>
        </w:tc>
      </w:tr>
    </w:tbl>
    <w:p w14:paraId="3D01BB01">
      <w:pPr>
        <w:rPr>
          <w:rFonts w:hint="eastAsia" w:ascii="宋体" w:hAnsi="宋体" w:eastAsia="宋体" w:cs="宋体"/>
        </w:rPr>
      </w:pPr>
    </w:p>
    <w:p w14:paraId="6CD05AE0">
      <w:pPr>
        <w:rPr>
          <w:rFonts w:hint="eastAsia" w:ascii="宋体" w:hAnsi="宋体" w:eastAsia="宋体" w:cs="宋体"/>
        </w:rPr>
      </w:pPr>
    </w:p>
    <w:p w14:paraId="527220EF">
      <w:pPr>
        <w:rPr>
          <w:rFonts w:hint="eastAsia" w:ascii="宋体" w:hAnsi="宋体" w:eastAsia="宋体" w:cs="宋体"/>
        </w:rPr>
      </w:pPr>
    </w:p>
    <w:p w14:paraId="57C77D27">
      <w:pPr>
        <w:rPr>
          <w:rFonts w:hint="eastAsia" w:ascii="宋体" w:hAnsi="宋体" w:eastAsia="宋体" w:cs="宋体"/>
        </w:rPr>
      </w:pPr>
    </w:p>
    <w:p w14:paraId="51A6D983">
      <w:pPr>
        <w:rPr>
          <w:rFonts w:hint="eastAsia" w:ascii="宋体" w:hAnsi="宋体" w:eastAsia="宋体" w:cs="宋体"/>
          <w:snapToGrid w:val="0"/>
          <w:color w:val="000000"/>
          <w:kern w:val="0"/>
          <w:sz w:val="28"/>
          <w:szCs w:val="28"/>
        </w:rPr>
      </w:pPr>
    </w:p>
    <w:p w14:paraId="2005F652">
      <w:pPr>
        <w:pStyle w:val="30"/>
        <w:keepNext w:val="0"/>
        <w:keepLines w:val="0"/>
        <w:pageBreakBefore/>
        <w:widowControl/>
        <w:numPr>
          <w:ilvl w:val="0"/>
          <w:numId w:val="0"/>
        </w:numPr>
        <w:kinsoku/>
        <w:wordWrap/>
        <w:overflowPunct/>
        <w:topLinePunct w:val="0"/>
        <w:autoSpaceDE/>
        <w:autoSpaceDN/>
        <w:bidi w:val="0"/>
        <w:adjustRightInd/>
        <w:snapToGrid/>
        <w:ind w:leftChars="0"/>
        <w:textAlignment w:val="auto"/>
        <w:rPr>
          <w:rFonts w:hint="eastAsia" w:ascii="宋体" w:hAnsi="宋体" w:eastAsia="宋体" w:cs="宋体"/>
          <w:snapToGrid w:val="0"/>
          <w:color w:val="000000"/>
          <w:kern w:val="0"/>
          <w:sz w:val="28"/>
          <w:szCs w:val="28"/>
          <w:lang w:eastAsia="zh-CN"/>
        </w:rPr>
      </w:pPr>
      <w:r>
        <w:rPr>
          <w:rFonts w:hint="eastAsia" w:ascii="宋体" w:hAnsi="宋体" w:eastAsia="宋体" w:cs="宋体"/>
          <w:snapToGrid w:val="0"/>
          <w:color w:val="000000"/>
          <w:kern w:val="0"/>
          <w:sz w:val="28"/>
          <w:szCs w:val="28"/>
          <w:lang w:val="en-US" w:eastAsia="zh-CN"/>
        </w:rPr>
        <w:t>八、</w:t>
      </w:r>
      <w:r>
        <w:rPr>
          <w:rFonts w:hint="eastAsia" w:ascii="宋体" w:hAnsi="宋体" w:eastAsia="宋体" w:cs="宋体"/>
          <w:snapToGrid w:val="0"/>
          <w:color w:val="000000"/>
          <w:kern w:val="0"/>
          <w:sz w:val="28"/>
          <w:szCs w:val="28"/>
          <w:lang w:eastAsia="zh-CN"/>
        </w:rPr>
        <w:t>业绩（</w:t>
      </w:r>
      <w:r>
        <w:rPr>
          <w:rFonts w:hint="eastAsia" w:ascii="宋体" w:hAnsi="宋体" w:eastAsia="宋体" w:cs="宋体"/>
          <w:snapToGrid w:val="0"/>
          <w:color w:val="000000"/>
          <w:kern w:val="0"/>
          <w:sz w:val="28"/>
          <w:szCs w:val="28"/>
          <w:lang w:val="en-US" w:eastAsia="zh-CN"/>
        </w:rPr>
        <w:t>加盖电子公章</w:t>
      </w:r>
      <w:r>
        <w:rPr>
          <w:rFonts w:hint="eastAsia" w:ascii="宋体" w:hAnsi="宋体" w:eastAsia="宋体" w:cs="宋体"/>
          <w:snapToGrid w:val="0"/>
          <w:color w:val="000000"/>
          <w:kern w:val="0"/>
          <w:sz w:val="28"/>
          <w:szCs w:val="28"/>
          <w:lang w:eastAsia="zh-CN"/>
        </w:rPr>
        <w:t>）</w:t>
      </w:r>
    </w:p>
    <w:p w14:paraId="45C718E4">
      <w:pPr>
        <w:rPr>
          <w:rFonts w:hint="eastAsia" w:ascii="宋体" w:hAnsi="宋体" w:eastAsia="宋体" w:cs="宋体"/>
          <w:lang w:eastAsia="zh-CN"/>
        </w:rPr>
      </w:pPr>
    </w:p>
    <w:p w14:paraId="2CF05E16">
      <w:pPr>
        <w:rPr>
          <w:rFonts w:hint="eastAsia" w:ascii="宋体" w:hAnsi="宋体" w:eastAsia="宋体" w:cs="宋体"/>
        </w:rPr>
      </w:pPr>
    </w:p>
    <w:p w14:paraId="7E91732C">
      <w:pPr>
        <w:rPr>
          <w:rFonts w:hint="eastAsia" w:ascii="宋体" w:hAnsi="宋体" w:eastAsia="宋体" w:cs="宋体"/>
        </w:rPr>
      </w:pPr>
    </w:p>
    <w:p w14:paraId="756C3B01">
      <w:pPr>
        <w:rPr>
          <w:rFonts w:hint="eastAsia" w:ascii="宋体" w:hAnsi="宋体" w:eastAsia="宋体" w:cs="宋体"/>
        </w:rPr>
      </w:pPr>
    </w:p>
    <w:p w14:paraId="79DD5EA0">
      <w:pPr>
        <w:rPr>
          <w:rFonts w:hint="eastAsia" w:ascii="宋体" w:hAnsi="宋体" w:eastAsia="宋体" w:cs="宋体"/>
        </w:rPr>
      </w:pPr>
    </w:p>
    <w:p w14:paraId="539F9895">
      <w:pPr>
        <w:rPr>
          <w:rFonts w:hint="eastAsia" w:ascii="宋体" w:hAnsi="宋体" w:eastAsia="宋体" w:cs="宋体"/>
        </w:rPr>
      </w:pPr>
    </w:p>
    <w:p w14:paraId="16F481B9">
      <w:pPr>
        <w:rPr>
          <w:rFonts w:hint="eastAsia" w:ascii="宋体" w:hAnsi="宋体" w:eastAsia="宋体" w:cs="宋体"/>
        </w:rPr>
      </w:pPr>
    </w:p>
    <w:p w14:paraId="7C569A95">
      <w:pPr>
        <w:rPr>
          <w:rFonts w:hint="eastAsia" w:ascii="宋体" w:hAnsi="宋体" w:eastAsia="宋体" w:cs="宋体"/>
        </w:rPr>
      </w:pPr>
    </w:p>
    <w:p w14:paraId="779C2ABE">
      <w:pPr>
        <w:rPr>
          <w:rFonts w:hint="eastAsia" w:ascii="宋体" w:hAnsi="宋体" w:eastAsia="宋体" w:cs="宋体"/>
        </w:rPr>
      </w:pPr>
    </w:p>
    <w:p w14:paraId="79DC1FF1">
      <w:pPr>
        <w:rPr>
          <w:rFonts w:hint="eastAsia" w:ascii="宋体" w:hAnsi="宋体" w:eastAsia="宋体" w:cs="宋体"/>
        </w:rPr>
      </w:pPr>
    </w:p>
    <w:p w14:paraId="3A433A37">
      <w:pPr>
        <w:rPr>
          <w:rFonts w:hint="eastAsia" w:ascii="宋体" w:hAnsi="宋体" w:eastAsia="宋体" w:cs="宋体"/>
        </w:rPr>
      </w:pPr>
    </w:p>
    <w:p w14:paraId="7661645D">
      <w:pPr>
        <w:rPr>
          <w:rFonts w:hint="eastAsia" w:ascii="宋体" w:hAnsi="宋体" w:eastAsia="宋体" w:cs="宋体"/>
        </w:rPr>
      </w:pPr>
    </w:p>
    <w:p w14:paraId="124B9546">
      <w:pPr>
        <w:rPr>
          <w:rFonts w:hint="eastAsia" w:ascii="宋体" w:hAnsi="宋体" w:eastAsia="宋体" w:cs="宋体"/>
        </w:rPr>
      </w:pPr>
    </w:p>
    <w:p w14:paraId="2BD4C746">
      <w:pPr>
        <w:rPr>
          <w:rFonts w:hint="eastAsia" w:ascii="宋体" w:hAnsi="宋体" w:eastAsia="宋体" w:cs="宋体"/>
        </w:rPr>
      </w:pPr>
    </w:p>
    <w:p w14:paraId="2D16D726">
      <w:pPr>
        <w:rPr>
          <w:rFonts w:hint="eastAsia" w:ascii="宋体" w:hAnsi="宋体" w:eastAsia="宋体" w:cs="宋体"/>
        </w:rPr>
      </w:pPr>
    </w:p>
    <w:p w14:paraId="25EF1AA5">
      <w:pPr>
        <w:rPr>
          <w:rFonts w:hint="eastAsia" w:ascii="宋体" w:hAnsi="宋体" w:eastAsia="宋体" w:cs="宋体"/>
        </w:rPr>
      </w:pPr>
    </w:p>
    <w:p w14:paraId="03EEF111">
      <w:pPr>
        <w:rPr>
          <w:rFonts w:hint="eastAsia" w:ascii="宋体" w:hAnsi="宋体" w:eastAsia="宋体" w:cs="宋体"/>
        </w:rPr>
      </w:pPr>
    </w:p>
    <w:p w14:paraId="1D52DF8B">
      <w:pPr>
        <w:rPr>
          <w:rFonts w:hint="eastAsia" w:ascii="宋体" w:hAnsi="宋体" w:eastAsia="宋体" w:cs="宋体"/>
        </w:rPr>
      </w:pPr>
    </w:p>
    <w:p w14:paraId="44971CD8">
      <w:pPr>
        <w:rPr>
          <w:rFonts w:hint="eastAsia" w:ascii="宋体" w:hAnsi="宋体" w:eastAsia="宋体" w:cs="宋体"/>
        </w:rPr>
      </w:pPr>
    </w:p>
    <w:p w14:paraId="331BBFB4">
      <w:pPr>
        <w:rPr>
          <w:rFonts w:hint="eastAsia" w:ascii="宋体" w:hAnsi="宋体" w:eastAsia="宋体" w:cs="宋体"/>
        </w:rPr>
      </w:pPr>
    </w:p>
    <w:p w14:paraId="685255B6">
      <w:pPr>
        <w:rPr>
          <w:rFonts w:hint="eastAsia" w:ascii="宋体" w:hAnsi="宋体" w:eastAsia="宋体" w:cs="宋体"/>
        </w:rPr>
      </w:pPr>
    </w:p>
    <w:p w14:paraId="37731B52">
      <w:pPr>
        <w:rPr>
          <w:rFonts w:hint="eastAsia" w:ascii="宋体" w:hAnsi="宋体" w:eastAsia="宋体" w:cs="宋体"/>
        </w:rPr>
      </w:pPr>
    </w:p>
    <w:p w14:paraId="25E2AA1C">
      <w:pPr>
        <w:rPr>
          <w:rFonts w:hint="eastAsia" w:ascii="宋体" w:hAnsi="宋体" w:eastAsia="宋体" w:cs="宋体"/>
        </w:rPr>
      </w:pPr>
    </w:p>
    <w:p w14:paraId="2A9838DA">
      <w:pPr>
        <w:rPr>
          <w:rFonts w:hint="eastAsia" w:ascii="宋体" w:hAnsi="宋体" w:eastAsia="宋体" w:cs="宋体"/>
        </w:rPr>
      </w:pPr>
    </w:p>
    <w:p w14:paraId="7E48A931">
      <w:pPr>
        <w:rPr>
          <w:rFonts w:hint="eastAsia" w:ascii="宋体" w:hAnsi="宋体" w:eastAsia="宋体" w:cs="宋体"/>
        </w:rPr>
      </w:pPr>
    </w:p>
    <w:p w14:paraId="1F63B24E">
      <w:pPr>
        <w:pStyle w:val="30"/>
        <w:keepNext w:val="0"/>
        <w:keepLines w:val="0"/>
        <w:pageBreakBefore/>
        <w:widowControl/>
        <w:numPr>
          <w:ilvl w:val="0"/>
          <w:numId w:val="0"/>
        </w:numPr>
        <w:kinsoku/>
        <w:wordWrap/>
        <w:overflowPunct/>
        <w:topLinePunct w:val="0"/>
        <w:autoSpaceDE/>
        <w:autoSpaceDN/>
        <w:bidi w:val="0"/>
        <w:adjustRightInd/>
        <w:snapToGrid/>
        <w:ind w:leftChars="0"/>
        <w:textAlignment w:val="auto"/>
        <w:rPr>
          <w:rFonts w:hint="eastAsia" w:ascii="宋体" w:hAnsi="宋体" w:eastAsia="宋体" w:cs="宋体"/>
          <w:snapToGrid w:val="0"/>
          <w:color w:val="000000"/>
          <w:kern w:val="0"/>
          <w:sz w:val="28"/>
          <w:szCs w:val="28"/>
        </w:rPr>
      </w:pPr>
      <w:r>
        <w:rPr>
          <w:rFonts w:hint="eastAsia" w:ascii="宋体" w:hAnsi="宋体" w:eastAsia="宋体" w:cs="宋体"/>
          <w:snapToGrid w:val="0"/>
          <w:color w:val="000000"/>
          <w:kern w:val="0"/>
          <w:sz w:val="28"/>
          <w:szCs w:val="28"/>
          <w:lang w:val="en-US" w:eastAsia="zh-CN"/>
        </w:rPr>
        <w:t>九、</w:t>
      </w:r>
      <w:r>
        <w:rPr>
          <w:rFonts w:hint="eastAsia" w:ascii="宋体" w:hAnsi="宋体" w:eastAsia="宋体" w:cs="宋体"/>
          <w:snapToGrid w:val="0"/>
          <w:color w:val="000000"/>
          <w:kern w:val="0"/>
          <w:sz w:val="28"/>
          <w:szCs w:val="28"/>
        </w:rPr>
        <w:t>中小企业声明函</w:t>
      </w:r>
      <w:r>
        <w:rPr>
          <w:rFonts w:hint="eastAsia" w:ascii="宋体" w:hAnsi="宋体" w:eastAsia="宋体" w:cs="宋体"/>
          <w:snapToGrid w:val="0"/>
          <w:color w:val="000000"/>
          <w:kern w:val="0"/>
          <w:sz w:val="28"/>
          <w:szCs w:val="28"/>
          <w:lang w:eastAsia="zh-CN"/>
        </w:rPr>
        <w:t>（如有）</w:t>
      </w:r>
    </w:p>
    <w:p w14:paraId="4440DE7D">
      <w:pPr>
        <w:spacing w:beforeLines="-2147483648" w:afterLines="-2147483648" w:line="240" w:lineRule="auto"/>
        <w:jc w:val="center"/>
        <w:outlineLvl w:val="9"/>
        <w:rPr>
          <w:rFonts w:hint="eastAsia" w:ascii="宋体" w:hAnsi="宋体" w:eastAsia="宋体" w:cs="宋体"/>
          <w:sz w:val="32"/>
          <w:szCs w:val="21"/>
        </w:rPr>
      </w:pPr>
      <w:r>
        <w:rPr>
          <w:rFonts w:hint="eastAsia" w:ascii="宋体" w:hAnsi="宋体" w:eastAsia="宋体" w:cs="宋体"/>
          <w:sz w:val="32"/>
          <w:szCs w:val="21"/>
        </w:rPr>
        <w:t>中小企业声明函（服务）</w:t>
      </w:r>
    </w:p>
    <w:p w14:paraId="4EB5244F">
      <w:pPr>
        <w:spacing w:beforeLines="0" w:afterLines="0"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XXXXXXXXXXXXXXXXXXXXXXXXX</w:t>
      </w:r>
      <w:r>
        <w:rPr>
          <w:rFonts w:hint="eastAsia" w:ascii="宋体" w:hAnsi="宋体" w:eastAsia="宋体" w:cs="宋体"/>
          <w:color w:val="000000"/>
          <w:sz w:val="24"/>
          <w:szCs w:val="24"/>
        </w:rPr>
        <w:t>（单位名称）采购编号为</w:t>
      </w:r>
      <w:r>
        <w:rPr>
          <w:rFonts w:hint="eastAsia" w:ascii="宋体" w:hAnsi="宋体" w:eastAsia="宋体" w:cs="宋体"/>
          <w:color w:val="000000"/>
          <w:sz w:val="24"/>
          <w:szCs w:val="24"/>
          <w:u w:val="single"/>
        </w:rPr>
        <w:t>XXXXXXXXXXXXXXXXXXXXXXXXX</w:t>
      </w:r>
      <w:r>
        <w:rPr>
          <w:rFonts w:hint="eastAsia" w:ascii="宋体" w:hAnsi="宋体" w:eastAsia="宋体" w:cs="宋体"/>
          <w:color w:val="000000"/>
          <w:sz w:val="24"/>
          <w:szCs w:val="24"/>
        </w:rPr>
        <w:t>项目（采购包号：</w:t>
      </w:r>
      <w:r>
        <w:rPr>
          <w:rFonts w:hint="eastAsia" w:ascii="宋体" w:hAnsi="宋体" w:eastAsia="宋体" w:cs="宋体"/>
          <w:color w:val="000000"/>
          <w:sz w:val="24"/>
          <w:szCs w:val="24"/>
          <w:u w:val="single"/>
        </w:rPr>
        <w:t>XXX</w:t>
      </w:r>
      <w:r>
        <w:rPr>
          <w:rFonts w:hint="eastAsia" w:ascii="宋体" w:hAnsi="宋体" w:eastAsia="宋体" w:cs="宋体"/>
          <w:color w:val="000000"/>
          <w:sz w:val="24"/>
          <w:szCs w:val="24"/>
        </w:rPr>
        <w:t>）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p>
    <w:p w14:paraId="171CD128">
      <w:pPr>
        <w:spacing w:beforeLines="0" w:afterLines="0"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（标的名称）属于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行业（磋商文件中明确的所属行业）；承接企业为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w:t>
      </w:r>
      <w:r>
        <w:rPr>
          <w:rFonts w:hint="eastAsia" w:ascii="宋体" w:hAnsi="宋体" w:eastAsia="宋体" w:cs="宋体"/>
          <w:color w:val="000000"/>
          <w:sz w:val="24"/>
          <w:szCs w:val="24"/>
          <w:vertAlign w:val="superscript"/>
        </w:rPr>
        <w:t>1</w:t>
      </w:r>
      <w:r>
        <w:rPr>
          <w:rFonts w:hint="eastAsia" w:ascii="宋体" w:hAnsi="宋体" w:eastAsia="宋体" w:cs="宋体"/>
          <w:color w:val="000000"/>
          <w:sz w:val="24"/>
          <w:szCs w:val="24"/>
        </w:rPr>
        <w:t>，属于</w:t>
      </w:r>
      <w:r>
        <w:rPr>
          <w:rFonts w:hint="eastAsia" w:ascii="宋体" w:hAnsi="宋体" w:eastAsia="宋体" w:cs="宋体"/>
          <w:color w:val="000000"/>
          <w:sz w:val="24"/>
          <w:szCs w:val="24"/>
        </w:rPr>
        <w:sym w:font="Wingdings" w:char="F0A8"/>
      </w:r>
      <w:r>
        <w:rPr>
          <w:rFonts w:hint="eastAsia" w:ascii="宋体" w:hAnsi="宋体" w:eastAsia="宋体" w:cs="宋体"/>
          <w:color w:val="000000"/>
          <w:sz w:val="24"/>
          <w:szCs w:val="24"/>
        </w:rPr>
        <w:t xml:space="preserve">中型企业 </w:t>
      </w:r>
      <w:r>
        <w:rPr>
          <w:rFonts w:hint="eastAsia" w:ascii="宋体" w:hAnsi="宋体" w:eastAsia="宋体" w:cs="宋体"/>
          <w:color w:val="000000"/>
          <w:sz w:val="24"/>
          <w:szCs w:val="24"/>
        </w:rPr>
        <w:sym w:font="Wingdings" w:char="F0A8"/>
      </w:r>
      <w:r>
        <w:rPr>
          <w:rFonts w:hint="eastAsia" w:ascii="宋体" w:hAnsi="宋体" w:eastAsia="宋体" w:cs="宋体"/>
          <w:color w:val="000000"/>
          <w:sz w:val="24"/>
          <w:szCs w:val="24"/>
        </w:rPr>
        <w:t xml:space="preserve">小型企业 </w:t>
      </w:r>
      <w:r>
        <w:rPr>
          <w:rFonts w:hint="eastAsia" w:ascii="宋体" w:hAnsi="宋体" w:eastAsia="宋体" w:cs="宋体"/>
          <w:color w:val="000000"/>
          <w:sz w:val="24"/>
          <w:szCs w:val="24"/>
        </w:rPr>
        <w:sym w:font="Wingdings" w:char="F0A8"/>
      </w:r>
      <w:r>
        <w:rPr>
          <w:rFonts w:hint="eastAsia" w:ascii="宋体" w:hAnsi="宋体" w:eastAsia="宋体" w:cs="宋体"/>
          <w:color w:val="000000"/>
          <w:sz w:val="24"/>
          <w:szCs w:val="24"/>
        </w:rPr>
        <w:t>微型企业。</w:t>
      </w:r>
    </w:p>
    <w:p w14:paraId="127851CC">
      <w:pPr>
        <w:spacing w:beforeLines="0" w:afterLines="0" w:line="360" w:lineRule="auto"/>
        <w:ind w:firstLine="360"/>
        <w:rPr>
          <w:rFonts w:hint="eastAsia" w:ascii="宋体" w:hAnsi="宋体" w:eastAsia="宋体" w:cs="宋体"/>
          <w:i w:val="0"/>
          <w:color w:val="000000"/>
          <w:sz w:val="24"/>
          <w:szCs w:val="24"/>
        </w:rPr>
      </w:pPr>
      <w:r>
        <w:rPr>
          <w:rFonts w:hint="eastAsia" w:ascii="宋体" w:hAnsi="宋体" w:eastAsia="宋体" w:cs="宋体"/>
          <w:color w:val="000000"/>
          <w:sz w:val="24"/>
          <w:szCs w:val="24"/>
        </w:rPr>
        <w:t>2.</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（标的名称）属于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行业（磋商文件中明确的所属行业）；承接企业为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w:t>
      </w:r>
      <w:r>
        <w:rPr>
          <w:rFonts w:hint="eastAsia" w:ascii="宋体" w:hAnsi="宋体" w:eastAsia="宋体" w:cs="宋体"/>
          <w:color w:val="000000"/>
          <w:sz w:val="24"/>
          <w:szCs w:val="24"/>
          <w:vertAlign w:val="superscript"/>
        </w:rPr>
        <w:t>1</w:t>
      </w:r>
      <w:r>
        <w:rPr>
          <w:rFonts w:hint="eastAsia" w:ascii="宋体" w:hAnsi="宋体" w:eastAsia="宋体" w:cs="宋体"/>
          <w:color w:val="000000"/>
          <w:sz w:val="24"/>
          <w:szCs w:val="24"/>
        </w:rPr>
        <w:t>，属于</w:t>
      </w:r>
      <w:r>
        <w:rPr>
          <w:rFonts w:hint="eastAsia" w:ascii="宋体" w:hAnsi="宋体" w:eastAsia="宋体" w:cs="宋体"/>
          <w:color w:val="000000"/>
          <w:sz w:val="24"/>
          <w:szCs w:val="24"/>
        </w:rPr>
        <w:sym w:font="Wingdings" w:char="F0A8"/>
      </w:r>
      <w:r>
        <w:rPr>
          <w:rFonts w:hint="eastAsia" w:ascii="宋体" w:hAnsi="宋体" w:eastAsia="宋体" w:cs="宋体"/>
          <w:color w:val="000000"/>
          <w:sz w:val="24"/>
          <w:szCs w:val="24"/>
        </w:rPr>
        <w:t xml:space="preserve">中型企业 </w:t>
      </w:r>
      <w:r>
        <w:rPr>
          <w:rFonts w:hint="eastAsia" w:ascii="宋体" w:hAnsi="宋体" w:eastAsia="宋体" w:cs="宋体"/>
          <w:color w:val="000000"/>
          <w:sz w:val="24"/>
          <w:szCs w:val="24"/>
        </w:rPr>
        <w:sym w:font="Wingdings" w:char="F0A8"/>
      </w:r>
      <w:r>
        <w:rPr>
          <w:rFonts w:hint="eastAsia" w:ascii="宋体" w:hAnsi="宋体" w:eastAsia="宋体" w:cs="宋体"/>
          <w:color w:val="000000"/>
          <w:sz w:val="24"/>
          <w:szCs w:val="24"/>
        </w:rPr>
        <w:t xml:space="preserve">小型企业 </w:t>
      </w:r>
      <w:r>
        <w:rPr>
          <w:rFonts w:hint="eastAsia" w:ascii="宋体" w:hAnsi="宋体" w:eastAsia="宋体" w:cs="宋体"/>
          <w:color w:val="000000"/>
          <w:sz w:val="24"/>
          <w:szCs w:val="24"/>
        </w:rPr>
        <w:sym w:font="Wingdings" w:char="F0A8"/>
      </w:r>
      <w:r>
        <w:rPr>
          <w:rFonts w:hint="eastAsia" w:ascii="宋体" w:hAnsi="宋体" w:eastAsia="宋体" w:cs="宋体"/>
          <w:color w:val="000000"/>
          <w:sz w:val="24"/>
          <w:szCs w:val="24"/>
        </w:rPr>
        <w:t>微型企业。</w:t>
      </w:r>
    </w:p>
    <w:p w14:paraId="7ACB0ABA">
      <w:pPr>
        <w:spacing w:beforeLines="0" w:afterLines="0" w:line="360" w:lineRule="auto"/>
        <w:ind w:firstLine="360"/>
        <w:rPr>
          <w:rFonts w:hint="eastAsia" w:ascii="宋体" w:hAnsi="宋体" w:eastAsia="宋体" w:cs="宋体"/>
          <w:color w:val="000000"/>
          <w:sz w:val="24"/>
          <w:szCs w:val="24"/>
        </w:rPr>
      </w:pPr>
      <w:r>
        <w:rPr>
          <w:rFonts w:hint="eastAsia" w:ascii="宋体" w:hAnsi="宋体" w:eastAsia="宋体" w:cs="宋体"/>
          <w:color w:val="000000"/>
          <w:sz w:val="24"/>
          <w:szCs w:val="24"/>
        </w:rPr>
        <w:t>……以上企业，不属于大企业的分支机构，不存在控股股东为大企业的情形，也不存在与大企业的负责人为同一人的情形。</w:t>
      </w:r>
    </w:p>
    <w:p w14:paraId="3C1FF95D">
      <w:pPr>
        <w:spacing w:beforeLines="0" w:afterLines="0"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本企业对上述声明内容的真实性负责，如有虚假，将依法承担相应责任。</w:t>
      </w:r>
    </w:p>
    <w:p w14:paraId="674926CA">
      <w:pPr>
        <w:spacing w:beforeLines="0" w:afterLines="0" w:line="360" w:lineRule="auto"/>
        <w:ind w:right="180" w:firstLine="36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企业名称：（加盖电子公章）</w:t>
      </w:r>
    </w:p>
    <w:p w14:paraId="306E137D">
      <w:pPr>
        <w:spacing w:beforeLines="0" w:afterLines="0" w:line="360" w:lineRule="auto"/>
        <w:ind w:firstLine="6000"/>
        <w:rPr>
          <w:rFonts w:hint="eastAsia" w:ascii="宋体" w:hAnsi="宋体" w:eastAsia="宋体" w:cs="宋体"/>
          <w:color w:val="000000"/>
          <w:sz w:val="24"/>
          <w:szCs w:val="24"/>
        </w:rPr>
      </w:pPr>
      <w:r>
        <w:rPr>
          <w:rFonts w:hint="eastAsia" w:ascii="宋体" w:hAnsi="宋体" w:eastAsia="宋体" w:cs="宋体"/>
          <w:color w:val="000000"/>
          <w:sz w:val="24"/>
          <w:szCs w:val="24"/>
        </w:rPr>
        <w:t>日    期：</w:t>
      </w:r>
    </w:p>
    <w:p w14:paraId="59DD7B6D">
      <w:pPr>
        <w:widowControl/>
        <w:spacing w:beforeLines="0" w:afterLines="0" w:line="360" w:lineRule="auto"/>
        <w:ind w:firstLine="480"/>
        <w:rPr>
          <w:rFonts w:hint="eastAsia" w:ascii="宋体" w:hAnsi="宋体" w:eastAsia="宋体" w:cs="宋体"/>
          <w:color w:val="000000"/>
          <w:sz w:val="24"/>
          <w:szCs w:val="24"/>
        </w:rPr>
      </w:pPr>
    </w:p>
    <w:p w14:paraId="2F874C00">
      <w:pPr>
        <w:spacing w:beforeLines="0" w:afterLines="0" w:line="240" w:lineRule="auto"/>
        <w:ind w:firstLine="480"/>
        <w:rPr>
          <w:rFonts w:hint="eastAsia" w:ascii="宋体" w:hAnsi="宋体" w:eastAsia="宋体" w:cs="宋体"/>
          <w:snapToGrid w:val="0"/>
          <w:color w:val="000000"/>
          <w:kern w:val="0"/>
          <w:sz w:val="28"/>
          <w:szCs w:val="28"/>
          <w:lang w:val="en-US" w:eastAsia="zh-CN"/>
        </w:rPr>
      </w:pPr>
      <w:r>
        <w:rPr>
          <w:rFonts w:hint="eastAsia" w:ascii="宋体" w:hAnsi="宋体" w:eastAsia="宋体" w:cs="宋体"/>
          <w:color w:val="000000"/>
          <w:sz w:val="21"/>
          <w:szCs w:val="21"/>
        </w:rPr>
        <w:t>备注：1.从业人员、营业收入、资产总额填报上一年度数据，无上一年度数据的新成立企业可不填报。2.在所属企业类型前的¨内打“√”。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p>
    <w:p w14:paraId="4942317B">
      <w:pPr>
        <w:pStyle w:val="30"/>
        <w:keepNext w:val="0"/>
        <w:keepLines w:val="0"/>
        <w:pageBreakBefore/>
        <w:widowControl/>
        <w:numPr>
          <w:ilvl w:val="0"/>
          <w:numId w:val="0"/>
        </w:numPr>
        <w:kinsoku/>
        <w:wordWrap/>
        <w:overflowPunct/>
        <w:topLinePunct w:val="0"/>
        <w:autoSpaceDE/>
        <w:autoSpaceDN/>
        <w:bidi w:val="0"/>
        <w:adjustRightInd/>
        <w:snapToGrid/>
        <w:ind w:leftChars="0"/>
        <w:textAlignment w:val="auto"/>
        <w:rPr>
          <w:rFonts w:hint="eastAsia" w:ascii="宋体" w:hAnsi="宋体" w:eastAsia="宋体" w:cs="宋体"/>
          <w:snapToGrid w:val="0"/>
          <w:color w:val="000000"/>
          <w:kern w:val="0"/>
          <w:sz w:val="28"/>
          <w:szCs w:val="28"/>
        </w:rPr>
      </w:pPr>
      <w:r>
        <w:rPr>
          <w:rFonts w:hint="eastAsia" w:ascii="宋体" w:hAnsi="宋体" w:eastAsia="宋体" w:cs="宋体"/>
          <w:snapToGrid w:val="0"/>
          <w:color w:val="000000"/>
          <w:kern w:val="0"/>
          <w:sz w:val="28"/>
          <w:szCs w:val="28"/>
          <w:lang w:val="en-US" w:eastAsia="zh-CN"/>
        </w:rPr>
        <w:t>十、</w:t>
      </w:r>
      <w:r>
        <w:rPr>
          <w:rFonts w:hint="eastAsia" w:ascii="宋体" w:hAnsi="宋体" w:eastAsia="宋体" w:cs="宋体"/>
          <w:snapToGrid w:val="0"/>
          <w:color w:val="000000"/>
          <w:kern w:val="0"/>
          <w:sz w:val="28"/>
          <w:szCs w:val="28"/>
        </w:rPr>
        <w:t>残疾人福利性单位声明函</w:t>
      </w:r>
      <w:r>
        <w:rPr>
          <w:rFonts w:hint="eastAsia" w:ascii="宋体" w:hAnsi="宋体" w:eastAsia="宋体" w:cs="宋体"/>
          <w:snapToGrid w:val="0"/>
          <w:color w:val="000000"/>
          <w:kern w:val="0"/>
          <w:sz w:val="28"/>
          <w:szCs w:val="28"/>
          <w:lang w:eastAsia="zh-CN"/>
        </w:rPr>
        <w:t>（如有）</w:t>
      </w:r>
    </w:p>
    <w:p w14:paraId="764BBF0A">
      <w:pPr>
        <w:adjustRightInd/>
        <w:snapToGrid/>
        <w:spacing w:line="240" w:lineRule="auto"/>
        <w:jc w:val="center"/>
        <w:outlineLvl w:val="9"/>
        <w:rPr>
          <w:rFonts w:hint="eastAsia" w:ascii="宋体" w:hAnsi="宋体" w:eastAsia="宋体" w:cs="宋体"/>
          <w:sz w:val="32"/>
          <w:szCs w:val="21"/>
        </w:rPr>
      </w:pPr>
      <w:r>
        <w:rPr>
          <w:rFonts w:hint="eastAsia" w:ascii="宋体" w:hAnsi="宋体" w:eastAsia="宋体" w:cs="宋体"/>
          <w:sz w:val="32"/>
          <w:szCs w:val="21"/>
        </w:rPr>
        <w:t>残疾人福利性单位声明函</w:t>
      </w:r>
    </w:p>
    <w:p w14:paraId="00179D88">
      <w:pPr>
        <w:adjustRightInd w:val="0"/>
        <w:snapToGrid w:val="0"/>
        <w:spacing w:line="360" w:lineRule="auto"/>
        <w:ind w:firstLine="480" w:firstLineChars="200"/>
        <w:rPr>
          <w:rFonts w:hint="eastAsia" w:ascii="宋体" w:hAnsi="宋体" w:eastAsia="宋体" w:cs="宋体"/>
          <w:sz w:val="24"/>
          <w:szCs w:val="21"/>
        </w:rPr>
      </w:pPr>
      <w:r>
        <w:rPr>
          <w:rFonts w:hint="eastAsia" w:ascii="宋体" w:hAnsi="宋体" w:eastAsia="宋体" w:cs="宋体"/>
          <w:sz w:val="24"/>
          <w:szCs w:val="22"/>
        </w:rPr>
        <w:t>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宋体"/>
          <w:sz w:val="24"/>
          <w:szCs w:val="24"/>
        </w:rPr>
        <w:t>参加</w:t>
      </w:r>
      <w:r>
        <w:rPr>
          <w:rFonts w:hint="eastAsia" w:ascii="宋体" w:hAnsi="宋体" w:eastAsia="宋体" w:cs="宋体"/>
          <w:sz w:val="24"/>
          <w:szCs w:val="24"/>
          <w:u w:val="single"/>
        </w:rPr>
        <w:t>XXXXXXXXXXXXXXXXXXXXXXXXX</w:t>
      </w:r>
      <w:r>
        <w:rPr>
          <w:rFonts w:hint="eastAsia" w:ascii="宋体" w:hAnsi="宋体" w:eastAsia="宋体" w:cs="宋体"/>
          <w:sz w:val="24"/>
          <w:szCs w:val="24"/>
        </w:rPr>
        <w:t>（单位名称）项目编号为</w:t>
      </w:r>
      <w:r>
        <w:rPr>
          <w:rFonts w:hint="eastAsia" w:ascii="宋体" w:hAnsi="宋体" w:eastAsia="宋体" w:cs="宋体"/>
          <w:sz w:val="24"/>
          <w:szCs w:val="24"/>
          <w:u w:val="single"/>
        </w:rPr>
        <w:t>XXXXXXXXXXXXXXXXXXXXXXXXX</w:t>
      </w:r>
      <w:r>
        <w:rPr>
          <w:rFonts w:hint="eastAsia" w:ascii="宋体" w:hAnsi="宋体" w:eastAsia="宋体" w:cs="宋体"/>
          <w:sz w:val="24"/>
          <w:szCs w:val="24"/>
        </w:rPr>
        <w:t>项目）的采购活动</w:t>
      </w:r>
      <w:r>
        <w:rPr>
          <w:rFonts w:hint="eastAsia" w:ascii="宋体" w:hAnsi="宋体" w:eastAsia="宋体" w:cs="宋体"/>
          <w:sz w:val="24"/>
          <w:szCs w:val="22"/>
        </w:rPr>
        <w:t>，</w:t>
      </w:r>
      <w:r>
        <w:rPr>
          <w:rFonts w:hint="eastAsia" w:ascii="宋体" w:hAnsi="宋体" w:eastAsia="宋体" w:cs="宋体"/>
          <w:sz w:val="24"/>
          <w:szCs w:val="24"/>
        </w:rPr>
        <w:t>服务全部由本单位提供</w:t>
      </w:r>
      <w:r>
        <w:rPr>
          <w:rFonts w:hint="eastAsia" w:ascii="宋体" w:hAnsi="宋体" w:eastAsia="宋体" w:cs="宋体"/>
          <w:sz w:val="24"/>
          <w:szCs w:val="21"/>
        </w:rPr>
        <w:t>。</w:t>
      </w:r>
    </w:p>
    <w:p w14:paraId="7649D155">
      <w:pPr>
        <w:adjustRightInd w:val="0"/>
        <w:snapToGrid w:val="0"/>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本单位对上述声明的真实性负责，如有虚假，将依法承担相应责任。</w:t>
      </w:r>
    </w:p>
    <w:p w14:paraId="66F67401">
      <w:pPr>
        <w:pStyle w:val="46"/>
        <w:adjustRightInd w:val="0"/>
        <w:snapToGrid w:val="0"/>
        <w:spacing w:line="360" w:lineRule="auto"/>
        <w:rPr>
          <w:rFonts w:hint="eastAsia" w:ascii="宋体" w:hAnsi="宋体" w:eastAsia="宋体" w:cs="宋体"/>
          <w:sz w:val="24"/>
          <w:szCs w:val="24"/>
        </w:rPr>
      </w:pPr>
    </w:p>
    <w:p w14:paraId="23C7F9BB">
      <w:pPr>
        <w:adjustRightInd w:val="0"/>
        <w:snapToGrid w:val="0"/>
        <w:spacing w:line="360" w:lineRule="auto"/>
        <w:rPr>
          <w:rFonts w:hint="eastAsia" w:ascii="宋体" w:hAnsi="宋体" w:eastAsia="宋体" w:cs="宋体"/>
          <w:sz w:val="21"/>
          <w:szCs w:val="22"/>
        </w:rPr>
      </w:pPr>
    </w:p>
    <w:p w14:paraId="4F32E4D7">
      <w:pPr>
        <w:pStyle w:val="20"/>
        <w:rPr>
          <w:rFonts w:hint="eastAsia" w:ascii="宋体" w:hAnsi="宋体" w:eastAsia="宋体" w:cs="宋体"/>
          <w:sz w:val="21"/>
          <w:szCs w:val="22"/>
        </w:rPr>
      </w:pPr>
    </w:p>
    <w:p w14:paraId="70BCF3F9">
      <w:pPr>
        <w:rPr>
          <w:rFonts w:hint="eastAsia" w:ascii="宋体" w:hAnsi="宋体" w:eastAsia="宋体" w:cs="宋体"/>
          <w:sz w:val="21"/>
          <w:szCs w:val="22"/>
        </w:rPr>
      </w:pPr>
    </w:p>
    <w:p w14:paraId="6FE92FA5">
      <w:pPr>
        <w:pStyle w:val="20"/>
        <w:rPr>
          <w:rFonts w:hint="eastAsia" w:ascii="宋体" w:hAnsi="宋体" w:eastAsia="宋体" w:cs="宋体"/>
          <w:sz w:val="21"/>
          <w:szCs w:val="22"/>
        </w:rPr>
      </w:pPr>
    </w:p>
    <w:p w14:paraId="10CA1301">
      <w:pPr>
        <w:rPr>
          <w:rFonts w:hint="eastAsia" w:ascii="宋体" w:hAnsi="宋体" w:eastAsia="宋体" w:cs="宋体"/>
          <w:sz w:val="21"/>
          <w:szCs w:val="22"/>
        </w:rPr>
      </w:pPr>
    </w:p>
    <w:p w14:paraId="11A67D22">
      <w:pPr>
        <w:pStyle w:val="20"/>
        <w:rPr>
          <w:rFonts w:hint="eastAsia" w:ascii="宋体" w:hAnsi="宋体" w:eastAsia="宋体" w:cs="宋体"/>
          <w:sz w:val="28"/>
          <w:szCs w:val="21"/>
        </w:rPr>
      </w:pPr>
    </w:p>
    <w:p w14:paraId="17EDE145">
      <w:pPr>
        <w:adjustRightInd w:val="0"/>
        <w:snapToGrid w:val="0"/>
        <w:spacing w:line="360" w:lineRule="auto"/>
        <w:ind w:right="180" w:firstLine="360" w:firstLineChars="150"/>
        <w:jc w:val="center"/>
        <w:rPr>
          <w:rFonts w:hint="eastAsia" w:ascii="宋体" w:hAnsi="宋体" w:eastAsia="宋体" w:cs="宋体"/>
          <w:sz w:val="24"/>
          <w:szCs w:val="24"/>
        </w:rPr>
      </w:pPr>
      <w:r>
        <w:rPr>
          <w:rFonts w:hint="eastAsia" w:ascii="宋体" w:hAnsi="宋体" w:eastAsia="宋体" w:cs="宋体"/>
          <w:sz w:val="24"/>
          <w:szCs w:val="24"/>
        </w:rPr>
        <w:t xml:space="preserve">                                       供应商名称：（加盖电子公章）</w:t>
      </w:r>
    </w:p>
    <w:p w14:paraId="72DAA4F2">
      <w:pPr>
        <w:adjustRightInd w:val="0"/>
        <w:snapToGrid w:val="0"/>
        <w:spacing w:line="360" w:lineRule="auto"/>
        <w:ind w:right="180" w:firstLine="360" w:firstLineChars="150"/>
        <w:jc w:val="center"/>
        <w:rPr>
          <w:rFonts w:hint="eastAsia" w:ascii="宋体" w:hAnsi="宋体" w:eastAsia="宋体" w:cs="宋体"/>
          <w:sz w:val="24"/>
          <w:szCs w:val="24"/>
        </w:rPr>
      </w:pPr>
      <w:r>
        <w:rPr>
          <w:rFonts w:hint="eastAsia" w:ascii="宋体" w:hAnsi="宋体" w:eastAsia="宋体" w:cs="宋体"/>
          <w:sz w:val="24"/>
          <w:szCs w:val="24"/>
        </w:rPr>
        <w:t xml:space="preserve">                     日    期：</w:t>
      </w:r>
    </w:p>
    <w:p w14:paraId="606A5C9D">
      <w:pPr>
        <w:adjustRightInd w:val="0"/>
        <w:snapToGrid w:val="0"/>
        <w:spacing w:line="360" w:lineRule="auto"/>
        <w:ind w:firstLine="480" w:firstLineChars="200"/>
        <w:rPr>
          <w:rFonts w:hint="eastAsia" w:ascii="宋体" w:hAnsi="宋体" w:eastAsia="宋体" w:cs="宋体"/>
          <w:sz w:val="24"/>
          <w:szCs w:val="22"/>
        </w:rPr>
      </w:pPr>
    </w:p>
    <w:p w14:paraId="2ABABEE4">
      <w:pPr>
        <w:adjustRightInd w:val="0"/>
        <w:snapToGrid w:val="0"/>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备注：</w:t>
      </w:r>
    </w:p>
    <w:p w14:paraId="15C3CF60">
      <w:pPr>
        <w:adjustRightInd/>
        <w:snapToGrid/>
        <w:spacing w:line="360" w:lineRule="auto"/>
        <w:ind w:firstLine="480" w:firstLineChars="200"/>
        <w:outlineLvl w:val="9"/>
        <w:rPr>
          <w:rFonts w:hint="eastAsia" w:ascii="宋体" w:hAnsi="宋体" w:eastAsia="宋体" w:cs="宋体"/>
          <w:sz w:val="24"/>
          <w:szCs w:val="21"/>
        </w:rPr>
      </w:pPr>
      <w:r>
        <w:rPr>
          <w:rFonts w:hint="eastAsia" w:ascii="宋体" w:hAnsi="宋体" w:eastAsia="宋体" w:cs="宋体"/>
          <w:sz w:val="24"/>
          <w:szCs w:val="21"/>
        </w:rPr>
        <w:t>1.供应商如不提供此声明函，价格将不做相应扣除。</w:t>
      </w:r>
    </w:p>
    <w:p w14:paraId="3DF1E3AA">
      <w:pPr>
        <w:spacing w:line="360" w:lineRule="auto"/>
        <w:ind w:firstLine="480" w:firstLineChars="200"/>
        <w:rPr>
          <w:rFonts w:hint="eastAsia" w:ascii="宋体" w:hAnsi="宋体" w:eastAsia="宋体" w:cs="宋体"/>
          <w:sz w:val="24"/>
          <w:szCs w:val="21"/>
        </w:rPr>
      </w:pPr>
      <w:r>
        <w:rPr>
          <w:rFonts w:hint="eastAsia" w:ascii="宋体" w:hAnsi="宋体" w:eastAsia="宋体" w:cs="宋体"/>
          <w:sz w:val="24"/>
          <w:szCs w:val="21"/>
        </w:rPr>
        <w:t>2.成交供应商为残疾人福利性单位的，此声明函将随成交结果同时公告，接受社会监督。</w:t>
      </w:r>
    </w:p>
    <w:p w14:paraId="1E24D455">
      <w:pPr>
        <w:rPr>
          <w:rFonts w:hint="eastAsia" w:ascii="宋体" w:hAnsi="宋体" w:eastAsia="宋体" w:cs="宋体"/>
          <w:sz w:val="24"/>
          <w:szCs w:val="22"/>
        </w:rPr>
      </w:pPr>
    </w:p>
    <w:p w14:paraId="0624EBEE">
      <w:pPr>
        <w:pStyle w:val="20"/>
        <w:rPr>
          <w:rFonts w:hint="eastAsia" w:ascii="宋体" w:hAnsi="宋体" w:eastAsia="宋体" w:cs="宋体"/>
          <w:sz w:val="24"/>
          <w:szCs w:val="22"/>
        </w:rPr>
      </w:pPr>
    </w:p>
    <w:p w14:paraId="69281417">
      <w:pPr>
        <w:pStyle w:val="20"/>
        <w:ind w:left="0" w:leftChars="0" w:firstLine="0" w:firstLineChars="0"/>
        <w:rPr>
          <w:rFonts w:hint="eastAsia" w:ascii="宋体" w:hAnsi="宋体" w:eastAsia="宋体" w:cs="宋体"/>
          <w:sz w:val="24"/>
          <w:szCs w:val="22"/>
        </w:rPr>
      </w:pPr>
    </w:p>
    <w:bookmarkEnd w:id="173"/>
    <w:bookmarkEnd w:id="174"/>
    <w:bookmarkEnd w:id="175"/>
    <w:bookmarkEnd w:id="176"/>
    <w:bookmarkEnd w:id="177"/>
    <w:p w14:paraId="16788F6D">
      <w:pPr>
        <w:pStyle w:val="30"/>
        <w:keepNext w:val="0"/>
        <w:keepLines w:val="0"/>
        <w:pageBreakBefore/>
        <w:widowControl/>
        <w:numPr>
          <w:ilvl w:val="0"/>
          <w:numId w:val="0"/>
        </w:numPr>
        <w:kinsoku/>
        <w:wordWrap/>
        <w:overflowPunct/>
        <w:topLinePunct w:val="0"/>
        <w:autoSpaceDE/>
        <w:autoSpaceDN/>
        <w:bidi w:val="0"/>
        <w:adjustRightInd/>
        <w:snapToGrid/>
        <w:ind w:leftChars="0"/>
        <w:textAlignment w:val="auto"/>
        <w:rPr>
          <w:rFonts w:hint="eastAsia" w:ascii="宋体" w:hAnsi="宋体" w:eastAsia="宋体" w:cs="宋体"/>
          <w:snapToGrid w:val="0"/>
          <w:color w:val="000000"/>
          <w:kern w:val="0"/>
        </w:rPr>
      </w:pPr>
      <w:r>
        <w:rPr>
          <w:rFonts w:hint="eastAsia" w:ascii="宋体" w:hAnsi="宋体" w:eastAsia="宋体" w:cs="宋体"/>
          <w:snapToGrid w:val="0"/>
          <w:color w:val="000000"/>
          <w:kern w:val="0"/>
          <w:lang w:val="en-US" w:eastAsia="zh-CN"/>
        </w:rPr>
        <w:t>十一、</w:t>
      </w:r>
      <w:r>
        <w:rPr>
          <w:rFonts w:hint="eastAsia" w:ascii="宋体" w:hAnsi="宋体" w:eastAsia="宋体" w:cs="宋体"/>
          <w:snapToGrid w:val="0"/>
          <w:color w:val="000000"/>
          <w:kern w:val="0"/>
          <w:lang w:eastAsia="zh-CN"/>
        </w:rPr>
        <w:t>方案与承诺（格式自拟，</w:t>
      </w:r>
      <w:r>
        <w:rPr>
          <w:rFonts w:hint="eastAsia" w:ascii="宋体" w:hAnsi="宋体" w:eastAsia="宋体" w:cs="宋体"/>
          <w:snapToGrid w:val="0"/>
          <w:color w:val="000000"/>
          <w:kern w:val="0"/>
          <w:lang w:val="en-US" w:eastAsia="zh-CN"/>
        </w:rPr>
        <w:t>加盖电子公章</w:t>
      </w:r>
      <w:r>
        <w:rPr>
          <w:rFonts w:hint="eastAsia" w:ascii="宋体" w:hAnsi="宋体" w:eastAsia="宋体" w:cs="宋体"/>
          <w:snapToGrid w:val="0"/>
          <w:color w:val="000000"/>
          <w:kern w:val="0"/>
          <w:lang w:eastAsia="zh-CN"/>
        </w:rPr>
        <w:t>）</w:t>
      </w:r>
    </w:p>
    <w:p w14:paraId="666D78D7">
      <w:pPr>
        <w:rPr>
          <w:rFonts w:hint="eastAsia" w:ascii="宋体" w:hAnsi="宋体" w:eastAsia="宋体" w:cs="宋体"/>
          <w:lang w:eastAsia="zh-CN"/>
        </w:rPr>
      </w:pPr>
    </w:p>
    <w:p w14:paraId="77CBDDE2">
      <w:pPr>
        <w:rPr>
          <w:rFonts w:hint="eastAsia" w:ascii="宋体" w:hAnsi="宋体" w:eastAsia="宋体" w:cs="宋体"/>
          <w:lang w:eastAsia="zh-CN"/>
        </w:rPr>
      </w:pPr>
    </w:p>
    <w:p w14:paraId="56074118">
      <w:pPr>
        <w:rPr>
          <w:rFonts w:hint="eastAsia" w:ascii="宋体" w:hAnsi="宋体" w:eastAsia="宋体" w:cs="宋体"/>
          <w:lang w:eastAsia="zh-CN"/>
        </w:rPr>
      </w:pPr>
    </w:p>
    <w:p w14:paraId="1BAE13F8">
      <w:pPr>
        <w:rPr>
          <w:rFonts w:hint="eastAsia" w:ascii="宋体" w:hAnsi="宋体" w:eastAsia="宋体" w:cs="宋体"/>
          <w:lang w:eastAsia="zh-CN"/>
        </w:rPr>
      </w:pPr>
    </w:p>
    <w:p w14:paraId="3C9B19D7">
      <w:pPr>
        <w:rPr>
          <w:rFonts w:hint="eastAsia" w:ascii="宋体" w:hAnsi="宋体" w:eastAsia="宋体" w:cs="宋体"/>
          <w:lang w:eastAsia="zh-CN"/>
        </w:rPr>
      </w:pPr>
    </w:p>
    <w:p w14:paraId="70B9BF51">
      <w:pPr>
        <w:rPr>
          <w:rFonts w:hint="eastAsia" w:ascii="宋体" w:hAnsi="宋体" w:eastAsia="宋体" w:cs="宋体"/>
          <w:lang w:eastAsia="zh-CN"/>
        </w:rPr>
      </w:pPr>
    </w:p>
    <w:p w14:paraId="77A618DE">
      <w:pPr>
        <w:rPr>
          <w:rFonts w:hint="eastAsia" w:ascii="宋体" w:hAnsi="宋体" w:eastAsia="宋体" w:cs="宋体"/>
          <w:lang w:eastAsia="zh-CN"/>
        </w:rPr>
      </w:pPr>
    </w:p>
    <w:p w14:paraId="77CCC767">
      <w:pPr>
        <w:rPr>
          <w:rFonts w:hint="eastAsia" w:ascii="宋体" w:hAnsi="宋体" w:eastAsia="宋体" w:cs="宋体"/>
          <w:lang w:eastAsia="zh-CN"/>
        </w:rPr>
      </w:pPr>
    </w:p>
    <w:p w14:paraId="14951B1D">
      <w:pPr>
        <w:rPr>
          <w:rFonts w:hint="eastAsia" w:ascii="宋体" w:hAnsi="宋体" w:eastAsia="宋体" w:cs="宋体"/>
          <w:lang w:eastAsia="zh-CN"/>
        </w:rPr>
      </w:pPr>
    </w:p>
    <w:p w14:paraId="1A5C68B0">
      <w:pPr>
        <w:rPr>
          <w:rFonts w:hint="eastAsia" w:ascii="宋体" w:hAnsi="宋体" w:eastAsia="宋体" w:cs="宋体"/>
          <w:lang w:eastAsia="zh-CN"/>
        </w:rPr>
      </w:pPr>
    </w:p>
    <w:p w14:paraId="08FC1C7D">
      <w:pPr>
        <w:rPr>
          <w:rFonts w:hint="eastAsia" w:ascii="宋体" w:hAnsi="宋体" w:eastAsia="宋体" w:cs="宋体"/>
          <w:lang w:eastAsia="zh-CN"/>
        </w:rPr>
      </w:pPr>
    </w:p>
    <w:p w14:paraId="255D36E2">
      <w:pPr>
        <w:rPr>
          <w:rFonts w:hint="eastAsia" w:ascii="宋体" w:hAnsi="宋体" w:eastAsia="宋体" w:cs="宋体"/>
          <w:lang w:eastAsia="zh-CN"/>
        </w:rPr>
      </w:pPr>
    </w:p>
    <w:p w14:paraId="4B8B0D53">
      <w:pPr>
        <w:rPr>
          <w:rFonts w:hint="eastAsia" w:ascii="宋体" w:hAnsi="宋体" w:eastAsia="宋体" w:cs="宋体"/>
          <w:lang w:eastAsia="zh-CN"/>
        </w:rPr>
      </w:pPr>
    </w:p>
    <w:p w14:paraId="5F4EB8ED">
      <w:pPr>
        <w:rPr>
          <w:rFonts w:hint="eastAsia" w:ascii="宋体" w:hAnsi="宋体" w:eastAsia="宋体" w:cs="宋体"/>
          <w:lang w:eastAsia="zh-CN"/>
        </w:rPr>
      </w:pPr>
    </w:p>
    <w:p w14:paraId="28D944FC">
      <w:pPr>
        <w:rPr>
          <w:rFonts w:hint="eastAsia" w:ascii="宋体" w:hAnsi="宋体" w:eastAsia="宋体" w:cs="宋体"/>
          <w:lang w:eastAsia="zh-CN"/>
        </w:rPr>
      </w:pPr>
    </w:p>
    <w:p w14:paraId="2F76C33B">
      <w:pPr>
        <w:rPr>
          <w:rFonts w:hint="eastAsia" w:ascii="宋体" w:hAnsi="宋体" w:eastAsia="宋体" w:cs="宋体"/>
          <w:lang w:eastAsia="zh-CN"/>
        </w:rPr>
      </w:pPr>
    </w:p>
    <w:p w14:paraId="14124C67">
      <w:pPr>
        <w:rPr>
          <w:rFonts w:hint="eastAsia" w:ascii="宋体" w:hAnsi="宋体" w:eastAsia="宋体" w:cs="宋体"/>
          <w:lang w:eastAsia="zh-CN"/>
        </w:rPr>
      </w:pPr>
    </w:p>
    <w:p w14:paraId="64824B07">
      <w:pPr>
        <w:rPr>
          <w:rFonts w:hint="eastAsia" w:ascii="宋体" w:hAnsi="宋体" w:eastAsia="宋体" w:cs="宋体"/>
          <w:lang w:eastAsia="zh-CN"/>
        </w:rPr>
      </w:pPr>
    </w:p>
    <w:p w14:paraId="07CE5A28">
      <w:pPr>
        <w:rPr>
          <w:rFonts w:hint="eastAsia" w:ascii="宋体" w:hAnsi="宋体" w:eastAsia="宋体" w:cs="宋体"/>
          <w:lang w:eastAsia="zh-CN"/>
        </w:rPr>
      </w:pPr>
    </w:p>
    <w:p w14:paraId="74F135CB">
      <w:pPr>
        <w:rPr>
          <w:rFonts w:hint="eastAsia" w:ascii="宋体" w:hAnsi="宋体" w:eastAsia="宋体" w:cs="宋体"/>
          <w:lang w:eastAsia="zh-CN"/>
        </w:rPr>
      </w:pPr>
    </w:p>
    <w:p w14:paraId="0DBECF76">
      <w:pPr>
        <w:rPr>
          <w:rFonts w:hint="eastAsia" w:ascii="宋体" w:hAnsi="宋体" w:eastAsia="宋体" w:cs="宋体"/>
          <w:lang w:eastAsia="zh-CN"/>
        </w:rPr>
      </w:pPr>
    </w:p>
    <w:p w14:paraId="2AB0BA59">
      <w:pPr>
        <w:rPr>
          <w:rFonts w:hint="eastAsia" w:ascii="宋体" w:hAnsi="宋体" w:eastAsia="宋体" w:cs="宋体"/>
          <w:lang w:eastAsia="zh-CN"/>
        </w:rPr>
      </w:pPr>
    </w:p>
    <w:p w14:paraId="7F8C0D79">
      <w:pPr>
        <w:rPr>
          <w:rFonts w:hint="eastAsia" w:ascii="宋体" w:hAnsi="宋体" w:eastAsia="宋体" w:cs="宋体"/>
          <w:lang w:eastAsia="zh-CN"/>
        </w:rPr>
      </w:pPr>
    </w:p>
    <w:p w14:paraId="216EA48E">
      <w:pPr>
        <w:rPr>
          <w:rFonts w:hint="eastAsia" w:ascii="宋体" w:hAnsi="宋体" w:eastAsia="宋体" w:cs="宋体"/>
          <w:lang w:eastAsia="zh-CN"/>
        </w:rPr>
      </w:pPr>
    </w:p>
    <w:p w14:paraId="549D1AF3">
      <w:pPr>
        <w:rPr>
          <w:rFonts w:hint="eastAsia" w:ascii="宋体" w:hAnsi="宋体" w:eastAsia="宋体" w:cs="宋体"/>
          <w:lang w:eastAsia="zh-CN"/>
        </w:rPr>
      </w:pPr>
    </w:p>
    <w:p w14:paraId="13DA9C46">
      <w:pPr>
        <w:pStyle w:val="30"/>
        <w:keepNext w:val="0"/>
        <w:keepLines w:val="0"/>
        <w:pageBreakBefore/>
        <w:widowControl/>
        <w:numPr>
          <w:ilvl w:val="0"/>
          <w:numId w:val="0"/>
        </w:numPr>
        <w:kinsoku/>
        <w:wordWrap/>
        <w:overflowPunct/>
        <w:topLinePunct w:val="0"/>
        <w:autoSpaceDE/>
        <w:autoSpaceDN/>
        <w:bidi w:val="0"/>
        <w:adjustRightInd/>
        <w:snapToGrid/>
        <w:ind w:leftChars="0"/>
        <w:textAlignment w:val="auto"/>
        <w:rPr>
          <w:rFonts w:hint="eastAsia" w:ascii="宋体" w:hAnsi="宋体" w:eastAsia="宋体" w:cs="宋体"/>
          <w:snapToGrid w:val="0"/>
          <w:color w:val="000000"/>
          <w:kern w:val="0"/>
          <w:lang w:eastAsia="zh-CN"/>
        </w:rPr>
      </w:pPr>
      <w:r>
        <w:rPr>
          <w:rFonts w:hint="eastAsia" w:ascii="宋体" w:hAnsi="宋体" w:eastAsia="宋体" w:cs="宋体"/>
          <w:snapToGrid w:val="0"/>
          <w:color w:val="000000"/>
          <w:kern w:val="0"/>
          <w:lang w:val="en-US" w:eastAsia="zh-CN"/>
        </w:rPr>
        <w:t>十二、</w:t>
      </w:r>
      <w:r>
        <w:rPr>
          <w:rFonts w:hint="eastAsia" w:ascii="宋体" w:hAnsi="宋体" w:eastAsia="宋体" w:cs="宋体"/>
          <w:snapToGrid w:val="0"/>
          <w:color w:val="000000"/>
          <w:kern w:val="0"/>
          <w:lang w:eastAsia="zh-CN"/>
        </w:rPr>
        <w:t>其他（如有，</w:t>
      </w:r>
      <w:r>
        <w:rPr>
          <w:rFonts w:hint="eastAsia" w:ascii="宋体" w:hAnsi="宋体" w:eastAsia="宋体" w:cs="宋体"/>
          <w:snapToGrid w:val="0"/>
          <w:color w:val="000000"/>
          <w:kern w:val="0"/>
          <w:lang w:val="en-US" w:eastAsia="zh-CN"/>
        </w:rPr>
        <w:t>加盖电子公章</w:t>
      </w:r>
      <w:r>
        <w:rPr>
          <w:rFonts w:hint="eastAsia" w:ascii="宋体" w:hAnsi="宋体" w:eastAsia="宋体" w:cs="宋体"/>
          <w:snapToGrid w:val="0"/>
          <w:color w:val="000000"/>
          <w:kern w:val="0"/>
          <w:lang w:eastAsia="zh-CN"/>
        </w:rPr>
        <w:t>）</w:t>
      </w:r>
    </w:p>
    <w:bookmarkEnd w:id="148"/>
    <w:bookmarkEnd w:id="149"/>
    <w:p w14:paraId="53D70D42">
      <w:pPr>
        <w:pStyle w:val="20"/>
        <w:ind w:left="0" w:leftChars="0" w:firstLine="0" w:firstLineChars="0"/>
        <w:rPr>
          <w:rFonts w:hint="eastAsia" w:ascii="宋体" w:hAnsi="宋体" w:eastAsia="宋体" w:cs="宋体"/>
          <w:color w:val="000000" w:themeColor="text1"/>
          <w:highlight w:val="none"/>
          <w14:textFill>
            <w14:solidFill>
              <w14:schemeClr w14:val="tx1"/>
            </w14:solidFill>
          </w14:textFill>
        </w:rPr>
      </w:pPr>
      <w:bookmarkStart w:id="178" w:name="_Toc4301"/>
      <w:bookmarkStart w:id="179" w:name="_Toc17017"/>
      <w:bookmarkStart w:id="180" w:name="_Toc19567"/>
    </w:p>
    <w:bookmarkEnd w:id="178"/>
    <w:bookmarkEnd w:id="179"/>
    <w:bookmarkEnd w:id="180"/>
    <w:p w14:paraId="387703BC">
      <w:pPr>
        <w:rPr>
          <w:rFonts w:hint="eastAsia" w:ascii="宋体" w:hAnsi="宋体" w:eastAsia="宋体" w:cs="宋体"/>
        </w:rPr>
      </w:pPr>
    </w:p>
    <w:p w14:paraId="1E22324A">
      <w:pPr>
        <w:rPr>
          <w:rFonts w:hint="eastAsia" w:ascii="宋体" w:hAnsi="宋体" w:eastAsia="宋体" w:cs="宋体"/>
        </w:rPr>
      </w:pPr>
    </w:p>
    <w:p w14:paraId="1DE3E414">
      <w:pPr>
        <w:spacing w:line="588" w:lineRule="exact"/>
        <w:ind w:right="1560" w:firstLine="420" w:firstLineChars="200"/>
        <w:jc w:val="center"/>
        <w:textAlignment w:val="baseline"/>
        <w:rPr>
          <w:rFonts w:hint="eastAsia" w:ascii="宋体" w:hAnsi="宋体" w:eastAsia="宋体" w:cs="宋体"/>
        </w:rPr>
      </w:pPr>
    </w:p>
    <w:sectPr>
      <w:headerReference r:id="rId12" w:type="default"/>
      <w:footerReference r:id="rId13" w:type="default"/>
      <w:pgSz w:w="11906" w:h="16838"/>
      <w:pgMar w:top="1440" w:right="1080" w:bottom="1440" w:left="1080" w:header="851" w:footer="992" w:gutter="0"/>
      <w:pgNumType w:fmt="decimal" w:start="1"/>
      <w:cols w:space="0" w:num="1"/>
      <w:docGrid w:type="lines" w:linePitch="317"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宋体"/>
    <w:panose1 w:val="020B0604020202020204"/>
    <w:charset w:val="86"/>
    <w:family w:val="auto"/>
    <w:pitch w:val="default"/>
    <w:sig w:usb0="00000000" w:usb1="00000000" w:usb2="0000003F" w:usb3="00000000" w:csb0="603F01FF" w:csb1="FFFF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幼圆">
    <w:altName w:val="宋体"/>
    <w:panose1 w:val="02010509060101010101"/>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5A34EB">
    <w:pPr>
      <w:pStyle w:val="13"/>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8D93C2">
    <w:pPr>
      <w:pStyle w:val="13"/>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101F2B">
    <w:pPr>
      <w:pStyle w:val="13"/>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64E28E">
    <w:pPr>
      <w:pStyle w:val="13"/>
      <w:ind w:firstLine="0" w:firstLineChars="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10AC72">
    <w:pPr>
      <w:pStyle w:val="13"/>
      <w:ind w:firstLine="36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AC2C3C">
                          <w:pPr>
                            <w:pStyle w:val="13"/>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2AC2C3C">
                    <w:pPr>
                      <w:pStyle w:val="13"/>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76DF6D">
    <w:pPr>
      <w:pStyle w:val="14"/>
      <w:pBdr>
        <w:bottom w:val="single" w:color="auto" w:sz="4" w:space="1"/>
      </w:pBdr>
      <w:spacing w:line="240" w:lineRule="atLeast"/>
      <w:ind w:firstLine="0" w:firstLineChars="0"/>
      <w:jc w:val="both"/>
      <w:rPr>
        <w:rFonts w:ascii="楷体" w:hAnsi="楷体" w:eastAsia="楷体" w:cs="楷体"/>
      </w:rPr>
    </w:pPr>
  </w:p>
  <w:p w14:paraId="4DF612FB">
    <w:pPr>
      <w:pStyle w:val="14"/>
      <w:pBdr>
        <w:bottom w:val="single" w:color="auto" w:sz="4" w:space="1"/>
      </w:pBdr>
      <w:spacing w:line="240" w:lineRule="atLeast"/>
      <w:ind w:firstLine="0" w:firstLineChars="0"/>
      <w:jc w:val="both"/>
      <w:rPr>
        <w:rFonts w:ascii="楷体" w:hAnsi="楷体" w:eastAsia="仿宋" w:cs="楷体"/>
      </w:rPr>
    </w:pPr>
    <w:r>
      <w:rPr>
        <w:rFonts w:hint="eastAsia" w:ascii="仿宋" w:hAnsi="仿宋" w:eastAsia="仿宋" w:cs="仿宋"/>
        <w:lang w:eastAsia="zh-CN"/>
      </w:rPr>
      <w:t>JSZC-320000-ZCZB-C2026-0005</w:t>
    </w:r>
    <w:r>
      <w:rPr>
        <w:rFonts w:hint="eastAsia" w:ascii="仿宋" w:hAnsi="仿宋" w:eastAsia="仿宋" w:cs="仿宋"/>
      </w:rPr>
      <w:t xml:space="preserve">                                                        江苏臻采招标代理有限公司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F822D1">
    <w:pPr>
      <w:pStyle w:val="14"/>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B7E06">
    <w:pPr>
      <w:pStyle w:val="14"/>
      <w:pBdr>
        <w:bottom w:val="none" w:color="auto" w:sz="0" w:space="1"/>
      </w:pBdr>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136468">
    <w:pPr>
      <w:pStyle w:val="14"/>
      <w:pBdr>
        <w:bottom w:val="single" w:color="auto" w:sz="4" w:space="1"/>
      </w:pBdr>
      <w:spacing w:line="240" w:lineRule="auto"/>
      <w:ind w:firstLine="0" w:firstLineChars="0"/>
      <w:rPr>
        <w:rFonts w:ascii="仿宋" w:hAnsi="仿宋" w:eastAsia="仿宋" w:cs="仿宋"/>
      </w:rPr>
    </w:pPr>
    <w:r>
      <w:rPr>
        <w:rFonts w:hint="eastAsia" w:ascii="仿宋" w:hAnsi="仿宋" w:eastAsia="仿宋" w:cs="仿宋"/>
        <w:lang w:eastAsia="zh-CN"/>
      </w:rPr>
      <w:t>JSZC-320000-ZCZB-C2026-0005</w:t>
    </w:r>
    <w:r>
      <w:rPr>
        <w:rFonts w:hint="eastAsia" w:ascii="仿宋" w:hAnsi="仿宋" w:eastAsia="仿宋" w:cs="仿宋"/>
      </w:rPr>
      <w:t xml:space="preserve">                                                         江苏臻采招标代理有限公司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6E75315"/>
    <w:multiLevelType w:val="singleLevel"/>
    <w:tmpl w:val="B6E75315"/>
    <w:lvl w:ilvl="0" w:tentative="0">
      <w:start w:val="1"/>
      <w:numFmt w:val="chineseCounting"/>
      <w:suff w:val="nothing"/>
      <w:lvlText w:val="%1、"/>
      <w:lvlJc w:val="left"/>
      <w:rPr>
        <w:rFonts w:hint="eastAsia"/>
      </w:rPr>
    </w:lvl>
  </w:abstractNum>
  <w:abstractNum w:abstractNumId="1">
    <w:nsid w:val="00000004"/>
    <w:multiLevelType w:val="singleLevel"/>
    <w:tmpl w:val="00000004"/>
    <w:lvl w:ilvl="0" w:tentative="0">
      <w:start w:val="2"/>
      <w:numFmt w:val="chineseCounting"/>
      <w:suff w:val="nothing"/>
      <w:lvlText w:val="%1、"/>
      <w:lvlJc w:val="left"/>
      <w:rPr>
        <w:rFonts w:hint="eastAsia"/>
      </w:rPr>
    </w:lvl>
  </w:abstractNum>
  <w:abstractNum w:abstractNumId="2">
    <w:nsid w:val="00000007"/>
    <w:multiLevelType w:val="multilevel"/>
    <w:tmpl w:val="00000007"/>
    <w:lvl w:ilvl="0" w:tentative="0">
      <w:start w:val="1"/>
      <w:numFmt w:val="decimal"/>
      <w:pStyle w:val="2"/>
      <w:suff w:val="nothing"/>
      <w:lvlText w:val="第 %1 部分 "/>
      <w:lvlJc w:val="left"/>
      <w:rPr>
        <w:rFonts w:hint="eastAsia" w:ascii="黑体" w:hAnsi="宋体" w:eastAsia="黑体"/>
        <w:b/>
        <w:bCs/>
        <w:i w:val="0"/>
        <w:iCs w:val="0"/>
        <w:caps w:val="0"/>
        <w:smallCaps w:val="0"/>
        <w:spacing w:val="0"/>
        <w:position w:val="0"/>
        <w:u w:val="none"/>
        <w:vertAlign w:val="baseline"/>
      </w:rPr>
    </w:lvl>
    <w:lvl w:ilvl="1" w:tentative="0">
      <w:start w:val="1"/>
      <w:numFmt w:val="decimal"/>
      <w:pStyle w:val="3"/>
      <w:isLgl/>
      <w:suff w:val="nothing"/>
      <w:lvlText w:val="%1.%2 "/>
      <w:lvlJc w:val="left"/>
      <w:rPr>
        <w:rFonts w:hint="eastAsia"/>
      </w:rPr>
    </w:lvl>
    <w:lvl w:ilvl="2" w:tentative="0">
      <w:start w:val="1"/>
      <w:numFmt w:val="none"/>
      <w:isLgl/>
      <w:suff w:val="nothing"/>
      <w:lvlText w:val=""/>
      <w:lvlJc w:val="left"/>
      <w:rPr>
        <w:rFonts w:hint="eastAsia" w:ascii="Arial Unicode MS" w:hAnsi="Arial Unicode MS" w:eastAsia="Arial Unicode MS"/>
        <w:sz w:val="24"/>
        <w:szCs w:val="24"/>
      </w:rPr>
    </w:lvl>
    <w:lvl w:ilvl="3" w:tentative="0">
      <w:start w:val="1"/>
      <w:numFmt w:val="none"/>
      <w:isLgl/>
      <w:suff w:val="nothing"/>
      <w:lvlText w:val=""/>
      <w:lvlJc w:val="left"/>
      <w:rPr>
        <w:rFonts w:hint="eastAsia"/>
      </w:rPr>
    </w:lvl>
    <w:lvl w:ilvl="4" w:tentative="0">
      <w:start w:val="1"/>
      <w:numFmt w:val="decimal"/>
      <w:isLgl/>
      <w:suff w:val="nothing"/>
      <w:lvlText w:val="%1.%2.%3.%4.%5 "/>
      <w:lvlJc w:val="left"/>
      <w:rPr>
        <w:rFonts w:hint="eastAsia"/>
        <w:sz w:val="28"/>
        <w:szCs w:val="28"/>
      </w:rPr>
    </w:lvl>
    <w:lvl w:ilvl="5" w:tentative="0">
      <w:start w:val="1"/>
      <w:numFmt w:val="none"/>
      <w:suff w:val="nothing"/>
      <w:lvlText w:val=""/>
      <w:lvlJc w:val="left"/>
      <w:rPr>
        <w:rFonts w:hint="eastAsia"/>
      </w:rPr>
    </w:lvl>
    <w:lvl w:ilvl="6" w:tentative="0">
      <w:start w:val="1"/>
      <w:numFmt w:val="none"/>
      <w:suff w:val="nothing"/>
      <w:lvlText w:val=""/>
      <w:lvlJc w:val="left"/>
      <w:rPr>
        <w:rFonts w:hint="eastAsia"/>
      </w:rPr>
    </w:lvl>
    <w:lvl w:ilvl="7" w:tentative="0">
      <w:start w:val="1"/>
      <w:numFmt w:val="none"/>
      <w:suff w:val="nothing"/>
      <w:lvlText w:val=""/>
      <w:lvlJc w:val="left"/>
      <w:rPr>
        <w:rFonts w:hint="eastAsia"/>
      </w:rPr>
    </w:lvl>
    <w:lvl w:ilvl="8" w:tentative="0">
      <w:start w:val="1"/>
      <w:numFmt w:val="none"/>
      <w:suff w:val="nothing"/>
      <w:lvlText w:val=""/>
      <w:lvlJc w:val="left"/>
      <w:rPr>
        <w:rFonts w:hint="eastAsia"/>
      </w:rPr>
    </w:lvl>
  </w:abstractNum>
  <w:abstractNum w:abstractNumId="3">
    <w:nsid w:val="3D6FA580"/>
    <w:multiLevelType w:val="singleLevel"/>
    <w:tmpl w:val="3D6FA580"/>
    <w:lvl w:ilvl="0" w:tentative="0">
      <w:start w:val="6"/>
      <w:numFmt w:val="chineseCounting"/>
      <w:suff w:val="nothing"/>
      <w:lvlText w:val="%1、"/>
      <w:lvlJc w:val="left"/>
      <w:rPr>
        <w:rFonts w:hint="eastAsia"/>
      </w:rPr>
    </w:lvl>
  </w:abstractNum>
  <w:abstractNum w:abstractNumId="4">
    <w:nsid w:val="3F22B744"/>
    <w:multiLevelType w:val="singleLevel"/>
    <w:tmpl w:val="3F22B744"/>
    <w:lvl w:ilvl="0" w:tentative="0">
      <w:start w:val="1"/>
      <w:numFmt w:val="chineseCounting"/>
      <w:suff w:val="nothing"/>
      <w:lvlText w:val="%1、"/>
      <w:lvlJc w:val="left"/>
      <w:pPr>
        <w:ind w:left="0" w:firstLine="420"/>
      </w:pPr>
      <w:rPr>
        <w:rFonts w:hint="eastAsia"/>
      </w:r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UyZGEyN2E4MTBjZDZiMWI1NmFkNGQyMmRmMDFhYjAifQ=="/>
  </w:docVars>
  <w:rsids>
    <w:rsidRoot w:val="764500C9"/>
    <w:rsid w:val="0002227D"/>
    <w:rsid w:val="000374E4"/>
    <w:rsid w:val="00063B20"/>
    <w:rsid w:val="000B3560"/>
    <w:rsid w:val="001D68FF"/>
    <w:rsid w:val="00207EDD"/>
    <w:rsid w:val="002D427D"/>
    <w:rsid w:val="002E27AE"/>
    <w:rsid w:val="00332F62"/>
    <w:rsid w:val="003B4F7F"/>
    <w:rsid w:val="003E2A51"/>
    <w:rsid w:val="004153B9"/>
    <w:rsid w:val="004452CA"/>
    <w:rsid w:val="00515A0D"/>
    <w:rsid w:val="00545DD0"/>
    <w:rsid w:val="00576837"/>
    <w:rsid w:val="005B5939"/>
    <w:rsid w:val="005C0075"/>
    <w:rsid w:val="005E22CE"/>
    <w:rsid w:val="00630F5A"/>
    <w:rsid w:val="0063797F"/>
    <w:rsid w:val="00641E35"/>
    <w:rsid w:val="00655082"/>
    <w:rsid w:val="006905B7"/>
    <w:rsid w:val="00697268"/>
    <w:rsid w:val="00712BDA"/>
    <w:rsid w:val="00777A46"/>
    <w:rsid w:val="007F389A"/>
    <w:rsid w:val="00826CC5"/>
    <w:rsid w:val="00884617"/>
    <w:rsid w:val="008E1986"/>
    <w:rsid w:val="009169A2"/>
    <w:rsid w:val="00921C94"/>
    <w:rsid w:val="0095677F"/>
    <w:rsid w:val="0097350A"/>
    <w:rsid w:val="009909EA"/>
    <w:rsid w:val="00A33FA6"/>
    <w:rsid w:val="00AF64AB"/>
    <w:rsid w:val="00B208DD"/>
    <w:rsid w:val="00B23003"/>
    <w:rsid w:val="00B61DA3"/>
    <w:rsid w:val="00B806C4"/>
    <w:rsid w:val="00C011BF"/>
    <w:rsid w:val="00C03B25"/>
    <w:rsid w:val="00C14B91"/>
    <w:rsid w:val="00C23B4A"/>
    <w:rsid w:val="00CF6A74"/>
    <w:rsid w:val="00D36B92"/>
    <w:rsid w:val="00D57FF1"/>
    <w:rsid w:val="00DC1D8B"/>
    <w:rsid w:val="00DD6E15"/>
    <w:rsid w:val="00E056ED"/>
    <w:rsid w:val="00E9110D"/>
    <w:rsid w:val="00EC3478"/>
    <w:rsid w:val="00EC57D5"/>
    <w:rsid w:val="00F27D08"/>
    <w:rsid w:val="00F30870"/>
    <w:rsid w:val="01626374"/>
    <w:rsid w:val="018502B5"/>
    <w:rsid w:val="019422A6"/>
    <w:rsid w:val="01A06E9D"/>
    <w:rsid w:val="020E3ABD"/>
    <w:rsid w:val="0210222A"/>
    <w:rsid w:val="026D2DA0"/>
    <w:rsid w:val="028A1957"/>
    <w:rsid w:val="032A279F"/>
    <w:rsid w:val="037B196F"/>
    <w:rsid w:val="03852314"/>
    <w:rsid w:val="03C73C40"/>
    <w:rsid w:val="043B2EAD"/>
    <w:rsid w:val="047D0B51"/>
    <w:rsid w:val="04B30C95"/>
    <w:rsid w:val="04D22D00"/>
    <w:rsid w:val="04F217D9"/>
    <w:rsid w:val="052352B1"/>
    <w:rsid w:val="0534113D"/>
    <w:rsid w:val="053C6EDC"/>
    <w:rsid w:val="058218B8"/>
    <w:rsid w:val="058D549D"/>
    <w:rsid w:val="05D12528"/>
    <w:rsid w:val="05E645AA"/>
    <w:rsid w:val="0620067D"/>
    <w:rsid w:val="0659561B"/>
    <w:rsid w:val="066957A4"/>
    <w:rsid w:val="06700A8E"/>
    <w:rsid w:val="06C44870"/>
    <w:rsid w:val="06C45BA7"/>
    <w:rsid w:val="06C50E73"/>
    <w:rsid w:val="06D223A9"/>
    <w:rsid w:val="07325917"/>
    <w:rsid w:val="08690845"/>
    <w:rsid w:val="089332B7"/>
    <w:rsid w:val="09C7388E"/>
    <w:rsid w:val="09E83B71"/>
    <w:rsid w:val="0A416F02"/>
    <w:rsid w:val="0A456833"/>
    <w:rsid w:val="0AB85257"/>
    <w:rsid w:val="0B1F2F4E"/>
    <w:rsid w:val="0B2674CC"/>
    <w:rsid w:val="0BFE4EEC"/>
    <w:rsid w:val="0C6557E4"/>
    <w:rsid w:val="0CBF34C5"/>
    <w:rsid w:val="0CE3778F"/>
    <w:rsid w:val="0D9602CC"/>
    <w:rsid w:val="0DA47D15"/>
    <w:rsid w:val="0E1032A1"/>
    <w:rsid w:val="0E1F1149"/>
    <w:rsid w:val="0E56100F"/>
    <w:rsid w:val="0E660B78"/>
    <w:rsid w:val="0E882FE5"/>
    <w:rsid w:val="0EA969AA"/>
    <w:rsid w:val="0EDE5518"/>
    <w:rsid w:val="0F072309"/>
    <w:rsid w:val="0F4415A9"/>
    <w:rsid w:val="0F443720"/>
    <w:rsid w:val="0F8A741A"/>
    <w:rsid w:val="0F9B1E29"/>
    <w:rsid w:val="10000F3D"/>
    <w:rsid w:val="10404EC5"/>
    <w:rsid w:val="105370C7"/>
    <w:rsid w:val="105A46BB"/>
    <w:rsid w:val="10606175"/>
    <w:rsid w:val="11252F1A"/>
    <w:rsid w:val="11BE4AFF"/>
    <w:rsid w:val="125908D2"/>
    <w:rsid w:val="12BE7183"/>
    <w:rsid w:val="136F4921"/>
    <w:rsid w:val="137F2DB6"/>
    <w:rsid w:val="13C06F2A"/>
    <w:rsid w:val="13E72ADA"/>
    <w:rsid w:val="141334FE"/>
    <w:rsid w:val="141F09C2"/>
    <w:rsid w:val="14626706"/>
    <w:rsid w:val="14D42C8D"/>
    <w:rsid w:val="14D964F6"/>
    <w:rsid w:val="14DC5885"/>
    <w:rsid w:val="150C68CB"/>
    <w:rsid w:val="15277D36"/>
    <w:rsid w:val="152B1668"/>
    <w:rsid w:val="15C62573"/>
    <w:rsid w:val="15C94DE8"/>
    <w:rsid w:val="168F3A04"/>
    <w:rsid w:val="16A3500D"/>
    <w:rsid w:val="16C60CFC"/>
    <w:rsid w:val="16CF7BB0"/>
    <w:rsid w:val="16DE0D4E"/>
    <w:rsid w:val="16E11692"/>
    <w:rsid w:val="16F5513D"/>
    <w:rsid w:val="171C1C63"/>
    <w:rsid w:val="17383A9A"/>
    <w:rsid w:val="17473074"/>
    <w:rsid w:val="17B17D7F"/>
    <w:rsid w:val="17F378CF"/>
    <w:rsid w:val="17F63141"/>
    <w:rsid w:val="18A33B4C"/>
    <w:rsid w:val="18AD1DCB"/>
    <w:rsid w:val="18B21538"/>
    <w:rsid w:val="18BD7EDC"/>
    <w:rsid w:val="19186BCA"/>
    <w:rsid w:val="19406BEB"/>
    <w:rsid w:val="19F52027"/>
    <w:rsid w:val="1A563D75"/>
    <w:rsid w:val="1AC40CD3"/>
    <w:rsid w:val="1AFE6CB6"/>
    <w:rsid w:val="1B653C2B"/>
    <w:rsid w:val="1BE2234B"/>
    <w:rsid w:val="1C0B72B1"/>
    <w:rsid w:val="1C961170"/>
    <w:rsid w:val="1CB4699D"/>
    <w:rsid w:val="1CBE55B6"/>
    <w:rsid w:val="1CD86955"/>
    <w:rsid w:val="1D0D54B9"/>
    <w:rsid w:val="1D4B3D09"/>
    <w:rsid w:val="1DB268C5"/>
    <w:rsid w:val="1DBB6F17"/>
    <w:rsid w:val="1DF510EF"/>
    <w:rsid w:val="1E9A1D9F"/>
    <w:rsid w:val="1EDD33D4"/>
    <w:rsid w:val="1EEE0A06"/>
    <w:rsid w:val="1F444396"/>
    <w:rsid w:val="1F624061"/>
    <w:rsid w:val="1FB922B6"/>
    <w:rsid w:val="200E01D7"/>
    <w:rsid w:val="20375D57"/>
    <w:rsid w:val="20873494"/>
    <w:rsid w:val="20EE083E"/>
    <w:rsid w:val="211C0A4D"/>
    <w:rsid w:val="213A031C"/>
    <w:rsid w:val="21A015F5"/>
    <w:rsid w:val="22433284"/>
    <w:rsid w:val="22546672"/>
    <w:rsid w:val="225C679B"/>
    <w:rsid w:val="22644903"/>
    <w:rsid w:val="22832569"/>
    <w:rsid w:val="228A52D3"/>
    <w:rsid w:val="22A9157D"/>
    <w:rsid w:val="22D90B99"/>
    <w:rsid w:val="235B489E"/>
    <w:rsid w:val="23875946"/>
    <w:rsid w:val="23B11D5C"/>
    <w:rsid w:val="2412732E"/>
    <w:rsid w:val="242723CA"/>
    <w:rsid w:val="24C41C93"/>
    <w:rsid w:val="24DF75B7"/>
    <w:rsid w:val="24E24F53"/>
    <w:rsid w:val="25A11B95"/>
    <w:rsid w:val="25C1725E"/>
    <w:rsid w:val="25CB0DD3"/>
    <w:rsid w:val="262F1860"/>
    <w:rsid w:val="26422613"/>
    <w:rsid w:val="26A2565A"/>
    <w:rsid w:val="26D54ECD"/>
    <w:rsid w:val="26FC4342"/>
    <w:rsid w:val="27702CEA"/>
    <w:rsid w:val="27DF6F67"/>
    <w:rsid w:val="27E168C8"/>
    <w:rsid w:val="27F20CBB"/>
    <w:rsid w:val="281766AF"/>
    <w:rsid w:val="283D7CCB"/>
    <w:rsid w:val="28964FEA"/>
    <w:rsid w:val="28AE4351"/>
    <w:rsid w:val="28E6001E"/>
    <w:rsid w:val="28F35A83"/>
    <w:rsid w:val="29887DFD"/>
    <w:rsid w:val="2A415045"/>
    <w:rsid w:val="2A7A79DB"/>
    <w:rsid w:val="2B894A64"/>
    <w:rsid w:val="2BB601D7"/>
    <w:rsid w:val="2BD44BCD"/>
    <w:rsid w:val="2C422574"/>
    <w:rsid w:val="2C8121F8"/>
    <w:rsid w:val="2CA220C6"/>
    <w:rsid w:val="2CA927FA"/>
    <w:rsid w:val="2CE455E0"/>
    <w:rsid w:val="2CF02708"/>
    <w:rsid w:val="2D4454D3"/>
    <w:rsid w:val="2D5460BA"/>
    <w:rsid w:val="2D5F02DC"/>
    <w:rsid w:val="2DB651CE"/>
    <w:rsid w:val="2DD22B23"/>
    <w:rsid w:val="2DE57862"/>
    <w:rsid w:val="2E1365C0"/>
    <w:rsid w:val="2E53502F"/>
    <w:rsid w:val="2E6463FD"/>
    <w:rsid w:val="2EDA6E9C"/>
    <w:rsid w:val="2FAF353A"/>
    <w:rsid w:val="2FFB056A"/>
    <w:rsid w:val="3004646E"/>
    <w:rsid w:val="306901F3"/>
    <w:rsid w:val="30A448A3"/>
    <w:rsid w:val="30B359F5"/>
    <w:rsid w:val="30B87426"/>
    <w:rsid w:val="30BE5A68"/>
    <w:rsid w:val="30DC589F"/>
    <w:rsid w:val="30FA610C"/>
    <w:rsid w:val="318D46C1"/>
    <w:rsid w:val="31A1597F"/>
    <w:rsid w:val="31E90E35"/>
    <w:rsid w:val="320C5940"/>
    <w:rsid w:val="320E382B"/>
    <w:rsid w:val="323A4620"/>
    <w:rsid w:val="3260395B"/>
    <w:rsid w:val="32E80292"/>
    <w:rsid w:val="3361163C"/>
    <w:rsid w:val="336946EC"/>
    <w:rsid w:val="337D232D"/>
    <w:rsid w:val="33A97DE9"/>
    <w:rsid w:val="33C00B55"/>
    <w:rsid w:val="340E6C8E"/>
    <w:rsid w:val="34724240"/>
    <w:rsid w:val="34C673D6"/>
    <w:rsid w:val="35091591"/>
    <w:rsid w:val="352B0250"/>
    <w:rsid w:val="3566572C"/>
    <w:rsid w:val="358B4481"/>
    <w:rsid w:val="35E148C1"/>
    <w:rsid w:val="36730100"/>
    <w:rsid w:val="370C5E5F"/>
    <w:rsid w:val="376778FC"/>
    <w:rsid w:val="37904CE2"/>
    <w:rsid w:val="379D3729"/>
    <w:rsid w:val="37B409D1"/>
    <w:rsid w:val="3836588A"/>
    <w:rsid w:val="388457C5"/>
    <w:rsid w:val="389231C7"/>
    <w:rsid w:val="38936601"/>
    <w:rsid w:val="3962712F"/>
    <w:rsid w:val="397274C1"/>
    <w:rsid w:val="398C14D9"/>
    <w:rsid w:val="398D4278"/>
    <w:rsid w:val="39A71116"/>
    <w:rsid w:val="39D8182D"/>
    <w:rsid w:val="3A283CA3"/>
    <w:rsid w:val="3A873428"/>
    <w:rsid w:val="3A8834F8"/>
    <w:rsid w:val="3AA41785"/>
    <w:rsid w:val="3AC34295"/>
    <w:rsid w:val="3B183024"/>
    <w:rsid w:val="3B3236F8"/>
    <w:rsid w:val="3B34332F"/>
    <w:rsid w:val="3B860C92"/>
    <w:rsid w:val="3B892174"/>
    <w:rsid w:val="3B936B4F"/>
    <w:rsid w:val="3BA46ED8"/>
    <w:rsid w:val="3BC43BA1"/>
    <w:rsid w:val="3BE46816"/>
    <w:rsid w:val="3C2A5659"/>
    <w:rsid w:val="3C654D26"/>
    <w:rsid w:val="3C7B6465"/>
    <w:rsid w:val="3D363C36"/>
    <w:rsid w:val="3D3D3705"/>
    <w:rsid w:val="3D633C0A"/>
    <w:rsid w:val="3EDE7B8A"/>
    <w:rsid w:val="3F292BA3"/>
    <w:rsid w:val="3F381EE7"/>
    <w:rsid w:val="3F9A4950"/>
    <w:rsid w:val="3FAA1280"/>
    <w:rsid w:val="41032081"/>
    <w:rsid w:val="41816BDF"/>
    <w:rsid w:val="41961147"/>
    <w:rsid w:val="41986319"/>
    <w:rsid w:val="4205408F"/>
    <w:rsid w:val="42BF495A"/>
    <w:rsid w:val="42F75A6F"/>
    <w:rsid w:val="43591A91"/>
    <w:rsid w:val="44110F59"/>
    <w:rsid w:val="441909AD"/>
    <w:rsid w:val="441E33ED"/>
    <w:rsid w:val="44655746"/>
    <w:rsid w:val="45216F7A"/>
    <w:rsid w:val="45556C1D"/>
    <w:rsid w:val="4557299B"/>
    <w:rsid w:val="456C19B1"/>
    <w:rsid w:val="46457B2A"/>
    <w:rsid w:val="47836DC1"/>
    <w:rsid w:val="48C540C0"/>
    <w:rsid w:val="48CC6FD5"/>
    <w:rsid w:val="48E82B89"/>
    <w:rsid w:val="490270C2"/>
    <w:rsid w:val="493F0A68"/>
    <w:rsid w:val="495A03DF"/>
    <w:rsid w:val="49956188"/>
    <w:rsid w:val="4A1C1F7D"/>
    <w:rsid w:val="4A39294E"/>
    <w:rsid w:val="4B673D07"/>
    <w:rsid w:val="4B922747"/>
    <w:rsid w:val="4BDE1D01"/>
    <w:rsid w:val="4BF04BBE"/>
    <w:rsid w:val="4CCF44CA"/>
    <w:rsid w:val="4DC204EB"/>
    <w:rsid w:val="4DEA7E67"/>
    <w:rsid w:val="4DFC2FC7"/>
    <w:rsid w:val="4E285222"/>
    <w:rsid w:val="4EEC05F8"/>
    <w:rsid w:val="4F3855EC"/>
    <w:rsid w:val="4F797711"/>
    <w:rsid w:val="4FD550A2"/>
    <w:rsid w:val="50AB003F"/>
    <w:rsid w:val="50CC6933"/>
    <w:rsid w:val="510E7D88"/>
    <w:rsid w:val="512E1092"/>
    <w:rsid w:val="51305806"/>
    <w:rsid w:val="516F2435"/>
    <w:rsid w:val="51D24241"/>
    <w:rsid w:val="51DD4905"/>
    <w:rsid w:val="527252B8"/>
    <w:rsid w:val="52773616"/>
    <w:rsid w:val="52C66C65"/>
    <w:rsid w:val="53831FA8"/>
    <w:rsid w:val="53BF452D"/>
    <w:rsid w:val="53C315D6"/>
    <w:rsid w:val="54075D3C"/>
    <w:rsid w:val="542D593B"/>
    <w:rsid w:val="54372316"/>
    <w:rsid w:val="54C16083"/>
    <w:rsid w:val="54CC0053"/>
    <w:rsid w:val="554051FA"/>
    <w:rsid w:val="55453AE8"/>
    <w:rsid w:val="56093AF7"/>
    <w:rsid w:val="56760678"/>
    <w:rsid w:val="5684380C"/>
    <w:rsid w:val="569F71AF"/>
    <w:rsid w:val="56AB4841"/>
    <w:rsid w:val="56AD4B11"/>
    <w:rsid w:val="570D3802"/>
    <w:rsid w:val="57451B52"/>
    <w:rsid w:val="57744F93"/>
    <w:rsid w:val="57792C45"/>
    <w:rsid w:val="579730CB"/>
    <w:rsid w:val="58993514"/>
    <w:rsid w:val="58C163D9"/>
    <w:rsid w:val="595028AA"/>
    <w:rsid w:val="59574990"/>
    <w:rsid w:val="59656A6D"/>
    <w:rsid w:val="599D70BF"/>
    <w:rsid w:val="5A023CF9"/>
    <w:rsid w:val="5A3400BB"/>
    <w:rsid w:val="5A6A0A65"/>
    <w:rsid w:val="5A8913F1"/>
    <w:rsid w:val="5AC430CC"/>
    <w:rsid w:val="5B296730"/>
    <w:rsid w:val="5B3A63B2"/>
    <w:rsid w:val="5B3F79BE"/>
    <w:rsid w:val="5BBC7778"/>
    <w:rsid w:val="5C3166BC"/>
    <w:rsid w:val="5C3201A5"/>
    <w:rsid w:val="5CA74588"/>
    <w:rsid w:val="5CB07976"/>
    <w:rsid w:val="5CC613FD"/>
    <w:rsid w:val="5CD66444"/>
    <w:rsid w:val="5D1F2797"/>
    <w:rsid w:val="5D2B6C2E"/>
    <w:rsid w:val="5DC3391C"/>
    <w:rsid w:val="5E2818A0"/>
    <w:rsid w:val="5E947656"/>
    <w:rsid w:val="5F5C7154"/>
    <w:rsid w:val="5F905079"/>
    <w:rsid w:val="60161979"/>
    <w:rsid w:val="602C50B7"/>
    <w:rsid w:val="602D5EE7"/>
    <w:rsid w:val="60C018E5"/>
    <w:rsid w:val="61D01CF8"/>
    <w:rsid w:val="61E353B6"/>
    <w:rsid w:val="62316557"/>
    <w:rsid w:val="627036B6"/>
    <w:rsid w:val="62BA520D"/>
    <w:rsid w:val="63452778"/>
    <w:rsid w:val="637846F9"/>
    <w:rsid w:val="638567A7"/>
    <w:rsid w:val="63A159FD"/>
    <w:rsid w:val="63A66D95"/>
    <w:rsid w:val="63D01E3F"/>
    <w:rsid w:val="641125B3"/>
    <w:rsid w:val="64244CEF"/>
    <w:rsid w:val="642A5891"/>
    <w:rsid w:val="648945E4"/>
    <w:rsid w:val="64E8113B"/>
    <w:rsid w:val="652D1C01"/>
    <w:rsid w:val="65534AD5"/>
    <w:rsid w:val="65F737B9"/>
    <w:rsid w:val="66B34455"/>
    <w:rsid w:val="67082171"/>
    <w:rsid w:val="67535538"/>
    <w:rsid w:val="67A352B0"/>
    <w:rsid w:val="67ED1A09"/>
    <w:rsid w:val="67F40245"/>
    <w:rsid w:val="67FA1B80"/>
    <w:rsid w:val="6821237A"/>
    <w:rsid w:val="6842701C"/>
    <w:rsid w:val="684F5168"/>
    <w:rsid w:val="685965B2"/>
    <w:rsid w:val="695F613F"/>
    <w:rsid w:val="698514C1"/>
    <w:rsid w:val="6A383AFE"/>
    <w:rsid w:val="6A75300F"/>
    <w:rsid w:val="6A9D3B1B"/>
    <w:rsid w:val="6B080AA9"/>
    <w:rsid w:val="6B1B40B9"/>
    <w:rsid w:val="6D1A2E8D"/>
    <w:rsid w:val="6D337899"/>
    <w:rsid w:val="6D4713C4"/>
    <w:rsid w:val="6D4C1214"/>
    <w:rsid w:val="6D6C6CA9"/>
    <w:rsid w:val="6DE60142"/>
    <w:rsid w:val="6E223E11"/>
    <w:rsid w:val="6E464647"/>
    <w:rsid w:val="6E4E23C0"/>
    <w:rsid w:val="6E5879DA"/>
    <w:rsid w:val="6E9F4E0D"/>
    <w:rsid w:val="6EBF6A16"/>
    <w:rsid w:val="6EF03395"/>
    <w:rsid w:val="6EF34A3C"/>
    <w:rsid w:val="6F0A64BA"/>
    <w:rsid w:val="6F150E28"/>
    <w:rsid w:val="6F586007"/>
    <w:rsid w:val="6F6F075E"/>
    <w:rsid w:val="6F85243F"/>
    <w:rsid w:val="6FC10353"/>
    <w:rsid w:val="6FD15F90"/>
    <w:rsid w:val="6FE911D4"/>
    <w:rsid w:val="70041CEA"/>
    <w:rsid w:val="70113A6A"/>
    <w:rsid w:val="704F34CF"/>
    <w:rsid w:val="70746064"/>
    <w:rsid w:val="70CC1BE0"/>
    <w:rsid w:val="716E4667"/>
    <w:rsid w:val="71B77266"/>
    <w:rsid w:val="71E0761F"/>
    <w:rsid w:val="724F3DEC"/>
    <w:rsid w:val="732C1A0A"/>
    <w:rsid w:val="73B57063"/>
    <w:rsid w:val="73F7554E"/>
    <w:rsid w:val="7423694A"/>
    <w:rsid w:val="744709C2"/>
    <w:rsid w:val="74652FE8"/>
    <w:rsid w:val="74A8053B"/>
    <w:rsid w:val="751E7C07"/>
    <w:rsid w:val="7527105F"/>
    <w:rsid w:val="7533487A"/>
    <w:rsid w:val="75CB1CA0"/>
    <w:rsid w:val="75EB4796"/>
    <w:rsid w:val="760D6F22"/>
    <w:rsid w:val="762A53DF"/>
    <w:rsid w:val="764500C9"/>
    <w:rsid w:val="76580711"/>
    <w:rsid w:val="76796B5D"/>
    <w:rsid w:val="767E1A12"/>
    <w:rsid w:val="76830F93"/>
    <w:rsid w:val="76874EE2"/>
    <w:rsid w:val="771607E2"/>
    <w:rsid w:val="77A613DD"/>
    <w:rsid w:val="77D00208"/>
    <w:rsid w:val="77D51242"/>
    <w:rsid w:val="780F5746"/>
    <w:rsid w:val="78713CBA"/>
    <w:rsid w:val="789B25C4"/>
    <w:rsid w:val="7915769B"/>
    <w:rsid w:val="7A174984"/>
    <w:rsid w:val="7A205624"/>
    <w:rsid w:val="7A37631C"/>
    <w:rsid w:val="7AAC4F5C"/>
    <w:rsid w:val="7AC760AD"/>
    <w:rsid w:val="7ACB1436"/>
    <w:rsid w:val="7B6A670A"/>
    <w:rsid w:val="7BA613DD"/>
    <w:rsid w:val="7BB32946"/>
    <w:rsid w:val="7C021CBC"/>
    <w:rsid w:val="7C445F6B"/>
    <w:rsid w:val="7C47503C"/>
    <w:rsid w:val="7D58774B"/>
    <w:rsid w:val="7DB61C4E"/>
    <w:rsid w:val="7DDB3462"/>
    <w:rsid w:val="7DDF30B9"/>
    <w:rsid w:val="7E1C0204"/>
    <w:rsid w:val="7E6B444F"/>
    <w:rsid w:val="7F4D213E"/>
    <w:rsid w:val="7F4F6393"/>
    <w:rsid w:val="7F6753B1"/>
    <w:rsid w:val="7F8D5C36"/>
    <w:rsid w:val="7FE2301B"/>
    <w:rsid w:val="7FFB6A9F"/>
    <w:rsid w:val="F3FCC4DD"/>
    <w:rsid w:val="FE6F4C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qFormat="1"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jc w:val="both"/>
    </w:pPr>
    <w:rPr>
      <w:rFonts w:ascii="Calibri" w:hAnsi="Calibri" w:eastAsia="宋体" w:cs="Calibri"/>
      <w:kern w:val="2"/>
      <w:sz w:val="21"/>
      <w:szCs w:val="21"/>
      <w:lang w:val="en-US" w:eastAsia="zh-CN" w:bidi="ar-SA"/>
    </w:rPr>
  </w:style>
  <w:style w:type="paragraph" w:styleId="2">
    <w:name w:val="heading 1"/>
    <w:basedOn w:val="1"/>
    <w:next w:val="1"/>
    <w:qFormat/>
    <w:uiPriority w:val="0"/>
    <w:pPr>
      <w:keepNext/>
      <w:numPr>
        <w:ilvl w:val="0"/>
        <w:numId w:val="1"/>
      </w:numPr>
      <w:spacing w:line="360" w:lineRule="auto"/>
      <w:ind w:firstLine="200" w:firstLineChars="200"/>
      <w:jc w:val="center"/>
      <w:outlineLvl w:val="0"/>
    </w:pPr>
    <w:rPr>
      <w:rFonts w:ascii="楷体_GB2312" w:eastAsia="楷体_GB2312" w:cs="Times New Roman"/>
      <w:sz w:val="28"/>
      <w:szCs w:val="28"/>
    </w:rPr>
  </w:style>
  <w:style w:type="paragraph" w:styleId="3">
    <w:name w:val="heading 2"/>
    <w:basedOn w:val="1"/>
    <w:next w:val="1"/>
    <w:qFormat/>
    <w:uiPriority w:val="0"/>
    <w:pPr>
      <w:keepNext/>
      <w:keepLines/>
      <w:numPr>
        <w:ilvl w:val="1"/>
        <w:numId w:val="1"/>
      </w:numPr>
      <w:spacing w:before="260" w:after="260" w:line="415" w:lineRule="auto"/>
      <w:ind w:firstLine="200" w:firstLineChars="200"/>
      <w:jc w:val="center"/>
      <w:outlineLvl w:val="1"/>
    </w:pPr>
    <w:rPr>
      <w:rFonts w:ascii="Arial" w:hAnsi="Arial" w:eastAsia="幼圆" w:cs="Times New Roman"/>
      <w:b/>
      <w:bCs/>
      <w:sz w:val="44"/>
      <w:szCs w:val="44"/>
    </w:rPr>
  </w:style>
  <w:style w:type="paragraph" w:styleId="4">
    <w:name w:val="heading 4"/>
    <w:basedOn w:val="1"/>
    <w:next w:val="1"/>
    <w:qFormat/>
    <w:uiPriority w:val="9"/>
    <w:pPr>
      <w:keepNext/>
      <w:keepLines/>
      <w:spacing w:line="376" w:lineRule="auto"/>
      <w:outlineLvl w:val="3"/>
    </w:pPr>
    <w:rPr>
      <w:rFonts w:ascii="Cambria" w:hAnsi="Cambria" w:cs="Times New Roman"/>
      <w:b/>
      <w:bCs/>
      <w:kern w:val="0"/>
      <w:sz w:val="28"/>
      <w:szCs w:val="28"/>
    </w:rPr>
  </w:style>
  <w:style w:type="character" w:default="1" w:styleId="23">
    <w:name w:val="Default Paragraph Font"/>
    <w:unhideWhenUsed/>
    <w:qFormat/>
    <w:uiPriority w:val="1"/>
  </w:style>
  <w:style w:type="table" w:default="1" w:styleId="21">
    <w:name w:val="Normal Table"/>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rPr>
      <w:szCs w:val="20"/>
    </w:rPr>
  </w:style>
  <w:style w:type="paragraph" w:styleId="6">
    <w:name w:val="annotation text"/>
    <w:basedOn w:val="1"/>
    <w:qFormat/>
    <w:uiPriority w:val="0"/>
    <w:pPr>
      <w:jc w:val="left"/>
    </w:pPr>
  </w:style>
  <w:style w:type="paragraph" w:styleId="7">
    <w:name w:val="Salutation"/>
    <w:basedOn w:val="1"/>
    <w:next w:val="1"/>
    <w:qFormat/>
    <w:uiPriority w:val="0"/>
    <w:rPr>
      <w:rFonts w:ascii="Times New Roman" w:hAnsi="Times New Roman" w:cs="Times New Roman"/>
    </w:rPr>
  </w:style>
  <w:style w:type="paragraph" w:styleId="8">
    <w:name w:val="Body Text"/>
    <w:basedOn w:val="1"/>
    <w:next w:val="1"/>
    <w:qFormat/>
    <w:uiPriority w:val="0"/>
    <w:pPr>
      <w:autoSpaceDE w:val="0"/>
      <w:autoSpaceDN w:val="0"/>
      <w:jc w:val="left"/>
    </w:pPr>
    <w:rPr>
      <w:rFonts w:ascii="宋体" w:hAnsi="宋体" w:cs="宋体"/>
      <w:kern w:val="0"/>
      <w:lang w:val="zh-CN" w:bidi="zh-CN"/>
    </w:rPr>
  </w:style>
  <w:style w:type="paragraph" w:styleId="9">
    <w:name w:val="Body Text Indent"/>
    <w:basedOn w:val="1"/>
    <w:next w:val="10"/>
    <w:qFormat/>
    <w:uiPriority w:val="99"/>
    <w:pPr>
      <w:snapToGrid w:val="0"/>
      <w:spacing w:line="440" w:lineRule="exact"/>
      <w:ind w:firstLine="403" w:firstLineChars="192"/>
    </w:pPr>
    <w:rPr>
      <w:rFonts w:ascii="宋体" w:hAnsi="宋体" w:cs="宋体"/>
    </w:rPr>
  </w:style>
  <w:style w:type="paragraph" w:styleId="10">
    <w:name w:val="envelope return"/>
    <w:basedOn w:val="1"/>
    <w:qFormat/>
    <w:uiPriority w:val="0"/>
    <w:pPr>
      <w:snapToGrid w:val="0"/>
    </w:pPr>
    <w:rPr>
      <w:rFonts w:ascii="Arial" w:hAnsi="Arial"/>
    </w:rPr>
  </w:style>
  <w:style w:type="paragraph" w:styleId="11">
    <w:name w:val="index 4"/>
    <w:basedOn w:val="1"/>
    <w:next w:val="1"/>
    <w:qFormat/>
    <w:uiPriority w:val="99"/>
    <w:pPr>
      <w:ind w:left="600" w:leftChars="600"/>
    </w:pPr>
    <w:rPr>
      <w:rFonts w:ascii="Verdana" w:hAnsi="Verdana"/>
      <w:szCs w:val="20"/>
    </w:rPr>
  </w:style>
  <w:style w:type="paragraph" w:styleId="12">
    <w:name w:val="Balloon Text"/>
    <w:basedOn w:val="1"/>
    <w:link w:val="43"/>
    <w:qFormat/>
    <w:uiPriority w:val="0"/>
    <w:pPr>
      <w:spacing w:after="0" w:line="240" w:lineRule="auto"/>
    </w:pPr>
    <w:rPr>
      <w:sz w:val="18"/>
      <w:szCs w:val="18"/>
    </w:rPr>
  </w:style>
  <w:style w:type="paragraph" w:styleId="13">
    <w:name w:val="footer"/>
    <w:basedOn w:val="1"/>
    <w:qFormat/>
    <w:uiPriority w:val="99"/>
    <w:pPr>
      <w:tabs>
        <w:tab w:val="center" w:pos="4153"/>
        <w:tab w:val="right" w:pos="8306"/>
      </w:tabs>
      <w:snapToGrid w:val="0"/>
      <w:spacing w:line="360" w:lineRule="auto"/>
      <w:ind w:firstLine="200" w:firstLineChars="200"/>
      <w:jc w:val="left"/>
    </w:pPr>
    <w:rPr>
      <w:rFonts w:ascii="Times New Roman" w:hAnsi="Times New Roman" w:cs="Times New Roman"/>
      <w:sz w:val="18"/>
      <w:szCs w:val="18"/>
    </w:rPr>
  </w:style>
  <w:style w:type="paragraph" w:styleId="14">
    <w:name w:val="header"/>
    <w:basedOn w:val="1"/>
    <w:qFormat/>
    <w:uiPriority w:val="0"/>
    <w:pPr>
      <w:pBdr>
        <w:bottom w:val="single" w:color="auto" w:sz="6" w:space="1"/>
      </w:pBdr>
      <w:tabs>
        <w:tab w:val="center" w:pos="4153"/>
        <w:tab w:val="right" w:pos="8306"/>
      </w:tabs>
      <w:snapToGrid w:val="0"/>
      <w:spacing w:line="360" w:lineRule="auto"/>
      <w:ind w:firstLine="200" w:firstLineChars="200"/>
      <w:jc w:val="center"/>
    </w:pPr>
    <w:rPr>
      <w:rFonts w:ascii="Times New Roman" w:hAnsi="Times New Roman" w:cs="Times New Roman"/>
      <w:sz w:val="18"/>
      <w:szCs w:val="18"/>
    </w:rPr>
  </w:style>
  <w:style w:type="paragraph" w:styleId="15">
    <w:name w:val="toc 1"/>
    <w:basedOn w:val="1"/>
    <w:next w:val="1"/>
    <w:qFormat/>
    <w:uiPriority w:val="0"/>
    <w:pPr>
      <w:spacing w:before="120" w:after="120"/>
      <w:jc w:val="left"/>
    </w:pPr>
    <w:rPr>
      <w:b/>
      <w:bCs/>
      <w:caps/>
      <w:sz w:val="20"/>
      <w:szCs w:val="20"/>
    </w:rPr>
  </w:style>
  <w:style w:type="paragraph" w:styleId="16">
    <w:name w:val="toc 2"/>
    <w:basedOn w:val="1"/>
    <w:next w:val="1"/>
    <w:qFormat/>
    <w:uiPriority w:val="39"/>
    <w:pPr>
      <w:ind w:left="210"/>
      <w:jc w:val="left"/>
    </w:pPr>
    <w:rPr>
      <w:smallCaps/>
      <w:sz w:val="20"/>
      <w:szCs w:val="20"/>
    </w:rPr>
  </w:style>
  <w:style w:type="paragraph" w:styleId="17">
    <w:name w:val="Body Text 2"/>
    <w:basedOn w:val="1"/>
    <w:unhideWhenUsed/>
    <w:qFormat/>
    <w:uiPriority w:val="99"/>
    <w:pPr>
      <w:spacing w:after="120" w:line="480" w:lineRule="auto"/>
    </w:pPr>
  </w:style>
  <w:style w:type="paragraph" w:styleId="18">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500" w:leftChars="500" w:hanging="1080" w:hangingChars="500"/>
    </w:pPr>
    <w:rPr>
      <w:rFonts w:ascii="Arial" w:hAnsi="Arial"/>
      <w:sz w:val="24"/>
    </w:rPr>
  </w:style>
  <w:style w:type="paragraph" w:styleId="19">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styleId="20">
    <w:name w:val="Body Text First Indent 2"/>
    <w:basedOn w:val="9"/>
    <w:next w:val="1"/>
    <w:qFormat/>
    <w:uiPriority w:val="99"/>
    <w:pPr>
      <w:ind w:firstLine="420" w:firstLineChars="200"/>
    </w:pPr>
  </w:style>
  <w:style w:type="table" w:styleId="22">
    <w:name w:val="Table Grid"/>
    <w:basedOn w:val="21"/>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basedOn w:val="23"/>
    <w:qFormat/>
    <w:uiPriority w:val="0"/>
    <w:rPr>
      <w:b/>
      <w:bCs/>
    </w:rPr>
  </w:style>
  <w:style w:type="character" w:styleId="25">
    <w:name w:val="annotation reference"/>
    <w:basedOn w:val="23"/>
    <w:qFormat/>
    <w:uiPriority w:val="0"/>
    <w:rPr>
      <w:sz w:val="21"/>
      <w:szCs w:val="21"/>
    </w:rPr>
  </w:style>
  <w:style w:type="paragraph" w:customStyle="1" w:styleId="26">
    <w:name w:val="DAS正文"/>
    <w:qFormat/>
    <w:uiPriority w:val="0"/>
    <w:pPr>
      <w:widowControl w:val="0"/>
      <w:spacing w:after="160" w:line="360" w:lineRule="auto"/>
      <w:ind w:right="181" w:firstLine="480"/>
      <w:jc w:val="both"/>
    </w:pPr>
    <w:rPr>
      <w:rFonts w:ascii="Verdana" w:hAnsi="Verdana" w:eastAsia="宋体" w:cs="Times New Roman"/>
      <w:kern w:val="2"/>
      <w:sz w:val="21"/>
      <w:szCs w:val="24"/>
      <w:lang w:val="en-US" w:eastAsia="zh-CN" w:bidi="ar-SA"/>
    </w:rPr>
  </w:style>
  <w:style w:type="paragraph" w:customStyle="1" w:styleId="27">
    <w:name w:val="报告正文"/>
    <w:basedOn w:val="1"/>
    <w:qFormat/>
    <w:uiPriority w:val="0"/>
    <w:pPr>
      <w:adjustRightInd w:val="0"/>
      <w:snapToGrid w:val="0"/>
      <w:ind w:firstLine="560" w:firstLineChars="200"/>
    </w:pPr>
    <w:rPr>
      <w:kern w:val="0"/>
      <w:szCs w:val="20"/>
      <w:lang w:val="zh-CN"/>
    </w:rPr>
  </w:style>
  <w:style w:type="paragraph" w:customStyle="1" w:styleId="28">
    <w:name w:val="普通正文"/>
    <w:basedOn w:val="1"/>
    <w:qFormat/>
    <w:uiPriority w:val="0"/>
    <w:pPr>
      <w:adjustRightInd w:val="0"/>
      <w:spacing w:before="120" w:after="120" w:line="360" w:lineRule="auto"/>
      <w:ind w:firstLine="480" w:firstLineChars="200"/>
      <w:jc w:val="left"/>
    </w:pPr>
    <w:rPr>
      <w:rFonts w:ascii="Arial" w:hAnsi="Arial" w:cs="Times New Roman"/>
      <w:kern w:val="0"/>
      <w:sz w:val="24"/>
      <w:szCs w:val="24"/>
    </w:rPr>
  </w:style>
  <w:style w:type="paragraph" w:customStyle="1" w:styleId="29">
    <w:name w:val="一级目录"/>
    <w:next w:val="1"/>
    <w:qFormat/>
    <w:uiPriority w:val="99"/>
    <w:pPr>
      <w:spacing w:after="160" w:afterLines="100" w:line="278" w:lineRule="auto"/>
      <w:jc w:val="center"/>
      <w:outlineLvl w:val="0"/>
    </w:pPr>
    <w:rPr>
      <w:rFonts w:ascii="黑体" w:hAnsi="Times New Roman" w:eastAsia="黑体" w:cs="Times New Roman"/>
      <w:b/>
      <w:bCs/>
      <w:kern w:val="2"/>
      <w:sz w:val="44"/>
      <w:szCs w:val="44"/>
      <w:lang w:val="en-US" w:eastAsia="zh-CN" w:bidi="ar-SA"/>
    </w:rPr>
  </w:style>
  <w:style w:type="paragraph" w:customStyle="1" w:styleId="30">
    <w:name w:val="二级目录"/>
    <w:next w:val="1"/>
    <w:qFormat/>
    <w:uiPriority w:val="99"/>
    <w:pPr>
      <w:tabs>
        <w:tab w:val="left" w:pos="720"/>
      </w:tabs>
      <w:spacing w:after="160" w:line="278" w:lineRule="auto"/>
      <w:ind w:left="720" w:hanging="720"/>
      <w:outlineLvl w:val="1"/>
    </w:pPr>
    <w:rPr>
      <w:rFonts w:ascii="Calibri" w:hAnsi="Calibri" w:eastAsia="宋体" w:cs="Times New Roman"/>
      <w:b/>
      <w:bCs/>
      <w:kern w:val="2"/>
      <w:sz w:val="28"/>
      <w:szCs w:val="28"/>
      <w:lang w:val="en-US" w:eastAsia="zh-CN" w:bidi="ar-SA"/>
    </w:rPr>
  </w:style>
  <w:style w:type="paragraph" w:customStyle="1" w:styleId="31">
    <w:name w:val="列表段落1"/>
    <w:basedOn w:val="1"/>
    <w:qFormat/>
    <w:uiPriority w:val="1"/>
    <w:pPr>
      <w:ind w:firstLine="420" w:firstLineChars="200"/>
    </w:pPr>
    <w:rPr>
      <w:rFonts w:cs="Times New Roman"/>
      <w:szCs w:val="22"/>
    </w:rPr>
  </w:style>
  <w:style w:type="paragraph" w:customStyle="1" w:styleId="32">
    <w:name w:val="正文缩进2格"/>
    <w:basedOn w:val="1"/>
    <w:qFormat/>
    <w:uiPriority w:val="0"/>
    <w:pPr>
      <w:spacing w:line="600" w:lineRule="exact"/>
      <w:ind w:firstLine="639" w:firstLineChars="206"/>
    </w:pPr>
    <w:rPr>
      <w:rFonts w:ascii="仿宋_GB2312" w:hAnsi="宋体" w:eastAsia="仿宋_GB2312"/>
      <w:sz w:val="31"/>
      <w:szCs w:val="28"/>
    </w:rPr>
  </w:style>
  <w:style w:type="character" w:customStyle="1" w:styleId="33">
    <w:name w:val="NormalCharacter"/>
    <w:qFormat/>
    <w:uiPriority w:val="0"/>
  </w:style>
  <w:style w:type="paragraph" w:customStyle="1" w:styleId="34">
    <w:name w:val="列出段落1"/>
    <w:basedOn w:val="1"/>
    <w:qFormat/>
    <w:uiPriority w:val="34"/>
    <w:pPr>
      <w:ind w:firstLine="420" w:firstLineChars="200"/>
    </w:pPr>
  </w:style>
  <w:style w:type="paragraph" w:customStyle="1" w:styleId="35">
    <w:name w:val="_Style 3"/>
    <w:basedOn w:val="1"/>
    <w:next w:val="1"/>
    <w:qFormat/>
    <w:uiPriority w:val="99"/>
    <w:pPr>
      <w:widowControl/>
      <w:pBdr>
        <w:bottom w:val="single" w:color="auto" w:sz="6" w:space="1"/>
      </w:pBdr>
      <w:jc w:val="center"/>
    </w:pPr>
    <w:rPr>
      <w:rFonts w:ascii="Arial" w:hAnsi="Arial" w:cs="Arial"/>
      <w:vanish/>
      <w:kern w:val="0"/>
      <w:sz w:val="16"/>
      <w:szCs w:val="16"/>
    </w:rPr>
  </w:style>
  <w:style w:type="paragraph" w:customStyle="1" w:styleId="36">
    <w:name w:val="Char1"/>
    <w:basedOn w:val="1"/>
    <w:qFormat/>
    <w:uiPriority w:val="99"/>
    <w:rPr>
      <w:rFonts w:ascii="Tahoma" w:hAnsi="Tahoma" w:cs="Tahoma"/>
      <w:sz w:val="24"/>
      <w:szCs w:val="24"/>
    </w:rPr>
  </w:style>
  <w:style w:type="paragraph" w:customStyle="1" w:styleId="37">
    <w:name w:val="WPSOffice手动目录 1"/>
    <w:qFormat/>
    <w:uiPriority w:val="0"/>
    <w:pPr>
      <w:spacing w:after="160" w:line="278" w:lineRule="auto"/>
    </w:pPr>
    <w:rPr>
      <w:rFonts w:ascii="Times New Roman" w:hAnsi="Times New Roman" w:eastAsia="宋体" w:cs="Times New Roman"/>
      <w:lang w:val="en-US" w:eastAsia="zh-CN" w:bidi="ar-SA"/>
    </w:rPr>
  </w:style>
  <w:style w:type="paragraph" w:customStyle="1" w:styleId="38">
    <w:name w:val="正文1"/>
    <w:qFormat/>
    <w:uiPriority w:val="0"/>
    <w:pPr>
      <w:spacing w:after="160" w:line="278" w:lineRule="auto"/>
      <w:jc w:val="both"/>
    </w:pPr>
    <w:rPr>
      <w:rFonts w:ascii="Times New Roman" w:hAnsi="Times New Roman" w:eastAsia="宋体" w:cs="Times New Roman"/>
      <w:kern w:val="2"/>
      <w:sz w:val="21"/>
      <w:szCs w:val="21"/>
      <w:lang w:val="en-US" w:eastAsia="zh-CN" w:bidi="ar-SA"/>
    </w:rPr>
  </w:style>
  <w:style w:type="paragraph" w:customStyle="1" w:styleId="39">
    <w:name w:val="无间隔1"/>
    <w:qFormat/>
    <w:uiPriority w:val="99"/>
    <w:pPr>
      <w:widowControl w:val="0"/>
      <w:spacing w:after="160" w:line="278" w:lineRule="auto"/>
      <w:jc w:val="both"/>
    </w:pPr>
    <w:rPr>
      <w:rFonts w:ascii="Calibri" w:hAnsi="Calibri" w:eastAsia="宋体" w:cs="Calibri"/>
      <w:kern w:val="2"/>
      <w:sz w:val="21"/>
      <w:szCs w:val="21"/>
      <w:lang w:val="en-US" w:eastAsia="zh-CN" w:bidi="ar-SA"/>
    </w:rPr>
  </w:style>
  <w:style w:type="paragraph" w:customStyle="1" w:styleId="40">
    <w:name w:val="qq正文"/>
    <w:basedOn w:val="1"/>
    <w:qFormat/>
    <w:uiPriority w:val="0"/>
    <w:pPr>
      <w:snapToGrid w:val="0"/>
      <w:spacing w:line="360" w:lineRule="auto"/>
      <w:ind w:firstLine="200" w:firstLineChars="200"/>
    </w:pPr>
    <w:rPr>
      <w:rFonts w:ascii="Times New Roman" w:hAnsi="Times New Roman" w:cs="Times New Roman"/>
      <w:sz w:val="24"/>
      <w:szCs w:val="24"/>
    </w:rPr>
  </w:style>
  <w:style w:type="paragraph" w:customStyle="1" w:styleId="41">
    <w:name w:val="_Style 39"/>
    <w:basedOn w:val="1"/>
    <w:next w:val="1"/>
    <w:qFormat/>
    <w:uiPriority w:val="34"/>
    <w:pPr>
      <w:snapToGrid w:val="0"/>
      <w:spacing w:after="0" w:line="300" w:lineRule="auto"/>
      <w:ind w:firstLine="420"/>
    </w:pPr>
    <w:rPr>
      <w:rFonts w:cs="Times New Roman"/>
      <w:szCs w:val="24"/>
    </w:rPr>
  </w:style>
  <w:style w:type="paragraph" w:customStyle="1" w:styleId="42">
    <w:name w:val="列出段落2"/>
    <w:basedOn w:val="1"/>
    <w:qFormat/>
    <w:uiPriority w:val="99"/>
    <w:pPr>
      <w:ind w:firstLine="420" w:firstLineChars="200"/>
    </w:pPr>
  </w:style>
  <w:style w:type="character" w:customStyle="1" w:styleId="43">
    <w:name w:val="批注框文本 字符"/>
    <w:basedOn w:val="23"/>
    <w:link w:val="12"/>
    <w:qFormat/>
    <w:uiPriority w:val="0"/>
    <w:rPr>
      <w:rFonts w:ascii="Calibri" w:hAnsi="Calibri" w:cs="Calibri"/>
      <w:kern w:val="2"/>
      <w:sz w:val="18"/>
      <w:szCs w:val="18"/>
    </w:rPr>
  </w:style>
  <w:style w:type="paragraph" w:customStyle="1" w:styleId="44">
    <w:name w:val="标题 41"/>
    <w:basedOn w:val="1"/>
    <w:next w:val="45"/>
    <w:unhideWhenUsed/>
    <w:qFormat/>
    <w:uiPriority w:val="0"/>
    <w:pPr>
      <w:keepNext/>
      <w:keepLines/>
      <w:spacing w:before="280" w:beforeLines="0" w:after="290" w:afterLines="0" w:line="376" w:lineRule="auto"/>
      <w:outlineLvl w:val="3"/>
    </w:pPr>
    <w:rPr>
      <w:rFonts w:hint="default" w:ascii="Arial" w:hAnsi="Arial" w:eastAsia="黑体" w:cs="Arial"/>
      <w:b/>
      <w:sz w:val="28"/>
      <w:szCs w:val="28"/>
    </w:rPr>
  </w:style>
  <w:style w:type="paragraph" w:customStyle="1" w:styleId="45">
    <w:name w:val="正文缩进1"/>
    <w:basedOn w:val="1"/>
    <w:unhideWhenUsed/>
    <w:qFormat/>
    <w:uiPriority w:val="0"/>
    <w:pPr>
      <w:spacing w:beforeLines="0" w:afterLines="0"/>
      <w:ind w:firstLine="420"/>
    </w:pPr>
    <w:rPr>
      <w:rFonts w:hint="default"/>
      <w:sz w:val="21"/>
      <w:szCs w:val="21"/>
    </w:rPr>
  </w:style>
  <w:style w:type="paragraph" w:customStyle="1" w:styleId="46">
    <w:name w:val="索引 41"/>
    <w:basedOn w:val="1"/>
    <w:next w:val="1"/>
    <w:unhideWhenUsed/>
    <w:qFormat/>
    <w:uiPriority w:val="0"/>
    <w:pPr>
      <w:spacing w:beforeLines="0" w:afterLines="0"/>
      <w:ind w:left="1260"/>
    </w:pPr>
    <w:rPr>
      <w:rFonts w:hint="default" w:ascii="Calibri" w:hAnsi="Calibri" w:eastAsia="Calibri" w:cs="宋体"/>
      <w:sz w:val="20"/>
      <w:szCs w:val="22"/>
      <w:lang w:val="zh-CN"/>
    </w:rPr>
  </w:style>
  <w:style w:type="paragraph" w:customStyle="1" w:styleId="47">
    <w:name w:val="正文文本 211"/>
    <w:basedOn w:val="1"/>
    <w:unhideWhenUsed/>
    <w:qFormat/>
    <w:uiPriority w:val="99"/>
    <w:pPr>
      <w:spacing w:beforeLines="0" w:afterLines="0"/>
      <w:jc w:val="center"/>
    </w:pPr>
    <w:rPr>
      <w:rFonts w:hint="default"/>
      <w:b/>
      <w:sz w:val="20"/>
      <w:szCs w:val="20"/>
    </w:rPr>
  </w:style>
  <w:style w:type="paragraph" w:customStyle="1" w:styleId="48">
    <w:name w:val="Char"/>
    <w:basedOn w:val="1"/>
    <w:unhideWhenUsed/>
    <w:qFormat/>
    <w:uiPriority w:val="0"/>
    <w:pPr>
      <w:tabs>
        <w:tab w:val="left" w:pos="360"/>
      </w:tabs>
      <w:spacing w:beforeLines="0" w:afterLines="0"/>
      <w:ind w:firstLine="200"/>
    </w:pPr>
    <w:rPr>
      <w:rFonts w:hint="default"/>
      <w:sz w:val="28"/>
      <w:szCs w:val="30"/>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53</Pages>
  <Words>12038</Words>
  <Characters>13018</Characters>
  <Lines>297</Lines>
  <Paragraphs>83</Paragraphs>
  <TotalTime>9</TotalTime>
  <ScaleCrop>false</ScaleCrop>
  <LinksUpToDate>false</LinksUpToDate>
  <CharactersWithSpaces>13297</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2021-10-23T09:50:00Z</dcterms:created>
  <dc:creator>oem</dc:creator>
  <cp:lastModifiedBy>徐舒舒</cp:lastModifiedBy>
  <cp:lastPrinted>2026-08-14T08:24:07Z</cp:lastPrinted>
  <dcterms:modified xsi:type="dcterms:W3CDTF">2026-08-14T08:31:15Z</dcterms:modified>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DC11795EDD15460CA56297A8ED87CF9B_13</vt:lpwstr>
  </property>
  <property fmtid="{D5CDD505-2E9C-101B-9397-08002B2CF9AE}" pid="4" name="KSOTemplateDocerSaveRecord">
    <vt:lpwstr>eyJoZGlkIjoiYzdjM2E3YzM0N2U1Mzc2ZmVlYmFkMzVlNzQxZTUzNWMiLCJ1c2VySWQiOiI1OTE4NjkyMTQifQ==</vt:lpwstr>
  </property>
</Properties>
</file>