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95" w:firstLine="640"/>
        <w:jc w:val="cente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sz w:val="44"/>
          <w:szCs w:val="44"/>
        </w:rPr>
      </w:pPr>
      <w:r>
        <w:rPr>
          <w:rFonts w:hint="eastAsia" w:ascii="仿宋" w:hAnsi="仿宋" w:eastAsia="仿宋" w:cs="仿宋"/>
          <w:b/>
          <w:bCs/>
          <w:sz w:val="44"/>
          <w:szCs w:val="44"/>
        </w:rPr>
        <w:t xml:space="preserve">南通市小海街道镇区大环境保洁服务项目</w:t>
      </w:r>
      <w:r/>
    </w:p>
    <w:p>
      <w:pPr>
        <w:ind w:left="695" w:firstLine="1446"/>
        <w:rPr>
          <w:rFonts w:ascii="仿宋" w:hAnsi="仿宋" w:eastAsia="仿宋" w:cs="仿宋"/>
          <w:b/>
          <w:sz w:val="72"/>
          <w:szCs w:val="72"/>
        </w:rPr>
      </w:pPr>
      <w:r>
        <w:rPr>
          <w:rFonts w:ascii="仿宋" w:hAnsi="仿宋" w:eastAsia="仿宋" w:cs="仿宋"/>
          <w:b/>
          <w:sz w:val="72"/>
          <w:szCs w:val="72"/>
        </w:rPr>
      </w:r>
      <w:r/>
    </w:p>
    <w:p>
      <w:pPr>
        <w:jc w:val="center"/>
        <w:rPr>
          <w:rFonts w:ascii="仿宋" w:hAnsi="仿宋" w:eastAsia="仿宋" w:cs="仿宋"/>
          <w:b/>
          <w:sz w:val="72"/>
          <w:szCs w:val="72"/>
        </w:rPr>
      </w:pPr>
      <w:r>
        <w:rPr>
          <w:rFonts w:hint="eastAsia" w:ascii="仿宋" w:hAnsi="仿宋" w:eastAsia="仿宋" w:cs="仿宋"/>
          <w:b/>
          <w:sz w:val="72"/>
          <w:szCs w:val="72"/>
        </w:rPr>
        <w:t xml:space="preserve">政府采购磋商文件</w:t>
      </w:r>
      <w:r/>
    </w:p>
    <w:p>
      <w:pPr>
        <w:ind w:left="695" w:firstLine="723"/>
        <w:jc w:val="center"/>
        <w:keepNext/>
        <w:spacing w:line="500" w:lineRule="exact"/>
        <w:rPr>
          <w:rFonts w:ascii="仿宋" w:hAnsi="仿宋" w:eastAsia="仿宋" w:cs="仿宋"/>
          <w:b/>
          <w:sz w:val="36"/>
          <w:szCs w:val="36"/>
        </w:rPr>
      </w:pPr>
      <w:r>
        <w:rPr>
          <w:rFonts w:ascii="仿宋" w:hAnsi="仿宋" w:eastAsia="仿宋" w:cs="仿宋"/>
          <w:b/>
          <w:sz w:val="36"/>
          <w:szCs w:val="36"/>
        </w:rPr>
      </w:r>
      <w:r/>
    </w:p>
    <w:p>
      <w:pPr>
        <w:jc w:val="center"/>
        <w:keepNext/>
        <w:spacing w:line="500" w:lineRule="exact"/>
        <w:rPr>
          <w:rFonts w:ascii="仿宋" w:hAnsi="仿宋" w:eastAsia="仿宋" w:cs="仿宋"/>
          <w:b/>
          <w:sz w:val="36"/>
          <w:szCs w:val="36"/>
        </w:rPr>
      </w:pPr>
      <w:r>
        <w:rPr>
          <w:rFonts w:ascii="仿宋" w:hAnsi="仿宋" w:eastAsia="仿宋" w:cs="仿宋"/>
          <w:b/>
          <w:sz w:val="36"/>
          <w:szCs w:val="36"/>
        </w:rPr>
      </w:r>
      <w:r/>
    </w:p>
    <w:p>
      <w:pPr>
        <w:jc w:val="center"/>
        <w:keepNext/>
        <w:spacing w:line="500" w:lineRule="exact"/>
        <w:rPr>
          <w:rFonts w:ascii="仿宋" w:hAnsi="仿宋" w:eastAsia="仿宋" w:cs="仿宋"/>
          <w:b/>
          <w:sz w:val="36"/>
          <w:szCs w:val="36"/>
        </w:rPr>
      </w:pPr>
      <w:r>
        <w:rPr>
          <w:rFonts w:hint="eastAsia" w:ascii="仿宋" w:hAnsi="仿宋" w:eastAsia="仿宋" w:cs="仿宋"/>
          <w:b/>
          <w:sz w:val="36"/>
          <w:szCs w:val="36"/>
        </w:rPr>
        <w:t xml:space="preserve">采购文件编号：</w:t>
      </w:r>
      <w:r>
        <w:rPr>
          <w:rFonts w:ascii="仿宋" w:hAnsi="仿宋" w:eastAsia="仿宋" w:cs="仿宋"/>
          <w:b/>
          <w:sz w:val="36"/>
          <w:szCs w:val="36"/>
        </w:rPr>
        <w:t xml:space="preserve">JSZC-320690-JRJF-C2026-0003</w:t>
      </w:r>
      <w:r/>
    </w:p>
    <w:p>
      <w:pPr>
        <w:spacing w:line="500" w:lineRule="exact"/>
        <w:rPr>
          <w:rFonts w:ascii="仿宋" w:hAnsi="仿宋" w:eastAsia="仿宋" w:cs="仿宋"/>
          <w:sz w:val="32"/>
        </w:rPr>
      </w:pPr>
      <w:r>
        <w:rPr>
          <w:rFonts w:ascii="仿宋" w:hAnsi="仿宋" w:eastAsia="仿宋" w:cs="仿宋"/>
          <w:sz w:val="32"/>
        </w:rPr>
      </w:r>
      <w:r/>
    </w:p>
    <w:p>
      <w:pPr>
        <w:ind w:left="695" w:firstLine="640"/>
        <w:jc w:val="center"/>
        <w:spacing w:line="500" w:lineRule="exact"/>
        <w:rPr>
          <w:rFonts w:ascii="仿宋" w:hAnsi="仿宋" w:eastAsia="仿宋" w:cs="仿宋"/>
        </w:rPr>
      </w:pPr>
      <w:r>
        <w:rPr>
          <w:rFonts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1828800</wp:posOffset>
                </wp:positionH>
                <wp:positionV relativeFrom="paragraph">
                  <wp:posOffset>617220</wp:posOffset>
                </wp:positionV>
                <wp:extent cx="2333625" cy="1790065"/>
                <wp:effectExtent l="0" t="0" r="0" b="0"/>
                <wp:wrapTopAndBottom/>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7"/>
                        <a:stretch/>
                      </pic:blipFill>
                      <pic:spPr bwMode="auto">
                        <a:xfrm>
                          <a:off x="0" y="0"/>
                          <a:ext cx="2333625" cy="17900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false;mso-position-horizontal-relative:text;margin-left:144.0pt;mso-position-horizontal:absolute;mso-position-vertical-relative:text;margin-top:48.6pt;mso-position-vertical:absolute;width:183.8pt;height:140.9pt;mso-wrap-distance-left:9.0pt;mso-wrap-distance-top:0.0pt;mso-wrap-distance-right:9.0pt;mso-wrap-distance-bottom:0.0pt;" stroked="f">
                <v:path textboxrect="0,0,0,0"/>
                <w10:wrap type="topAndBottom"/>
                <v:imagedata r:id="rId17" o:title=""/>
              </v:shape>
            </w:pict>
          </mc:Fallback>
        </mc:AlternateContent>
      </w:r>
      <w:r/>
    </w:p>
    <w:p>
      <w:pPr>
        <w:pStyle w:val="853"/>
        <w:rPr>
          <w:rFonts w:ascii="仿宋" w:hAnsi="仿宋" w:eastAsia="仿宋" w:cs="仿宋"/>
        </w:rPr>
      </w:pPr>
      <w:r>
        <w:rPr>
          <w:rFonts w:ascii="仿宋" w:hAnsi="仿宋" w:eastAsia="仿宋" w:cs="仿宋"/>
        </w:rPr>
      </w:r>
      <w:r/>
    </w:p>
    <w:p>
      <w:pPr>
        <w:pStyle w:val="853"/>
        <w:rPr>
          <w:rFonts w:ascii="仿宋" w:hAnsi="仿宋" w:eastAsia="仿宋" w:cs="仿宋"/>
        </w:rPr>
      </w:pPr>
      <w:r>
        <w:rPr>
          <w:rFonts w:ascii="仿宋" w:hAnsi="仿宋" w:eastAsia="仿宋" w:cs="仿宋"/>
        </w:rPr>
      </w:r>
      <w:r/>
    </w:p>
    <w:p>
      <w:pPr>
        <w:pStyle w:val="853"/>
        <w:rPr>
          <w:rFonts w:ascii="仿宋" w:hAnsi="仿宋" w:eastAsia="仿宋"/>
        </w:rPr>
      </w:pPr>
      <w:r>
        <w:rPr>
          <w:rFonts w:ascii="仿宋" w:hAnsi="仿宋" w:eastAsia="仿宋"/>
        </w:rPr>
      </w:r>
      <w:r/>
    </w:p>
    <w:p>
      <w:pPr>
        <w:jc w:val="center"/>
        <w:spacing w:line="480" w:lineRule="auto"/>
        <w:rPr>
          <w:rFonts w:ascii="仿宋" w:hAnsi="仿宋" w:eastAsia="仿宋" w:cs="仿宋"/>
          <w:b/>
          <w:spacing w:val="-12"/>
          <w:sz w:val="32"/>
          <w:szCs w:val="32"/>
        </w:rPr>
      </w:pPr>
      <w:r>
        <w:rPr>
          <w:rFonts w:hint="eastAsia" w:ascii="仿宋" w:hAnsi="仿宋" w:eastAsia="仿宋" w:cs="仿宋"/>
          <w:b/>
          <w:spacing w:val="-12"/>
          <w:sz w:val="32"/>
          <w:szCs w:val="32"/>
        </w:rPr>
        <w:t xml:space="preserve">采购人: 南通市小海街道办事处</w:t>
      </w:r>
      <w:r/>
    </w:p>
    <w:p>
      <w:pPr>
        <w:jc w:val="center"/>
        <w:spacing w:line="480" w:lineRule="auto"/>
        <w:rPr>
          <w:rFonts w:ascii="仿宋" w:hAnsi="仿宋" w:eastAsia="仿宋" w:cs="仿宋"/>
          <w:b/>
          <w:spacing w:val="-12"/>
          <w:sz w:val="32"/>
          <w:szCs w:val="32"/>
        </w:rPr>
      </w:pPr>
      <w:r>
        <w:rPr>
          <w:rFonts w:hint="eastAsia" w:ascii="仿宋" w:hAnsi="仿宋" w:eastAsia="仿宋" w:cs="仿宋"/>
          <w:b/>
          <w:spacing w:val="-12"/>
          <w:sz w:val="32"/>
          <w:szCs w:val="32"/>
        </w:rPr>
        <w:t xml:space="preserve">采购代理机构：南通捷润项目管理有限公司</w:t>
      </w:r>
      <w:r/>
    </w:p>
    <w:p>
      <w:pPr>
        <w:jc w:val="center"/>
        <w:spacing w:line="480" w:lineRule="auto"/>
        <w:rPr>
          <w:rFonts w:ascii="仿宋" w:hAnsi="仿宋" w:eastAsia="仿宋" w:cs="仿宋"/>
          <w:b/>
          <w:spacing w:val="-12"/>
          <w:sz w:val="32"/>
          <w:szCs w:val="32"/>
        </w:rPr>
      </w:pPr>
      <w:r>
        <w:rPr>
          <w:rFonts w:hint="eastAsia" w:ascii="仿宋" w:hAnsi="仿宋" w:eastAsia="仿宋" w:cs="仿宋"/>
          <w:b/>
          <w:spacing w:val="-12"/>
          <w:sz w:val="32"/>
          <w:szCs w:val="32"/>
        </w:rPr>
        <w:t xml:space="preserve">日期 : 2026年</w:t>
      </w:r>
      <w:r>
        <w:rPr>
          <w:rFonts w:hint="eastAsia" w:ascii="仿宋" w:hAnsi="仿宋" w:eastAsia="仿宋" w:cs="仿宋"/>
          <w:b/>
          <w:spacing w:val="-12"/>
          <w:sz w:val="32"/>
          <w:szCs w:val="32"/>
        </w:rPr>
        <w:t xml:space="preserve">9</w:t>
      </w:r>
      <w:r>
        <w:rPr>
          <w:rFonts w:hint="eastAsia" w:ascii="仿宋" w:hAnsi="仿宋" w:eastAsia="仿宋" w:cs="仿宋"/>
          <w:b/>
          <w:spacing w:val="-12"/>
          <w:sz w:val="32"/>
          <w:szCs w:val="32"/>
        </w:rPr>
        <w:t xml:space="preserve">月</w:t>
      </w:r>
      <w:r/>
    </w:p>
    <w:p>
      <w:pPr>
        <w:spacing w:line="360" w:lineRule="auto"/>
        <w:widowControl/>
        <w:rPr>
          <w:rFonts w:ascii="仿宋" w:hAnsi="仿宋" w:eastAsia="仿宋" w:cs="仿宋"/>
          <w:b/>
          <w:bCs/>
          <w:sz w:val="32"/>
          <w:szCs w:val="32"/>
        </w:rPr>
      </w:pPr>
      <w:r>
        <w:rPr>
          <w:rFonts w:ascii="仿宋" w:hAnsi="仿宋" w:eastAsia="仿宋" w:cs="仿宋"/>
          <w:b/>
          <w:bCs/>
          <w:sz w:val="32"/>
          <w:szCs w:val="32"/>
        </w:rPr>
      </w:r>
      <w:r/>
    </w:p>
    <w:p>
      <w:pPr>
        <w:pStyle w:val="853"/>
        <w:rPr>
          <w:rFonts w:ascii="仿宋" w:hAnsi="仿宋" w:eastAsia="仿宋" w:cs="仿宋"/>
          <w:b/>
          <w:bCs/>
          <w:sz w:val="32"/>
          <w:szCs w:val="32"/>
        </w:rPr>
      </w:pPr>
      <w:r>
        <w:rPr>
          <w:rFonts w:ascii="仿宋" w:hAnsi="仿宋" w:eastAsia="仿宋" w:cs="仿宋"/>
          <w:b/>
          <w:bCs/>
          <w:sz w:val="32"/>
          <w:szCs w:val="32"/>
        </w:rPr>
      </w:r>
      <w:r/>
    </w:p>
    <w:p>
      <w:pPr>
        <w:pStyle w:val="801"/>
        <w:ind w:left="695" w:firstLine="883"/>
        <w:jc w:val="center"/>
        <w:spacing w:line="600" w:lineRule="auto"/>
        <w:rPr>
          <w:rFonts w:ascii="仿宋" w:hAnsi="仿宋" w:eastAsia="仿宋" w:cs="仿宋"/>
          <w:b/>
          <w:sz w:val="44"/>
          <w:szCs w:val="44"/>
        </w:rPr>
      </w:pPr>
      <w:r>
        <w:rPr>
          <w:rFonts w:hint="eastAsia" w:ascii="仿宋" w:hAnsi="仿宋" w:eastAsia="仿宋" w:cs="仿宋"/>
          <w:b/>
          <w:sz w:val="44"/>
          <w:szCs w:val="44"/>
        </w:rPr>
        <w:t xml:space="preserve">目  录</w:t>
      </w:r>
      <w:r/>
    </w:p>
    <w:p>
      <w:pPr>
        <w:ind w:left="695" w:firstLine="640"/>
        <w:spacing w:line="600" w:lineRule="auto"/>
        <w:rPr>
          <w:rFonts w:ascii="仿宋" w:hAnsi="仿宋" w:eastAsia="仿宋" w:cs="仿宋"/>
          <w:sz w:val="32"/>
          <w:szCs w:val="32"/>
        </w:rPr>
      </w:pPr>
      <w:r>
        <w:rPr>
          <w:rFonts w:hint="eastAsia" w:ascii="仿宋" w:hAnsi="仿宋" w:eastAsia="仿宋" w:cs="仿宋"/>
          <w:sz w:val="32"/>
          <w:szCs w:val="32"/>
        </w:rPr>
        <w:t xml:space="preserve">第一章  竞争性磋商公告</w:t>
      </w:r>
      <w:r/>
    </w:p>
    <w:p>
      <w:pPr>
        <w:ind w:left="695" w:firstLine="640"/>
        <w:spacing w:line="600" w:lineRule="auto"/>
        <w:rPr>
          <w:rFonts w:ascii="仿宋" w:hAnsi="仿宋" w:eastAsia="仿宋" w:cs="仿宋"/>
          <w:sz w:val="32"/>
          <w:szCs w:val="32"/>
        </w:rPr>
      </w:pPr>
      <w:r>
        <w:rPr>
          <w:rFonts w:hint="eastAsia" w:ascii="仿宋" w:hAnsi="仿宋" w:eastAsia="仿宋" w:cs="仿宋"/>
          <w:sz w:val="32"/>
          <w:szCs w:val="32"/>
        </w:rPr>
        <w:t xml:space="preserve">第二章  磋商须知</w:t>
      </w:r>
      <w:r/>
    </w:p>
    <w:p>
      <w:pPr>
        <w:ind w:left="695" w:firstLine="640"/>
        <w:spacing w:line="600" w:lineRule="auto"/>
        <w:rPr>
          <w:rFonts w:ascii="仿宋" w:hAnsi="仿宋" w:eastAsia="仿宋" w:cs="仿宋"/>
          <w:sz w:val="32"/>
          <w:szCs w:val="32"/>
        </w:rPr>
      </w:pPr>
      <w:r>
        <w:rPr>
          <w:rFonts w:hint="eastAsia" w:ascii="仿宋" w:hAnsi="仿宋" w:eastAsia="仿宋" w:cs="仿宋"/>
          <w:sz w:val="32"/>
          <w:szCs w:val="32"/>
        </w:rPr>
        <w:t xml:space="preserve">第三章  项目需求</w:t>
      </w:r>
      <w:r/>
    </w:p>
    <w:p>
      <w:pPr>
        <w:ind w:left="695" w:firstLine="640"/>
        <w:spacing w:line="600" w:lineRule="auto"/>
        <w:rPr>
          <w:rFonts w:ascii="仿宋" w:hAnsi="仿宋" w:eastAsia="仿宋" w:cs="仿宋"/>
          <w:sz w:val="32"/>
          <w:szCs w:val="32"/>
        </w:rPr>
      </w:pPr>
      <w:r>
        <w:rPr>
          <w:rFonts w:hint="eastAsia" w:ascii="仿宋" w:hAnsi="仿宋" w:eastAsia="仿宋" w:cs="仿宋"/>
          <w:sz w:val="32"/>
          <w:szCs w:val="32"/>
        </w:rPr>
        <w:t xml:space="preserve">第四章  评审方法和评审标准</w:t>
      </w:r>
      <w:r/>
    </w:p>
    <w:p>
      <w:pPr>
        <w:ind w:left="695" w:firstLine="640"/>
        <w:spacing w:line="600" w:lineRule="auto"/>
        <w:rPr>
          <w:rFonts w:ascii="仿宋" w:hAnsi="仿宋" w:eastAsia="仿宋" w:cs="仿宋"/>
          <w:sz w:val="32"/>
          <w:szCs w:val="32"/>
        </w:rPr>
      </w:pPr>
      <w:r>
        <w:rPr>
          <w:rFonts w:hint="eastAsia" w:ascii="仿宋" w:hAnsi="仿宋" w:eastAsia="仿宋" w:cs="仿宋"/>
          <w:sz w:val="32"/>
          <w:szCs w:val="32"/>
        </w:rPr>
        <w:t xml:space="preserve">第五章  响应文件组成</w:t>
      </w:r>
      <w:r/>
    </w:p>
    <w:p>
      <w:pPr>
        <w:spacing w:line="360" w:lineRule="auto"/>
        <w:rPr>
          <w:rFonts w:ascii="仿宋" w:hAnsi="仿宋" w:eastAsia="仿宋" w:cs="仿宋"/>
          <w:b/>
          <w:sz w:val="22"/>
          <w:szCs w:val="22"/>
        </w:rPr>
      </w:pPr>
      <w:r>
        <w:rPr>
          <w:rFonts w:hint="eastAsia" w:ascii="仿宋" w:hAnsi="仿宋" w:eastAsia="仿宋" w:cs="仿宋"/>
          <w:szCs w:val="44"/>
        </w:rPr>
        <w:br w:type="page" w:clear="all"/>
      </w:r>
      <w:r>
        <w:rPr>
          <w:rFonts w:hint="eastAsia" w:ascii="仿宋" w:hAnsi="仿宋" w:eastAsia="仿宋" w:cs="仿宋"/>
          <w:b/>
          <w:sz w:val="22"/>
          <w:szCs w:val="22"/>
        </w:rPr>
        <w:t xml:space="preserve">尊敬的供应商：</w:t>
      </w:r>
      <w:r/>
    </w:p>
    <w:p>
      <w:pPr>
        <w:pStyle w:val="788"/>
        <w:ind w:firstLine="442"/>
        <w:jc w:val="left"/>
        <w:keepLines w:val="0"/>
        <w:keepNext w:val="0"/>
        <w:spacing w:before="0" w:after="0" w:line="360" w:lineRule="auto"/>
        <w:rPr>
          <w:rFonts w:ascii="仿宋" w:hAnsi="仿宋" w:eastAsia="仿宋" w:cs="仿宋"/>
          <w:szCs w:val="44"/>
        </w:rPr>
      </w:pPr>
      <w:r>
        <w:rPr>
          <w:rFonts w:hint="eastAsia" w:ascii="仿宋" w:hAnsi="仿宋" w:eastAsia="仿宋" w:cs="仿宋"/>
          <w:sz w:val="22"/>
          <w:szCs w:val="22"/>
        </w:rPr>
        <w:t xml:space="preserve">欢迎参加本采购项目的竞争性磋商。为了保证本次磋商项目顺利进行，请在制作响应文件之前，仔细阅读本竞争性磋商文件的各项条款，并按要求制作和递交响应文件。谢谢合作！</w:t>
      </w:r>
      <w:r/>
    </w:p>
    <w:p>
      <w:pPr>
        <w:pStyle w:val="788"/>
        <w:ind w:left="695" w:firstLine="643"/>
        <w:jc w:val="center"/>
        <w:keepLines w:val="0"/>
        <w:keepNext w:val="0"/>
        <w:spacing w:before="0" w:after="0" w:line="800" w:lineRule="exact"/>
        <w:rPr>
          <w:rFonts w:ascii="仿宋" w:hAnsi="仿宋" w:eastAsia="仿宋" w:cs="仿宋"/>
          <w:sz w:val="32"/>
          <w:szCs w:val="32"/>
        </w:rPr>
      </w:pPr>
      <w:r>
        <w:rPr>
          <w:rFonts w:hint="eastAsia" w:ascii="仿宋" w:hAnsi="仿宋" w:eastAsia="仿宋" w:cs="仿宋"/>
          <w:sz w:val="32"/>
          <w:szCs w:val="32"/>
        </w:rPr>
        <w:t xml:space="preserve">第一章   竞争性磋商公告</w:t>
      </w:r>
      <w:r/>
    </w:p>
    <w:p>
      <w:pPr>
        <w:ind w:left="695" w:firstLine="480"/>
        <w:spacing w:line="460" w:lineRule="exact"/>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left="695" w:firstLine="480"/>
        <w:spacing w:line="460" w:lineRule="exact"/>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南通市小海街道镇区大环境保洁服务项目</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江苏政府采购网-苏采云系统内免费下载磋商文件</w:t>
      </w:r>
      <w:r>
        <w:rPr>
          <w:rFonts w:hint="eastAsia" w:ascii="仿宋" w:hAnsi="仿宋" w:eastAsia="仿宋" w:cs="仿宋"/>
          <w:sz w:val="24"/>
          <w:szCs w:val="24"/>
        </w:rPr>
        <w:t xml:space="preserve">，并于</w:t>
      </w:r>
      <w:r>
        <w:rPr>
          <w:rFonts w:hint="eastAsia" w:ascii="仿宋" w:hAnsi="仿宋" w:eastAsia="仿宋" w:cs="仿宋"/>
          <w:sz w:val="24"/>
          <w:szCs w:val="24"/>
          <w:u w:val="single"/>
        </w:rPr>
        <w:t xml:space="preserve">2026年</w:t>
      </w:r>
      <w:r>
        <w:rPr>
          <w:rFonts w:hint="eastAsia" w:ascii="仿宋" w:hAnsi="仿宋" w:eastAsia="仿宋" w:cs="仿宋"/>
          <w:sz w:val="24"/>
          <w:szCs w:val="24"/>
          <w:u w:val="single"/>
        </w:rPr>
        <w:t xml:space="preserve">09</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rPr>
        <w:t xml:space="preserve">17</w:t>
      </w:r>
      <w:r>
        <w:rPr>
          <w:rFonts w:hint="eastAsia" w:ascii="仿宋" w:hAnsi="仿宋" w:eastAsia="仿宋" w:cs="仿宋"/>
          <w:sz w:val="24"/>
          <w:szCs w:val="24"/>
          <w:u w:val="single"/>
        </w:rPr>
        <w:t xml:space="preserve">日</w:t>
      </w:r>
      <w:r>
        <w:rPr>
          <w:rFonts w:hint="eastAsia" w:ascii="仿宋" w:hAnsi="仿宋" w:eastAsia="仿宋" w:cs="仿宋"/>
          <w:sz w:val="24"/>
          <w:szCs w:val="24"/>
          <w:u w:val="single"/>
        </w:rPr>
        <w:t xml:space="preserve">09</w:t>
      </w:r>
      <w:r>
        <w:rPr>
          <w:rFonts w:hint="eastAsia" w:ascii="仿宋" w:hAnsi="仿宋" w:eastAsia="仿宋" w:cs="仿宋"/>
          <w:sz w:val="24"/>
          <w:szCs w:val="24"/>
          <w:u w:val="single"/>
        </w:rPr>
        <w:t xml:space="preserve">时</w:t>
      </w:r>
      <w:r>
        <w:rPr>
          <w:rFonts w:hint="eastAsia" w:ascii="仿宋" w:hAnsi="仿宋" w:eastAsia="仿宋" w:cs="仿宋"/>
          <w:sz w:val="24"/>
          <w:szCs w:val="24"/>
          <w:u w:val="single"/>
        </w:rPr>
        <w:t xml:space="preserve">3</w:t>
      </w:r>
      <w:r>
        <w:rPr>
          <w:rFonts w:hint="eastAsia" w:ascii="仿宋" w:hAnsi="仿宋" w:eastAsia="仿宋" w:cs="仿宋"/>
          <w:sz w:val="24"/>
          <w:szCs w:val="24"/>
          <w:u w:val="single"/>
        </w:rPr>
        <w:t xml:space="preserve">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pStyle w:val="789"/>
        <w:ind w:firstLine="482"/>
        <w:spacing w:before="0" w:after="0" w:line="360" w:lineRule="auto"/>
        <w:rPr>
          <w:rFonts w:ascii="仿宋" w:hAnsi="仿宋" w:eastAsia="仿宋" w:cs="仿宋"/>
          <w:sz w:val="24"/>
          <w:szCs w:val="24"/>
        </w:rPr>
      </w:pPr>
      <w:r/>
      <w:bookmarkStart w:id="0" w:name="_Toc35393629"/>
      <w:r/>
      <w:bookmarkStart w:id="1" w:name="_Toc28359012"/>
      <w:r/>
      <w:bookmarkStart w:id="2" w:name="_Toc35393798"/>
      <w:r/>
      <w:bookmarkStart w:id="3" w:name="_Toc28359089"/>
      <w:r>
        <w:rPr>
          <w:rFonts w:hint="eastAsia" w:ascii="仿宋" w:hAnsi="仿宋" w:eastAsia="仿宋" w:cs="仿宋"/>
          <w:sz w:val="24"/>
          <w:szCs w:val="24"/>
        </w:rPr>
        <w:t xml:space="preserve">一、项目基本情况</w:t>
      </w:r>
      <w:bookmarkEnd w:id="0"/>
      <w:r/>
      <w:bookmarkEnd w:id="1"/>
      <w:r/>
      <w:bookmarkEnd w:id="2"/>
      <w:r/>
      <w:bookmarkEnd w:id="3"/>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1.项目编号：</w:t>
      </w:r>
      <w:r>
        <w:rPr>
          <w:rFonts w:ascii="仿宋" w:hAnsi="仿宋" w:eastAsia="仿宋" w:cs="仿宋"/>
          <w:sz w:val="24"/>
          <w:szCs w:val="24"/>
        </w:rPr>
        <w:t xml:space="preserve">JSZC-320690-JRJF-C2026-0003</w:t>
      </w:r>
      <w:r>
        <w:rPr>
          <w:rFonts w:hint="eastAsia" w:ascii="仿宋" w:hAnsi="仿宋" w:eastAsia="仿宋" w:cs="仿宋"/>
          <w:sz w:val="24"/>
          <w:szCs w:val="24"/>
        </w:rPr>
        <w:t xml:space="preserve"> </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2.项目名称：</w:t>
      </w:r>
      <w:bookmarkStart w:id="4" w:name="_Toc35393799"/>
      <w:r/>
      <w:bookmarkStart w:id="5" w:name="_Toc35393630"/>
      <w:r/>
      <w:bookmarkStart w:id="6" w:name="_Toc28359090"/>
      <w:r/>
      <w:bookmarkStart w:id="7" w:name="_Toc28359013"/>
      <w:r>
        <w:rPr>
          <w:rFonts w:hint="eastAsia" w:ascii="仿宋" w:hAnsi="仿宋" w:eastAsia="仿宋" w:cs="仿宋"/>
          <w:b w:val="0"/>
          <w:bCs w:val="0"/>
          <w:sz w:val="24"/>
          <w:szCs w:val="24"/>
        </w:rPr>
        <w:t xml:space="preserve">南通市小海街道镇区大环境保洁服务项目</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3.项目类型：服务</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4.所属行业：其他未列明行业</w:t>
      </w:r>
      <w:r/>
    </w:p>
    <w:p>
      <w:pPr>
        <w:ind w:firstLine="480"/>
        <w:spacing w:line="360" w:lineRule="auto"/>
        <w:rPr>
          <w:rFonts w:ascii="仿宋" w:hAnsi="仿宋" w:eastAsia="仿宋" w:cs="仿宋"/>
        </w:rPr>
      </w:pPr>
      <w:r>
        <w:rPr>
          <w:rFonts w:hint="eastAsia" w:ascii="仿宋" w:hAnsi="仿宋" w:eastAsia="仿宋" w:cs="仿宋"/>
          <w:sz w:val="24"/>
          <w:szCs w:val="24"/>
        </w:rPr>
        <w:t xml:space="preserve">5.包件划分：1个包件</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6.预算金额：170万元/年</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7.最高限价：170万元/年；报价不得高于采购人设定的最高限价，否则经磋商委员会核实报价标后按照无效响应处理。</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8.采购需求：</w:t>
      </w:r>
      <w:bookmarkStart w:id="8" w:name="OLE_LINK20"/>
      <w:r>
        <w:rPr>
          <w:rFonts w:hint="eastAsia" w:ascii="仿宋" w:hAnsi="仿宋" w:eastAsia="仿宋" w:cs="仿宋"/>
          <w:b w:val="0"/>
          <w:bCs w:val="0"/>
          <w:sz w:val="24"/>
          <w:szCs w:val="24"/>
        </w:rPr>
        <w:t xml:space="preserve">详见项目需求</w:t>
      </w:r>
      <w:bookmarkEnd w:id="8"/>
      <w:r>
        <w:rPr>
          <w:rFonts w:hint="eastAsia" w:ascii="仿宋" w:hAnsi="仿宋" w:eastAsia="仿宋" w:cs="仿宋"/>
          <w:b w:val="0"/>
          <w:bCs w:val="0"/>
          <w:sz w:val="24"/>
          <w:szCs w:val="24"/>
        </w:rPr>
        <w:t xml:space="preserve">。</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9.合同履行期限：合同履约期限为一年，自合同签订之日起一年，合同期满且下一年财政预算保障的前提下，不改变服务范围和合同金额且经采购人考评通过后，可采取壹年一签的方式续签，期限总长不超过三年。</w:t>
      </w:r>
      <w:r/>
    </w:p>
    <w:p>
      <w:pPr>
        <w:pStyle w:val="789"/>
        <w:ind w:firstLine="480"/>
        <w:spacing w:before="0" w:after="0" w:line="360" w:lineRule="auto"/>
        <w:rPr>
          <w:rFonts w:ascii="仿宋" w:hAnsi="仿宋" w:eastAsia="仿宋" w:cs="仿宋"/>
          <w:b w:val="0"/>
          <w:bCs w:val="0"/>
          <w:sz w:val="24"/>
          <w:szCs w:val="24"/>
        </w:rPr>
      </w:pPr>
      <w:r>
        <w:rPr>
          <w:rFonts w:hint="eastAsia" w:ascii="仿宋" w:hAnsi="仿宋" w:eastAsia="仿宋" w:cs="仿宋"/>
          <w:b w:val="0"/>
          <w:bCs w:val="0"/>
          <w:sz w:val="24"/>
          <w:szCs w:val="24"/>
        </w:rPr>
        <w:t xml:space="preserve">10.本项目是否接受联合体：否。</w:t>
      </w:r>
      <w:r/>
    </w:p>
    <w:p>
      <w:pPr>
        <w:ind w:firstLine="480"/>
        <w:spacing w:line="360" w:lineRule="auto"/>
        <w:rPr>
          <w:rFonts w:ascii="仿宋" w:hAnsi="仿宋" w:eastAsia="仿宋" w:cs="仿宋"/>
        </w:rPr>
      </w:pPr>
      <w:r>
        <w:rPr>
          <w:rFonts w:hint="eastAsia" w:ascii="仿宋" w:hAnsi="仿宋" w:eastAsia="仿宋" w:cs="仿宋"/>
          <w:sz w:val="24"/>
          <w:szCs w:val="24"/>
        </w:rPr>
        <w:t xml:space="preserve">11.本项目不接受分包或转包。</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二、</w:t>
      </w:r>
      <w:bookmarkEnd w:id="4"/>
      <w:r/>
      <w:bookmarkEnd w:id="5"/>
      <w:r/>
      <w:bookmarkEnd w:id="6"/>
      <w:r/>
      <w:bookmarkEnd w:id="7"/>
      <w:r>
        <w:rPr>
          <w:rFonts w:hint="eastAsia" w:ascii="仿宋" w:hAnsi="仿宋" w:eastAsia="仿宋" w:cs="仿宋"/>
          <w:sz w:val="24"/>
          <w:szCs w:val="24"/>
        </w:rPr>
        <w:t xml:space="preserve">申请人的资格要求</w:t>
      </w:r>
      <w:r/>
    </w:p>
    <w:p>
      <w:pPr>
        <w:ind w:firstLine="480"/>
        <w:spacing w:line="480" w:lineRule="exact"/>
        <w:rPr>
          <w:rFonts w:ascii="仿宋" w:hAnsi="仿宋" w:eastAsia="仿宋" w:cs="仿宋"/>
          <w:sz w:val="24"/>
          <w:szCs w:val="24"/>
        </w:rPr>
      </w:pPr>
      <w:r/>
      <w:bookmarkStart w:id="9" w:name="_Toc28359015"/>
      <w:r/>
      <w:bookmarkStart w:id="10" w:name="_Toc35393801"/>
      <w:r/>
      <w:bookmarkStart w:id="11" w:name="_Toc35393632"/>
      <w:r/>
      <w:bookmarkStart w:id="12" w:name="_Toc28359092"/>
      <w:r>
        <w:rPr>
          <w:rFonts w:hint="eastAsia" w:ascii="仿宋" w:hAnsi="仿宋" w:eastAsia="仿宋" w:cs="仿宋"/>
          <w:sz w:val="24"/>
          <w:szCs w:val="24"/>
        </w:rPr>
        <w:t xml:space="preserve">1.满足《中华人民共和国政府采购法》第二十二条规定。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2.落实政府采购政策需满足的资格要求：</w:t>
      </w:r>
      <w:bookmarkStart w:id="13" w:name="OLE_LINK22"/>
      <w:r>
        <w:rPr>
          <w:rFonts w:hint="eastAsia" w:ascii="仿宋" w:hAnsi="仿宋" w:eastAsia="仿宋" w:cs="仿宋"/>
          <w:sz w:val="24"/>
          <w:szCs w:val="24"/>
        </w:rPr>
        <w:t xml:space="preserve">本项目为专门面向中小微企业采购项目（须按照财库〔2020〕46号文要求提供中小企业声明函，格式见附件）。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本项目采购标的对应的中小企业划分标准所属行业为</w:t>
      </w:r>
      <w:r>
        <w:rPr>
          <w:rFonts w:hint="eastAsia" w:ascii="仿宋" w:hAnsi="仿宋" w:eastAsia="仿宋" w:cs="仿宋"/>
          <w:b/>
          <w:bCs/>
          <w:sz w:val="24"/>
          <w:szCs w:val="24"/>
          <w:u w:val="single"/>
        </w:rPr>
        <w:t xml:space="preserve">其他未列明行业</w:t>
      </w:r>
      <w:r>
        <w:rPr>
          <w:rFonts w:hint="eastAsia" w:ascii="仿宋" w:hAnsi="仿宋" w:eastAsia="仿宋" w:cs="仿宋"/>
          <w:sz w:val="24"/>
          <w:szCs w:val="24"/>
        </w:rPr>
        <w:t xml:space="preserve">。从业人员300人以下的为中小微型企业。其中，从业人员100人及以上的为中型企业；从业人员</w:t>
      </w:r>
      <w:r>
        <w:rPr>
          <w:rFonts w:hint="eastAsia" w:ascii="仿宋" w:hAnsi="仿宋" w:eastAsia="仿宋" w:cs="仿宋"/>
          <w:sz w:val="24"/>
          <w:szCs w:val="24"/>
        </w:rPr>
        <w:t xml:space="preserve">10人及以上的为小型企业；从业人员10人以下的为微型企业。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（2）残疾人福利性单位按照《关于促进残疾人就业政府采购政策的通知》（财库〔2017〕141号）有关规定执行。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（3）监狱企业按照《关于政府采购支持监狱企业发展有关问题的通知》（财库【2014】68号）有关规定执行。</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备注：本项目专门面向中小企业，不享受价格扣除优惠政策。</w:t>
      </w:r>
      <w:bookmarkEnd w:id="13"/>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3.法定代表人参加投标的，必须提供法人身份证明原件及本人身份证原件扫描件；非法定代表人参加的，必须提供法定代表人签名或盖章的授权委托书原件及被委托授权人身份证原件扫描件和法定代表人的身份证原件扫描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w:t>
      </w:r>
      <w:r>
        <w:rPr>
          <w:rFonts w:ascii="仿宋" w:hAnsi="仿宋" w:eastAsia="仿宋" w:cs="仿宋"/>
          <w:sz w:val="24"/>
          <w:szCs w:val="24"/>
        </w:rPr>
        <w:t xml:space="preserve">法人或者其他组织的营业执照等证明文件，自然人的身份证明。</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.响应供应商未被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磋商小组确认后资格审查不予通过；</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w:t>
      </w:r>
      <w:r>
        <w:rPr>
          <w:rFonts w:hint="eastAsia" w:ascii="仿宋" w:hAnsi="仿宋" w:eastAsia="仿宋" w:cs="仿宋"/>
          <w:bCs/>
          <w:sz w:val="24"/>
          <w:szCs w:val="24"/>
        </w:rPr>
        <w:t xml:space="preserve">.本项目的特定资格要求：/</w:t>
      </w:r>
      <w:r/>
    </w:p>
    <w:p>
      <w:pPr>
        <w:ind w:firstLine="550"/>
        <w:spacing w:line="440" w:lineRule="exact"/>
        <w:rPr>
          <w:rFonts w:ascii="仿宋" w:hAnsi="仿宋" w:eastAsia="仿宋" w:cs="仿宋"/>
          <w:bCs/>
          <w:sz w:val="24"/>
          <w:szCs w:val="24"/>
        </w:rPr>
      </w:pPr>
      <w:r>
        <w:rPr>
          <w:rFonts w:hint="eastAsia" w:ascii="仿宋" w:hAnsi="仿宋" w:eastAsia="仿宋" w:cs="仿宋"/>
          <w:sz w:val="22"/>
          <w:szCs w:val="22"/>
        </w:rPr>
        <w:t xml:space="preserve">7</w:t>
      </w:r>
      <w:r>
        <w:rPr>
          <w:rFonts w:hint="eastAsia" w:ascii="仿宋" w:hAnsi="仿宋" w:eastAsia="仿宋" w:cs="仿宋"/>
          <w:sz w:val="22"/>
          <w:szCs w:val="22"/>
        </w:rPr>
        <w:t xml:space="preserve">.</w:t>
      </w:r>
      <w:r>
        <w:rPr>
          <w:rFonts w:hint="eastAsia" w:ascii="仿宋" w:hAnsi="仿宋" w:eastAsia="仿宋" w:cs="仿宋"/>
          <w:sz w:val="24"/>
          <w:szCs w:val="24"/>
          <w:shd w:val="clear" w:color="auto" w:fill="ffffff"/>
        </w:rPr>
        <w:t xml:space="preserve">符合法律、法规规定的其他条件。</w:t>
      </w:r>
      <w:r/>
    </w:p>
    <w:p>
      <w:pPr>
        <w:ind w:firstLine="480"/>
        <w:spacing w:line="440" w:lineRule="exact"/>
        <w:rPr>
          <w:rFonts w:ascii="仿宋" w:hAnsi="仿宋" w:eastAsia="仿宋" w:cs="仿宋"/>
          <w:bCs/>
          <w:sz w:val="24"/>
          <w:szCs w:val="24"/>
        </w:rPr>
      </w:pPr>
      <w:r>
        <w:rPr>
          <w:rFonts w:hint="eastAsia" w:ascii="仿宋" w:hAnsi="仿宋" w:eastAsia="仿宋" w:cs="仿宋"/>
          <w:bCs/>
          <w:sz w:val="24"/>
          <w:szCs w:val="24"/>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三、获取采购文件</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1.时间：自磋商公告及磋商文件发布之日起至2026年</w:t>
      </w:r>
      <w:r>
        <w:rPr>
          <w:rStyle w:val="1029"/>
          <w:rFonts w:hint="eastAsia" w:ascii="仿宋" w:hAnsi="仿宋" w:eastAsia="仿宋" w:cs="仿宋"/>
          <w:bCs/>
          <w:sz w:val="24"/>
          <w:szCs w:val="24"/>
        </w:rPr>
        <w:t xml:space="preserve">09</w:t>
      </w:r>
      <w:r>
        <w:rPr>
          <w:rStyle w:val="1029"/>
          <w:rFonts w:hint="eastAsia" w:ascii="仿宋" w:hAnsi="仿宋" w:eastAsia="仿宋" w:cs="仿宋"/>
          <w:bCs/>
          <w:sz w:val="24"/>
          <w:szCs w:val="24"/>
        </w:rPr>
        <w:t xml:space="preserve">月</w:t>
      </w:r>
      <w:r>
        <w:rPr>
          <w:rStyle w:val="1029"/>
          <w:rFonts w:hint="eastAsia" w:ascii="仿宋" w:hAnsi="仿宋" w:eastAsia="仿宋" w:cs="仿宋"/>
          <w:bCs/>
          <w:sz w:val="24"/>
          <w:szCs w:val="24"/>
        </w:rPr>
        <w:t xml:space="preserve">17</w:t>
      </w:r>
      <w:r>
        <w:rPr>
          <w:rStyle w:val="1029"/>
          <w:rFonts w:hint="eastAsia" w:ascii="仿宋" w:hAnsi="仿宋" w:eastAsia="仿宋" w:cs="仿宋"/>
          <w:bCs/>
          <w:sz w:val="24"/>
          <w:szCs w:val="24"/>
        </w:rPr>
        <w:t xml:space="preserve">日</w:t>
      </w:r>
      <w:r>
        <w:rPr>
          <w:rStyle w:val="1029"/>
          <w:rFonts w:hint="eastAsia" w:ascii="仿宋" w:hAnsi="仿宋" w:eastAsia="仿宋" w:cs="仿宋"/>
          <w:bCs/>
          <w:sz w:val="24"/>
          <w:szCs w:val="24"/>
        </w:rPr>
        <w:t xml:space="preserve">09</w:t>
      </w:r>
      <w:r>
        <w:rPr>
          <w:rStyle w:val="1029"/>
          <w:rFonts w:hint="eastAsia" w:ascii="仿宋" w:hAnsi="仿宋" w:eastAsia="仿宋" w:cs="仿宋"/>
          <w:bCs/>
          <w:sz w:val="24"/>
          <w:szCs w:val="24"/>
        </w:rPr>
        <w:t xml:space="preserve">点</w:t>
      </w:r>
      <w:r>
        <w:rPr>
          <w:rStyle w:val="1029"/>
          <w:rFonts w:hint="eastAsia" w:ascii="仿宋" w:hAnsi="仿宋" w:eastAsia="仿宋" w:cs="仿宋"/>
          <w:bCs/>
          <w:sz w:val="24"/>
          <w:szCs w:val="24"/>
        </w:rPr>
        <w:t xml:space="preserve">3</w:t>
      </w:r>
      <w:r>
        <w:rPr>
          <w:rStyle w:val="1029"/>
          <w:rFonts w:hint="eastAsia" w:ascii="仿宋" w:hAnsi="仿宋" w:eastAsia="仿宋" w:cs="仿宋"/>
          <w:bCs/>
          <w:sz w:val="24"/>
          <w:szCs w:val="24"/>
        </w:rPr>
        <w:t xml:space="preserve">0分（北京时间）；</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2.地点：网上注册登记成功后系统内免费下载</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3.获取方式：本项目采用网上注册登记方式。</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3.1潜在供应商访问电子招标响应交易平台的网络地址和方法：</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460" w:lineRule="exact"/>
        <w:widowControl/>
        <w:rPr>
          <w:rStyle w:val="1029"/>
          <w:rFonts w:ascii="仿宋" w:hAnsi="仿宋" w:eastAsia="仿宋" w:cs="仿宋"/>
          <w:bCs/>
          <w:sz w:val="24"/>
          <w:szCs w:val="24"/>
          <w:lang w:eastAsia="en-US"/>
        </w:rPr>
      </w:pPr>
      <w:r>
        <w:rPr>
          <w:rStyle w:val="1029"/>
          <w:rFonts w:hint="eastAsia" w:ascii="仿宋" w:hAnsi="仿宋" w:eastAsia="仿宋" w:cs="仿宋"/>
          <w:bCs/>
          <w:sz w:val="24"/>
          <w:szCs w:val="24"/>
          <w:lang w:eastAsia="en-US"/>
        </w:rPr>
        <w:t xml:space="preserve">3.2潜在供应商访问“苏采云”系统的网络地址：http://jszfcg.jsczt.cn/。</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3.3“CA数字证书”的获取：</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响应供应商需办理“CA 数字证书”，CA办理指南及“苏采云”操作手册可至江苏省政府采购网―办事指南-资料下载中心下载。</w:t>
      </w:r>
      <w:r/>
    </w:p>
    <w:p>
      <w:pPr>
        <w:ind w:firstLine="480"/>
        <w:jc w:val="left"/>
        <w:spacing w:line="460" w:lineRule="exact"/>
        <w:widowControl/>
        <w:rPr>
          <w:rStyle w:val="1029"/>
          <w:rFonts w:ascii="仿宋" w:hAnsi="仿宋" w:eastAsia="仿宋" w:cs="仿宋"/>
          <w:bCs/>
          <w:sz w:val="24"/>
          <w:szCs w:val="24"/>
          <w:lang w:eastAsia="en-US"/>
        </w:rPr>
      </w:pPr>
      <w:r>
        <w:rPr>
          <w:rStyle w:val="1029"/>
          <w:rFonts w:hint="eastAsia" w:ascii="仿宋" w:hAnsi="仿宋" w:eastAsia="仿宋" w:cs="仿宋"/>
          <w:bCs/>
          <w:sz w:val="24"/>
          <w:szCs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3.5采购人或采购代理机构将数据电文形式的采购文件加载至“苏采云”系统，供潜在供应商下载或者查阅。</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3.6请潜在供应商提前安装相应的控件（详见《江苏省政府采购管理交易系统（苏采云）供应商操作手册》）并使用谷歌浏览器登录“苏采云”系统参与不见面开评标。</w:t>
      </w:r>
      <w:r/>
    </w:p>
    <w:p>
      <w:pPr>
        <w:ind w:firstLine="480"/>
        <w:jc w:val="left"/>
        <w:spacing w:line="460" w:lineRule="exact"/>
        <w:widowControl/>
        <w:rPr>
          <w:rStyle w:val="1029"/>
          <w:rFonts w:ascii="仿宋" w:hAnsi="仿宋" w:eastAsia="仿宋" w:cs="仿宋"/>
          <w:bCs/>
          <w:sz w:val="24"/>
          <w:szCs w:val="24"/>
        </w:rPr>
      </w:pPr>
      <w:r>
        <w:rPr>
          <w:rStyle w:val="1029"/>
          <w:rFonts w:hint="eastAsia" w:ascii="仿宋" w:hAnsi="仿宋" w:eastAsia="仿宋" w:cs="仿宋"/>
          <w:bCs/>
          <w:sz w:val="24"/>
          <w:szCs w:val="24"/>
        </w:rPr>
        <w:t xml:space="preserve">3.7开评标</w:t>
      </w:r>
      <w:r>
        <w:rPr>
          <w:rStyle w:val="1029"/>
          <w:rFonts w:hint="eastAsia" w:ascii="仿宋" w:hAnsi="仿宋" w:eastAsia="仿宋" w:cs="仿宋"/>
          <w:bCs/>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jc w:val="left"/>
        <w:spacing w:line="460" w:lineRule="exact"/>
        <w:widowControl/>
        <w:rPr>
          <w:rStyle w:val="1029"/>
          <w:rFonts w:ascii="仿宋" w:hAnsi="仿宋" w:eastAsia="仿宋" w:cs="仿宋"/>
          <w:b/>
          <w:sz w:val="24"/>
          <w:szCs w:val="24"/>
        </w:rPr>
      </w:pPr>
      <w:r>
        <w:rPr>
          <w:rStyle w:val="1029"/>
          <w:rFonts w:hint="eastAsia" w:ascii="仿宋" w:hAnsi="仿宋" w:eastAsia="仿宋" w:cs="仿宋"/>
          <w:b/>
          <w:sz w:val="24"/>
          <w:szCs w:val="24"/>
        </w:rPr>
        <w:t xml:space="preserve">注：如潜在供应商未按上述要求操作，将自行承担所产生的风险。</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四、响应文件提交</w:t>
      </w:r>
      <w:bookmarkEnd w:id="9"/>
      <w:r/>
      <w:bookmarkEnd w:id="10"/>
      <w:r/>
      <w:bookmarkEnd w:id="11"/>
      <w:r/>
      <w:bookmarkEnd w:id="12"/>
      <w:r/>
      <w:r/>
    </w:p>
    <w:p>
      <w:pPr>
        <w:ind w:firstLine="480"/>
        <w:spacing w:line="460" w:lineRule="exact"/>
        <w:rPr>
          <w:rFonts w:ascii="仿宋" w:hAnsi="仿宋" w:eastAsia="仿宋" w:cs="仿宋"/>
          <w:sz w:val="24"/>
          <w:szCs w:val="24"/>
        </w:rPr>
      </w:pPr>
      <w:r/>
      <w:bookmarkStart w:id="14" w:name="_Toc28359016"/>
      <w:r/>
      <w:bookmarkStart w:id="15" w:name="_Toc35393633"/>
      <w:r/>
      <w:bookmarkStart w:id="16" w:name="_Toc28359093"/>
      <w:r/>
      <w:bookmarkStart w:id="17" w:name="_Toc35393802"/>
      <w:r>
        <w:rPr>
          <w:rFonts w:hint="eastAsia" w:ascii="仿宋" w:hAnsi="仿宋" w:eastAsia="仿宋" w:cs="仿宋"/>
          <w:sz w:val="24"/>
          <w:szCs w:val="24"/>
        </w:rPr>
        <w:t xml:space="preserve">1.响应文件提交截止时间：</w:t>
      </w:r>
      <w:r>
        <w:rPr>
          <w:rFonts w:hint="eastAsia" w:ascii="仿宋" w:hAnsi="仿宋" w:eastAsia="仿宋" w:cs="仿宋"/>
          <w:b/>
          <w:bCs/>
          <w:sz w:val="24"/>
          <w:szCs w:val="24"/>
        </w:rPr>
        <w:t xml:space="preserve">2026年</w:t>
      </w:r>
      <w:r>
        <w:rPr>
          <w:rFonts w:hint="eastAsia" w:ascii="仿宋" w:hAnsi="仿宋" w:eastAsia="仿宋" w:cs="仿宋"/>
          <w:b/>
          <w:bCs/>
          <w:sz w:val="24"/>
          <w:szCs w:val="24"/>
        </w:rPr>
        <w:t xml:space="preserve">09</w:t>
      </w:r>
      <w:r>
        <w:rPr>
          <w:rFonts w:hint="eastAsia" w:ascii="仿宋" w:hAnsi="仿宋" w:eastAsia="仿宋" w:cs="仿宋"/>
          <w:b/>
          <w:bCs/>
          <w:sz w:val="24"/>
          <w:szCs w:val="24"/>
        </w:rPr>
        <w:t xml:space="preserve">月</w:t>
      </w:r>
      <w:r>
        <w:rPr>
          <w:rFonts w:hint="eastAsia" w:ascii="仿宋" w:hAnsi="仿宋" w:eastAsia="仿宋" w:cs="仿宋"/>
          <w:b/>
          <w:bCs/>
          <w:sz w:val="24"/>
          <w:szCs w:val="24"/>
        </w:rPr>
        <w:t xml:space="preserve">17</w:t>
      </w:r>
      <w:r>
        <w:rPr>
          <w:rFonts w:hint="eastAsia" w:ascii="仿宋" w:hAnsi="仿宋" w:eastAsia="仿宋" w:cs="仿宋"/>
          <w:b/>
          <w:bCs/>
          <w:sz w:val="24"/>
          <w:szCs w:val="24"/>
        </w:rPr>
        <w:t xml:space="preserve">日</w:t>
      </w:r>
      <w:r>
        <w:rPr>
          <w:rFonts w:hint="eastAsia" w:ascii="仿宋" w:hAnsi="仿宋" w:eastAsia="仿宋" w:cs="仿宋"/>
          <w:b/>
          <w:bCs/>
          <w:sz w:val="24"/>
          <w:szCs w:val="24"/>
        </w:rPr>
        <w:t xml:space="preserve">09</w:t>
      </w:r>
      <w:r>
        <w:rPr>
          <w:rFonts w:hint="eastAsia" w:ascii="仿宋" w:hAnsi="仿宋" w:eastAsia="仿宋" w:cs="仿宋"/>
          <w:b/>
          <w:bCs/>
          <w:sz w:val="24"/>
          <w:szCs w:val="24"/>
        </w:rPr>
        <w:t xml:space="preserve">时</w:t>
      </w:r>
      <w:r>
        <w:rPr>
          <w:rFonts w:hint="eastAsia" w:ascii="仿宋" w:hAnsi="仿宋" w:eastAsia="仿宋" w:cs="仿宋"/>
          <w:b/>
          <w:bCs/>
          <w:sz w:val="24"/>
          <w:szCs w:val="24"/>
        </w:rPr>
        <w:t xml:space="preserve">3</w:t>
      </w:r>
      <w:r>
        <w:rPr>
          <w:rFonts w:hint="eastAsia" w:ascii="仿宋" w:hAnsi="仿宋" w:eastAsia="仿宋" w:cs="仿宋"/>
          <w:b/>
          <w:bCs/>
          <w:sz w:val="24"/>
          <w:szCs w:val="24"/>
        </w:rPr>
        <w:t xml:space="preserve">0分（北京时间）</w:t>
      </w:r>
      <w:r>
        <w:rPr>
          <w:rFonts w:hint="eastAsia" w:ascii="仿宋" w:hAnsi="仿宋" w:eastAsia="仿宋" w:cs="仿宋"/>
          <w:sz w:val="24"/>
          <w:szCs w:val="24"/>
        </w:rPr>
        <w:t xml:space="preserve">。逾时，“苏采云”系统将拒绝接受上传响应文件电子文档。</w:t>
      </w:r>
      <w:r/>
    </w:p>
    <w:p>
      <w:pPr>
        <w:ind w:firstLine="480"/>
        <w:spacing w:line="460" w:lineRule="exact"/>
        <w:rPr>
          <w:rFonts w:ascii="仿宋" w:hAnsi="仿宋" w:eastAsia="仿宋" w:cs="仿宋"/>
          <w:sz w:val="24"/>
          <w:szCs w:val="24"/>
          <w:lang w:eastAsia="en-US"/>
        </w:rPr>
      </w:pPr>
      <w:r>
        <w:rPr>
          <w:rFonts w:hint="eastAsia" w:ascii="仿宋" w:hAnsi="仿宋" w:eastAsia="仿宋" w:cs="仿宋"/>
          <w:sz w:val="24"/>
          <w:szCs w:val="24"/>
        </w:rPr>
        <w:t xml:space="preserve">2.</w:t>
      </w:r>
      <w:r>
        <w:rPr>
          <w:rFonts w:hint="eastAsia" w:ascii="仿宋" w:hAnsi="仿宋" w:eastAsia="仿宋" w:cs="仿宋"/>
          <w:sz w:val="24"/>
          <w:szCs w:val="24"/>
          <w:lang w:eastAsia="en-US"/>
        </w:rPr>
        <w:t xml:space="preserve">地点：“苏采云”系统（网址：http://jszfcg.jsczt.cn/）</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五、开启</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1.时间：</w:t>
      </w:r>
      <w:r>
        <w:rPr>
          <w:rFonts w:hint="eastAsia" w:ascii="仿宋" w:hAnsi="仿宋" w:eastAsia="仿宋" w:cs="仿宋"/>
          <w:b/>
          <w:bCs/>
          <w:sz w:val="24"/>
          <w:szCs w:val="24"/>
        </w:rPr>
        <w:t xml:space="preserve">2026年</w:t>
      </w:r>
      <w:r>
        <w:rPr>
          <w:rFonts w:hint="eastAsia" w:ascii="仿宋" w:hAnsi="仿宋" w:eastAsia="仿宋" w:cs="仿宋"/>
          <w:b/>
          <w:bCs/>
          <w:sz w:val="24"/>
          <w:szCs w:val="24"/>
        </w:rPr>
        <w:t xml:space="preserve">09</w:t>
      </w:r>
      <w:r>
        <w:rPr>
          <w:rFonts w:hint="eastAsia" w:ascii="仿宋" w:hAnsi="仿宋" w:eastAsia="仿宋" w:cs="仿宋"/>
          <w:b/>
          <w:bCs/>
          <w:sz w:val="24"/>
          <w:szCs w:val="24"/>
        </w:rPr>
        <w:t xml:space="preserve">月</w:t>
      </w:r>
      <w:r>
        <w:rPr>
          <w:rFonts w:hint="eastAsia" w:ascii="仿宋" w:hAnsi="仿宋" w:eastAsia="仿宋" w:cs="仿宋"/>
          <w:b/>
          <w:bCs/>
          <w:sz w:val="24"/>
          <w:szCs w:val="24"/>
        </w:rPr>
        <w:t xml:space="preserve">17</w:t>
      </w:r>
      <w:r>
        <w:rPr>
          <w:rFonts w:hint="eastAsia" w:ascii="仿宋" w:hAnsi="仿宋" w:eastAsia="仿宋" w:cs="仿宋"/>
          <w:b/>
          <w:bCs/>
          <w:sz w:val="24"/>
          <w:szCs w:val="24"/>
        </w:rPr>
        <w:t xml:space="preserve">日</w:t>
      </w:r>
      <w:r>
        <w:rPr>
          <w:rFonts w:hint="eastAsia" w:ascii="仿宋" w:hAnsi="仿宋" w:eastAsia="仿宋" w:cs="仿宋"/>
          <w:b/>
          <w:bCs/>
          <w:sz w:val="24"/>
          <w:szCs w:val="24"/>
        </w:rPr>
        <w:t xml:space="preserve">09</w:t>
      </w:r>
      <w:r>
        <w:rPr>
          <w:rFonts w:hint="eastAsia" w:ascii="仿宋" w:hAnsi="仿宋" w:eastAsia="仿宋" w:cs="仿宋"/>
          <w:b/>
          <w:bCs/>
          <w:sz w:val="24"/>
          <w:szCs w:val="24"/>
        </w:rPr>
        <w:t xml:space="preserve">时</w:t>
      </w:r>
      <w:r>
        <w:rPr>
          <w:rFonts w:hint="eastAsia" w:ascii="仿宋" w:hAnsi="仿宋" w:eastAsia="仿宋" w:cs="仿宋"/>
          <w:b/>
          <w:bCs/>
          <w:sz w:val="24"/>
          <w:szCs w:val="24"/>
        </w:rPr>
        <w:t xml:space="preserve">3</w:t>
      </w:r>
      <w:r>
        <w:rPr>
          <w:rFonts w:hint="eastAsia" w:ascii="仿宋" w:hAnsi="仿宋" w:eastAsia="仿宋" w:cs="仿宋"/>
          <w:b/>
          <w:bCs/>
          <w:sz w:val="24"/>
          <w:szCs w:val="24"/>
        </w:rPr>
        <w:t xml:space="preserve">0分（北京时间）</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2.地点：</w:t>
      </w:r>
      <w:r>
        <w:rPr>
          <w:rFonts w:hint="eastAsia" w:ascii="仿宋" w:hAnsi="仿宋" w:eastAsia="仿宋" w:cs="仿宋"/>
          <w:sz w:val="24"/>
          <w:szCs w:val="24"/>
          <w:lang w:eastAsia="en-US"/>
        </w:rPr>
        <w:t xml:space="preserve">“苏采云”系统（网址：http://jszfcg.jsczt.cn/）“开标大厅”</w:t>
      </w:r>
      <w:r/>
    </w:p>
    <w:p>
      <w:pPr>
        <w:ind w:firstLine="480"/>
        <w:spacing w:line="460" w:lineRule="exact"/>
        <w:rPr>
          <w:rFonts w:ascii="仿宋" w:hAnsi="仿宋" w:eastAsia="仿宋" w:cs="仿宋"/>
          <w:sz w:val="24"/>
          <w:szCs w:val="24"/>
          <w:u w:val="single"/>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响应供应商在开标室按规定时间自行实施远程解密，</w:t>
      </w:r>
      <w:r>
        <w:rPr>
          <w:rFonts w:hint="eastAsia" w:ascii="仿宋" w:hAnsi="仿宋" w:eastAsia="仿宋" w:cs="仿宋"/>
          <w:b/>
          <w:sz w:val="24"/>
          <w:szCs w:val="24"/>
        </w:rPr>
        <w:t xml:space="preserve">响应供应商解密限定在开标后30分钟之内完成</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460" w:lineRule="exact"/>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4"/>
      <w:r/>
      <w:bookmarkEnd w:id="15"/>
      <w:r/>
      <w:bookmarkEnd w:id="16"/>
      <w:r/>
      <w:bookmarkEnd w:id="17"/>
      <w:r/>
      <w:r/>
    </w:p>
    <w:p>
      <w:pPr>
        <w:ind w:firstLine="482"/>
        <w:spacing w:line="460" w:lineRule="exact"/>
        <w:rPr>
          <w:rFonts w:ascii="仿宋" w:hAnsi="仿宋" w:eastAsia="仿宋" w:cs="仿宋"/>
          <w:bCs/>
          <w:sz w:val="24"/>
          <w:szCs w:val="24"/>
        </w:rPr>
        <w:outlineLvl w:val="1"/>
      </w:pPr>
      <w:r>
        <w:rPr>
          <w:rFonts w:hint="eastAsia" w:ascii="仿宋" w:hAnsi="仿宋" w:eastAsia="仿宋" w:cs="仿宋"/>
          <w:b/>
          <w:bCs/>
          <w:sz w:val="24"/>
          <w:szCs w:val="24"/>
        </w:rPr>
        <w:t xml:space="preserve">六、公告期限：</w:t>
      </w:r>
      <w:r>
        <w:rPr>
          <w:rFonts w:hint="eastAsia" w:ascii="仿宋" w:hAnsi="仿宋" w:eastAsia="仿宋" w:cs="仿宋"/>
          <w:sz w:val="24"/>
          <w:szCs w:val="24"/>
        </w:rPr>
        <w:t xml:space="preserve">自</w:t>
      </w:r>
      <w:r>
        <w:rPr>
          <w:rFonts w:hint="eastAsia" w:ascii="仿宋" w:hAnsi="仿宋" w:eastAsia="仿宋" w:cs="仿宋"/>
          <w:bCs/>
          <w:sz w:val="24"/>
          <w:szCs w:val="24"/>
        </w:rPr>
        <w:t xml:space="preserve">本公告发布之日起3个工作日。</w:t>
      </w:r>
      <w:bookmarkStart w:id="18" w:name="_Toc35393804"/>
      <w:r/>
      <w:bookmarkStart w:id="19" w:name="_Toc35393635"/>
      <w:r/>
      <w:bookmarkEnd w:id="18"/>
      <w:r/>
      <w:bookmarkEnd w:id="19"/>
      <w:r/>
      <w:r/>
    </w:p>
    <w:p>
      <w:pPr>
        <w:ind w:firstLine="482"/>
        <w:spacing w:line="460" w:lineRule="exact"/>
        <w:rPr>
          <w:rFonts w:ascii="仿宋" w:hAnsi="仿宋" w:eastAsia="仿宋" w:cs="仿宋"/>
          <w:b/>
          <w:bCs/>
          <w:sz w:val="24"/>
          <w:szCs w:val="24"/>
        </w:rPr>
        <w:outlineLvl w:val="1"/>
      </w:pPr>
      <w:r>
        <w:rPr>
          <w:rFonts w:hint="eastAsia" w:ascii="仿宋" w:hAnsi="仿宋" w:eastAsia="仿宋" w:cs="仿宋"/>
          <w:b/>
          <w:bCs/>
          <w:sz w:val="24"/>
          <w:szCs w:val="24"/>
        </w:rPr>
        <w:t xml:space="preserve">七、其他补充事宜</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1.磋商保证金：免收。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2.项目磋商活动模式：</w:t>
      </w:r>
      <w:r>
        <w:rPr>
          <w:rFonts w:hint="eastAsia" w:ascii="仿宋" w:hAnsi="仿宋" w:eastAsia="仿宋" w:cs="仿宋"/>
          <w:b/>
          <w:bCs/>
          <w:sz w:val="24"/>
          <w:szCs w:val="24"/>
        </w:rPr>
        <w:t xml:space="preserve">不见面远程磋商模式</w:t>
      </w:r>
      <w:r>
        <w:rPr>
          <w:rFonts w:hint="eastAsia" w:ascii="仿宋" w:hAnsi="仿宋" w:eastAsia="仿宋" w:cs="仿宋"/>
          <w:sz w:val="24"/>
          <w:szCs w:val="24"/>
        </w:rPr>
        <w:t xml:space="preserve">，供应商在各自地点通过不见面交易系统参加开标会。 </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3.项目演示、样品、答辩等（如有请描述）：有；</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6.本项目5个工作日后仍可下载招标文件，但不作为响应供应商权益受到损害的证明材料和依据。</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八、凡对本次采购提出询问，请按以下方式联系</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名</w:t>
      </w:r>
      <w:r>
        <w:rPr>
          <w:rFonts w:hint="eastAsia" w:eastAsia="仿宋" w:cs="宋体" w:asciiTheme="minorEastAsia" w:hAnsiTheme="minorEastAsia"/>
          <w:sz w:val="24"/>
          <w:szCs w:val="24"/>
        </w:rPr>
        <w:t xml:space="preserve">  </w:t>
      </w:r>
      <w:r>
        <w:rPr>
          <w:rFonts w:hint="eastAsia" w:ascii="仿宋" w:hAnsi="仿宋" w:eastAsia="仿宋" w:cs="仿宋"/>
          <w:sz w:val="24"/>
          <w:szCs w:val="24"/>
        </w:rPr>
        <w:t xml:space="preserve"> 称：南通市小海街道办事处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地</w:t>
      </w:r>
      <w:r>
        <w:rPr>
          <w:rFonts w:hint="eastAsia" w:eastAsia="仿宋" w:cs="宋体" w:asciiTheme="minorEastAsia" w:hAnsiTheme="minorEastAsia"/>
          <w:sz w:val="24"/>
          <w:szCs w:val="24"/>
        </w:rPr>
        <w:t xml:space="preserve">  </w:t>
      </w:r>
      <w:r>
        <w:rPr>
          <w:rFonts w:hint="eastAsia" w:ascii="仿宋" w:hAnsi="仿宋" w:eastAsia="仿宋" w:cs="仿宋"/>
          <w:sz w:val="24"/>
          <w:szCs w:val="24"/>
        </w:rPr>
        <w:t xml:space="preserve">址：源兴路300号 </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联系方式：昝先生0513-81528239</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名</w:t>
      </w:r>
      <w:r>
        <w:rPr>
          <w:rFonts w:hint="eastAsia" w:eastAsia="仿宋" w:cs="宋体" w:asciiTheme="minorEastAsia" w:hAnsiTheme="minorEastAsia"/>
          <w:sz w:val="24"/>
          <w:szCs w:val="24"/>
        </w:rPr>
        <w:t xml:space="preserve">   </w:t>
      </w:r>
      <w:r>
        <w:rPr>
          <w:rFonts w:hint="eastAsia" w:ascii="仿宋" w:hAnsi="仿宋" w:eastAsia="仿宋" w:cs="仿宋"/>
          <w:sz w:val="24"/>
          <w:szCs w:val="24"/>
        </w:rPr>
        <w:t xml:space="preserve"> 称：南通捷润项目管理有限公司</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联系方式：13912269719</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电子邮箱：1005186926@qq.com</w:t>
      </w:r>
      <w:r/>
    </w:p>
    <w:p>
      <w:pPr>
        <w:ind w:firstLine="480"/>
        <w:spacing w:line="460" w:lineRule="exact"/>
        <w:rPr>
          <w:rFonts w:ascii="仿宋" w:hAnsi="仿宋" w:eastAsia="仿宋" w:cs="仿宋"/>
          <w:bCs/>
          <w:sz w:val="24"/>
          <w:szCs w:val="24"/>
        </w:rPr>
      </w:pPr>
      <w:r>
        <w:rPr>
          <w:rFonts w:hint="eastAsia" w:ascii="仿宋" w:hAnsi="仿宋" w:eastAsia="仿宋" w:cs="仿宋"/>
          <w:sz w:val="24"/>
          <w:szCs w:val="24"/>
        </w:rPr>
        <w:t xml:space="preserve">3.软件技术支持：0519-86722801。</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附件:</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1.竞争性磋商文件</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2.采购人信用承诺书</w:t>
      </w:r>
      <w:r/>
    </w:p>
    <w:p>
      <w:pPr>
        <w:pStyle w:val="789"/>
        <w:ind w:firstLine="482"/>
        <w:spacing w:before="0" w:after="0" w:line="460" w:lineRule="exact"/>
        <w:rPr>
          <w:rFonts w:ascii="仿宋" w:hAnsi="仿宋" w:eastAsia="仿宋" w:cs="仿宋"/>
          <w:sz w:val="24"/>
          <w:szCs w:val="24"/>
        </w:rPr>
      </w:pPr>
      <w:r>
        <w:rPr>
          <w:rFonts w:hint="eastAsia" w:ascii="仿宋" w:hAnsi="仿宋" w:eastAsia="仿宋" w:cs="仿宋"/>
          <w:sz w:val="24"/>
          <w:szCs w:val="24"/>
        </w:rPr>
        <w:t xml:space="preserve">3.“苏采云”系统供应商操作手册</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spacing w:line="360" w:lineRule="auto"/>
        <w:rPr>
          <w:rFonts w:ascii="仿宋" w:hAnsi="仿宋" w:eastAsia="仿宋" w:cs="仿宋"/>
          <w:sz w:val="32"/>
          <w:szCs w:val="32"/>
        </w:rPr>
      </w:pPr>
      <w:r>
        <w:rPr>
          <w:rFonts w:hint="eastAsia" w:ascii="仿宋" w:hAnsi="仿宋" w:eastAsia="仿宋" w:cs="仿宋"/>
          <w:sz w:val="32"/>
          <w:szCs w:val="32"/>
        </w:rPr>
        <w:t xml:space="preserve">第二章   磋商须知</w:t>
      </w:r>
      <w:r/>
    </w:p>
    <w:p>
      <w:pPr>
        <w:ind w:firstLine="482"/>
        <w:keepLines/>
        <w:keepNext/>
        <w:spacing w:line="460" w:lineRule="exact"/>
        <w:rPr>
          <w:rFonts w:ascii="仿宋" w:hAnsi="仿宋" w:eastAsia="仿宋" w:cs="仿宋"/>
          <w:sz w:val="24"/>
          <w:szCs w:val="24"/>
        </w:rPr>
        <w:outlineLvl w:val="2"/>
      </w:pPr>
      <w:r/>
      <w:bookmarkStart w:id="20" w:name="_Toc16938519"/>
      <w:r/>
      <w:bookmarkStart w:id="21" w:name="_Toc120614214"/>
      <w:r/>
      <w:bookmarkStart w:id="22" w:name="_Toc20823275"/>
      <w:r/>
      <w:bookmarkStart w:id="23" w:name="_Toc513029203"/>
      <w:r/>
      <w:bookmarkStart w:id="24" w:name="_Toc432763305"/>
      <w:r>
        <w:rPr>
          <w:rFonts w:hint="eastAsia" w:ascii="仿宋" w:hAnsi="仿宋" w:eastAsia="仿宋" w:cs="仿宋"/>
          <w:b/>
          <w:bCs/>
          <w:sz w:val="24"/>
          <w:szCs w:val="24"/>
        </w:rPr>
        <w:t xml:space="preserve">（一）总则</w:t>
      </w:r>
      <w:bookmarkEnd w:id="20"/>
      <w:r/>
      <w:bookmarkEnd w:id="21"/>
      <w:r/>
      <w:bookmarkEnd w:id="22"/>
      <w:r/>
      <w:bookmarkEnd w:id="23"/>
      <w:r/>
      <w:r/>
    </w:p>
    <w:p>
      <w:pPr>
        <w:ind w:firstLine="480"/>
        <w:keepNext/>
        <w:spacing w:line="460" w:lineRule="exact"/>
        <w:rPr>
          <w:rFonts w:ascii="仿宋" w:hAnsi="仿宋" w:eastAsia="仿宋" w:cs="仿宋"/>
          <w:b/>
          <w:bCs/>
          <w:sz w:val="24"/>
          <w:szCs w:val="24"/>
        </w:rPr>
        <w:outlineLvl w:val="3"/>
      </w:pPr>
      <w:r/>
      <w:bookmarkStart w:id="25" w:name="_Hlt16619475"/>
      <w:r/>
      <w:bookmarkStart w:id="26" w:name="_Toc458694821"/>
      <w:r/>
      <w:bookmarkStart w:id="27" w:name="_Toc16938520"/>
      <w:r/>
      <w:bookmarkStart w:id="28" w:name="_Toc20823276"/>
      <w:r/>
      <w:bookmarkStart w:id="29" w:name="_Toc513029204"/>
      <w:r/>
      <w:bookmarkEnd w:id="25"/>
      <w:r>
        <w:rPr>
          <w:rFonts w:hint="eastAsia" w:ascii="仿宋" w:hAnsi="仿宋" w:eastAsia="仿宋" w:cs="仿宋"/>
          <w:sz w:val="24"/>
          <w:szCs w:val="24"/>
        </w:rPr>
        <w:t xml:space="preserve">1</w:t>
      </w:r>
      <w:bookmarkEnd w:id="26"/>
      <w:r>
        <w:rPr>
          <w:rFonts w:hint="eastAsia" w:ascii="仿宋" w:hAnsi="仿宋" w:eastAsia="仿宋" w:cs="仿宋"/>
          <w:sz w:val="24"/>
          <w:szCs w:val="24"/>
        </w:rPr>
        <w:t xml:space="preserve">.采购方式</w:t>
      </w:r>
      <w:bookmarkEnd w:id="27"/>
      <w:r/>
      <w:bookmarkEnd w:id="28"/>
      <w:r/>
      <w:bookmarkEnd w:id="29"/>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1.1 本次政府采购活动采取竞争性磋商(以下简称磋商)方式，本磋商文件仅适用于磋商公告中所述项目。</w:t>
      </w:r>
      <w:r/>
    </w:p>
    <w:p>
      <w:pPr>
        <w:ind w:firstLine="480"/>
        <w:keepNext/>
        <w:spacing w:line="460" w:lineRule="exact"/>
        <w:rPr>
          <w:rFonts w:ascii="仿宋" w:hAnsi="仿宋" w:eastAsia="仿宋" w:cs="仿宋"/>
          <w:b/>
          <w:bCs/>
          <w:sz w:val="24"/>
          <w:szCs w:val="24"/>
        </w:rPr>
        <w:outlineLvl w:val="3"/>
      </w:pPr>
      <w:r/>
      <w:bookmarkStart w:id="30" w:name="_Toc20823277"/>
      <w:r/>
      <w:bookmarkStart w:id="31" w:name="_Toc513029205"/>
      <w:r/>
      <w:bookmarkStart w:id="32" w:name="_Toc16938521"/>
      <w:r>
        <w:rPr>
          <w:rFonts w:hint="eastAsia" w:ascii="仿宋" w:hAnsi="仿宋" w:eastAsia="仿宋" w:cs="仿宋"/>
          <w:sz w:val="24"/>
          <w:szCs w:val="24"/>
        </w:rPr>
        <w:t xml:space="preserve">2.合格的</w:t>
      </w:r>
      <w:bookmarkEnd w:id="30"/>
      <w:r/>
      <w:bookmarkEnd w:id="31"/>
      <w:r/>
      <w:bookmarkEnd w:id="32"/>
      <w:r>
        <w:rPr>
          <w:rFonts w:hint="eastAsia" w:ascii="仿宋" w:hAnsi="仿宋" w:eastAsia="仿宋" w:cs="仿宋"/>
          <w:sz w:val="24"/>
          <w:szCs w:val="24"/>
        </w:rPr>
        <w:t xml:space="preserve">供应商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2.1满足磋商公告中供应商的资格要求的规定。</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 满足本磋商文件实质性要求和条件的规定。</w:t>
      </w:r>
      <w:r/>
    </w:p>
    <w:p>
      <w:pPr>
        <w:ind w:firstLine="480"/>
        <w:keepNext/>
        <w:spacing w:line="460" w:lineRule="exact"/>
        <w:rPr>
          <w:rFonts w:ascii="仿宋" w:hAnsi="仿宋" w:eastAsia="仿宋" w:cs="仿宋"/>
          <w:b/>
          <w:bCs/>
          <w:sz w:val="24"/>
          <w:szCs w:val="24"/>
        </w:rPr>
        <w:outlineLvl w:val="3"/>
      </w:pPr>
      <w:r/>
      <w:bookmarkStart w:id="33" w:name="_Toc20823278"/>
      <w:r/>
      <w:bookmarkStart w:id="34" w:name="_Toc513029206"/>
      <w:r/>
      <w:bookmarkStart w:id="35" w:name="_Toc16938522"/>
      <w:r>
        <w:rPr>
          <w:rFonts w:hint="eastAsia" w:ascii="仿宋" w:hAnsi="仿宋" w:eastAsia="仿宋" w:cs="仿宋"/>
          <w:sz w:val="24"/>
          <w:szCs w:val="24"/>
        </w:rPr>
        <w:t xml:space="preserve">3.适用法律</w:t>
      </w:r>
      <w:bookmarkEnd w:id="33"/>
      <w:r/>
      <w:bookmarkEnd w:id="34"/>
      <w:r/>
      <w:bookmarkEnd w:id="35"/>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3.1 本次磋商及由此产生的合同受中华人民共和国有关的法律法规制约和保护。</w:t>
      </w:r>
      <w:r/>
    </w:p>
    <w:p>
      <w:pPr>
        <w:ind w:firstLine="480"/>
        <w:keepNext/>
        <w:spacing w:line="460" w:lineRule="exact"/>
        <w:rPr>
          <w:rFonts w:ascii="仿宋" w:hAnsi="仿宋" w:eastAsia="仿宋" w:cs="仿宋"/>
          <w:b/>
          <w:bCs/>
          <w:sz w:val="24"/>
          <w:szCs w:val="24"/>
        </w:rPr>
        <w:outlineLvl w:val="3"/>
      </w:pPr>
      <w:r/>
      <w:bookmarkStart w:id="36" w:name="_Toc462564067"/>
      <w:r/>
      <w:bookmarkStart w:id="37" w:name="_Toc20823279"/>
      <w:r/>
      <w:bookmarkStart w:id="38" w:name="_Toc16938523"/>
      <w:r/>
      <w:bookmarkStart w:id="39" w:name="_Toc513029207"/>
      <w:r>
        <w:rPr>
          <w:rFonts w:hint="eastAsia" w:ascii="仿宋" w:hAnsi="仿宋" w:eastAsia="仿宋" w:cs="仿宋"/>
          <w:sz w:val="24"/>
          <w:szCs w:val="24"/>
        </w:rPr>
        <w:t xml:space="preserve">4.磋商费用</w:t>
      </w:r>
      <w:bookmarkEnd w:id="36"/>
      <w:r/>
      <w:bookmarkEnd w:id="37"/>
      <w:r/>
      <w:bookmarkEnd w:id="38"/>
      <w:r/>
      <w:bookmarkEnd w:id="39"/>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4.1 供应商应自行承担所有与参加磋商有关的费用，无论磋商过程中的做法和结果如何，采购人及代理机构在任何情况下均无义务和责任承担这些费用。</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招标代理服务费10000元，由成交单位支付（此费用已在财政预算中）。</w:t>
      </w:r>
      <w:r/>
    </w:p>
    <w:p>
      <w:pPr>
        <w:ind w:firstLine="480"/>
        <w:keepNext/>
        <w:spacing w:line="460" w:lineRule="exact"/>
        <w:rPr>
          <w:rFonts w:ascii="仿宋" w:hAnsi="仿宋" w:eastAsia="仿宋" w:cs="仿宋"/>
          <w:b/>
          <w:bCs/>
          <w:sz w:val="24"/>
          <w:szCs w:val="24"/>
        </w:rPr>
        <w:outlineLvl w:val="3"/>
      </w:pPr>
      <w:r>
        <w:rPr>
          <w:rFonts w:hint="eastAsia" w:ascii="仿宋" w:hAnsi="仿宋" w:eastAsia="仿宋" w:cs="仿宋"/>
          <w:sz w:val="24"/>
          <w:szCs w:val="24"/>
        </w:rPr>
        <w:t xml:space="preserve">5.磋商文件的约束力</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 供应商一旦参加本项目采购活动，即被认为接受了本磋商文件的规定和约束。</w:t>
      </w:r>
      <w:r/>
    </w:p>
    <w:p>
      <w:pPr>
        <w:ind w:firstLine="480"/>
        <w:keepNext/>
        <w:spacing w:line="460" w:lineRule="exact"/>
        <w:rPr>
          <w:rFonts w:ascii="仿宋" w:hAnsi="仿宋" w:eastAsia="仿宋" w:cs="仿宋"/>
          <w:sz w:val="24"/>
          <w:szCs w:val="24"/>
        </w:rPr>
        <w:outlineLvl w:val="3"/>
      </w:pPr>
      <w:r>
        <w:rPr>
          <w:rFonts w:hint="eastAsia" w:ascii="仿宋" w:hAnsi="仿宋" w:eastAsia="仿宋" w:cs="仿宋"/>
          <w:sz w:val="24"/>
          <w:szCs w:val="24"/>
        </w:rPr>
        <w:t xml:space="preserve">6.磋商文件的解释</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6.1</w:t>
      </w:r>
      <w:r>
        <w:rPr>
          <w:rFonts w:hint="eastAsia" w:ascii="仿宋" w:hAnsi="仿宋" w:eastAsia="仿宋" w:cs="仿宋"/>
          <w:sz w:val="24"/>
          <w:szCs w:val="24"/>
        </w:rPr>
        <w:t xml:space="preserve">磋商文件需求部分（供应商资格要求、项目需求、商务技术评分标准）等由采购人解释，其余由采购代理机构解释。</w:t>
      </w:r>
      <w:r/>
    </w:p>
    <w:p>
      <w:pPr>
        <w:ind w:firstLine="482"/>
        <w:keepLines/>
        <w:keepNext/>
        <w:spacing w:line="460" w:lineRule="exact"/>
        <w:rPr>
          <w:rFonts w:ascii="仿宋" w:hAnsi="仿宋" w:eastAsia="仿宋" w:cs="仿宋"/>
          <w:b/>
          <w:bCs/>
          <w:sz w:val="24"/>
          <w:szCs w:val="24"/>
        </w:rPr>
        <w:outlineLvl w:val="2"/>
      </w:pPr>
      <w:r/>
      <w:bookmarkStart w:id="40" w:name="_Toc120614215"/>
      <w:r/>
      <w:bookmarkStart w:id="41" w:name="_Toc16938525"/>
      <w:r/>
      <w:bookmarkStart w:id="42" w:name="_Toc513029209"/>
      <w:r/>
      <w:bookmarkStart w:id="43" w:name="_Toc20823281"/>
      <w:r>
        <w:rPr>
          <w:rFonts w:hint="eastAsia" w:ascii="仿宋" w:hAnsi="仿宋" w:eastAsia="仿宋" w:cs="仿宋"/>
          <w:b/>
          <w:bCs/>
          <w:sz w:val="24"/>
          <w:szCs w:val="24"/>
        </w:rPr>
        <w:t xml:space="preserve">（二）磋商文件</w:t>
      </w:r>
      <w:bookmarkEnd w:id="40"/>
      <w:r/>
      <w:bookmarkEnd w:id="41"/>
      <w:r/>
      <w:bookmarkEnd w:id="42"/>
      <w:r/>
      <w:bookmarkEnd w:id="43"/>
      <w:r/>
      <w:r/>
    </w:p>
    <w:p>
      <w:pPr>
        <w:ind w:firstLine="480"/>
        <w:keepNext/>
        <w:spacing w:line="460" w:lineRule="exact"/>
        <w:rPr>
          <w:rFonts w:ascii="仿宋" w:hAnsi="仿宋" w:eastAsia="仿宋" w:cs="仿宋"/>
          <w:b/>
          <w:bCs/>
          <w:sz w:val="24"/>
          <w:szCs w:val="24"/>
        </w:rPr>
        <w:outlineLvl w:val="3"/>
      </w:pPr>
      <w:r/>
      <w:bookmarkStart w:id="44" w:name="_Toc16938526"/>
      <w:r/>
      <w:bookmarkStart w:id="45" w:name="_Toc20823282"/>
      <w:r/>
      <w:bookmarkStart w:id="46" w:name="_Toc513029210"/>
      <w:r>
        <w:rPr>
          <w:rFonts w:hint="eastAsia" w:ascii="仿宋" w:hAnsi="仿宋" w:eastAsia="仿宋" w:cs="仿宋"/>
          <w:sz w:val="24"/>
          <w:szCs w:val="24"/>
        </w:rPr>
        <w:t xml:space="preserve">1.磋商文件构成</w:t>
      </w:r>
      <w:bookmarkEnd w:id="44"/>
      <w:r/>
      <w:bookmarkEnd w:id="45"/>
      <w:r/>
      <w:bookmarkEnd w:id="46"/>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1.1</w:t>
      </w:r>
      <w:r>
        <w:rPr>
          <w:rFonts w:hint="eastAsia" w:ascii="仿宋" w:hAnsi="仿宋" w:eastAsia="仿宋" w:cs="仿宋"/>
          <w:sz w:val="24"/>
          <w:szCs w:val="24"/>
        </w:rPr>
        <w:t xml:space="preserve"> 磋商文件由以下部分组成：</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（1）竞争性磋商公告</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（2）磋商须知</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（3）项目需求</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（4）评审方法和评审标准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（5）响应文件组成</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（6）附件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请仔细检查磋商文件是否齐全，如有缺漏请立即与</w:t>
      </w:r>
      <w:r>
        <w:rPr>
          <w:rFonts w:hint="eastAsia" w:ascii="仿宋" w:hAnsi="仿宋" w:eastAsia="仿宋" w:cs="仿宋"/>
          <w:bCs/>
          <w:sz w:val="24"/>
          <w:szCs w:val="24"/>
        </w:rPr>
        <w:t xml:space="preserve">采购人或采购代理机构</w:t>
      </w:r>
      <w:r>
        <w:rPr>
          <w:rFonts w:hint="eastAsia" w:ascii="仿宋" w:hAnsi="仿宋" w:eastAsia="仿宋" w:cs="仿宋"/>
          <w:sz w:val="24"/>
          <w:szCs w:val="24"/>
        </w:rPr>
        <w:t xml:space="preserve">联系解决。</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1.2</w:t>
      </w:r>
      <w:r>
        <w:rPr>
          <w:rFonts w:hint="eastAsia" w:ascii="仿宋" w:hAnsi="仿宋" w:eastAsia="仿宋" w:cs="仿宋"/>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Next/>
        <w:spacing w:line="460" w:lineRule="exact"/>
        <w:rPr>
          <w:rFonts w:ascii="仿宋" w:hAnsi="仿宋" w:eastAsia="仿宋" w:cs="仿宋"/>
          <w:b/>
          <w:bCs/>
          <w:sz w:val="24"/>
          <w:szCs w:val="24"/>
        </w:rPr>
        <w:outlineLvl w:val="3"/>
      </w:pPr>
      <w:r/>
      <w:bookmarkStart w:id="47" w:name="_Toc20823283"/>
      <w:r/>
      <w:bookmarkStart w:id="48" w:name="_Toc513029211"/>
      <w:r/>
      <w:bookmarkStart w:id="49" w:name="_Toc16938527"/>
      <w:r/>
      <w:bookmarkStart w:id="50" w:name="_Toc462564070"/>
      <w:r>
        <w:rPr>
          <w:rFonts w:hint="eastAsia" w:ascii="仿宋" w:hAnsi="仿宋" w:eastAsia="仿宋" w:cs="仿宋"/>
          <w:sz w:val="24"/>
          <w:szCs w:val="24"/>
        </w:rPr>
        <w:t xml:space="preserve">2.磋商文件的澄清</w:t>
      </w:r>
      <w:bookmarkEnd w:id="47"/>
      <w:r/>
      <w:bookmarkEnd w:id="48"/>
      <w:r/>
      <w:bookmarkEnd w:id="49"/>
      <w:r/>
      <w:bookmarkEnd w:id="50"/>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2.1</w:t>
      </w:r>
      <w:r>
        <w:rPr>
          <w:rFonts w:hint="eastAsia" w:ascii="仿宋" w:hAnsi="仿宋" w:eastAsia="仿宋" w:cs="仿宋"/>
          <w:sz w:val="24"/>
          <w:szCs w:val="24"/>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bCs/>
          <w:sz w:val="24"/>
          <w:szCs w:val="24"/>
        </w:rPr>
        <w:t xml:space="preserve">采购人</w:t>
      </w:r>
      <w:r>
        <w:rPr>
          <w:rFonts w:hint="eastAsia" w:ascii="仿宋" w:hAnsi="仿宋" w:eastAsia="仿宋" w:cs="仿宋"/>
          <w:sz w:val="24"/>
          <w:szCs w:val="24"/>
        </w:rPr>
        <w:t xml:space="preserve">可以视采购项目的具体情况，组织供应商进行现场考察或召开磋商前答疑会，但不单独或分别组织只有一个供应商参加的现场考察和答疑会。</w:t>
      </w:r>
      <w:r/>
    </w:p>
    <w:p>
      <w:pPr>
        <w:ind w:firstLine="480"/>
        <w:keepNext/>
        <w:spacing w:line="460" w:lineRule="exact"/>
        <w:rPr>
          <w:rFonts w:ascii="仿宋" w:hAnsi="仿宋" w:eastAsia="仿宋" w:cs="仿宋"/>
          <w:b/>
          <w:bCs/>
          <w:sz w:val="24"/>
          <w:szCs w:val="24"/>
        </w:rPr>
        <w:outlineLvl w:val="3"/>
      </w:pPr>
      <w:r/>
      <w:bookmarkStart w:id="51" w:name="_Toc16938528"/>
      <w:r/>
      <w:bookmarkStart w:id="52" w:name="_Toc462564071"/>
      <w:r/>
      <w:bookmarkStart w:id="53" w:name="_Toc20823284"/>
      <w:r/>
      <w:bookmarkStart w:id="54" w:name="_Toc513029212"/>
      <w:r>
        <w:rPr>
          <w:rFonts w:hint="eastAsia" w:ascii="仿宋" w:hAnsi="仿宋" w:eastAsia="仿宋" w:cs="仿宋"/>
          <w:sz w:val="24"/>
          <w:szCs w:val="24"/>
        </w:rPr>
        <w:t xml:space="preserve">3.磋商文件的修改</w:t>
      </w:r>
      <w:bookmarkEnd w:id="51"/>
      <w:r/>
      <w:bookmarkEnd w:id="52"/>
      <w:r/>
      <w:bookmarkEnd w:id="53"/>
      <w:r/>
      <w:bookmarkEnd w:id="54"/>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3.1 在响应文件提交截止时间前，采购人或采购代理机构可以对磋商文件进行修改</w:t>
      </w:r>
      <w:r>
        <w:rPr>
          <w:rFonts w:hint="eastAsia" w:ascii="仿宋" w:hAnsi="仿宋" w:eastAsia="仿宋" w:cs="仿宋"/>
          <w:sz w:val="24"/>
          <w:szCs w:val="24"/>
        </w:rPr>
        <w:t xml:space="preserve">, 澄清或者修改的内容作为磋商文件的组成部分。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3.2 采购人或采购代理机构有权按照法定的要求推迟响应文件提交截止日期和磋商日期。</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3.3 磋商文件的修改将在江苏政府采购网公布，补充文件将作为磋商文件的组成部分，并对供应商具有约束力</w:t>
      </w:r>
      <w:r>
        <w:rPr>
          <w:rFonts w:hint="eastAsia" w:ascii="仿宋" w:hAnsi="仿宋" w:eastAsia="仿宋" w:cs="仿宋"/>
          <w:sz w:val="24"/>
          <w:szCs w:val="24"/>
        </w:rPr>
        <w:t xml:space="preserve">。</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460" w:lineRule="exact"/>
        <w:rPr>
          <w:rFonts w:ascii="仿宋" w:hAnsi="仿宋" w:eastAsia="仿宋" w:cs="仿宋"/>
          <w:b/>
          <w:bCs/>
          <w:sz w:val="24"/>
          <w:szCs w:val="24"/>
        </w:rPr>
        <w:outlineLvl w:val="2"/>
      </w:pPr>
      <w:r/>
      <w:bookmarkStart w:id="55" w:name="_Toc16938529"/>
      <w:r/>
      <w:bookmarkStart w:id="56" w:name="_Toc513029213"/>
      <w:r/>
      <w:bookmarkStart w:id="57" w:name="_Toc120614216"/>
      <w:r/>
      <w:bookmarkStart w:id="58" w:name="_Toc462564072"/>
      <w:r/>
      <w:bookmarkStart w:id="59" w:name="_Toc20823285"/>
      <w:r>
        <w:rPr>
          <w:rFonts w:hint="eastAsia" w:ascii="仿宋" w:hAnsi="仿宋" w:eastAsia="仿宋" w:cs="仿宋"/>
          <w:b/>
          <w:bCs/>
          <w:sz w:val="24"/>
          <w:szCs w:val="24"/>
        </w:rPr>
        <w:t xml:space="preserve">（三）响应文件的编制</w:t>
      </w:r>
      <w:bookmarkEnd w:id="55"/>
      <w:r/>
      <w:bookmarkEnd w:id="56"/>
      <w:r/>
      <w:bookmarkEnd w:id="57"/>
      <w:r/>
      <w:bookmarkEnd w:id="58"/>
      <w:r/>
      <w:bookmarkEnd w:id="59"/>
      <w:r/>
      <w:r/>
    </w:p>
    <w:p>
      <w:pPr>
        <w:ind w:firstLine="480"/>
        <w:keepNext/>
        <w:spacing w:line="460" w:lineRule="exact"/>
        <w:rPr>
          <w:rFonts w:ascii="仿宋" w:hAnsi="仿宋" w:eastAsia="仿宋" w:cs="仿宋"/>
          <w:bCs/>
          <w:sz w:val="24"/>
          <w:szCs w:val="24"/>
        </w:rPr>
        <w:outlineLvl w:val="3"/>
      </w:pPr>
      <w:r/>
      <w:bookmarkStart w:id="60" w:name="_Toc20823286"/>
      <w:r/>
      <w:bookmarkStart w:id="61" w:name="_Toc462564073"/>
      <w:r/>
      <w:bookmarkStart w:id="62" w:name="_Toc16938530"/>
      <w:r/>
      <w:bookmarkStart w:id="63" w:name="_Toc513029214"/>
      <w:r>
        <w:rPr>
          <w:rFonts w:hint="eastAsia" w:ascii="仿宋" w:hAnsi="仿宋" w:eastAsia="仿宋" w:cs="仿宋"/>
          <w:sz w:val="24"/>
          <w:szCs w:val="24"/>
        </w:rPr>
        <w:t xml:space="preserve">1.响应文件的语言及度量衡单位</w:t>
      </w:r>
      <w:bookmarkEnd w:id="60"/>
      <w:r/>
      <w:bookmarkEnd w:id="61"/>
      <w:r/>
      <w:bookmarkEnd w:id="62"/>
      <w:r/>
      <w:bookmarkEnd w:id="63"/>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1.1供应商提交的响应文件以及供应商与采购人或采购代理机构就有关磋商的所有来往通知、函件和文件均应使用简体中文。</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1.2 除技术性能另有规定外，响应文件所使用的度量衡单位，均须采用国家法定计</w:t>
      </w:r>
      <w:r>
        <w:rPr>
          <w:rFonts w:hint="eastAsia" w:ascii="仿宋" w:hAnsi="仿宋" w:eastAsia="仿宋" w:cs="仿宋"/>
          <w:bCs/>
          <w:sz w:val="24"/>
          <w:szCs w:val="24"/>
        </w:rPr>
        <w:t xml:space="preserve">量单位</w:t>
      </w:r>
      <w:r>
        <w:rPr>
          <w:rFonts w:hint="eastAsia" w:ascii="仿宋" w:hAnsi="仿宋" w:eastAsia="仿宋" w:cs="仿宋"/>
          <w:sz w:val="24"/>
          <w:szCs w:val="24"/>
        </w:rPr>
        <w:t xml:space="preserve">。</w:t>
      </w:r>
      <w:r/>
    </w:p>
    <w:p>
      <w:pPr>
        <w:ind w:firstLine="480"/>
        <w:keepNext/>
        <w:spacing w:line="460" w:lineRule="exact"/>
        <w:rPr>
          <w:rFonts w:ascii="仿宋" w:hAnsi="仿宋" w:eastAsia="仿宋" w:cs="仿宋"/>
          <w:b/>
          <w:bCs/>
          <w:sz w:val="24"/>
          <w:szCs w:val="24"/>
        </w:rPr>
        <w:outlineLvl w:val="3"/>
      </w:pPr>
      <w:r/>
      <w:bookmarkStart w:id="64" w:name="_Toc16938531"/>
      <w:r/>
      <w:bookmarkStart w:id="65" w:name="_Toc20823287"/>
      <w:r/>
      <w:bookmarkStart w:id="66" w:name="_Toc513029215"/>
      <w:r/>
      <w:bookmarkStart w:id="67" w:name="_Toc462564074"/>
      <w:r>
        <w:rPr>
          <w:rFonts w:hint="eastAsia" w:ascii="仿宋" w:hAnsi="仿宋" w:eastAsia="仿宋" w:cs="仿宋"/>
          <w:sz w:val="24"/>
          <w:szCs w:val="24"/>
        </w:rPr>
        <w:t xml:space="preserve">2.响应文件构成</w:t>
      </w:r>
      <w:bookmarkEnd w:id="64"/>
      <w:r/>
      <w:bookmarkEnd w:id="65"/>
      <w:r/>
      <w:bookmarkEnd w:id="66"/>
      <w:r/>
      <w:bookmarkEnd w:id="67"/>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2.1 供应商编写的响应文件应包括资格审查文件、商务技术响应文件、报价响应文件。供应商按“第五部分 响应文件组成”要求编写响应文件</w:t>
      </w:r>
      <w:r>
        <w:rPr>
          <w:rFonts w:hint="eastAsia" w:ascii="仿宋" w:hAnsi="仿宋" w:eastAsia="仿宋" w:cs="仿宋"/>
          <w:sz w:val="24"/>
          <w:szCs w:val="24"/>
        </w:rPr>
        <w:t xml:space="preserve">。</w:t>
      </w:r>
      <w:r/>
    </w:p>
    <w:p>
      <w:pPr>
        <w:ind w:firstLine="480"/>
        <w:keepNext/>
        <w:spacing w:line="460" w:lineRule="exact"/>
        <w:rPr>
          <w:rFonts w:ascii="仿宋" w:hAnsi="仿宋" w:eastAsia="仿宋" w:cs="仿宋"/>
          <w:b/>
          <w:bCs/>
          <w:sz w:val="24"/>
          <w:szCs w:val="24"/>
        </w:rPr>
        <w:outlineLvl w:val="3"/>
      </w:pPr>
      <w:r/>
      <w:bookmarkStart w:id="68" w:name="_Hlt26954838"/>
      <w:r/>
      <w:bookmarkStart w:id="69" w:name="_Hlt26668975"/>
      <w:r/>
      <w:bookmarkStart w:id="70" w:name="_Hlt26670360"/>
      <w:r/>
      <w:bookmarkStart w:id="71" w:name="_Toc14577360"/>
      <w:r/>
      <w:bookmarkStart w:id="72" w:name="_Toc49090511"/>
      <w:r/>
      <w:bookmarkEnd w:id="68"/>
      <w:r/>
      <w:bookmarkEnd w:id="69"/>
      <w:r/>
      <w:bookmarkEnd w:id="70"/>
      <w:r>
        <w:rPr>
          <w:rFonts w:hint="eastAsia" w:ascii="仿宋" w:hAnsi="仿宋" w:eastAsia="仿宋" w:cs="仿宋"/>
          <w:sz w:val="24"/>
          <w:szCs w:val="24"/>
        </w:rPr>
        <w:t xml:space="preserve">3.</w:t>
      </w:r>
      <w:bookmarkEnd w:id="71"/>
      <w:r/>
      <w:bookmarkEnd w:id="72"/>
      <w:r>
        <w:rPr>
          <w:rFonts w:hint="eastAsia" w:ascii="仿宋" w:hAnsi="仿宋" w:eastAsia="仿宋" w:cs="仿宋"/>
          <w:sz w:val="24"/>
          <w:szCs w:val="24"/>
        </w:rPr>
        <w:t xml:space="preserve">磋商响应有效期</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3.1磋商响应有效期为采购文件规定的响应文件</w:t>
      </w:r>
      <w:r>
        <w:rPr>
          <w:rFonts w:hint="eastAsia" w:ascii="仿宋" w:hAnsi="仿宋" w:eastAsia="仿宋" w:cs="仿宋"/>
          <w:sz w:val="24"/>
          <w:szCs w:val="24"/>
        </w:rPr>
        <w:t xml:space="preserve">提交</w:t>
      </w:r>
      <w:r>
        <w:rPr>
          <w:rFonts w:hint="eastAsia" w:ascii="仿宋" w:hAnsi="仿宋" w:eastAsia="仿宋" w:cs="仿宋"/>
          <w:bCs/>
          <w:sz w:val="24"/>
          <w:szCs w:val="24"/>
        </w:rPr>
        <w:t xml:space="preserve">截止时间后</w:t>
      </w:r>
      <w:r>
        <w:rPr>
          <w:rFonts w:hint="eastAsia" w:ascii="仿宋" w:hAnsi="仿宋" w:eastAsia="仿宋" w:cs="仿宋"/>
          <w:b/>
          <w:sz w:val="24"/>
          <w:szCs w:val="24"/>
          <w:u w:val="single"/>
        </w:rPr>
        <w:t xml:space="preserve">六十（60）天</w:t>
      </w:r>
      <w:r>
        <w:rPr>
          <w:rFonts w:hint="eastAsia" w:ascii="仿宋" w:hAnsi="仿宋" w:eastAsia="仿宋" w:cs="仿宋"/>
          <w:bCs/>
          <w:sz w:val="24"/>
          <w:szCs w:val="24"/>
        </w:rPr>
        <w:t xml:space="preserve">。磋商响应有效期比规定短的将被视为非实质性响应而予以拒绝。</w:t>
      </w:r>
      <w:r/>
    </w:p>
    <w:p>
      <w:pPr>
        <w:ind w:firstLine="480"/>
        <w:keepNext/>
        <w:spacing w:line="460" w:lineRule="exact"/>
        <w:rPr>
          <w:rFonts w:ascii="仿宋" w:hAnsi="仿宋" w:eastAsia="仿宋" w:cs="仿宋"/>
          <w:b/>
          <w:bCs/>
          <w:sz w:val="24"/>
          <w:szCs w:val="24"/>
        </w:rPr>
        <w:outlineLvl w:val="3"/>
      </w:pPr>
      <w:r>
        <w:rPr>
          <w:rFonts w:hint="eastAsia" w:ascii="仿宋" w:hAnsi="仿宋" w:eastAsia="仿宋" w:cs="仿宋"/>
          <w:sz w:val="24"/>
          <w:szCs w:val="24"/>
        </w:rPr>
        <w:t xml:space="preserve">4. 磋商响应有效期的延长</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460" w:lineRule="exact"/>
        <w:rPr>
          <w:rFonts w:ascii="仿宋" w:hAnsi="仿宋" w:eastAsia="仿宋" w:cs="仿宋"/>
          <w:bCs/>
          <w:sz w:val="24"/>
          <w:szCs w:val="24"/>
        </w:rPr>
      </w:pPr>
      <w:r/>
      <w:bookmarkStart w:id="73" w:name="_Hlt26954739"/>
      <w:r/>
      <w:bookmarkStart w:id="74" w:name="_Hlt26954852"/>
      <w:r/>
      <w:bookmarkStart w:id="75" w:name="_Toc120614217"/>
      <w:r/>
      <w:bookmarkStart w:id="76" w:name="_Toc16938540"/>
      <w:r/>
      <w:bookmarkStart w:id="77" w:name="_Toc513029224"/>
      <w:r/>
      <w:bookmarkStart w:id="78" w:name="_Toc20823296"/>
      <w:r/>
      <w:bookmarkEnd w:id="73"/>
      <w:r/>
      <w:bookmarkEnd w:id="74"/>
      <w:r>
        <w:rPr>
          <w:rFonts w:hint="eastAsia" w:ascii="仿宋" w:hAnsi="仿宋" w:eastAsia="仿宋" w:cs="仿宋"/>
          <w:bCs/>
          <w:sz w:val="24"/>
          <w:szCs w:val="24"/>
        </w:rPr>
        <w:t xml:space="preserve">5.电子响应文件其他要求</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5.1电子招标投标交易平台（即“苏采云”系统）相关要求是本采购文件的组成部分。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5.2供应商应对CA证书妥善保管，如被他人盗用投标，因此带来的结果均由供应商自行承担。</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5.3供应商应当对采购文件提出的实质性要求和条件作出实质性响应，并在电子投标系统逐条应答。</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5.4供应商应对要求提供的资格证明文件（如资质证书、资格证书）、技术资料（如白皮书、彩页、手册、检测报告等）扫描上传至投标系统。 </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spacing w:line="460" w:lineRule="exact"/>
        <w:rPr>
          <w:rFonts w:ascii="仿宋" w:hAnsi="仿宋" w:eastAsia="仿宋" w:cs="仿宋"/>
          <w:b/>
          <w:bCs/>
          <w:sz w:val="24"/>
          <w:szCs w:val="24"/>
        </w:rPr>
        <w:outlineLvl w:val="2"/>
      </w:pPr>
      <w:r>
        <w:rPr>
          <w:rFonts w:hint="eastAsia" w:ascii="仿宋" w:hAnsi="仿宋" w:eastAsia="仿宋" w:cs="仿宋"/>
          <w:b/>
          <w:bCs/>
          <w:sz w:val="24"/>
          <w:szCs w:val="24"/>
        </w:rPr>
        <w:t xml:space="preserve">（四）响应文件的提交</w:t>
      </w:r>
      <w:bookmarkEnd w:id="75"/>
      <w:r/>
      <w:bookmarkEnd w:id="76"/>
      <w:r/>
      <w:bookmarkEnd w:id="77"/>
      <w:r/>
      <w:bookmarkEnd w:id="78"/>
      <w:r/>
      <w:r/>
    </w:p>
    <w:p>
      <w:pPr>
        <w:ind w:firstLine="480"/>
        <w:keepNext/>
        <w:spacing w:line="460" w:lineRule="exact"/>
        <w:rPr>
          <w:rFonts w:ascii="仿宋" w:hAnsi="仿宋" w:eastAsia="仿宋" w:cs="仿宋"/>
          <w:b/>
          <w:bCs/>
          <w:sz w:val="24"/>
          <w:szCs w:val="24"/>
        </w:rPr>
        <w:outlineLvl w:val="3"/>
      </w:pPr>
      <w:r/>
      <w:bookmarkStart w:id="79" w:name="_Toc20823297"/>
      <w:r/>
      <w:bookmarkStart w:id="80" w:name="_Toc513029225"/>
      <w:r/>
      <w:bookmarkStart w:id="81" w:name="_Toc16938541"/>
      <w:r/>
      <w:bookmarkStart w:id="82" w:name="_Toc462564084"/>
      <w:r/>
      <w:bookmarkStart w:id="83" w:name="_Toc16938545"/>
      <w:r/>
      <w:bookmarkStart w:id="84" w:name="_Toc120614218"/>
      <w:r/>
      <w:bookmarkStart w:id="85" w:name="_Toc513029229"/>
      <w:r/>
      <w:bookmarkStart w:id="86" w:name="_Toc20823301"/>
      <w:r>
        <w:rPr>
          <w:rFonts w:hint="eastAsia" w:ascii="仿宋" w:hAnsi="仿宋" w:eastAsia="仿宋" w:cs="仿宋"/>
          <w:sz w:val="24"/>
          <w:szCs w:val="24"/>
        </w:rPr>
        <w:t xml:space="preserve">1.响应文件</w:t>
      </w:r>
      <w:bookmarkEnd w:id="79"/>
      <w:r/>
      <w:bookmarkEnd w:id="80"/>
      <w:r/>
      <w:bookmarkEnd w:id="81"/>
      <w:r/>
      <w:bookmarkEnd w:id="82"/>
      <w:r>
        <w:rPr>
          <w:rFonts w:hint="eastAsia" w:ascii="仿宋" w:hAnsi="仿宋" w:eastAsia="仿宋" w:cs="仿宋"/>
          <w:sz w:val="24"/>
          <w:szCs w:val="24"/>
        </w:rPr>
        <w:t xml:space="preserve">的提交</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1.1线上提交与接收地点：供应商应当通过“苏采云”系统提交数据电文形式的响应文件（即电子投标），“苏采云”系统自动接收。</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说明：电子响应文件应由其法定代表人或被授权人在规定的网上投标时间内，凭CA</w:t>
      </w:r>
      <w:r>
        <w:rPr>
          <w:rFonts w:hint="eastAsia" w:ascii="仿宋" w:hAnsi="仿宋" w:eastAsia="仿宋" w:cs="仿宋"/>
          <w:b/>
          <w:bCs/>
          <w:sz w:val="24"/>
          <w:szCs w:val="24"/>
        </w:rPr>
        <w:t xml:space="preserve">证书登录“苏采云”系统在线编制响应文件（电子数据），并在投标截止时间之前上传磋商响应文件。供应商应在达到开标时间后，使用CA数字证书解密各自磋商响应文件。</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2.提交响应文件截止日期</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2.1 供应商上传电子响应文件的时间不得迟于竞争性磋商公告中规定的响应文件提交截止时间。</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供应商应充分考虑到网络环境、网络带宽等风险因素，如因供应商自身原因造成的电子响应文件上传不成功由供应商自行承担全部责任。</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3.响应文件的密封（加密）要求：</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3.2供应商须通过“苏采云”系统提供的政府采购客户端工具（使用“CA数字证书”）加盖电子签章。</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说明：供应商应在用CA数字证书以及自备的能够登录“苏采云”系统的电脑，在达到开标时间后，使用CA数字证书解密各自响应文件。</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3.3供应商未按规定加密的响应文件，“苏采云”系统将拒收并提示。</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4.响应文件的拒收</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4.1 “苏采云”系统拒绝接收在规定的响应文件提交截止时间后上传的任何响应文件。</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 响应文件的撤回和修改</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 响应文件的撤回</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5.1.1 电子响应文件的撤回</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供应商可在响应文件提交截止时间前，撤回其电子响应文件，具体操作方法见“苏采云”系统供应商操作手册。</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5.1.2 供应商撤回电子响应文件，则认为其不再参与本项目竞争性磋商活动。</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5.2 响应文件的修改</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供应商可在响应文件提交截止时间前，对其电子响应文件进行修改。具体操作方法</w:t>
      </w:r>
      <w:r>
        <w:rPr>
          <w:rFonts w:hint="eastAsia" w:ascii="仿宋" w:hAnsi="仿宋" w:eastAsia="仿宋" w:cs="仿宋"/>
          <w:bCs/>
          <w:sz w:val="24"/>
          <w:szCs w:val="24"/>
        </w:rPr>
        <w:t xml:space="preserve">见“苏采云”系统供应商操作手册。</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5.3 在响应文件提交截止时间之后，供应商不得对其电子响应文件作任何修改。</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5.4 在响应文件提交截止时间至磋商文件中规定的磋商响应有效期满之间的这段时间内，供应商不得撤回其响应文件。</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（五）</w:t>
      </w:r>
      <w:bookmarkStart w:id="87" w:name="_Toc20823302"/>
      <w:r/>
      <w:bookmarkStart w:id="88" w:name="_Toc16938546"/>
      <w:r/>
      <w:bookmarkStart w:id="89" w:name="_Toc513029230"/>
      <w:r/>
      <w:bookmarkEnd w:id="83"/>
      <w:r/>
      <w:bookmarkEnd w:id="84"/>
      <w:r/>
      <w:bookmarkEnd w:id="85"/>
      <w:r/>
      <w:bookmarkEnd w:id="86"/>
      <w:r>
        <w:rPr>
          <w:rFonts w:hint="eastAsia" w:ascii="仿宋" w:hAnsi="仿宋" w:eastAsia="仿宋" w:cs="仿宋"/>
          <w:b/>
          <w:bCs/>
          <w:sz w:val="24"/>
          <w:szCs w:val="24"/>
        </w:rPr>
        <w:t xml:space="preserve">磋商与评审</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1.磋商仪式</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1.1采购人或采购代理机构将在磋商公告中规定的时间和地点组织磋商开始仪式。</w:t>
      </w:r>
      <w:r/>
    </w:p>
    <w:p>
      <w:pPr>
        <w:ind w:firstLine="482"/>
        <w:spacing w:line="460" w:lineRule="exact"/>
        <w:rPr>
          <w:rFonts w:ascii="仿宋" w:hAnsi="仿宋" w:eastAsia="仿宋" w:cs="仿宋"/>
          <w:b/>
          <w:sz w:val="24"/>
          <w:szCs w:val="24"/>
        </w:rPr>
      </w:pPr>
      <w:r>
        <w:rPr>
          <w:rFonts w:hint="eastAsia" w:ascii="仿宋" w:hAnsi="仿宋" w:eastAsia="仿宋" w:cs="仿宋"/>
          <w:b/>
          <w:sz w:val="24"/>
          <w:szCs w:val="24"/>
        </w:rPr>
        <w:t xml:space="preserve">开标当天各供应商及时登录不见面开标大厅，响应文件提交截止时间后，采购代理机构将出响应文件解密的指令，供应商按规定时间自行实施远程解密，供应商解密限定在开标后</w:t>
      </w:r>
      <w:r>
        <w:rPr>
          <w:rFonts w:hint="eastAsia" w:ascii="仿宋" w:hAnsi="仿宋" w:eastAsia="仿宋" w:cs="仿宋"/>
          <w:b/>
          <w:sz w:val="24"/>
          <w:szCs w:val="24"/>
          <w:u w:val="single"/>
        </w:rPr>
        <w:t xml:space="preserve">30分钟</w:t>
      </w:r>
      <w:r>
        <w:rPr>
          <w:rFonts w:hint="eastAsia" w:ascii="仿宋" w:hAnsi="仿宋" w:eastAsia="仿宋" w:cs="仿宋"/>
          <w:b/>
          <w:sz w:val="24"/>
          <w:szCs w:val="24"/>
        </w:rPr>
        <w:t xml:space="preserve">之内完成。</w:t>
      </w:r>
      <w:r>
        <w:rPr>
          <w:rFonts w:hint="eastAsia" w:ascii="仿宋" w:hAnsi="仿宋" w:eastAsia="仿宋" w:cs="仿宋"/>
          <w:b/>
          <w:sz w:val="24"/>
          <w:szCs w:val="24"/>
          <w:u w:val="single"/>
        </w:rPr>
        <w:t xml:space="preserve">因供应商网络与电源不稳定、未按操作手册要求配置软</w:t>
      </w:r>
      <w:r>
        <w:rPr>
          <w:rFonts w:hint="eastAsia" w:ascii="仿宋" w:hAnsi="仿宋" w:eastAsia="仿宋" w:cs="仿宋"/>
          <w:b/>
          <w:sz w:val="24"/>
          <w:szCs w:val="24"/>
        </w:rPr>
        <w:t xml:space="preserve">在系统内公布供应商名单，然后通过开标会议区发</w:t>
      </w:r>
      <w:r>
        <w:rPr>
          <w:rFonts w:hint="eastAsia" w:ascii="仿宋" w:hAnsi="仿宋" w:eastAsia="仿宋" w:cs="仿宋"/>
          <w:b/>
          <w:sz w:val="24"/>
          <w:szCs w:val="24"/>
          <w:u w:val="single"/>
        </w:rPr>
        <w:t xml:space="preserve">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b/>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1.2 磋商活动的文件解密工作由采购代理机构组织。</w:t>
      </w:r>
      <w:r/>
    </w:p>
    <w:p>
      <w:pPr>
        <w:ind w:firstLine="482"/>
        <w:spacing w:line="460" w:lineRule="exact"/>
        <w:rPr>
          <w:rFonts w:ascii="仿宋" w:hAnsi="仿宋" w:eastAsia="仿宋" w:cs="仿宋"/>
          <w:b/>
          <w:sz w:val="24"/>
          <w:szCs w:val="24"/>
        </w:rPr>
      </w:pPr>
      <w:r>
        <w:rPr>
          <w:rFonts w:hint="eastAsia" w:ascii="仿宋" w:hAnsi="仿宋" w:eastAsia="仿宋" w:cs="仿宋"/>
          <w:b/>
          <w:sz w:val="24"/>
          <w:szCs w:val="24"/>
        </w:rPr>
        <w:t xml:space="preserve">注：各供应商请关注开标大厅交流区，在开标结束后，请勿离开开标大厅，采购人或采购代理机构通知最后报价填报后，所有的响应供应商须在</w:t>
      </w:r>
      <w:r>
        <w:rPr>
          <w:rFonts w:hint="eastAsia" w:ascii="仿宋" w:hAnsi="仿宋" w:eastAsia="仿宋" w:cs="仿宋"/>
          <w:b/>
          <w:sz w:val="24"/>
          <w:szCs w:val="24"/>
          <w:u w:val="single"/>
        </w:rPr>
        <w:t xml:space="preserve">15分钟</w:t>
      </w:r>
      <w:r>
        <w:rPr>
          <w:rFonts w:hint="eastAsia" w:ascii="仿宋" w:hAnsi="仿宋" w:eastAsia="仿宋" w:cs="仿宋"/>
          <w:b/>
          <w:sz w:val="24"/>
          <w:szCs w:val="24"/>
        </w:rPr>
        <w:t xml:space="preserve">内填写并提交最后报价，未在规定时间内提交最后报价的，视作无效响应处理。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2.磋商小组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2.1磋商开始仪式结束后，采购人或采购代理机构将立即组织磋商小组进行评审。</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2.3超过公开招标限额标准的项目，磋商小组应当由5人及以上单数组成。</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2.5磋商小组独立工作，负责评审所有响应文件并确定成交候选人。</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3.磋商评审过程的保密与公正</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3.1磋商小组、采购人或采购代理机构、相关监督人员等与评审工作有关的人员，对评审情况以及在评审过程中获悉的国家秘密、商业秘密负有保密责任。</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3.2在磋商评审过程中，磋商供应商不得以任何行为影响磋商评审过程，否则其响应文件将被作为无效响应文件。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3.5在评审期间，采购人或采购代理机构将设专门人员与供应商联系。</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3.6采购人、采购代理机构和磋商小组不向未成交的供应商解释未成交原因，也不公布评审过程中的相关细节。</w:t>
      </w:r>
      <w:r/>
    </w:p>
    <w:p>
      <w:pPr>
        <w:ind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4、评审过程的澄清</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4.3 接到磋商小组澄清、说明和更正要求的供应商如未按规定做出澄清、说明和 更正，其风险由供应商自行承担。</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5.对响应文件的审查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5.1响应文件初审分为资格性审查和符合性审查。</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5.1.1资格性检查：由磋商小组依据法律法规和磋商文件的规定，对响应文件中的资格证明文件进行审查，以确定供应商是否具备参加磋商的资格。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磋商小组在进行资格性审查的同时，将在“信用中国”网站查询供应商的信用记录，以确定供应商是否具备磋商资格。</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5.1.3未通过资格审查或符合性审查的供应商，磋商小组将在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中告知未通过资格审查或符合性审查的原因，评审结束后，磋商小组将不再告知未通过资格审查或符合性审查的原因。</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5.2</w:t>
      </w:r>
      <w:r>
        <w:rPr>
          <w:rFonts w:hint="eastAsia" w:ascii="仿宋" w:hAnsi="仿宋" w:eastAsia="仿宋" w:cs="仿宋"/>
          <w:sz w:val="24"/>
          <w:szCs w:val="24"/>
        </w:rPr>
        <w:t xml:space="preserve">在详细评审之前</w:t>
      </w:r>
      <w:r>
        <w:rPr>
          <w:rFonts w:hint="eastAsia" w:ascii="仿宋" w:hAnsi="仿宋" w:eastAsia="仿宋" w:cs="仿宋"/>
          <w:bCs/>
          <w:sz w:val="24"/>
          <w:szCs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5.4磋商小组将对确定为实质性响应的文件进行进一步审核，看其是否有计算上或累加上的算术错误，修正错误的原则如下：</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（1）响应文件中报价总表内容与响应文件中相应内容不一致的，以报价总表为准。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（2）大写金额和小写金额不一致的，以大写金额为准。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（3）单价金额小数点或者百分比有明显错位的，以报价总表的总价为准，并修改单价。</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（4）总价金额与按单价汇总金额不一致的，以单价金额计算结果为准。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同时出现两种以上错误的，按照前款规定的顺序修正。</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5.5磋商小组将按上述修正错误的方法调整响应文件中的报价，通过“苏采云系统”</w:t>
      </w:r>
      <w:r>
        <w:rPr>
          <w:rFonts w:hint="eastAsia" w:ascii="仿宋" w:hAnsi="仿宋" w:eastAsia="仿宋" w:cs="仿宋"/>
          <w:b/>
          <w:sz w:val="24"/>
          <w:szCs w:val="24"/>
        </w:rPr>
        <w:t xml:space="preserve">开标大厅</w:t>
      </w:r>
      <w:r>
        <w:rPr>
          <w:rFonts w:hint="eastAsia" w:ascii="仿宋" w:hAnsi="仿宋" w:eastAsia="仿宋" w:cs="仿宋"/>
          <w:bCs/>
          <w:sz w:val="24"/>
          <w:szCs w:val="24"/>
        </w:rPr>
        <w:t xml:space="preserve">告知供应商，调整后的价格应对供应商具有约束力。如果供应商不接受修正后</w:t>
      </w:r>
      <w:r>
        <w:rPr>
          <w:rFonts w:hint="eastAsia" w:ascii="仿宋" w:hAnsi="仿宋" w:eastAsia="仿宋" w:cs="仿宋"/>
          <w:bCs/>
          <w:sz w:val="24"/>
          <w:szCs w:val="24"/>
        </w:rPr>
        <w:t xml:space="preserve">的价格，则其磋商响应文件将被拒绝。</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5.6磋商小组将允许修正响应文件中不构成重大偏离的、微小的、非正规的、不一致的或不规则的地方，但这些修改不能影响任何供应商相应的名次排列。</w:t>
      </w:r>
      <w:r/>
    </w:p>
    <w:p>
      <w:pPr>
        <w:ind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5.7供应商在评审全过程中应保持通讯畅通，并安排专人与采购人或采购代理机构及磋商小组联系</w:t>
      </w:r>
      <w:r>
        <w:rPr>
          <w:rFonts w:hint="eastAsia" w:ascii="仿宋" w:hAnsi="仿宋" w:eastAsia="仿宋" w:cs="仿宋"/>
          <w:sz w:val="24"/>
          <w:szCs w:val="24"/>
        </w:rPr>
        <w:t xml:space="preserve">。</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6.无效响应条款和废标条款</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6.1无效投标条款</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 供应商在规定的时间内未成功解密电子投标文件的。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6.1.2 供应商未按照招标文件要求上传电子投标文件的。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6.1.3同一供应商提交两个（含两个）以上不同的投标报价的。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6.1.4供应商不具备招标文件中规定资格要求的。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6.1.5供应商的报价超过了采购预算或最高限价的。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6.1.6未通过符合性检查的。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6.1.7不符合招标文件中规定的其他实质性要求和条件的。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6.1.8 在“信用中国”网站（https://www.creditchina.gov.cn）查询，被列入</w:t>
      </w:r>
      <w:hyperlink r:id="rId18" w:tooltip="https://zxgk.court.gov.cn/shixin/" w:history="1">
        <w:r>
          <w:rPr>
            <w:rFonts w:hint="eastAsia" w:ascii="仿宋" w:hAnsi="仿宋" w:eastAsia="仿宋" w:cs="仿宋"/>
            <w:bCs/>
            <w:sz w:val="24"/>
            <w:szCs w:val="24"/>
          </w:rPr>
          <w:t xml:space="preserve">失信被执行人</w:t>
        </w:r>
      </w:hyperlink>
      <w:r>
        <w:rPr>
          <w:rFonts w:hint="eastAsia" w:ascii="仿宋" w:hAnsi="仿宋" w:eastAsia="仿宋" w:cs="仿宋"/>
          <w:bCs/>
          <w:sz w:val="24"/>
          <w:szCs w:val="24"/>
        </w:rPr>
        <w:t xml:space="preserve">、</w:t>
      </w:r>
      <w:hyperlink r:id="rId19" w:tooltip="https://www.creditchina.gov.cn/zhuanxiangchaxun/zhongdashuishouweifaanjian/" w:history="1">
        <w:r>
          <w:rPr>
            <w:rFonts w:hint="eastAsia" w:ascii="仿宋" w:hAnsi="仿宋" w:eastAsia="仿宋" w:cs="仿宋"/>
            <w:bCs/>
            <w:sz w:val="24"/>
            <w:szCs w:val="24"/>
          </w:rPr>
          <w:t xml:space="preserve">重大税收违法失信主体名单</w:t>
        </w:r>
      </w:hyperlink>
      <w:r>
        <w:rPr>
          <w:rFonts w:hint="eastAsia" w:ascii="仿宋" w:hAnsi="仿宋" w:eastAsia="仿宋" w:cs="仿宋"/>
          <w:bCs/>
          <w:sz w:val="24"/>
          <w:szCs w:val="24"/>
        </w:rPr>
        <w:t xml:space="preserve">、</w:t>
      </w:r>
      <w:hyperlink r:id="rId20" w:tooltip="https://www.creditchina.gov.cn/zhuanxiangchaxun/zhengfucaigouyanzhongweifashixinmingdan/" w:history="1">
        <w:r>
          <w:rPr>
            <w:rFonts w:hint="eastAsia" w:ascii="仿宋" w:hAnsi="仿宋" w:eastAsia="仿宋" w:cs="仿宋"/>
            <w:bCs/>
            <w:sz w:val="24"/>
            <w:szCs w:val="24"/>
          </w:rPr>
          <w:t xml:space="preserve">政府采购严重违法失信行为记录名单</w:t>
        </w:r>
      </w:hyperlink>
      <w:r>
        <w:rPr>
          <w:rFonts w:hint="eastAsia" w:ascii="仿宋" w:hAnsi="仿宋" w:eastAsia="仿宋" w:cs="仿宋"/>
          <w:bCs/>
          <w:sz w:val="24"/>
          <w:szCs w:val="24"/>
        </w:rPr>
        <w:t xml:space="preserve">、</w:t>
      </w:r>
      <w:hyperlink r:id="rId21" w:tooltip="https://www.creditchina.gov.cn/xinxigongshi/shixinheimingdan/" w:history="1">
        <w:r>
          <w:rPr>
            <w:rFonts w:hint="eastAsia" w:ascii="仿宋" w:hAnsi="仿宋" w:eastAsia="仿宋" w:cs="仿宋"/>
            <w:bCs/>
            <w:sz w:val="24"/>
            <w:szCs w:val="24"/>
          </w:rPr>
          <w:t xml:space="preserve">严重失信主体名单</w:t>
        </w:r>
      </w:hyperlink>
      <w:r>
        <w:rPr>
          <w:rFonts w:hint="eastAsia" w:ascii="仿宋" w:hAnsi="仿宋" w:eastAsia="仿宋" w:cs="仿宋"/>
          <w:bCs/>
          <w:sz w:val="24"/>
          <w:szCs w:val="24"/>
        </w:rPr>
        <w:t xml:space="preserve">、</w:t>
      </w:r>
      <w:hyperlink r:id="rId22" w:tooltip="https://www.creditchina.gov.cn/xinxigongshi/zhongdianguanzhushixinmingdan/" w:history="1">
        <w:r>
          <w:rPr>
            <w:rFonts w:hint="eastAsia" w:ascii="仿宋" w:hAnsi="仿宋" w:eastAsia="仿宋" w:cs="仿宋"/>
            <w:bCs/>
            <w:sz w:val="24"/>
            <w:szCs w:val="24"/>
          </w:rPr>
          <w:t xml:space="preserve">经营（活动）异常名录</w:t>
        </w:r>
      </w:hyperlink>
      <w:r>
        <w:rPr>
          <w:rFonts w:hint="eastAsia" w:ascii="仿宋" w:hAnsi="仿宋" w:eastAsia="仿宋" w:cs="仿宋"/>
          <w:bCs/>
          <w:sz w:val="24"/>
          <w:szCs w:val="24"/>
        </w:rPr>
        <w:t xml:space="preserve">及其他不符合《中华人民共和国政府采购法》第二十二条规定条件的信用记录。（投标文件中无需提供证明材料）。</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6.1.9 投标文件含有采购人不能接受的附加条件的。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6.1.10评标委员会认为供应商的报价明显低于其他通过符合性审查供应商的报价，有可能影响产品质量或者不能诚信履约的，将通过“不见面交易系统”要求其在合理的时间内提供说明，必要时提交相关证明材料；供应商不能证明其报价合理性的，评标委员会应当将其作为无效投标处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6.1.11投标文件未按照招标文件要求加盖电子签章。</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6.1.12不同的供应商投标文件制作机器码、文件创建标识码一致的。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6.1.13供应商的商务、技术部分得分相差悬殊，评标委员会认为得分畸低者没有实质性响应的。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6.1.14其他法律、法规及本招标文件规定的属无效投标的情形。</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6.1.15磋商小组认为响应供应商的报价出现（财库〔2026〕2号文）规定的异常低价情形之一的，将通过“不见面交易系统 ”启动异常低价投标（响应）审查程序，应当</w:t>
      </w:r>
      <w:r>
        <w:rPr>
          <w:rFonts w:hint="eastAsia" w:ascii="仿宋" w:hAnsi="仿宋" w:eastAsia="仿宋" w:cs="仿宋"/>
          <w:bCs/>
          <w:sz w:val="24"/>
          <w:szCs w:val="24"/>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6.2废标条款：</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6.2.1符合专业条件的供应商或者对招标文件作实质响应的供应商不足三家的。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6.2.2出现影响采购公正的违法、违规行为的。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6.2.3因重大变故，采购任务取消的。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6.2.4评标委员会认定招标文件存在歧义、重大缺陷导致评审工作无法进行。</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6.2.5 因系统故障原因造成开标不成功的。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6.3 投标截止时间结束后参加投标的供应商不足三家的处理：</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6.3.1如出现投标截止时间结束后参加投标的供应商或者在评标期间对招标文件做出实质响应的供应商不足三家情况，按政府采购相关规定执行。</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7. 响应文件线上格式要求</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7.1供应商应当通过“苏采云”系统提交数据电文形式的响应文件（即电子投标）。</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7.2 通过“苏采云”系统提交政府采购客户端工具导出加密的响应文件（后缀名为zip）。响应文件不得超过150M！</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7.3 本项目采用线上投标，即供应商响应文件从政府采购客户端工具制作通过“苏采云”系统提交，未提供线上响应文件的，投标无效。</w:t>
      </w:r>
      <w:bookmarkStart w:id="90" w:name="_Toc120614219"/>
      <w:r/>
      <w:bookmarkEnd w:id="87"/>
      <w:r/>
      <w:bookmarkEnd w:id="88"/>
      <w:r/>
      <w:bookmarkEnd w:id="89"/>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（六）</w:t>
      </w:r>
      <w:bookmarkEnd w:id="90"/>
      <w:r>
        <w:rPr>
          <w:rFonts w:hint="eastAsia" w:ascii="仿宋" w:hAnsi="仿宋" w:eastAsia="仿宋" w:cs="仿宋"/>
          <w:b/>
          <w:bCs/>
          <w:sz w:val="24"/>
          <w:szCs w:val="24"/>
        </w:rPr>
        <w:t xml:space="preserve">成交</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1.确定成交单位</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1.1成交候选供应商的选取原则和数量见磋商文件第四章规定。</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1.2采购人授权磋商小组在成交候选供应商中直接确定成交供应商。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1.3 采购代理机构将在“江苏政府采购网”发布成交结果公告，公告期限为1个工作日。</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1.4若有充分证据证明，成交供应商出现下列情况之一的，一经查实，将被取消成交资格：</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1.4.1提供虚假材料谋取成交的。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1.4.2向采购人或采购代理机构行贿或者评审专家提供其他不正当利益的。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1.4.3恶意竞争，最后报价明显低于其自身合理成本且又无法提供证明的。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1.4.4属于本文件规定的无效条件，但在评审过程中又未被磋商小组发现的。</w:t>
      </w:r>
      <w:r/>
    </w:p>
    <w:p>
      <w:pPr>
        <w:ind w:firstLine="480"/>
        <w:spacing w:line="460" w:lineRule="exact"/>
        <w:rPr>
          <w:rFonts w:ascii="仿宋" w:hAnsi="仿宋" w:eastAsia="仿宋" w:cs="仿宋"/>
          <w:bCs/>
          <w:sz w:val="24"/>
          <w:szCs w:val="24"/>
        </w:rPr>
      </w:pPr>
      <w:r>
        <w:rPr>
          <w:rFonts w:hint="eastAsia" w:ascii="仿宋" w:hAnsi="仿宋" w:eastAsia="仿宋" w:cs="仿宋"/>
          <w:sz w:val="24"/>
          <w:szCs w:val="24"/>
        </w:rPr>
        <w:t xml:space="preserve">1.4.5</w:t>
      </w:r>
      <w:r>
        <w:rPr>
          <w:rFonts w:hint="eastAsia" w:ascii="仿宋" w:hAnsi="仿宋" w:eastAsia="仿宋" w:cs="仿宋"/>
          <w:bCs/>
          <w:sz w:val="24"/>
          <w:szCs w:val="24"/>
        </w:rPr>
        <w:t xml:space="preserve">与评审专家、采购人、其他供应商或者采购中心工作人员恶意串通的。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1.4.6采取不正当手段诋毁、排挤其他供应商的。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1.4.7成交后无正当理由拒不与采购人签订政府采购合同或者未按照磋商文件确定的事项签订政府采购合同的。</w:t>
      </w:r>
      <w:r/>
    </w:p>
    <w:p>
      <w:pPr>
        <w:ind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1.4.8将政府采购合同</w:t>
      </w:r>
      <w:r>
        <w:rPr>
          <w:rFonts w:hint="eastAsia" w:ascii="仿宋" w:hAnsi="仿宋" w:eastAsia="仿宋" w:cs="仿宋"/>
          <w:b/>
          <w:sz w:val="24"/>
          <w:szCs w:val="24"/>
          <w:u w:val="single"/>
        </w:rPr>
        <w:t xml:space="preserve">分包或转包的。</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1.5.有下列情形之一的，视为供应商串通参与磋商，响应无效：</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1.5.1不同供应商的响应文件由同一单位或者个人编制；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1.5.2不同供应商委托同一单位或者个人办理磋商事宜；</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1.5.3不同供应商的响应文件载明的项目管理成员或者联系人员为同一人；</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1.5.4不同供应商的响应文件异常一致或者响应报价呈规律性差异。</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2.质疑处理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2.1 提出质疑的供应商应当是参与所质疑项目采购活动的供应商。潜在供应商依法获取其可质疑的磋商文件的，可以对磋商文件提出质疑。</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2.2.1对可以质疑的磋商文件提出质疑的，为收到磋商文件之日或者磋商文件公告期限届满之日；</w:t>
      </w:r>
      <w:r/>
    </w:p>
    <w:p>
      <w:pPr>
        <w:ind w:firstLine="482"/>
        <w:spacing w:line="460" w:lineRule="exact"/>
        <w:rPr>
          <w:rFonts w:ascii="仿宋" w:hAnsi="仿宋" w:eastAsia="仿宋" w:cs="仿宋"/>
          <w:b/>
          <w:bCs/>
          <w:sz w:val="24"/>
          <w:szCs w:val="24"/>
        </w:rPr>
      </w:pPr>
      <w:r>
        <w:rPr>
          <w:rFonts w:hint="eastAsia" w:ascii="仿宋" w:hAnsi="仿宋" w:eastAsia="仿宋" w:cs="仿宋"/>
          <w:b/>
          <w:bCs/>
          <w:sz w:val="24"/>
          <w:szCs w:val="24"/>
        </w:rPr>
        <w:t xml:space="preserve">注明：本项目5个工作日后仍可下载招标文件，但不作为响应供应商权益受到损害的证明材料和依据。</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2.2.2对采购过程提出质疑的，为各采购程序环节结束之日；</w:t>
      </w:r>
      <w:r/>
    </w:p>
    <w:p>
      <w:pPr>
        <w:ind w:firstLine="482"/>
        <w:spacing w:line="460" w:lineRule="exact"/>
        <w:tabs>
          <w:tab w:val="left" w:pos="6555" w:leader="none"/>
          <w:tab w:val="right" w:pos="8306" w:leader="none"/>
        </w:tabs>
        <w:rPr>
          <w:rFonts w:ascii="仿宋" w:hAnsi="仿宋" w:eastAsia="仿宋" w:cs="仿宋"/>
          <w:b/>
          <w:sz w:val="24"/>
          <w:szCs w:val="24"/>
        </w:rPr>
      </w:pPr>
      <w:r>
        <w:rPr>
          <w:rFonts w:hint="eastAsia" w:ascii="仿宋" w:hAnsi="仿宋" w:eastAsia="仿宋" w:cs="仿宋"/>
          <w:b/>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2.2.3对成交结果提出质疑的，为成交结果公告期限届满之日。</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2.4质疑答复依据《政府采购质疑和投诉办法》（财政部令第94号）。</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采购人或采购代理机构质疑接收人及联系方式，见磋商文件第一部分。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 以下情形的质疑不予受理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2.5.1 内容不符合《政府采购质疑和投诉办法》第十二条规定的质疑。</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2.5.2 超出政府采购法定期限的质疑。</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2.5.3 未参加磋商活动的供应商或在磋商活动中自身权益未受到损害的供应商所提出的质疑。</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2.5.4供应商组成联合体参加磋商，联合体中任何一方或多方未按要求签字、盖章、加盖公章的质疑。</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（七）成交通知书</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60" w:lineRule="exact"/>
        <w:rPr>
          <w:rFonts w:ascii="仿宋" w:hAnsi="仿宋" w:eastAsia="仿宋" w:cs="仿宋"/>
          <w:sz w:val="24"/>
          <w:szCs w:val="24"/>
        </w:rPr>
      </w:pPr>
      <w:r>
        <w:rPr>
          <w:rFonts w:hint="eastAsia" w:ascii="仿宋" w:hAnsi="仿宋" w:eastAsia="仿宋" w:cs="仿宋"/>
          <w:b/>
          <w:bCs/>
          <w:sz w:val="24"/>
          <w:szCs w:val="24"/>
        </w:rPr>
        <w:t xml:space="preserve">特别说明：成交供应商在下载成交通知书后须提供叁套系统内打印的纸质响应文件、叁份U盘或光盘响应文件给采购代理机构做归档。</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（八）授予合同</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1.签订合同</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1.l成交供应商应当在成交通知书发出之日起三十日内，按照磋商文件确定的事项与采购人签订政府采购合同。</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1.2磋商文件、成交供应商的响应文件及磋商过程中有关澄清、承诺文件均应作为合同附件。</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2.标的物的追加</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 办理政采贷和履约保函（保险）告知函</w:t>
      </w:r>
      <w:r/>
    </w:p>
    <w:p>
      <w:pPr>
        <w:ind w:firstLine="480"/>
        <w:spacing w:line="460" w:lineRule="exact"/>
        <w:rPr>
          <w:rFonts w:ascii="仿宋" w:hAnsi="仿宋" w:eastAsia="仿宋" w:cs="仿宋"/>
          <w:b/>
          <w:sz w:val="24"/>
          <w:szCs w:val="24"/>
        </w:rPr>
      </w:pPr>
      <w:r>
        <w:rPr>
          <w:rFonts w:hint="eastAsia" w:ascii="仿宋" w:hAnsi="仿宋" w:eastAsia="仿宋" w:cs="仿宋"/>
          <w:sz w:val="24"/>
          <w:szCs w:val="24"/>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（九）电子招标投标交易平台</w:t>
      </w:r>
      <w:r/>
    </w:p>
    <w:p>
      <w:pPr>
        <w:ind w:firstLine="480"/>
        <w:spacing w:line="460" w:lineRule="exact"/>
        <w:rPr>
          <w:rFonts w:ascii="仿宋" w:hAnsi="仿宋" w:eastAsia="仿宋" w:cs="仿宋"/>
          <w:sz w:val="24"/>
          <w:szCs w:val="24"/>
          <w:lang w:eastAsia="en-US"/>
        </w:rPr>
      </w:pPr>
      <w:r>
        <w:rPr>
          <w:rFonts w:hint="eastAsia" w:ascii="仿宋" w:hAnsi="仿宋" w:eastAsia="仿宋" w:cs="仿宋"/>
          <w:sz w:val="24"/>
          <w:szCs w:val="24"/>
          <w:lang w:eastAsia="en-US"/>
        </w:rPr>
        <w:t xml:space="preserve">电子招标投标交易平台（即“苏采云”系统，网址：</w:t>
      </w:r>
      <w:hyperlink r:id="rId23" w:tooltip="http://jszfcg.jsczt.cn/）相关要求是本采购文件的组成部分。" w:history="1">
        <w:r>
          <w:rPr>
            <w:rFonts w:hint="eastAsia" w:ascii="仿宋" w:hAnsi="仿宋" w:eastAsia="仿宋" w:cs="仿宋"/>
            <w:sz w:val="24"/>
            <w:szCs w:val="24"/>
            <w:lang w:eastAsia="en-US"/>
          </w:rPr>
          <w:t xml:space="preserve">http://jszfcg.jsczt.cn/）相关要求是本采购文件的组成部分。</w:t>
        </w:r>
      </w:hyperlink>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（十）未尽事宜</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按《中华人民共和国政府采购法》《政府采购竞争性磋商采购方式管理暂行办法》及其他有关法律法规的规定执行。</w:t>
      </w:r>
      <w:r/>
    </w:p>
    <w:p>
      <w:pPr>
        <w:ind w:left="695"/>
        <w:rPr>
          <w:rFonts w:ascii="仿宋" w:hAnsi="仿宋" w:eastAsia="仿宋" w:cs="仿宋"/>
          <w:sz w:val="24"/>
          <w:szCs w:val="24"/>
        </w:rPr>
        <w:sectPr>
          <w:footerReference w:type="default" r:id="rId10"/>
          <w:footerReference w:type="first" r:id="rId11"/>
          <w:footnotePr/>
          <w:endnotePr/>
          <w:type w:val="nextPage"/>
          <w:pgSz w:w="11906" w:h="16838" w:orient="portrait"/>
          <w:pgMar w:top="1440" w:right="1080" w:bottom="1440" w:left="1536" w:header="851" w:footer="992" w:gutter="0"/>
          <w:cols w:num="1" w:sep="0" w:space="720" w:equalWidth="1"/>
          <w:docGrid w:linePitch="360"/>
        </w:sectPr>
      </w:pPr>
      <w:r>
        <w:rPr>
          <w:rFonts w:ascii="仿宋" w:hAnsi="仿宋" w:eastAsia="仿宋" w:cs="仿宋"/>
          <w:sz w:val="24"/>
          <w:szCs w:val="24"/>
        </w:rPr>
      </w:r>
      <w:r/>
    </w:p>
    <w:p>
      <w:pPr>
        <w:jc w:val="center"/>
        <w:spacing w:before="240" w:after="60" w:line="360" w:lineRule="auto"/>
        <w:rPr>
          <w:rFonts w:ascii="仿宋" w:hAnsi="仿宋" w:eastAsia="仿宋" w:cs="宋体"/>
          <w:b/>
          <w:sz w:val="28"/>
          <w:szCs w:val="28"/>
        </w:rPr>
        <w:outlineLvl w:val="0"/>
      </w:pPr>
      <w:r>
        <w:rPr>
          <w:rFonts w:hint="eastAsia" w:ascii="仿宋" w:hAnsi="仿宋" w:eastAsia="仿宋" w:cs="仿宋"/>
          <w:b/>
          <w:bCs/>
          <w:sz w:val="32"/>
          <w:szCs w:val="32"/>
        </w:rPr>
        <w:t xml:space="preserve">第三章 </w:t>
      </w:r>
      <w:bookmarkEnd w:id="24"/>
      <w:r>
        <w:rPr>
          <w:rFonts w:hint="eastAsia" w:ascii="仿宋" w:hAnsi="仿宋" w:eastAsia="仿宋" w:cs="仿宋"/>
          <w:b/>
          <w:bCs/>
          <w:sz w:val="32"/>
          <w:szCs w:val="32"/>
        </w:rPr>
        <w:t xml:space="preserve">项目需求</w:t>
      </w:r>
      <w:r/>
    </w:p>
    <w:p>
      <w:pPr>
        <w:ind w:firstLine="480"/>
        <w:spacing w:line="500" w:lineRule="exact"/>
        <w:rPr>
          <w:rFonts w:ascii="仿宋" w:hAnsi="仿宋" w:eastAsia="仿宋" w:cs="仿宋"/>
          <w:sz w:val="24"/>
          <w:szCs w:val="24"/>
        </w:rPr>
      </w:pPr>
      <w:r/>
      <w:bookmarkStart w:id="91" w:name="_Toc16389"/>
      <w:r>
        <w:rPr>
          <w:rFonts w:hint="eastAsia" w:ascii="仿宋" w:hAnsi="仿宋" w:eastAsia="仿宋" w:cs="仿宋"/>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500" w:lineRule="exact"/>
        <w:rPr>
          <w:rFonts w:ascii="仿宋" w:hAnsi="仿宋" w:eastAsia="仿宋" w:cs="仿宋"/>
          <w:sz w:val="24"/>
          <w:szCs w:val="24"/>
        </w:rPr>
      </w:pPr>
      <w:r>
        <w:rPr>
          <w:rFonts w:hint="eastAsia" w:ascii="仿宋" w:hAnsi="仿宋" w:eastAsia="仿宋" w:cs="仿宋"/>
          <w:sz w:val="24"/>
          <w:szCs w:val="24"/>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bookmarkEnd w:id="91"/>
      <w:r/>
      <w:r/>
    </w:p>
    <w:p>
      <w:pPr>
        <w:ind w:firstLine="480"/>
        <w:jc w:val="center"/>
        <w:spacing w:line="480" w:lineRule="exact"/>
        <w:rPr>
          <w:rFonts w:ascii="仿宋" w:hAnsi="仿宋" w:eastAsia="仿宋" w:cs="仿宋"/>
          <w:sz w:val="24"/>
          <w:szCs w:val="24"/>
        </w:rPr>
      </w:pPr>
      <w:r>
        <w:rPr>
          <w:rFonts w:hint="eastAsia" w:ascii="仿宋" w:hAnsi="仿宋" w:eastAsia="仿宋" w:cs="仿宋"/>
          <w:sz w:val="24"/>
          <w:szCs w:val="24"/>
        </w:rPr>
        <w:t xml:space="preserve">小海街道大环境保洁作业服务外包项目标准。</w:t>
      </w:r>
      <w:r/>
    </w:p>
    <w:p>
      <w:pPr>
        <w:ind w:firstLine="480"/>
        <w:spacing w:line="480" w:lineRule="exact"/>
        <w:rPr>
          <w:rFonts w:ascii="黑体" w:hAnsi="黑体" w:eastAsia="黑体" w:cs="黑体"/>
          <w:sz w:val="24"/>
          <w:szCs w:val="24"/>
        </w:rPr>
      </w:pPr>
      <w:r>
        <w:rPr>
          <w:rFonts w:hint="eastAsia" w:ascii="黑体" w:hAnsi="黑体" w:eastAsia="黑体" w:cs="黑体"/>
          <w:sz w:val="24"/>
          <w:szCs w:val="24"/>
        </w:rPr>
        <w:t xml:space="preserve">一、服务范围及内容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本项目包括五个部分，即：小海街道镇区大环境保洁、农村环境“五位一体”保洁、小广告（俗称牛皮癣）、泵站日常巡查与管护及城管平台案件及投诉受（处）理。</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镇区大环境保洁范围：</w:t>
      </w:r>
      <w:r>
        <w:rPr>
          <w:rFonts w:hint="eastAsia" w:ascii="仿宋" w:hAnsi="仿宋" w:eastAsia="仿宋" w:cs="仿宋"/>
          <w:sz w:val="24"/>
          <w:szCs w:val="24"/>
        </w:rPr>
        <w:t xml:space="preserve">东至姜张公路、西至裤子港河、北至通沪大道（创新区暂除外）、南至通启河，含道路及外侧绿化带视线范围内区域。</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1、镇区大环境保洁内容：</w:t>
      </w:r>
      <w:r>
        <w:rPr>
          <w:rFonts w:hint="eastAsia" w:ascii="仿宋" w:hAnsi="仿宋" w:eastAsia="仿宋" w:cs="仿宋"/>
          <w:sz w:val="24"/>
          <w:szCs w:val="24"/>
        </w:rPr>
        <w:t xml:space="preserve">为镇区内的次干道、背街后巷、机耕路等道路，泯沟、渔塘、公厕(老市场、建行）及绿化带保洁。居民住宅区的垃圾收集、清运；执法队东侧、望川路东城市微治理项目（校外劳动教育基地）及通启桥原农贸市场和原公交车站周边城市微治理项目的绿化修剪、环境保洁、杂物清理；小海公墓（安息堂）焚烧垃圾的清运；所负责区域内果壳箱维护。</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2、镇区城管平台案件及投诉受（处）理：</w:t>
      </w:r>
      <w:r>
        <w:rPr>
          <w:rFonts w:hint="eastAsia" w:ascii="仿宋" w:hAnsi="仿宋" w:eastAsia="仿宋" w:cs="仿宋"/>
          <w:sz w:val="24"/>
          <w:szCs w:val="24"/>
        </w:rPr>
        <w:t xml:space="preserve">镇区范围内的“12345”“12319”等城管平台涉及到服务范围内的举报投诉案件的处理。</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3、农村“五位一体”保洁范围：</w:t>
      </w:r>
      <w:r>
        <w:rPr>
          <w:rFonts w:hint="eastAsia" w:ascii="仿宋" w:hAnsi="仿宋" w:eastAsia="仿宋" w:cs="仿宋"/>
          <w:sz w:val="24"/>
          <w:szCs w:val="24"/>
        </w:rPr>
        <w:t xml:space="preserve">小海街道辖区内除镇区以外区域内的道路清扫，非等级河道保洁，垃圾收集清运，绿化及农田基础设施管护。</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4、小广告（俗称牛皮癣）：</w:t>
      </w:r>
      <w:r>
        <w:rPr>
          <w:rFonts w:hint="eastAsia" w:ascii="仿宋" w:hAnsi="仿宋" w:eastAsia="仿宋" w:cs="仿宋"/>
          <w:sz w:val="24"/>
          <w:szCs w:val="24"/>
        </w:rPr>
        <w:t xml:space="preserve">镇区范围内的所有主次干道、背街后巷等乱张贴、</w:t>
      </w:r>
      <w:r>
        <w:rPr>
          <w:rFonts w:hint="eastAsia" w:ascii="仿宋" w:hAnsi="仿宋" w:eastAsia="仿宋" w:cs="仿宋"/>
          <w:sz w:val="24"/>
          <w:szCs w:val="24"/>
        </w:rPr>
        <w:t xml:space="preserve">乱涂写、乱覆盖等小广告（俗称城市牛皮癣）清理（创新区暂除外）。</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5、泵站日常巡查和管护：</w:t>
      </w:r>
      <w:r>
        <w:rPr>
          <w:rFonts w:hint="eastAsia" w:ascii="仿宋" w:hAnsi="仿宋" w:eastAsia="仿宋" w:cs="仿宋"/>
          <w:sz w:val="24"/>
          <w:szCs w:val="24"/>
        </w:rPr>
        <w:t xml:space="preserve">镇区范围内的现有四个泵站每日巡查、定期管护、隐患跟踪、闭环反馈、规范记录、安全值守（不良天候时），保障泵站水电系统完好稳定运行。</w:t>
      </w:r>
      <w:r/>
    </w:p>
    <w:p>
      <w:pPr>
        <w:ind w:firstLine="480"/>
        <w:spacing w:line="480" w:lineRule="exact"/>
        <w:rPr>
          <w:rFonts w:ascii="黑体" w:hAnsi="黑体" w:eastAsia="黑体" w:cs="黑体"/>
          <w:sz w:val="24"/>
          <w:szCs w:val="24"/>
        </w:rPr>
      </w:pPr>
      <w:r>
        <w:rPr>
          <w:rFonts w:hint="eastAsia" w:ascii="黑体" w:hAnsi="黑体" w:eastAsia="黑体" w:cs="黑体"/>
          <w:sz w:val="24"/>
          <w:szCs w:val="24"/>
        </w:rPr>
        <w:t xml:space="preserve">二、服务事项</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（一）镇区（负责范围内）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1、道路保洁：包括快车道、慢车道、人行道及区域内的农路，含公交站台、果壳箱、交通隔离带、绿化带保洁，道路路肩杂草清除等。外围道路有交通信号指示灯的交汇处等，一律延伸50m保洁区域。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2、非等级河道保洁：包括有名称河道、无名宅沟、丰产沟、水塘的水面漂浮物、河坡杂物及垃圾的清理保洁。</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3、老街、农民街及城市微治理项目（游园）保洁：落实专人负责，日清日理。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4、垃圾清运：确保垃圾“日产日清”，镇区内生活垃圾需送至南通开发区垃圾中转站处置。</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5、各社区界外所有绿化带内（含广场）的零星垃圾、果壳箱内的垃圾收集、清运（不包括绿化管护）。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6、镇区城管平台案件处理和12345投诉受理。包括镇区大环境范围内以及小海商城园区内的偷倒建筑垃圾、其它垃圾的处置，道路两侧无主建筑垃圾覆盖及清理。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7、执法队东侧空地、海川路东城市微治理项目（校处劳动教育基地）周边绿化养护、树枝修剪、杂草根除及基础设施保洁养护等。</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8、通启大桥处原农贸市场店铺前后及原公交车站周边设施维护、城市微治理项目（游园）绿化修剪、杂草根除、杂物清理，严禁有种植行为。</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9、小海公墓（安息堂）焚烧垃圾的清运。</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（二）农村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1、道路保洁：划定区域共有不同等级道路43条（段），根据地理位置和人、车流量，划分管护等级。需按要求分段到人，落实管护责任。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2、非等级河道保洁：对表中指定的河道，必须实施专人、定时保洁。</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垃圾收集清运：确保农田、绿地不得有暴露垃圾。原则上以原每个行政村为单位，在主干道旁设置2个垃圾桶集装点，由保洁员收集零星住户的生活垃圾，以便机械化车辆的收装运送。成交单位对企业垃圾应实施有偿清运。</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（三）小广告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镇区范围内的所有主次干道、背街后巷等乱张贴、乱涂写、乱覆盖小广告（俗称牛皮癣）等，分东、西两个片区由2名清洁人员按照“日见日清”、“应盖尽盖”、“同色覆盖”的要求，落实具体人负责。</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（四）泵站日常巡查和管护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镇区范围内的现有四个泵站，必须指定有低压电工资质专业人员进行每日巡查、定期管护、隐患跟踪、闭环反馈、规范记录、安全值守（不良天候时），保障泵站水电系统完好稳定运行。</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（五）镇区城管平台案件及投诉受（处）理。</w:t>
      </w:r>
      <w:r/>
    </w:p>
    <w:p>
      <w:pPr>
        <w:ind w:left="420" w:firstLine="24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务范围内的举报投诉案件的处理。</w:t>
      </w:r>
      <w:r/>
    </w:p>
    <w:p>
      <w:pPr>
        <w:ind w:firstLine="480"/>
        <w:spacing w:line="480" w:lineRule="exact"/>
        <w:rPr>
          <w:rFonts w:ascii="黑体" w:hAnsi="黑体" w:eastAsia="黑体" w:cs="黑体"/>
          <w:sz w:val="24"/>
          <w:szCs w:val="24"/>
        </w:rPr>
      </w:pPr>
      <w:r>
        <w:rPr>
          <w:rFonts w:hint="eastAsia" w:ascii="黑体" w:hAnsi="黑体" w:eastAsia="黑体" w:cs="黑体"/>
          <w:sz w:val="24"/>
          <w:szCs w:val="24"/>
        </w:rPr>
        <w:t xml:space="preserve">三、服务要求</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（一）镇区（负责范围内）</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1.道路保洁要求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机械清扫作业每日应避开上下班交通高峰，作业时间为早3:00-8:00。人工保洁每日作业时间：早5:30—10:00、下午14:00—17:30；（根据季节由发包单位进行调整）。有垃圾桶、箱的地段，必须在当天早晨6:00前完成清运，整条路必须保持全天无垃圾、杂物，做到随产随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按照“一把扫帚扫到边（根）”的要求，快车道、慢车道、人行道、公交站台、交通隔离栏、绿化带、杆线亭箱、边沟、树穴、墙角等保持整洁；道路做到无白色垃圾，无散落垃圾，无积泥、积水、杂草、污迹，窨井眼畅通。遇民间化库残物，需及时清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（3）路面清扫保洁与街巷等支路交界处应交错延伸，不得有盲区。街道、居民区、企业外围道路两侧视线范围内干净，无暴露垃圾、无散落垃圾。</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（4）清扫垃圾及时收集，不得往道路两侧绿化、河道等区域中倾倒，不得将</w:t>
      </w:r>
      <w:r>
        <w:rPr>
          <w:rFonts w:hint="eastAsia" w:ascii="仿宋" w:hAnsi="仿宋" w:eastAsia="仿宋" w:cs="仿宋"/>
          <w:sz w:val="24"/>
          <w:szCs w:val="24"/>
        </w:rPr>
        <w:t xml:space="preserve">垃圾、积泥扫入道路两侧的绿化、河道或下水道。</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（5）尽量采用机械化清扫道路，不适清扫车路段，必须每天人工清扫一次。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（6）落叶季节要提高清扫频率，及时清扫行车道内落叶；遇到降雪及不良气候时，应及时铲雪作业和参与防台防汛作业。</w:t>
      </w:r>
      <w:r/>
    </w:p>
    <w:p>
      <w:pPr>
        <w:ind w:firstLine="480"/>
        <w:spacing w:line="480" w:lineRule="exact"/>
        <w:rPr>
          <w:rFonts w:ascii="仿宋" w:hAnsi="仿宋" w:eastAsia="仿宋" w:cs="仿宋"/>
          <w:b/>
          <w:bCs/>
          <w:sz w:val="24"/>
          <w:szCs w:val="24"/>
        </w:rPr>
      </w:pPr>
      <w:r>
        <w:rPr>
          <w:rFonts w:hint="eastAsia" w:ascii="仿宋" w:hAnsi="仿宋" w:eastAsia="仿宋" w:cs="仿宋"/>
          <w:sz w:val="24"/>
          <w:szCs w:val="24"/>
        </w:rPr>
        <w:t xml:space="preserve">（7）落实包干制，积极协助维护管护镇区环境的义务，及时发现和制止车辆抛洒、偷倒建筑渣土、装潢垃圾等情况。</w:t>
      </w:r>
      <w:r>
        <w:rPr>
          <w:rFonts w:hint="eastAsia" w:ascii="仿宋" w:hAnsi="仿宋" w:eastAsia="仿宋" w:cs="仿宋"/>
          <w:b/>
          <w:bCs/>
          <w:sz w:val="24"/>
          <w:szCs w:val="24"/>
        </w:rPr>
        <w:t xml:space="preserve">一旦发生因施工车辆抛洒导致路面污染或偷倒建筑渣土、装潢垃圾等情况，负责及时清运。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（8）及时收集果壳箱内垃圾，保持果壳箱内外清洁、无抛洒、留存垃圾。保持果壳箱完好，垃圾分类标识完好度。</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（9）除小区以外，合理布置垃圾收集点，及时收集垃圾和清洁垃圾收集器皿（通启路沿线不需设置垃圾桶、箱）。</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（10）必须在镇区域范围内拥有车辆停车场及办公地点。</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2.河、塘、沟等保洁要求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（1）对非等级河道、泯沟、河塘等水面垃圾、漂浮物、水生物，及时打捞、捡拾收集至指定地点。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（2）河坡、沟塘坡视线范围内无漂浮垃圾，无乱堆放物。河坡、沟塘坡应保持干净，无杂草。</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3.城市微治理（游园）保洁要求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参照道路保洁、绿化养护及杂草根除保持常态状态，达到“应清尽清”、“应扫尽扫”管理养护效果。</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4.公厕保洁要求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两个公厕（建行、老市场）落实专人适时保洁。</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5.垃圾清运要求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（1）镇区垃圾按照通启路两侧垃圾上午6:00前，其余路段上午7：00前完成清运、收集，做到桶不外溢，确保路、台、面全天无垃圾、杂物。</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（2）按装卸垃圾作业时保持密闭、无噪音，禁止抛洒滴漏，不得超重、超高运输；作业后，实现地干净、桶归位、路整洁，确保收集箱（桶）周围1米范围内无杂物、散落垃圾和污水。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（3）收集垃圾投送须及时运至指定垃圾压缩站，服从工作人员的安排或调度，严禁乱倒、乱卸、自行填埋或焚烧。</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（4）自觉接受主管部门和监督人员明确清理道旁乱倒垃圾杂物。</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（5）收集箱（桶）应定期进行擦洗保洁，保持完好，做到无明显积尘、蛛网、污垢、无焚烧痕迹；保证垃圾箱（桶）四周环境整洁，地面干净，无积水，箱体和桶体无破损、无乱涂写、乱张贴现象。</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6.小海商城（南北）园区保洁要求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（1）园区（居民区）内道路及绿化与镇区道路保洁要求相同，园区北侧店面门前及绿化带纳入园区保洁范围；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（2）园区内生产经营户有生活垃圾产生的，由成交单位与其协商一致后合理布置垃圾收集点，摆放垃圾桶、箱，并及时收集垃圾和清洁垃圾收集器皿。</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（3）园区（居民区）内暴露垃圾一律由成交单位负责清理。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（4）园区（居民区）内的偷倒建筑垃圾、其它垃圾的处置，道路两侧无主建筑垃圾的绿网覆盖、清理。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（5）园区（居民区）内草皮维护、杂草清理，以及树枝修剪。</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7.指定区域的绿化带修剪、除草</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（1）海川路南段（断头路）两侧绿化除草修剪。</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（2）执法队东侧空地（绿化）、海川路东城市微治理提升项目（校处劳动教育基地）根据季节和日常管理要求，高标准进行绿化养护、树枝修剪、杂草根除及基础设施保洁养护等。</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（3）通启大桥处原庙桥菜市场、原公交车站内等城市微治理提升点位进行设施维护、环境保洁、绿化修剪、杂草根除等无乱种植行为。垃圾站（点）周边无污渍、无抛散垃圾。</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（4）农民街、老街等周边环境日清日理，保持干净整治，无异味、无杂草、无乱堆放。积极配合城市执法对农民街完成规范化、常态化、长效化治理。</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（二）农村</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1.道路</w:t>
      </w:r>
      <w:r>
        <w:rPr>
          <w:rFonts w:hint="eastAsia" w:ascii="仿宋" w:hAnsi="仿宋" w:eastAsia="仿宋" w:cs="仿宋"/>
          <w:sz w:val="24"/>
          <w:szCs w:val="24"/>
        </w:rPr>
        <w:t xml:space="preserve">：对43个路段划分为不同级别保洁管护。</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全天侯管护：每天进行一次全面清扫，保洁时间不得少于6个小时，保洁期间</w:t>
      </w:r>
      <w:r>
        <w:rPr>
          <w:rFonts w:hint="eastAsia" w:ascii="仿宋" w:hAnsi="仿宋" w:eastAsia="仿宋" w:cs="仿宋"/>
          <w:sz w:val="24"/>
          <w:szCs w:val="24"/>
        </w:rPr>
        <w:t xml:space="preserve">对零星垃圾随见随捡。其中，通启公路、通启桥周边、姜张公路的保洁员，分别不得少于5人、1人、2人。</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一级管护：每天对路面进行一次全面清扫。</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二级管护：两天对路面进行一次全面清扫。</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三级管护：三天对路面进行一次全面清扫。</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通启公路、姜张公路（含道沟向内30m）两侧无高草（不得高于10cm）、堆物，路面及两侧视线范围内无暴露、积存垃圾。辖区内无暴露、积存垃圾。</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2.非等级河道、泯沟、沟塘</w:t>
      </w:r>
      <w:r>
        <w:rPr>
          <w:rFonts w:hint="eastAsia" w:ascii="仿宋" w:hAnsi="仿宋" w:eastAsia="仿宋" w:cs="仿宋"/>
          <w:sz w:val="24"/>
          <w:szCs w:val="24"/>
        </w:rPr>
        <w:t xml:space="preserve">：（1）水面无垃圾漂浮物；（2）坡岸整洁、无垃圾、无杂物堆放。打捞的水生杂草、垃圾、漂浮物按要求送往垃圾处理点处置，不得随意倾倒，移位污染。</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3.垃圾收运：</w:t>
      </w:r>
      <w:r>
        <w:rPr>
          <w:rFonts w:hint="eastAsia" w:ascii="仿宋" w:hAnsi="仿宋" w:eastAsia="仿宋" w:cs="仿宋"/>
          <w:sz w:val="24"/>
          <w:szCs w:val="24"/>
        </w:rPr>
        <w:t xml:space="preserve">定期收集，当日清运，处理当日生活垃圾后需确保垃圾桶周边整洁。</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4.农户</w:t>
      </w:r>
      <w:r>
        <w:rPr>
          <w:rFonts w:hint="eastAsia" w:ascii="仿宋" w:hAnsi="仿宋" w:eastAsia="仿宋" w:cs="仿宋"/>
          <w:sz w:val="24"/>
          <w:szCs w:val="24"/>
        </w:rPr>
        <w:t xml:space="preserve">：村民房前屋后环境整洁、无积存垃圾。</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5.绿化</w:t>
      </w:r>
      <w:r>
        <w:rPr>
          <w:rFonts w:hint="eastAsia" w:ascii="仿宋" w:hAnsi="仿宋" w:eastAsia="仿宋" w:cs="仿宋"/>
          <w:sz w:val="24"/>
          <w:szCs w:val="24"/>
        </w:rPr>
        <w:t xml:space="preserve">：对河道、道路两侧已有绿化进行有效管护。</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（三）小广告</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所有主次干道、背街后巷等乱张贴、乱涂写、乱覆盖小广告（俗称牛皮癣）等，分东、西两个片区，落实2名清洁人员负责，基本达到“日见日清”、“应盖尽盖”、“同色覆盖”的清理要求。特殊情况需要加班，无条件服从甲方安排，不计加班费。如超出合同规定范围的工程量另计费用。</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（四）泵站日常巡查和管护（经发办负责）</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镇区范围内的现有四个泵站，必须指定有低压电工资质专业人员进行每日巡查、定期管护、隐患跟踪、闭环反馈、规范记录、安全值守（不良天候时），保障泵站水电系统完好稳定运行。标准为：</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1、日常：设备除尘、场地清理、杂物打捞、发生渗漏及时报备。</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2、季度：格栅清污、隐患排查、跟踪闭环、配电室清扫及打捞。</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3、年度：负责对接协助完成电气紧固测试、电机绝缘检测、闸门除锈保养、管路检查。</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（五）镇区城管平台案件及投诉受（处）理。</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务范围内的举报投诉案件的处理，按照规定时限完成清理，清理结果及时上报反馈。</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（六）其他</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1.人员及设备</w:t>
      </w:r>
      <w:r/>
    </w:p>
    <w:p>
      <w:pPr>
        <w:ind w:firstLine="480"/>
        <w:spacing w:line="480" w:lineRule="exact"/>
        <w:rPr>
          <w:rFonts w:ascii="仿宋" w:hAnsi="仿宋" w:eastAsia="仿宋" w:cs="仿宋"/>
          <w:sz w:val="24"/>
          <w:szCs w:val="24"/>
        </w:rPr>
      </w:pPr>
      <w:r/>
      <w:bookmarkStart w:id="92" w:name="_Hlk135249714"/>
      <w:r>
        <w:rPr>
          <w:rFonts w:hint="eastAsia" w:ascii="仿宋" w:hAnsi="仿宋" w:eastAsia="仿宋" w:cs="仿宋"/>
          <w:sz w:val="24"/>
          <w:szCs w:val="24"/>
        </w:rPr>
        <w:t xml:space="preserve">（1）人员要求：最低26人，一线保洁人员20人，清理小广告2人，男性年龄不得高于62周岁，女性年龄不超过58周岁；低压电工1人，年龄不超过国家规定标准。项目负责人1人，管理人员2人，原则上管理岗人员年龄不得高于60周岁；作业人员必须定岗定人定位，如有变动，须事先通知采购人，便于检查考核。</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（2）设备基本要求：总质量8.5吨以下6.5吨以上的扫路车1辆、高压冲洗车1辆、后装式压缩车2辆、皮卡1辆；轻便雾炮冲洗车1辆、三轮保洁车辆（含人工或电动）10辆，一线保洁人员按路段配备。</w:t>
      </w:r>
      <w:bookmarkEnd w:id="92"/>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2.响应供应商供应商必须遵守劳动法，依法规范用工，人员工资应不低于当年的南通市最低工资标准，人员保险按规定缴纳，加班费用支付按政策法规规定执行。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3.当班作业人员、管理人员、车辆配备及作业时间不低于响应书组织方案中的要求。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4.按采购人要求在每半年最后一个月的28日前向采购人提交一份相关运行资料，包括但不限于从业人员信息、工资和加班费发放、车辆信息和自查考核情况等，并确保资料信息的真实性和规范性。</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5.环卫作业人员年龄要求：按国家相关规定和要求。</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6.响应供应商承担所有环卫作业人员及管理人员的安全责任及费用，为保洁人员办理好人身意外伤害等险种，做好岗前培训，承包期内所发生的一切事故均由承包方自行负责。</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7.响应供应商应为作业人员提供统一的工作服（含反光背心）及必要的劳动防护用品。作业人员作业过程中必须统一着装、佩戴反光背心。</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8.管理人员（含一名项目负责人）必须专职，年龄不大于60周岁，具有丰富的环卫保洁和道路保洁管理经验。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9.采购人根据工作需要召开会议，成交单位的法定代表或项目负责人必须准时参加。</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10.响应供应商配备的各类清扫车、保洁车等设备需满足作业任务量的要求，车辆型号及外观色调必须与招标时一致。保洁三轮车应使用人力或电动车辆（自备）。所有车辆外观整洁，车容车况良好，车上无乱挂放，工具摆放整齐。</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11.机动作业车辆需安装GPS装置，GPS装置的初装费、服务费和车身整饰费由响应供应商承担。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12.各种车辆驾驶员具备相应的机动车驾驶证。机动和电动作业车辆，具备合法完备的手续（机动车登记证书、车辆行驶证要在检验有效期内），所产生费用及发生事故责任均由成交单位承担。</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13.作业人员遵守纪律，无迟到、早退现象、无拾荒行为，无聚堆闲聊、瞌睡或做与工作无关之事。</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14.作业文明，采取有效措施减少扬尘、噪音、污水、占道等作业扰民现象。</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15.“12345”政府服务热线、新闻媒体、数字城管、“五位一体”等整改需在规定时限内处理完毕。</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16.在文明城市、卫生城市创建迎查阶段及其他上级重要检查阶段，成交单位需按照招标单位要求开展重点部位突击整治，确保迎查达标。</w:t>
      </w:r>
      <w:r/>
    </w:p>
    <w:p>
      <w:pPr>
        <w:ind w:firstLine="480"/>
        <w:spacing w:line="480" w:lineRule="exact"/>
        <w:rPr>
          <w:rFonts w:ascii="仿宋" w:hAnsi="仿宋" w:eastAsia="仿宋" w:cs="仿宋"/>
          <w:strike/>
          <w:sz w:val="24"/>
          <w:szCs w:val="24"/>
        </w:rPr>
      </w:pPr>
      <w:r>
        <w:rPr>
          <w:rFonts w:hint="eastAsia" w:ascii="仿宋" w:hAnsi="仿宋" w:eastAsia="仿宋" w:cs="仿宋"/>
          <w:sz w:val="24"/>
          <w:szCs w:val="24"/>
        </w:rPr>
        <w:t xml:space="preserve">17.黑色道路（含农民街水泥路）保洁采取机械进行每天清扫；人行道等其它机行道路由人工清扫。公交站台、交通隔离栏、绿化带、杆线亭箱等由人工全日制保洁（包含拣脏、清除、清洗、除草等）。清扫、拣脏等产生的垃圾运送至采购人指定地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18.遇有重大检查或保障活动，成交单位需无条件服从采购人的安排，按照响应文件中制定的《应急突击方案》实施。</w:t>
      </w:r>
      <w:r/>
    </w:p>
    <w:p>
      <w:pPr>
        <w:ind w:firstLine="482"/>
        <w:spacing w:line="480" w:lineRule="exact"/>
        <w:rPr>
          <w:rFonts w:ascii="仿宋" w:hAnsi="仿宋" w:eastAsia="仿宋" w:cs="仿宋"/>
          <w:b/>
          <w:sz w:val="24"/>
          <w:szCs w:val="24"/>
        </w:rPr>
      </w:pPr>
      <w:r>
        <w:rPr>
          <w:rFonts w:hint="eastAsia" w:ascii="仿宋" w:hAnsi="仿宋" w:eastAsia="仿宋" w:cs="仿宋"/>
          <w:b/>
          <w:sz w:val="24"/>
          <w:szCs w:val="24"/>
        </w:rPr>
        <w:t xml:space="preserve">四、考核要求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根据本标准所提服务范围、服务事项、服务要求，结合《国家卫生城市考核验收细则》、建设部《城市环境卫生质量标准》、《南通市文明城市考核测评标准》等文件制定考核办法。如遇上级政策规定变化，小海街道办事处可对考核内容和方式进行调整，解释权归小海街道办事处所有。</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（一）考核方式</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考核分为镇区考核和农村环境“五位一体”考核，镇区考核按照百分制进行月度考核，农村环境“五位一体”（除镇区外其余街道辖区）考核按照月度现场考核</w:t>
      </w:r>
      <w:r>
        <w:rPr>
          <w:rFonts w:hint="eastAsia" w:ascii="仿宋" w:hAnsi="仿宋" w:eastAsia="仿宋" w:cs="仿宋"/>
          <w:sz w:val="24"/>
          <w:szCs w:val="24"/>
        </w:rPr>
        <w:t xml:space="preserve">扣分情况扣除相应费用，个别事项单独处罚。考核统一采取按元/分扣罚制。</w:t>
      </w:r>
      <w:r/>
    </w:p>
    <w:p>
      <w:pPr>
        <w:ind w:firstLine="482"/>
        <w:spacing w:line="420" w:lineRule="exact"/>
        <w:rPr>
          <w:rFonts w:ascii="仿宋" w:hAnsi="仿宋" w:eastAsia="仿宋" w:cs="仿宋"/>
          <w:b/>
          <w:bCs/>
          <w:sz w:val="24"/>
          <w:szCs w:val="24"/>
        </w:rPr>
      </w:pPr>
      <w:r>
        <w:rPr>
          <w:rFonts w:hint="eastAsia" w:ascii="仿宋" w:hAnsi="仿宋" w:eastAsia="仿宋" w:cs="仿宋"/>
          <w:b/>
          <w:bCs/>
          <w:sz w:val="24"/>
          <w:szCs w:val="24"/>
        </w:rPr>
        <w:t xml:space="preserve">1.镇区考核。</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（1）采购人每月分项目不定次数组织集中考核，该部分考核分占比60%：</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a、次干道随机抽考一条道路的200米；</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b、对公交车站、公厕等公共保洁点位随机各抽查一处，不定点抽查保洁人员及保洁设备情况。</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（2）市区级长效办重大活动检查通报中，涉及镇区大环境相关问题视同考核扣分事项，同步列入本级考核处罚范围。后续长效检查常态实施后，相关检查评定成绩占比30%。</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（3）街道外聘第三方考核，街道门店（主次干道、商业大街）、街道门店（背街后巷）等月度考核成绩占比10%。</w:t>
      </w:r>
      <w:r/>
    </w:p>
    <w:tbl>
      <w:tblPr>
        <w:tblpPr w:horzAnchor="page" w:tblpX="1598" w:vertAnchor="text" w:tblpY="398" w:leftFromText="180" w:topFromText="0" w:rightFromText="180" w:bottomFromText="0"/>
        <w:tblW w:w="90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5169"/>
        <w:gridCol w:w="1030"/>
        <w:gridCol w:w="2042"/>
      </w:tblGrid>
      <w:tr>
        <w:trPr>
          <w:trHeight w:val="345"/>
        </w:trPr>
        <w:tc>
          <w:tcPr>
            <w:tcW w:w="803"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项目</w:t>
            </w:r>
            <w:r/>
          </w:p>
        </w:tc>
        <w:tc>
          <w:tcPr>
            <w:tcW w:w="5169"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检查内容</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扣分</w:t>
            </w:r>
            <w:r/>
          </w:p>
        </w:tc>
        <w:tc>
          <w:tcPr>
            <w:tcBorders>
              <w:left w:val="none" w:color="000000" w:sz="4" w:space="0"/>
            </w:tcBorders>
            <w:tcW w:w="2042"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备注</w:t>
            </w:r>
            <w:r/>
          </w:p>
        </w:tc>
      </w:tr>
      <w:tr>
        <w:trPr>
          <w:trHeight w:val="379"/>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人员</w:t>
            </w:r>
            <w:r/>
          </w:p>
          <w:p>
            <w:pPr>
              <w:jc w:val="center"/>
              <w:rPr>
                <w:rFonts w:ascii="仿宋" w:hAnsi="仿宋" w:eastAsia="仿宋" w:cs="仿宋"/>
                <w:sz w:val="18"/>
                <w:szCs w:val="18"/>
              </w:rPr>
            </w:pPr>
            <w:r>
              <w:rPr>
                <w:rFonts w:hint="eastAsia" w:ascii="仿宋" w:hAnsi="仿宋" w:eastAsia="仿宋" w:cs="仿宋"/>
                <w:sz w:val="18"/>
                <w:szCs w:val="18"/>
              </w:rPr>
              <w:t xml:space="preserve">管理</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未穿统一着装，佩戴安全标志（反光背心）</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1分/人次</w:t>
            </w:r>
            <w:r/>
          </w:p>
        </w:tc>
        <w:tc>
          <w:tcPr>
            <w:tcBorders>
              <w:left w:val="none" w:color="000000" w:sz="4" w:space="0"/>
            </w:tcBorders>
            <w:tcW w:w="2042" w:type="dxa"/>
            <w:vAlign w:val="center"/>
            <w:vMerge w:val="restart"/>
            <w:textDirection w:val="lrTb"/>
            <w:noWrap w:val="false"/>
          </w:tcPr>
          <w:p>
            <w:pPr>
              <w:jc w:val="left"/>
              <w:rPr>
                <w:rFonts w:ascii="仿宋" w:hAnsi="仿宋" w:eastAsia="仿宋" w:cs="仿宋"/>
                <w:sz w:val="15"/>
                <w:szCs w:val="15"/>
              </w:rPr>
            </w:pPr>
            <w:r>
              <w:rPr>
                <w:rFonts w:hint="eastAsia" w:ascii="仿宋" w:hAnsi="仿宋" w:eastAsia="仿宋" w:cs="仿宋"/>
                <w:sz w:val="15"/>
                <w:szCs w:val="15"/>
              </w:rPr>
              <w:t xml:space="preserve">首次100元/分，年内二次以上加倍处罚；私自收费被举报查实的，除返还外，按2000元/次处罚。酒后作业造成社会影响初次被举报的，合同总价降3-5%。</w:t>
            </w:r>
            <w:r/>
          </w:p>
        </w:tc>
      </w:tr>
      <w:tr>
        <w:trPr>
          <w:trHeight w:val="32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环卫形象较差，与服务对象发生争执且存在私自收费现象</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3分/人次</w:t>
            </w:r>
            <w:r/>
          </w:p>
        </w:tc>
        <w:tc>
          <w:tcPr>
            <w:tcBorders>
              <w:left w:val="none" w:color="000000" w:sz="4" w:space="0"/>
            </w:tcBorders>
            <w:tcW w:w="2042" w:type="dxa"/>
            <w:vAlign w:val="center"/>
            <w:vMerge w:val="continue"/>
            <w:textDirection w:val="lrTb"/>
            <w:noWrap w:val="false"/>
          </w:tcPr>
          <w:p>
            <w:pPr>
              <w:jc w:val="left"/>
              <w:rPr>
                <w:rFonts w:ascii="仿宋" w:hAnsi="仿宋" w:eastAsia="仿宋" w:cs="仿宋"/>
                <w:sz w:val="15"/>
                <w:szCs w:val="15"/>
              </w:rPr>
            </w:pPr>
            <w:r>
              <w:rPr>
                <w:rFonts w:ascii="仿宋" w:hAnsi="仿宋" w:eastAsia="仿宋" w:cs="仿宋"/>
                <w:sz w:val="15"/>
                <w:szCs w:val="15"/>
              </w:rPr>
            </w:r>
            <w:r/>
          </w:p>
        </w:tc>
      </w:tr>
      <w:tr>
        <w:trPr>
          <w:trHeight w:val="372"/>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酒后作业查实且未造成社会影响的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5"/>
                <w:szCs w:val="15"/>
              </w:rPr>
              <w:t xml:space="preserve">10分/人次</w:t>
            </w:r>
            <w:r/>
          </w:p>
        </w:tc>
        <w:tc>
          <w:tcPr>
            <w:tcBorders>
              <w:left w:val="none" w:color="000000" w:sz="4" w:space="0"/>
            </w:tcBorders>
            <w:tcW w:w="2042" w:type="dxa"/>
            <w:vAlign w:val="center"/>
            <w:vMerge w:val="continue"/>
            <w:textDirection w:val="lrTb"/>
            <w:noWrap w:val="false"/>
          </w:tcPr>
          <w:p>
            <w:pPr>
              <w:jc w:val="left"/>
              <w:rPr>
                <w:rFonts w:ascii="仿宋" w:hAnsi="仿宋" w:eastAsia="仿宋" w:cs="仿宋"/>
                <w:sz w:val="15"/>
                <w:szCs w:val="15"/>
              </w:rPr>
            </w:pPr>
            <w:r>
              <w:rPr>
                <w:rFonts w:ascii="仿宋" w:hAnsi="仿宋" w:eastAsia="仿宋" w:cs="仿宋"/>
                <w:sz w:val="15"/>
                <w:szCs w:val="15"/>
              </w:rPr>
            </w:r>
            <w:r/>
          </w:p>
        </w:tc>
      </w:tr>
      <w:tr>
        <w:trPr>
          <w:trHeight w:val="301"/>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路面</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垃圾乱倒乱扔或扫入窨井、绿化、河道或焚烧垃圾</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5分/次</w:t>
            </w:r>
            <w:r/>
          </w:p>
        </w:tc>
        <w:tc>
          <w:tcPr>
            <w:tcBorders>
              <w:left w:val="none" w:color="000000" w:sz="4" w:space="0"/>
            </w:tcBorders>
            <w:tcW w:w="2042" w:type="dxa"/>
            <w:vAlign w:val="center"/>
            <w:vMerge w:val="restart"/>
            <w:textDirection w:val="lrTb"/>
            <w:noWrap w:val="false"/>
          </w:tcPr>
          <w:p>
            <w:pPr>
              <w:jc w:val="left"/>
              <w:rPr>
                <w:rFonts w:ascii="仿宋" w:hAnsi="仿宋" w:eastAsia="仿宋" w:cs="仿宋"/>
                <w:sz w:val="15"/>
                <w:szCs w:val="15"/>
              </w:rPr>
            </w:pPr>
            <w:r>
              <w:rPr>
                <w:rFonts w:hint="eastAsia" w:ascii="仿宋" w:hAnsi="仿宋" w:eastAsia="仿宋" w:cs="仿宋"/>
                <w:sz w:val="15"/>
                <w:szCs w:val="15"/>
              </w:rPr>
              <w:t xml:space="preserve">首次50元/分，年内发现垃圾乱倒，卫生死角未清，绿化未修剪及杂草不清理等二次以上的按100元/分处罚。发生被举报的按1000元/次处罚。</w:t>
            </w:r>
            <w:r/>
          </w:p>
        </w:tc>
      </w:tr>
      <w:tr>
        <w:trPr>
          <w:trHeight w:val="284"/>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卫生死角明显，且交办未报原因清理不到位的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1分/次</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2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道路两旁、绿化带、树穴有烟头、果皮等漂浮（白色）垃圾物</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86"/>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路面、路牙有积泥或杂草的（大于＞1.0平方米）</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1分/块</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22"/>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机械化作业每天清扫不及时（特殊天气除外）</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3分/天</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43"/>
        </w:trPr>
        <w:tc>
          <w:tcPr>
            <w:tcW w:w="803"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沟塘</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河、塘水面岸坡有水生作物、杂物、漂浮垃圾</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1分/处</w:t>
            </w:r>
            <w:r/>
          </w:p>
        </w:tc>
        <w:tc>
          <w:tcPr>
            <w:tcBorders>
              <w:left w:val="none" w:color="000000" w:sz="4" w:space="0"/>
            </w:tcBorders>
            <w:tcW w:w="2042"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按100元/分处罚</w:t>
            </w:r>
            <w:r/>
          </w:p>
        </w:tc>
      </w:tr>
      <w:tr>
        <w:trPr>
          <w:trHeight w:val="279"/>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垃圾</w:t>
            </w:r>
            <w:r/>
          </w:p>
          <w:p>
            <w:pPr>
              <w:jc w:val="center"/>
              <w:rPr>
                <w:rFonts w:ascii="仿宋" w:hAnsi="仿宋" w:eastAsia="仿宋" w:cs="仿宋"/>
                <w:sz w:val="18"/>
                <w:szCs w:val="18"/>
              </w:rPr>
            </w:pPr>
            <w:r>
              <w:rPr>
                <w:rFonts w:hint="eastAsia" w:ascii="仿宋" w:hAnsi="仿宋" w:eastAsia="仿宋" w:cs="仿宋"/>
                <w:sz w:val="18"/>
                <w:szCs w:val="18"/>
              </w:rPr>
              <w:t xml:space="preserve">清运</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道路旁有积陈垃圾堆放袋、物的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积陈垃圾堆放物100元/分；垃圾桶脏破标识不清按100元/桶；其它按50元/处。</w:t>
            </w:r>
            <w:r/>
          </w:p>
        </w:tc>
      </w:tr>
      <w:tr>
        <w:trPr>
          <w:trHeight w:val="258"/>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垃圾桶外表脏，标识不清晰，桶身破损的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2分/桶</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94"/>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垃圾堆放点占道、扰民、不日清、有遗漏</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1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工作结束车容不洁</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302"/>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公共设施</w:t>
            </w:r>
            <w:r/>
          </w:p>
          <w:p>
            <w:pPr>
              <w:jc w:val="center"/>
              <w:rPr>
                <w:rFonts w:ascii="仿宋" w:hAnsi="仿宋" w:eastAsia="仿宋" w:cs="仿宋"/>
                <w:sz w:val="18"/>
                <w:szCs w:val="18"/>
              </w:rPr>
            </w:pPr>
            <w:r>
              <w:rPr>
                <w:rFonts w:hint="eastAsia" w:ascii="仿宋" w:hAnsi="仿宋" w:eastAsia="仿宋" w:cs="仿宋"/>
                <w:sz w:val="18"/>
                <w:szCs w:val="18"/>
              </w:rPr>
              <w:t xml:space="preserve">维护</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公交站台周边有垃圾、烟头、痰迹、积尘等，站牌上被乱涂写、乱张贴等</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公共设施维护不到位按50元/分（次）</w:t>
            </w:r>
            <w:r/>
          </w:p>
        </w:tc>
      </w:tr>
      <w:tr>
        <w:trPr>
          <w:trHeight w:val="261"/>
        </w:trPr>
        <w:tc>
          <w:tcPr>
            <w:tcW w:w="803" w:type="dxa"/>
            <w:vAlign w:val="center"/>
            <w:vMerge w:val="continue"/>
            <w:textDirection w:val="lrTb"/>
            <w:noWrap w:val="false"/>
          </w:tcPr>
          <w:p>
            <w:pP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公共厕所清洁不到位</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3分/次</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353"/>
        </w:trPr>
        <w:tc>
          <w:tcPr>
            <w:tcW w:w="803" w:type="dxa"/>
            <w:vAlign w:val="center"/>
            <w:vMerge w:val="continue"/>
            <w:textDirection w:val="lrTb"/>
            <w:noWrap w:val="false"/>
          </w:tcPr>
          <w:p>
            <w:pP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通启路隔离栏等公共基础设施状况维护不到位</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bl>
    <w:p>
      <w:pPr>
        <w:ind w:firstLine="480"/>
        <w:spacing w:line="420" w:lineRule="exact"/>
        <w:rPr>
          <w:rFonts w:ascii="楷体" w:hAnsi="楷体" w:eastAsia="楷体" w:cs="楷体"/>
          <w:sz w:val="24"/>
          <w:szCs w:val="24"/>
        </w:rPr>
      </w:pPr>
      <w:r>
        <w:rPr>
          <w:rFonts w:hint="eastAsia" w:ascii="楷体" w:hAnsi="楷体" w:eastAsia="楷体" w:cs="楷体"/>
          <w:sz w:val="24"/>
          <w:szCs w:val="24"/>
        </w:rPr>
        <w:t xml:space="preserve">2.农村环境“五位一体”考核</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采购人每月进行4次考核，道路考核以通启路、姜张公路、富锋路等重点黑色路面路段为主，每次查1条主干道、1条次干道和1条路上的垃圾桶。到达指定位置后，从下车点向相反方向各查300m的道路进行打分。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（1）道路。路面及道路两侧10米范围内（通启公路、姜张公路含道沟30米范围内）积存垃圾堆的，按2分/处；道沟30米范围内未及时清理杂草或修剪，按1分/米。</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（2）沟塘。水面漂浮物、恶性水生植物等问题，按2分/处；河坡新增乱堆、乱放的2分/点；清理出的垃圾物未集中处置，随意乱堆乱抛的，按5分/处。</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（3）垃圾清运。垃圾桶装满未清且外溢四周的按2分/处。</w:t>
      </w:r>
      <w:r/>
    </w:p>
    <w:p>
      <w:pPr>
        <w:ind w:firstLine="482"/>
        <w:spacing w:line="420" w:lineRule="exact"/>
        <w:rPr>
          <w:rFonts w:ascii="仿宋" w:hAnsi="仿宋" w:eastAsia="仿宋" w:cs="仿宋"/>
          <w:b/>
          <w:bCs/>
          <w:sz w:val="24"/>
          <w:szCs w:val="24"/>
        </w:rPr>
      </w:pPr>
      <w:r>
        <w:rPr>
          <w:rFonts w:hint="eastAsia" w:ascii="仿宋" w:hAnsi="仿宋" w:eastAsia="仿宋" w:cs="仿宋"/>
          <w:b/>
          <w:bCs/>
          <w:sz w:val="24"/>
          <w:szCs w:val="24"/>
        </w:rPr>
        <w:t xml:space="preserve">3、小广告清理考核（城管办考核）</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日常检查中按照首次不扣分原则，次日未及时清理的，按1分/处；被上级检查通报的，按2分/处；同一问题连续发生未清理，加倍处罚。乱涂画覆盖不及时或未同色覆盖的，按3分/处。</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4、泵站日常巡查和管护考核（由经发办单独考核）</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（1）巡查管护：场地清理、杂物打捞、发生故障未及时上报的，未对格栅、池体清理导致堵塞的，每次扣100元。</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（2）安全值守：重点时间节点确保设备正常运转，设备异常、隐患未闭环整改的，每次扣100元。</w:t>
      </w:r>
      <w:r/>
    </w:p>
    <w:p>
      <w:pPr>
        <w:ind w:firstLine="482"/>
        <w:spacing w:line="480" w:lineRule="exact"/>
        <w:rPr>
          <w:rFonts w:ascii="仿宋" w:hAnsi="仿宋" w:eastAsia="仿宋" w:cs="仿宋"/>
          <w:b/>
          <w:bCs/>
          <w:sz w:val="24"/>
          <w:szCs w:val="24"/>
        </w:rPr>
      </w:pPr>
      <w:r>
        <w:rPr>
          <w:rFonts w:hint="eastAsia" w:ascii="仿宋" w:hAnsi="仿宋" w:eastAsia="仿宋" w:cs="仿宋"/>
          <w:b/>
          <w:bCs/>
          <w:sz w:val="24"/>
          <w:szCs w:val="24"/>
        </w:rPr>
        <w:t xml:space="preserve">（3）重大事故责任：因维护方违规作业或工作失误导致设备损坏的，由维护方负责设备维修、更换和相关赔偿责任。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5、镇区城管平台案件及投诉受（处）理考核（由城管办、执法队考核）。</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镇区范围内的“12319”、“12345”等城管平台（投诉）涉及到服务范围内的举报投诉案件的处理，按照规定时限完成清理，清理结果及时上报反馈。</w:t>
      </w:r>
      <w:r/>
    </w:p>
    <w:p>
      <w:pPr>
        <w:numPr>
          <w:ilvl w:val="0"/>
          <w:numId w:val="2"/>
        </w:num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接诉即办不及时，处置不彻底的，每次扣5分；</w:t>
      </w:r>
      <w:r/>
    </w:p>
    <w:p>
      <w:pPr>
        <w:numPr>
          <w:ilvl w:val="0"/>
          <w:numId w:val="2"/>
        </w:num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交办问题推诿扯皮，处理解决引发矛盾的，每次扣10分。</w:t>
      </w:r>
      <w:r/>
    </w:p>
    <w:p>
      <w:pPr>
        <w:spacing w:line="480" w:lineRule="exact"/>
        <w:rPr>
          <w:rFonts w:ascii="仿宋" w:hAnsi="仿宋" w:eastAsia="仿宋" w:cs="仿宋"/>
          <w:sz w:val="24"/>
          <w:szCs w:val="24"/>
        </w:rPr>
      </w:pPr>
      <w:r>
        <w:rPr>
          <w:rFonts w:hint="eastAsia" w:ascii="仿宋" w:hAnsi="仿宋" w:eastAsia="仿宋" w:cs="仿宋"/>
          <w:sz w:val="24"/>
          <w:szCs w:val="24"/>
        </w:rPr>
        <w:t xml:space="preserve">（二）考核运用</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1.镇区考核部分，月考核90分（含）--85分的，按实际扣分值扣罚；低于85分（不含）以下的，每分按双倍处罚。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2.农村五位一体每月考核90分（含）以下的，按实际扣分值扣罚，扣款上不封顶。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3.被12345政府热线、12319数字平台、新闻媒体通报曝光问题未及时整改，以及迎接上级开展环境突击整治不到位、不合格的，按2000-3000元/次扣罚。</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4.在市长效办每月组织的考核中，街道门店（主次干道、商业大街）、街道门店（背街后巷）两项考核平均排名进入全市前3位的，有一项奖励3000元；排名</w:t>
      </w:r>
      <w:r>
        <w:rPr>
          <w:rFonts w:hint="eastAsia" w:ascii="仿宋" w:hAnsi="仿宋" w:eastAsia="仿宋" w:cs="仿宋"/>
          <w:sz w:val="24"/>
          <w:szCs w:val="24"/>
        </w:rPr>
        <w:t xml:space="preserve">倒数3位的，有一项扣除费用6000元。</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5.连续两个月或年度累计3次镇区考核低于80分，或农村外围月度考核连续两个月被扣罚超过1万元以上的，以及重大活动期间因工作不到位造成重大影响的，作违约处理，街道有权解除合同。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6.考核奖惩结果按月进行汇总统计，计入半年度费用后结算兑现。</w:t>
      </w:r>
      <w:r/>
    </w:p>
    <w:p>
      <w:pPr>
        <w:ind w:firstLine="236"/>
        <w:jc w:val="left"/>
        <w:spacing w:line="440" w:lineRule="exact"/>
        <w:rPr>
          <w:rFonts w:ascii="仿宋" w:hAnsi="仿宋" w:eastAsia="仿宋" w:cs="仿宋"/>
          <w:b/>
          <w:sz w:val="24"/>
          <w:szCs w:val="24"/>
        </w:rPr>
      </w:pPr>
      <w:r/>
      <w:bookmarkStart w:id="93" w:name="_Hlk135250014"/>
      <w:r>
        <w:rPr>
          <w:rFonts w:hint="eastAsia" w:ascii="仿宋" w:hAnsi="仿宋" w:eastAsia="仿宋" w:cs="仿宋"/>
          <w:b/>
          <w:sz w:val="24"/>
          <w:szCs w:val="24"/>
        </w:rPr>
        <w:t xml:space="preserve">五、支付方式</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1）本合同项下所有款项均以人民币支付。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2）本合同项下的采购资金系由甲方考核支付。</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3）如合同项下的采购资金系财政性资金，在乙方需提交下列文件申请拨付款项：</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（1）甲、乙双方签署生效的合同；</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（2）经甲方盖章确认的发票复印件；</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4）付款结算时间：</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合同签订后一月内支付10%预付款，发包人自服务期开始之日起每月根据考核办法进行考核，保洁服务费按半年支付一次（6个月1次）。</w:t>
      </w:r>
      <w:bookmarkEnd w:id="93"/>
      <w:r/>
      <w:r/>
    </w:p>
    <w:p>
      <w:pPr>
        <w:ind w:firstLine="236"/>
        <w:jc w:val="left"/>
        <w:spacing w:line="440" w:lineRule="exact"/>
        <w:rPr>
          <w:rFonts w:ascii="仿宋" w:hAnsi="仿宋" w:eastAsia="仿宋" w:cs="仿宋"/>
          <w:b/>
          <w:sz w:val="24"/>
          <w:szCs w:val="24"/>
        </w:rPr>
      </w:pPr>
      <w:r>
        <w:rPr>
          <w:rFonts w:hint="eastAsia" w:ascii="仿宋" w:hAnsi="仿宋" w:eastAsia="仿宋" w:cs="仿宋"/>
          <w:b/>
          <w:sz w:val="24"/>
          <w:szCs w:val="24"/>
        </w:rPr>
        <w:t xml:space="preserve">六、服务期</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合同履约期限为一年，自合同签订之日起一年，合同期满且下一年财政预算保障的前提下，不改变服务范围和合同金额且经采购人考评通过后，可采取壹年一签的方式续签，期限总长不超过三年。</w:t>
      </w:r>
      <w:r/>
    </w:p>
    <w:p>
      <w:pPr>
        <w:ind w:firstLine="236"/>
        <w:jc w:val="left"/>
        <w:spacing w:line="440" w:lineRule="exact"/>
        <w:rPr>
          <w:rFonts w:ascii="仿宋" w:hAnsi="仿宋" w:eastAsia="仿宋" w:cs="仿宋"/>
          <w:b/>
          <w:sz w:val="24"/>
          <w:szCs w:val="24"/>
        </w:rPr>
      </w:pPr>
      <w:r>
        <w:rPr>
          <w:rFonts w:hint="eastAsia" w:ascii="仿宋" w:hAnsi="仿宋" w:eastAsia="仿宋" w:cs="仿宋"/>
          <w:b/>
          <w:sz w:val="24"/>
          <w:szCs w:val="24"/>
        </w:rPr>
        <w:t xml:space="preserve">七、履约保证金</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1、本项目成交后的履约保证金为项目成交价的8%，成交供应商的履约保证金须在成交通知书发出之日起至合同签订前汇入采购单位账户（应当以支票、汇票或者金融机构、担保机构出具的保函</w:t>
      </w:r>
      <w:r>
        <w:rPr>
          <w:rFonts w:hint="eastAsia" w:ascii="仿宋" w:hAnsi="仿宋" w:eastAsia="仿宋" w:cs="仿宋"/>
          <w:sz w:val="24"/>
          <w:szCs w:val="24"/>
        </w:rPr>
        <w:t xml:space="preserve">、现金</w:t>
      </w:r>
      <w:r>
        <w:rPr>
          <w:rFonts w:hint="eastAsia" w:ascii="仿宋" w:hAnsi="仿宋" w:eastAsia="仿宋" w:cs="仿宋"/>
          <w:sz w:val="24"/>
          <w:szCs w:val="24"/>
        </w:rPr>
        <w:t xml:space="preserve">等形式提交），成交供应商凭成交通知书与采购单位签订合同。超期或未有协商，则视为自动放弃成交资格。</w:t>
      </w:r>
      <w:r>
        <w:rPr>
          <w:rFonts w:hint="eastAsia" w:ascii="仿宋" w:hAnsi="仿宋" w:eastAsia="仿宋" w:cs="仿宋"/>
          <w:sz w:val="24"/>
          <w:szCs w:val="24"/>
        </w:rPr>
        <w:br/>
        <w:t xml:space="preserve">  2、成交供应商全部履约合同义务，经采购单位验收合格无质量、进度等问题的，采购人在验收合格后一次性（无息）退还履约保证金；</w:t>
      </w:r>
      <w:r>
        <w:rPr>
          <w:rFonts w:hint="eastAsia" w:ascii="仿宋" w:hAnsi="仿宋" w:eastAsia="仿宋" w:cs="仿宋"/>
          <w:sz w:val="24"/>
          <w:szCs w:val="24"/>
        </w:rPr>
        <w:br/>
        <w:t xml:space="preserve">   3、发生以下情况的，履约保证金不予退还或部分退还：</w:t>
      </w:r>
      <w:r>
        <w:rPr>
          <w:rFonts w:hint="eastAsia" w:ascii="仿宋" w:hAnsi="仿宋" w:eastAsia="仿宋" w:cs="仿宋"/>
          <w:sz w:val="24"/>
          <w:szCs w:val="24"/>
        </w:rPr>
        <w:br/>
        <w:t xml:space="preserve">    a.签订合同后，成交供应商不履行合同义务的，采购单位有权全额扣除履约保</w:t>
      </w:r>
      <w:r>
        <w:rPr>
          <w:rFonts w:hint="eastAsia" w:ascii="仿宋" w:hAnsi="仿宋" w:eastAsia="仿宋" w:cs="仿宋"/>
          <w:sz w:val="24"/>
          <w:szCs w:val="24"/>
        </w:rPr>
        <w:t xml:space="preserve">证金，全额不予退还，同时采购单位亦有权终止合同，中标供应商还须承担相应的法律赔偿责任。</w:t>
      </w:r>
      <w:r/>
    </w:p>
    <w:p>
      <w:pPr>
        <w:ind w:firstLine="480"/>
        <w:spacing w:line="480" w:lineRule="exact"/>
        <w:rPr>
          <w:rFonts w:ascii="仿宋" w:hAnsi="仿宋" w:eastAsia="仿宋" w:cs="仿宋"/>
          <w:sz w:val="24"/>
          <w:szCs w:val="24"/>
        </w:rPr>
      </w:pPr>
      <w:r>
        <w:rPr>
          <w:rFonts w:hint="eastAsia" w:ascii="仿宋" w:hAnsi="仿宋" w:eastAsia="仿宋" w:cs="仿宋"/>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480" w:lineRule="exact"/>
        <w:rPr>
          <w:rFonts w:ascii="仿宋" w:hAnsi="仿宋" w:eastAsia="仿宋" w:cs="仿宋"/>
          <w:b/>
          <w:sz w:val="24"/>
          <w:szCs w:val="24"/>
        </w:rPr>
        <w:sectPr>
          <w:footerReference w:type="default" r:id="rId12"/>
          <w:footerReference w:type="first" r:id="rId13"/>
          <w:footnotePr/>
          <w:endnotePr/>
          <w:type w:val="nextPage"/>
          <w:pgSz w:w="11907" w:h="16840" w:orient="portrait"/>
          <w:pgMar w:top="1587" w:right="1474" w:bottom="1587" w:left="1588" w:header="851" w:footer="1247" w:gutter="170"/>
          <w:cols w:num="1" w:sep="0" w:space="0" w:equalWidth="1"/>
          <w:docGrid w:linePitch="360"/>
          <w:titlePg/>
        </w:sectPr>
      </w:pPr>
      <w:r>
        <w:rPr>
          <w:rFonts w:hint="eastAsia" w:ascii="仿宋" w:hAnsi="仿宋" w:eastAsia="仿宋" w:cs="仿宋"/>
          <w:sz w:val="24"/>
          <w:szCs w:val="24"/>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hyperlink r:id="rId24" w:tooltip="http://ggzyjy.nantong.gov.cn/NTdzbhweb/supermarket/" w:history="1">
        <w:r>
          <w:rPr>
            <w:rFonts w:hint="eastAsia" w:ascii="仿宋" w:hAnsi="仿宋" w:eastAsia="仿宋" w:cs="仿宋"/>
            <w:sz w:val="24"/>
            <w:szCs w:val="24"/>
          </w:rPr>
          <w:t xml:space="preserve">http://ggzyjy.nantong.gov.cn/NTdzbhweb/supermarket/</w:t>
        </w:r>
      </w:hyperlink>
      <w:r>
        <w:rPr>
          <w:rFonts w:hint="eastAsia" w:ascii="仿宋" w:hAnsi="仿宋" w:eastAsia="仿宋" w:cs="仿宋"/>
          <w:sz w:val="24"/>
          <w:szCs w:val="24"/>
        </w:rPr>
        <w:t xml:space="preserve">）“履约保证保险”模块在线申请履约保证保险投保。</w:t>
      </w:r>
      <w:r>
        <w:rPr>
          <w:rFonts w:hint="eastAsia" w:ascii="仿宋" w:hAnsi="仿宋" w:eastAsia="仿宋" w:cs="仿宋"/>
          <w:sz w:val="24"/>
          <w:szCs w:val="24"/>
        </w:rPr>
        <w:br/>
      </w:r>
      <w:r/>
    </w:p>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小海街道机耕路汇总表</w:t>
      </w:r>
      <w:r/>
    </w:p>
    <w:tbl>
      <w:tblPr>
        <w:tblW w:w="8359" w:type="dxa"/>
        <w:jc w:val="center"/>
        <w:tblLook w:val="04A0" w:firstRow="1" w:lastRow="0" w:firstColumn="1" w:lastColumn="0" w:noHBand="0" w:noVBand="1"/>
      </w:tblPr>
      <w:tblGrid>
        <w:gridCol w:w="1380"/>
        <w:gridCol w:w="2240"/>
        <w:gridCol w:w="2471"/>
        <w:gridCol w:w="2268"/>
      </w:tblGrid>
      <w:tr>
        <w:trPr>
          <w:jc w:val="center"/>
          <w:trHeight w:val="465"/>
        </w:trPr>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编号</w:t>
            </w:r>
            <w:r/>
          </w:p>
        </w:tc>
        <w:tc>
          <w:tcPr>
            <w:tcBorders>
              <w:top w:val="single" w:color="auto"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长度 （m)</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清扫</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306.2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225.08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L3</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139.59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L6</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172.28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L7</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367.18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L8</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308.81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L9</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428.75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8</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L10</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257.9</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Borders>
              <w:top w:val="none" w:color="000000" w:sz="4" w:space="0"/>
              <w:left w:val="single" w:color="auto" w:sz="4" w:space="0"/>
              <w:bottom w:val="single" w:color="auto" w:sz="4" w:space="0"/>
              <w:right w:val="single" w:color="auto" w:sz="4" w:space="0"/>
            </w:tcBorders>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9</w:t>
            </w:r>
            <w:r/>
          </w:p>
        </w:tc>
        <w:tc>
          <w:tcPr>
            <w:tcBorders>
              <w:top w:val="none" w:color="000000" w:sz="4" w:space="0"/>
              <w:left w:val="none" w:color="000000" w:sz="4" w:space="0"/>
              <w:bottom w:val="single" w:color="auto" w:sz="4" w:space="0"/>
              <w:right w:val="single" w:color="auto" w:sz="4" w:space="0"/>
            </w:tcBorders>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L11</w:t>
            </w:r>
            <w:r/>
          </w:p>
        </w:tc>
        <w:tc>
          <w:tcPr>
            <w:tcBorders>
              <w:top w:val="none" w:color="000000" w:sz="4" w:space="0"/>
              <w:left w:val="none" w:color="000000" w:sz="4" w:space="0"/>
              <w:bottom w:val="single" w:color="auto" w:sz="4" w:space="0"/>
              <w:right w:val="single" w:color="auto" w:sz="4" w:space="0"/>
            </w:tcBorders>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283.38</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L12</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68.57</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11</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L13</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527.66</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L14</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50.12</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L15</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316.26</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14</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L16</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123.87</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15</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L17</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260</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16</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L18</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358.13</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17</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L19</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266</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18</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L20</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205</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19</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L21</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381</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20</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L22</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410</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21</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L23</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353</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22</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L24</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263</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23</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L25</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282</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24</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L26</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45</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25</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L27</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343.7</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L28</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106</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27</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L29</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672</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28</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L30</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579</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29</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L31</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496.23</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tcW w:w="13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30</w:t>
            </w:r>
            <w:r/>
          </w:p>
        </w:tc>
        <w:tc>
          <w:tcPr>
            <w:tcW w:w="224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L32</w:t>
            </w:r>
            <w:r/>
          </w:p>
        </w:tc>
        <w:tc>
          <w:tcPr>
            <w:tcW w:w="2471"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157</w:t>
            </w:r>
            <w:r/>
          </w:p>
        </w:tc>
        <w:tc>
          <w:tcPr>
            <w:tcW w:w="2268"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42"/>
        </w:trPr>
        <w:tc>
          <w:tcPr>
            <w:gridSpan w:val="2"/>
            <w:tcW w:w="3620" w:type="dxa"/>
            <w:vAlign w:val="center"/>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合计</w:t>
            </w:r>
            <w:r/>
          </w:p>
        </w:tc>
        <w:tc>
          <w:tcPr>
            <w:tcW w:w="2471" w:type="dxa"/>
            <w:vAlign w:val="center"/>
            <w:textDirection w:val="lrTb"/>
            <w:noWrap/>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8752.71</w:t>
            </w:r>
            <w:r/>
          </w:p>
        </w:tc>
        <w:tc>
          <w:tcPr>
            <w:tcW w:w="2268" w:type="dxa"/>
            <w:vAlign w:val="center"/>
            <w:textDirection w:val="lrTb"/>
            <w:noWrap/>
          </w:tcPr>
          <w:p>
            <w:pPr>
              <w:jc w:val="left"/>
              <w:widowControl/>
              <w:rPr>
                <w:rFonts w:ascii="仿宋" w:hAnsi="仿宋" w:eastAsia="仿宋" w:cs="仿宋"/>
                <w:b/>
                <w:bCs/>
                <w:sz w:val="24"/>
                <w:szCs w:val="24"/>
              </w:rPr>
            </w:pPr>
            <w:r>
              <w:rPr>
                <w:rFonts w:ascii="仿宋" w:hAnsi="仿宋" w:eastAsia="仿宋" w:cs="仿宋"/>
                <w:b/>
                <w:bCs/>
                <w:sz w:val="24"/>
                <w:szCs w:val="24"/>
              </w:rPr>
            </w:r>
            <w:r/>
          </w:p>
        </w:tc>
      </w:tr>
    </w:tbl>
    <w:p>
      <w:pPr>
        <w:jc w:val="center"/>
        <w:spacing w:line="480" w:lineRule="exact"/>
        <w:rPr>
          <w:rFonts w:ascii="仿宋" w:hAnsi="仿宋" w:eastAsia="仿宋" w:cs="仿宋"/>
          <w:sz w:val="24"/>
          <w:szCs w:val="24"/>
        </w:rPr>
        <w:sectPr>
          <w:footnotePr/>
          <w:endnotePr/>
          <w:type w:val="nextPage"/>
          <w:pgSz w:w="11907" w:h="16840" w:orient="portrait"/>
          <w:pgMar w:top="1587" w:right="1474" w:bottom="1587" w:left="1588" w:header="851" w:footer="1247" w:gutter="170"/>
          <w:cols w:num="1" w:sep="0" w:space="720" w:equalWidth="1"/>
          <w:docGrid w:linePitch="360"/>
          <w:titlePg/>
        </w:sectPr>
      </w:pPr>
      <w:r>
        <w:rPr>
          <w:rFonts w:ascii="仿宋" w:hAnsi="仿宋" w:eastAsia="仿宋" w:cs="仿宋"/>
          <w:sz w:val="24"/>
          <w:szCs w:val="24"/>
        </w:rPr>
      </w:r>
      <w:r/>
    </w:p>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小海街道泯沟、河塘统计表</w:t>
      </w:r>
      <w:r/>
    </w:p>
    <w:tbl>
      <w:tblPr>
        <w:tblW w:w="8217" w:type="dxa"/>
        <w:jc w:val="center"/>
        <w:tblLook w:val="04A0" w:firstRow="1" w:lastRow="0" w:firstColumn="1" w:lastColumn="0" w:noHBand="0" w:noVBand="1"/>
      </w:tblPr>
      <w:tblGrid>
        <w:gridCol w:w="1080"/>
        <w:gridCol w:w="2459"/>
        <w:gridCol w:w="2126"/>
        <w:gridCol w:w="2552"/>
      </w:tblGrid>
      <w:tr>
        <w:trPr>
          <w:jc w:val="center"/>
          <w:trHeight w:val="480"/>
        </w:trPr>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编号</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保洁方式</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85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F3</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F7</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112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8</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9</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F11</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245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11</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F13</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640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12</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234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13</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146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14</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74</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15</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F17</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16</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97</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17</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F19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231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18</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F23</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276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19</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305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20</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191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21</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756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22</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F27</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167.5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23</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259</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24</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F29</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106</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25</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F30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91</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26</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F31</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145.3</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330"/>
        </w:trPr>
        <w:tc>
          <w:tcPr>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27</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F32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72</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人工</w:t>
            </w:r>
            <w:r/>
          </w:p>
        </w:tc>
      </w:tr>
      <w:tr>
        <w:trPr>
          <w:jc w:val="center"/>
          <w:trHeight w:val="450"/>
        </w:trPr>
        <w:tc>
          <w:tcPr>
            <w:gridSpan w:val="2"/>
            <w:tcBorders>
              <w:top w:val="single" w:color="auto" w:sz="4" w:space="0"/>
              <w:left w:val="single" w:color="auto" w:sz="4" w:space="0"/>
              <w:bottom w:val="single" w:color="auto" w:sz="4" w:space="0"/>
              <w:right w:val="single" w:color="auto" w:sz="4" w:space="0"/>
            </w:tcBorders>
            <w:tcW w:w="3539"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合计</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ascii="仿宋" w:hAnsi="仿宋" w:eastAsia="仿宋" w:cs="仿宋"/>
                <w:sz w:val="24"/>
                <w:szCs w:val="24"/>
              </w:rPr>
            </w:pPr>
            <w:r>
              <w:rPr>
                <w:rFonts w:hint="eastAsia" w:ascii="仿宋" w:hAnsi="仿宋" w:eastAsia="仿宋" w:cs="仿宋"/>
                <w:sz w:val="24"/>
                <w:szCs w:val="24"/>
              </w:rPr>
              <w:t xml:space="preserve">5359.8</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widowControl/>
              <w:rPr>
                <w:rFonts w:ascii="仿宋" w:hAnsi="仿宋" w:eastAsia="仿宋" w:cs="仿宋"/>
                <w:sz w:val="24"/>
                <w:szCs w:val="24"/>
              </w:rPr>
            </w:pPr>
            <w:r>
              <w:rPr>
                <w:rFonts w:ascii="仿宋" w:hAnsi="仿宋" w:eastAsia="仿宋" w:cs="仿宋"/>
                <w:sz w:val="24"/>
                <w:szCs w:val="24"/>
              </w:rPr>
            </w:r>
            <w:r/>
          </w:p>
        </w:tc>
      </w:tr>
    </w:tbl>
    <w:p>
      <w:pPr>
        <w:jc w:val="center"/>
        <w:spacing w:line="480" w:lineRule="exact"/>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sectPr>
          <w:footnotePr/>
          <w:endnotePr/>
          <w:type w:val="nextPage"/>
          <w:pgSz w:w="11907" w:h="16840" w:orient="portrait"/>
          <w:pgMar w:top="1587" w:right="1474" w:bottom="1985" w:left="1588" w:header="851" w:footer="1247" w:gutter="170"/>
          <w:cols w:num="1" w:sep="0" w:space="720" w:equalWidth="1"/>
          <w:docGrid w:linePitch="360"/>
          <w:titlePg/>
        </w:sectPr>
      </w:pPr>
      <w:r>
        <w:rPr>
          <w:rFonts w:ascii="仿宋" w:hAnsi="仿宋" w:eastAsia="仿宋" w:cs="仿宋"/>
          <w:sz w:val="24"/>
          <w:szCs w:val="24"/>
        </w:rPr>
      </w:r>
      <w:r/>
    </w:p>
    <w:p>
      <w:pPr>
        <w:jc w:val="center"/>
        <w:spacing w:line="480" w:lineRule="exact"/>
        <w:rPr>
          <w:rFonts w:ascii="仿宋" w:hAnsi="仿宋" w:eastAsia="仿宋" w:cs="仿宋"/>
          <w:sz w:val="24"/>
          <w:szCs w:val="24"/>
        </w:rPr>
      </w:pPr>
      <w:r>
        <w:rPr>
          <w:rFonts w:hint="eastAsia" w:ascii="仿宋" w:hAnsi="仿宋" w:eastAsia="仿宋" w:cs="仿宋"/>
          <w:sz w:val="24"/>
          <w:szCs w:val="24"/>
        </w:rPr>
        <w:t xml:space="preserve">小海街道镇区道路保洁明细表（含机耕路）</w:t>
      </w:r>
      <w:r/>
    </w:p>
    <w:tbl>
      <w:tblPr>
        <w:tblW w:w="1388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576"/>
        <w:gridCol w:w="765"/>
        <w:gridCol w:w="1397"/>
        <w:gridCol w:w="701"/>
        <w:gridCol w:w="702"/>
        <w:gridCol w:w="2239"/>
        <w:gridCol w:w="3079"/>
        <w:gridCol w:w="936"/>
        <w:gridCol w:w="691"/>
        <w:gridCol w:w="1130"/>
        <w:gridCol w:w="1671"/>
      </w:tblGrid>
      <w:tr>
        <w:trPr>
          <w:jc w:val="center"/>
          <w:trHeight w:val="404"/>
        </w:trPr>
        <w:tc>
          <w:tcPr>
            <w:tcW w:w="5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7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编号</w:t>
            </w:r>
            <w:r/>
          </w:p>
        </w:tc>
        <w:tc>
          <w:tcPr>
            <w:tcW w:w="1403"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tcW w:w="703"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保洁</w:t>
            </w:r>
            <w:r/>
          </w:p>
          <w:p>
            <w:pPr>
              <w:jc w:val="center"/>
              <w:widowControl/>
              <w:rPr>
                <w:rFonts w:ascii="仿宋" w:hAnsi="仿宋" w:eastAsia="仿宋" w:cs="仿宋"/>
                <w:sz w:val="24"/>
                <w:szCs w:val="24"/>
              </w:rPr>
            </w:pPr>
            <w:r>
              <w:rPr>
                <w:rFonts w:hint="eastAsia" w:ascii="仿宋" w:hAnsi="仿宋" w:eastAsia="仿宋" w:cs="仿宋"/>
                <w:sz w:val="24"/>
                <w:szCs w:val="24"/>
              </w:rPr>
              <w:t xml:space="preserve">等级</w:t>
            </w:r>
            <w:r/>
          </w:p>
        </w:tc>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w:t>
            </w:r>
            <w:r/>
          </w:p>
          <w:p>
            <w:pPr>
              <w:jc w:val="center"/>
              <w:widowControl/>
              <w:rPr>
                <w:rFonts w:ascii="仿宋" w:hAnsi="仿宋" w:eastAsia="仿宋" w:cs="仿宋"/>
                <w:sz w:val="24"/>
                <w:szCs w:val="24"/>
              </w:rPr>
            </w:pPr>
            <w:r>
              <w:rPr>
                <w:rFonts w:hint="eastAsia" w:ascii="仿宋" w:hAnsi="仿宋" w:eastAsia="仿宋" w:cs="仿宋"/>
                <w:sz w:val="24"/>
                <w:szCs w:val="24"/>
              </w:rPr>
              <w:t xml:space="preserve">等级</w:t>
            </w:r>
            <w:r/>
          </w:p>
        </w:tc>
        <w:tc>
          <w:tcPr>
            <w:tcW w:w="2252"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310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保洁范围</w:t>
            </w:r>
            <w:r/>
          </w:p>
        </w:tc>
        <w:tc>
          <w:tcPr>
            <w:tcW w:w="8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gridSpan w:val="3"/>
            <w:tcW w:w="350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清扫</w:t>
            </w:r>
            <w:r/>
          </w:p>
        </w:tc>
      </w:tr>
      <w:tr>
        <w:trPr>
          <w:jc w:val="center"/>
          <w:trHeight w:val="570"/>
        </w:trPr>
        <w:tc>
          <w:tcPr>
            <w:tcW w:w="5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76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403"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703"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2252"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310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8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69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边数</w:t>
            </w:r>
            <w:r/>
          </w:p>
        </w:tc>
        <w:tc>
          <w:tcPr>
            <w:tcW w:w="113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W w:w="168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保洁方式</w:t>
            </w:r>
            <w:r/>
          </w:p>
        </w:tc>
      </w:tr>
      <w:tr>
        <w:trPr>
          <w:jc w:val="center"/>
          <w:trHeight w:val="1270"/>
        </w:trPr>
        <w:tc>
          <w:tcPr>
            <w:tcW w:w="57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7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新增2</w:t>
            </w:r>
            <w:r/>
          </w:p>
        </w:tc>
        <w:tc>
          <w:tcPr>
            <w:tcW w:w="140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小海小学南门东侧</w:t>
            </w:r>
            <w:r/>
          </w:p>
        </w:tc>
        <w:tc>
          <w:tcPr>
            <w:tcW w:w="70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2252"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南至望路，北至小海小学东侧</w:t>
            </w:r>
            <w:r/>
          </w:p>
        </w:tc>
        <w:tc>
          <w:tcPr>
            <w:tcW w:w="310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东、西两侧到马路牙子</w:t>
            </w:r>
            <w:r/>
          </w:p>
        </w:tc>
        <w:tc>
          <w:tcPr>
            <w:tcW w:w="87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70</w:t>
            </w:r>
            <w:r/>
          </w:p>
        </w:tc>
        <w:tc>
          <w:tcPr>
            <w:tcW w:w="69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W w:w="113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140</w:t>
            </w:r>
            <w:r/>
          </w:p>
        </w:tc>
        <w:tc>
          <w:tcPr>
            <w:tcW w:w="168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人工保洁</w:t>
            </w:r>
            <w:r/>
          </w:p>
        </w:tc>
      </w:tr>
      <w:tr>
        <w:trPr>
          <w:jc w:val="center"/>
          <w:trHeight w:val="2119"/>
        </w:trPr>
        <w:tc>
          <w:tcPr>
            <w:tcW w:w="57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W w:w="7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L1-32</w:t>
            </w:r>
            <w:r/>
          </w:p>
          <w:p>
            <w:pPr>
              <w:jc w:val="center"/>
              <w:widowControl/>
              <w:rPr>
                <w:rFonts w:ascii="仿宋" w:hAnsi="仿宋" w:eastAsia="仿宋" w:cs="仿宋"/>
                <w:sz w:val="24"/>
                <w:szCs w:val="24"/>
              </w:rPr>
            </w:pPr>
            <w:r>
              <w:rPr>
                <w:rFonts w:hint="eastAsia" w:ascii="仿宋" w:hAnsi="仿宋" w:eastAsia="仿宋" w:cs="仿宋"/>
                <w:sz w:val="24"/>
                <w:szCs w:val="24"/>
              </w:rPr>
              <w:t xml:space="preserve">（不含L4、L5）</w:t>
            </w:r>
            <w:r/>
          </w:p>
        </w:tc>
        <w:tc>
          <w:tcPr>
            <w:tcW w:w="140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区域内无名机行、人行路、镇区背街，后巷道路，共30条</w:t>
            </w:r>
            <w:r/>
          </w:p>
        </w:tc>
        <w:tc>
          <w:tcPr>
            <w:tcW w:w="703" w:type="dxa"/>
            <w:vAlign w:val="center"/>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704" w:type="dxa"/>
            <w:vAlign w:val="center"/>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2252"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详见图示。</w:t>
            </w:r>
            <w:r/>
          </w:p>
        </w:tc>
        <w:tc>
          <w:tcPr>
            <w:tcW w:w="310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除拆迁区域外，需定期捡拾垃圾，确保道路两侧视线范围内无零星垃圾存在，其中农民街、海北路河南街、河北街、老市场消防通道等是考核道路，要进行重点管护。</w:t>
            </w:r>
            <w:r/>
          </w:p>
        </w:tc>
        <w:tc>
          <w:tcPr>
            <w:tcW w:w="87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8752.7</w:t>
            </w:r>
            <w:r/>
          </w:p>
        </w:tc>
        <w:tc>
          <w:tcPr>
            <w:tcW w:w="69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113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8752.7</w:t>
            </w:r>
            <w:r/>
          </w:p>
        </w:tc>
        <w:tc>
          <w:tcPr>
            <w:tcW w:w="1682"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人工保洁</w:t>
            </w:r>
            <w:r/>
          </w:p>
        </w:tc>
      </w:tr>
      <w:tr>
        <w:trPr>
          <w:jc w:val="center"/>
          <w:trHeight w:val="750"/>
        </w:trPr>
        <w:tc>
          <w:tcPr>
            <w:gridSpan w:val="3"/>
            <w:tcW w:w="2745"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合计</w:t>
            </w:r>
            <w:r/>
          </w:p>
        </w:tc>
        <w:tc>
          <w:tcPr>
            <w:tcW w:w="703" w:type="dxa"/>
            <w:vAlign w:val="center"/>
            <w:textDirection w:val="lrTb"/>
            <w:noWrap w:val="false"/>
          </w:tcPr>
          <w:p>
            <w:pPr>
              <w:jc w:val="center"/>
              <w:widowControl/>
              <w:rPr>
                <w:rFonts w:ascii="仿宋" w:hAnsi="仿宋" w:eastAsia="仿宋" w:cs="仿宋"/>
                <w:b/>
                <w:bCs/>
                <w:sz w:val="24"/>
                <w:szCs w:val="24"/>
              </w:rPr>
            </w:pPr>
            <w:r>
              <w:rPr>
                <w:rFonts w:ascii="仿宋" w:hAnsi="仿宋" w:eastAsia="仿宋" w:cs="仿宋"/>
                <w:b/>
                <w:bCs/>
                <w:sz w:val="24"/>
                <w:szCs w:val="24"/>
              </w:rPr>
            </w:r>
            <w:r/>
          </w:p>
        </w:tc>
        <w:tc>
          <w:tcPr>
            <w:tcW w:w="704" w:type="dxa"/>
            <w:vAlign w:val="center"/>
            <w:textDirection w:val="lrTb"/>
            <w:noWrap w:val="false"/>
          </w:tcPr>
          <w:p>
            <w:pPr>
              <w:jc w:val="center"/>
              <w:widowControl/>
              <w:rPr>
                <w:rFonts w:ascii="仿宋" w:hAnsi="仿宋" w:eastAsia="仿宋" w:cs="仿宋"/>
                <w:b/>
                <w:bCs/>
                <w:sz w:val="24"/>
                <w:szCs w:val="24"/>
              </w:rPr>
            </w:pPr>
            <w:r>
              <w:rPr>
                <w:rFonts w:ascii="仿宋" w:hAnsi="仿宋" w:eastAsia="仿宋" w:cs="仿宋"/>
                <w:b/>
                <w:bCs/>
                <w:sz w:val="24"/>
                <w:szCs w:val="24"/>
              </w:rPr>
            </w:r>
            <w:r/>
          </w:p>
        </w:tc>
        <w:tc>
          <w:tcPr>
            <w:tcW w:w="2252" w:type="dxa"/>
            <w:vAlign w:val="center"/>
            <w:textDirection w:val="lrTb"/>
            <w:noWrap w:val="false"/>
          </w:tcPr>
          <w:p>
            <w:pPr>
              <w:jc w:val="left"/>
              <w:widowControl/>
              <w:rPr>
                <w:rFonts w:ascii="仿宋" w:hAnsi="仿宋" w:eastAsia="仿宋" w:cs="仿宋"/>
                <w:b/>
                <w:bCs/>
                <w:sz w:val="24"/>
                <w:szCs w:val="24"/>
              </w:rPr>
            </w:pPr>
            <w:r>
              <w:rPr>
                <w:rFonts w:ascii="仿宋" w:hAnsi="仿宋" w:eastAsia="仿宋" w:cs="仿宋"/>
                <w:b/>
                <w:bCs/>
                <w:sz w:val="24"/>
                <w:szCs w:val="24"/>
              </w:rPr>
            </w:r>
            <w:r/>
          </w:p>
        </w:tc>
        <w:tc>
          <w:tcPr>
            <w:tcW w:w="3100" w:type="dxa"/>
            <w:vAlign w:val="center"/>
            <w:textDirection w:val="lrTb"/>
            <w:noWrap w:val="false"/>
          </w:tcPr>
          <w:p>
            <w:pPr>
              <w:jc w:val="left"/>
              <w:widowControl/>
              <w:rPr>
                <w:rFonts w:ascii="仿宋" w:hAnsi="仿宋" w:eastAsia="仿宋" w:cs="仿宋"/>
                <w:b/>
                <w:bCs/>
                <w:sz w:val="24"/>
                <w:szCs w:val="24"/>
              </w:rPr>
            </w:pPr>
            <w:r>
              <w:rPr>
                <w:rFonts w:ascii="仿宋" w:hAnsi="仿宋" w:eastAsia="仿宋" w:cs="仿宋"/>
                <w:b/>
                <w:bCs/>
                <w:sz w:val="24"/>
                <w:szCs w:val="24"/>
              </w:rPr>
            </w:r>
            <w:r/>
          </w:p>
        </w:tc>
        <w:tc>
          <w:tcPr>
            <w:tcW w:w="876" w:type="dxa"/>
            <w:vAlign w:val="center"/>
            <w:textDirection w:val="lrTb"/>
            <w:noWrap w:val="false"/>
          </w:tcPr>
          <w:p>
            <w:pPr>
              <w:jc w:val="center"/>
              <w:widowControl/>
              <w:rPr>
                <w:rFonts w:ascii="仿宋" w:hAnsi="仿宋" w:eastAsia="仿宋" w:cs="仿宋"/>
                <w:b/>
                <w:bCs/>
                <w:sz w:val="24"/>
                <w:szCs w:val="24"/>
              </w:rPr>
            </w:pPr>
            <w:r>
              <w:rPr>
                <w:rFonts w:ascii="仿宋" w:hAnsi="仿宋" w:eastAsia="仿宋" w:cs="仿宋"/>
                <w:b/>
                <w:bCs/>
                <w:sz w:val="24"/>
                <w:szCs w:val="24"/>
              </w:rPr>
            </w:r>
            <w:r/>
          </w:p>
        </w:tc>
        <w:tc>
          <w:tcPr>
            <w:tcW w:w="693" w:type="dxa"/>
            <w:vAlign w:val="center"/>
            <w:textDirection w:val="lrTb"/>
            <w:noWrap w:val="false"/>
          </w:tcPr>
          <w:p>
            <w:pPr>
              <w:jc w:val="center"/>
              <w:widowControl/>
              <w:rPr>
                <w:rFonts w:ascii="仿宋" w:hAnsi="仿宋" w:eastAsia="仿宋" w:cs="仿宋"/>
                <w:b/>
                <w:bCs/>
                <w:sz w:val="24"/>
                <w:szCs w:val="24"/>
              </w:rPr>
            </w:pPr>
            <w:r>
              <w:rPr>
                <w:rFonts w:ascii="仿宋" w:hAnsi="仿宋" w:eastAsia="仿宋" w:cs="仿宋"/>
                <w:b/>
                <w:bCs/>
                <w:sz w:val="24"/>
                <w:szCs w:val="24"/>
              </w:rPr>
            </w:r>
            <w:r/>
          </w:p>
        </w:tc>
        <w:tc>
          <w:tcPr>
            <w:tcW w:w="1132" w:type="dxa"/>
            <w:vAlign w:val="center"/>
            <w:textDirection w:val="lrTb"/>
            <w:noWrap w:val="false"/>
          </w:tcPr>
          <w:p>
            <w:pPr>
              <w:jc w:val="center"/>
              <w:widowControl/>
              <w:rPr>
                <w:rFonts w:ascii="仿宋" w:hAnsi="仿宋" w:eastAsia="仿宋" w:cs="仿宋"/>
                <w:b/>
                <w:bCs/>
                <w:sz w:val="24"/>
                <w:szCs w:val="24"/>
              </w:rPr>
            </w:pPr>
            <w:r>
              <w:rPr>
                <w:rFonts w:hint="eastAsia" w:ascii="仿宋" w:hAnsi="仿宋" w:eastAsia="仿宋" w:cs="仿宋"/>
                <w:b/>
                <w:bCs/>
                <w:sz w:val="24"/>
                <w:szCs w:val="24"/>
              </w:rPr>
              <w:t xml:space="preserve">8892.7</w:t>
            </w:r>
            <w:r/>
          </w:p>
        </w:tc>
        <w:tc>
          <w:tcPr>
            <w:tcW w:w="1682"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szCs w:val="24"/>
        </w:rPr>
        <w:sectPr>
          <w:footnotePr/>
          <w:endnotePr/>
          <w:type w:val="nextPage"/>
          <w:pgSz w:w="16840" w:h="11907" w:orient="landscape"/>
          <w:pgMar w:top="1588" w:right="2098" w:bottom="1361" w:left="1985" w:header="851" w:footer="1247" w:gutter="170"/>
          <w:cols w:num="1" w:sep="0" w:space="720" w:equalWidth="1"/>
          <w:docGrid w:linePitch="360"/>
          <w:titlePg/>
        </w:sectPr>
      </w:pPr>
      <w:r>
        <w:rPr>
          <w:rFonts w:ascii="仿宋" w:hAnsi="仿宋" w:eastAsia="仿宋" w:cs="仿宋"/>
          <w:sz w:val="24"/>
          <w:szCs w:val="24"/>
        </w:rPr>
      </w:r>
      <w:r/>
    </w:p>
    <w:p>
      <w:pPr>
        <w:jc w:val="center"/>
        <w:rPr>
          <w:rFonts w:ascii="仿宋" w:hAnsi="仿宋" w:eastAsia="仿宋" w:cs="仿宋"/>
          <w:sz w:val="24"/>
          <w:szCs w:val="24"/>
        </w:rPr>
      </w:pPr>
      <w:r>
        <w:rPr>
          <w:rFonts w:hint="eastAsia" w:ascii="仿宋" w:hAnsi="仿宋" w:eastAsia="仿宋" w:cs="仿宋"/>
          <w:sz w:val="24"/>
          <w:szCs w:val="24"/>
        </w:rPr>
        <w:t xml:space="preserve">小海街道农村“五位一体”主要道路汇总表（一）</w:t>
      </w:r>
      <w:r/>
    </w:p>
    <w:tbl>
      <w:tblPr>
        <w:tblW w:w="145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1276"/>
        <w:gridCol w:w="1580"/>
        <w:gridCol w:w="1066"/>
        <w:gridCol w:w="1050"/>
        <w:gridCol w:w="1058"/>
        <w:gridCol w:w="1050"/>
        <w:gridCol w:w="1066"/>
        <w:gridCol w:w="1351"/>
        <w:gridCol w:w="765"/>
        <w:gridCol w:w="1416"/>
        <w:gridCol w:w="796"/>
        <w:gridCol w:w="1418"/>
      </w:tblGrid>
      <w:tr>
        <w:trPr>
          <w:jc w:val="center"/>
          <w:trHeight w:val="285"/>
        </w:trPr>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2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gridSpan w:val="3"/>
            <w:tcW w:w="36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基本情况</w:t>
            </w:r>
            <w:r/>
          </w:p>
        </w:tc>
        <w:tc>
          <w:tcPr>
            <w:gridSpan w:val="8"/>
            <w:tcW w:w="89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其中</w:t>
            </w:r>
            <w:r/>
          </w:p>
        </w:tc>
      </w:tr>
      <w:tr>
        <w:trPr>
          <w:jc w:val="center"/>
          <w:trHeight w:val="285"/>
        </w:trPr>
        <w:tc>
          <w:tcPr>
            <w:tcW w:w="704"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总长（m）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所在村</w:t>
            </w:r>
            <w:r/>
          </w:p>
        </w:tc>
        <w:tc>
          <w:tcPr>
            <w:gridSpan w:val="2"/>
            <w:tcW w:w="210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全天侯管护</w:t>
            </w:r>
            <w:r/>
          </w:p>
        </w:tc>
        <w:tc>
          <w:tcPr>
            <w:gridSpan w:val="2"/>
            <w:tcW w:w="241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一级管护</w:t>
            </w:r>
            <w:r/>
          </w:p>
        </w:tc>
        <w:tc>
          <w:tcPr>
            <w:gridSpan w:val="2"/>
            <w:tcW w:w="218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二级管护</w:t>
            </w:r>
            <w:r/>
          </w:p>
        </w:tc>
        <w:tc>
          <w:tcPr>
            <w:gridSpan w:val="2"/>
            <w:tcW w:w="221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三级管护</w:t>
            </w:r>
            <w:r/>
          </w:p>
        </w:tc>
      </w:tr>
      <w:tr>
        <w:trPr>
          <w:jc w:val="center"/>
          <w:trHeight w:val="311"/>
        </w:trPr>
        <w:tc>
          <w:tcPr>
            <w:tcW w:w="704"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vMerge w:val="continue"/>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W w:w="1351"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65"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W w:w="141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9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长度（m)</w:t>
            </w:r>
            <w:r/>
          </w:p>
        </w:tc>
        <w:tc>
          <w:tcPr>
            <w:tcW w:w="1418"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张老板路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定海路—小海竖河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547</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定海村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547</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定海路—小海竖河</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海学路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通沪大道—先锋界河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277</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277</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通沪大道—先锋界河</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2组横路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宋家—朝阳西竖河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1440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1440</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宋家—朝阳西竖河</w:t>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18大队支路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通沪大道—先锋界河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420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420</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通沪大道—先锋界河</w:t>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掉车柄路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东方大道—掉车柄桥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282</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282</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东方大道—掉车柄桥</w:t>
            </w:r>
            <w:r/>
          </w:p>
        </w:tc>
      </w:tr>
      <w:tr>
        <w:trPr>
          <w:jc w:val="center"/>
          <w:trHeight w:val="701"/>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东方大道—朝阳西竖河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349</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349</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东方大道—朝阳西竖河</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7</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水泥厂河沿路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通启公路—通启运河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283</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283</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通启公路—通启运河</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8</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21组支路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通启公路往里</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105</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小海村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105</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通启公路往里</w:t>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石家埭路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朝阳西竖河—沪陕高速</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1270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1270</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朝阳西竖河—沪陕高速</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bl>
    <w:p>
      <w:pPr>
        <w:jc w:val="center"/>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sz w:val="24"/>
          <w:szCs w:val="24"/>
        </w:rPr>
      </w:pPr>
      <w:r>
        <w:rPr>
          <w:rFonts w:hint="eastAsia" w:ascii="仿宋" w:hAnsi="仿宋" w:eastAsia="仿宋" w:cs="仿宋"/>
          <w:sz w:val="24"/>
          <w:szCs w:val="24"/>
        </w:rPr>
        <w:t xml:space="preserve">小海街道农村“五位一体”主要道路汇总表（二）</w:t>
      </w:r>
      <w:r/>
    </w:p>
    <w:tbl>
      <w:tblPr>
        <w:tblW w:w="145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1276"/>
        <w:gridCol w:w="1580"/>
        <w:gridCol w:w="1066"/>
        <w:gridCol w:w="1050"/>
        <w:gridCol w:w="1058"/>
        <w:gridCol w:w="1247"/>
        <w:gridCol w:w="869"/>
        <w:gridCol w:w="1351"/>
        <w:gridCol w:w="765"/>
        <w:gridCol w:w="1416"/>
        <w:gridCol w:w="796"/>
        <w:gridCol w:w="1418"/>
      </w:tblGrid>
      <w:tr>
        <w:trPr>
          <w:jc w:val="center"/>
          <w:trHeight w:val="360"/>
        </w:trPr>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2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gridSpan w:val="3"/>
            <w:tcW w:w="36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基本情况</w:t>
            </w:r>
            <w:r/>
          </w:p>
        </w:tc>
        <w:tc>
          <w:tcPr>
            <w:gridSpan w:val="8"/>
            <w:tcW w:w="89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其中</w:t>
            </w:r>
            <w:r/>
          </w:p>
        </w:tc>
      </w:tr>
      <w:tr>
        <w:trPr>
          <w:jc w:val="center"/>
          <w:trHeight w:val="405"/>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总长（m）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所在村</w:t>
            </w:r>
            <w:r/>
          </w:p>
        </w:tc>
        <w:tc>
          <w:tcPr>
            <w:gridSpan w:val="2"/>
            <w:tcW w:w="230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全天侯管护</w:t>
            </w:r>
            <w:r/>
          </w:p>
        </w:tc>
        <w:tc>
          <w:tcPr>
            <w:gridSpan w:val="2"/>
            <w:tcW w:w="22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一级管护</w:t>
            </w:r>
            <w:r/>
          </w:p>
        </w:tc>
        <w:tc>
          <w:tcPr>
            <w:gridSpan w:val="2"/>
            <w:tcW w:w="218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二级管护</w:t>
            </w:r>
            <w:r/>
          </w:p>
        </w:tc>
        <w:tc>
          <w:tcPr>
            <w:gridSpan w:val="2"/>
            <w:tcW w:w="221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三级管护</w:t>
            </w:r>
            <w:r/>
          </w:p>
        </w:tc>
      </w:tr>
      <w:tr>
        <w:trPr>
          <w:jc w:val="center"/>
          <w:trHeight w:val="510"/>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6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24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86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35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6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1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1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赵家埭路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弹簧厂北路—朝阳桥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1090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1090</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弹簧厂北路—朝阳桥</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114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东方大道北辅路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东方大道北出口—弹簧厂北路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1110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1110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东方大道北出口—弹簧厂北路</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12</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富锋路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东方大道北辅路—先锋界河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1090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1090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东方大道北辅路—先锋界河</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13</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弹簧厂北路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石家埭路—高速收费站界</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762</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762</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石家埭路—高速收费站界</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14</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东方大道南辅路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样板河出口—海朝路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1330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1330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样板河出口—海朝路</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15</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掉车柄路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掉车柄桥—朝阳竖河学生桥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1160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505</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掉车柄桥—朝阳竖河学生桥</w:t>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655</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海朝路—朝阳竖河学生桥</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16</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样板片路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洲洋路—朝阳竖河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958</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958</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洲洋路—朝阳竖河</w:t>
            </w:r>
            <w:r/>
          </w:p>
        </w:tc>
      </w:tr>
    </w:tbl>
    <w:p>
      <w:pPr>
        <w:rPr>
          <w:rFonts w:ascii="仿宋" w:hAnsi="仿宋" w:eastAsia="仿宋" w:cs="仿宋"/>
          <w:sz w:val="24"/>
          <w:szCs w:val="24"/>
        </w:rPr>
        <w:sectPr>
          <w:footnotePr/>
          <w:endnotePr/>
          <w:type w:val="nextPage"/>
          <w:pgSz w:w="16840" w:h="11907" w:orient="landscape"/>
          <w:pgMar w:top="1304" w:right="1361" w:bottom="1134" w:left="1418" w:header="851" w:footer="1247" w:gutter="0"/>
          <w:cols w:num="1" w:sep="0" w:space="720" w:equalWidth="1"/>
          <w:docGrid w:linePitch="360"/>
        </w:sectPr>
      </w:pPr>
      <w:r>
        <w:rPr>
          <w:rFonts w:ascii="仿宋" w:hAnsi="仿宋" w:eastAsia="仿宋" w:cs="仿宋"/>
          <w:sz w:val="24"/>
          <w:szCs w:val="24"/>
        </w:rPr>
      </w:r>
      <w:r/>
    </w:p>
    <w:p>
      <w:pPr>
        <w:jc w:val="center"/>
        <w:rPr>
          <w:rFonts w:ascii="仿宋" w:hAnsi="仿宋" w:eastAsia="仿宋" w:cs="仿宋"/>
          <w:sz w:val="24"/>
          <w:szCs w:val="24"/>
        </w:rPr>
      </w:pPr>
      <w:r>
        <w:rPr>
          <w:rFonts w:hint="eastAsia" w:ascii="仿宋" w:hAnsi="仿宋" w:eastAsia="仿宋" w:cs="仿宋"/>
          <w:sz w:val="24"/>
          <w:szCs w:val="24"/>
        </w:rPr>
        <w:t xml:space="preserve">小海街道农村“五位一体”主要道路汇总表（三）</w:t>
      </w:r>
      <w:r/>
    </w:p>
    <w:tbl>
      <w:tblPr>
        <w:tblW w:w="145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1276"/>
        <w:gridCol w:w="1580"/>
        <w:gridCol w:w="1066"/>
        <w:gridCol w:w="1050"/>
        <w:gridCol w:w="1058"/>
        <w:gridCol w:w="1247"/>
        <w:gridCol w:w="869"/>
        <w:gridCol w:w="1351"/>
        <w:gridCol w:w="765"/>
        <w:gridCol w:w="1493"/>
        <w:gridCol w:w="719"/>
        <w:gridCol w:w="1418"/>
      </w:tblGrid>
      <w:tr>
        <w:trPr>
          <w:jc w:val="center"/>
          <w:trHeight w:val="285"/>
        </w:trPr>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2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gridSpan w:val="3"/>
            <w:tcW w:w="36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基本情况</w:t>
            </w:r>
            <w:r/>
          </w:p>
        </w:tc>
        <w:tc>
          <w:tcPr>
            <w:gridSpan w:val="8"/>
            <w:tcW w:w="89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其中</w:t>
            </w:r>
            <w:r/>
          </w:p>
        </w:tc>
      </w:tr>
      <w:tr>
        <w:trPr>
          <w:jc w:val="center"/>
          <w:trHeight w:val="225"/>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总长（m）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所在村</w:t>
            </w:r>
            <w:r/>
          </w:p>
        </w:tc>
        <w:tc>
          <w:tcPr>
            <w:gridSpan w:val="2"/>
            <w:tcW w:w="230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全天侯管护</w:t>
            </w:r>
            <w:r/>
          </w:p>
        </w:tc>
        <w:tc>
          <w:tcPr>
            <w:gridSpan w:val="2"/>
            <w:tcW w:w="22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一级管护</w:t>
            </w:r>
            <w:r/>
          </w:p>
        </w:tc>
        <w:tc>
          <w:tcPr>
            <w:gridSpan w:val="2"/>
            <w:tcW w:w="225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二级管护</w:t>
            </w:r>
            <w:r/>
          </w:p>
        </w:tc>
        <w:tc>
          <w:tcPr>
            <w:gridSpan w:val="2"/>
            <w:tcW w:w="213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三级管护</w:t>
            </w:r>
            <w:r/>
          </w:p>
        </w:tc>
      </w:tr>
      <w:tr>
        <w:trPr>
          <w:jc w:val="center"/>
          <w:trHeight w:val="213"/>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6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24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86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35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6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93"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1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1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r>
      <w:tr>
        <w:trPr>
          <w:jc w:val="center"/>
          <w:trHeight w:val="632"/>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17</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朝阳西竖河—朝阳竖河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1140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1140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朝阳西竖河—朝阳竖河</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93"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714"/>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18</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洲洋路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通启公路—掉车柄路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650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93"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1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650</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通启公路—掉车柄路</w:t>
            </w:r>
            <w:r/>
          </w:p>
        </w:tc>
      </w:tr>
      <w:tr>
        <w:trPr>
          <w:jc w:val="center"/>
          <w:trHeight w:val="951"/>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19</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海朝路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通启公路—高速收费站界</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1130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朝阳港</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1130</w:t>
            </w:r>
            <w:r/>
          </w:p>
        </w:tc>
        <w:tc>
          <w:tcPr>
            <w:tcW w:w="1493"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通启公路—高速收费站界</w:t>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642"/>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20</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海化路1</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闸桥横河—南箱涵</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1290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1290</w:t>
            </w:r>
            <w:r/>
          </w:p>
        </w:tc>
        <w:tc>
          <w:tcPr>
            <w:tcW w:w="1493"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闸桥横河—南箱涵</w:t>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82"/>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21</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海化路2</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北箱涵—先锋界河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735</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93"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1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735</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北箱涵—先锋界河</w:t>
            </w:r>
            <w:r/>
          </w:p>
        </w:tc>
      </w:tr>
      <w:tr>
        <w:trPr>
          <w:jc w:val="center"/>
          <w:trHeight w:val="947"/>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22</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骆化南路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海化路1—姜张公路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1410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1410</w:t>
            </w:r>
            <w:r/>
          </w:p>
        </w:tc>
        <w:tc>
          <w:tcPr>
            <w:tcW w:w="1493"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骆化村海化路1—姜张公路</w:t>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23</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骆化北路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海化路2—海锋路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907</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907</w:t>
            </w:r>
            <w:r/>
          </w:p>
        </w:tc>
        <w:tc>
          <w:tcPr>
            <w:tcW w:w="1493"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海化路2—海锋路</w:t>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61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24</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海锋路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先锋界河—姜张公路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1390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1390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先锋界河—姜张公路</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93"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9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25</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赵家路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海锋路—赵家圈</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900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900</w:t>
            </w:r>
            <w:r/>
          </w:p>
        </w:tc>
        <w:tc>
          <w:tcPr>
            <w:tcW w:w="1493"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海锋路—赵家圈</w:t>
            </w:r>
            <w:r/>
          </w:p>
        </w:tc>
        <w:tc>
          <w:tcPr>
            <w:tcW w:w="71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sz w:val="24"/>
          <w:szCs w:val="24"/>
        </w:rPr>
        <w:sectPr>
          <w:footnotePr/>
          <w:endnotePr/>
          <w:type w:val="nextPage"/>
          <w:pgSz w:w="16840" w:h="11907" w:orient="landscape"/>
          <w:pgMar w:top="1134" w:right="1361" w:bottom="1134" w:left="1418" w:header="851" w:footer="1247" w:gutter="0"/>
          <w:cols w:num="1" w:sep="0" w:space="720" w:equalWidth="1"/>
          <w:docGrid w:linePitch="360"/>
        </w:sectPr>
      </w:pPr>
      <w:r>
        <w:rPr>
          <w:rFonts w:ascii="仿宋" w:hAnsi="仿宋" w:eastAsia="仿宋" w:cs="仿宋"/>
          <w:sz w:val="24"/>
          <w:szCs w:val="24"/>
        </w:rPr>
      </w:r>
      <w:r/>
    </w:p>
    <w:p>
      <w:pPr>
        <w:jc w:val="center"/>
        <w:rPr>
          <w:rFonts w:ascii="仿宋" w:hAnsi="仿宋" w:eastAsia="仿宋" w:cs="仿宋"/>
          <w:sz w:val="24"/>
          <w:szCs w:val="24"/>
        </w:rPr>
      </w:pPr>
      <w:r>
        <w:rPr>
          <w:rFonts w:hint="eastAsia" w:ascii="仿宋" w:hAnsi="仿宋" w:eastAsia="仿宋" w:cs="仿宋"/>
          <w:sz w:val="24"/>
          <w:szCs w:val="24"/>
        </w:rPr>
        <w:t xml:space="preserve">小海街道农村“五位一体”主要道路汇总表（四）</w:t>
      </w:r>
      <w:r/>
    </w:p>
    <w:tbl>
      <w:tblPr>
        <w:tblW w:w="1459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1276"/>
        <w:gridCol w:w="1580"/>
        <w:gridCol w:w="1066"/>
        <w:gridCol w:w="1050"/>
        <w:gridCol w:w="1058"/>
        <w:gridCol w:w="1247"/>
        <w:gridCol w:w="869"/>
        <w:gridCol w:w="1351"/>
        <w:gridCol w:w="765"/>
        <w:gridCol w:w="1416"/>
        <w:gridCol w:w="796"/>
        <w:gridCol w:w="1418"/>
      </w:tblGrid>
      <w:tr>
        <w:trPr>
          <w:jc w:val="center"/>
          <w:trHeight w:val="285"/>
        </w:trPr>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2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gridSpan w:val="3"/>
            <w:tcW w:w="36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基本情况</w:t>
            </w:r>
            <w:r/>
          </w:p>
        </w:tc>
        <w:tc>
          <w:tcPr>
            <w:gridSpan w:val="8"/>
            <w:tcW w:w="89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其中</w:t>
            </w:r>
            <w:r/>
          </w:p>
        </w:tc>
      </w:tr>
      <w:tr>
        <w:trPr>
          <w:jc w:val="center"/>
          <w:trHeight w:val="255"/>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总长（m）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所在村</w:t>
            </w:r>
            <w:r/>
          </w:p>
        </w:tc>
        <w:tc>
          <w:tcPr>
            <w:gridSpan w:val="2"/>
            <w:tcW w:w="230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全天侯管护</w:t>
            </w:r>
            <w:r/>
          </w:p>
        </w:tc>
        <w:tc>
          <w:tcPr>
            <w:gridSpan w:val="2"/>
            <w:tcW w:w="22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一级管护</w:t>
            </w:r>
            <w:r/>
          </w:p>
        </w:tc>
        <w:tc>
          <w:tcPr>
            <w:gridSpan w:val="2"/>
            <w:tcW w:w="218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二级管护</w:t>
            </w:r>
            <w:r/>
          </w:p>
        </w:tc>
        <w:tc>
          <w:tcPr>
            <w:gridSpan w:val="2"/>
            <w:tcW w:w="221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三级管护</w:t>
            </w:r>
            <w:r/>
          </w:p>
        </w:tc>
      </w:tr>
      <w:tr>
        <w:trPr>
          <w:jc w:val="center"/>
          <w:trHeight w:val="570"/>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6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24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86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35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6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1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7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41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r>
      <w:tr>
        <w:trPr>
          <w:jc w:val="center"/>
          <w:trHeight w:val="51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26</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骆化南路—骆化北横河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375</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375</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骆化南路—骆化北横河</w:t>
            </w:r>
            <w:r/>
          </w:p>
        </w:tc>
      </w:tr>
      <w:tr>
        <w:trPr>
          <w:jc w:val="center"/>
          <w:trHeight w:val="558"/>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27</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姜张公路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张川路桥—建峰桥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970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970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张川路桥—建峰桥</w:t>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28</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2组横路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海化路—鱼塘</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115</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骆化村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115</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海化路—鱼塘</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29</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丁勇路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通启公路—学生桥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833</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833</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通启公路—学生桥</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85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30</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海阳路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通启公路—河北箱涵</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595</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595</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通启公路—河北箱涵</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8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31</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14组零星路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通启公路—河南箱涵</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656</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656</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通启公路—河南箱涵</w:t>
            </w:r>
            <w:r/>
          </w:p>
        </w:tc>
      </w:tr>
      <w:tr>
        <w:trPr>
          <w:jc w:val="center"/>
          <w:trHeight w:val="70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32</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通启公路—闸桥横河</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1250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1250</w:t>
            </w:r>
            <w:r/>
          </w:p>
        </w:tc>
        <w:tc>
          <w:tcPr>
            <w:tcW w:w="141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通启公路—闸桥横河</w:t>
            </w:r>
            <w:r/>
          </w:p>
        </w:tc>
        <w:tc>
          <w:tcPr>
            <w:tcW w:w="79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33</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共富路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海化路西区域内</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958</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958</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海化路西区域内</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34</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施家小埭路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海化路—姜张公路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997</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997</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海化路—姜张公路</w:t>
            </w:r>
            <w:r/>
          </w:p>
        </w:tc>
      </w:tr>
      <w:tr>
        <w:trPr>
          <w:jc w:val="center"/>
          <w:trHeight w:val="294"/>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35</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9组南路</w:t>
            </w:r>
            <w:r/>
          </w:p>
        </w:tc>
        <w:tc>
          <w:tcPr>
            <w:tcW w:w="158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530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65"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416"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79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530</w:t>
            </w:r>
            <w:r/>
          </w:p>
        </w:tc>
        <w:tc>
          <w:tcPr>
            <w:tcW w:w="141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高速转盘—庙桥路</w:t>
            </w:r>
            <w:r/>
          </w:p>
        </w:tc>
      </w:tr>
    </w:tbl>
    <w:p>
      <w:pPr>
        <w:rPr>
          <w:rFonts w:ascii="仿宋" w:hAnsi="仿宋" w:eastAsia="仿宋" w:cs="仿宋"/>
          <w:sz w:val="24"/>
          <w:szCs w:val="24"/>
        </w:rPr>
        <w:sectPr>
          <w:footnotePr/>
          <w:endnotePr/>
          <w:type w:val="nextPage"/>
          <w:pgSz w:w="16840" w:h="11907" w:orient="landscape"/>
          <w:pgMar w:top="1134" w:right="1361" w:bottom="1134" w:left="1418" w:header="851" w:footer="1247" w:gutter="0"/>
          <w:cols w:num="1" w:sep="0" w:space="720" w:equalWidth="1"/>
          <w:docGrid w:linePitch="360"/>
        </w:sectPr>
      </w:pPr>
      <w:r>
        <w:rPr>
          <w:rFonts w:ascii="仿宋" w:hAnsi="仿宋" w:eastAsia="仿宋" w:cs="仿宋"/>
          <w:sz w:val="24"/>
          <w:szCs w:val="24"/>
        </w:rPr>
      </w:r>
      <w:r/>
    </w:p>
    <w:p>
      <w:pPr>
        <w:jc w:val="center"/>
        <w:rPr>
          <w:rFonts w:ascii="仿宋" w:hAnsi="仿宋" w:eastAsia="仿宋" w:cs="仿宋"/>
          <w:sz w:val="24"/>
          <w:szCs w:val="24"/>
        </w:rPr>
      </w:pPr>
      <w:r>
        <w:rPr>
          <w:rFonts w:hint="eastAsia" w:ascii="仿宋" w:hAnsi="仿宋" w:eastAsia="仿宋" w:cs="仿宋"/>
          <w:sz w:val="24"/>
          <w:szCs w:val="24"/>
        </w:rPr>
        <w:t xml:space="preserve">小海街道农村“五位一体”主要道路汇总表（五）</w:t>
      </w:r>
      <w:r/>
    </w:p>
    <w:tbl>
      <w:tblPr>
        <w:tblW w:w="1506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704"/>
        <w:gridCol w:w="1276"/>
        <w:gridCol w:w="1580"/>
        <w:gridCol w:w="1066"/>
        <w:gridCol w:w="1050"/>
        <w:gridCol w:w="1058"/>
        <w:gridCol w:w="1247"/>
        <w:gridCol w:w="869"/>
        <w:gridCol w:w="1351"/>
        <w:gridCol w:w="891"/>
        <w:gridCol w:w="1290"/>
        <w:gridCol w:w="978"/>
        <w:gridCol w:w="1701"/>
      </w:tblGrid>
      <w:tr>
        <w:trPr>
          <w:jc w:val="center"/>
          <w:trHeight w:val="150"/>
        </w:trPr>
        <w:tc>
          <w:tcPr>
            <w:tcW w:w="704"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序号</w:t>
            </w:r>
            <w:r/>
          </w:p>
        </w:tc>
        <w:tc>
          <w:tcPr>
            <w:tcW w:w="127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道路名称</w:t>
            </w:r>
            <w:r/>
          </w:p>
        </w:tc>
        <w:tc>
          <w:tcPr>
            <w:gridSpan w:val="3"/>
            <w:tcW w:w="369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基本情况</w:t>
            </w:r>
            <w:r/>
          </w:p>
        </w:tc>
        <w:tc>
          <w:tcPr>
            <w:gridSpan w:val="8"/>
            <w:tcW w:w="938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其中</w:t>
            </w:r>
            <w:r/>
          </w:p>
        </w:tc>
      </w:tr>
      <w:tr>
        <w:trPr>
          <w:jc w:val="center"/>
          <w:trHeight w:val="255"/>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1066"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总长（m）</w:t>
            </w:r>
            <w:r/>
          </w:p>
        </w:tc>
        <w:tc>
          <w:tcPr>
            <w:tcW w:w="1050" w:type="dxa"/>
            <w:vAlign w:val="center"/>
            <w:vMerge w:val="restart"/>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所在村</w:t>
            </w:r>
            <w:r/>
          </w:p>
        </w:tc>
        <w:tc>
          <w:tcPr>
            <w:gridSpan w:val="2"/>
            <w:tcW w:w="2305"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全天侯管护</w:t>
            </w:r>
            <w:r/>
          </w:p>
        </w:tc>
        <w:tc>
          <w:tcPr>
            <w:gridSpan w:val="2"/>
            <w:tcW w:w="222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一级管护</w:t>
            </w:r>
            <w:r/>
          </w:p>
        </w:tc>
        <w:tc>
          <w:tcPr>
            <w:gridSpan w:val="2"/>
            <w:tcW w:w="218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二级管护</w:t>
            </w:r>
            <w:r/>
          </w:p>
        </w:tc>
        <w:tc>
          <w:tcPr>
            <w:gridSpan w:val="2"/>
            <w:tcW w:w="267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三级管护</w:t>
            </w:r>
            <w:r/>
          </w:p>
        </w:tc>
      </w:tr>
      <w:tr>
        <w:trPr>
          <w:jc w:val="center"/>
          <w:trHeight w:val="570"/>
        </w:trPr>
        <w:tc>
          <w:tcPr>
            <w:tcW w:w="704"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27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58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66"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0" w:type="dxa"/>
            <w:vAlign w:val="center"/>
            <w:vMerge w:val="continue"/>
            <w:textDirection w:val="lrTb"/>
            <w:noWrap w:val="false"/>
          </w:tcPr>
          <w:p>
            <w:pPr>
              <w:jc w:val="center"/>
              <w:widowControl/>
              <w:rPr>
                <w:rFonts w:ascii="仿宋" w:hAnsi="仿宋" w:eastAsia="仿宋" w:cs="仿宋"/>
                <w:sz w:val="24"/>
                <w:szCs w:val="24"/>
              </w:rPr>
            </w:pPr>
            <w:r>
              <w:rPr>
                <w:rFonts w:ascii="仿宋" w:hAnsi="仿宋" w:eastAsia="仿宋" w:cs="仿宋"/>
                <w:sz w:val="24"/>
                <w:szCs w:val="24"/>
              </w:rPr>
            </w:r>
            <w:r/>
          </w:p>
        </w:tc>
        <w:tc>
          <w:tcPr>
            <w:tcW w:w="105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247"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869"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35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89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290"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c>
          <w:tcPr>
            <w:tcW w:w="978"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长度</w:t>
            </w:r>
            <w:r/>
          </w:p>
          <w:p>
            <w:pPr>
              <w:jc w:val="center"/>
              <w:widowControl/>
              <w:rPr>
                <w:rFonts w:ascii="仿宋" w:hAnsi="仿宋" w:eastAsia="仿宋" w:cs="仿宋"/>
                <w:sz w:val="24"/>
                <w:szCs w:val="24"/>
              </w:rPr>
            </w:pPr>
            <w:r>
              <w:rPr>
                <w:rFonts w:hint="eastAsia" w:ascii="仿宋" w:hAnsi="仿宋" w:eastAsia="仿宋" w:cs="仿宋"/>
                <w:sz w:val="24"/>
                <w:szCs w:val="24"/>
              </w:rPr>
              <w:t xml:space="preserve">（m)</w:t>
            </w:r>
            <w:r/>
          </w:p>
        </w:tc>
        <w:tc>
          <w:tcPr>
            <w:tcW w:w="1701"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起讫位置</w:t>
            </w:r>
            <w:r/>
          </w:p>
        </w:tc>
      </w:tr>
      <w:tr>
        <w:trPr>
          <w:jc w:val="center"/>
          <w:trHeight w:val="46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36</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8组横路</w:t>
            </w:r>
            <w:r/>
          </w:p>
        </w:tc>
        <w:tc>
          <w:tcPr>
            <w:tcW w:w="158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740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740</w:t>
            </w:r>
            <w:r/>
          </w:p>
        </w:tc>
        <w:tc>
          <w:tcPr>
            <w:tcW w:w="170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高整主盘—姜张公路</w:t>
            </w:r>
            <w:r/>
          </w:p>
        </w:tc>
      </w:tr>
      <w:tr>
        <w:trPr>
          <w:jc w:val="center"/>
          <w:trHeight w:val="32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37</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老大队部横路</w:t>
            </w:r>
            <w:r/>
          </w:p>
        </w:tc>
        <w:tc>
          <w:tcPr>
            <w:tcW w:w="158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414</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414</w:t>
            </w:r>
            <w:r/>
          </w:p>
        </w:tc>
        <w:tc>
          <w:tcPr>
            <w:tcW w:w="170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庙桥路—姜张公路</w:t>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38</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5组横路</w:t>
            </w:r>
            <w:r/>
          </w:p>
        </w:tc>
        <w:tc>
          <w:tcPr>
            <w:tcW w:w="158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923</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923</w:t>
            </w:r>
            <w:r/>
          </w:p>
        </w:tc>
        <w:tc>
          <w:tcPr>
            <w:tcW w:w="170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海化路—姜张公路</w:t>
            </w:r>
            <w:r/>
          </w:p>
        </w:tc>
      </w:tr>
      <w:tr>
        <w:trPr>
          <w:jc w:val="center"/>
          <w:trHeight w:val="22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39</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庙桥南路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庙桥路—姜张公路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406</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406</w:t>
            </w:r>
            <w:r/>
          </w:p>
        </w:tc>
        <w:tc>
          <w:tcPr>
            <w:tcW w:w="129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庙桥路—姜张公路</w:t>
            </w:r>
            <w:r/>
          </w:p>
        </w:tc>
        <w:tc>
          <w:tcPr>
            <w:tcW w:w="97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70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40</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朝阳闸—通启大桥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1870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200</w:t>
            </w:r>
            <w:r/>
          </w:p>
        </w:tc>
        <w:tc>
          <w:tcPr>
            <w:tcW w:w="1247"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通启桥-庙桥路</w:t>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1670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庙桥路-朝阳闸</w:t>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70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435"/>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41</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姜张公路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通启大桥—张川路桥</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2210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200</w:t>
            </w:r>
            <w:r/>
          </w:p>
        </w:tc>
        <w:tc>
          <w:tcPr>
            <w:tcW w:w="1247"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通启桥-工业园区</w:t>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2010</w:t>
            </w:r>
            <w:r/>
          </w:p>
        </w:tc>
        <w:tc>
          <w:tcPr>
            <w:tcW w:w="135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工业园区-张川路桥</w:t>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70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570"/>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42</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通启公路—铁路</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1890</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1890</w:t>
            </w:r>
            <w:r/>
          </w:p>
        </w:tc>
        <w:tc>
          <w:tcPr>
            <w:tcW w:w="129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通启公路—铁路</w:t>
            </w:r>
            <w:r/>
          </w:p>
        </w:tc>
        <w:tc>
          <w:tcPr>
            <w:tcW w:w="97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70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r>
        <w:trPr>
          <w:jc w:val="center"/>
          <w:trHeight w:val="331"/>
        </w:trPr>
        <w:tc>
          <w:tcPr>
            <w:tcW w:w="704"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43</w:t>
            </w:r>
            <w:r/>
          </w:p>
        </w:tc>
        <w:tc>
          <w:tcPr>
            <w:tcW w:w="1276"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零星路</w:t>
            </w:r>
            <w:r/>
          </w:p>
        </w:tc>
        <w:tc>
          <w:tcPr>
            <w:tcW w:w="158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通启公路往北（2条）</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676</w:t>
            </w:r>
            <w:r/>
          </w:p>
        </w:tc>
        <w:tc>
          <w:tcPr>
            <w:tcW w:w="105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庙桥村</w:t>
            </w:r>
            <w:r/>
          </w:p>
        </w:tc>
        <w:tc>
          <w:tcPr>
            <w:tcW w:w="1058"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676</w:t>
            </w:r>
            <w:r/>
          </w:p>
        </w:tc>
        <w:tc>
          <w:tcPr>
            <w:tcW w:w="170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通启公路往北（2条）</w:t>
            </w:r>
            <w:r/>
          </w:p>
        </w:tc>
      </w:tr>
      <w:tr>
        <w:trPr>
          <w:jc w:val="center"/>
          <w:trHeight w:val="272"/>
        </w:trPr>
        <w:tc>
          <w:tcPr>
            <w:gridSpan w:val="3"/>
            <w:tcW w:w="3560"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合计</w:t>
            </w:r>
            <w:r/>
          </w:p>
        </w:tc>
        <w:tc>
          <w:tcPr>
            <w:tcW w:w="1066" w:type="dxa"/>
            <w:vAlign w:val="center"/>
            <w:textDirection w:val="lrTb"/>
            <w:noWrap w:val="false"/>
          </w:tcPr>
          <w:p>
            <w:pPr>
              <w:jc w:val="center"/>
              <w:widowControl/>
              <w:rPr>
                <w:rFonts w:ascii="仿宋" w:hAnsi="仿宋" w:eastAsia="仿宋" w:cs="仿宋"/>
                <w:sz w:val="24"/>
                <w:szCs w:val="24"/>
              </w:rPr>
            </w:pPr>
            <w:r>
              <w:rPr>
                <w:rFonts w:hint="eastAsia" w:ascii="仿宋" w:hAnsi="仿宋" w:eastAsia="仿宋" w:cs="仿宋"/>
                <w:sz w:val="24"/>
                <w:szCs w:val="24"/>
              </w:rPr>
              <w:t xml:space="preserve">38433</w:t>
            </w:r>
            <w:r/>
          </w:p>
        </w:tc>
        <w:tc>
          <w:tcPr>
            <w:tcW w:w="105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105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400</w:t>
            </w:r>
            <w:r/>
          </w:p>
        </w:tc>
        <w:tc>
          <w:tcPr>
            <w:tcW w:w="1247"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69"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11059</w:t>
            </w:r>
            <w:r/>
          </w:p>
        </w:tc>
        <w:tc>
          <w:tcPr>
            <w:tcW w:w="135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891"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15062</w:t>
            </w:r>
            <w:r/>
          </w:p>
        </w:tc>
        <w:tc>
          <w:tcPr>
            <w:tcW w:w="1290"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c>
          <w:tcPr>
            <w:tcW w:w="978" w:type="dxa"/>
            <w:vAlign w:val="center"/>
            <w:textDirection w:val="lrTb"/>
            <w:noWrap w:val="false"/>
          </w:tcPr>
          <w:p>
            <w:pPr>
              <w:jc w:val="left"/>
              <w:widowControl/>
              <w:rPr>
                <w:rFonts w:ascii="仿宋" w:hAnsi="仿宋" w:eastAsia="仿宋" w:cs="仿宋"/>
                <w:sz w:val="24"/>
                <w:szCs w:val="24"/>
              </w:rPr>
            </w:pPr>
            <w:r>
              <w:rPr>
                <w:rFonts w:hint="eastAsia" w:ascii="仿宋" w:hAnsi="仿宋" w:eastAsia="仿宋" w:cs="仿宋"/>
                <w:sz w:val="24"/>
                <w:szCs w:val="24"/>
              </w:rPr>
              <w:t xml:space="preserve">11912</w:t>
            </w:r>
            <w:r/>
          </w:p>
        </w:tc>
        <w:tc>
          <w:tcPr>
            <w:tcW w:w="1701" w:type="dxa"/>
            <w:vAlign w:val="center"/>
            <w:textDirection w:val="lrTb"/>
            <w:noWrap w:val="false"/>
          </w:tcPr>
          <w:p>
            <w:pPr>
              <w:jc w:val="left"/>
              <w:widowControl/>
              <w:rPr>
                <w:rFonts w:ascii="仿宋" w:hAnsi="仿宋" w:eastAsia="仿宋" w:cs="仿宋"/>
                <w:sz w:val="24"/>
                <w:szCs w:val="24"/>
              </w:rPr>
            </w:pPr>
            <w:r>
              <w:rPr>
                <w:rFonts w:ascii="仿宋" w:hAnsi="仿宋" w:eastAsia="仿宋" w:cs="仿宋"/>
                <w:sz w:val="24"/>
                <w:szCs w:val="24"/>
              </w:rPr>
            </w:r>
            <w:r/>
          </w:p>
        </w:tc>
      </w:tr>
    </w:tbl>
    <w:p>
      <w:pPr>
        <w:ind w:firstLine="480"/>
        <w:jc w:val="left"/>
        <w:widowControl/>
        <w:rPr>
          <w:rFonts w:ascii="仿宋" w:hAnsi="仿宋" w:eastAsia="仿宋" w:cs="仿宋"/>
          <w:sz w:val="24"/>
          <w:szCs w:val="24"/>
        </w:rPr>
        <w:sectPr>
          <w:footnotePr/>
          <w:endnotePr/>
          <w:type w:val="nextPage"/>
          <w:pgSz w:w="16838" w:h="11906" w:orient="landscape"/>
          <w:pgMar w:top="1803" w:right="1440" w:bottom="1803" w:left="1440" w:header="851" w:footer="992" w:gutter="0"/>
          <w:cols w:num="1" w:sep="0" w:space="720" w:equalWidth="1"/>
          <w:docGrid w:linePitch="360"/>
        </w:sectPr>
      </w:pPr>
      <w:r>
        <w:rPr>
          <w:rFonts w:ascii="仿宋" w:hAnsi="仿宋" w:eastAsia="仿宋" w:cs="仿宋"/>
          <w:sz w:val="24"/>
          <w:szCs w:val="24"/>
        </w:rPr>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全天侯管护：每天进行一次全面清扫，保洁时间不得少于7个小时，保洁期间对零星垃圾随见随捡。其中，通启公路、通启桥周边、姜张公路的保洁员，分别不得少于5人、1人、2人。一级管护：每天对路面进行一次全面清扫。二级管护：两天对路面进行一次全面清扫。三级管护：三天对路面进行一次全面清扫。</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附件1：小海路网示意图 ；附件2：小海河道示意图</w:t>
      </w:r>
      <w:r/>
    </w:p>
    <w:p>
      <w:pPr>
        <w:rPr>
          <w:rFonts w:ascii="仿宋" w:hAnsi="仿宋" w:eastAsia="仿宋" w:cs="仿宋"/>
          <w:bCs/>
          <w:sz w:val="32"/>
          <w:szCs w:val="32"/>
        </w:rPr>
      </w:pPr>
      <w:r>
        <w:rPr>
          <w:rFonts w:ascii="仿宋" w:hAnsi="仿宋" w:eastAsia="仿宋" w:cs="仿宋"/>
          <w:bCs/>
          <w:sz w:val="32"/>
          <w:szCs w:val="32"/>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ind w:firstLine="883"/>
        <w:jc w:val="center"/>
        <w:spacing w:line="480" w:lineRule="auto"/>
        <w:rPr>
          <w:rFonts w:ascii="仿宋" w:hAnsi="仿宋" w:eastAsia="仿宋" w:cs="仿宋"/>
          <w:b/>
          <w:bCs/>
          <w:sz w:val="44"/>
          <w:szCs w:val="44"/>
        </w:rPr>
      </w:pPr>
      <w:r>
        <w:rPr>
          <w:rFonts w:ascii="仿宋" w:hAnsi="仿宋" w:eastAsia="仿宋" w:cs="仿宋"/>
          <w:b/>
          <w:bCs/>
          <w:sz w:val="44"/>
          <w:szCs w:val="44"/>
        </w:rPr>
      </w:r>
      <w:r/>
    </w:p>
    <w:p>
      <w:pPr>
        <w:spacing w:line="480" w:lineRule="auto"/>
        <w:rPr>
          <w:rFonts w:ascii="仿宋" w:hAnsi="仿宋" w:eastAsia="仿宋" w:cs="仿宋"/>
          <w:b/>
          <w:bCs/>
          <w:sz w:val="44"/>
          <w:szCs w:val="44"/>
        </w:rPr>
      </w:pPr>
      <w:r>
        <w:rPr>
          <w:rFonts w:ascii="仿宋" w:hAnsi="仿宋" w:eastAsia="仿宋" w:cs="仿宋"/>
          <w:b/>
          <w:bCs/>
          <w:sz w:val="44"/>
          <w:szCs w:val="44"/>
        </w:rPr>
      </w:r>
      <w:r/>
    </w:p>
    <w:p>
      <w:pPr>
        <w:spacing w:line="480" w:lineRule="auto"/>
        <w:rPr>
          <w:rFonts w:ascii="仿宋" w:hAnsi="仿宋" w:eastAsia="仿宋" w:cs="仿宋"/>
          <w:b/>
          <w:bCs/>
          <w:sz w:val="44"/>
          <w:szCs w:val="44"/>
        </w:rPr>
      </w:pPr>
      <w:r>
        <w:rPr>
          <w:rFonts w:ascii="仿宋" w:hAnsi="仿宋" w:eastAsia="仿宋" w:cs="仿宋"/>
          <w:b/>
          <w:bCs/>
          <w:sz w:val="44"/>
          <w:szCs w:val="44"/>
        </w:rPr>
      </w:r>
      <w:r/>
    </w:p>
    <w:p>
      <w:pPr>
        <w:spacing w:line="480" w:lineRule="auto"/>
        <w:rPr>
          <w:rFonts w:ascii="仿宋" w:hAnsi="仿宋" w:eastAsia="仿宋" w:cs="仿宋"/>
          <w:b/>
          <w:bCs/>
          <w:sz w:val="44"/>
          <w:szCs w:val="44"/>
        </w:rPr>
      </w:pPr>
      <w:r>
        <w:rPr>
          <w:rFonts w:ascii="仿宋" w:hAnsi="仿宋" w:eastAsia="仿宋" w:cs="仿宋"/>
          <w:b/>
          <w:bCs/>
          <w:sz w:val="44"/>
          <w:szCs w:val="44"/>
        </w:rPr>
      </w:r>
      <w:r/>
    </w:p>
    <w:p>
      <w:pPr>
        <w:spacing w:line="480" w:lineRule="auto"/>
        <w:rPr>
          <w:rFonts w:ascii="仿宋" w:hAnsi="仿宋" w:eastAsia="仿宋" w:cs="仿宋"/>
          <w:b/>
          <w:bCs/>
          <w:sz w:val="44"/>
          <w:szCs w:val="44"/>
        </w:rPr>
      </w:pPr>
      <w:r>
        <w:rPr>
          <w:rFonts w:ascii="仿宋" w:hAnsi="仿宋" w:eastAsia="仿宋" w:cs="仿宋"/>
          <w:b/>
          <w:bCs/>
          <w:sz w:val="44"/>
          <w:szCs w:val="44"/>
        </w:rPr>
      </w:r>
      <w:r/>
    </w:p>
    <w:p>
      <w:pPr>
        <w:spacing w:line="480" w:lineRule="auto"/>
        <w:rPr>
          <w:rFonts w:ascii="仿宋" w:hAnsi="仿宋" w:eastAsia="仿宋" w:cs="仿宋"/>
          <w:b/>
          <w:bCs/>
          <w:sz w:val="44"/>
          <w:szCs w:val="44"/>
        </w:rPr>
      </w:pPr>
      <w:r>
        <w:rPr>
          <w:rFonts w:ascii="仿宋" w:hAnsi="仿宋" w:eastAsia="仿宋" w:cs="仿宋"/>
          <w:b/>
          <w:bCs/>
          <w:sz w:val="44"/>
          <w:szCs w:val="44"/>
        </w:rPr>
      </w:r>
      <w:r/>
    </w:p>
    <w:p>
      <w:pPr>
        <w:jc w:val="center"/>
        <w:spacing w:line="480" w:lineRule="auto"/>
        <w:rPr>
          <w:rFonts w:ascii="仿宋" w:hAnsi="仿宋" w:eastAsia="仿宋" w:cs="仿宋"/>
          <w:b/>
          <w:bCs/>
          <w:sz w:val="44"/>
          <w:szCs w:val="44"/>
        </w:rPr>
      </w:pPr>
      <w:r>
        <w:rPr>
          <w:rFonts w:hint="eastAsia" w:ascii="仿宋" w:hAnsi="仿宋" w:eastAsia="仿宋" w:cs="仿宋"/>
          <w:b/>
          <w:bCs/>
          <w:sz w:val="44"/>
          <w:szCs w:val="44"/>
        </w:rPr>
        <w:t xml:space="preserve">第四章合同条款及格式</w:t>
      </w:r>
      <w:r/>
    </w:p>
    <w:p>
      <w:pPr>
        <w:jc w:val="center"/>
        <w:spacing w:line="560" w:lineRule="exact"/>
        <w:rPr>
          <w:rFonts w:ascii="仿宋" w:hAnsi="仿宋" w:eastAsia="仿宋" w:cs="黑体"/>
          <w:bCs/>
          <w:spacing w:val="23"/>
          <w:sz w:val="44"/>
          <w:szCs w:val="44"/>
        </w:rPr>
      </w:pPr>
      <w:r>
        <w:rPr>
          <w:rFonts w:hint="eastAsia" w:ascii="仿宋" w:hAnsi="仿宋" w:eastAsia="仿宋" w:cs="黑体"/>
          <w:bCs/>
          <w:spacing w:val="23"/>
          <w:sz w:val="44"/>
          <w:szCs w:val="44"/>
        </w:rPr>
        <w:t xml:space="preserve">小海街道镇区大环境保洁服务项目合同</w:t>
      </w:r>
      <w:r/>
    </w:p>
    <w:p>
      <w:pPr>
        <w:jc w:val="center"/>
        <w:spacing w:line="560" w:lineRule="exact"/>
        <w:rPr>
          <w:rFonts w:ascii="仿宋" w:hAnsi="仿宋" w:eastAsia="仿宋" w:cs="黑体"/>
          <w:bCs/>
          <w:spacing w:val="23"/>
          <w:sz w:val="44"/>
          <w:szCs w:val="44"/>
        </w:rPr>
      </w:pPr>
      <w:r>
        <w:rPr>
          <w:rFonts w:hint="eastAsia" w:ascii="仿宋" w:hAnsi="仿宋" w:eastAsia="仿宋" w:cs="黑体"/>
          <w:bCs/>
          <w:spacing w:val="23"/>
          <w:sz w:val="44"/>
          <w:szCs w:val="44"/>
        </w:rPr>
        <w:t xml:space="preserve">（2026年版）</w:t>
      </w:r>
      <w:r/>
    </w:p>
    <w:p>
      <w:pPr>
        <w:spacing w:line="560" w:lineRule="exact"/>
        <w:rPr>
          <w:rFonts w:ascii="仿宋" w:hAnsi="仿宋" w:eastAsia="仿宋" w:cs="仿宋"/>
          <w:bCs/>
          <w:spacing w:val="23"/>
          <w:sz w:val="32"/>
          <w:szCs w:val="32"/>
        </w:rPr>
      </w:pPr>
      <w:r>
        <w:rPr>
          <w:rFonts w:ascii="仿宋" w:hAnsi="仿宋" w:eastAsia="仿宋" w:cs="仿宋"/>
          <w:bCs/>
          <w:spacing w:val="23"/>
          <w:sz w:val="32"/>
          <w:szCs w:val="32"/>
        </w:rPr>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甲方： 南通市小海街道办事处</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乙方：</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甲乙双方根据《中华人民共和国民法典》及相关法律法规的规定，遵循平等互利、自愿、诚实信用的原则，按双方就小海街道大环境保洁服务项目事项，经协商一致，达成如下协议：</w:t>
      </w:r>
      <w:r/>
    </w:p>
    <w:p>
      <w:pPr>
        <w:ind w:firstLine="480"/>
        <w:spacing w:line="480" w:lineRule="exact"/>
        <w:rPr>
          <w:rFonts w:ascii="仿宋" w:hAnsi="仿宋" w:eastAsia="仿宋" w:cs="仿宋"/>
          <w:sz w:val="24"/>
          <w:szCs w:val="24"/>
        </w:rPr>
      </w:pPr>
      <w:r>
        <w:rPr>
          <w:rFonts w:hint="eastAsia" w:ascii="黑体" w:hAnsi="黑体" w:eastAsia="黑体" w:cs="黑体"/>
          <w:sz w:val="24"/>
          <w:szCs w:val="24"/>
        </w:rPr>
        <w:t xml:space="preserve">一、服务范围：</w:t>
      </w:r>
      <w:r>
        <w:rPr>
          <w:rFonts w:hint="eastAsia" w:ascii="仿宋" w:hAnsi="仿宋" w:eastAsia="仿宋" w:cs="仿宋"/>
          <w:sz w:val="24"/>
          <w:szCs w:val="24"/>
        </w:rPr>
        <w:t xml:space="preserve">包括五个部分，即小海街道镇区大环境保洁、农村环境“五位一体”保洁、小广告（俗称牛皮癣）、泵站日常巡查与管护及城管平台案件及投诉受（处）理。</w:t>
      </w:r>
      <w:r/>
    </w:p>
    <w:p>
      <w:pPr>
        <w:ind w:firstLine="480"/>
        <w:spacing w:line="480" w:lineRule="exact"/>
        <w:rPr>
          <w:rFonts w:ascii="仿宋" w:hAnsi="仿宋" w:eastAsia="仿宋" w:cs="仿宋"/>
          <w:sz w:val="24"/>
          <w:szCs w:val="24"/>
        </w:rPr>
      </w:pPr>
      <w:r>
        <w:rPr>
          <w:rFonts w:hint="eastAsia" w:ascii="楷体" w:hAnsi="楷体" w:eastAsia="楷体" w:cs="楷体"/>
          <w:sz w:val="24"/>
          <w:szCs w:val="24"/>
        </w:rPr>
        <w:t xml:space="preserve">镇区大环境保洁范围：</w:t>
      </w:r>
      <w:r>
        <w:rPr>
          <w:rFonts w:hint="eastAsia" w:ascii="仿宋" w:hAnsi="仿宋" w:eastAsia="仿宋" w:cs="仿宋"/>
          <w:sz w:val="24"/>
          <w:szCs w:val="24"/>
        </w:rPr>
        <w:t xml:space="preserve">东至姜张公路、西至裤子港河、北至通沪大道（创新区暂除外）、南至通启河，含道路及外侧绿化带视线范围内区域。</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1、镇区大环境保洁内容：</w:t>
      </w:r>
      <w:r>
        <w:rPr>
          <w:rFonts w:hint="eastAsia" w:ascii="仿宋" w:hAnsi="仿宋" w:eastAsia="仿宋" w:cs="仿宋"/>
          <w:sz w:val="24"/>
          <w:szCs w:val="24"/>
        </w:rPr>
        <w:t xml:space="preserve">为镇区内的次干道、背街后巷、机耕路等道路，泯沟、渔塘、公厕(老市场、建行）及绿化带保洁。居民住宅区的垃圾收集、清运；执法队东侧、望川路东城市微治理项目（校外劳动教育基地）及通启桥原农贸市场和原公交车站周边城市微治理项目的绿化修剪、环境保洁、杂物清理；小海公墓（安息堂）焚烧垃圾的清运；所负责区域内果壳箱维护。</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2、镇区城管平台案件及投诉受（处）理：</w:t>
      </w:r>
      <w:r>
        <w:rPr>
          <w:rFonts w:hint="eastAsia" w:ascii="仿宋" w:hAnsi="仿宋" w:eastAsia="仿宋" w:cs="仿宋"/>
          <w:sz w:val="24"/>
          <w:szCs w:val="24"/>
        </w:rPr>
        <w:t xml:space="preserve">镇区范围内的“12345”“12319”等城管平台涉及到服务范围内的举报投诉案件的处理。</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3、农村“五位一体”保洁范围：</w:t>
      </w:r>
      <w:r>
        <w:rPr>
          <w:rFonts w:hint="eastAsia" w:ascii="仿宋" w:hAnsi="仿宋" w:eastAsia="仿宋" w:cs="仿宋"/>
          <w:sz w:val="24"/>
          <w:szCs w:val="24"/>
        </w:rPr>
        <w:t xml:space="preserve">小海街道辖区内除镇区以外区域内的道路清扫，非等级河道保洁，垃圾收集清运，绿化及农田基础设施管护。</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4、小广告（俗称牛皮癣）：</w:t>
      </w:r>
      <w:r>
        <w:rPr>
          <w:rFonts w:hint="eastAsia" w:ascii="仿宋" w:hAnsi="仿宋" w:eastAsia="仿宋" w:cs="仿宋"/>
          <w:sz w:val="24"/>
          <w:szCs w:val="24"/>
        </w:rPr>
        <w:t xml:space="preserve">镇区范围内的所有主次干道、背街后巷等乱张贴、乱涂写、乱覆盖等小广告（俗称城市牛皮癣）清理（创新区暂除外）。</w:t>
      </w:r>
      <w:r/>
    </w:p>
    <w:p>
      <w:pPr>
        <w:ind w:firstLine="482"/>
        <w:spacing w:line="480" w:lineRule="exact"/>
        <w:rPr>
          <w:rFonts w:ascii="仿宋" w:hAnsi="仿宋" w:eastAsia="仿宋" w:cs="仿宋"/>
          <w:sz w:val="24"/>
          <w:szCs w:val="24"/>
        </w:rPr>
      </w:pPr>
      <w:r>
        <w:rPr>
          <w:rFonts w:hint="eastAsia" w:ascii="仿宋" w:hAnsi="仿宋" w:eastAsia="仿宋" w:cs="仿宋"/>
          <w:b/>
          <w:bCs/>
          <w:sz w:val="24"/>
          <w:szCs w:val="24"/>
        </w:rPr>
        <w:t xml:space="preserve">5、泵站日常巡查和管护：</w:t>
      </w:r>
      <w:r>
        <w:rPr>
          <w:rFonts w:hint="eastAsia" w:ascii="仿宋" w:hAnsi="仿宋" w:eastAsia="仿宋" w:cs="仿宋"/>
          <w:sz w:val="24"/>
          <w:szCs w:val="24"/>
        </w:rPr>
        <w:t xml:space="preserve">镇区范围内的现有四个泵站每日巡查、定期管护、隐患跟踪、闭环反馈、规范记录、安全值守（不良天候时），保障泵站水电系统完好稳定运行。</w:t>
      </w:r>
      <w:r/>
    </w:p>
    <w:p>
      <w:pPr>
        <w:ind w:firstLine="480"/>
        <w:spacing w:line="480" w:lineRule="exact"/>
        <w:rPr>
          <w:rFonts w:ascii="黑体" w:hAnsi="黑体" w:eastAsia="黑体" w:cs="黑体"/>
          <w:sz w:val="24"/>
          <w:szCs w:val="24"/>
        </w:rPr>
      </w:pPr>
      <w:r>
        <w:rPr>
          <w:rFonts w:hint="eastAsia" w:ascii="黑体" w:hAnsi="黑体" w:eastAsia="黑体" w:cs="黑体"/>
          <w:sz w:val="24"/>
          <w:szCs w:val="24"/>
        </w:rPr>
        <w:t xml:space="preserve">二、服务事项</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（一）镇区（负责范围内）</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1、道路保洁包括快车道、慢车道、人行道及区域内的农路，含公交站台、果壳箱、交通</w:t>
      </w:r>
      <w:r>
        <w:rPr>
          <w:rFonts w:hint="eastAsia" w:ascii="仿宋" w:hAnsi="仿宋" w:eastAsia="仿宋" w:cs="仿宋"/>
          <w:sz w:val="24"/>
          <w:szCs w:val="24"/>
        </w:rPr>
        <w:t xml:space="preserve">隔离带、绿化带保洁，道路路肩杂草清除等。外围道路有交通信号指示灯的交汇处等，一律延伸50m保洁区域。</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2、非等级河道保洁：包括有名称河道、无名宅沟、丰产沟、水塘的水面漂浮物、河坡杂物及垃圾的清理保洁。</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3、老街、农民街及城市微治理项目（游园）保洁：落实专人负责，日清日理。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4、确保垃圾“日产日清”，镇区内生活垃圾需送至南通开发区垃圾中转站处置。</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5、各社区界外所有绿化带内（含广场）的零星垃圾、果壳箱内的垃圾收集、清运（不包括绿化管护）。</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6、镇区城管平台案件处理和12345投诉受理。包括镇区大环境范围内以及小海商城园区内的偷倒建筑垃圾、其它垃圾的处置，道路两侧无主建筑垃圾覆盖及清理。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7、执法队东侧空地、海川路东城市微治理项目（校处劳动教育基地）周边绿化养护、树枝修剪、杂草根除及基础设施保洁养护等。</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8、通启大桥处原农贸市场店铺前后及原公交车站周边设施维护、城市微治理项目（游园）绿化修剪、杂草根除、杂物清理，严禁有种植行为。</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9、小海公墓（安息堂）焚烧垃圾的清运。</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（二）农村</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1、道路保洁：划定区域共有不同等级道路43条（段），根据地理位置和人、车流量，划分管护等级。需按要求分段到人，落实管护责任。</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2、非等级河道保洁：对表中指定的河道，必须实施专人、定时保洁。</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垃圾收集清运：确保农田、绿地不得有暴露垃圾。原则上以原每个行政村为单位，在主干道旁设置2个垃圾桶集装点，由保洁员收集零星住户的生活垃圾，以便机械化车辆的收装运送。成交单位对企业垃圾应实施有偿清运。</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（三）小广告</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镇区范围内的所有主次干道、背街后巷等乱张贴、乱涂写、乱覆盖小广告（俗称牛皮癣）等，分东、西两个片区由2名清洁人员按照“日见日清”、“应盖尽盖”、“同色覆盖”的要求，落实具体人负责。</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（四）泵站日常巡查和管护</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镇区范围内的现有四个泵站，必须指定有低压电工资质专业人员进行每日巡查、定期管护、隐患跟踪、闭环反馈、规范记录、安全值守（不良天候时），保障泵站水电系统完好稳定运行。</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（五）镇区城管平台案件及投诉受（处）理。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镇区范围内的“12319”、“12345”等城管平台（投诉）涉及到服务范围内的举报投诉</w:t>
      </w:r>
      <w:r>
        <w:rPr>
          <w:rFonts w:hint="eastAsia" w:ascii="仿宋" w:hAnsi="仿宋" w:eastAsia="仿宋" w:cs="仿宋"/>
          <w:sz w:val="24"/>
          <w:szCs w:val="24"/>
        </w:rPr>
        <w:t xml:space="preserve">案件的处理。</w:t>
      </w:r>
      <w:r/>
    </w:p>
    <w:p>
      <w:pPr>
        <w:ind w:left="420" w:firstLine="240"/>
        <w:spacing w:line="480" w:lineRule="exact"/>
        <w:rPr>
          <w:rFonts w:ascii="黑体" w:hAnsi="黑体" w:eastAsia="黑体" w:cs="黑体"/>
          <w:sz w:val="24"/>
          <w:szCs w:val="24"/>
        </w:rPr>
      </w:pPr>
      <w:r>
        <w:rPr>
          <w:rFonts w:hint="eastAsia" w:ascii="黑体" w:hAnsi="黑体" w:eastAsia="黑体" w:cs="黑体"/>
          <w:sz w:val="24"/>
          <w:szCs w:val="24"/>
        </w:rPr>
        <w:t xml:space="preserve">三、服务标准</w:t>
      </w:r>
      <w:r/>
    </w:p>
    <w:p>
      <w:pPr>
        <w:ind w:left="420" w:firstLine="240"/>
        <w:spacing w:line="480" w:lineRule="exact"/>
        <w:rPr>
          <w:rFonts w:ascii="楷体" w:hAnsi="楷体" w:eastAsia="楷体" w:cs="楷体"/>
          <w:sz w:val="24"/>
          <w:szCs w:val="24"/>
        </w:rPr>
      </w:pPr>
      <w:r>
        <w:rPr>
          <w:rFonts w:hint="eastAsia" w:ascii="楷体" w:hAnsi="楷体" w:eastAsia="楷体" w:cs="楷体"/>
          <w:sz w:val="24"/>
          <w:szCs w:val="24"/>
        </w:rPr>
        <w:t xml:space="preserve">（一）镇区（负责范围内）</w:t>
      </w:r>
      <w:r/>
    </w:p>
    <w:p>
      <w:pPr>
        <w:ind w:left="420" w:firstLine="241"/>
        <w:spacing w:line="480" w:lineRule="exact"/>
        <w:rPr>
          <w:rFonts w:ascii="仿宋" w:hAnsi="仿宋" w:eastAsia="仿宋" w:cs="仿宋"/>
          <w:b/>
          <w:bCs/>
          <w:sz w:val="24"/>
          <w:szCs w:val="24"/>
        </w:rPr>
      </w:pPr>
      <w:r>
        <w:rPr>
          <w:rFonts w:hint="eastAsia" w:ascii="仿宋" w:hAnsi="仿宋" w:eastAsia="仿宋" w:cs="仿宋"/>
          <w:b/>
          <w:bCs/>
          <w:sz w:val="24"/>
          <w:szCs w:val="24"/>
        </w:rPr>
        <w:t xml:space="preserve">1、道路保洁要求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机械清扫作业每日应避开上下班交通高峰，作业时间为早3:00-8:00。人工保洁每日作业时间：早5:30—10:00、下午14:00—17:30；（根据季节由发包单位进行调整）。有垃圾桶、箱的地段，必须在当天早晨6:00前完成清运，整条路必须保持全天无垃圾、杂物，做到随产随清。</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按照“一把扫帚扫到边（根）”的要求，快车道、慢车道、人行道、公交站台、交通隔离栏、绿化带、杆线亭箱、边沟、树穴、墙角等保持整洁；道路做到无白色垃圾，无散落垃圾，无积泥、积水、杂草、污迹，窨井眼畅通。遇民间化库残物，需及时清除。</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（3）路面清扫保洁与街巷等支路交界处应交错延伸，不得有盲区。街道、居民区、企业外围道路两侧视线范围内干净，无暴露垃圾、无散落垃圾。</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（4）清扫垃圾及时收集，不得往道路两侧绿化、河道等区域中倾倒，不得将垃圾、积泥扫入道路两侧的绿化、河道或下水道。</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（5）尽量采用机械化清扫道路，不适清扫车路段，必须每天人工清扫一次。</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（6）落叶季节要提高清扫频率，及时清扫行车道内落叶；遇到降雪及不良气候时，应及时铲雪作业和参与防台防汛作业。</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（7）落实包干制，积极协助维护管护镇区环境的义务，及时发现和制止车辆抛洒、偷倒建筑渣土、装潢垃圾等情况。一旦发生因施工车辆抛洒导致路面污染或偷倒建筑渣土、装潢垃圾等情况，负责及时清运。</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（8）及时收集果壳箱内垃圾，保持果壳箱内外清洁、无抛洒、留存垃圾。保持果壳箱完好，垃圾分类标识完好度。</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（9）除小区以外，合理布置垃圾收集点，及时收集垃圾和清洁垃圾收集器皿（通启路沿线不需设置垃圾桶、箱）。</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（10）必须在镇区域范围内拥有车辆停车场及办公地点。</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2、河、塘、沟等保洁要求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（1）对非等级河道、泯沟、河塘等水面垃圾、漂浮物、水生物，及时打捞、捡拾收集至指定地点。</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（2）河坡、沟塘坡视线范围内无漂浮垃圾，无乱堆放物。河坡、沟塘坡应保持干净，无杂草。</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3、城市微治理（游园）保洁要求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参照道路保洁、绿化养护及杂草根除保持常态状态，达到“应清尽清”、“应扫尽扫”管理养护效果。</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4、公厕保洁要求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两个公厕（建行、老市场）落实专人适时保洁。</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5、垃圾清运要求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（1）镇区垃圾按照通启路两侧垃圾上午6:00前，其余路段上午7：00前完成清运、收集，做到桶不外溢，确保路、台、面全天无垃圾、杂物。</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（2）按装卸垃圾作业时保持密闭、无噪音，禁止抛洒滴漏，不得超重、超高运输；作业后，实现地干净、桶归位、路整洁，确保收集箱（桶）周围1米范围内无杂物、散落垃圾和污水。</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（3）收集垃圾投送须及时运至指定垃圾压缩站，服从工作人员的安排或调度，严禁乱倒、乱卸、自行填埋或焚烧。</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（4）自觉接受主管部门和监督人员明确清理道旁乱倒垃圾杂物。</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（5）收集箱（桶）应定期进行擦洗保洁，保持完好，做到无明显积尘、蛛网、污垢、无焚烧痕迹；保证垃圾箱（桶）四周环境整洁，地面干净，无积水，箱体和桶体无破损、无乱涂写、乱张贴现象。</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6、小海商城（南北）园区保洁要求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（1）园区（居民区）内道路及绿化与镇区道路保洁要求相同，园区北侧店面门前及绿化带纳入园区保洁范围；</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（2）园区内生产经营户有生活垃圾产生的，由成交单位与其协商一致后合理布置垃圾收集点，摆放垃圾桶、箱，并及时收集垃圾和清洁垃圾收集器皿。</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（3）园区（居民区）内暴露垃圾一律由成交单位负责清理。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（4）园区（居民区）内的偷倒建筑垃圾、其它垃圾的处置，道路两侧无主建筑垃圾的绿网覆盖、清理。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（5）园区（居民区）内草皮维护、杂草清理，以及树枝修剪。</w:t>
      </w:r>
      <w:r/>
    </w:p>
    <w:p>
      <w:pPr>
        <w:ind w:firstLine="480"/>
        <w:spacing w:line="480" w:lineRule="exact"/>
        <w:rPr>
          <w:rFonts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7、指定区域的绿化带修剪、除草</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（1）海川路南段（断头路）两侧绿化除草修剪。</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（2）执法队东侧空地（绿化）、海川路东城市微治理提升项目（校处劳动教育基地）根据季节和日常管理要求，高标准进行绿化养护、树枝修剪、杂草根除及基础设施保洁养护等。</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（3）通启大桥处原庙桥菜市场、原公交车站内等城市微治理提升点位进行设施维护、环境保洁、绿化修剪、杂草根除等无乱种植行为。垃圾站（点）周边无污渍、无抛散垃圾。</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（4）农民街、老街等周边环境日清日理，保持干净整治，无异味、无杂草、无乱堆放。</w:t>
      </w:r>
      <w:r>
        <w:rPr>
          <w:rFonts w:hint="eastAsia" w:ascii="仿宋" w:hAnsi="仿宋" w:eastAsia="仿宋" w:cs="仿宋"/>
          <w:sz w:val="24"/>
          <w:szCs w:val="24"/>
        </w:rPr>
        <w:t xml:space="preserve">积极配合城市执法对农民街完成规范化、常态化、长效化治理。</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（二）农村</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1、道路：对43个路段划分为不同级别保洁管护。</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全天侯管护：每天进行一次全面清扫，保洁时间不得少于6个小时，保洁期间对零星垃圾随见随捡。其中，通启公路、通启桥周边、姜张公路的保洁员，分别不得少于5人、1人、2人。</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一级管护：每天对路面进行一次全面清扫。</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二级管护：两天对路面进行一次全面清扫。</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三级管护：三天对路面进行一次全面清扫。</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通启公路、姜张公路（含道沟向内30m）两侧无高草（不得高于10cm）、堆物，路面及两侧视线范围内无暴露、积存垃圾。辖区内无暴露、积存垃圾。</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2、非等级河道、泯沟、沟塘：（1）水面无垃圾漂浮物；（2）坡岸整洁、无垃圾、无杂物堆放。打捞的水生杂草、垃圾、漂浮物按要求送往垃圾处理点处置，不得随意倾倒，移位污染。</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3、垃圾收运：定期收集，当日清运，处理当日生活垃圾后需确保垃圾桶周边整洁。</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4、农户：村民房前屋后环境整洁、无积存垃圾。</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5、绿化：对河道、道路两侧已有绿化进行有效管护。</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（三）小广告</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所有主次干道、背街后巷等乱张贴、乱涂写、乱覆盖小广告（俗称牛皮癣）等，分东、西两个片区，落实2名清洁人员负责，基本达到“日见日清”、“应盖尽盖”、“同色覆盖”的清理要求。特殊情况需要加班，无条件服从甲方安排，不计加班费。如超出合同规定范围的工程量另计费用。</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（四）泵站日常巡查和管护（经发办负责）</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镇区范围内的现有四个泵站，必须指定有低压电工资质专业人员进行每日巡查、定期管护、隐患跟踪、闭环反馈、规范记录、安全值守（不良天候时），保障泵站水电系统完好稳定运行。标准为：</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1、日常：设备除尘、场地清理、杂物打捞、发生渗漏及时报备。</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2、季度：格栅清污、隐患排查、跟踪闭环、配电室清扫及打捞。</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3、年度：负责对接协助完成电气紧固测试、电机绝缘检测、闸门除锈保养、管路检查。</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（五）镇区城管平台案件及投诉受（处）理。</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镇区范围内的“12319”、“12345”等城管平台（投诉）涉及到服务范围内的举报投诉案件的处理，按照规定时限完成清理，清理结果及时上报反馈。</w:t>
      </w:r>
      <w:r/>
    </w:p>
    <w:p>
      <w:pPr>
        <w:ind w:firstLine="480"/>
        <w:spacing w:line="480" w:lineRule="exact"/>
        <w:rPr>
          <w:rFonts w:ascii="楷体" w:hAnsi="楷体" w:eastAsia="楷体" w:cs="楷体"/>
          <w:sz w:val="24"/>
          <w:szCs w:val="24"/>
        </w:rPr>
      </w:pPr>
      <w:r>
        <w:rPr>
          <w:rFonts w:hint="eastAsia" w:ascii="楷体" w:hAnsi="楷体" w:eastAsia="楷体" w:cs="楷体"/>
          <w:sz w:val="24"/>
          <w:szCs w:val="24"/>
        </w:rPr>
        <w:t xml:space="preserve">（六）其他</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1、人员及设备</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人员要求：最低26人，一线保洁人员20人，清理小广告2人，男性年龄不得高于62周岁，女性年龄不超过58周岁；低压电工1人，年龄不超过国家规定标准。项目负责人1人，管理人员2人，原则上管理岗人员年龄不得高于60周岁；作业人员必须定岗定人定位，如有变动，须事先通知采购人，便于检查考核。</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（2）设备基本要求：总质量8.5吨以下6.5吨以上的扫路车1辆、高压冲洗车1辆、后装式压缩车2辆、皮卡1辆；轻便雾炮冲洗车1辆、三轮保洁车辆（含人工或电动）10辆，一线保洁人员按路段配备。</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2、响应供应商供应商必须遵守劳动法，依法规范用工，人员工资应不低于当年的南通市最低工资标准，人员保险按规定缴纳，加班费用支付按政策法规规定执行。</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3、当班作业人员、管理人员、车辆配备及作业时间不低于响应书组织方案中的要求。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4、按采购人要求在每半年最后一个月的28日前向采购人提交一份相关运行资料，包括但不限于从业人员信息、工资和加班费发放、车辆信息和自查考核情况等，并确保资料信息的真实性和规范性。</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5、环卫作业人员年龄要求：按国家相关规定和要求。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6、响应供应商承担所有环卫作业人员及管理人员的安全责任及费用，为保洁人员办理好人身意外伤害等险种，做好岗前培训，承包期内所发生的一切事故均由承包方自行负责。</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7、响应供应商应为作业人员提供统一的工作服（含反光背心）及必要的劳动防护用品。作业人员作业过程中必须统一着装、佩戴反光背心。</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8、管理人员（含一名项目负责人）必须专职，年龄不大于60周岁，具有丰富的环卫保洁和道路保洁管理经验。</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9、采购人根据工作需要召开会议，成交单位的法定代表或项目负责人必须准时参加。</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10、响应供应商配备的各类清扫车、保洁车等设备需满足作业任务量的要求，车辆型号及外观色调必须与招标时一致。保洁三轮车应使用人力或电动车辆（自备）。所有车辆外观整洁，车容车况良好，车上无乱挂放，工具摆放整齐。</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11、机动作业车辆需安装GPS装置，GPS装置的初装费、服务费和车身整饰费由响应供应商承担。</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12、各种车辆驾驶员具备相应的机动车驾驶证。机动和电动作业车辆，具备合法完备的手续（机动车登记证书、车辆行驶证要在检验有效期内），所产生费用及发生事故责任均由成交单位承担。</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13、作业人员遵守纪律，无迟到、早退现象、无拾荒行为，无聚堆闲聊、瞌睡或做与工作无关之事。</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14、作业文明，采取有效措施减少扬尘、噪音、污水、占道等作业扰民现象。</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15、“12345”政府服务热线、新闻媒体、数字城管、“五位一体”等整改需在规定时限内处理完毕。</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16、在文明城市、卫生城市创建迎查阶段及其他上级重要检查阶段，成交单位需按照招标单位要求开展重点部位突击整治，确保迎查达标。</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17、黑色道路（含农民街水泥路）保洁采取机械进行每天清扫；人行道等其它机行道路由人工清扫。公交站台、交通隔离栏、绿化带、杆线亭箱等由人工全日制保洁（包含拣脏、清除、清洗、除草等）。清扫、拣脏等产生的垃圾运送至采购人指定地点。</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18、遇有重大检查或保障活动，成交单位需无条件服从采购人的安排，按照响应文件中制定的《应急突击方案》实施。</w:t>
      </w:r>
      <w:r/>
    </w:p>
    <w:p>
      <w:pPr>
        <w:ind w:firstLine="480"/>
        <w:spacing w:line="480" w:lineRule="exact"/>
        <w:rPr>
          <w:rFonts w:ascii="黑体" w:hAnsi="黑体" w:eastAsia="黑体" w:cs="黑体"/>
          <w:bCs/>
          <w:sz w:val="24"/>
          <w:szCs w:val="24"/>
        </w:rPr>
      </w:pPr>
      <w:r>
        <w:rPr>
          <w:rFonts w:hint="eastAsia" w:ascii="黑体" w:hAnsi="黑体" w:eastAsia="黑体" w:cs="黑体"/>
          <w:bCs/>
          <w:sz w:val="24"/>
          <w:szCs w:val="24"/>
        </w:rPr>
        <w:t xml:space="preserve">四、考核要求</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根据本标准所提服务范围、服务事项、服务要求，结合《国家卫生城市考核验收细则》、建设部《城市环境卫生质量标准》、《南通市文明城市考核测评标准》等文件制定考核办法。如遇上级政策规定变化，小海街道办事处可对考核内容和方式进行调整，解释权归小海街道办事处所有。</w:t>
      </w:r>
      <w:r/>
    </w:p>
    <w:p>
      <w:pPr>
        <w:ind w:firstLine="480"/>
        <w:spacing w:line="420" w:lineRule="exact"/>
        <w:rPr>
          <w:rFonts w:ascii="楷体" w:hAnsi="楷体" w:eastAsia="楷体" w:cs="楷体"/>
          <w:sz w:val="24"/>
          <w:szCs w:val="24"/>
        </w:rPr>
      </w:pPr>
      <w:r>
        <w:rPr>
          <w:rFonts w:hint="eastAsia" w:ascii="楷体" w:hAnsi="楷体" w:eastAsia="楷体" w:cs="楷体"/>
          <w:sz w:val="24"/>
          <w:szCs w:val="24"/>
        </w:rPr>
        <w:t xml:space="preserve">（一）考核方式</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考核分为镇区考核和农村环境“五位一体”考核，镇区考核按照百分制进行月度考核，农村环境“五位一体”（除镇区外其余街道辖区）考核按照月度现场考核扣分情况扣除相应费用，个别事项单独处罚。考核统一采取按元/分扣罚制。</w:t>
      </w:r>
      <w:r/>
    </w:p>
    <w:p>
      <w:pPr>
        <w:ind w:firstLine="482"/>
        <w:spacing w:line="420" w:lineRule="exact"/>
        <w:rPr>
          <w:rFonts w:ascii="仿宋" w:hAnsi="仿宋" w:eastAsia="仿宋" w:cs="仿宋"/>
          <w:b/>
          <w:bCs/>
          <w:sz w:val="24"/>
          <w:szCs w:val="24"/>
        </w:rPr>
      </w:pPr>
      <w:r>
        <w:rPr>
          <w:rFonts w:hint="eastAsia" w:ascii="仿宋" w:hAnsi="仿宋" w:eastAsia="仿宋" w:cs="仿宋"/>
          <w:b/>
          <w:bCs/>
          <w:sz w:val="24"/>
          <w:szCs w:val="24"/>
        </w:rPr>
        <w:t xml:space="preserve">1、镇区考核。</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（1）采购人每月分项目不定次数组织集中考核，该部分考核分占比60%：</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a、次干道随机抽考一条道路的200米；</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b、对公交车站、公厕等公共保洁点位随机各抽查一处，不定点抽查保洁人员及保洁设备情况。</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（2）市区级长效办重大活动检查通报中，涉及镇区大环境相关问题视同考核扣分事项，同步列入本级考核处罚范围。后续长效检查常态实施后，相关检查评定成绩占比30%。</w:t>
      </w:r>
      <w:r/>
    </w:p>
    <w:p>
      <w:pPr>
        <w:ind w:firstLine="480"/>
        <w:spacing w:line="420" w:lineRule="exact"/>
        <w:rPr>
          <w:rFonts w:ascii="仿宋" w:hAnsi="仿宋" w:eastAsia="仿宋" w:cs="仿宋"/>
          <w:sz w:val="24"/>
          <w:szCs w:val="24"/>
        </w:rPr>
      </w:pPr>
      <w:r>
        <w:rPr>
          <w:rFonts w:hint="eastAsia" w:ascii="仿宋" w:hAnsi="仿宋" w:eastAsia="仿宋" w:cs="仿宋"/>
          <w:sz w:val="24"/>
          <w:szCs w:val="24"/>
        </w:rPr>
        <w:t xml:space="preserve">（3）街道外聘第三方考核，街道门店（主次干道、商业大街）、街道门店（背街后巷）等月度考核成绩占比10%。</w:t>
      </w:r>
      <w:r/>
    </w:p>
    <w:tbl>
      <w:tblPr>
        <w:tblpPr w:horzAnchor="page" w:tblpX="1598" w:vertAnchor="text" w:tblpY="398" w:leftFromText="180" w:topFromText="0" w:rightFromText="180" w:bottomFromText="0"/>
        <w:tblW w:w="90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5169"/>
        <w:gridCol w:w="1030"/>
        <w:gridCol w:w="2042"/>
      </w:tblGrid>
      <w:tr>
        <w:trPr>
          <w:trHeight w:val="345"/>
        </w:trPr>
        <w:tc>
          <w:tcPr>
            <w:tcW w:w="803"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项目</w:t>
            </w:r>
            <w:r/>
          </w:p>
        </w:tc>
        <w:tc>
          <w:tcPr>
            <w:tcW w:w="5169"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检查内容</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扣分</w:t>
            </w:r>
            <w:r/>
          </w:p>
        </w:tc>
        <w:tc>
          <w:tcPr>
            <w:tcBorders>
              <w:left w:val="none" w:color="000000" w:sz="4" w:space="0"/>
            </w:tcBorders>
            <w:tcW w:w="2042"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备注</w:t>
            </w:r>
            <w:r/>
          </w:p>
        </w:tc>
      </w:tr>
      <w:tr>
        <w:trPr>
          <w:trHeight w:val="379"/>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人员</w:t>
            </w:r>
            <w:r/>
          </w:p>
          <w:p>
            <w:pPr>
              <w:jc w:val="center"/>
              <w:rPr>
                <w:rFonts w:ascii="仿宋" w:hAnsi="仿宋" w:eastAsia="仿宋" w:cs="仿宋"/>
                <w:sz w:val="18"/>
                <w:szCs w:val="18"/>
              </w:rPr>
            </w:pPr>
            <w:r>
              <w:rPr>
                <w:rFonts w:hint="eastAsia" w:ascii="仿宋" w:hAnsi="仿宋" w:eastAsia="仿宋" w:cs="仿宋"/>
                <w:sz w:val="18"/>
                <w:szCs w:val="18"/>
              </w:rPr>
              <w:t xml:space="preserve">管理</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未穿统一着装，佩戴安全标志（反光背心）</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1分/人次</w:t>
            </w:r>
            <w:r/>
          </w:p>
        </w:tc>
        <w:tc>
          <w:tcPr>
            <w:tcBorders>
              <w:left w:val="none" w:color="000000" w:sz="4" w:space="0"/>
            </w:tcBorders>
            <w:tcW w:w="2042" w:type="dxa"/>
            <w:vAlign w:val="center"/>
            <w:vMerge w:val="restart"/>
            <w:textDirection w:val="lrTb"/>
            <w:noWrap w:val="false"/>
          </w:tcPr>
          <w:p>
            <w:pPr>
              <w:jc w:val="left"/>
              <w:rPr>
                <w:rFonts w:ascii="仿宋" w:hAnsi="仿宋" w:eastAsia="仿宋" w:cs="仿宋"/>
                <w:sz w:val="15"/>
                <w:szCs w:val="15"/>
              </w:rPr>
            </w:pPr>
            <w:r>
              <w:rPr>
                <w:rFonts w:hint="eastAsia" w:ascii="仿宋" w:hAnsi="仿宋" w:eastAsia="仿宋" w:cs="仿宋"/>
                <w:sz w:val="15"/>
                <w:szCs w:val="15"/>
              </w:rPr>
              <w:t xml:space="preserve">首次100元/分，年内二次以上加倍处罚；私自收费被举报查实的，除返还外，按2000元/次处罚。酒后作业造成社会影响初次被举报的，合同总价降3-5%。</w:t>
            </w:r>
            <w:r/>
          </w:p>
        </w:tc>
      </w:tr>
      <w:tr>
        <w:trPr>
          <w:trHeight w:val="32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环卫形象较差，与服务对象发生争执且存在私自收费现象</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3分/人次</w:t>
            </w:r>
            <w:r/>
          </w:p>
        </w:tc>
        <w:tc>
          <w:tcPr>
            <w:tcBorders>
              <w:left w:val="none" w:color="000000" w:sz="4" w:space="0"/>
            </w:tcBorders>
            <w:tcW w:w="2042" w:type="dxa"/>
            <w:vAlign w:val="center"/>
            <w:vMerge w:val="continue"/>
            <w:textDirection w:val="lrTb"/>
            <w:noWrap w:val="false"/>
          </w:tcPr>
          <w:p>
            <w:pPr>
              <w:jc w:val="left"/>
              <w:rPr>
                <w:rFonts w:ascii="仿宋" w:hAnsi="仿宋" w:eastAsia="仿宋" w:cs="仿宋"/>
                <w:sz w:val="15"/>
                <w:szCs w:val="15"/>
              </w:rPr>
            </w:pPr>
            <w:r>
              <w:rPr>
                <w:rFonts w:ascii="仿宋" w:hAnsi="仿宋" w:eastAsia="仿宋" w:cs="仿宋"/>
                <w:sz w:val="15"/>
                <w:szCs w:val="15"/>
              </w:rPr>
            </w:r>
            <w:r/>
          </w:p>
        </w:tc>
      </w:tr>
      <w:tr>
        <w:trPr>
          <w:trHeight w:val="372"/>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酒后作业查实且未造成社会影响的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5"/>
                <w:szCs w:val="15"/>
              </w:rPr>
              <w:t xml:space="preserve">10分/人次</w:t>
            </w:r>
            <w:r/>
          </w:p>
        </w:tc>
        <w:tc>
          <w:tcPr>
            <w:tcBorders>
              <w:left w:val="none" w:color="000000" w:sz="4" w:space="0"/>
            </w:tcBorders>
            <w:tcW w:w="2042" w:type="dxa"/>
            <w:vAlign w:val="center"/>
            <w:vMerge w:val="continue"/>
            <w:textDirection w:val="lrTb"/>
            <w:noWrap w:val="false"/>
          </w:tcPr>
          <w:p>
            <w:pPr>
              <w:jc w:val="left"/>
              <w:rPr>
                <w:rFonts w:ascii="仿宋" w:hAnsi="仿宋" w:eastAsia="仿宋" w:cs="仿宋"/>
                <w:sz w:val="15"/>
                <w:szCs w:val="15"/>
              </w:rPr>
            </w:pPr>
            <w:r>
              <w:rPr>
                <w:rFonts w:ascii="仿宋" w:hAnsi="仿宋" w:eastAsia="仿宋" w:cs="仿宋"/>
                <w:sz w:val="15"/>
                <w:szCs w:val="15"/>
              </w:rPr>
            </w:r>
            <w:r/>
          </w:p>
        </w:tc>
      </w:tr>
      <w:tr>
        <w:trPr>
          <w:trHeight w:val="301"/>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路面</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垃圾乱倒乱扔或扫入窨井、绿化、河道或焚烧垃圾</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5分/次</w:t>
            </w:r>
            <w:r/>
          </w:p>
        </w:tc>
        <w:tc>
          <w:tcPr>
            <w:tcBorders>
              <w:left w:val="none" w:color="000000" w:sz="4" w:space="0"/>
            </w:tcBorders>
            <w:tcW w:w="2042" w:type="dxa"/>
            <w:vAlign w:val="center"/>
            <w:vMerge w:val="restart"/>
            <w:textDirection w:val="lrTb"/>
            <w:noWrap w:val="false"/>
          </w:tcPr>
          <w:p>
            <w:pPr>
              <w:jc w:val="left"/>
              <w:rPr>
                <w:rFonts w:ascii="仿宋" w:hAnsi="仿宋" w:eastAsia="仿宋" w:cs="仿宋"/>
                <w:sz w:val="15"/>
                <w:szCs w:val="15"/>
              </w:rPr>
            </w:pPr>
            <w:r>
              <w:rPr>
                <w:rFonts w:hint="eastAsia" w:ascii="仿宋" w:hAnsi="仿宋" w:eastAsia="仿宋" w:cs="仿宋"/>
                <w:sz w:val="15"/>
                <w:szCs w:val="15"/>
              </w:rPr>
              <w:t xml:space="preserve">首次50元/分，年内发现垃圾乱倒，卫生死角未清，绿化未修剪及杂草不清理等二次以上的按100元/分处罚。发生被举报的按1000元/次处罚。</w:t>
            </w:r>
            <w:r/>
          </w:p>
        </w:tc>
      </w:tr>
      <w:tr>
        <w:trPr>
          <w:trHeight w:val="284"/>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卫生死角明显，且交办未报原因清理不到位的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1分/次</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2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道路两旁、绿化带、树穴有烟头、果皮等漂浮（白色）垃圾物</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86"/>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路面、路牙有积泥或杂草的（大于＞1.0平方米）</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1分/块</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22"/>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机械化作业每天清扫不及时（特殊天气除外）</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3分/天</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43"/>
        </w:trPr>
        <w:tc>
          <w:tcPr>
            <w:tcW w:w="803"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沟塘</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河、塘水面岸坡有水生作物、杂物、漂浮垃圾</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1分/处</w:t>
            </w:r>
            <w:r/>
          </w:p>
        </w:tc>
        <w:tc>
          <w:tcPr>
            <w:tcBorders>
              <w:left w:val="none" w:color="000000" w:sz="4" w:space="0"/>
            </w:tcBorders>
            <w:tcW w:w="2042"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按100元/分处罚</w:t>
            </w:r>
            <w:r/>
          </w:p>
        </w:tc>
      </w:tr>
      <w:tr>
        <w:trPr>
          <w:trHeight w:val="279"/>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垃圾</w:t>
            </w:r>
            <w:r/>
          </w:p>
          <w:p>
            <w:pPr>
              <w:jc w:val="center"/>
              <w:rPr>
                <w:rFonts w:ascii="仿宋" w:hAnsi="仿宋" w:eastAsia="仿宋" w:cs="仿宋"/>
                <w:sz w:val="18"/>
                <w:szCs w:val="18"/>
              </w:rPr>
            </w:pPr>
            <w:r>
              <w:rPr>
                <w:rFonts w:hint="eastAsia" w:ascii="仿宋" w:hAnsi="仿宋" w:eastAsia="仿宋" w:cs="仿宋"/>
                <w:sz w:val="18"/>
                <w:szCs w:val="18"/>
              </w:rPr>
              <w:t xml:space="preserve">清运</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道路旁有积陈垃圾堆放袋、物的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积陈垃圾堆放物100元/分；垃圾桶脏破标识不清按100元/桶；其它按50元/处。</w:t>
            </w:r>
            <w:r/>
          </w:p>
        </w:tc>
      </w:tr>
      <w:tr>
        <w:trPr>
          <w:trHeight w:val="258"/>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垃圾桶外表脏，标识不清晰，桶身破损的</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2分/桶</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94"/>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垃圾堆放点占道、扰民、不日清、有遗漏</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217"/>
        </w:trPr>
        <w:tc>
          <w:tcPr>
            <w:tcW w:w="803"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工作结束车容不洁</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302"/>
        </w:trPr>
        <w:tc>
          <w:tcPr>
            <w:tcW w:w="803"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公共设施</w:t>
            </w:r>
            <w:r/>
          </w:p>
          <w:p>
            <w:pPr>
              <w:jc w:val="center"/>
              <w:rPr>
                <w:rFonts w:ascii="仿宋" w:hAnsi="仿宋" w:eastAsia="仿宋" w:cs="仿宋"/>
                <w:sz w:val="18"/>
                <w:szCs w:val="18"/>
              </w:rPr>
            </w:pPr>
            <w:r>
              <w:rPr>
                <w:rFonts w:hint="eastAsia" w:ascii="仿宋" w:hAnsi="仿宋" w:eastAsia="仿宋" w:cs="仿宋"/>
                <w:sz w:val="18"/>
                <w:szCs w:val="18"/>
              </w:rPr>
              <w:t xml:space="preserve">维护</w:t>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公交站台周边有垃圾、烟头、痰迹、积尘等，站牌上被乱涂写、乱张贴等</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2分/处</w:t>
            </w:r>
            <w:r/>
          </w:p>
        </w:tc>
        <w:tc>
          <w:tcPr>
            <w:tcBorders>
              <w:left w:val="none" w:color="000000" w:sz="4" w:space="0"/>
            </w:tcBorders>
            <w:tcW w:w="2042" w:type="dxa"/>
            <w:vAlign w:val="center"/>
            <w:vMerge w:val="restart"/>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公共设施维护不到位按50元/分（次）</w:t>
            </w:r>
            <w:r/>
          </w:p>
        </w:tc>
      </w:tr>
      <w:tr>
        <w:trPr>
          <w:trHeight w:val="261"/>
        </w:trPr>
        <w:tc>
          <w:tcPr>
            <w:tcW w:w="803" w:type="dxa"/>
            <w:vAlign w:val="center"/>
            <w:vMerge w:val="continue"/>
            <w:textDirection w:val="lrTb"/>
            <w:noWrap w:val="false"/>
          </w:tcPr>
          <w:p>
            <w:pP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公共厕所清洁不到位</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3分/次</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r>
        <w:trPr>
          <w:trHeight w:val="353"/>
        </w:trPr>
        <w:tc>
          <w:tcPr>
            <w:tcW w:w="803" w:type="dxa"/>
            <w:vAlign w:val="center"/>
            <w:vMerge w:val="continue"/>
            <w:textDirection w:val="lrTb"/>
            <w:noWrap w:val="false"/>
          </w:tcPr>
          <w:p>
            <w:pPr>
              <w:rPr>
                <w:rFonts w:ascii="仿宋" w:hAnsi="仿宋" w:eastAsia="仿宋" w:cs="仿宋"/>
                <w:sz w:val="18"/>
                <w:szCs w:val="18"/>
              </w:rPr>
            </w:pPr>
            <w:r>
              <w:rPr>
                <w:rFonts w:ascii="仿宋" w:hAnsi="仿宋" w:eastAsia="仿宋" w:cs="仿宋"/>
                <w:sz w:val="18"/>
                <w:szCs w:val="18"/>
              </w:rPr>
            </w:r>
            <w:r/>
          </w:p>
        </w:tc>
        <w:tc>
          <w:tcPr>
            <w:tcW w:w="5169" w:type="dxa"/>
            <w:vAlign w:val="center"/>
            <w:textDirection w:val="lrTb"/>
            <w:noWrap w:val="false"/>
          </w:tcPr>
          <w:p>
            <w:pPr>
              <w:rPr>
                <w:rFonts w:ascii="仿宋" w:hAnsi="仿宋" w:eastAsia="仿宋" w:cs="仿宋"/>
                <w:sz w:val="18"/>
                <w:szCs w:val="18"/>
              </w:rPr>
            </w:pPr>
            <w:r>
              <w:rPr>
                <w:rFonts w:hint="eastAsia" w:ascii="仿宋" w:hAnsi="仿宋" w:eastAsia="仿宋" w:cs="仿宋"/>
                <w:sz w:val="18"/>
                <w:szCs w:val="18"/>
              </w:rPr>
              <w:t xml:space="preserve">通启路隔离栏等公共基础设施状况维护不到位</w:t>
            </w:r>
            <w:r/>
          </w:p>
        </w:tc>
        <w:tc>
          <w:tcPr>
            <w:tcBorders>
              <w:left w:val="none" w:color="000000" w:sz="4" w:space="0"/>
            </w:tcBorders>
            <w:tcW w:w="1030" w:type="dxa"/>
            <w:vAlign w:val="center"/>
            <w:textDirection w:val="lrTb"/>
            <w:noWrap w:val="false"/>
          </w:tcPr>
          <w:p>
            <w:pPr>
              <w:jc w:val="center"/>
              <w:rPr>
                <w:rFonts w:ascii="仿宋" w:hAnsi="仿宋" w:eastAsia="仿宋" w:cs="仿宋"/>
                <w:sz w:val="18"/>
                <w:szCs w:val="18"/>
              </w:rPr>
            </w:pPr>
            <w:r>
              <w:rPr>
                <w:rFonts w:hint="eastAsia" w:ascii="仿宋" w:hAnsi="仿宋" w:eastAsia="仿宋" w:cs="仿宋"/>
                <w:sz w:val="18"/>
                <w:szCs w:val="18"/>
              </w:rPr>
              <w:t xml:space="preserve">3分/处</w:t>
            </w:r>
            <w:r/>
          </w:p>
        </w:tc>
        <w:tc>
          <w:tcPr>
            <w:tcBorders>
              <w:left w:val="none" w:color="000000" w:sz="4" w:space="0"/>
            </w:tcBorders>
            <w:tcW w:w="2042" w:type="dxa"/>
            <w:vAlign w:val="center"/>
            <w:vMerge w:val="continue"/>
            <w:textDirection w:val="lrTb"/>
            <w:noWrap w:val="false"/>
          </w:tcPr>
          <w:p>
            <w:pPr>
              <w:jc w:val="center"/>
              <w:rPr>
                <w:rFonts w:ascii="仿宋" w:hAnsi="仿宋" w:eastAsia="仿宋" w:cs="仿宋"/>
                <w:sz w:val="18"/>
                <w:szCs w:val="18"/>
              </w:rPr>
            </w:pPr>
            <w:r>
              <w:rPr>
                <w:rFonts w:ascii="仿宋" w:hAnsi="仿宋" w:eastAsia="仿宋" w:cs="仿宋"/>
                <w:sz w:val="18"/>
                <w:szCs w:val="18"/>
              </w:rPr>
            </w:r>
            <w:r/>
          </w:p>
        </w:tc>
      </w:tr>
    </w:tbl>
    <w:p>
      <w:pPr>
        <w:ind w:firstLine="480"/>
        <w:spacing w:line="400" w:lineRule="exact"/>
        <w:rPr>
          <w:rFonts w:ascii="楷体" w:hAnsi="楷体" w:eastAsia="楷体" w:cs="楷体"/>
          <w:sz w:val="24"/>
          <w:szCs w:val="24"/>
        </w:rPr>
      </w:pPr>
      <w:r>
        <w:rPr>
          <w:rFonts w:hint="eastAsia" w:ascii="楷体" w:hAnsi="楷体" w:eastAsia="楷体" w:cs="楷体"/>
          <w:sz w:val="24"/>
          <w:szCs w:val="24"/>
        </w:rPr>
        <w:t xml:space="preserve">2、农村环境“五位一体”考核</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采购人每月进行4次考核，道路考核以通启路、姜张公路、富锋路等重点黑色路面路段为主，每次查1条主干道、1条次干道和1条路上的垃圾桶。到达指定位置后，从下车点向相反方向各查300m的道路进行打分。</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（1）道路。路面及道路两侧10米范围内（通启公路、姜张公路含道沟30米范围内）积存垃圾堆的，按2分/处；道沟30米范围内未及时清理杂草或修剪，按1分/米。</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（2）沟塘。水面漂浮物、恶性水生植物等问题，按2分/处；河坡新增乱堆、乱放的2分/点；清理出的垃圾物未集中处置，随意乱堆乱抛的，按5分/处。</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（3）垃圾清运。垃圾桶装满未清且外溢四周的按2分/处。</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3、小广告清理考核（城管办考核）</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日常检查中按照首次不扣分原则，次日未及时清理的，按1分/处；被上级检查通报的，按2分/处；同一问题连续发生未清理，加倍处罚。乱涂画覆盖不及时或未同色覆盖的，按3分/处。</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4、泵站日常巡查和管护考核（由经发办单独考核）</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（1）巡查管护：场地清理、杂物打捞、发生故障未及时上报的，未对格栅、池体清理导致堵塞的，每次扣100元。</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（2）安全值守：重点时间节点确保设备正常运转，设备异常、隐患未闭环整改的，每次扣100元。</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（3）重大事故责任：因维护方违规作业或工作失误导致设备损坏的，由维护方负责设备维修、更换和相关赔偿责任。</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5、镇区城管平台案件及投诉受（处）理考核（由城管办、执法队考核）。</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镇区范围内的“12319”、“12345”等城管平台（投诉）涉及到服务范围内的举报投诉案件的处理，按照规定时限完成清理，清理结果及时上报反馈。</w:t>
      </w:r>
      <w:r/>
    </w:p>
    <w:p>
      <w:pPr>
        <w:numPr>
          <w:ilvl w:val="0"/>
          <w:numId w:val="2"/>
        </w:num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接诉即办不及时，处置不彻底的，每次扣5分；</w:t>
      </w:r>
      <w:r/>
    </w:p>
    <w:p>
      <w:pPr>
        <w:numPr>
          <w:ilvl w:val="0"/>
          <w:numId w:val="2"/>
        </w:num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交办问题推诿扯皮，处理解决引发矛盾的，每次扣10分。</w:t>
      </w:r>
      <w:r/>
    </w:p>
    <w:p>
      <w:pPr>
        <w:spacing w:line="400" w:lineRule="exact"/>
        <w:rPr>
          <w:rFonts w:ascii="楷体" w:hAnsi="楷体" w:eastAsia="楷体" w:cs="楷体"/>
          <w:sz w:val="24"/>
          <w:szCs w:val="24"/>
        </w:rPr>
      </w:pPr>
      <w:r>
        <w:rPr>
          <w:rFonts w:hint="eastAsia" w:ascii="楷体" w:hAnsi="楷体" w:eastAsia="楷体" w:cs="楷体"/>
          <w:sz w:val="24"/>
          <w:szCs w:val="24"/>
        </w:rPr>
        <w:t xml:space="preserve">（二）考核运用</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1、镇区考核部分，月考核90分（含）--85分的，按实际扣分值扣罚；低于85分（不含）以下的，每分按双倍处罚。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2、农村五位一体每月考核90分（含）以下的，按实际扣分值扣罚，扣款上不封顶。</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3、被12345政府热线、12319数字平台、新闻媒体通报曝光问题未及时整改，以及迎接上级开展环境突击整治不到位、不合格的，按2000-3000元/次扣罚。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4、在市长效办每月组织的考核中，街道门店（主次干道、商业大街）、街道门店（背街后巷）两项考核平均排名进入全市前3位的，有一项奖励3000元；排名倒数3位的，有一项扣除费用6000元。</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5、连续两个月或年度累计3次镇区考核低于80分，或农村外围月度考核连续两个月被扣罚超过1万元以上的，以及重大活动期间因工作不到位造成重大影响的，作违约处理，街道有权解除合同。</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6、考核奖惩结果按月进行汇总统计，计入半年度费用后结算兑现。</w:t>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五、双方权利义务</w:t>
      </w:r>
      <w:r/>
    </w:p>
    <w:p>
      <w:pPr>
        <w:ind w:firstLine="480"/>
        <w:spacing w:line="400" w:lineRule="exact"/>
        <w:rPr>
          <w:rFonts w:ascii="楷体" w:hAnsi="楷体" w:eastAsia="楷体" w:cs="楷体"/>
          <w:sz w:val="24"/>
          <w:szCs w:val="24"/>
        </w:rPr>
      </w:pPr>
      <w:r>
        <w:rPr>
          <w:rFonts w:hint="eastAsia" w:ascii="楷体" w:hAnsi="楷体" w:eastAsia="楷体" w:cs="楷体"/>
          <w:sz w:val="24"/>
          <w:szCs w:val="24"/>
        </w:rPr>
        <w:t xml:space="preserve">甲方权利义务：</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1.按约定标准对乙方进行考核并支付服务费。</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2.不负责提供保洁人员的休息场所、保洁车辆的停放场所及垃圾倾倒点。</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3.有权因市政道路改造等原因调整承包范围，合同价格不受影响。</w:t>
      </w:r>
      <w:r/>
    </w:p>
    <w:p>
      <w:pPr>
        <w:ind w:firstLine="480"/>
        <w:spacing w:line="400" w:lineRule="exact"/>
        <w:rPr>
          <w:rFonts w:ascii="楷体" w:hAnsi="楷体" w:eastAsia="楷体" w:cs="楷体"/>
          <w:sz w:val="24"/>
          <w:szCs w:val="24"/>
        </w:rPr>
      </w:pPr>
      <w:r>
        <w:rPr>
          <w:rFonts w:hint="eastAsia" w:ascii="楷体" w:hAnsi="楷体" w:eastAsia="楷体" w:cs="楷体"/>
          <w:sz w:val="24"/>
          <w:szCs w:val="24"/>
        </w:rPr>
        <w:t xml:space="preserve">乙方权利义务：</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1.乙方按投标承诺及合同约定标准开展保洁工作，接受甲方管理部门考核。</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2.乙方须依法用工，全员签订劳动合同，为员工缴纳社保及必要的意外伤害保险。</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3.乙方自行承担作业过程中所有安全责任及用工风险。</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4.乙方任命的项目负责人应与投标时参与现场答辩的人员一致，且乙方不得随意将合同服务内容再行转包。</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5.乙方除承担甲方维护、养护镇区大环境义务外，对辖区内发现的车辆抛洒、偷倒建筑垃圾、装潢垃圾等情况应及时制止和上报处理。</w:t>
      </w:r>
      <w:r/>
    </w:p>
    <w:p>
      <w:pPr>
        <w:ind w:firstLine="48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六、服务期限</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合同履约期限为一年，自合同签订之日起一年，合同期满且下一年财政预算保障的前提下，不改变服务范围和合同金额且经采购人考评通过后，可采取壹年一签的方式续签，期限总长不超过三年。合同期内，甲方按月对乙方进行考核。若乙方在合同期内连续三个月度考核得分均低于80分，甲方有权单方终止本合同，且不承担任何违约责任，乙方需在收到通知后1个月内完成交接并退场。</w:t>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七、服务费用及履约保证金</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本合同总价款为人民币¥万元/年（大写：佰 拾万仟元整），费用为乙方履行本合同所发生的所有含税费用，合同执行期间总价款不变。</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履约保证金在合同签订日前按合同总价8%向甲方交纳，金额为人民币¥万元（大写：万仟佰元整）。合同期内乙方私自终止服务或违约导致甲方解除合同的，甲方有权没收履约保证金，不再支付任何未付服务费，并保留追偿损失的权利；合同履行完毕且无违约及质量异议的，甲方在20个工作日内无息退还保证金。</w:t>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八、支付方式</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合同签订后一月内支付10%预付款，发包人自服务期开始之日起每月根据考核办法进行考核，保洁服务费按半年支付一次（6个月1次）。</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2.每次付款前，乙方需向甲方提供等额有效发票及经甲方确认的考核合格证明材料。甲方在收到完整材料后15个工作日内支付。</w:t>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九、违约责任</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甲方未按合同约定支付款项的，逾期按银行同期贷款利率支付利息。</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乙方未能履行合同义务，甲方有权要求限期整改。逾期不整改或整改后仍不达标的，甲方有权单方终止合同，乙方除被没收履约保证金外，还应向甲方支付合同总价5%的违约金，并赔偿甲方全部经济损失。</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甲方有权在乙方服务不满意、考核不合格的情况下，依据本合同约定立即终止合同，乙方不得异议。</w:t>
      </w:r>
      <w:r/>
    </w:p>
    <w:p>
      <w:p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十、其他</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附件《服务范围详单》为本合同不可分割的组成部分，与本合同具有同等法律效力。</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本协议一式四份，双方各执一份，街道财经办公室执一份，街道主管部门留存一份。未尽事宜，依据相关法律法规及双方协商解决。</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本协议自双方签字盖章之日起生效。</w:t>
      </w:r>
      <w:r/>
    </w:p>
    <w:p>
      <w:pPr>
        <w:ind w:firstLine="480"/>
        <w:spacing w:line="400" w:lineRule="exact"/>
        <w:rPr>
          <w:rFonts w:ascii="仿宋" w:hAnsi="仿宋" w:eastAsia="仿宋" w:cs="仿宋"/>
          <w:sz w:val="24"/>
          <w:szCs w:val="24"/>
        </w:rPr>
      </w:pPr>
      <w:r>
        <w:rPr>
          <w:rFonts w:ascii="仿宋" w:hAnsi="仿宋" w:eastAsia="仿宋" w:cs="仿宋"/>
          <w:sz w:val="24"/>
          <w:szCs w:val="24"/>
        </w:rPr>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甲方（公章）：法定代表人：乙方（公章）：</w:t>
      </w:r>
      <w:r>
        <w:rPr>
          <w:rFonts w:hint="eastAsia" w:ascii="仿宋" w:hAnsi="仿宋" w:eastAsia="仿宋" w:cs="仿宋"/>
          <w:sz w:val="24"/>
          <w:szCs w:val="24"/>
        </w:rPr>
        <w:tab/>
        <w:t xml:space="preserve">法定代表人： </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日期：年月日日期：年月日</w:t>
      </w:r>
      <w:r/>
    </w:p>
    <w:p>
      <w:pPr>
        <w:ind w:firstLine="480"/>
        <w:spacing w:line="420" w:lineRule="exact"/>
        <w:rPr>
          <w:rFonts w:ascii="仿宋" w:hAnsi="仿宋" w:eastAsia="仿宋" w:cs="仿宋"/>
          <w:sz w:val="24"/>
          <w:szCs w:val="24"/>
        </w:rPr>
      </w:pPr>
      <w:r>
        <w:rPr>
          <w:rFonts w:ascii="仿宋" w:hAnsi="仿宋" w:eastAsia="仿宋" w:cs="仿宋"/>
          <w:sz w:val="24"/>
          <w:szCs w:val="24"/>
        </w:rPr>
      </w:r>
      <w:r/>
    </w:p>
    <w:p>
      <w:pPr>
        <w:ind w:firstLine="480"/>
        <w:spacing w:line="420" w:lineRule="exact"/>
        <w:rPr>
          <w:rFonts w:ascii="仿宋" w:hAnsi="仿宋" w:eastAsia="仿宋" w:cs="仿宋"/>
          <w:sz w:val="24"/>
          <w:szCs w:val="24"/>
        </w:rPr>
      </w:pPr>
      <w:r>
        <w:rPr>
          <w:rFonts w:ascii="仿宋" w:hAnsi="仿宋" w:eastAsia="仿宋" w:cs="仿宋"/>
          <w:sz w:val="24"/>
          <w:szCs w:val="24"/>
        </w:rPr>
      </w:r>
      <w:r/>
    </w:p>
    <w:p>
      <w:pPr>
        <w:ind w:firstLine="480"/>
        <w:spacing w:line="420" w:lineRule="exact"/>
        <w:rPr>
          <w:rFonts w:ascii="仿宋" w:hAnsi="仿宋" w:eastAsia="仿宋" w:cs="仿宋"/>
          <w:sz w:val="24"/>
          <w:szCs w:val="24"/>
        </w:rPr>
      </w:pPr>
      <w:r>
        <w:rPr>
          <w:rFonts w:ascii="仿宋" w:hAnsi="仿宋" w:eastAsia="仿宋" w:cs="仿宋"/>
          <w:sz w:val="24"/>
          <w:szCs w:val="24"/>
        </w:rPr>
      </w:r>
      <w:r/>
    </w:p>
    <w:p>
      <w:pPr>
        <w:ind w:firstLine="480"/>
        <w:spacing w:line="420" w:lineRule="exact"/>
        <w:rPr>
          <w:rFonts w:ascii="仿宋" w:hAnsi="仿宋" w:eastAsia="仿宋" w:cs="仿宋"/>
          <w:sz w:val="24"/>
          <w:szCs w:val="24"/>
        </w:rPr>
      </w:pPr>
      <w:r>
        <w:rPr>
          <w:rFonts w:ascii="仿宋" w:hAnsi="仿宋" w:eastAsia="仿宋" w:cs="仿宋"/>
          <w:sz w:val="24"/>
          <w:szCs w:val="24"/>
        </w:rPr>
      </w:r>
      <w:r/>
    </w:p>
    <w:p>
      <w:pPr>
        <w:spacing w:line="560" w:lineRule="exact"/>
        <w:rPr>
          <w:rFonts w:ascii="仿宋" w:hAnsi="仿宋" w:eastAsia="仿宋" w:cs="仿宋"/>
          <w:bCs/>
          <w:color w:val="ff0000"/>
          <w:spacing w:val="23"/>
          <w:sz w:val="24"/>
          <w:szCs w:val="24"/>
        </w:rPr>
      </w:pPr>
      <w:r>
        <w:rPr>
          <w:rFonts w:ascii="仿宋" w:hAnsi="仿宋" w:eastAsia="仿宋" w:cs="仿宋"/>
          <w:bCs/>
          <w:color w:val="ff0000"/>
          <w:spacing w:val="23"/>
          <w:sz w:val="24"/>
          <w:szCs w:val="24"/>
        </w:rPr>
      </w:r>
      <w:r/>
    </w:p>
    <w:p>
      <w:pPr>
        <w:rPr>
          <w:rFonts w:ascii="仿宋" w:hAnsi="仿宋" w:eastAsia="仿宋" w:cs="仿宋"/>
          <w:b/>
          <w:bCs/>
          <w:sz w:val="24"/>
          <w:u w:val="single"/>
        </w:rPr>
      </w:pPr>
      <w:r/>
      <w:bookmarkStart w:id="94" w:name="_GoBack"/>
      <w:r/>
      <w:bookmarkEnd w:id="94"/>
      <w:r/>
      <w:r/>
    </w:p>
    <w:p>
      <w:pPr>
        <w:ind w:left="695" w:firstLine="2240"/>
        <w:rPr>
          <w:rFonts w:ascii="仿宋" w:hAnsi="仿宋" w:eastAsia="仿宋" w:cs="仿宋"/>
          <w:bCs/>
          <w:sz w:val="32"/>
          <w:szCs w:val="32"/>
        </w:rPr>
      </w:pPr>
      <w:r>
        <w:rPr>
          <w:rFonts w:hint="eastAsia" w:ascii="仿宋" w:hAnsi="仿宋" w:eastAsia="仿宋" w:cs="仿宋"/>
          <w:bCs/>
          <w:sz w:val="32"/>
          <w:szCs w:val="32"/>
        </w:rPr>
        <w:t xml:space="preserve">第五章  评审方法和评审标准</w:t>
      </w:r>
      <w:r/>
    </w:p>
    <w:p>
      <w:pPr>
        <w:ind w:left="695" w:firstLine="482"/>
        <w:jc w:val="left"/>
        <w:spacing w:line="460" w:lineRule="exact"/>
        <w:rPr>
          <w:rFonts w:ascii="仿宋" w:hAnsi="仿宋" w:eastAsia="仿宋" w:cs="仿宋"/>
          <w:b/>
          <w:sz w:val="24"/>
          <w:szCs w:val="24"/>
        </w:rPr>
      </w:pPr>
      <w:r/>
      <w:bookmarkStart w:id="95" w:name="_Toc363573857"/>
      <w:r/>
      <w:bookmarkEnd w:id="95"/>
      <w:r>
        <w:rPr>
          <w:rFonts w:hint="eastAsia" w:ascii="仿宋" w:hAnsi="仿宋" w:eastAsia="仿宋" w:cs="仿宋"/>
          <w:b/>
          <w:sz w:val="24"/>
          <w:szCs w:val="24"/>
        </w:rPr>
        <w:t xml:space="preserve">一、磋商方式</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不见面远程磋商模式：开标当天各供应商在各自地点通过苏采云系统及时登录不见面开标大厅，参加磋商活动。</w:t>
      </w:r>
      <w:r/>
    </w:p>
    <w:p>
      <w:pPr>
        <w:ind w:left="695" w:firstLine="482"/>
        <w:jc w:val="left"/>
        <w:spacing w:line="460" w:lineRule="exact"/>
        <w:rPr>
          <w:rFonts w:ascii="仿宋" w:hAnsi="仿宋" w:eastAsia="仿宋" w:cs="仿宋"/>
          <w:b/>
          <w:sz w:val="24"/>
          <w:szCs w:val="24"/>
        </w:rPr>
      </w:pPr>
      <w:r>
        <w:rPr>
          <w:rFonts w:hint="eastAsia" w:ascii="仿宋" w:hAnsi="仿宋" w:eastAsia="仿宋" w:cs="仿宋"/>
          <w:b/>
          <w:sz w:val="24"/>
          <w:szCs w:val="24"/>
        </w:rPr>
        <w:t xml:space="preserve">二、磋商组织及磋商小组职责</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2.磋商小组的职责：</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（2）磋商文件内容违反国家有关强制性规定的，磋商小组应当停止评审并向采购人或者采购代理机构说明情况</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（3）磋商小组成员应当遵守评审工作纪律，不得泄露评审情况和评审中获悉的商业秘密，对个人的评审意见承担法律责任；</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（4）磋商小组成员在评审过程中发现供应商有行贿、提供虚假材料或者串通等违法行为的，应当及时向财政部门报告。</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（5）磋商小组成员在评审过程中受到非法干涉的，应当及时向财政、监察等部门举报。</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（6）配合采购单位答复供应商提出的质疑；配合财政部门的投诉处理和监督检查工作。</w:t>
      </w:r>
      <w:r/>
    </w:p>
    <w:p>
      <w:pPr>
        <w:ind w:left="695" w:firstLine="480"/>
        <w:jc w:val="left"/>
        <w:spacing w:line="460" w:lineRule="exact"/>
        <w:rPr>
          <w:rFonts w:ascii="仿宋" w:hAnsi="仿宋" w:eastAsia="仿宋" w:cs="仿宋"/>
          <w:bCs/>
          <w:sz w:val="24"/>
          <w:szCs w:val="24"/>
        </w:rPr>
      </w:pPr>
      <w:r>
        <w:rPr>
          <w:rFonts w:hint="eastAsia" w:ascii="仿宋" w:hAnsi="仿宋" w:eastAsia="仿宋" w:cs="仿宋"/>
          <w:bCs/>
          <w:sz w:val="24"/>
          <w:szCs w:val="24"/>
        </w:rPr>
        <w:t xml:space="preserve">3.评审有关记录由磋商小组成员签名，存档备查。</w:t>
      </w:r>
      <w:r/>
    </w:p>
    <w:p>
      <w:pPr>
        <w:ind w:left="695" w:firstLine="482"/>
        <w:spacing w:line="460" w:lineRule="exact"/>
        <w:rPr>
          <w:rFonts w:ascii="仿宋" w:hAnsi="仿宋" w:eastAsia="仿宋" w:cs="仿宋"/>
          <w:b/>
          <w:sz w:val="24"/>
          <w:szCs w:val="24"/>
        </w:rPr>
        <w:outlineLvl w:val="1"/>
      </w:pPr>
      <w:r>
        <w:rPr>
          <w:rFonts w:hint="eastAsia" w:ascii="仿宋" w:hAnsi="仿宋" w:eastAsia="仿宋" w:cs="仿宋"/>
          <w:b/>
          <w:sz w:val="24"/>
          <w:szCs w:val="24"/>
        </w:rPr>
        <w:t xml:space="preserve">三、评审步骤</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lang w:val="zh-CN"/>
        </w:rPr>
        <w:t xml:space="preserve">第一阶段：</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对每个供应商的资格进行审查。</w:t>
      </w:r>
      <w:r>
        <w:rPr>
          <w:rFonts w:hint="eastAsia" w:ascii="仿宋" w:hAnsi="仿宋" w:eastAsia="仿宋" w:cs="仿宋"/>
          <w:sz w:val="24"/>
          <w:szCs w:val="24"/>
        </w:rPr>
        <w:t xml:space="preserve">供应商资格不合格的，其响应文件判定为无效响应文件。</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lang w:val="zh-CN"/>
        </w:rPr>
        <w:t xml:space="preserve">第二阶段：</w:t>
      </w:r>
      <w:r>
        <w:rPr>
          <w:rFonts w:hint="eastAsia" w:ascii="仿宋" w:hAnsi="仿宋" w:eastAsia="仿宋" w:cs="仿宋"/>
          <w:sz w:val="24"/>
          <w:szCs w:val="24"/>
        </w:rPr>
        <w:t xml:space="preserve">依据磋商文件的规定，由磋商小组</w:t>
      </w:r>
      <w:r>
        <w:rPr>
          <w:rFonts w:hint="eastAsia" w:ascii="仿宋" w:hAnsi="仿宋" w:eastAsia="仿宋" w:cs="仿宋"/>
          <w:sz w:val="24"/>
          <w:szCs w:val="24"/>
          <w:lang w:val="zh-CN"/>
        </w:rPr>
        <w:t xml:space="preserve">对每个符合资格要求的供应商</w:t>
      </w:r>
      <w:r>
        <w:rPr>
          <w:rFonts w:hint="eastAsia" w:ascii="仿宋" w:hAnsi="仿宋" w:eastAsia="仿宋" w:cs="仿宋"/>
          <w:sz w:val="24"/>
          <w:szCs w:val="24"/>
        </w:rPr>
        <w:t xml:space="preserve">从响应文件的有效性、完整性和对磋商文件的响应程度进行审查，以确定是否对磋商文件的实质性要求作出响应。未通过符合性审查的响应文件，将被判为不满足磋商文件实</w:t>
      </w:r>
      <w:r>
        <w:rPr>
          <w:rFonts w:hint="eastAsia" w:ascii="仿宋" w:hAnsi="仿宋" w:eastAsia="仿宋" w:cs="仿宋"/>
          <w:sz w:val="24"/>
          <w:szCs w:val="24"/>
        </w:rPr>
        <w:t xml:space="preserve">质性要求。 </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lang w:val="zh-CN"/>
        </w:rPr>
        <w:t xml:space="preserve">第三阶段：以供应商价格标文件内的竞争性磋商报价（即首次报价）为基础，磋商小组与供应商单一分别进行磋商。单一分别</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结束后，</w:t>
      </w:r>
      <w:r>
        <w:rPr>
          <w:rFonts w:hint="eastAsia" w:ascii="仿宋" w:hAnsi="仿宋" w:eastAsia="仿宋" w:cs="仿宋"/>
          <w:sz w:val="24"/>
          <w:szCs w:val="24"/>
        </w:rPr>
        <w:t xml:space="preserve">系统进入报价环节。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磋商程序见本章第四条</w:t>
      </w:r>
      <w:r>
        <w:rPr>
          <w:rFonts w:hint="eastAsia" w:ascii="仿宋" w:hAnsi="仿宋" w:eastAsia="仿宋" w:cs="仿宋"/>
          <w:sz w:val="24"/>
          <w:szCs w:val="24"/>
          <w:lang w:val="zh-CN"/>
        </w:rPr>
        <w:t xml:space="preserve">）。</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lang w:val="zh-CN"/>
        </w:rPr>
        <w:t xml:space="preserve">第</w:t>
      </w:r>
      <w:r>
        <w:rPr>
          <w:rFonts w:hint="eastAsia" w:ascii="仿宋" w:hAnsi="仿宋" w:eastAsia="仿宋" w:cs="仿宋"/>
          <w:sz w:val="24"/>
          <w:szCs w:val="24"/>
        </w:rPr>
        <w:t xml:space="preserve">四</w:t>
      </w:r>
      <w:r>
        <w:rPr>
          <w:rFonts w:hint="eastAsia" w:ascii="仿宋" w:hAnsi="仿宋" w:eastAsia="仿宋" w:cs="仿宋"/>
          <w:sz w:val="24"/>
          <w:szCs w:val="24"/>
          <w:lang w:val="zh-CN"/>
        </w:rPr>
        <w:t xml:space="preserve">阶段：</w:t>
      </w:r>
      <w:r>
        <w:rPr>
          <w:rFonts w:hint="eastAsia" w:ascii="仿宋" w:hAnsi="仿宋" w:eastAsia="仿宋" w:cs="仿宋"/>
          <w:sz w:val="24"/>
          <w:szCs w:val="24"/>
        </w:rPr>
        <w:t xml:space="preserve">系统最后报价环节结束后，磋商小组对响应报价的供应商进行商务技术部分评审。</w:t>
      </w:r>
      <w:r/>
    </w:p>
    <w:p>
      <w:pPr>
        <w:ind w:left="695" w:firstLine="482"/>
        <w:jc w:val="left"/>
        <w:spacing w:line="460" w:lineRule="exact"/>
        <w:rPr>
          <w:rFonts w:ascii="仿宋" w:hAnsi="仿宋" w:eastAsia="仿宋" w:cs="仿宋"/>
          <w:b/>
          <w:sz w:val="24"/>
          <w:szCs w:val="24"/>
        </w:rPr>
      </w:pPr>
      <w:r>
        <w:rPr>
          <w:rFonts w:hint="eastAsia" w:ascii="仿宋" w:hAnsi="仿宋" w:eastAsia="仿宋" w:cs="仿宋"/>
          <w:b/>
          <w:sz w:val="24"/>
          <w:szCs w:val="24"/>
        </w:rPr>
        <w:t xml:space="preserve">四、磋商程序</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w:t>
      </w:r>
      <w:r>
        <w:rPr>
          <w:rFonts w:hint="eastAsia" w:ascii="仿宋" w:hAnsi="仿宋" w:eastAsia="仿宋" w:cs="仿宋"/>
          <w:b/>
          <w:bCs/>
          <w:sz w:val="24"/>
          <w:szCs w:val="24"/>
          <w:u w:val="single"/>
        </w:rPr>
        <w:t xml:space="preserve">采购需求中的技术、服务要求以及合同草案条款。</w:t>
      </w:r>
      <w:r>
        <w:rPr>
          <w:rFonts w:hint="eastAsia" w:ascii="仿宋" w:hAnsi="仿宋" w:eastAsia="仿宋" w:cs="仿宋"/>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开标现场向其发布“最后报价要求函”及最后报价格式表，要求其</w:t>
      </w:r>
      <w:r>
        <w:rPr>
          <w:rFonts w:hint="eastAsia" w:ascii="仿宋" w:hAnsi="仿宋" w:eastAsia="仿宋" w:cs="仿宋"/>
          <w:bCs/>
          <w:sz w:val="24"/>
          <w:szCs w:val="24"/>
        </w:rPr>
        <w:t xml:space="preserve">在</w:t>
      </w:r>
      <w:r>
        <w:rPr>
          <w:rFonts w:hint="eastAsia" w:ascii="仿宋" w:hAnsi="仿宋" w:eastAsia="仿宋" w:cs="仿宋"/>
          <w:b/>
          <w:sz w:val="24"/>
          <w:szCs w:val="24"/>
        </w:rPr>
        <w:t xml:space="preserve">15分钟内</w:t>
      </w:r>
      <w:r>
        <w:rPr>
          <w:rFonts w:hint="eastAsia" w:ascii="仿宋" w:hAnsi="仿宋" w:eastAsia="仿宋" w:cs="仿宋"/>
          <w:sz w:val="24"/>
          <w:szCs w:val="24"/>
        </w:rPr>
        <w:t xml:space="preserve">提交最后报价。</w:t>
      </w:r>
      <w:r/>
    </w:p>
    <w:p>
      <w:pPr>
        <w:ind w:left="695" w:firstLine="480"/>
        <w:spacing w:line="460" w:lineRule="exact"/>
        <w:tabs>
          <w:tab w:val="left" w:pos="900" w:leader="none"/>
        </w:tabs>
        <w:rPr>
          <w:rFonts w:ascii="仿宋" w:hAnsi="仿宋" w:eastAsia="仿宋" w:cs="仿宋"/>
          <w:sz w:val="24"/>
          <w:szCs w:val="24"/>
        </w:rPr>
      </w:pPr>
      <w:r>
        <w:rPr>
          <w:rFonts w:hint="eastAsia" w:ascii="仿宋" w:hAnsi="仿宋" w:eastAsia="仿宋" w:cs="仿宋"/>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bCs/>
          <w:sz w:val="24"/>
          <w:szCs w:val="24"/>
          <w:u w:val="single"/>
        </w:rPr>
        <w:t xml:space="preserve">除非在磋商中磋商小组对采购需求中的技术、服务要求以及合同草案条款作了实质性变更，否则采购单位不接受供应商高于自己前一轮的磋商报价</w:t>
      </w:r>
      <w:r>
        <w:rPr>
          <w:rFonts w:hint="eastAsia" w:ascii="仿宋" w:hAnsi="仿宋" w:eastAsia="仿宋" w:cs="仿宋"/>
          <w:sz w:val="24"/>
          <w:szCs w:val="24"/>
        </w:rPr>
        <w:t xml:space="preserve">。</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5.在磋商中，磋商的任何一方不得透露与磋商有关的其他响应磋商的供应商的技术资料、价格及其他信息。</w:t>
      </w:r>
      <w:r/>
    </w:p>
    <w:p>
      <w:pPr>
        <w:ind w:left="695" w:firstLine="482"/>
        <w:jc w:val="left"/>
        <w:spacing w:line="460" w:lineRule="exact"/>
        <w:rPr>
          <w:rFonts w:ascii="仿宋" w:hAnsi="仿宋" w:eastAsia="仿宋" w:cs="仿宋"/>
          <w:b/>
          <w:sz w:val="24"/>
          <w:szCs w:val="24"/>
        </w:rPr>
      </w:pPr>
      <w:r>
        <w:rPr>
          <w:rFonts w:hint="eastAsia" w:ascii="仿宋" w:hAnsi="仿宋" w:eastAsia="仿宋" w:cs="仿宋"/>
          <w:b/>
          <w:sz w:val="24"/>
          <w:szCs w:val="24"/>
        </w:rPr>
        <w:t xml:space="preserve">五、评审方法</w:t>
      </w:r>
      <w:r/>
    </w:p>
    <w:p>
      <w:pPr>
        <w:ind w:left="695" w:firstLine="480"/>
        <w:spacing w:line="460" w:lineRule="exact"/>
        <w:rPr>
          <w:rFonts w:ascii="仿宋" w:hAnsi="仿宋" w:eastAsia="仿宋" w:cs="仿宋"/>
          <w:bCs/>
          <w:sz w:val="24"/>
          <w:szCs w:val="24"/>
        </w:rPr>
      </w:pPr>
      <w:r>
        <w:rPr>
          <w:rFonts w:hint="eastAsia" w:ascii="仿宋" w:hAnsi="仿宋" w:eastAsia="仿宋" w:cs="仿宋"/>
          <w:sz w:val="24"/>
          <w:szCs w:val="24"/>
        </w:rPr>
        <w:t xml:space="preserve">1.</w:t>
      </w:r>
      <w:r>
        <w:rPr>
          <w:rFonts w:hint="eastAsia" w:ascii="仿宋" w:hAnsi="仿宋" w:eastAsia="仿宋" w:cs="仿宋"/>
          <w:bCs/>
          <w:sz w:val="24"/>
          <w:szCs w:val="24"/>
        </w:rPr>
        <w:t xml:space="preserve">评审方法：综合评分法。经磋商确定最终采购需求和提交最后报价的供应商后，由磋商小组采用综合评分法对系统提交最后报价的供应商的响应文件和最后报价进行综合评分。</w:t>
      </w:r>
      <w:r/>
    </w:p>
    <w:p>
      <w:pPr>
        <w:ind w:left="695"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sz w:val="24"/>
          <w:szCs w:val="24"/>
        </w:rPr>
        <w:t xml:space="preserve">（计算结果均四舍五入保留两位小数）。</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3.本次项目磋商的商务技术和报价评审总分值为100分。两部分评审因素比重如下： </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商务技术分值占总分值的比重为</w:t>
      </w:r>
      <w:r>
        <w:rPr>
          <w:rFonts w:hint="eastAsia" w:ascii="仿宋" w:hAnsi="仿宋" w:eastAsia="仿宋" w:cs="仿宋"/>
          <w:b/>
          <w:sz w:val="24"/>
          <w:szCs w:val="24"/>
          <w:u w:val="single"/>
        </w:rPr>
        <w:t xml:space="preserve">80%（权重）</w:t>
      </w:r>
      <w:r>
        <w:rPr>
          <w:rFonts w:hint="eastAsia" w:ascii="仿宋" w:hAnsi="仿宋" w:eastAsia="仿宋" w:cs="仿宋"/>
          <w:sz w:val="24"/>
          <w:szCs w:val="24"/>
        </w:rPr>
        <w:t xml:space="preserve">（四舍五入保留两位小数）；</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报价分值占总分值的比重为</w:t>
      </w:r>
      <w:r>
        <w:rPr>
          <w:rFonts w:hint="eastAsia" w:ascii="仿宋" w:hAnsi="仿宋" w:eastAsia="仿宋" w:cs="仿宋"/>
          <w:b/>
          <w:sz w:val="24"/>
          <w:szCs w:val="24"/>
          <w:u w:val="single"/>
        </w:rPr>
        <w:t xml:space="preserve">20%（权重）</w:t>
      </w:r>
      <w:r>
        <w:rPr>
          <w:rFonts w:hint="eastAsia" w:ascii="仿宋" w:hAnsi="仿宋" w:eastAsia="仿宋" w:cs="仿宋"/>
          <w:sz w:val="24"/>
          <w:szCs w:val="24"/>
        </w:rPr>
        <w:t xml:space="preserve">（四舍五入保留两位小数）。</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4.商务技术分按算术平均值计算，分值四舍五入保留两位小数。</w:t>
      </w:r>
      <w:r/>
    </w:p>
    <w:p>
      <w:pPr>
        <w:ind w:left="695" w:firstLine="480"/>
        <w:jc w:val="left"/>
        <w:spacing w:line="440" w:lineRule="exact"/>
        <w:rPr>
          <w:rFonts w:ascii="仿宋" w:hAnsi="仿宋" w:eastAsia="仿宋" w:cs="仿宋"/>
          <w:bCs/>
          <w:sz w:val="24"/>
          <w:szCs w:val="24"/>
        </w:rPr>
      </w:pPr>
      <w:r>
        <w:rPr>
          <w:rFonts w:hint="eastAsia" w:ascii="仿宋" w:hAnsi="仿宋" w:eastAsia="仿宋" w:cs="仿宋"/>
          <w:sz w:val="24"/>
          <w:szCs w:val="24"/>
        </w:rPr>
        <w:t xml:space="preserve">5.</w:t>
      </w:r>
      <w:r>
        <w:rPr>
          <w:rFonts w:hint="eastAsia" w:ascii="仿宋" w:hAnsi="仿宋" w:eastAsia="仿宋" w:cs="仿宋"/>
          <w:bCs/>
          <w:sz w:val="24"/>
          <w:szCs w:val="24"/>
        </w:rPr>
        <w:t xml:space="preserve">供应商价格部分和商务技术部分的合计分值，为该供应商的评审总得分</w:t>
      </w:r>
      <w:r>
        <w:rPr>
          <w:rFonts w:hint="eastAsia" w:ascii="仿宋" w:hAnsi="仿宋" w:eastAsia="仿宋" w:cs="仿宋"/>
          <w:sz w:val="24"/>
          <w:szCs w:val="24"/>
        </w:rPr>
        <w:t xml:space="preserve">（四舍五入保留两位小数）。</w:t>
      </w:r>
      <w:r>
        <w:rPr>
          <w:rFonts w:hint="eastAsia" w:ascii="仿宋" w:hAnsi="仿宋" w:eastAsia="仿宋" w:cs="仿宋"/>
          <w:bCs/>
          <w:sz w:val="24"/>
          <w:szCs w:val="24"/>
        </w:rPr>
        <w:t xml:space="preserve">综合得分评审后得分由高到低顺序排列，评出综合评审最优的供应商。若综合得分相同的，按投标报价由低到高顺序排列；综合得分且投标报价相同的，按技术标优劣顺序排列；若报价相同且技术标得分相同的，则采取抽签方式确认。投标文件满足磋商文件全部实质性要求且综合得分最高的供应商为第一中标候选人，依次类推。</w:t>
      </w:r>
      <w:r/>
    </w:p>
    <w:p>
      <w:pPr>
        <w:ind w:left="695" w:firstLine="480"/>
        <w:spacing w:line="460" w:lineRule="exact"/>
        <w:rPr>
          <w:rFonts w:ascii="仿宋" w:hAnsi="仿宋" w:eastAsia="仿宋" w:cs="仿宋"/>
          <w:sz w:val="24"/>
          <w:szCs w:val="24"/>
        </w:rPr>
      </w:pPr>
      <w:r>
        <w:rPr>
          <w:rFonts w:hint="eastAsia" w:ascii="仿宋" w:hAnsi="仿宋" w:eastAsia="仿宋" w:cs="仿宋"/>
          <w:bCs/>
          <w:sz w:val="24"/>
          <w:szCs w:val="24"/>
        </w:rPr>
        <w:t xml:space="preserve">6.评委在认真审阅响应文件的基础上，根据各响应文件的响应程度独立评判，不得统一打分</w:t>
      </w:r>
      <w:r>
        <w:rPr>
          <w:rFonts w:hint="eastAsia" w:ascii="仿宋" w:hAnsi="仿宋" w:eastAsia="仿宋" w:cs="仿宋"/>
          <w:sz w:val="24"/>
          <w:szCs w:val="24"/>
        </w:rPr>
        <w:t xml:space="preserve">。</w:t>
      </w:r>
      <w:r/>
    </w:p>
    <w:p>
      <w:pPr>
        <w:ind w:left="479" w:firstLine="723"/>
        <w:jc w:val="left"/>
        <w:spacing w:line="360" w:lineRule="auto"/>
        <w:widowControl/>
        <w:rPr>
          <w:rFonts w:ascii="仿宋" w:hAnsi="仿宋" w:eastAsia="仿宋" w:cs="仿宋"/>
          <w:b/>
          <w:bCs/>
          <w:sz w:val="24"/>
          <w:szCs w:val="24"/>
        </w:rPr>
      </w:pPr>
      <w:r>
        <w:rPr>
          <w:rFonts w:hint="eastAsia" w:ascii="仿宋" w:hAnsi="仿宋" w:eastAsia="仿宋" w:cs="仿宋"/>
          <w:b/>
          <w:bCs/>
          <w:sz w:val="24"/>
          <w:szCs w:val="24"/>
        </w:rPr>
        <w:t xml:space="preserve">7.本项目属于非招标方式，不存在唱标环节。按照政府采购法律制度规定，在磋商中任何一方不得透露与磋商有关的其他供应商的技术资料、价格和其他信息，因此不公开唱标。最终成交供应商名称和成交金额将在全过程磋商结束后通过江苏政府采购网网站发布成交结果公告。</w:t>
      </w:r>
      <w:r/>
    </w:p>
    <w:p>
      <w:pPr>
        <w:pStyle w:val="826"/>
        <w:ind w:firstLine="482"/>
        <w:jc w:val="both"/>
        <w:spacing w:before="0" w:beforeAutospacing="0" w:after="0" w:afterAutospacing="0" w:line="400" w:lineRule="atLeast"/>
        <w:rPr>
          <w:rFonts w:ascii="仿宋" w:hAnsi="仿宋" w:eastAsia="仿宋" w:cs="仿宋"/>
          <w:b/>
        </w:rPr>
      </w:pPr>
      <w:r>
        <w:rPr>
          <w:rFonts w:hint="eastAsia" w:ascii="仿宋" w:hAnsi="仿宋" w:eastAsia="仿宋" w:cs="仿宋"/>
          <w:b/>
        </w:rPr>
        <w:t xml:space="preserve">六、本项目如出现以下情形的，磋商小组将启动政府采购启动异常低价投标（响应）审查程序：</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1.投标（响应）报价低于全部通过符合性审查供应商投标（响应）报价平均值50%的，即投标（响应）报价&lt;全部通过符合性审查供应商投标（响应）报价平均值×50%；</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2.投标（响应）报价低于通过符合性审查的次低报价供应商投标（响应）报价50%的，即投标（响应）报价&lt;通过符合性审查的次低报价供应商投标（响应）报价×50%；</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3.投标（响应）报价低于采购项目最高限价45%的，即投标（响应）报价&lt;采购项目最高限价×45%；</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4.评审委员会基于专业判断，认为供应商报价过低，有可能影响产品质量或者不能诚信履约的其他情形。</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6"/>
        <w:ind w:firstLine="646"/>
        <w:jc w:val="both"/>
        <w:spacing w:before="0" w:beforeAutospacing="0" w:after="0" w:afterAutospacing="0" w:line="400" w:lineRule="atLeast"/>
        <w:rPr>
          <w:rFonts w:ascii="仿宋" w:hAnsi="仿宋" w:eastAsia="仿宋" w:cs="仿宋"/>
          <w:b/>
          <w:u w:val="single"/>
        </w:rPr>
      </w:pPr>
      <w:r>
        <w:rPr>
          <w:rFonts w:hint="eastAsia" w:ascii="仿宋" w:hAnsi="仿宋" w:eastAsia="仿宋" w:cs="仿宋"/>
          <w:b/>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6"/>
        <w:ind w:firstLine="646"/>
        <w:jc w:val="both"/>
        <w:spacing w:before="0" w:beforeAutospacing="0" w:after="0" w:afterAutospacing="0" w:line="400" w:lineRule="atLeast"/>
        <w:rPr>
          <w:rFonts w:ascii="仿宋" w:hAnsi="仿宋" w:eastAsia="仿宋" w:cs="仿宋"/>
          <w:b/>
        </w:rPr>
      </w:pPr>
      <w:r>
        <w:rPr>
          <w:rFonts w:hint="eastAsia" w:ascii="仿宋" w:hAnsi="仿宋" w:eastAsia="仿宋" w:cs="仿宋"/>
          <w:b/>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6"/>
        <w:ind w:firstLine="646"/>
        <w:jc w:val="both"/>
        <w:spacing w:before="0" w:beforeAutospacing="0" w:after="0" w:afterAutospacing="0" w:line="400" w:lineRule="atLeast"/>
        <w:rPr>
          <w:rFonts w:ascii="仿宋" w:hAnsi="仿宋" w:eastAsia="仿宋" w:cs="仿宋"/>
          <w:b/>
        </w:rPr>
      </w:pPr>
      <w:r>
        <w:rPr>
          <w:rFonts w:hint="eastAsia" w:ascii="仿宋" w:hAnsi="仿宋" w:eastAsia="仿宋" w:cs="仿宋"/>
          <w:b/>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6"/>
        <w:ind w:firstLine="646"/>
        <w:jc w:val="both"/>
        <w:spacing w:before="0" w:beforeAutospacing="0" w:after="0" w:afterAutospacing="0" w:line="400" w:lineRule="atLeast"/>
        <w:rPr>
          <w:rFonts w:ascii="仿宋" w:hAnsi="仿宋" w:eastAsia="仿宋" w:cs="仿宋"/>
          <w:b/>
          <w:bCs/>
        </w:rPr>
      </w:pPr>
      <w:r>
        <w:rPr>
          <w:rFonts w:hint="eastAsia" w:ascii="仿宋" w:hAnsi="仿宋" w:eastAsia="仿宋" w:cs="仿宋"/>
          <w:b/>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695"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七、</w:t>
      </w:r>
      <w:r>
        <w:rPr>
          <w:rFonts w:hint="eastAsia" w:ascii="仿宋" w:hAnsi="仿宋" w:eastAsia="仿宋" w:cs="仿宋"/>
          <w:bCs/>
          <w:sz w:val="24"/>
          <w:szCs w:val="24"/>
          <w:lang w:eastAsia="en-US"/>
        </w:rPr>
        <w:t xml:space="preserve">资格审查</w:t>
      </w:r>
      <w:r/>
    </w:p>
    <w:tbl>
      <w:tblPr>
        <w:tblW w:w="10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1634"/>
        <w:gridCol w:w="2335"/>
        <w:gridCol w:w="5388"/>
      </w:tblGrid>
      <w:tr>
        <w:trPr>
          <w:jc w:val="center"/>
          <w:trHeight w:val="463"/>
        </w:trPr>
        <w:tc>
          <w:tcPr>
            <w:gridSpan w:val="2"/>
            <w:tcW w:w="2450" w:type="dxa"/>
            <w:vAlign w:val="center"/>
            <w:textDirection w:val="lrTb"/>
            <w:noWrap w:val="false"/>
          </w:tcPr>
          <w:p>
            <w:pPr>
              <w:ind w:left="695"/>
              <w:jc w:val="center"/>
              <w:spacing w:line="360" w:lineRule="exact"/>
              <w:rPr>
                <w:rFonts w:ascii="仿宋" w:hAnsi="仿宋" w:eastAsia="仿宋" w:cs="仿宋"/>
                <w:b/>
                <w:bCs/>
                <w:sz w:val="24"/>
                <w:szCs w:val="24"/>
              </w:rPr>
            </w:pPr>
            <w:r/>
            <w:bookmarkStart w:id="96" w:name="OLE_LINK9"/>
            <w:r>
              <w:rPr>
                <w:rFonts w:hint="eastAsia" w:ascii="仿宋" w:hAnsi="仿宋" w:eastAsia="仿宋" w:cs="仿宋"/>
                <w:b/>
                <w:bCs/>
                <w:sz w:val="24"/>
                <w:szCs w:val="24"/>
              </w:rPr>
              <w:t xml:space="preserve">条款号</w:t>
            </w:r>
            <w:r/>
          </w:p>
        </w:tc>
        <w:tc>
          <w:tcPr>
            <w:tcBorders>
              <w:left w:val="none" w:color="000000" w:sz="4" w:space="0"/>
            </w:tcBorders>
            <w:tcW w:w="2335" w:type="dxa"/>
            <w:vAlign w:val="center"/>
            <w:textDirection w:val="lrTb"/>
            <w:noWrap w:val="false"/>
          </w:tcPr>
          <w:p>
            <w:pPr>
              <w:ind w:left="695"/>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评审因素</w:t>
            </w:r>
            <w:r/>
          </w:p>
        </w:tc>
        <w:tc>
          <w:tcPr>
            <w:tcBorders>
              <w:left w:val="none" w:color="000000" w:sz="4" w:space="0"/>
            </w:tcBorders>
            <w:tcW w:w="5388" w:type="dxa"/>
            <w:vAlign w:val="center"/>
            <w:textDirection w:val="lrTb"/>
            <w:noWrap w:val="false"/>
          </w:tcPr>
          <w:p>
            <w:pPr>
              <w:ind w:left="695"/>
              <w:jc w:val="cente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评审标准</w:t>
            </w:r>
            <w:r/>
          </w:p>
        </w:tc>
      </w:tr>
      <w:tr>
        <w:trPr>
          <w:jc w:val="center"/>
          <w:trHeight w:val="804"/>
        </w:trPr>
        <w:tc>
          <w:tcPr>
            <w:tcBorders>
              <w:top w:val="none" w:color="000000" w:sz="4" w:space="0"/>
            </w:tcBorders>
            <w:tcW w:w="816" w:type="dxa"/>
            <w:vAlign w:val="center"/>
            <w:vMerge w:val="restart"/>
            <w:textDirection w:val="lrTb"/>
            <w:noWrap w:val="false"/>
          </w:tcPr>
          <w:p>
            <w:pPr>
              <w:ind w:left="695"/>
              <w:jc w:val="center"/>
              <w:spacing w:line="36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none" w:color="000000" w:sz="4" w:space="0"/>
              <w:left w:val="none" w:color="000000" w:sz="4" w:space="0"/>
            </w:tcBorders>
            <w:tcW w:w="1634" w:type="dxa"/>
            <w:vAlign w:val="center"/>
            <w:vMerge w:val="restart"/>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形式评审</w:t>
            </w:r>
            <w:r/>
          </w:p>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标准</w:t>
            </w:r>
            <w:r/>
          </w:p>
        </w:tc>
        <w:tc>
          <w:tcPr>
            <w:tcBorders>
              <w:left w:val="none" w:color="000000" w:sz="4" w:space="0"/>
            </w:tcBorders>
            <w:tcW w:w="2335"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磋商供应商名称</w:t>
            </w:r>
            <w:r/>
          </w:p>
        </w:tc>
        <w:tc>
          <w:tcPr>
            <w:tcBorders>
              <w:left w:val="none" w:color="000000" w:sz="4" w:space="0"/>
            </w:tcBorders>
            <w:tcW w:w="5388" w:type="dxa"/>
            <w:vAlign w:val="center"/>
            <w:textDirection w:val="lrTb"/>
            <w:noWrap w:val="false"/>
          </w:tcPr>
          <w:p>
            <w:pPr>
              <w:spacing w:line="360" w:lineRule="exact"/>
              <w:rPr>
                <w:rFonts w:ascii="仿宋" w:hAnsi="仿宋" w:eastAsia="仿宋" w:cs="仿宋"/>
                <w:sz w:val="24"/>
                <w:szCs w:val="24"/>
              </w:rPr>
            </w:pPr>
            <w:r>
              <w:rPr>
                <w:rFonts w:hint="eastAsia" w:ascii="仿宋" w:hAnsi="仿宋" w:eastAsia="仿宋" w:cs="仿宋"/>
                <w:sz w:val="24"/>
                <w:szCs w:val="24"/>
              </w:rPr>
              <w:t xml:space="preserve">磋商供应商名称与营业执照（如有）；不一致的，提供有效证明材料</w:t>
            </w:r>
            <w:r/>
          </w:p>
        </w:tc>
      </w:tr>
      <w:tr>
        <w:trPr>
          <w:jc w:val="center"/>
          <w:trHeight w:val="1113"/>
        </w:trPr>
        <w:tc>
          <w:tcPr>
            <w:tcBorders>
              <w:top w:val="none" w:color="000000" w:sz="4" w:space="0"/>
            </w:tcBorders>
            <w:tcW w:w="816" w:type="dxa"/>
            <w:vAlign w:val="center"/>
            <w:vMerge w:val="continue"/>
            <w:textDirection w:val="lrTb"/>
            <w:noWrap w:val="false"/>
          </w:tcPr>
          <w:p>
            <w:pPr>
              <w:ind w:left="695"/>
              <w:jc w:val="center"/>
              <w:spacing w:line="360" w:lineRule="exac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tcBorders>
            <w:tcW w:w="1634" w:type="dxa"/>
            <w:vAlign w:val="center"/>
            <w:vMerge w:val="continue"/>
            <w:textDirection w:val="lrTb"/>
            <w:noWrap w:val="false"/>
          </w:tcPr>
          <w:p>
            <w:pPr>
              <w:ind w:left="695"/>
              <w:jc w:val="center"/>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2335"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磋商文件签字盖章</w:t>
            </w:r>
            <w:r/>
          </w:p>
        </w:tc>
        <w:tc>
          <w:tcPr>
            <w:tcBorders>
              <w:left w:val="none" w:color="000000" w:sz="4" w:space="0"/>
            </w:tcBorders>
            <w:tcW w:w="5388" w:type="dxa"/>
            <w:vAlign w:val="center"/>
            <w:textDirection w:val="lrTb"/>
            <w:noWrap w:val="false"/>
          </w:tcPr>
          <w:p>
            <w:pPr>
              <w:spacing w:line="360" w:lineRule="exact"/>
              <w:rPr>
                <w:rFonts w:ascii="仿宋" w:hAnsi="仿宋" w:eastAsia="仿宋" w:cs="仿宋"/>
                <w:sz w:val="24"/>
                <w:szCs w:val="24"/>
              </w:rPr>
            </w:pPr>
            <w:r>
              <w:rPr>
                <w:rFonts w:hint="eastAsia" w:ascii="仿宋" w:hAnsi="仿宋" w:eastAsia="仿宋" w:cs="仿宋"/>
                <w:sz w:val="24"/>
                <w:szCs w:val="24"/>
              </w:rPr>
              <w:t xml:space="preserve">磋商文件中规定按照相关要求加盖磋商供应商公章和企业法定代表人（或企业法定代表人委托代理人）印章（或签字）的。委托代理人有合法、有效的委托书（原件）。</w:t>
            </w:r>
            <w:r/>
          </w:p>
        </w:tc>
      </w:tr>
      <w:tr>
        <w:trPr>
          <w:jc w:val="center"/>
          <w:trHeight w:val="362"/>
        </w:trPr>
        <w:tc>
          <w:tcPr>
            <w:tcBorders>
              <w:top w:val="none" w:color="000000" w:sz="4" w:space="0"/>
            </w:tcBorders>
            <w:tcW w:w="816" w:type="dxa"/>
            <w:vAlign w:val="center"/>
            <w:vMerge w:val="continue"/>
            <w:textDirection w:val="lrTb"/>
            <w:noWrap w:val="false"/>
          </w:tcPr>
          <w:p>
            <w:pPr>
              <w:ind w:left="695"/>
              <w:jc w:val="center"/>
              <w:spacing w:line="360" w:lineRule="exact"/>
              <w:widowControl/>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tcBorders>
            <w:tcW w:w="1634" w:type="dxa"/>
            <w:vAlign w:val="center"/>
            <w:vMerge w:val="continue"/>
            <w:textDirection w:val="lrTb"/>
            <w:noWrap w:val="false"/>
          </w:tcPr>
          <w:p>
            <w:pPr>
              <w:ind w:left="695"/>
              <w:jc w:val="center"/>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2335" w:type="dxa"/>
            <w:vAlign w:val="center"/>
            <w:textDirection w:val="lrTb"/>
            <w:noWrap w:val="false"/>
          </w:tcPr>
          <w:p>
            <w:pPr>
              <w:jc w:val="center"/>
              <w:spacing w:line="360" w:lineRule="exact"/>
              <w:widowControl/>
              <w:rPr>
                <w:rFonts w:ascii="仿宋" w:hAnsi="仿宋" w:eastAsia="仿宋" w:cs="仿宋"/>
                <w:sz w:val="24"/>
                <w:szCs w:val="24"/>
              </w:rPr>
            </w:pPr>
            <w:r>
              <w:rPr>
                <w:rFonts w:hint="eastAsia" w:ascii="仿宋" w:hAnsi="仿宋" w:eastAsia="仿宋" w:cs="仿宋"/>
                <w:sz w:val="24"/>
                <w:szCs w:val="24"/>
              </w:rPr>
              <w:t xml:space="preserve">资格审查文件格式</w:t>
            </w:r>
            <w:r/>
          </w:p>
        </w:tc>
        <w:tc>
          <w:tcPr>
            <w:tcBorders>
              <w:left w:val="none" w:color="000000" w:sz="4" w:space="0"/>
            </w:tcBorders>
            <w:tcW w:w="5388" w:type="dxa"/>
            <w:vAlign w:val="center"/>
            <w:textDirection w:val="lrTb"/>
            <w:noWrap w:val="false"/>
          </w:tcPr>
          <w:p>
            <w:pPr>
              <w:jc w:val="left"/>
              <w:spacing w:line="360" w:lineRule="exact"/>
              <w:widowControl/>
              <w:rPr>
                <w:rFonts w:ascii="仿宋" w:hAnsi="仿宋" w:eastAsia="仿宋" w:cs="仿宋"/>
                <w:sz w:val="24"/>
                <w:szCs w:val="24"/>
              </w:rPr>
            </w:pPr>
            <w:r>
              <w:rPr>
                <w:rFonts w:hint="eastAsia" w:ascii="仿宋" w:hAnsi="仿宋" w:eastAsia="仿宋" w:cs="仿宋"/>
                <w:sz w:val="24"/>
                <w:szCs w:val="24"/>
              </w:rPr>
              <w:t xml:space="preserve">符合磋商文件要求并附有所有相应表格</w:t>
            </w:r>
            <w:r/>
          </w:p>
        </w:tc>
      </w:tr>
      <w:tr>
        <w:trPr>
          <w:jc w:val="center"/>
          <w:trHeight w:val="595"/>
        </w:trPr>
        <w:tc>
          <w:tcPr>
            <w:tcBorders>
              <w:top w:val="none" w:color="000000" w:sz="4" w:space="0"/>
            </w:tcBorders>
            <w:tcW w:w="816" w:type="dxa"/>
            <w:vAlign w:val="center"/>
            <w:vMerge w:val="restart"/>
            <w:textDirection w:val="lrTb"/>
            <w:noWrap w:val="false"/>
          </w:tcPr>
          <w:p>
            <w:pPr>
              <w:jc w:val="center"/>
              <w:spacing w:line="360" w:lineRule="exact"/>
              <w:rPr>
                <w:rFonts w:ascii="仿宋" w:hAnsi="仿宋" w:eastAsia="仿宋" w:cs="仿宋"/>
                <w:sz w:val="24"/>
                <w:szCs w:val="24"/>
              </w:rPr>
            </w:pPr>
            <w:r>
              <w:rPr>
                <w:rFonts w:ascii="仿宋" w:hAnsi="仿宋" w:eastAsia="仿宋" w:cs="仿宋"/>
                <w:sz w:val="24"/>
                <w:szCs w:val="24"/>
              </w:rPr>
            </w:r>
            <w:r/>
          </w:p>
        </w:tc>
        <w:tc>
          <w:tcPr>
            <w:tcBorders>
              <w:top w:val="none" w:color="000000" w:sz="4" w:space="0"/>
              <w:left w:val="none" w:color="000000" w:sz="4" w:space="0"/>
            </w:tcBorders>
            <w:tcW w:w="1634" w:type="dxa"/>
            <w:vAlign w:val="center"/>
            <w:vMerge w:val="restart"/>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资格评审</w:t>
            </w:r>
            <w:r/>
          </w:p>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标准</w:t>
            </w:r>
            <w:r/>
          </w:p>
        </w:tc>
        <w:tc>
          <w:tcPr>
            <w:tcBorders>
              <w:left w:val="none" w:color="000000" w:sz="4" w:space="0"/>
            </w:tcBorders>
            <w:tcW w:w="2335"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法定代表人身份证明书、授权委托书</w:t>
            </w:r>
            <w:r/>
          </w:p>
        </w:tc>
        <w:tc>
          <w:tcPr>
            <w:tcBorders>
              <w:left w:val="none" w:color="000000" w:sz="4" w:space="0"/>
            </w:tcBorders>
            <w:tcW w:w="5388" w:type="dxa"/>
            <w:textDirection w:val="lrTb"/>
            <w:noWrap w:val="false"/>
          </w:tcPr>
          <w:p>
            <w:pPr>
              <w:jc w:val="left"/>
              <w:spacing w:line="360" w:lineRule="exact"/>
              <w:rPr>
                <w:rFonts w:ascii="仿宋" w:hAnsi="仿宋" w:eastAsia="仿宋" w:cs="仿宋"/>
                <w:sz w:val="24"/>
                <w:szCs w:val="24"/>
              </w:rPr>
            </w:pPr>
            <w:r>
              <w:rPr>
                <w:rFonts w:hint="eastAsia" w:ascii="仿宋" w:hAnsi="仿宋" w:eastAsia="仿宋" w:cs="仿宋"/>
                <w:sz w:val="24"/>
                <w:szCs w:val="24"/>
              </w:rPr>
              <w:t xml:space="preserve">供应商法定代表人参加的，必须提供法定代表人身份证明及法定代表人本人身份证原件扫描件（格式详见第七章）；非法定代表人参加的，必须提供法定代表人签字或盖章的授权委托书及法定代表人、被授权人的两人身份证的原件扫描件（格式按后附件）；</w:t>
            </w:r>
            <w:r/>
          </w:p>
        </w:tc>
      </w:tr>
      <w:tr>
        <w:trPr>
          <w:jc w:val="center"/>
          <w:trHeight w:val="344"/>
        </w:trPr>
        <w:tc>
          <w:tcPr>
            <w:tcW w:w="816"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1634"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2335" w:type="dxa"/>
            <w:vAlign w:val="center"/>
            <w:textDirection w:val="lrTb"/>
            <w:noWrap w:val="false"/>
          </w:tcPr>
          <w:p>
            <w:pPr>
              <w:ind w:left="695"/>
              <w:jc w:val="center"/>
              <w:spacing w:line="360" w:lineRule="exact"/>
              <w:rPr>
                <w:rFonts w:ascii="仿宋" w:hAnsi="仿宋" w:eastAsia="仿宋" w:cs="仿宋"/>
                <w:sz w:val="24"/>
                <w:szCs w:val="24"/>
              </w:rPr>
            </w:pPr>
            <w:r>
              <w:rPr>
                <w:rFonts w:hint="eastAsia" w:ascii="仿宋" w:hAnsi="仿宋" w:eastAsia="仿宋" w:cs="仿宋"/>
                <w:sz w:val="24"/>
                <w:szCs w:val="24"/>
              </w:rPr>
              <w:t xml:space="preserve">声明函</w:t>
            </w:r>
            <w:r/>
          </w:p>
        </w:tc>
        <w:tc>
          <w:tcPr>
            <w:tcBorders>
              <w:left w:val="none" w:color="000000" w:sz="4" w:space="0"/>
            </w:tcBorders>
            <w:tcW w:w="5388" w:type="dxa"/>
            <w:textDirection w:val="lrTb"/>
            <w:noWrap w:val="false"/>
          </w:tcPr>
          <w:p>
            <w:pPr>
              <w:spacing w:line="360" w:lineRule="exact"/>
              <w:rPr>
                <w:rFonts w:ascii="仿宋" w:hAnsi="仿宋" w:eastAsia="仿宋" w:cs="仿宋"/>
                <w:sz w:val="24"/>
                <w:szCs w:val="24"/>
              </w:rPr>
            </w:pPr>
            <w:r>
              <w:rPr>
                <w:rFonts w:hint="eastAsia" w:ascii="仿宋" w:hAnsi="仿宋" w:eastAsia="仿宋" w:cs="仿宋"/>
                <w:sz w:val="24"/>
                <w:szCs w:val="24"/>
              </w:rPr>
              <w:t xml:space="preserve">磋商供应商符合《政府采购法》第二十二条规定条件的声明函（按磋商文件后附格式）；</w:t>
            </w:r>
            <w:r/>
          </w:p>
        </w:tc>
      </w:tr>
      <w:tr>
        <w:trPr>
          <w:jc w:val="center"/>
          <w:trHeight w:val="1525"/>
        </w:trPr>
        <w:tc>
          <w:tcPr>
            <w:tcW w:w="816"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1634"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Borders>
              <w:left w:val="none" w:color="000000" w:sz="4" w:space="0"/>
            </w:tcBorders>
            <w:tcW w:w="2335" w:type="dxa"/>
            <w:vAlign w:val="center"/>
            <w:textDirection w:val="lrTb"/>
            <w:noWrap w:val="false"/>
          </w:tcPr>
          <w:p>
            <w:pPr>
              <w:jc w:val="center"/>
              <w:spacing w:line="360" w:lineRule="exact"/>
              <w:rPr>
                <w:rFonts w:ascii="仿宋" w:hAnsi="仿宋" w:eastAsia="仿宋" w:cs="仿宋"/>
                <w:bCs/>
                <w:sz w:val="24"/>
                <w:szCs w:val="24"/>
              </w:rPr>
            </w:pPr>
            <w:r>
              <w:rPr>
                <w:rFonts w:hint="eastAsia" w:ascii="仿宋" w:hAnsi="仿宋" w:eastAsia="仿宋" w:cs="仿宋"/>
                <w:bCs/>
                <w:sz w:val="24"/>
                <w:szCs w:val="24"/>
              </w:rPr>
              <w:t xml:space="preserve">中小企业声明函</w:t>
            </w:r>
            <w:r/>
          </w:p>
        </w:tc>
        <w:tc>
          <w:tcPr>
            <w:shd w:val="clear" w:color="auto" w:fill="auto"/>
            <w:tcBorders>
              <w:left w:val="none" w:color="000000" w:sz="4" w:space="0"/>
            </w:tcBorders>
            <w:tcW w:w="5388" w:type="dxa"/>
            <w:vAlign w:val="center"/>
            <w:textDirection w:val="lrTb"/>
            <w:noWrap w:val="false"/>
          </w:tcPr>
          <w:p>
            <w:pPr>
              <w:spacing w:line="360" w:lineRule="exact"/>
              <w:rPr>
                <w:rFonts w:ascii="仿宋" w:hAnsi="仿宋" w:eastAsia="仿宋" w:cs="仿宋"/>
                <w:bCs/>
                <w:sz w:val="24"/>
                <w:szCs w:val="24"/>
              </w:rPr>
            </w:pPr>
            <w:r>
              <w:rPr>
                <w:rFonts w:hint="eastAsia" w:ascii="仿宋" w:hAnsi="仿宋" w:eastAsia="仿宋" w:cs="仿宋"/>
                <w:bCs/>
                <w:sz w:val="24"/>
                <w:szCs w:val="24"/>
              </w:rPr>
              <w:t xml:space="preserve">本项目为专门面向中小微企业采购项目（须按照财库〔2020〕46号文要求提供中小企业声明函，格式见附件）</w:t>
            </w:r>
            <w:r/>
          </w:p>
        </w:tc>
      </w:tr>
      <w:tr>
        <w:trPr>
          <w:jc w:val="center"/>
          <w:trHeight w:val="533"/>
        </w:trPr>
        <w:tc>
          <w:tcPr>
            <w:tcW w:w="816"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1634"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shd w:val="clear" w:color="auto" w:fill="auto"/>
            <w:tcBorders>
              <w:left w:val="none" w:color="000000" w:sz="4" w:space="0"/>
            </w:tcBorders>
            <w:tcW w:w="2335" w:type="dxa"/>
            <w:vAlign w:val="center"/>
            <w:textDirection w:val="lrTb"/>
            <w:noWrap w:val="false"/>
          </w:tcPr>
          <w:p>
            <w:pPr>
              <w:jc w:val="center"/>
              <w:spacing w:line="360" w:lineRule="exact"/>
              <w:rPr>
                <w:rFonts w:hint="eastAsia" w:ascii="仿宋" w:hAnsi="仿宋" w:eastAsia="仿宋" w:cs="仿宋"/>
                <w:bCs/>
                <w:sz w:val="24"/>
                <w:szCs w:val="24"/>
              </w:rPr>
            </w:pPr>
            <w:r>
              <w:rPr>
                <w:rFonts w:hint="eastAsia" w:ascii="仿宋" w:hAnsi="仿宋" w:eastAsia="仿宋" w:cs="仿宋"/>
                <w:bCs/>
                <w:sz w:val="24"/>
                <w:szCs w:val="24"/>
              </w:rPr>
              <w:t xml:space="preserve">营业执照</w:t>
            </w:r>
            <w:r/>
          </w:p>
        </w:tc>
        <w:tc>
          <w:tcPr>
            <w:shd w:val="clear" w:color="auto" w:fill="auto"/>
            <w:tcBorders>
              <w:left w:val="none" w:color="000000" w:sz="4" w:space="0"/>
            </w:tcBorders>
            <w:tcW w:w="5388" w:type="dxa"/>
            <w:vAlign w:val="center"/>
            <w:textDirection w:val="lrTb"/>
            <w:noWrap w:val="false"/>
          </w:tcPr>
          <w:p>
            <w:pPr>
              <w:spacing w:line="360" w:lineRule="exact"/>
              <w:rPr>
                <w:rFonts w:hint="eastAsia" w:ascii="仿宋" w:hAnsi="仿宋" w:eastAsia="仿宋" w:cs="仿宋"/>
                <w:bCs/>
                <w:sz w:val="24"/>
                <w:szCs w:val="24"/>
              </w:rPr>
            </w:pPr>
            <w:r>
              <w:rPr>
                <w:rFonts w:ascii="仿宋" w:hAnsi="仿宋" w:eastAsia="仿宋" w:cs="仿宋"/>
                <w:bCs/>
                <w:sz w:val="24"/>
                <w:szCs w:val="24"/>
              </w:rPr>
              <w:t xml:space="preserve">法人或者其他组织的营业执照等证明文件，自然人的身份证明。</w:t>
            </w:r>
            <w:r/>
          </w:p>
        </w:tc>
      </w:tr>
      <w:tr>
        <w:trPr>
          <w:jc w:val="center"/>
          <w:trHeight w:val="3081"/>
        </w:trPr>
        <w:tc>
          <w:tcPr>
            <w:tcW w:w="816"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1634" w:type="dxa"/>
            <w:vAlign w:val="center"/>
            <w:vMerge w:val="continue"/>
            <w:textDirection w:val="lrTb"/>
            <w:noWrap w:val="false"/>
          </w:tcPr>
          <w:p>
            <w:pPr>
              <w:ind w:left="695"/>
              <w:jc w:val="left"/>
              <w:spacing w:line="360" w:lineRule="exact"/>
              <w:widowControl/>
              <w:rPr>
                <w:rFonts w:ascii="仿宋" w:hAnsi="仿宋" w:eastAsia="仿宋" w:cs="仿宋"/>
                <w:sz w:val="24"/>
                <w:szCs w:val="24"/>
              </w:rPr>
            </w:pPr>
            <w:r>
              <w:rPr>
                <w:rFonts w:ascii="仿宋" w:hAnsi="仿宋" w:eastAsia="仿宋" w:cs="仿宋"/>
                <w:sz w:val="24"/>
                <w:szCs w:val="24"/>
              </w:rPr>
            </w:r>
            <w:r/>
          </w:p>
        </w:tc>
        <w:tc>
          <w:tcPr>
            <w:tcBorders>
              <w:left w:val="none" w:color="000000" w:sz="4" w:space="0"/>
            </w:tcBorders>
            <w:tcW w:w="2335" w:type="dxa"/>
            <w:vAlign w:val="center"/>
            <w:textDirection w:val="lrTb"/>
            <w:noWrap w:val="false"/>
          </w:tcPr>
          <w:p>
            <w:pPr>
              <w:jc w:val="center"/>
              <w:spacing w:line="360" w:lineRule="exact"/>
              <w:rPr>
                <w:rFonts w:ascii="仿宋" w:hAnsi="仿宋" w:eastAsia="仿宋" w:cs="仿宋"/>
                <w:sz w:val="24"/>
                <w:szCs w:val="24"/>
              </w:rPr>
            </w:pPr>
            <w:r>
              <w:rPr>
                <w:rFonts w:hint="eastAsia" w:ascii="仿宋" w:hAnsi="仿宋" w:eastAsia="仿宋" w:cs="仿宋"/>
                <w:sz w:val="24"/>
                <w:szCs w:val="24"/>
              </w:rPr>
              <w:t xml:space="preserve">磋商供应商未列入失信被执行人或重大税收违法案件当事人名单或政府采购严重失信行为记录名单的证明材料</w:t>
            </w:r>
            <w:r/>
          </w:p>
        </w:tc>
        <w:tc>
          <w:tcPr>
            <w:tcBorders>
              <w:left w:val="none" w:color="000000" w:sz="4" w:space="0"/>
            </w:tcBorders>
            <w:tcW w:w="5388" w:type="dxa"/>
            <w:vAlign w:val="center"/>
            <w:textDirection w:val="lrTb"/>
            <w:noWrap w:val="false"/>
          </w:tcPr>
          <w:p>
            <w:pPr>
              <w:spacing w:line="360" w:lineRule="exact"/>
              <w:rPr>
                <w:rFonts w:ascii="仿宋" w:hAnsi="仿宋" w:eastAsia="仿宋" w:cs="仿宋"/>
                <w:sz w:val="24"/>
                <w:szCs w:val="24"/>
              </w:rPr>
            </w:pPr>
            <w:r>
              <w:rPr>
                <w:rFonts w:hint="eastAsia" w:ascii="仿宋" w:hAnsi="仿宋" w:eastAsia="仿宋" w:cs="仿宋"/>
                <w:bCs/>
                <w:sz w:val="24"/>
                <w:szCs w:val="24"/>
              </w:rPr>
              <w:t xml:space="preserve">响应供应商未被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磋商小组确认后资格审查不予通过；</w:t>
            </w:r>
            <w:r/>
          </w:p>
        </w:tc>
      </w:tr>
      <w:tr>
        <w:trPr>
          <w:jc w:val="center"/>
          <w:trHeight w:val="90"/>
        </w:trPr>
        <w:tc>
          <w:tcPr>
            <w:gridSpan w:val="4"/>
            <w:tcW w:w="10173" w:type="dxa"/>
            <w:vAlign w:val="center"/>
            <w:textDirection w:val="lrTb"/>
            <w:noWrap w:val="false"/>
          </w:tcPr>
          <w:p>
            <w:pPr>
              <w:ind w:firstLine="482"/>
              <w:spacing w:line="360" w:lineRule="exact"/>
              <w:rPr>
                <w:rFonts w:ascii="仿宋" w:hAnsi="仿宋" w:eastAsia="仿宋" w:cs="仿宋"/>
                <w:b/>
                <w:bCs/>
                <w:sz w:val="24"/>
                <w:szCs w:val="24"/>
              </w:rPr>
            </w:pPr>
            <w:r/>
            <w:bookmarkStart w:id="97" w:name="_Hlk14941930"/>
            <w:r>
              <w:rPr>
                <w:rFonts w:hint="eastAsia" w:ascii="仿宋" w:hAnsi="仿宋" w:eastAsia="仿宋" w:cs="仿宋"/>
                <w:b/>
                <w:bCs/>
                <w:sz w:val="24"/>
                <w:szCs w:val="24"/>
              </w:rPr>
              <w:t xml:space="preserve">上述条款资格评审标准的递交资料需提供清晰的原件扫描件并加盖响应单位公章；以上资格评审标准评审标等相关内容不清晰或资料不全的或不符合要求的，由此引起的后果由供应商自负。</w:t>
            </w:r>
            <w:r/>
          </w:p>
          <w:p>
            <w:pPr>
              <w:ind w:firstLine="482"/>
              <w:spacing w:line="360" w:lineRule="exact"/>
              <w:rPr>
                <w:rFonts w:ascii="仿宋" w:hAnsi="仿宋" w:eastAsia="仿宋" w:cs="仿宋"/>
                <w:sz w:val="24"/>
                <w:szCs w:val="24"/>
              </w:rPr>
            </w:pPr>
            <w:r>
              <w:rPr>
                <w:rFonts w:hint="eastAsia" w:ascii="仿宋" w:hAnsi="仿宋" w:eastAsia="仿宋" w:cs="仿宋"/>
                <w:b/>
                <w:bCs/>
                <w:sz w:val="24"/>
                <w:szCs w:val="24"/>
              </w:rPr>
              <w:t xml:space="preserve">注：通过形式评审和资格审查的响应供应商可进入以下评审(资格审查不合格的响应供应商不得进入本项目符合性审查、商务技术标和报价标的综合评审阶段)。</w:t>
            </w:r>
            <w:bookmarkEnd w:id="96"/>
            <w:r/>
            <w:bookmarkEnd w:id="97"/>
            <w:r/>
            <w:r/>
          </w:p>
        </w:tc>
      </w:tr>
    </w:tbl>
    <w:p>
      <w:pPr>
        <w:ind w:left="695" w:firstLine="482"/>
        <w:jc w:val="left"/>
        <w:spacing w:line="460" w:lineRule="exact"/>
        <w:rPr>
          <w:rFonts w:ascii="仿宋" w:hAnsi="仿宋" w:eastAsia="仿宋" w:cs="仿宋"/>
          <w:b/>
          <w:sz w:val="24"/>
          <w:szCs w:val="24"/>
        </w:rPr>
      </w:pPr>
      <w:r>
        <w:rPr>
          <w:rFonts w:hint="eastAsia" w:ascii="仿宋" w:hAnsi="仿宋" w:eastAsia="仿宋" w:cs="仿宋"/>
          <w:b/>
          <w:sz w:val="24"/>
          <w:szCs w:val="24"/>
        </w:rPr>
        <w:t xml:space="preserve">八、磋商小组对符合资格供应商的响应文件进行符合性审查。</w:t>
      </w:r>
      <w:r/>
    </w:p>
    <w:p>
      <w:pPr>
        <w:ind w:left="695" w:firstLine="482"/>
        <w:jc w:val="center"/>
        <w:spacing w:line="460" w:lineRule="exact"/>
        <w:rPr>
          <w:rFonts w:ascii="仿宋" w:hAnsi="仿宋" w:eastAsia="仿宋" w:cs="仿宋"/>
          <w:b/>
          <w:sz w:val="24"/>
          <w:szCs w:val="24"/>
          <w:lang w:eastAsia="en-US"/>
        </w:rPr>
      </w:pPr>
      <w:r>
        <w:rPr>
          <w:rFonts w:hint="eastAsia" w:ascii="仿宋" w:hAnsi="仿宋" w:eastAsia="仿宋" w:cs="仿宋"/>
          <w:b/>
          <w:sz w:val="24"/>
          <w:szCs w:val="24"/>
          <w:lang w:eastAsia="en-US"/>
        </w:rPr>
        <w:t xml:space="preserve">符合性审查要求</w:t>
      </w:r>
      <w:r/>
    </w:p>
    <w:tbl>
      <w:tblPr>
        <w:tblW w:w="8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00"/>
      </w:tblGrid>
      <w:tr>
        <w:trPr>
          <w:jc w:val="center"/>
          <w:trHeight w:val="391"/>
        </w:trPr>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left="695"/>
              <w:jc w:val="center"/>
              <w:spacing w:line="400" w:lineRule="exact"/>
              <w:rPr>
                <w:rFonts w:ascii="仿宋" w:hAnsi="仿宋" w:eastAsia="仿宋" w:cs="仿宋"/>
                <w:sz w:val="24"/>
                <w:szCs w:val="24"/>
                <w:lang w:val="zh-CN"/>
              </w:rPr>
            </w:pPr>
            <w:r>
              <w:rPr>
                <w:rFonts w:hint="eastAsia" w:ascii="仿宋" w:hAnsi="仿宋" w:eastAsia="仿宋" w:cs="仿宋"/>
                <w:sz w:val="24"/>
                <w:szCs w:val="24"/>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left="695"/>
              <w:jc w:val="center"/>
              <w:spacing w:line="400" w:lineRule="exact"/>
              <w:rPr>
                <w:rFonts w:ascii="仿宋" w:hAnsi="仿宋" w:eastAsia="仿宋" w:cs="仿宋"/>
                <w:sz w:val="24"/>
                <w:szCs w:val="24"/>
                <w:lang w:val="zh-CN"/>
              </w:rPr>
            </w:pPr>
            <w:r>
              <w:rPr>
                <w:rFonts w:hint="eastAsia" w:ascii="仿宋" w:hAnsi="仿宋" w:eastAsia="仿宋" w:cs="仿宋"/>
                <w:b/>
                <w:bCs/>
                <w:sz w:val="24"/>
                <w:szCs w:val="24"/>
                <w:lang w:val="zh-CN"/>
              </w:rPr>
              <w:t xml:space="preserve">满足《竞争性磋商文件》以“★”标明的全部实质性条款要求。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spacing w:line="400" w:lineRule="exact"/>
              <w:rPr>
                <w:rFonts w:ascii="仿宋" w:hAnsi="仿宋" w:eastAsia="仿宋" w:cs="仿宋"/>
                <w:sz w:val="24"/>
                <w:szCs w:val="24"/>
              </w:rPr>
            </w:pPr>
            <w:r>
              <w:rPr>
                <w:rFonts w:hint="eastAsia" w:ascii="仿宋" w:hAnsi="仿宋" w:eastAsia="仿宋" w:cs="仿宋"/>
                <w:b/>
                <w:bCs/>
                <w:sz w:val="24"/>
                <w:szCs w:val="24"/>
                <w:lang w:val="zh-CN"/>
              </w:rPr>
              <w:t xml:space="preserve">按《竞争性磋商文件》要求</w:t>
            </w:r>
            <w:r>
              <w:rPr>
                <w:rFonts w:hint="eastAsia" w:ascii="仿宋" w:hAnsi="仿宋" w:eastAsia="仿宋" w:cs="仿宋"/>
                <w:b/>
                <w:bCs/>
                <w:sz w:val="24"/>
                <w:szCs w:val="24"/>
              </w:rPr>
              <w:t xml:space="preserve">提供承诺书作为符合性审查材料的（如有）</w:t>
            </w:r>
            <w:r>
              <w:rPr>
                <w:rFonts w:hint="eastAsia" w:ascii="仿宋" w:hAnsi="仿宋" w:eastAsia="仿宋" w:cs="仿宋"/>
                <w:sz w:val="24"/>
                <w:szCs w:val="24"/>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left="695"/>
              <w:jc w:val="center"/>
              <w:spacing w:line="400" w:lineRule="exact"/>
              <w:rPr>
                <w:rFonts w:ascii="仿宋" w:hAnsi="仿宋" w:eastAsia="仿宋" w:cs="仿宋"/>
                <w:sz w:val="24"/>
                <w:szCs w:val="24"/>
                <w:lang w:val="zh-CN"/>
              </w:rPr>
            </w:pPr>
            <w:r>
              <w:rPr>
                <w:rFonts w:hint="eastAsia" w:ascii="仿宋" w:hAnsi="仿宋" w:eastAsia="仿宋" w:cs="仿宋"/>
                <w:sz w:val="24"/>
                <w:szCs w:val="24"/>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000" w:type="dxa"/>
            <w:vAlign w:val="center"/>
            <w:textDirection w:val="lrTb"/>
            <w:noWrap w:val="false"/>
          </w:tcPr>
          <w:p>
            <w:pPr>
              <w:ind w:left="695"/>
              <w:jc w:val="center"/>
              <w:spacing w:line="400" w:lineRule="exact"/>
              <w:rPr>
                <w:rFonts w:ascii="仿宋" w:hAnsi="仿宋" w:eastAsia="仿宋" w:cs="仿宋"/>
                <w:sz w:val="24"/>
                <w:szCs w:val="24"/>
                <w:lang w:val="zh-CN"/>
              </w:rPr>
            </w:pPr>
            <w:r>
              <w:rPr>
                <w:rFonts w:hint="eastAsia" w:ascii="仿宋" w:hAnsi="仿宋" w:eastAsia="仿宋" w:cs="仿宋"/>
                <w:sz w:val="24"/>
                <w:szCs w:val="24"/>
                <w:lang w:val="zh-CN"/>
              </w:rPr>
              <w:t xml:space="preserve">没有串通投标情形。</w:t>
            </w:r>
            <w:r/>
          </w:p>
        </w:tc>
      </w:tr>
    </w:tbl>
    <w:p>
      <w:pPr>
        <w:pStyle w:val="1011"/>
        <w:ind w:left="695" w:firstLine="482"/>
        <w:rPr>
          <w:rFonts w:ascii="仿宋" w:hAnsi="仿宋" w:eastAsia="仿宋" w:cs="仿宋"/>
          <w:b/>
          <w:bCs/>
          <w:sz w:val="24"/>
          <w:szCs w:val="24"/>
          <w:u w:val="single"/>
        </w:rPr>
      </w:pPr>
      <w:r>
        <w:rPr>
          <w:rFonts w:hint="eastAsia" w:ascii="仿宋" w:hAnsi="仿宋" w:eastAsia="仿宋" w:cs="仿宋"/>
          <w:b/>
          <w:bCs/>
          <w:sz w:val="24"/>
          <w:szCs w:val="24"/>
          <w:u w:val="single"/>
          <w:lang w:val="zh-CN"/>
        </w:rPr>
        <w:t xml:space="preserve">本磋商文件</w:t>
      </w:r>
      <w:r>
        <w:rPr>
          <w:rFonts w:hint="eastAsia" w:ascii="仿宋" w:hAnsi="仿宋" w:eastAsia="仿宋" w:cs="仿宋"/>
          <w:b/>
          <w:bCs/>
          <w:sz w:val="24"/>
          <w:szCs w:val="24"/>
          <w:u w:val="single"/>
        </w:rPr>
        <w:t xml:space="preserve">所</w:t>
      </w:r>
      <w:r>
        <w:rPr>
          <w:rFonts w:hint="eastAsia" w:ascii="仿宋" w:hAnsi="仿宋" w:eastAsia="仿宋" w:cs="仿宋"/>
          <w:b/>
          <w:bCs/>
          <w:sz w:val="24"/>
          <w:szCs w:val="24"/>
          <w:u w:val="single"/>
          <w:lang w:val="zh-CN"/>
        </w:rPr>
        <w:t xml:space="preserve">有“★”标明的条款，请各供应商仔细研读且作为符合性审查要求，未通过符合性审查的响应文件，经磋商小组核实将被判为不满足竞争性磋商文件实质性要求，</w:t>
      </w:r>
      <w:r>
        <w:rPr>
          <w:rFonts w:hint="eastAsia" w:ascii="仿宋" w:hAnsi="仿宋" w:eastAsia="仿宋" w:cs="仿宋"/>
          <w:b/>
          <w:bCs/>
          <w:sz w:val="24"/>
          <w:szCs w:val="24"/>
          <w:u w:val="single"/>
        </w:rPr>
        <w:t xml:space="preserve">作无效响应处理。</w:t>
      </w:r>
      <w:r/>
    </w:p>
    <w:p>
      <w:pPr>
        <w:ind w:left="695" w:firstLine="482"/>
        <w:jc w:val="left"/>
        <w:spacing w:line="460" w:lineRule="exact"/>
        <w:rPr>
          <w:rFonts w:ascii="仿宋" w:hAnsi="仿宋" w:eastAsia="仿宋" w:cs="仿宋"/>
          <w:b/>
          <w:sz w:val="24"/>
          <w:szCs w:val="24"/>
          <w:lang w:eastAsia="en-US"/>
        </w:rPr>
      </w:pPr>
      <w:r>
        <w:rPr>
          <w:rFonts w:hint="eastAsia" w:ascii="仿宋" w:hAnsi="仿宋" w:eastAsia="仿宋" w:cs="仿宋"/>
          <w:b/>
          <w:sz w:val="24"/>
          <w:szCs w:val="24"/>
        </w:rPr>
        <w:t xml:space="preserve">九</w:t>
      </w:r>
      <w:r>
        <w:rPr>
          <w:rFonts w:hint="eastAsia" w:ascii="仿宋" w:hAnsi="仿宋" w:eastAsia="仿宋" w:cs="仿宋"/>
          <w:b/>
          <w:sz w:val="24"/>
          <w:szCs w:val="24"/>
          <w:lang w:eastAsia="en-US"/>
        </w:rPr>
        <w:t xml:space="preserve">、综合评分评审标准</w:t>
      </w:r>
      <w:r/>
    </w:p>
    <w:p>
      <w:pPr>
        <w:ind w:left="695" w:firstLine="480"/>
        <w:spacing w:line="460" w:lineRule="exact"/>
        <w:rPr>
          <w:rFonts w:ascii="仿宋" w:hAnsi="仿宋" w:eastAsia="仿宋" w:cs="仿宋"/>
          <w:sz w:val="24"/>
          <w:szCs w:val="24"/>
          <w:lang w:val="zh-CN"/>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商务技术分：</w:t>
      </w:r>
      <w:r>
        <w:rPr>
          <w:rFonts w:hint="eastAsia" w:ascii="仿宋" w:hAnsi="仿宋" w:eastAsia="仿宋" w:cs="仿宋"/>
          <w:sz w:val="24"/>
          <w:szCs w:val="24"/>
        </w:rPr>
        <w:t xml:space="preserve">80</w:t>
      </w:r>
      <w:r>
        <w:rPr>
          <w:rFonts w:hint="eastAsia" w:ascii="仿宋" w:hAnsi="仿宋" w:eastAsia="仿宋" w:cs="仿宋"/>
          <w:sz w:val="24"/>
          <w:szCs w:val="24"/>
          <w:lang w:val="zh-CN"/>
        </w:rPr>
        <w:t xml:space="preserve">分</w:t>
      </w:r>
      <w:r/>
    </w:p>
    <w:tbl>
      <w:tblPr>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3"/>
        <w:gridCol w:w="1335"/>
        <w:gridCol w:w="6511"/>
      </w:tblGrid>
      <w:tr>
        <w:trPr>
          <w:jc w:val="center"/>
          <w:trHeight w:val="332"/>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评分标准</w:t>
            </w:r>
            <w:r/>
          </w:p>
        </w:tc>
      </w:tr>
      <w:tr>
        <w:trPr>
          <w:jc w:val="center"/>
          <w:trHeight w:val="716"/>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技术方案</w:t>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（35分）</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（1）管理组织和实施方案（25分）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根据响应供应商提供的环卫作业组织方案、管理措施、工作流程、质量控制、人员培训方案等服务内容的完整性、科学性、合理性进行综合评定。</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1.磋商文件相关要求提供前后衔接、表述完整的工作方案的，</w:t>
            </w:r>
            <w:r>
              <w:rPr>
                <w:rFonts w:hint="eastAsia" w:ascii="仿宋" w:hAnsi="仿宋" w:eastAsia="仿宋" w:cs="仿宋"/>
                <w:sz w:val="24"/>
                <w:szCs w:val="24"/>
              </w:rPr>
              <w:t xml:space="preserve">方案全面内容全面、针对性强、可行性高得 </w:t>
            </w:r>
            <w:r>
              <w:rPr>
                <w:rFonts w:hint="eastAsia" w:ascii="仿宋" w:hAnsi="仿宋" w:eastAsia="仿宋" w:cs="仿宋"/>
                <w:sz w:val="24"/>
                <w:szCs w:val="24"/>
              </w:rPr>
              <w:t xml:space="preserve">5</w:t>
            </w:r>
            <w:r>
              <w:rPr>
                <w:rFonts w:hint="eastAsia" w:ascii="仿宋" w:hAnsi="仿宋" w:eastAsia="仿宋" w:cs="仿宋"/>
                <w:sz w:val="24"/>
                <w:szCs w:val="24"/>
              </w:rPr>
              <w:t xml:space="preserve"> 分，内容较全面、针对性较强、可行性较高得 </w:t>
            </w:r>
            <w:r>
              <w:rPr>
                <w:rFonts w:hint="eastAsia" w:ascii="仿宋" w:hAnsi="仿宋" w:eastAsia="仿宋" w:cs="仿宋"/>
                <w:sz w:val="24"/>
                <w:szCs w:val="24"/>
              </w:rPr>
              <w:t xml:space="preserve">3</w:t>
            </w:r>
            <w:r>
              <w:rPr>
                <w:rFonts w:hint="eastAsia" w:ascii="仿宋" w:hAnsi="仿宋" w:eastAsia="仿宋" w:cs="仿宋"/>
                <w:sz w:val="24"/>
                <w:szCs w:val="24"/>
              </w:rPr>
              <w:t xml:space="preserve"> 分，内容简单、针对性不强、可行性不高得 </w:t>
            </w:r>
            <w:r>
              <w:rPr>
                <w:rFonts w:hint="eastAsia" w:ascii="仿宋" w:hAnsi="仿宋" w:eastAsia="仿宋" w:cs="仿宋"/>
                <w:sz w:val="24"/>
                <w:szCs w:val="24"/>
              </w:rPr>
              <w:t xml:space="preserve">2</w:t>
            </w:r>
            <w:r>
              <w:rPr>
                <w:rFonts w:hint="eastAsia" w:ascii="仿宋" w:hAnsi="仿宋" w:eastAsia="仿宋" w:cs="仿宋"/>
                <w:sz w:val="24"/>
                <w:szCs w:val="24"/>
              </w:rPr>
              <w:t xml:space="preserve"> 分，内容简单、针对性不强、可行性差得 1 分</w:t>
            </w:r>
            <w:r>
              <w:rPr>
                <w:rFonts w:hint="eastAsia" w:ascii="仿宋" w:hAnsi="仿宋" w:eastAsia="仿宋" w:cs="仿宋"/>
                <w:sz w:val="24"/>
                <w:szCs w:val="24"/>
              </w:rPr>
              <w:t xml:space="preserve">，不提供不得分。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2.有详细的管理方案的,</w:t>
            </w:r>
            <w:r>
              <w:rPr>
                <w:rFonts w:hint="eastAsia" w:ascii="仿宋" w:hAnsi="仿宋" w:eastAsia="仿宋" w:cs="仿宋"/>
                <w:sz w:val="24"/>
                <w:szCs w:val="24"/>
              </w:rPr>
              <w:t xml:space="preserve"> 管理科学、体系完整、可操作性强的,内容全面、针对性强、可行性高得</w:t>
            </w:r>
            <w:r>
              <w:rPr>
                <w:rFonts w:hint="eastAsia" w:ascii="仿宋" w:hAnsi="仿宋" w:eastAsia="仿宋" w:cs="仿宋"/>
                <w:sz w:val="24"/>
                <w:szCs w:val="24"/>
              </w:rPr>
              <w:t xml:space="preserve">5</w:t>
            </w:r>
            <w:r>
              <w:rPr>
                <w:rFonts w:hint="eastAsia" w:ascii="仿宋" w:hAnsi="仿宋" w:eastAsia="仿宋" w:cs="仿宋"/>
                <w:sz w:val="24"/>
                <w:szCs w:val="24"/>
              </w:rPr>
              <w:t xml:space="preserve">分，内容较全面、针对性较强、可行性较高得</w:t>
            </w:r>
            <w:r>
              <w:rPr>
                <w:rFonts w:hint="eastAsia" w:ascii="仿宋" w:hAnsi="仿宋" w:eastAsia="仿宋" w:cs="仿宋"/>
                <w:sz w:val="24"/>
                <w:szCs w:val="24"/>
              </w:rPr>
              <w:t xml:space="preserve">3</w:t>
            </w:r>
            <w:r>
              <w:rPr>
                <w:rFonts w:hint="eastAsia" w:ascii="仿宋" w:hAnsi="仿宋" w:eastAsia="仿宋" w:cs="仿宋"/>
                <w:sz w:val="24"/>
                <w:szCs w:val="24"/>
              </w:rPr>
              <w:t xml:space="preserve"> 分，内容简单、针对性不强、可行性不高得 </w:t>
            </w:r>
            <w:r>
              <w:rPr>
                <w:rFonts w:hint="eastAsia" w:ascii="仿宋" w:hAnsi="仿宋" w:eastAsia="仿宋" w:cs="仿宋"/>
                <w:sz w:val="24"/>
                <w:szCs w:val="24"/>
              </w:rPr>
              <w:t xml:space="preserve">2</w:t>
            </w:r>
            <w:r>
              <w:rPr>
                <w:rFonts w:hint="eastAsia" w:ascii="仿宋" w:hAnsi="仿宋" w:eastAsia="仿宋" w:cs="仿宋"/>
                <w:sz w:val="24"/>
                <w:szCs w:val="24"/>
              </w:rPr>
              <w:t xml:space="preserve"> 分，内容简单、针对性不强、可行性差得 1 分</w:t>
            </w:r>
            <w:r>
              <w:rPr>
                <w:rFonts w:hint="eastAsia" w:ascii="仿宋" w:hAnsi="仿宋" w:eastAsia="仿宋" w:cs="仿宋"/>
                <w:sz w:val="24"/>
                <w:szCs w:val="24"/>
              </w:rPr>
              <w:t xml:space="preserve">，不提供不得分。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3.有对派驻人员分岗位分职责进行考核的完整文字说明的，</w:t>
            </w:r>
            <w:r>
              <w:rPr>
                <w:rFonts w:hint="eastAsia" w:ascii="仿宋" w:hAnsi="仿宋" w:eastAsia="仿宋" w:cs="仿宋"/>
                <w:sz w:val="24"/>
                <w:szCs w:val="24"/>
              </w:rPr>
              <w:t xml:space="preserve">全面、措施合理对本项目内容全面、针对性强、可行性高得 </w:t>
            </w:r>
            <w:r>
              <w:rPr>
                <w:rFonts w:hint="eastAsia" w:ascii="仿宋" w:hAnsi="仿宋" w:eastAsia="仿宋" w:cs="仿宋"/>
                <w:sz w:val="24"/>
                <w:szCs w:val="24"/>
              </w:rPr>
              <w:t xml:space="preserve">5</w:t>
            </w:r>
            <w:r>
              <w:rPr>
                <w:rFonts w:hint="eastAsia" w:ascii="仿宋" w:hAnsi="仿宋" w:eastAsia="仿宋" w:cs="仿宋"/>
                <w:sz w:val="24"/>
                <w:szCs w:val="24"/>
              </w:rPr>
              <w:t xml:space="preserve"> 分，内容较全面、针对性较强、可行性较高得</w:t>
            </w:r>
            <w:r>
              <w:rPr>
                <w:rFonts w:hint="eastAsia" w:ascii="仿宋" w:hAnsi="仿宋" w:eastAsia="仿宋" w:cs="仿宋"/>
                <w:sz w:val="24"/>
                <w:szCs w:val="24"/>
              </w:rPr>
              <w:t xml:space="preserve">3</w:t>
            </w:r>
            <w:r>
              <w:rPr>
                <w:rFonts w:hint="eastAsia" w:ascii="仿宋" w:hAnsi="仿宋" w:eastAsia="仿宋" w:cs="仿宋"/>
                <w:sz w:val="24"/>
                <w:szCs w:val="24"/>
              </w:rPr>
              <w:t xml:space="preserve"> 分，内容简单、针对性不强、可行性不高得 </w:t>
            </w:r>
            <w:r>
              <w:rPr>
                <w:rFonts w:hint="eastAsia" w:ascii="仿宋" w:hAnsi="仿宋" w:eastAsia="仿宋" w:cs="仿宋"/>
                <w:sz w:val="24"/>
                <w:szCs w:val="24"/>
              </w:rPr>
              <w:t xml:space="preserve">2</w:t>
            </w:r>
            <w:r>
              <w:rPr>
                <w:rFonts w:hint="eastAsia" w:ascii="仿宋" w:hAnsi="仿宋" w:eastAsia="仿宋" w:cs="仿宋"/>
                <w:sz w:val="24"/>
                <w:szCs w:val="24"/>
              </w:rPr>
              <w:t xml:space="preserve"> 分，内容简单、针对性、可行性差得 1 分</w:t>
            </w:r>
            <w:r>
              <w:rPr>
                <w:rFonts w:hint="eastAsia" w:ascii="仿宋" w:hAnsi="仿宋" w:eastAsia="仿宋" w:cs="仿宋"/>
                <w:sz w:val="24"/>
                <w:szCs w:val="24"/>
              </w:rPr>
              <w:t xml:space="preserve">，不提供不得分。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4.有对用户要求的响应情况说明的，</w:t>
            </w:r>
            <w:r>
              <w:rPr>
                <w:rFonts w:hint="eastAsia" w:ascii="仿宋" w:hAnsi="仿宋" w:eastAsia="仿宋" w:cs="仿宋"/>
                <w:sz w:val="24"/>
                <w:szCs w:val="24"/>
              </w:rPr>
              <w:t xml:space="preserve">认识深刻、全面、切合实际，目标明确，响应招标文件实质性要求方案的科学性、合理性、可行性好得 </w:t>
            </w:r>
            <w:r>
              <w:rPr>
                <w:rFonts w:hint="eastAsia" w:ascii="仿宋" w:hAnsi="仿宋" w:eastAsia="仿宋" w:cs="仿宋"/>
                <w:sz w:val="24"/>
                <w:szCs w:val="24"/>
              </w:rPr>
              <w:t xml:space="preserve">5</w:t>
            </w:r>
            <w:r>
              <w:rPr>
                <w:rFonts w:hint="eastAsia" w:ascii="仿宋" w:hAnsi="仿宋" w:eastAsia="仿宋" w:cs="仿宋"/>
                <w:sz w:val="24"/>
                <w:szCs w:val="24"/>
              </w:rPr>
              <w:t xml:space="preserve"> 分，方案的科学性、合理性、可行性较好得 </w:t>
            </w:r>
            <w:r>
              <w:rPr>
                <w:rFonts w:hint="eastAsia" w:ascii="仿宋" w:hAnsi="仿宋" w:eastAsia="仿宋" w:cs="仿宋"/>
                <w:sz w:val="24"/>
                <w:szCs w:val="24"/>
              </w:rPr>
              <w:t xml:space="preserve">3</w:t>
            </w:r>
            <w:r>
              <w:rPr>
                <w:rFonts w:hint="eastAsia" w:ascii="仿宋" w:hAnsi="仿宋" w:eastAsia="仿宋" w:cs="仿宋"/>
                <w:sz w:val="24"/>
                <w:szCs w:val="24"/>
              </w:rPr>
              <w:t xml:space="preserve"> 分，方案的科学性、合理性、可行性一般得 </w:t>
            </w:r>
            <w:r>
              <w:rPr>
                <w:rFonts w:hint="eastAsia" w:ascii="仿宋" w:hAnsi="仿宋" w:eastAsia="仿宋" w:cs="仿宋"/>
                <w:sz w:val="24"/>
                <w:szCs w:val="24"/>
              </w:rPr>
              <w:t xml:space="preserve">2</w:t>
            </w:r>
            <w:r>
              <w:rPr>
                <w:rFonts w:hint="eastAsia" w:ascii="仿宋" w:hAnsi="仿宋" w:eastAsia="仿宋" w:cs="仿宋"/>
                <w:sz w:val="24"/>
                <w:szCs w:val="24"/>
              </w:rPr>
              <w:t xml:space="preserve"> 分，方案的科学性、合理性、可行性差得 1 </w:t>
            </w:r>
            <w:r>
              <w:rPr>
                <w:rFonts w:hint="eastAsia" w:ascii="仿宋" w:hAnsi="仿宋" w:eastAsia="仿宋" w:cs="仿宋"/>
                <w:sz w:val="24"/>
                <w:szCs w:val="24"/>
              </w:rPr>
              <w:t xml:space="preserve">分</w:t>
            </w:r>
            <w:r>
              <w:rPr>
                <w:rFonts w:hint="eastAsia" w:ascii="仿宋" w:hAnsi="仿宋" w:eastAsia="仿宋" w:cs="仿宋"/>
                <w:sz w:val="24"/>
                <w:szCs w:val="24"/>
              </w:rPr>
              <w:t xml:space="preserve">，不提供不得分。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5.有专业服务队伍的完备和管理情况说明的，</w:t>
            </w:r>
            <w:r>
              <w:rPr>
                <w:rFonts w:hint="eastAsia" w:ascii="仿宋" w:hAnsi="仿宋" w:eastAsia="仿宋" w:cs="仿宋"/>
                <w:sz w:val="24"/>
                <w:szCs w:val="24"/>
              </w:rPr>
              <w:t xml:space="preserve">供应商在方案中明确了人员组织架构，对项目负责人、团队具体人员职责非常明确、</w:t>
            </w:r>
            <w:r>
              <w:rPr>
                <w:rFonts w:hint="eastAsia" w:ascii="仿宋" w:hAnsi="仿宋" w:eastAsia="仿宋" w:cs="仿宋"/>
                <w:sz w:val="24"/>
                <w:szCs w:val="24"/>
              </w:rPr>
              <w:t xml:space="preserve">人员</w:t>
            </w:r>
            <w:r>
              <w:rPr>
                <w:rFonts w:hint="eastAsia" w:ascii="仿宋" w:hAnsi="仿宋" w:eastAsia="仿宋" w:cs="仿宋"/>
                <w:sz w:val="24"/>
                <w:szCs w:val="24"/>
              </w:rPr>
              <w:t xml:space="preserve">充足的得5分；明确组织架构且，项目团队人员分工较明确、</w:t>
            </w:r>
            <w:r>
              <w:rPr>
                <w:rFonts w:hint="eastAsia" w:ascii="仿宋" w:hAnsi="仿宋" w:eastAsia="仿宋" w:cs="仿宋"/>
                <w:sz w:val="24"/>
                <w:szCs w:val="24"/>
              </w:rPr>
              <w:t xml:space="preserve">人员</w:t>
            </w:r>
            <w:r>
              <w:rPr>
                <w:rFonts w:hint="eastAsia" w:ascii="仿宋" w:hAnsi="仿宋" w:eastAsia="仿宋" w:cs="仿宋"/>
                <w:sz w:val="24"/>
                <w:szCs w:val="24"/>
              </w:rPr>
              <w:t xml:space="preserve">一般3分；仅提供组织架构、人员不充足的得1</w:t>
            </w:r>
            <w:r>
              <w:rPr>
                <w:rFonts w:hint="eastAsia" w:ascii="仿宋" w:hAnsi="仿宋" w:eastAsia="仿宋" w:cs="仿宋"/>
                <w:sz w:val="24"/>
                <w:szCs w:val="24"/>
              </w:rPr>
              <w:t xml:space="preserve">分</w:t>
            </w:r>
            <w:r>
              <w:rPr>
                <w:rFonts w:hint="eastAsia" w:ascii="仿宋" w:hAnsi="仿宋" w:eastAsia="仿宋" w:cs="仿宋"/>
                <w:sz w:val="24"/>
                <w:szCs w:val="24"/>
              </w:rPr>
              <w:t xml:space="preserve">，不提供不得分。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 </w:t>
            </w:r>
            <w:r>
              <w:rPr>
                <w:rFonts w:hint="eastAsia" w:ascii="仿宋" w:hAnsi="仿宋" w:eastAsia="仿宋" w:cs="仿宋"/>
                <w:sz w:val="24"/>
                <w:szCs w:val="24"/>
              </w:rPr>
              <w:t xml:space="preserve">安全控制（5分）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根据响应供应商提供的安全措施方案，方案科学性、合理性、有效性综合评分,</w:t>
            </w:r>
            <w:r>
              <w:rPr>
                <w:rFonts w:hint="eastAsia" w:ascii="仿宋" w:hAnsi="仿宋" w:eastAsia="仿宋" w:cs="仿宋"/>
                <w:sz w:val="24"/>
                <w:szCs w:val="24"/>
              </w:rPr>
              <w:t xml:space="preserve"> 方案的科学性、合理性、可行性好得 </w:t>
            </w:r>
            <w:r>
              <w:rPr>
                <w:rFonts w:hint="eastAsia" w:ascii="仿宋" w:hAnsi="仿宋" w:eastAsia="仿宋" w:cs="仿宋"/>
                <w:sz w:val="24"/>
                <w:szCs w:val="24"/>
              </w:rPr>
              <w:t xml:space="preserve">5</w:t>
            </w:r>
            <w:r>
              <w:rPr>
                <w:rFonts w:hint="eastAsia" w:ascii="仿宋" w:hAnsi="仿宋" w:eastAsia="仿宋" w:cs="仿宋"/>
                <w:sz w:val="24"/>
                <w:szCs w:val="24"/>
              </w:rPr>
              <w:t xml:space="preserve"> 分，方案的科学性、合理性、可行性较好得 </w:t>
            </w:r>
            <w:r>
              <w:rPr>
                <w:rFonts w:hint="eastAsia" w:ascii="仿宋" w:hAnsi="仿宋" w:eastAsia="仿宋" w:cs="仿宋"/>
                <w:sz w:val="24"/>
                <w:szCs w:val="24"/>
              </w:rPr>
              <w:t xml:space="preserve">3</w:t>
            </w:r>
            <w:r>
              <w:rPr>
                <w:rFonts w:hint="eastAsia" w:ascii="仿宋" w:hAnsi="仿宋" w:eastAsia="仿宋" w:cs="仿宋"/>
                <w:sz w:val="24"/>
                <w:szCs w:val="24"/>
              </w:rPr>
              <w:t xml:space="preserve">分，方案的科学性、合理性、可行性一般得 </w:t>
            </w:r>
            <w:r>
              <w:rPr>
                <w:rFonts w:hint="eastAsia" w:ascii="仿宋" w:hAnsi="仿宋" w:eastAsia="仿宋" w:cs="仿宋"/>
                <w:sz w:val="24"/>
                <w:szCs w:val="24"/>
              </w:rPr>
              <w:t xml:space="preserve">2</w:t>
            </w:r>
            <w:r>
              <w:rPr>
                <w:rFonts w:hint="eastAsia" w:ascii="仿宋" w:hAnsi="仿宋" w:eastAsia="仿宋" w:cs="仿宋"/>
                <w:sz w:val="24"/>
                <w:szCs w:val="24"/>
              </w:rPr>
              <w:t xml:space="preserve"> 分，方案的科学性、合理性、可行性差得 </w:t>
            </w:r>
            <w:r>
              <w:rPr>
                <w:rFonts w:hint="eastAsia" w:ascii="仿宋" w:hAnsi="仿宋" w:eastAsia="仿宋" w:cs="仿宋"/>
                <w:sz w:val="24"/>
                <w:szCs w:val="24"/>
              </w:rPr>
              <w:t xml:space="preserve">1</w:t>
            </w:r>
            <w:r>
              <w:rPr>
                <w:rFonts w:hint="eastAsia" w:ascii="仿宋" w:hAnsi="仿宋" w:eastAsia="仿宋" w:cs="仿宋"/>
                <w:sz w:val="24"/>
                <w:szCs w:val="24"/>
              </w:rPr>
              <w:t xml:space="preserve">分</w:t>
            </w:r>
            <w:r>
              <w:rPr>
                <w:rFonts w:hint="eastAsia" w:ascii="仿宋" w:hAnsi="仿宋" w:eastAsia="仿宋" w:cs="仿宋"/>
                <w:sz w:val="24"/>
                <w:szCs w:val="24"/>
              </w:rPr>
              <w:t xml:space="preserve">，</w:t>
            </w:r>
            <w:r>
              <w:rPr>
                <w:rFonts w:hint="eastAsia" w:ascii="仿宋" w:hAnsi="仿宋" w:eastAsia="仿宋" w:cs="仿宋"/>
                <w:sz w:val="24"/>
                <w:szCs w:val="24"/>
              </w:rPr>
              <w:t xml:space="preserve">未提供的不得分。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 </w:t>
            </w:r>
            <w:r>
              <w:rPr>
                <w:rFonts w:hint="eastAsia" w:ascii="仿宋" w:hAnsi="仿宋" w:eastAsia="仿宋" w:cs="仿宋"/>
                <w:sz w:val="24"/>
                <w:szCs w:val="24"/>
              </w:rPr>
              <w:t xml:space="preserve">应急预案（5分）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根据响应供应商提供的应急突击方案进行综合评分,</w:t>
            </w:r>
            <w:r>
              <w:rPr>
                <w:rFonts w:hint="eastAsia" w:ascii="仿宋" w:hAnsi="仿宋" w:eastAsia="仿宋" w:cs="仿宋"/>
                <w:sz w:val="24"/>
                <w:szCs w:val="24"/>
              </w:rPr>
              <w:t xml:space="preserve"> 科学管理制度及预案完整、具体、可行的得5分；科学管理制度及预案较完整、具体的得</w:t>
            </w:r>
            <w:r>
              <w:rPr>
                <w:rFonts w:hint="eastAsia" w:ascii="仿宋" w:hAnsi="仿宋" w:eastAsia="仿宋" w:cs="仿宋"/>
                <w:sz w:val="24"/>
                <w:szCs w:val="24"/>
              </w:rPr>
              <w:t xml:space="preserve">3</w:t>
            </w:r>
            <w:r>
              <w:rPr>
                <w:rFonts w:hint="eastAsia" w:ascii="仿宋" w:hAnsi="仿宋" w:eastAsia="仿宋" w:cs="仿宋"/>
                <w:sz w:val="24"/>
                <w:szCs w:val="24"/>
              </w:rPr>
              <w:t xml:space="preserve">分；科学管理制度及预案一般的得</w:t>
            </w:r>
            <w:r>
              <w:rPr>
                <w:rFonts w:hint="eastAsia" w:ascii="仿宋" w:hAnsi="仿宋" w:eastAsia="仿宋" w:cs="仿宋"/>
                <w:sz w:val="24"/>
                <w:szCs w:val="24"/>
              </w:rPr>
              <w:t xml:space="preserve">2</w:t>
            </w:r>
            <w:r>
              <w:rPr>
                <w:rFonts w:hint="eastAsia" w:ascii="仿宋" w:hAnsi="仿宋" w:eastAsia="仿宋" w:cs="仿宋"/>
                <w:sz w:val="24"/>
                <w:szCs w:val="24"/>
              </w:rPr>
              <w:t xml:space="preserve">分；科学管理制度及预案差的得</w:t>
            </w:r>
            <w:r>
              <w:rPr>
                <w:rFonts w:hint="eastAsia" w:ascii="仿宋" w:hAnsi="仿宋" w:eastAsia="仿宋" w:cs="仿宋"/>
                <w:sz w:val="24"/>
                <w:szCs w:val="24"/>
              </w:rPr>
              <w:t xml:space="preserve">1</w:t>
            </w:r>
            <w:r>
              <w:rPr>
                <w:rFonts w:hint="eastAsia" w:ascii="仿宋" w:hAnsi="仿宋" w:eastAsia="仿宋" w:cs="仿宋"/>
                <w:sz w:val="24"/>
                <w:szCs w:val="24"/>
              </w:rPr>
              <w:t xml:space="preserve">分；未提供的不得分。</w:t>
            </w:r>
            <w:r/>
          </w:p>
        </w:tc>
      </w:tr>
      <w:tr>
        <w:trPr>
          <w:jc w:val="center"/>
          <w:trHeight w:val="716"/>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人员配备</w:t>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（14分）</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1.环卫作业人员数量满足磋商文件要求（人员要求：总人数不低于26人，管理人员不得少于3人；详见第三章项目需求）的得基本分12分；不满足磋商文件要求的不得分。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2.人员中具备特种作业证书（低压电工）的有1个得2分；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需提供工作人员基本情况资料（人员列表内容包括姓</w:t>
            </w:r>
            <w:r>
              <w:rPr>
                <w:rFonts w:hint="eastAsia" w:ascii="仿宋" w:hAnsi="仿宋" w:eastAsia="仿宋" w:cs="仿宋"/>
                <w:sz w:val="24"/>
                <w:szCs w:val="24"/>
              </w:rPr>
              <w:t xml:space="preserve">名、年龄、工作岗位、身份证号码等信息，格式自拟）和保险缴纳记录，管理人员必须为社保机构出具的投标企业为管理人员缴纳2026年</w:t>
            </w:r>
            <w:r>
              <w:rPr>
                <w:rFonts w:hint="eastAsia" w:ascii="仿宋" w:hAnsi="仿宋" w:eastAsia="仿宋" w:cs="仿宋"/>
                <w:sz w:val="24"/>
                <w:szCs w:val="24"/>
              </w:rPr>
              <w:t xml:space="preserve">2</w:t>
            </w:r>
            <w:r>
              <w:rPr>
                <w:rFonts w:hint="eastAsia" w:ascii="仿宋" w:hAnsi="仿宋" w:eastAsia="仿宋" w:cs="仿宋"/>
                <w:sz w:val="24"/>
                <w:szCs w:val="24"/>
              </w:rPr>
              <w:t xml:space="preserve">月-</w:t>
            </w:r>
            <w:r>
              <w:rPr>
                <w:rFonts w:hint="eastAsia" w:ascii="仿宋" w:hAnsi="仿宋" w:eastAsia="仿宋" w:cs="仿宋"/>
                <w:sz w:val="24"/>
                <w:szCs w:val="24"/>
              </w:rPr>
              <w:t xml:space="preserve">7</w:t>
            </w:r>
            <w:r>
              <w:rPr>
                <w:rFonts w:hint="eastAsia" w:ascii="仿宋" w:hAnsi="仿宋" w:eastAsia="仿宋" w:cs="仿宋"/>
                <w:sz w:val="24"/>
                <w:szCs w:val="24"/>
              </w:rPr>
              <w:t xml:space="preserve">月任意一个月的养老保险缴纳证明；环卫作业人员可为社会商业险。无资料不得分。</w:t>
            </w:r>
            <w:r/>
          </w:p>
        </w:tc>
      </w:tr>
      <w:tr>
        <w:trPr>
          <w:jc w:val="center"/>
          <w:trHeight w:val="983"/>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设备配备</w:t>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（16分）</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ind w:firstLine="480"/>
              <w:spacing w:line="460" w:lineRule="exact"/>
              <w:rPr>
                <w:rFonts w:ascii="仿宋" w:hAnsi="仿宋" w:eastAsia="仿宋" w:cs="仿宋"/>
                <w:sz w:val="24"/>
                <w:szCs w:val="24"/>
              </w:rPr>
            </w:pPr>
            <w:r/>
            <w:bookmarkStart w:id="98" w:name="_Hlk135250801"/>
            <w:r>
              <w:rPr>
                <w:rFonts w:hint="eastAsia" w:ascii="仿宋" w:hAnsi="仿宋" w:eastAsia="仿宋" w:cs="仿宋"/>
                <w:sz w:val="24"/>
                <w:szCs w:val="24"/>
              </w:rPr>
              <w:t xml:space="preserve">车辆设备配备满足磋商文件要求的（需在技术标中列出明细）：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总质量8.5吨以下6.5吨以上扫路车1辆；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总质量8.5吨以下6.5吨以上高压冲洗车1辆；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总质量8.5吨以下6.5吨以上后装式压缩车2辆；</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小型工具车1辆；</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注：小海街道部分路段狭窄不适用大型车辆</w:t>
            </w:r>
            <w:r/>
          </w:p>
          <w:p>
            <w:pPr>
              <w:ind w:firstLine="480"/>
              <w:spacing w:line="460" w:lineRule="exact"/>
              <w:rPr>
                <w:rFonts w:ascii="仿宋" w:hAnsi="仿宋" w:eastAsia="仿宋" w:cs="仿宋"/>
                <w:color w:val="ff0000"/>
                <w:sz w:val="24"/>
                <w:szCs w:val="24"/>
              </w:rPr>
            </w:pPr>
            <w:r>
              <w:rPr>
                <w:rFonts w:hint="eastAsia" w:ascii="仿宋" w:hAnsi="仿宋" w:eastAsia="仿宋" w:cs="仿宋"/>
                <w:sz w:val="24"/>
                <w:szCs w:val="24"/>
              </w:rPr>
              <w:t xml:space="preserve">以上每项车辆得4分</w:t>
            </w:r>
            <w:r>
              <w:rPr>
                <w:rFonts w:hint="eastAsia" w:ascii="仿宋" w:hAnsi="仿宋" w:eastAsia="仿宋" w:cs="仿宋"/>
                <w:sz w:val="24"/>
                <w:szCs w:val="24"/>
              </w:rPr>
              <w:t xml:space="preserve">，</w:t>
            </w:r>
            <w:r>
              <w:rPr>
                <w:rFonts w:hint="eastAsia" w:ascii="仿宋" w:hAnsi="仿宋" w:eastAsia="仿宋" w:cs="仿宋"/>
                <w:sz w:val="24"/>
                <w:szCs w:val="24"/>
              </w:rPr>
              <w:t xml:space="preserve">不提供车辆的得0分；</w:t>
            </w:r>
            <w:bookmarkEnd w:id="98"/>
            <w:r>
              <w:rPr>
                <w:rFonts w:hint="eastAsia" w:ascii="仿宋" w:hAnsi="仿宋" w:eastAsia="仿宋" w:cs="仿宋"/>
                <w:sz w:val="24"/>
                <w:szCs w:val="24"/>
              </w:rPr>
              <w:t xml:space="preserve">投标人自有车辆，需提供自有车辆行驶证、车辆保险、车辆登记证和车辆照片扫描件；投标人租赁的车辆，需提供租赁车辆行驶证、车辆保险、车辆登记证及车辆照片、租赁合同扫描件及租赁费支付凭证（发票、银行流水）（以上材料提供扫描件并加盖投标人公章，并承诺该车辆用于本项目，格式自拟加盖投标人公章，不提供或提供不全的均不得分)。</w:t>
            </w:r>
            <w:r/>
          </w:p>
        </w:tc>
      </w:tr>
      <w:tr>
        <w:trPr>
          <w:jc w:val="center"/>
          <w:trHeight w:val="612"/>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业绩</w:t>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（5分）</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2017年5月以来，响应供应商承担过与本项目类似的公共环境保洁服务的（住宅小区、商务楼宇等物业保洁除外）有1个得1分，满分5分。</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需提供完整的合同文本复印件，时间以合同签订时间为准，同时需提供发包单位的服务情况证明（明确项目负责人员、项目服务质量、盖章）。</w:t>
            </w:r>
            <w:r/>
          </w:p>
        </w:tc>
      </w:tr>
      <w:tr>
        <w:trPr>
          <w:jc w:val="center"/>
          <w:trHeight w:val="557"/>
        </w:trPr>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5</w:t>
            </w:r>
            <w:r/>
          </w:p>
        </w:tc>
        <w:tc>
          <w:tcPr>
            <w:tcBorders>
              <w:top w:val="single" w:color="auto" w:sz="4" w:space="0"/>
              <w:left w:val="single" w:color="auto" w:sz="4" w:space="0"/>
              <w:bottom w:val="single" w:color="auto" w:sz="4" w:space="0"/>
              <w:right w:val="single" w:color="auto" w:sz="4" w:space="0"/>
            </w:tcBorders>
            <w:tcW w:w="1335" w:type="dxa"/>
            <w:vAlign w:val="center"/>
            <w:textDirection w:val="lrTb"/>
            <w:noWrap w:val="false"/>
          </w:tcPr>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项目负责人答辩</w:t>
            </w:r>
            <w:r/>
          </w:p>
          <w:p>
            <w:pPr>
              <w:jc w:val="center"/>
              <w:spacing w:line="460" w:lineRule="exact"/>
              <w:rPr>
                <w:rFonts w:ascii="仿宋" w:hAnsi="仿宋" w:eastAsia="仿宋" w:cs="仿宋"/>
                <w:sz w:val="24"/>
                <w:szCs w:val="24"/>
              </w:rPr>
            </w:pPr>
            <w:r>
              <w:rPr>
                <w:rFonts w:hint="eastAsia" w:ascii="仿宋" w:hAnsi="仿宋" w:eastAsia="仿宋" w:cs="仿宋"/>
                <w:sz w:val="24"/>
                <w:szCs w:val="24"/>
              </w:rPr>
              <w:t xml:space="preserve">（10分）</w:t>
            </w:r>
            <w:r/>
          </w:p>
        </w:tc>
        <w:tc>
          <w:tcPr>
            <w:tcBorders>
              <w:top w:val="single" w:color="auto" w:sz="4" w:space="0"/>
              <w:left w:val="single" w:color="auto" w:sz="4" w:space="0"/>
              <w:bottom w:val="single" w:color="auto" w:sz="4" w:space="0"/>
              <w:right w:val="single" w:color="auto" w:sz="4" w:space="0"/>
            </w:tcBorders>
            <w:tcW w:w="6511" w:type="dxa"/>
            <w:vAlign w:val="center"/>
            <w:textDirection w:val="lrTb"/>
            <w:noWrap w:val="false"/>
          </w:tcPr>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响应供应商项目负责人根据自身特点和本项目特点（响应供应商自行了解勘察地理位置、环境、现状和人员交接情况）相结合进行答辩。（10分钟内）</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评委根据项目负责人答辩情况酌情打分，</w:t>
            </w:r>
            <w:r>
              <w:rPr>
                <w:rFonts w:hint="eastAsia" w:ascii="仿宋" w:hAnsi="仿宋" w:eastAsia="仿宋" w:cs="仿宋"/>
                <w:sz w:val="24"/>
                <w:szCs w:val="24"/>
              </w:rPr>
              <w:t xml:space="preserve">内容全面、针对性强、可行性高得 </w:t>
            </w:r>
            <w:r>
              <w:rPr>
                <w:rFonts w:hint="eastAsia" w:ascii="仿宋" w:hAnsi="仿宋" w:eastAsia="仿宋" w:cs="仿宋"/>
                <w:sz w:val="24"/>
                <w:szCs w:val="24"/>
              </w:rPr>
              <w:t xml:space="preserve">10</w:t>
            </w:r>
            <w:r>
              <w:rPr>
                <w:rFonts w:hint="eastAsia" w:ascii="仿宋" w:hAnsi="仿宋" w:eastAsia="仿宋" w:cs="仿宋"/>
                <w:sz w:val="24"/>
                <w:szCs w:val="24"/>
              </w:rPr>
              <w:t xml:space="preserve">分，内容较全面、针对性较强、可行性较高得 </w:t>
            </w:r>
            <w:r>
              <w:rPr>
                <w:rFonts w:hint="eastAsia" w:ascii="仿宋" w:hAnsi="仿宋" w:eastAsia="仿宋" w:cs="仿宋"/>
                <w:sz w:val="24"/>
                <w:szCs w:val="24"/>
              </w:rPr>
              <w:t xml:space="preserve">7</w:t>
            </w:r>
            <w:r>
              <w:rPr>
                <w:rFonts w:hint="eastAsia" w:ascii="仿宋" w:hAnsi="仿宋" w:eastAsia="仿宋" w:cs="仿宋"/>
                <w:sz w:val="24"/>
                <w:szCs w:val="24"/>
              </w:rPr>
              <w:t xml:space="preserve">分，内容简单、针对性不强、可行性不高得 </w:t>
            </w:r>
            <w:r>
              <w:rPr>
                <w:rFonts w:hint="eastAsia" w:ascii="仿宋" w:hAnsi="仿宋" w:eastAsia="仿宋" w:cs="仿宋"/>
                <w:sz w:val="24"/>
                <w:szCs w:val="24"/>
              </w:rPr>
              <w:t xml:space="preserve">4</w:t>
            </w:r>
            <w:r>
              <w:rPr>
                <w:rFonts w:hint="eastAsia" w:ascii="仿宋" w:hAnsi="仿宋" w:eastAsia="仿宋" w:cs="仿宋"/>
                <w:sz w:val="24"/>
                <w:szCs w:val="24"/>
              </w:rPr>
              <w:t xml:space="preserve"> 分，内容简单、针对性不强、可行性差得 1 </w:t>
            </w:r>
            <w:r>
              <w:rPr>
                <w:rFonts w:hint="eastAsia" w:ascii="仿宋" w:hAnsi="仿宋" w:eastAsia="仿宋" w:cs="仿宋"/>
                <w:sz w:val="24"/>
                <w:szCs w:val="24"/>
              </w:rPr>
              <w:t xml:space="preserve">分</w:t>
            </w:r>
            <w:r>
              <w:rPr>
                <w:rFonts w:hint="eastAsia" w:ascii="仿宋" w:hAnsi="仿宋" w:eastAsia="仿宋" w:cs="仿宋"/>
                <w:sz w:val="24"/>
                <w:szCs w:val="24"/>
              </w:rPr>
              <w:t xml:space="preserve">，不参与不得分。</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注：答辩人员必须为本项目负责人，成交单位项目负责人负责今后本项目的管理工作，无特殊原因不得更换（需提供承诺书，格式自拟）；需提供投标企业出具的项目负责人委托书（格式自拟，身份证附后）；提供投标企业为项目负责人缴纳2026年</w:t>
            </w:r>
            <w:r>
              <w:rPr>
                <w:rFonts w:hint="eastAsia" w:ascii="仿宋" w:hAnsi="仿宋" w:eastAsia="仿宋" w:cs="仿宋"/>
                <w:sz w:val="24"/>
                <w:szCs w:val="24"/>
              </w:rPr>
              <w:t xml:space="preserve">2</w:t>
            </w:r>
            <w:r>
              <w:rPr>
                <w:rFonts w:hint="eastAsia" w:ascii="仿宋" w:hAnsi="仿宋" w:eastAsia="仿宋" w:cs="仿宋"/>
                <w:sz w:val="24"/>
                <w:szCs w:val="24"/>
              </w:rPr>
              <w:t xml:space="preserve">月-</w:t>
            </w:r>
            <w:r>
              <w:rPr>
                <w:rFonts w:hint="eastAsia" w:ascii="仿宋" w:hAnsi="仿宋" w:eastAsia="仿宋" w:cs="仿宋"/>
                <w:sz w:val="24"/>
                <w:szCs w:val="24"/>
              </w:rPr>
              <w:t xml:space="preserve">7</w:t>
            </w:r>
            <w:r>
              <w:rPr>
                <w:rFonts w:hint="eastAsia" w:ascii="仿宋" w:hAnsi="仿宋" w:eastAsia="仿宋" w:cs="仿宋"/>
                <w:sz w:val="24"/>
                <w:szCs w:val="24"/>
              </w:rPr>
              <w:t xml:space="preserve">月任意一个月的养老保险缴纳证明,以上材料缺一项不得分。</w:t>
            </w:r>
            <w:r/>
          </w:p>
          <w:p>
            <w:pPr>
              <w:spacing w:line="460" w:lineRule="exact"/>
              <w:rPr>
                <w:rFonts w:ascii="仿宋" w:hAnsi="仿宋" w:eastAsia="仿宋" w:cs="仿宋"/>
                <w:sz w:val="24"/>
                <w:szCs w:val="24"/>
              </w:rPr>
            </w:pPr>
            <w:r>
              <w:rPr>
                <w:rFonts w:hint="eastAsia" w:ascii="仿宋" w:hAnsi="仿宋" w:eastAsia="仿宋" w:cs="仿宋"/>
                <w:sz w:val="24"/>
                <w:szCs w:val="24"/>
              </w:rPr>
              <w:t xml:space="preserve">（开标后请添加QQ：1005186926并备注好单位名称，各响应供应商自行准备好答辩所需摄像头、麦克风等设备，由于设备问题无法答辩的自行负责）</w:t>
            </w:r>
            <w:r/>
          </w:p>
        </w:tc>
      </w:tr>
    </w:tbl>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注：以上几项设得分上限，评委依据磋商文件载明的方法评分，评分四舍五入精确到小数点后两位。</w:t>
      </w:r>
      <w:r/>
    </w:p>
    <w:p>
      <w:pPr>
        <w:ind w:left="695" w:firstLine="480"/>
        <w:spacing w:line="460" w:lineRule="exact"/>
        <w:rPr>
          <w:rFonts w:ascii="仿宋" w:hAnsi="仿宋" w:eastAsia="仿宋" w:cs="仿宋"/>
          <w:sz w:val="24"/>
          <w:szCs w:val="24"/>
        </w:rPr>
      </w:pPr>
      <w:r>
        <w:rPr>
          <w:rFonts w:ascii="仿宋" w:hAnsi="仿宋" w:eastAsia="仿宋" w:cs="仿宋"/>
          <w:sz w:val="24"/>
          <w:szCs w:val="24"/>
        </w:rPr>
        <w:t xml:space="preserve">响应文件技术商务分得分低于</w:t>
      </w:r>
      <w:r>
        <w:rPr>
          <w:rFonts w:hint="eastAsia" w:ascii="仿宋" w:hAnsi="仿宋" w:eastAsia="仿宋" w:cs="仿宋"/>
          <w:sz w:val="24"/>
          <w:szCs w:val="24"/>
        </w:rPr>
        <w:t xml:space="preserve">50</w:t>
      </w:r>
      <w:r>
        <w:rPr>
          <w:rFonts w:ascii="仿宋" w:hAnsi="仿宋" w:eastAsia="仿宋" w:cs="仿宋"/>
          <w:sz w:val="24"/>
          <w:szCs w:val="24"/>
        </w:rPr>
        <w:t xml:space="preserve">%时视为未实质性响应采购文件要求，作为无效投标处理。</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上述响应文件中所提供的相关合同业绩、获奖证书、获奖文件、证明及报告等必须与原件一致。采购结束后，采购人将对成交单位上述投标文件中所提供的相关材料进行核实，如发现虚假或与事实不符的，将取消其中标资格。</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价格分</w:t>
      </w:r>
      <w:r>
        <w:rPr>
          <w:rFonts w:hint="eastAsia" w:ascii="仿宋" w:hAnsi="仿宋" w:eastAsia="仿宋" w:cs="仿宋"/>
          <w:sz w:val="24"/>
          <w:szCs w:val="24"/>
        </w:rPr>
        <w:t xml:space="preserve">：20</w:t>
      </w:r>
      <w:r>
        <w:rPr>
          <w:rFonts w:hint="eastAsia" w:ascii="仿宋" w:hAnsi="仿宋" w:eastAsia="仿宋" w:cs="仿宋"/>
          <w:sz w:val="24"/>
          <w:szCs w:val="24"/>
          <w:lang w:val="zh-CN"/>
        </w:rPr>
        <w:t xml:space="preserve">分</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价格分统一采用低价优先法计算，即满足磋商文件要求且最后报价最低的供应商的价格为磋商基准价，其价格分为满分。其他供应商的价格分统一按照下列公式计算：</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磋商报价得分=（磋商基准价/最后磋商报价）×价格权值×100</w:t>
      </w:r>
      <w:r/>
    </w:p>
    <w:p>
      <w:pPr>
        <w:ind w:left="695" w:firstLine="480"/>
        <w:spacing w:line="460" w:lineRule="exact"/>
        <w:rPr>
          <w:rFonts w:ascii="仿宋" w:hAnsi="仿宋" w:eastAsia="仿宋" w:cs="仿宋"/>
          <w:sz w:val="24"/>
          <w:szCs w:val="24"/>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政府采购政策功能落实</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本项目为专门面向中小企业采购的项目，不再执行价格评审优惠的扶持政策。</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（1）供应商需按照《政府采购促进中小企业发展管理办法》（财库﹝2020﹞46 号）的规定提供相应的《中小企业声明函》，企业标准请参照《关于印发中小企业划型标准规定的通知》（工信部联企业[2011]300号）文件规定自行填写。</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（2）残疾人福利单位需按照采购文件的要求提供《残疾人福利性单位声明函》，残疾人福利单位标准请参照《关于促进残疾人就业政府采购政策的通知》（财库〔2017〕141号）。</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3）监狱企业参加政府采购活动时，需提供由省级以上监狱管理局、戒毒管理局(含新疆生产建设兵团)出具的属于监狱企业的证明文件。供应商如不提供上述证明文件，价格将不做相应扣除，监狱企业标准请参照《关于政府采购支持监狱企业发展有关问题的通知》（财库[2014]68号）。</w:t>
      </w:r>
      <w:r/>
    </w:p>
    <w:p>
      <w:pPr>
        <w:ind w:left="695" w:firstLine="482"/>
        <w:spacing w:line="460" w:lineRule="exact"/>
        <w:rPr>
          <w:rFonts w:ascii="仿宋" w:hAnsi="仿宋" w:eastAsia="仿宋" w:cs="仿宋"/>
          <w:bCs/>
          <w:sz w:val="24"/>
          <w:szCs w:val="24"/>
        </w:rPr>
      </w:pPr>
      <w:r>
        <w:rPr>
          <w:rFonts w:hint="eastAsia" w:ascii="仿宋" w:hAnsi="仿宋" w:eastAsia="仿宋" w:cs="仿宋"/>
          <w:b/>
          <w:sz w:val="24"/>
          <w:szCs w:val="24"/>
        </w:rPr>
        <w:t xml:space="preserve">十、成交供应商的确定</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1.磋商小组应当根据综合评分情况，按照评审得分由高到低顺序推荐3名成交候选供应商，并编写评审报告。</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2.磋商评审时，评委对评审的细则若有争议，由磋商小组集体讨论确定，并对未尽情况有最终解释权。</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3.对落标的供应商不做落标原因的解释。</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4.采购人委托磋商小组直接确定排名第一的成交候选人为成交供应商。</w:t>
      </w:r>
      <w:r/>
    </w:p>
    <w:p>
      <w:pPr>
        <w:ind w:left="695" w:firstLine="482"/>
        <w:spacing w:line="460" w:lineRule="exact"/>
        <w:rPr>
          <w:rFonts w:ascii="仿宋" w:hAnsi="仿宋" w:eastAsia="仿宋" w:cs="仿宋"/>
          <w:b/>
          <w:sz w:val="24"/>
          <w:szCs w:val="24"/>
        </w:rPr>
      </w:pPr>
      <w:r>
        <w:rPr>
          <w:rFonts w:hint="eastAsia" w:ascii="仿宋" w:hAnsi="仿宋" w:eastAsia="仿宋" w:cs="仿宋"/>
          <w:b/>
          <w:sz w:val="24"/>
          <w:szCs w:val="24"/>
        </w:rPr>
        <w:t xml:space="preserve">十一、公告成交结果</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自确定成交供应商之日起2个工作日内，在江苏政府采购网公告成交结果，公告期限为1个工作日。</w:t>
      </w:r>
      <w:r/>
    </w:p>
    <w:p>
      <w:pPr>
        <w:ind w:left="695" w:firstLine="482"/>
        <w:spacing w:line="460" w:lineRule="exact"/>
        <w:rPr>
          <w:rFonts w:ascii="仿宋" w:hAnsi="仿宋" w:eastAsia="仿宋" w:cs="仿宋"/>
          <w:b/>
          <w:sz w:val="24"/>
          <w:szCs w:val="24"/>
        </w:rPr>
      </w:pPr>
      <w:r>
        <w:rPr>
          <w:rFonts w:hint="eastAsia" w:ascii="仿宋" w:hAnsi="仿宋" w:eastAsia="仿宋" w:cs="仿宋"/>
          <w:b/>
          <w:sz w:val="24"/>
          <w:szCs w:val="24"/>
        </w:rPr>
        <w:t xml:space="preserve">十二、其他</w:t>
      </w:r>
      <w:r/>
    </w:p>
    <w:p>
      <w:pPr>
        <w:ind w:left="695"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left="695" w:firstLine="480"/>
        <w:spacing w:line="460" w:lineRule="exact"/>
        <w:rPr>
          <w:rFonts w:ascii="仿宋" w:hAnsi="仿宋" w:eastAsia="仿宋" w:cs="仿宋"/>
          <w:bCs/>
          <w:sz w:val="24"/>
          <w:szCs w:val="24"/>
        </w:rPr>
      </w:pPr>
      <w:r>
        <w:rPr>
          <w:rFonts w:hint="eastAsia" w:ascii="仿宋" w:hAnsi="仿宋" w:eastAsia="仿宋" w:cs="仿宋"/>
          <w:bCs/>
          <w:sz w:val="24"/>
          <w:szCs w:val="24"/>
        </w:rPr>
        <w:t xml:space="preserve">当排名第一的中标候选人放弃中标、因不可抗力不能履行合同，或者被查实存在影响中标结果的违法行为等情形，不符合中标条件的，采购人可以按照评标委员会提出的中标候选人名单排序（或综合得分由高到低顺序）依次确定其他中标候选人为成交供应商，也可以重新招标。</w:t>
      </w:r>
      <w:r/>
    </w:p>
    <w:p>
      <w:pPr>
        <w:ind w:left="695" w:firstLine="883"/>
        <w:rPr>
          <w:rFonts w:ascii="仿宋" w:hAnsi="仿宋" w:eastAsia="仿宋" w:cs="仿宋"/>
          <w:b/>
          <w:sz w:val="44"/>
          <w:szCs w:val="44"/>
        </w:rPr>
      </w:pPr>
      <w:r>
        <w:rPr>
          <w:rFonts w:hint="eastAsia" w:ascii="仿宋" w:hAnsi="仿宋" w:eastAsia="仿宋" w:cs="仿宋"/>
          <w:b/>
          <w:sz w:val="44"/>
          <w:szCs w:val="44"/>
        </w:rPr>
        <w:br w:type="page" w:clear="all"/>
      </w:r>
      <w:r/>
    </w:p>
    <w:p>
      <w:pPr>
        <w:ind w:left="695" w:firstLine="643"/>
        <w:jc w:val="center"/>
        <w:spacing w:line="480" w:lineRule="exact"/>
        <w:rPr>
          <w:rFonts w:ascii="仿宋" w:hAnsi="仿宋" w:eastAsia="仿宋" w:cs="仿宋"/>
          <w:b/>
          <w:sz w:val="32"/>
          <w:szCs w:val="32"/>
        </w:rPr>
        <w:outlineLvl w:val="1"/>
      </w:pPr>
      <w:r>
        <w:rPr>
          <w:rFonts w:hint="eastAsia" w:ascii="仿宋" w:hAnsi="仿宋" w:eastAsia="仿宋" w:cs="仿宋"/>
          <w:b/>
          <w:sz w:val="32"/>
          <w:szCs w:val="32"/>
        </w:rPr>
        <w:t xml:space="preserve">第六章  响应文件组成及格式</w:t>
      </w:r>
      <w:r/>
    </w:p>
    <w:p>
      <w:pPr>
        <w:ind w:firstLine="482"/>
        <w:spacing w:line="460" w:lineRule="exact"/>
        <w:rPr>
          <w:rFonts w:ascii="仿宋" w:hAnsi="仿宋" w:eastAsia="仿宋" w:cs="仿宋"/>
          <w:b/>
          <w:bCs/>
          <w:sz w:val="24"/>
          <w:szCs w:val="24"/>
          <w:lang w:val="zh-CN"/>
        </w:rPr>
      </w:pPr>
      <w:r>
        <w:rPr>
          <w:rFonts w:hint="eastAsia" w:ascii="仿宋" w:hAnsi="仿宋" w:eastAsia="仿宋" w:cs="仿宋"/>
          <w:b/>
          <w:bCs/>
          <w:sz w:val="24"/>
          <w:szCs w:val="24"/>
          <w:lang w:val="zh-CN"/>
        </w:rPr>
        <w:t xml:space="preserve">由资格审查证明文件、</w:t>
      </w:r>
      <w:r>
        <w:rPr>
          <w:rFonts w:hint="eastAsia" w:ascii="仿宋" w:hAnsi="仿宋" w:eastAsia="仿宋" w:cs="仿宋"/>
          <w:b/>
          <w:bCs/>
          <w:sz w:val="24"/>
          <w:szCs w:val="24"/>
        </w:rPr>
        <w:t xml:space="preserve">符合性审查、商务技术</w:t>
      </w:r>
      <w:r>
        <w:rPr>
          <w:rFonts w:hint="eastAsia" w:ascii="仿宋" w:hAnsi="仿宋" w:eastAsia="仿宋" w:cs="仿宋"/>
          <w:b/>
          <w:bCs/>
          <w:sz w:val="24"/>
          <w:szCs w:val="24"/>
          <w:lang w:val="zh-CN"/>
        </w:rPr>
        <w:t xml:space="preserve">响应文件、价格文件组成。</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lang w:val="zh-CN"/>
        </w:rPr>
        <w:t xml:space="preserve">一、资格审查证明文件（不能出现商务技术文件、价格文件）</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rPr>
        <w:t xml:space="preserve">供应商符合《政府采购法》第二十二条规定条件的</w:t>
      </w:r>
      <w:bookmarkStart w:id="99" w:name="OLE_LINK2"/>
      <w:r>
        <w:rPr>
          <w:rFonts w:hint="eastAsia" w:ascii="仿宋" w:hAnsi="仿宋" w:eastAsia="仿宋" w:cs="仿宋"/>
          <w:bCs/>
          <w:sz w:val="24"/>
          <w:szCs w:val="24"/>
        </w:rPr>
        <w:t xml:space="preserve">承诺函</w:t>
      </w:r>
      <w:bookmarkEnd w:id="99"/>
      <w:r>
        <w:rPr>
          <w:rFonts w:hint="eastAsia" w:ascii="仿宋" w:hAnsi="仿宋" w:eastAsia="仿宋" w:cs="仿宋"/>
          <w:bCs/>
          <w:sz w:val="24"/>
          <w:szCs w:val="24"/>
          <w:lang w:val="zh-CN"/>
        </w:rPr>
        <w:t xml:space="preserve">（格式见附件1）；</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rPr>
        <w:t xml:space="preserve">法定代表人参加投标的，必须提供法人身份证明原件及本人身份证原件扫描件</w:t>
      </w:r>
      <w:r>
        <w:rPr>
          <w:rFonts w:hint="eastAsia" w:ascii="仿宋" w:hAnsi="仿宋" w:eastAsia="仿宋" w:cs="仿宋"/>
          <w:bCs/>
          <w:sz w:val="24"/>
          <w:szCs w:val="24"/>
          <w:lang w:val="zh-CN"/>
        </w:rPr>
        <w:t xml:space="preserve">（格式见附件2）</w:t>
      </w:r>
      <w:r>
        <w:rPr>
          <w:rFonts w:hint="eastAsia" w:ascii="仿宋" w:hAnsi="仿宋" w:eastAsia="仿宋" w:cs="仿宋"/>
          <w:bCs/>
          <w:sz w:val="24"/>
          <w:szCs w:val="24"/>
        </w:rPr>
        <w:t xml:space="preserve">；</w:t>
      </w:r>
      <w:r/>
    </w:p>
    <w:p>
      <w:pPr>
        <w:ind w:firstLine="480"/>
        <w:spacing w:line="500" w:lineRule="exact"/>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w:t>
      </w:r>
      <w:r>
        <w:rPr>
          <w:rFonts w:hint="eastAsia" w:ascii="仿宋" w:hAnsi="仿宋" w:eastAsia="仿宋" w:cs="仿宋"/>
          <w:bCs/>
          <w:sz w:val="24"/>
          <w:szCs w:val="24"/>
        </w:rPr>
        <w:t xml:space="preserve">非法定代表人参加的，必须提供法定代表人签名或盖章的授权委托书原件及被委托授权人身份证原件扫描件和法定代表人的身份证原件扫描件</w:t>
      </w:r>
      <w:r>
        <w:rPr>
          <w:rFonts w:hint="eastAsia" w:ascii="仿宋" w:hAnsi="仿宋" w:eastAsia="仿宋" w:cs="仿宋"/>
          <w:bCs/>
          <w:sz w:val="24"/>
          <w:szCs w:val="24"/>
          <w:lang w:val="zh-CN"/>
        </w:rPr>
        <w:t xml:space="preserve">（格式见附件3）；</w:t>
      </w:r>
      <w:r/>
    </w:p>
    <w:p>
      <w:pPr>
        <w:ind w:firstLine="480"/>
        <w:spacing w:line="500" w:lineRule="exact"/>
        <w:rPr>
          <w:rFonts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法人或者其他组织的营业执照等证明文件，自然人的身份证明。</w:t>
      </w:r>
      <w:r/>
    </w:p>
    <w:p>
      <w:pPr>
        <w:ind w:firstLine="480"/>
        <w:spacing w:line="460" w:lineRule="exact"/>
        <w:rPr>
          <w:rFonts w:ascii="仿宋" w:hAnsi="仿宋" w:eastAsia="仿宋" w:cs="仿宋"/>
          <w:bCs/>
          <w:sz w:val="24"/>
          <w:szCs w:val="24"/>
          <w:lang w:val="zh-CN"/>
        </w:rPr>
      </w:pPr>
      <w:r>
        <w:rPr>
          <w:rFonts w:hint="eastAsia" w:ascii="仿宋" w:hAnsi="仿宋" w:eastAsia="仿宋" w:cs="仿宋"/>
          <w:sz w:val="24"/>
          <w:szCs w:val="24"/>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提供中小企业声明函（格式见附件</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）或残疾人福利性单位声明函（格式见附件</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）或监狱或戒毒企业证明材料（格式见附件</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rPr>
        <w:t xml:space="preserve">6</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磋商公告资格要求提供相应的佐证材料；</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rPr>
        <w:t xml:space="preserve">7</w:t>
      </w:r>
      <w:r>
        <w:rPr>
          <w:rFonts w:hint="eastAsia" w:ascii="仿宋" w:hAnsi="仿宋" w:eastAsia="仿宋" w:cs="仿宋"/>
          <w:bCs/>
          <w:sz w:val="24"/>
          <w:szCs w:val="24"/>
        </w:rPr>
        <w:t xml:space="preserve">、</w:t>
      </w:r>
      <w:r>
        <w:rPr>
          <w:rFonts w:hint="eastAsia" w:ascii="仿宋" w:hAnsi="仿宋" w:eastAsia="仿宋" w:cs="仿宋"/>
          <w:bCs/>
          <w:sz w:val="24"/>
          <w:szCs w:val="24"/>
          <w:lang w:val="zh-CN"/>
        </w:rPr>
        <w:t xml:space="preserve">其它需要提交的资格审查证明材料。</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如采购</w:t>
      </w:r>
      <w:r>
        <w:rPr>
          <w:rFonts w:hint="eastAsia" w:ascii="仿宋" w:hAnsi="仿宋" w:eastAsia="仿宋" w:cs="仿宋"/>
          <w:bCs/>
          <w:sz w:val="24"/>
          <w:szCs w:val="24"/>
          <w:lang w:val="zh-CN"/>
        </w:rPr>
        <w:t xml:space="preserve">文件要求提供的资格审查证明材料中没有对应的接口上传的资料，可以在本部分的其他材料的接口中上传）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二、符合性审查</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1.磋商响应函；</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bookmarkStart w:id="100" w:name="OLE_LINK8"/>
      <w:r>
        <w:rPr>
          <w:rFonts w:hint="eastAsia" w:ascii="仿宋" w:hAnsi="仿宋" w:eastAsia="仿宋" w:cs="仿宋"/>
          <w:sz w:val="24"/>
          <w:szCs w:val="24"/>
        </w:rPr>
        <w:t xml:space="preserve">商务部分正负偏离表；</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w:t>
      </w:r>
      <w:bookmarkEnd w:id="100"/>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bookmarkStart w:id="101" w:name="OLE_LINK10"/>
      <w:r>
        <w:rPr>
          <w:rFonts w:hint="eastAsia" w:ascii="仿宋" w:hAnsi="仿宋" w:eastAsia="仿宋" w:cs="仿宋"/>
          <w:sz w:val="24"/>
          <w:szCs w:val="24"/>
        </w:rPr>
        <w:t xml:space="preserve">技术部分正负偏离表；</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w:t>
      </w:r>
      <w:bookmarkEnd w:id="101"/>
      <w:r/>
      <w:r/>
    </w:p>
    <w:p>
      <w:pPr>
        <w:pStyle w:val="807"/>
        <w:ind w:left="0" w:firstLine="480"/>
        <w:rPr>
          <w:rFonts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bookmarkStart w:id="102" w:name="OLE_LINK11"/>
      <w:r>
        <w:rPr>
          <w:rFonts w:hint="eastAsia" w:ascii="仿宋" w:hAnsi="仿宋" w:eastAsia="仿宋" w:cs="仿宋"/>
          <w:sz w:val="24"/>
          <w:szCs w:val="24"/>
        </w:rPr>
        <w:t xml:space="preserve">相关佐证材料</w:t>
      </w:r>
      <w:r/>
    </w:p>
    <w:p>
      <w:pPr>
        <w:ind w:firstLine="458"/>
        <w:spacing w:line="480" w:lineRule="exact"/>
        <w:rPr>
          <w:rFonts w:ascii="仿宋" w:hAnsi="仿宋" w:eastAsia="仿宋" w:cs="仿宋"/>
        </w:rPr>
      </w:pPr>
      <w:r>
        <w:rPr>
          <w:rFonts w:hint="eastAsia" w:ascii="仿宋" w:hAnsi="仿宋" w:eastAsia="仿宋" w:cs="仿宋"/>
          <w:b/>
          <w:spacing w:val="-6"/>
          <w:sz w:val="24"/>
          <w:szCs w:val="24"/>
          <w:u w:val="single"/>
        </w:rPr>
        <w:t xml:space="preserve">本项目磋商文件中所有</w:t>
      </w:r>
      <w:r>
        <w:rPr>
          <w:rFonts w:hint="eastAsia" w:ascii="仿宋" w:hAnsi="仿宋" w:eastAsia="仿宋" w:cs="仿宋"/>
          <w:b/>
          <w:spacing w:val="-6"/>
          <w:sz w:val="24"/>
          <w:szCs w:val="24"/>
          <w:u w:val="single"/>
          <w:lang w:val="zh-CN"/>
        </w:rPr>
        <w:t xml:space="preserve">以“</w:t>
      </w:r>
      <w:r>
        <w:rPr>
          <w:rFonts w:hint="eastAsia" w:ascii="仿宋" w:hAnsi="仿宋" w:eastAsia="仿宋" w:cs="仿宋"/>
          <w:b/>
          <w:spacing w:val="-6"/>
          <w:sz w:val="24"/>
          <w:szCs w:val="24"/>
          <w:u w:val="single"/>
        </w:rPr>
        <w:t xml:space="preserve">★</w:t>
      </w:r>
      <w:r>
        <w:rPr>
          <w:rFonts w:hint="eastAsia" w:ascii="仿宋" w:hAnsi="仿宋" w:eastAsia="仿宋" w:cs="仿宋"/>
          <w:b/>
          <w:spacing w:val="-6"/>
          <w:sz w:val="24"/>
          <w:szCs w:val="24"/>
          <w:u w:val="single"/>
          <w:lang w:val="zh-CN"/>
        </w:rPr>
        <w:t xml:space="preserve">”标明</w:t>
      </w:r>
      <w:r>
        <w:rPr>
          <w:rFonts w:hint="eastAsia" w:ascii="仿宋" w:hAnsi="仿宋" w:eastAsia="仿宋" w:cs="仿宋"/>
          <w:b/>
          <w:spacing w:val="-6"/>
          <w:sz w:val="24"/>
          <w:szCs w:val="24"/>
          <w:u w:val="single"/>
        </w:rPr>
        <w:t xml:space="preserve">条款的内容均为本项目实质性响应条款，若在符合性审查阶段，经评标小组确认响应供应商未能在符合性响应文件中提交本项目需求中相关佐证材料的，经磋商小组核实将被判为不满足招标文件实质性要求，作为无效响应处理。</w:t>
      </w:r>
      <w:bookmarkEnd w:id="102"/>
      <w:r/>
      <w:r/>
    </w:p>
    <w:p>
      <w:pPr>
        <w:ind w:firstLine="482"/>
        <w:spacing w:line="500" w:lineRule="exact"/>
        <w:rPr>
          <w:rFonts w:ascii="仿宋" w:hAnsi="仿宋" w:eastAsia="仿宋" w:cs="仿宋"/>
          <w:b/>
          <w:sz w:val="24"/>
          <w:szCs w:val="24"/>
          <w:lang w:val="zh-CN"/>
        </w:rPr>
      </w:pPr>
      <w:r>
        <w:rPr>
          <w:rFonts w:hint="eastAsia" w:ascii="仿宋" w:hAnsi="仿宋" w:eastAsia="仿宋" w:cs="仿宋"/>
          <w:b/>
          <w:sz w:val="24"/>
          <w:szCs w:val="24"/>
          <w:lang w:val="zh-CN"/>
        </w:rPr>
        <w:t xml:space="preserve">注明：上述1-4条款材料为符合性检查项，未提供或不符合要求均按无效响应处理。</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三、商务技术标包（应包括但不限于以下内容。不得出现报价，否则作废）</w:t>
      </w:r>
      <w:r/>
    </w:p>
    <w:p>
      <w:pPr>
        <w:ind w:firstLine="480"/>
        <w:spacing w:line="500" w:lineRule="exact"/>
        <w:rPr>
          <w:rFonts w:ascii="仿宋" w:hAnsi="仿宋" w:eastAsia="仿宋" w:cs="仿宋"/>
          <w:bCs/>
          <w:sz w:val="24"/>
          <w:szCs w:val="24"/>
          <w:lang w:val="zh-CN"/>
        </w:rPr>
      </w:pPr>
      <w:r>
        <w:rPr>
          <w:rFonts w:hint="eastAsia" w:ascii="仿宋" w:hAnsi="仿宋" w:eastAsia="仿宋" w:cs="仿宋"/>
          <w:bCs/>
          <w:sz w:val="24"/>
          <w:szCs w:val="24"/>
          <w:lang w:val="zh-CN"/>
        </w:rPr>
        <w:t xml:space="preserve">1.商务技术评分标准中须提供的相关得分佐证材料；</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.供应商认为需要提交的其他商务技术材料。</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如采购</w:t>
      </w:r>
      <w:r>
        <w:rPr>
          <w:rFonts w:hint="eastAsia" w:ascii="仿宋" w:hAnsi="仿宋" w:eastAsia="仿宋" w:cs="仿宋"/>
          <w:sz w:val="24"/>
          <w:szCs w:val="24"/>
          <w:lang w:val="zh-CN"/>
        </w:rPr>
        <w:t xml:space="preserve">文件要求提供的商务技术标材料中没有对应的接口上传的资料，可以在本部分</w:t>
      </w:r>
      <w:r>
        <w:rPr>
          <w:rFonts w:hint="eastAsia" w:ascii="仿宋" w:hAnsi="仿宋" w:eastAsia="仿宋" w:cs="仿宋"/>
          <w:sz w:val="24"/>
          <w:szCs w:val="24"/>
          <w:lang w:val="zh-CN"/>
        </w:rPr>
        <w:t xml:space="preserve">的其他材料的接口中上传）</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rPr>
        <w:t xml:space="preserve">四</w:t>
      </w:r>
      <w:r>
        <w:rPr>
          <w:rFonts w:hint="eastAsia" w:ascii="仿宋" w:hAnsi="仿宋" w:eastAsia="仿宋" w:cs="仿宋"/>
          <w:sz w:val="24"/>
          <w:szCs w:val="24"/>
          <w:lang w:val="zh-CN"/>
        </w:rPr>
        <w:t xml:space="preserve">、价格文件</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lang w:val="zh-CN"/>
        </w:rPr>
        <w:t xml:space="preserve">1.磋商</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报价表（</w:t>
      </w:r>
      <w:r>
        <w:rPr>
          <w:rFonts w:hint="eastAsia" w:ascii="仿宋" w:hAnsi="仿宋" w:eastAsia="仿宋" w:cs="仿宋"/>
          <w:sz w:val="24"/>
          <w:szCs w:val="24"/>
        </w:rPr>
        <w:t xml:space="preserve">第一次</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10</w:t>
      </w:r>
      <w:r>
        <w:rPr>
          <w:rFonts w:hint="eastAsia" w:ascii="仿宋" w:hAnsi="仿宋" w:eastAsia="仿宋" w:cs="仿宋"/>
          <w:sz w:val="24"/>
          <w:szCs w:val="24"/>
          <w:lang w:val="zh-CN"/>
        </w:rPr>
        <w:t xml:space="preserve">）；</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2、分项报价明细表</w:t>
      </w:r>
      <w:r>
        <w:rPr>
          <w:rFonts w:hint="eastAsia" w:ascii="仿宋" w:hAnsi="仿宋" w:eastAsia="仿宋" w:cs="仿宋"/>
          <w:sz w:val="24"/>
          <w:szCs w:val="24"/>
          <w:lang w:val="zh-CN"/>
        </w:rPr>
        <w:t xml:space="preserve">（格式见附件</w:t>
      </w:r>
      <w:r>
        <w:rPr>
          <w:rFonts w:hint="eastAsia" w:ascii="仿宋" w:hAnsi="仿宋" w:eastAsia="仿宋" w:cs="仿宋"/>
          <w:sz w:val="24"/>
          <w:szCs w:val="24"/>
        </w:rPr>
        <w:t xml:space="preserve">11</w:t>
      </w:r>
      <w:r>
        <w:rPr>
          <w:rFonts w:hint="eastAsia" w:ascii="仿宋" w:hAnsi="仿宋" w:eastAsia="仿宋" w:cs="仿宋"/>
          <w:sz w:val="24"/>
          <w:szCs w:val="24"/>
          <w:lang w:val="zh-CN"/>
        </w:rPr>
        <w:t xml:space="preserve">）</w:t>
      </w:r>
      <w:r/>
    </w:p>
    <w:p>
      <w:pPr>
        <w:ind w:firstLine="480"/>
        <w:spacing w:line="460" w:lineRule="exact"/>
        <w:rPr>
          <w:rFonts w:ascii="仿宋" w:hAnsi="仿宋" w:eastAsia="仿宋" w:cs="仿宋"/>
          <w:sz w:val="24"/>
          <w:szCs w:val="24"/>
          <w:lang w:val="zh-CN"/>
        </w:rPr>
      </w:pPr>
      <w:r>
        <w:rPr>
          <w:rFonts w:hint="eastAsia" w:ascii="仿宋" w:hAnsi="仿宋" w:eastAsia="仿宋" w:cs="仿宋"/>
          <w:sz w:val="24"/>
          <w:szCs w:val="24"/>
          <w:lang w:val="zh-CN"/>
        </w:rPr>
        <w:t xml:space="preserve">（如</w:t>
      </w:r>
      <w:r>
        <w:rPr>
          <w:rFonts w:hint="eastAsia" w:ascii="仿宋" w:hAnsi="仿宋" w:eastAsia="仿宋" w:cs="仿宋"/>
          <w:sz w:val="24"/>
          <w:szCs w:val="24"/>
        </w:rPr>
        <w:t xml:space="preserve">采购</w:t>
      </w:r>
      <w:r>
        <w:rPr>
          <w:rFonts w:hint="eastAsia" w:ascii="仿宋" w:hAnsi="仿宋" w:eastAsia="仿宋" w:cs="仿宋"/>
          <w:sz w:val="24"/>
          <w:szCs w:val="24"/>
          <w:lang w:val="zh-CN"/>
        </w:rPr>
        <w:t xml:space="preserve">文件要求提供的价格标资料中没有对应的接口上传的资料可以在本部分的其他材料的接口中上传）</w:t>
      </w:r>
      <w:r/>
    </w:p>
    <w:p>
      <w:pPr>
        <w:ind w:left="695" w:firstLine="480"/>
        <w:rPr>
          <w:rFonts w:ascii="仿宋" w:hAnsi="仿宋" w:eastAsia="仿宋" w:cs="仿宋"/>
          <w:sz w:val="24"/>
          <w:szCs w:val="24"/>
          <w:lang w:val="zh-CN"/>
        </w:rPr>
      </w:pPr>
      <w:r>
        <w:rPr>
          <w:rFonts w:hint="eastAsia" w:ascii="仿宋" w:hAnsi="仿宋" w:eastAsia="仿宋" w:cs="仿宋"/>
          <w:sz w:val="24"/>
          <w:szCs w:val="24"/>
          <w:lang w:val="zh-CN"/>
        </w:rPr>
        <w:br w:type="page" w:clear="all"/>
      </w:r>
      <w:r/>
    </w:p>
    <w:p>
      <w:pPr>
        <w:contextualSpacing/>
        <w:spacing w:line="360" w:lineRule="auto"/>
        <w:rPr>
          <w:rFonts w:ascii="仿宋" w:hAnsi="仿宋" w:eastAsia="仿宋" w:cs="仿宋"/>
          <w:sz w:val="32"/>
          <w:szCs w:val="32"/>
          <w:lang w:val="zh-CN"/>
        </w:rPr>
      </w:pPr>
      <w:r>
        <w:rPr>
          <w:rFonts w:hint="eastAsia" w:ascii="仿宋" w:hAnsi="仿宋" w:eastAsia="仿宋" w:cs="仿宋"/>
          <w:sz w:val="32"/>
          <w:szCs w:val="32"/>
          <w:lang w:val="zh-CN"/>
        </w:rPr>
        <w:t xml:space="preserve">附件1</w:t>
      </w:r>
      <w:r/>
    </w:p>
    <w:p>
      <w:pPr>
        <w:jc w:val="center"/>
        <w:spacing w:line="360" w:lineRule="auto"/>
        <w:rPr>
          <w:rFonts w:ascii="仿宋" w:hAnsi="仿宋" w:eastAsia="仿宋" w:cs="仿宋"/>
          <w:b/>
          <w:sz w:val="32"/>
          <w:szCs w:val="32"/>
        </w:rPr>
      </w:pPr>
      <w:r/>
      <w:bookmarkStart w:id="103" w:name="OLE_LINK13"/>
      <w:r>
        <w:rPr>
          <w:rFonts w:hint="eastAsia" w:ascii="仿宋" w:hAnsi="仿宋" w:eastAsia="仿宋" w:cs="仿宋"/>
          <w:b/>
          <w:sz w:val="32"/>
          <w:szCs w:val="32"/>
        </w:rPr>
        <w:t xml:space="preserve">响应供应商符合《政府采购法》第二十二条规定条件的声明函</w:t>
      </w:r>
      <w:r/>
    </w:p>
    <w:p>
      <w:pPr>
        <w:ind w:firstLine="480"/>
        <w:spacing w:line="360" w:lineRule="auto"/>
        <w:rPr>
          <w:rFonts w:ascii="仿宋" w:hAnsi="仿宋" w:eastAsia="仿宋" w:cs="仿宋"/>
          <w:b/>
          <w:bCs/>
          <w:sz w:val="24"/>
        </w:rPr>
      </w:pPr>
      <w:r>
        <w:rPr>
          <w:rFonts w:hint="eastAsia" w:ascii="仿宋" w:hAnsi="仿宋" w:eastAsia="仿宋" w:cs="仿宋"/>
          <w:bCs/>
          <w:sz w:val="24"/>
        </w:rPr>
        <w:t xml:space="preserve">我单位参加</w:t>
      </w:r>
      <w:r>
        <w:rPr>
          <w:rFonts w:hint="eastAsia" w:ascii="仿宋" w:hAnsi="仿宋" w:eastAsia="仿宋" w:cs="仿宋"/>
          <w:bCs/>
          <w:sz w:val="24"/>
          <w:szCs w:val="21"/>
          <w:u w:val="single"/>
        </w:rPr>
        <w:t xml:space="preserve">________________ _</w:t>
      </w:r>
      <w:r>
        <w:rPr>
          <w:rFonts w:hint="eastAsia" w:ascii="仿宋" w:hAnsi="仿宋" w:eastAsia="仿宋" w:cs="仿宋"/>
          <w:bCs/>
          <w:sz w:val="24"/>
          <w:szCs w:val="21"/>
        </w:rPr>
        <w:t xml:space="preserve">（项目名称），</w:t>
      </w:r>
      <w:r>
        <w:rPr>
          <w:rFonts w:hint="eastAsia" w:ascii="仿宋" w:hAnsi="仿宋" w:eastAsia="仿宋" w:cs="仿宋"/>
          <w:bCs/>
          <w:sz w:val="24"/>
          <w:szCs w:val="21"/>
          <w:u w:val="single"/>
        </w:rPr>
        <w:t xml:space="preserve">_______ __________</w:t>
      </w:r>
      <w:r>
        <w:rPr>
          <w:rFonts w:hint="eastAsia" w:ascii="仿宋" w:hAnsi="仿宋" w:eastAsia="仿宋" w:cs="仿宋"/>
          <w:bCs/>
          <w:sz w:val="24"/>
          <w:szCs w:val="21"/>
        </w:rPr>
        <w:t xml:space="preserve">（项目编号）投标活动。针对《中华人民共和国政府采购法》第二十二条规定做出如下声明：</w:t>
      </w:r>
      <w:r/>
    </w:p>
    <w:p>
      <w:pPr>
        <w:ind w:firstLine="480"/>
        <w:spacing w:line="360" w:lineRule="auto"/>
        <w:rPr>
          <w:rFonts w:ascii="仿宋" w:hAnsi="仿宋" w:eastAsia="仿宋" w:cs="仿宋"/>
          <w:sz w:val="24"/>
        </w:rPr>
      </w:pPr>
      <w:r>
        <w:rPr>
          <w:rFonts w:hint="eastAsia" w:ascii="仿宋" w:hAnsi="仿宋" w:eastAsia="仿宋" w:cs="仿宋"/>
          <w:bCs/>
          <w:sz w:val="24"/>
          <w:szCs w:val="21"/>
        </w:rPr>
        <w:t xml:space="preserve">1.我单位具有独立承担民事责任的能力；</w:t>
      </w:r>
      <w:r/>
    </w:p>
    <w:p>
      <w:pPr>
        <w:ind w:firstLine="480"/>
        <w:spacing w:line="360" w:lineRule="auto"/>
        <w:rPr>
          <w:rFonts w:ascii="仿宋" w:hAnsi="仿宋" w:eastAsia="仿宋" w:cs="仿宋"/>
          <w:sz w:val="24"/>
        </w:rPr>
      </w:pPr>
      <w:r>
        <w:rPr>
          <w:rFonts w:hint="eastAsia" w:ascii="仿宋" w:hAnsi="仿宋" w:eastAsia="仿宋" w:cs="仿宋"/>
          <w:sz w:val="24"/>
        </w:rPr>
        <w:t xml:space="preserve">2.我单位具有良好的商业信誉和健全的财务会计制度；</w:t>
      </w:r>
      <w:r/>
    </w:p>
    <w:p>
      <w:pPr>
        <w:ind w:firstLine="480"/>
        <w:spacing w:line="360" w:lineRule="auto"/>
        <w:rPr>
          <w:rFonts w:ascii="仿宋" w:hAnsi="仿宋" w:eastAsia="仿宋" w:cs="仿宋"/>
          <w:sz w:val="24"/>
        </w:rPr>
      </w:pPr>
      <w:r>
        <w:rPr>
          <w:rFonts w:hint="eastAsia" w:ascii="仿宋" w:hAnsi="仿宋" w:eastAsia="仿宋" w:cs="仿宋"/>
          <w:sz w:val="24"/>
        </w:rPr>
        <w:t xml:space="preserve">3.我单位具有履行合同所必需的设备和专业技术能力；</w:t>
      </w:r>
      <w:r/>
    </w:p>
    <w:p>
      <w:pPr>
        <w:ind w:firstLine="480"/>
        <w:spacing w:line="360" w:lineRule="auto"/>
        <w:rPr>
          <w:rFonts w:ascii="仿宋" w:hAnsi="仿宋" w:eastAsia="仿宋" w:cs="仿宋"/>
          <w:sz w:val="24"/>
        </w:rPr>
      </w:pPr>
      <w:r>
        <w:rPr>
          <w:rFonts w:hint="eastAsia" w:ascii="仿宋" w:hAnsi="仿宋" w:eastAsia="仿宋" w:cs="仿宋"/>
          <w:sz w:val="24"/>
        </w:rPr>
        <w:t xml:space="preserve">4.我单位有依法缴纳税收和社会保障资金的良好记录；</w:t>
      </w:r>
      <w:r/>
    </w:p>
    <w:p>
      <w:pPr>
        <w:ind w:firstLine="480"/>
        <w:spacing w:line="360" w:lineRule="auto"/>
        <w:rPr>
          <w:rFonts w:ascii="仿宋" w:hAnsi="仿宋" w:eastAsia="仿宋" w:cs="仿宋"/>
          <w:sz w:val="24"/>
        </w:rPr>
      </w:pPr>
      <w:r>
        <w:rPr>
          <w:rFonts w:hint="eastAsia" w:ascii="仿宋" w:hAnsi="仿宋" w:eastAsia="仿宋" w:cs="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50万元以上的罚款，法律、行政法规以及国务院有关部门明确规定相关领域“较大数额罚款”标准高于50万元的，从其规定。）</w:t>
      </w:r>
      <w:r/>
    </w:p>
    <w:p>
      <w:pPr>
        <w:ind w:firstLine="480"/>
        <w:spacing w:line="360" w:lineRule="auto"/>
        <w:rPr>
          <w:rFonts w:ascii="仿宋" w:hAnsi="仿宋" w:eastAsia="仿宋" w:cs="仿宋"/>
          <w:sz w:val="24"/>
        </w:rPr>
      </w:pPr>
      <w:r>
        <w:rPr>
          <w:rFonts w:hint="eastAsia" w:ascii="仿宋" w:hAnsi="仿宋" w:eastAsia="仿宋" w:cs="仿宋"/>
          <w:sz w:val="24"/>
        </w:rPr>
        <w:t xml:space="preserve">6.我单位满足法律、行政法规规定的其他条件。</w:t>
      </w:r>
      <w:r/>
    </w:p>
    <w:p>
      <w:pPr>
        <w:ind w:left="695" w:firstLine="480"/>
        <w:jc w:val="center"/>
        <w:spacing w:line="360" w:lineRule="auto"/>
        <w:rPr>
          <w:rFonts w:ascii="仿宋" w:hAnsi="仿宋" w:eastAsia="仿宋" w:cs="仿宋"/>
          <w:bCs/>
          <w:sz w:val="24"/>
          <w:szCs w:val="21"/>
        </w:rPr>
      </w:pPr>
      <w:r>
        <w:rPr>
          <w:rFonts w:ascii="仿宋" w:hAnsi="仿宋" w:eastAsia="仿宋" w:cs="仿宋"/>
          <w:bCs/>
          <w:sz w:val="24"/>
          <w:szCs w:val="21"/>
        </w:rPr>
      </w:r>
      <w:r/>
    </w:p>
    <w:p>
      <w:pPr>
        <w:ind w:left="695" w:firstLine="480"/>
        <w:jc w:val="center"/>
        <w:spacing w:line="360" w:lineRule="auto"/>
        <w:rPr>
          <w:rFonts w:ascii="仿宋" w:hAnsi="仿宋" w:eastAsia="仿宋" w:cs="仿宋"/>
          <w:bCs/>
          <w:sz w:val="24"/>
          <w:szCs w:val="21"/>
        </w:rPr>
      </w:pPr>
      <w:r>
        <w:rPr>
          <w:rFonts w:hint="eastAsia" w:ascii="仿宋" w:hAnsi="仿宋" w:eastAsia="仿宋" w:cs="仿宋"/>
          <w:bCs/>
          <w:sz w:val="24"/>
          <w:szCs w:val="21"/>
        </w:rPr>
        <w:t xml:space="preserve">承诺人名称（公章）：</w:t>
      </w:r>
      <w:r/>
    </w:p>
    <w:p>
      <w:pPr>
        <w:ind w:left="695" w:firstLine="480"/>
        <w:jc w:val="right"/>
        <w:spacing w:line="360" w:lineRule="auto"/>
        <w:rPr>
          <w:rFonts w:ascii="仿宋" w:hAnsi="仿宋" w:eastAsia="仿宋" w:cs="仿宋"/>
          <w:bCs/>
          <w:sz w:val="24"/>
          <w:szCs w:val="21"/>
        </w:rPr>
      </w:pPr>
      <w:r>
        <w:rPr>
          <w:rFonts w:hint="eastAsia" w:ascii="仿宋" w:hAnsi="仿宋" w:eastAsia="仿宋" w:cs="仿宋"/>
          <w:bCs/>
          <w:sz w:val="24"/>
          <w:szCs w:val="21"/>
        </w:rPr>
        <w:t xml:space="preserve">日期：</w:t>
      </w:r>
      <w:r>
        <w:rPr>
          <w:rFonts w:hint="eastAsia" w:ascii="仿宋" w:hAnsi="仿宋" w:eastAsia="仿宋" w:cs="仿宋"/>
          <w:bCs/>
          <w:sz w:val="24"/>
          <w:szCs w:val="21"/>
          <w:u w:val="single"/>
        </w:rPr>
        <w:t xml:space="preserve">______</w:t>
      </w:r>
      <w:r>
        <w:rPr>
          <w:rFonts w:hint="eastAsia" w:ascii="仿宋" w:hAnsi="仿宋" w:eastAsia="仿宋" w:cs="仿宋"/>
          <w:bCs/>
          <w:sz w:val="24"/>
          <w:szCs w:val="21"/>
        </w:rPr>
        <w:t xml:space="preserve">年月日</w:t>
      </w:r>
      <w:bookmarkEnd w:id="103"/>
      <w:r/>
      <w:r/>
    </w:p>
    <w:p>
      <w:pPr>
        <w:ind w:left="695" w:firstLine="640"/>
        <w:rPr>
          <w:rFonts w:ascii="仿宋" w:hAnsi="仿宋" w:eastAsia="仿宋" w:cs="仿宋"/>
          <w:sz w:val="32"/>
          <w:szCs w:val="32"/>
          <w:lang w:val="zh-CN"/>
        </w:rPr>
      </w:pPr>
      <w:r>
        <w:rPr>
          <w:rFonts w:hint="eastAsia" w:ascii="仿宋" w:hAnsi="仿宋" w:eastAsia="仿宋" w:cs="仿宋"/>
          <w:sz w:val="32"/>
          <w:szCs w:val="32"/>
          <w:lang w:val="zh-CN"/>
        </w:rPr>
        <w:br w:type="page" w:clear="all"/>
      </w:r>
      <w:r/>
    </w:p>
    <w:p>
      <w:pPr>
        <w:contextualSpacing/>
        <w:spacing w:line="400" w:lineRule="exact"/>
        <w:rPr>
          <w:rFonts w:ascii="仿宋" w:hAnsi="仿宋" w:eastAsia="仿宋" w:cs="仿宋"/>
          <w:b/>
          <w:bCs/>
          <w:sz w:val="32"/>
          <w:szCs w:val="32"/>
        </w:rPr>
      </w:pPr>
      <w:r>
        <w:rPr>
          <w:rFonts w:hint="eastAsia" w:ascii="仿宋" w:hAnsi="仿宋" w:eastAsia="仿宋" w:cs="仿宋"/>
          <w:sz w:val="32"/>
          <w:szCs w:val="32"/>
          <w:lang w:val="zh-CN"/>
        </w:rPr>
        <w:t xml:space="preserve">附件2</w:t>
      </w:r>
      <w:r/>
    </w:p>
    <w:p>
      <w:pPr>
        <w:ind w:left="695" w:firstLine="643"/>
        <w:jc w:val="center"/>
        <w:spacing w:line="560" w:lineRule="exact"/>
        <w:rPr>
          <w:rFonts w:ascii="仿宋" w:hAnsi="仿宋" w:eastAsia="仿宋" w:cs="仿宋"/>
          <w:b/>
          <w:bCs/>
          <w:sz w:val="32"/>
          <w:szCs w:val="32"/>
        </w:rPr>
      </w:pPr>
      <w:r>
        <w:rPr>
          <w:rFonts w:ascii="仿宋" w:hAnsi="仿宋" w:eastAsia="仿宋" w:cs="仿宋"/>
          <w:b/>
          <w:bCs/>
          <w:sz w:val="32"/>
          <w:szCs w:val="32"/>
        </w:rPr>
      </w:r>
      <w:r/>
    </w:p>
    <w:p>
      <w:pPr>
        <w:ind w:left="695" w:firstLine="643"/>
        <w:jc w:val="center"/>
        <w:spacing w:line="560" w:lineRule="exact"/>
        <w:rPr>
          <w:rFonts w:ascii="仿宋" w:hAnsi="仿宋" w:eastAsia="仿宋" w:cs="仿宋"/>
          <w:b/>
          <w:bCs/>
          <w:sz w:val="32"/>
          <w:szCs w:val="32"/>
        </w:rPr>
      </w:pPr>
      <w:r>
        <w:rPr>
          <w:rFonts w:ascii="仿宋" w:hAnsi="仿宋" w:eastAsia="仿宋" w:cs="仿宋"/>
          <w:b/>
          <w:bCs/>
          <w:sz w:val="32"/>
          <w:szCs w:val="32"/>
        </w:rPr>
      </w:r>
      <w:r/>
    </w:p>
    <w:p>
      <w:pPr>
        <w:ind w:left="695" w:firstLine="643"/>
        <w:jc w:val="center"/>
        <w:spacing w:line="600" w:lineRule="auto"/>
        <w:rPr>
          <w:rFonts w:ascii="仿宋" w:hAnsi="仿宋" w:eastAsia="仿宋" w:cs="仿宋"/>
          <w:b/>
          <w:bCs/>
          <w:sz w:val="32"/>
          <w:szCs w:val="32"/>
        </w:rPr>
      </w:pPr>
      <w:r>
        <w:rPr>
          <w:rFonts w:hint="eastAsia" w:ascii="仿宋" w:hAnsi="仿宋" w:eastAsia="仿宋" w:cs="仿宋"/>
          <w:b/>
          <w:bCs/>
          <w:sz w:val="32"/>
          <w:szCs w:val="32"/>
        </w:rPr>
        <w:t xml:space="preserve">法定代表人身份证明</w:t>
      </w:r>
      <w:r/>
    </w:p>
    <w:p>
      <w:pPr>
        <w:ind w:firstLine="480"/>
        <w:jc w:val="center"/>
        <w:spacing w:line="600" w:lineRule="auto"/>
        <w:rPr>
          <w:rFonts w:ascii="仿宋" w:hAnsi="仿宋" w:eastAsia="仿宋" w:cs="仿宋"/>
          <w:sz w:val="24"/>
          <w:szCs w:val="24"/>
        </w:rPr>
      </w:pPr>
      <w:r>
        <w:rPr>
          <w:rFonts w:hint="eastAsia" w:ascii="仿宋" w:hAnsi="仿宋" w:eastAsia="仿宋" w:cs="仿宋"/>
          <w:sz w:val="24"/>
          <w:szCs w:val="24"/>
          <w:u w:val="single"/>
        </w:rPr>
        <w:t xml:space="preserve">先生／女士：</w:t>
      </w:r>
      <w:r>
        <w:rPr>
          <w:rFonts w:hint="eastAsia" w:ascii="仿宋" w:hAnsi="仿宋" w:eastAsia="仿宋" w:cs="仿宋"/>
          <w:sz w:val="24"/>
          <w:szCs w:val="24"/>
        </w:rPr>
        <w:t xml:space="preserve">现任我单位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职务，为法定代表人，特此证明。</w:t>
      </w:r>
      <w:r/>
    </w:p>
    <w:p>
      <w:pPr>
        <w:ind w:firstLine="480"/>
        <w:jc w:val="left"/>
        <w:spacing w:line="600" w:lineRule="auto"/>
        <w:rPr>
          <w:rFonts w:ascii="仿宋" w:hAnsi="仿宋" w:eastAsia="仿宋" w:cs="仿宋"/>
          <w:sz w:val="24"/>
          <w:szCs w:val="24"/>
          <w:u w:val="single"/>
        </w:rPr>
      </w:pPr>
      <w:r>
        <w:rPr>
          <w:rFonts w:hint="eastAsia" w:ascii="仿宋" w:hAnsi="仿宋" w:eastAsia="仿宋" w:cs="仿宋"/>
          <w:sz w:val="24"/>
          <w:szCs w:val="24"/>
        </w:rPr>
        <w:t xml:space="preserve">身份证号码：</w:t>
      </w:r>
      <w:r/>
    </w:p>
    <w:p>
      <w:pPr>
        <w:ind w:firstLine="480"/>
        <w:jc w:val="right"/>
        <w:spacing w:line="600" w:lineRule="auto"/>
        <w:rPr>
          <w:rFonts w:ascii="仿宋" w:hAnsi="仿宋" w:eastAsia="仿宋" w:cs="仿宋"/>
          <w:sz w:val="24"/>
          <w:szCs w:val="24"/>
        </w:rPr>
      </w:pPr>
      <w:r>
        <w:rPr>
          <w:rFonts w:hint="eastAsia" w:ascii="仿宋" w:hAnsi="仿宋" w:eastAsia="仿宋" w:cs="仿宋"/>
          <w:sz w:val="24"/>
          <w:szCs w:val="24"/>
        </w:rPr>
        <w:t xml:space="preserve">磋商响应供应商（盖章）</w:t>
      </w:r>
      <w:r/>
    </w:p>
    <w:p>
      <w:pPr>
        <w:ind w:firstLine="480"/>
        <w:jc w:val="right"/>
        <w:spacing w:line="600" w:lineRule="auto"/>
        <w:rPr>
          <w:rFonts w:ascii="仿宋" w:hAnsi="仿宋" w:eastAsia="仿宋" w:cs="仿宋"/>
          <w:bCs/>
          <w:sz w:val="24"/>
          <w:szCs w:val="24"/>
        </w:rPr>
      </w:pPr>
      <w:r>
        <w:rPr>
          <w:rFonts w:hint="eastAsia" w:ascii="仿宋" w:hAnsi="仿宋" w:eastAsia="仿宋" w:cs="仿宋"/>
          <w:bCs/>
          <w:sz w:val="24"/>
          <w:szCs w:val="24"/>
        </w:rPr>
        <w:t xml:space="preserve">年    月    日</w:t>
      </w:r>
      <w:r/>
    </w:p>
    <w:p>
      <w:pPr>
        <w:ind w:firstLine="480"/>
        <w:jc w:val="center"/>
        <w:spacing w:line="420" w:lineRule="exact"/>
        <w:rPr>
          <w:rFonts w:ascii="仿宋" w:hAnsi="仿宋" w:eastAsia="仿宋" w:cs="仿宋"/>
          <w:sz w:val="24"/>
          <w:szCs w:val="24"/>
        </w:rPr>
      </w:pPr>
      <w:r>
        <w:rPr>
          <w:rFonts w:ascii="仿宋" w:hAnsi="仿宋" w:eastAsia="仿宋" w:cs="仿宋"/>
          <w:sz w:val="24"/>
          <w:szCs w:val="24"/>
        </w:rPr>
      </w:r>
      <w:r/>
    </w:p>
    <w:p>
      <w:pPr>
        <w:ind w:firstLine="480"/>
        <w:jc w:val="center"/>
        <w:spacing w:line="420" w:lineRule="exact"/>
        <w:rPr>
          <w:rFonts w:ascii="仿宋" w:hAnsi="仿宋" w:eastAsia="仿宋" w:cs="仿宋"/>
          <w:sz w:val="24"/>
          <w:szCs w:val="24"/>
        </w:rPr>
      </w:pPr>
      <w:r>
        <w:rPr>
          <w:rFonts w:hint="eastAsia" w:ascii="仿宋" w:hAnsi="仿宋" w:eastAsia="仿宋" w:cs="仿宋"/>
          <w:sz w:val="24"/>
          <w:szCs w:val="24"/>
        </w:rPr>
        <w:t xml:space="preserve">注：提供法定代表人的身份证正反面扫描件并加盖公章</w:t>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ascii="仿宋" w:hAnsi="仿宋" w:eastAsia="仿宋" w:cs="仿宋"/>
          <w:sz w:val="32"/>
          <w:szCs w:val="32"/>
          <w:lang w:val="zh-CN"/>
        </w:rPr>
      </w:r>
      <w:r/>
    </w:p>
    <w:p>
      <w:pPr>
        <w:contextualSpacing/>
        <w:spacing w:line="400" w:lineRule="exact"/>
        <w:rPr>
          <w:rFonts w:ascii="仿宋" w:hAnsi="仿宋" w:eastAsia="仿宋" w:cs="仿宋"/>
          <w:sz w:val="32"/>
          <w:szCs w:val="32"/>
          <w:lang w:val="zh-CN"/>
        </w:rPr>
      </w:pPr>
      <w:r>
        <w:rPr>
          <w:rFonts w:hint="eastAsia" w:ascii="仿宋" w:hAnsi="仿宋" w:eastAsia="仿宋" w:cs="仿宋"/>
          <w:sz w:val="32"/>
          <w:szCs w:val="32"/>
          <w:lang w:val="zh-CN"/>
        </w:rPr>
        <w:t xml:space="preserve">附件3</w:t>
      </w:r>
      <w:r/>
    </w:p>
    <w:p>
      <w:pPr>
        <w:ind w:left="695" w:firstLine="640"/>
        <w:jc w:val="center"/>
        <w:spacing w:line="460" w:lineRule="exact"/>
        <w:rPr>
          <w:rFonts w:ascii="仿宋" w:hAnsi="仿宋" w:eastAsia="仿宋" w:cs="仿宋"/>
          <w:sz w:val="32"/>
          <w:szCs w:val="32"/>
        </w:rPr>
      </w:pPr>
      <w:r/>
      <w:bookmarkStart w:id="104" w:name="OLE_LINK14"/>
      <w:r>
        <w:rPr>
          <w:rFonts w:hint="eastAsia" w:ascii="仿宋" w:hAnsi="仿宋" w:eastAsia="仿宋" w:cs="仿宋"/>
          <w:sz w:val="32"/>
          <w:szCs w:val="32"/>
        </w:rPr>
        <w:t xml:space="preserve">法定代表人授权委托书</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本人------（姓名）系————（授权单位名称）的法定代表人，现委托-------（姓名）（身份证号——————）为我方代理人，以我方名义全权处理与本次采购项目（编号：----------）有关的一切事务，其法律后果由我方承担。</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本授权书于---年---月---日起生效。代理人无转委托权。</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代理人(被授权人):------</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授权单位名称（盖章）：-----</w:t>
      </w:r>
      <w:r/>
    </w:p>
    <w:p>
      <w:pPr>
        <w:ind w:left="695" w:firstLine="480"/>
        <w:spacing w:line="460" w:lineRule="exact"/>
        <w:rPr>
          <w:rFonts w:ascii="仿宋" w:hAnsi="仿宋" w:eastAsia="仿宋" w:cs="仿宋"/>
          <w:sz w:val="24"/>
          <w:szCs w:val="24"/>
        </w:rPr>
      </w:pPr>
      <w:r>
        <w:rPr>
          <w:rFonts w:hint="eastAsia" w:ascii="仿宋" w:hAnsi="仿宋" w:eastAsia="仿宋" w:cs="仿宋"/>
          <w:sz w:val="24"/>
          <w:szCs w:val="24"/>
        </w:rPr>
        <w:t xml:space="preserve">授权单位法定代表人（签字或盖章）：-----</w:t>
      </w:r>
      <w:bookmarkEnd w:id="104"/>
      <w:r/>
      <w:r/>
    </w:p>
    <w:p>
      <w:pPr>
        <w:ind w:firstLine="480"/>
        <w:jc w:val="center"/>
        <w:spacing w:line="420" w:lineRule="exact"/>
        <w:rPr>
          <w:rFonts w:ascii="仿宋" w:hAnsi="仿宋" w:eastAsia="仿宋" w:cs="仿宋"/>
          <w:bCs/>
          <w:sz w:val="24"/>
          <w:szCs w:val="24"/>
        </w:rPr>
      </w:pPr>
      <w:r>
        <w:rPr>
          <w:rFonts w:hint="eastAsia" w:ascii="仿宋" w:hAnsi="仿宋" w:eastAsia="仿宋" w:cs="仿宋"/>
          <w:bCs/>
          <w:sz w:val="24"/>
          <w:szCs w:val="24"/>
        </w:rPr>
        <w:t xml:space="preserve">年    月    日</w:t>
      </w:r>
      <w:r/>
    </w:p>
    <w:p>
      <w:pPr>
        <w:pStyle w:val="855"/>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注：提供被委托授权人的身份证原件扫描件正反两面和法定代表人的身份证正反两面原件扫描件正反面</w:t>
      </w:r>
      <w:r/>
    </w:p>
    <w:p>
      <w:pPr>
        <w:ind w:firstLine="640"/>
        <w:rPr>
          <w:rFonts w:ascii="仿宋" w:hAnsi="仿宋" w:eastAsia="仿宋" w:cs="仿宋"/>
          <w:sz w:val="32"/>
          <w:szCs w:val="32"/>
        </w:rPr>
      </w:pPr>
      <w:r>
        <w:rPr>
          <w:rFonts w:hint="eastAsia" w:ascii="仿宋" w:hAnsi="仿宋" w:eastAsia="仿宋" w:cs="仿宋"/>
          <w:sz w:val="32"/>
          <w:szCs w:val="32"/>
        </w:rPr>
        <w:br w:type="page" w:clear="all"/>
      </w:r>
      <w:r/>
    </w:p>
    <w:p>
      <w:pPr>
        <w:contextualSpacing/>
        <w:spacing w:line="400" w:lineRule="exact"/>
        <w:rPr>
          <w:rFonts w:ascii="仿宋" w:hAnsi="仿宋" w:eastAsia="仿宋" w:cs="仿宋"/>
          <w:sz w:val="32"/>
          <w:szCs w:val="32"/>
        </w:rPr>
      </w:pPr>
      <w:r/>
      <w:bookmarkStart w:id="105" w:name="_格式3__银行出具的资信证明"/>
      <w:r/>
      <w:bookmarkEnd w:id="105"/>
      <w:r>
        <w:rPr>
          <w:rFonts w:hint="eastAsia" w:ascii="仿宋" w:hAnsi="仿宋" w:eastAsia="仿宋" w:cs="仿宋"/>
          <w:sz w:val="32"/>
          <w:szCs w:val="32"/>
        </w:rPr>
        <w:t xml:space="preserve">附件4</w:t>
      </w:r>
      <w:r/>
    </w:p>
    <w:p>
      <w:pPr>
        <w:jc w:val="center"/>
        <w:spacing w:line="400" w:lineRule="exact"/>
        <w:rPr>
          <w:rFonts w:ascii="仿宋" w:hAnsi="仿宋" w:eastAsia="仿宋" w:cs="仿宋"/>
          <w:b/>
          <w:bCs/>
          <w:sz w:val="32"/>
          <w:szCs w:val="32"/>
        </w:rPr>
      </w:pPr>
      <w:r/>
      <w:bookmarkStart w:id="106" w:name="OLE_LINK15"/>
      <w:r/>
      <w:bookmarkStart w:id="107" w:name="OLE_LINK16"/>
      <w:r>
        <w:rPr>
          <w:rFonts w:hint="eastAsia" w:ascii="仿宋" w:hAnsi="仿宋" w:eastAsia="仿宋" w:cs="仿宋"/>
          <w:b/>
          <w:bCs/>
          <w:sz w:val="32"/>
          <w:szCs w:val="32"/>
        </w:rPr>
        <w:t xml:space="preserve">中小企业声明函</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号）的规定，本公司（联合体）参加（单位名称）的（项目名称）采购活动，服务全部由符合政策要求的中小企业承接。</w:t>
      </w:r>
      <w:bookmarkEnd w:id="106"/>
      <w:r>
        <w:rPr>
          <w:rFonts w:hint="eastAsia" w:ascii="仿宋" w:hAnsi="仿宋" w:eastAsia="仿宋" w:cs="仿宋"/>
          <w:sz w:val="24"/>
          <w:szCs w:val="24"/>
        </w:rPr>
        <w:t xml:space="preserve">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8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b/>
          <w:bCs/>
          <w:sz w:val="24"/>
          <w:szCs w:val="24"/>
          <w:u w:val="single"/>
        </w:rPr>
        <w:t xml:space="preserve">其他未列明</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 □小型企业 □微型企业）；</w:t>
      </w:r>
      <w:r/>
    </w:p>
    <w:p>
      <w:pPr>
        <w:ind w:firstLine="480"/>
        <w:spacing w:line="400" w:lineRule="exact"/>
        <w:rPr>
          <w:rFonts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b/>
          <w:bCs/>
          <w:sz w:val="24"/>
          <w:szCs w:val="24"/>
          <w:u w:val="single"/>
        </w:rPr>
        <w:t xml:space="preserve">其他未列明</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 □小型企业 □微型企业）；</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80"/>
        <w:spacing w:line="400" w:lineRule="exact"/>
        <w:rPr>
          <w:rFonts w:ascii="仿宋" w:hAnsi="仿宋" w:eastAsia="仿宋" w:cs="仿宋"/>
          <w:sz w:val="24"/>
          <w:szCs w:val="24"/>
        </w:rPr>
      </w:pPr>
      <w:r>
        <w:rPr>
          <w:rFonts w:hint="eastAsia" w:ascii="仿宋" w:hAnsi="仿宋" w:eastAsia="仿宋" w:cs="仿宋"/>
          <w:sz w:val="24"/>
          <w:szCs w:val="24"/>
        </w:rPr>
        <w:t xml:space="preserve">日  期：</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备注：</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1.从业人员、营业收入、资产总额填报上一年度数据，无上一年度数据的新成立企业可不填报。</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00" w:lineRule="exact"/>
        <w:rPr>
          <w:rFonts w:ascii="仿宋" w:hAnsi="仿宋" w:eastAsia="仿宋" w:cs="仿宋"/>
          <w:b/>
          <w:bCs/>
          <w:sz w:val="24"/>
          <w:szCs w:val="24"/>
        </w:rPr>
      </w:pPr>
      <w:r>
        <w:rPr>
          <w:rFonts w:hint="eastAsia" w:ascii="仿宋" w:hAnsi="仿宋" w:eastAsia="仿宋" w:cs="仿宋"/>
          <w:b/>
          <w:bCs/>
          <w:sz w:val="24"/>
          <w:szCs w:val="24"/>
        </w:rPr>
        <w:t xml:space="preserve">3.供应商自行勾选承接企业的企业规模类型。</w:t>
      </w:r>
      <w:r/>
    </w:p>
    <w:p>
      <w:pPr>
        <w:spacing w:line="400" w:lineRule="exact"/>
        <w:rPr>
          <w:rFonts w:ascii="仿宋" w:hAnsi="仿宋" w:eastAsia="仿宋" w:cs="仿宋"/>
          <w:sz w:val="32"/>
          <w:szCs w:val="32"/>
        </w:rPr>
      </w:pPr>
      <w:r>
        <w:rPr>
          <w:rFonts w:hint="eastAsia" w:ascii="仿宋" w:hAnsi="仿宋" w:eastAsia="仿宋" w:cs="仿宋"/>
          <w:b/>
          <w:bCs/>
          <w:sz w:val="24"/>
          <w:szCs w:val="24"/>
        </w:rPr>
        <w:br w:type="page" w:clear="all"/>
      </w:r>
      <w:r>
        <w:rPr>
          <w:rFonts w:hint="eastAsia" w:ascii="仿宋" w:hAnsi="仿宋" w:eastAsia="仿宋" w:cs="仿宋"/>
          <w:sz w:val="32"/>
          <w:szCs w:val="32"/>
          <w:lang w:val="zh-CN"/>
        </w:rPr>
        <w:t xml:space="preserve">附件</w:t>
      </w:r>
      <w:r>
        <w:rPr>
          <w:rFonts w:hint="eastAsia" w:ascii="仿宋" w:hAnsi="仿宋" w:eastAsia="仿宋" w:cs="仿宋"/>
          <w:sz w:val="32"/>
          <w:szCs w:val="32"/>
        </w:rPr>
        <w:t xml:space="preserve">5</w:t>
      </w:r>
      <w:r/>
    </w:p>
    <w:p>
      <w:pPr>
        <w:jc w:val="center"/>
        <w:spacing w:line="460" w:lineRule="exact"/>
        <w:rPr>
          <w:rFonts w:ascii="仿宋" w:hAnsi="仿宋" w:eastAsia="仿宋" w:cs="仿宋"/>
          <w:b/>
          <w:sz w:val="32"/>
          <w:szCs w:val="32"/>
        </w:rPr>
      </w:pPr>
      <w:r>
        <w:rPr>
          <w:rFonts w:hint="eastAsia" w:ascii="仿宋" w:hAnsi="仿宋" w:eastAsia="仿宋" w:cs="仿宋"/>
          <w:b/>
          <w:sz w:val="24"/>
          <w:szCs w:val="24"/>
        </w:rPr>
        <w:t xml:space="preserve">残疾人福利性单位声明函</w:t>
      </w:r>
      <w:r/>
    </w:p>
    <w:p>
      <w:pPr>
        <w:ind w:firstLine="480"/>
        <w:spacing w:line="480" w:lineRule="auto"/>
        <w:rPr>
          <w:rFonts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spacing w:line="480" w:lineRule="auto"/>
        <w:rPr>
          <w:rFonts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482"/>
        <w:spacing w:line="480" w:lineRule="auto"/>
        <w:rPr>
          <w:rFonts w:ascii="仿宋" w:hAnsi="仿宋" w:eastAsia="仿宋" w:cs="仿宋"/>
          <w:b/>
          <w:bCs/>
          <w:sz w:val="24"/>
          <w:szCs w:val="24"/>
        </w:rPr>
      </w:pPr>
      <w:r>
        <w:rPr>
          <w:rFonts w:hint="eastAsia" w:ascii="仿宋" w:hAnsi="仿宋" w:eastAsia="仿宋" w:cs="仿宋"/>
          <w:b/>
          <w:bCs/>
          <w:sz w:val="24"/>
          <w:szCs w:val="24"/>
        </w:rPr>
        <w:t xml:space="preserve">备注：</w:t>
      </w:r>
      <w:r/>
    </w:p>
    <w:p>
      <w:pPr>
        <w:ind w:firstLine="482"/>
        <w:spacing w:line="480" w:lineRule="auto"/>
        <w:rPr>
          <w:rFonts w:ascii="仿宋" w:hAnsi="仿宋" w:eastAsia="仿宋" w:cs="仿宋"/>
          <w:b/>
          <w:bCs/>
          <w:sz w:val="24"/>
        </w:rPr>
      </w:pPr>
      <w:r>
        <w:rPr>
          <w:rFonts w:hint="eastAsia" w:ascii="仿宋" w:hAnsi="仿宋" w:eastAsia="仿宋" w:cs="仿宋"/>
          <w:b/>
          <w:bCs/>
          <w:sz w:val="24"/>
        </w:rPr>
        <w:t xml:space="preserve">1.专门面向中小微型企业采购的项目，供应商为残疾人福利性单位并提供服务的必须提供此声明函，否则将不能通过资格审查。</w:t>
      </w:r>
      <w:r/>
    </w:p>
    <w:p>
      <w:pPr>
        <w:ind w:firstLine="482"/>
        <w:spacing w:line="480" w:lineRule="auto"/>
        <w:rPr>
          <w:rFonts w:ascii="仿宋" w:hAnsi="仿宋" w:eastAsia="仿宋" w:cs="仿宋"/>
          <w:b/>
          <w:bCs/>
          <w:sz w:val="24"/>
        </w:rPr>
      </w:pPr>
      <w:r>
        <w:rPr>
          <w:rFonts w:hint="eastAsia" w:ascii="仿宋" w:hAnsi="仿宋" w:eastAsia="仿宋" w:cs="仿宋"/>
          <w:b/>
          <w:bCs/>
          <w:sz w:val="24"/>
        </w:rPr>
        <w:t xml:space="preserve">2.非专门面向中小微型企业采购的项目，供应商如不提供此声明函，价格将不做相应扣除。</w:t>
      </w:r>
      <w:r/>
    </w:p>
    <w:p>
      <w:pPr>
        <w:ind w:firstLine="482"/>
        <w:spacing w:line="480" w:lineRule="auto"/>
        <w:rPr>
          <w:rFonts w:ascii="仿宋" w:hAnsi="仿宋" w:eastAsia="仿宋" w:cs="仿宋"/>
          <w:b/>
          <w:bCs/>
          <w:sz w:val="24"/>
        </w:rPr>
      </w:pPr>
      <w:r>
        <w:rPr>
          <w:rFonts w:hint="eastAsia" w:ascii="仿宋" w:hAnsi="仿宋" w:eastAsia="仿宋" w:cs="仿宋"/>
          <w:b/>
          <w:bCs/>
          <w:sz w:val="24"/>
        </w:rPr>
        <w:t xml:space="preserve">3.中标/成交供应商为残疾人福利性单位的，此声明函将随中标/中标结果同时公告，接受社会监督</w:t>
      </w:r>
      <w:r>
        <w:rPr>
          <w:rFonts w:hint="eastAsia" w:ascii="仿宋" w:hAnsi="仿宋" w:eastAsia="仿宋" w:cs="仿宋"/>
          <w:b/>
          <w:bCs/>
          <w:sz w:val="24"/>
          <w:szCs w:val="24"/>
        </w:rPr>
        <w:t xml:space="preserve">。</w:t>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供应商全称（加盖CA电子公章）：</w:t>
      </w:r>
      <w:r/>
    </w:p>
    <w:p>
      <w:pPr>
        <w:ind w:left="695" w:right="1560" w:firstLine="480"/>
        <w:jc w:val="center"/>
        <w:spacing w:line="588" w:lineRule="exact"/>
        <w:tabs>
          <w:tab w:val="left" w:pos="4860" w:leader="none"/>
        </w:tabs>
        <w:rPr>
          <w:rFonts w:ascii="仿宋" w:hAnsi="仿宋" w:eastAsia="仿宋" w:cs="仿宋"/>
          <w:sz w:val="24"/>
        </w:rPr>
      </w:pPr>
      <w:r>
        <w:rPr>
          <w:rFonts w:hint="eastAsia" w:ascii="仿宋" w:hAnsi="仿宋" w:eastAsia="仿宋" w:cs="仿宋"/>
          <w:sz w:val="24"/>
        </w:rPr>
        <w:t xml:space="preserve">日  期：</w:t>
      </w:r>
      <w:r/>
    </w:p>
    <w:p>
      <w:pPr>
        <w:ind w:left="695" w:firstLine="640"/>
        <w:spacing w:line="360" w:lineRule="auto"/>
        <w:rPr>
          <w:rFonts w:ascii="仿宋" w:hAnsi="仿宋" w:eastAsia="仿宋" w:cs="仿宋"/>
          <w:sz w:val="32"/>
          <w:szCs w:val="32"/>
          <w:lang w:val="zh-CN"/>
        </w:rPr>
      </w:pPr>
      <w:r>
        <w:rPr>
          <w:rFonts w:hint="eastAsia" w:ascii="仿宋" w:hAnsi="仿宋" w:eastAsia="仿宋" w:cs="仿宋"/>
          <w:sz w:val="32"/>
          <w:szCs w:val="32"/>
          <w:lang w:val="zh-CN"/>
        </w:rPr>
        <w:br w:type="page" w:clear="all"/>
      </w:r>
      <w:r/>
    </w:p>
    <w:p>
      <w:pPr>
        <w:jc w:val="left"/>
        <w:spacing w:line="360" w:lineRule="auto"/>
        <w:rPr>
          <w:rFonts w:ascii="仿宋" w:hAnsi="仿宋" w:eastAsia="仿宋" w:cs="仿宋"/>
          <w:b/>
          <w:bCs/>
          <w:sz w:val="32"/>
          <w:szCs w:val="32"/>
        </w:rPr>
        <w:outlineLvl w:val="3"/>
      </w:pPr>
      <w:r>
        <w:rPr>
          <w:rFonts w:hint="eastAsia" w:ascii="仿宋" w:hAnsi="仿宋" w:eastAsia="仿宋" w:cs="仿宋"/>
          <w:sz w:val="32"/>
          <w:szCs w:val="32"/>
          <w:lang w:val="zh-CN"/>
        </w:rPr>
        <w:t xml:space="preserve">附件</w:t>
      </w:r>
      <w:r>
        <w:rPr>
          <w:rFonts w:hint="eastAsia" w:ascii="仿宋" w:hAnsi="仿宋" w:eastAsia="仿宋" w:cs="仿宋"/>
          <w:sz w:val="32"/>
          <w:szCs w:val="32"/>
        </w:rPr>
        <w:t xml:space="preserve">6</w:t>
      </w:r>
      <w:r/>
    </w:p>
    <w:p>
      <w:pPr>
        <w:jc w:val="center"/>
        <w:spacing w:line="360" w:lineRule="auto"/>
        <w:rPr>
          <w:rFonts w:ascii="仿宋" w:hAnsi="仿宋" w:eastAsia="仿宋" w:cs="仿宋"/>
          <w:b/>
          <w:bCs/>
          <w:sz w:val="32"/>
          <w:szCs w:val="32"/>
        </w:rPr>
        <w:outlineLvl w:val="3"/>
      </w:pPr>
      <w:r>
        <w:rPr>
          <w:rFonts w:hint="eastAsia" w:ascii="仿宋" w:hAnsi="仿宋" w:eastAsia="仿宋" w:cs="仿宋"/>
          <w:b/>
          <w:bCs/>
          <w:sz w:val="32"/>
          <w:szCs w:val="32"/>
        </w:rPr>
        <w:t xml:space="preserve">监狱和戒毒企业证明材料</w:t>
      </w:r>
      <w:r/>
    </w:p>
    <w:p>
      <w:p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07"/>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备注：</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1.专门面向中小微型企业采购的项目，供应商为监狱和戒毒企业并提供服务的必须提供此声明函，否则将不能通过资格审查。</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2.非专门面向中小微型企业采购的项目，供应商如不提供此声明函，价格将不做相应扣除。</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3.中标/成交供应商为监狱和戒毒企业单位的，此声明函将随中标/中标结果同时公告，接受社会监督。</w:t>
      </w:r>
      <w:r/>
    </w:p>
    <w:p>
      <w:pPr>
        <w:ind w:right="1560" w:firstLine="1200"/>
        <w:spacing w:line="360" w:lineRule="auto"/>
        <w:tabs>
          <w:tab w:val="left" w:pos="4860" w:leader="none"/>
        </w:tabs>
        <w:rPr>
          <w:rFonts w:ascii="仿宋" w:hAnsi="仿宋" w:eastAsia="仿宋" w:cs="仿宋"/>
          <w:sz w:val="24"/>
        </w:rPr>
      </w:pPr>
      <w:r>
        <w:rPr>
          <w:rFonts w:ascii="仿宋" w:hAnsi="仿宋" w:eastAsia="仿宋" w:cs="仿宋"/>
          <w:sz w:val="24"/>
        </w:rPr>
      </w:r>
      <w:r/>
    </w:p>
    <w:p>
      <w:pPr>
        <w:ind w:right="1560" w:firstLine="4320"/>
        <w:spacing w:line="360" w:lineRule="auto"/>
        <w:tabs>
          <w:tab w:val="left" w:pos="4860" w:leader="none"/>
        </w:tabs>
        <w:rPr>
          <w:rFonts w:ascii="仿宋" w:hAnsi="仿宋" w:eastAsia="仿宋" w:cs="仿宋"/>
          <w:sz w:val="24"/>
        </w:rPr>
      </w:pPr>
      <w:r>
        <w:rPr>
          <w:rFonts w:hint="eastAsia" w:ascii="仿宋" w:hAnsi="仿宋" w:eastAsia="仿宋" w:cs="仿宋"/>
          <w:sz w:val="24"/>
        </w:rPr>
        <w:t xml:space="preserve">供应商全称（加盖CA电子公章）：</w:t>
      </w:r>
      <w:r/>
    </w:p>
    <w:p>
      <w:pPr>
        <w:ind w:right="1560" w:firstLine="4320"/>
        <w:spacing w:line="360" w:lineRule="auto"/>
        <w:tabs>
          <w:tab w:val="left" w:pos="4860" w:leader="none"/>
        </w:tabs>
        <w:rPr>
          <w:rFonts w:ascii="仿宋" w:hAnsi="仿宋" w:eastAsia="仿宋" w:cs="仿宋"/>
          <w:sz w:val="24"/>
        </w:rPr>
      </w:pPr>
      <w:r>
        <w:rPr>
          <w:rFonts w:hint="eastAsia" w:ascii="仿宋" w:hAnsi="仿宋" w:eastAsia="仿宋" w:cs="仿宋"/>
          <w:sz w:val="24"/>
        </w:rPr>
        <w:t xml:space="preserve">日  期：</w:t>
      </w:r>
      <w:r/>
    </w:p>
    <w:p>
      <w:pPr>
        <w:ind w:left="695" w:firstLine="640"/>
        <w:rPr>
          <w:rFonts w:ascii="仿宋" w:hAnsi="仿宋" w:eastAsia="仿宋" w:cs="仿宋"/>
          <w:sz w:val="24"/>
          <w:szCs w:val="24"/>
        </w:rPr>
      </w:pPr>
      <w:r>
        <w:rPr>
          <w:rFonts w:hint="eastAsia" w:ascii="仿宋" w:hAnsi="仿宋" w:eastAsia="仿宋" w:cs="仿宋"/>
          <w:sz w:val="32"/>
          <w:szCs w:val="32"/>
        </w:rPr>
        <w:br w:type="page" w:clear="all"/>
      </w:r>
      <w:r/>
    </w:p>
    <w:p>
      <w:pPr>
        <w:pStyle w:val="826"/>
        <w:ind w:right="210"/>
        <w:jc w:val="both"/>
        <w:spacing w:before="220" w:beforeAutospacing="0" w:after="200" w:afterAutospacing="0" w:line="499" w:lineRule="atLeast"/>
        <w:rPr>
          <w:rFonts w:ascii="仿宋" w:hAnsi="仿宋" w:eastAsia="仿宋" w:cs="仿宋"/>
          <w:b/>
          <w:sz w:val="32"/>
          <w:szCs w:val="32"/>
        </w:rPr>
      </w:pPr>
      <w:r>
        <w:rPr>
          <w:rFonts w:hint="eastAsia" w:ascii="仿宋" w:hAnsi="仿宋" w:eastAsia="仿宋" w:cs="仿宋"/>
          <w:b/>
          <w:sz w:val="32"/>
          <w:szCs w:val="32"/>
        </w:rPr>
        <w:t xml:space="preserve">附件7</w:t>
      </w:r>
      <w:r/>
    </w:p>
    <w:p>
      <w:pPr>
        <w:jc w:val="center"/>
        <w:spacing w:line="360" w:lineRule="auto"/>
        <w:rPr>
          <w:rFonts w:ascii="仿宋" w:hAnsi="仿宋" w:eastAsia="仿宋" w:cs="仿宋"/>
          <w:b/>
          <w:bCs/>
          <w:sz w:val="28"/>
          <w:szCs w:val="28"/>
        </w:rPr>
      </w:pPr>
      <w:r>
        <w:rPr>
          <w:rFonts w:hint="eastAsia" w:ascii="仿宋" w:hAnsi="仿宋" w:eastAsia="仿宋" w:cs="仿宋"/>
          <w:sz w:val="24"/>
          <w:szCs w:val="24"/>
          <w:lang w:val="zh-CN"/>
        </w:rPr>
        <w:t xml:space="preserve">★</w:t>
      </w:r>
      <w:bookmarkStart w:id="108" w:name="OLE_LINK12"/>
      <w:r/>
      <w:bookmarkStart w:id="109" w:name="OLE_LINK19"/>
      <w:r>
        <w:rPr>
          <w:rFonts w:hint="eastAsia" w:ascii="仿宋" w:hAnsi="仿宋" w:eastAsia="仿宋" w:cs="仿宋"/>
          <w:b/>
          <w:bCs/>
          <w:sz w:val="28"/>
          <w:szCs w:val="28"/>
        </w:rPr>
        <w:t xml:space="preserve">磋商响应函</w:t>
      </w:r>
      <w:bookmarkEnd w:id="108"/>
      <w:r/>
      <w:r/>
    </w:p>
    <w:p>
      <w:pPr>
        <w:spacing w:line="360" w:lineRule="auto"/>
        <w:rPr>
          <w:rFonts w:ascii="仿宋" w:hAnsi="仿宋" w:eastAsia="仿宋" w:cs="仿宋"/>
          <w:bCs/>
          <w:sz w:val="24"/>
          <w:szCs w:val="24"/>
        </w:rPr>
      </w:pPr>
      <w:r>
        <w:rPr>
          <w:rFonts w:hint="eastAsia" w:ascii="仿宋" w:hAnsi="仿宋" w:eastAsia="仿宋" w:cs="仿宋"/>
          <w:iCs/>
          <w:sz w:val="22"/>
          <w:szCs w:val="22"/>
          <w:u w:val="single"/>
        </w:rPr>
        <w:t xml:space="preserve">（采购人）</w:t>
      </w:r>
      <w:r>
        <w:rPr>
          <w:rFonts w:hint="eastAsia" w:ascii="仿宋" w:hAnsi="仿宋" w:eastAsia="仿宋" w:cs="仿宋"/>
          <w:sz w:val="24"/>
          <w:szCs w:val="24"/>
        </w:rPr>
        <w:t xml:space="preserve">：</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依据贵单位 （采购项目名称及项目编号)项目公开招标的邀请，我方授权（姓名）（职务）为全权代表参加该项目的投标，全权处理本次投标的有关事宜。同时，我公司声明如下：</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1、同意并接受磋商文件的各项要求，遵守磋商文件中的各项规定，按磋商文件的要求提供报价。</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2、我公司已经详细阅读了全部磋商文件及其附件，我方已完全清晰理解磋商文件的要求，不存在任何含糊不清和误解之处，同意放弃对这些文件所提出的异议和质疑的权利。</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3、我公司已毫无保留地向贵方提供一切所需的证明材料。</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4、我公司承诺在本次投标中提供的一切文件，无论是原件还是原件扫描件均真实合法有效，绝无任何虚假、伪造和夸大的成份。否则，愿承担相应的后果和法律责任。</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5、我公司尊重评标委员会所作的评定结果，同时清楚理解到报价最低并非意味着必定获得成交资格。</w:t>
      </w:r>
      <w:r/>
    </w:p>
    <w:p>
      <w:pPr>
        <w:ind w:firstLine="480"/>
        <w:spacing w:line="480" w:lineRule="auto"/>
        <w:rPr>
          <w:rFonts w:ascii="仿宋" w:hAnsi="仿宋" w:eastAsia="仿宋" w:cs="仿宋"/>
          <w:sz w:val="24"/>
          <w:szCs w:val="24"/>
        </w:rPr>
      </w:pPr>
      <w:r>
        <w:rPr>
          <w:rFonts w:hint="eastAsia" w:ascii="仿宋" w:hAnsi="仿宋" w:eastAsia="仿宋" w:cs="仿宋"/>
          <w:sz w:val="24"/>
          <w:szCs w:val="24"/>
        </w:rPr>
        <w:t xml:space="preserve">6、一旦我方成交,我方将根据磋商文件的要求和投标文件的承诺签订合同，严格履行合同的责任和义务,并保证在磋商文件规定的时间完成项目，交付采购单位验收、使用。</w:t>
      </w:r>
      <w:r/>
    </w:p>
    <w:p>
      <w:pPr>
        <w:ind w:left="695" w:firstLine="480"/>
        <w:jc w:val="right"/>
        <w:spacing w:line="360" w:lineRule="auto"/>
        <w:rPr>
          <w:rFonts w:ascii="仿宋" w:hAnsi="仿宋" w:eastAsia="仿宋" w:cs="仿宋"/>
          <w:sz w:val="24"/>
          <w:szCs w:val="24"/>
        </w:rPr>
      </w:pPr>
      <w:r>
        <w:rPr>
          <w:rFonts w:hint="eastAsia" w:ascii="仿宋" w:hAnsi="仿宋" w:eastAsia="仿宋" w:cs="仿宋"/>
          <w:sz w:val="24"/>
          <w:szCs w:val="24"/>
        </w:rPr>
        <w:t xml:space="preserve">磋商供应商：（加盖公章）</w:t>
      </w:r>
      <w:r/>
    </w:p>
    <w:p>
      <w:pPr>
        <w:ind w:left="695" w:firstLine="480"/>
        <w:jc w:val="right"/>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法定代表人或被授权人：（签字或盖章）</w:t>
      </w:r>
      <w:r/>
    </w:p>
    <w:p>
      <w:pPr>
        <w:ind w:left="695" w:firstLine="480"/>
        <w:jc w:val="right"/>
        <w:spacing w:line="360" w:lineRule="auto"/>
        <w:rPr>
          <w:rFonts w:ascii="仿宋" w:hAnsi="仿宋" w:eastAsia="仿宋" w:cs="仿宋"/>
          <w:sz w:val="24"/>
          <w:szCs w:val="24"/>
        </w:rPr>
      </w:pPr>
      <w:r>
        <w:rPr>
          <w:rFonts w:hint="eastAsia" w:ascii="仿宋" w:hAnsi="仿宋" w:eastAsia="仿宋" w:cs="仿宋"/>
          <w:sz w:val="24"/>
          <w:szCs w:val="24"/>
        </w:rPr>
        <w:t xml:space="preserve">年    月    日</w:t>
      </w:r>
      <w:bookmarkEnd w:id="109"/>
      <w:r/>
      <w:r/>
    </w:p>
    <w:p>
      <w:pPr>
        <w:ind w:firstLine="562"/>
        <w:rPr>
          <w:rFonts w:ascii="仿宋" w:hAnsi="仿宋" w:eastAsia="仿宋" w:cs="仿宋"/>
          <w:b/>
          <w:sz w:val="28"/>
          <w:szCs w:val="28"/>
        </w:rPr>
      </w:pPr>
      <w:r>
        <w:rPr>
          <w:rFonts w:hint="eastAsia" w:ascii="仿宋" w:hAnsi="仿宋" w:eastAsia="仿宋" w:cs="仿宋"/>
          <w:b/>
          <w:sz w:val="28"/>
          <w:szCs w:val="28"/>
        </w:rPr>
        <w:br w:type="page" w:clear="all"/>
      </w:r>
      <w:r/>
    </w:p>
    <w:p>
      <w:pPr>
        <w:contextualSpacing/>
        <w:spacing w:line="300" w:lineRule="auto"/>
        <w:rPr>
          <w:rFonts w:ascii="仿宋" w:hAnsi="仿宋" w:eastAsia="仿宋" w:cs="仿宋"/>
          <w:b/>
          <w:sz w:val="32"/>
          <w:szCs w:val="32"/>
        </w:rPr>
      </w:pPr>
      <w:r>
        <w:rPr>
          <w:rFonts w:hint="eastAsia" w:ascii="仿宋" w:hAnsi="仿宋" w:eastAsia="仿宋" w:cs="仿宋"/>
          <w:b/>
          <w:sz w:val="28"/>
          <w:szCs w:val="28"/>
        </w:rPr>
        <w:t xml:space="preserve">附件8          </w:t>
      </w:r>
      <w:r/>
    </w:p>
    <w:p>
      <w:pPr>
        <w:contextualSpacing/>
        <w:jc w:val="center"/>
        <w:spacing w:line="300" w:lineRule="auto"/>
        <w:rPr>
          <w:rFonts w:ascii="仿宋" w:hAnsi="仿宋" w:eastAsia="仿宋" w:cs="仿宋"/>
          <w:b/>
          <w:sz w:val="32"/>
          <w:szCs w:val="32"/>
        </w:rPr>
      </w:pPr>
      <w:r>
        <w:rPr>
          <w:rFonts w:hint="eastAsia" w:ascii="仿宋" w:hAnsi="仿宋" w:eastAsia="仿宋" w:cs="仿宋"/>
          <w:sz w:val="32"/>
          <w:szCs w:val="32"/>
          <w:lang w:val="zh-CN"/>
        </w:rPr>
        <w:t xml:space="preserve">★</w:t>
      </w:r>
      <w:bookmarkStart w:id="110" w:name="OLE_LINK17"/>
      <w:r>
        <w:rPr>
          <w:rFonts w:hint="eastAsia" w:ascii="仿宋" w:hAnsi="仿宋" w:eastAsia="仿宋" w:cs="仿宋"/>
          <w:b/>
          <w:sz w:val="32"/>
          <w:szCs w:val="32"/>
        </w:rPr>
        <w:t xml:space="preserve">商务部分正负偏离表</w:t>
      </w:r>
      <w:r/>
    </w:p>
    <w:p>
      <w:pPr>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仿宋" w:hAnsi="仿宋" w:eastAsia="仿宋" w:cs="仿宋"/>
                <w:sz w:val="24"/>
                <w:szCs w:val="24"/>
              </w:rPr>
            </w:pPr>
            <w:r>
              <w:rPr>
                <w:rFonts w:ascii="仿宋" w:hAnsi="仿宋" w:eastAsia="仿宋" w:cs="仿宋"/>
                <w:sz w:val="24"/>
                <w:szCs w:val="24"/>
              </w:rPr>
            </w:r>
            <w:r/>
          </w:p>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仿宋" w:hAnsi="仿宋" w:eastAsia="仿宋" w:cs="仿宋"/>
                <w:sz w:val="24"/>
                <w:szCs w:val="24"/>
              </w:rPr>
            </w:pPr>
            <w:r>
              <w:rPr>
                <w:rFonts w:ascii="仿宋" w:hAnsi="仿宋" w:eastAsia="仿宋" w:cs="仿宋"/>
                <w:sz w:val="24"/>
                <w:szCs w:val="24"/>
              </w:rPr>
            </w:r>
            <w:r/>
          </w:p>
        </w:tc>
      </w:tr>
    </w:tbl>
    <w:p>
      <w:pPr>
        <w:contextualSpacing/>
        <w:ind w:left="695" w:firstLine="482"/>
        <w:spacing w:line="300" w:lineRule="auto"/>
        <w:rPr>
          <w:rFonts w:ascii="仿宋" w:hAnsi="仿宋" w:eastAsia="仿宋" w:cs="仿宋"/>
          <w:b/>
          <w:sz w:val="24"/>
          <w:szCs w:val="24"/>
        </w:rPr>
      </w:pPr>
      <w:r>
        <w:rPr>
          <w:rFonts w:hint="eastAsia" w:ascii="仿宋" w:hAnsi="仿宋" w:eastAsia="仿宋" w:cs="仿宋"/>
          <w:b/>
          <w:sz w:val="24"/>
          <w:szCs w:val="24"/>
        </w:rPr>
        <w:t xml:space="preserve">注：</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1.供应商提交的响应文件中与采购文件第三部分“项目需求”中的商务部分的要求，应逐条填列在偏离表中。完全响应可空白。</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2.“偏离说明”一栏选择“正偏离”、“无偏离”、“负偏离”进行填写。正偏离、无偏离的确认和负偏离的是否响应磋商文件，由磋商小组认定。</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3.本项目商务条款不接受负偏离，有负偏离的按无效标处理。供应商若提供其他增值服务，可以在表中自行据实填写。</w:t>
      </w:r>
      <w:bookmarkEnd w:id="110"/>
      <w:r/>
      <w:r/>
    </w:p>
    <w:p>
      <w:pPr>
        <w:ind w:firstLine="562"/>
        <w:rPr>
          <w:rFonts w:ascii="仿宋" w:hAnsi="仿宋" w:eastAsia="仿宋" w:cs="仿宋"/>
          <w:b/>
          <w:bCs/>
          <w:sz w:val="28"/>
          <w:szCs w:val="28"/>
        </w:rPr>
      </w:pPr>
      <w:r>
        <w:rPr>
          <w:rFonts w:hint="eastAsia" w:ascii="仿宋" w:hAnsi="仿宋" w:eastAsia="仿宋" w:cs="仿宋"/>
          <w:b/>
          <w:bCs/>
          <w:sz w:val="28"/>
          <w:szCs w:val="28"/>
        </w:rPr>
        <w:br w:type="page" w:clear="all"/>
      </w:r>
      <w:r/>
    </w:p>
    <w:p>
      <w:pPr>
        <w:rPr>
          <w:rFonts w:ascii="仿宋" w:hAnsi="仿宋" w:eastAsia="仿宋" w:cs="仿宋"/>
          <w:b/>
          <w:bCs/>
          <w:sz w:val="28"/>
          <w:szCs w:val="28"/>
        </w:rPr>
      </w:pPr>
      <w:r>
        <w:rPr>
          <w:rFonts w:hint="eastAsia" w:ascii="仿宋" w:hAnsi="仿宋" w:eastAsia="仿宋" w:cs="仿宋"/>
          <w:b/>
          <w:bCs/>
          <w:sz w:val="28"/>
          <w:szCs w:val="28"/>
        </w:rPr>
        <w:t xml:space="preserve">附件9</w:t>
      </w:r>
      <w:r/>
    </w:p>
    <w:p>
      <w:pPr>
        <w:contextualSpacing/>
        <w:jc w:val="center"/>
        <w:spacing w:line="300" w:lineRule="auto"/>
        <w:rPr>
          <w:rFonts w:ascii="仿宋" w:hAnsi="仿宋" w:eastAsia="仿宋" w:cs="仿宋"/>
          <w:b/>
          <w:sz w:val="32"/>
          <w:szCs w:val="32"/>
        </w:rPr>
      </w:pPr>
      <w:r>
        <w:rPr>
          <w:rFonts w:hint="eastAsia" w:ascii="仿宋" w:hAnsi="仿宋" w:eastAsia="仿宋" w:cs="仿宋"/>
          <w:sz w:val="32"/>
          <w:szCs w:val="32"/>
          <w:lang w:val="zh-CN"/>
        </w:rPr>
        <w:t xml:space="preserve">★</w:t>
      </w:r>
      <w:bookmarkStart w:id="111" w:name="OLE_LINK18"/>
      <w:r>
        <w:rPr>
          <w:rFonts w:hint="eastAsia" w:ascii="仿宋" w:hAnsi="仿宋" w:eastAsia="仿宋" w:cs="仿宋"/>
          <w:b/>
          <w:sz w:val="32"/>
          <w:szCs w:val="32"/>
        </w:rPr>
        <w:t xml:space="preserve">技术部分正负偏离表</w:t>
      </w:r>
      <w:r/>
    </w:p>
    <w:p>
      <w:pPr>
        <w:jc w:val="center"/>
        <w:rPr>
          <w:rFonts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1436"/>
        <w:gridCol w:w="2303"/>
        <w:gridCol w:w="2072"/>
        <w:gridCol w:w="2710"/>
        <w:gridCol w:w="1441"/>
      </w:tblGrid>
      <w:tr>
        <w:trPr>
          <w:trHeight w:val="994"/>
        </w:trPr>
        <w:tc>
          <w:tcPr>
            <w:tcBorders>
              <w:top w:val="single" w:color="auto" w:sz="12" w:space="0"/>
              <w:left w:val="single" w:color="auto" w:sz="12" w:space="0"/>
              <w:bottom w:val="single" w:color="auto" w:sz="6" w:space="0"/>
              <w:right w:val="single" w:color="auto" w:sz="6" w:space="0"/>
            </w:tcBorders>
            <w:tcW w:w="720" w:type="pct"/>
            <w:vAlign w:val="center"/>
            <w:textDirection w:val="lrTb"/>
            <w:noWrap w:val="false"/>
          </w:tcPr>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12" w:space="0"/>
              <w:left w:val="single" w:color="auto" w:sz="6" w:space="0"/>
              <w:bottom w:val="single" w:color="auto" w:sz="6" w:space="0"/>
              <w:right w:val="single" w:color="auto" w:sz="6" w:space="0"/>
            </w:tcBorders>
            <w:tcW w:w="1156" w:type="pct"/>
            <w:vAlign w:val="center"/>
            <w:textDirection w:val="lrTb"/>
            <w:noWrap w:val="false"/>
          </w:tcPr>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40" w:type="pct"/>
            <w:vAlign w:val="center"/>
            <w:textDirection w:val="lrTb"/>
            <w:noWrap w:val="false"/>
          </w:tcPr>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359" w:type="pct"/>
            <w:vAlign w:val="center"/>
            <w:textDirection w:val="lrTb"/>
            <w:noWrap w:val="false"/>
          </w:tcPr>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23" w:type="pct"/>
            <w:vAlign w:val="center"/>
            <w:textDirection w:val="lrTb"/>
            <w:noWrap w:val="false"/>
          </w:tcPr>
          <w:p>
            <w:pPr>
              <w:jc w:val="left"/>
              <w:spacing w:line="340" w:lineRule="exact"/>
              <w:rPr>
                <w:rFonts w:ascii="仿宋" w:hAnsi="仿宋" w:eastAsia="仿宋" w:cs="仿宋"/>
                <w:sz w:val="24"/>
                <w:szCs w:val="24"/>
              </w:rPr>
            </w:pPr>
            <w:r>
              <w:rPr>
                <w:rFonts w:hint="eastAsia" w:ascii="仿宋" w:hAnsi="仿宋" w:eastAsia="仿宋" w:cs="仿宋"/>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720" w:type="pct"/>
            <w:textDirection w:val="lrTb"/>
            <w:noWrap w:val="false"/>
          </w:tcPr>
          <w:p>
            <w:pPr>
              <w:ind w:left="695"/>
              <w:jc w:val="center"/>
              <w:spacing w:line="34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40"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359"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23" w:type="pct"/>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720" w:type="pct"/>
            <w:textDirection w:val="lrTb"/>
            <w:noWrap w:val="false"/>
          </w:tcPr>
          <w:p>
            <w:pPr>
              <w:ind w:left="695"/>
              <w:jc w:val="center"/>
              <w:spacing w:line="340" w:lineRule="exact"/>
              <w:rPr>
                <w:rFonts w:ascii="仿宋" w:hAnsi="仿宋" w:eastAsia="仿宋" w:cs="仿宋"/>
                <w:sz w:val="24"/>
                <w:szCs w:val="24"/>
              </w:rPr>
            </w:pPr>
            <w:r>
              <w:rPr>
                <w:rFonts w:hint="eastAsia" w:ascii="仿宋" w:hAnsi="仿宋" w:eastAsia="仿宋" w:cs="仿宋"/>
                <w:sz w:val="24"/>
                <w:szCs w:val="24"/>
              </w:rPr>
              <w:t xml:space="preserve">2</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40"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359"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23" w:type="pct"/>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720" w:type="pct"/>
            <w:textDirection w:val="lrTb"/>
            <w:noWrap w:val="false"/>
          </w:tcPr>
          <w:p>
            <w:pPr>
              <w:ind w:left="695"/>
              <w:jc w:val="center"/>
              <w:spacing w:line="340" w:lineRule="exact"/>
              <w:rPr>
                <w:rFonts w:ascii="仿宋" w:hAnsi="仿宋" w:eastAsia="仿宋" w:cs="仿宋"/>
                <w:sz w:val="24"/>
                <w:szCs w:val="24"/>
              </w:rPr>
            </w:pPr>
            <w:r>
              <w:rPr>
                <w:rFonts w:hint="eastAsia" w:ascii="仿宋" w:hAnsi="仿宋" w:eastAsia="仿宋" w:cs="仿宋"/>
                <w:sz w:val="24"/>
                <w:szCs w:val="24"/>
              </w:rPr>
              <w:t xml:space="preserve">3</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40"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359"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23" w:type="pct"/>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720" w:type="pct"/>
            <w:textDirection w:val="lrTb"/>
            <w:noWrap w:val="false"/>
          </w:tcPr>
          <w:p>
            <w:pPr>
              <w:ind w:left="695"/>
              <w:jc w:val="center"/>
              <w:spacing w:line="340" w:lineRule="exact"/>
              <w:rPr>
                <w:rFonts w:ascii="仿宋" w:hAnsi="仿宋" w:eastAsia="仿宋" w:cs="仿宋"/>
                <w:sz w:val="24"/>
                <w:szCs w:val="24"/>
              </w:rPr>
            </w:pPr>
            <w:r>
              <w:rPr>
                <w:rFonts w:hint="eastAsia" w:ascii="仿宋" w:hAnsi="仿宋" w:eastAsia="仿宋" w:cs="仿宋"/>
                <w:sz w:val="24"/>
                <w:szCs w:val="24"/>
              </w:rPr>
              <w:t xml:space="preserve">4</w:t>
            </w:r>
            <w:r/>
          </w:p>
        </w:tc>
        <w:tc>
          <w:tcPr>
            <w:tcBorders>
              <w:top w:val="single" w:color="auto" w:sz="6" w:space="0"/>
              <w:left w:val="single" w:color="auto" w:sz="6" w:space="0"/>
              <w:bottom w:val="single" w:color="auto" w:sz="6" w:space="0"/>
              <w:right w:val="single" w:color="auto" w:sz="6" w:space="0"/>
            </w:tcBorders>
            <w:tcW w:w="1156"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040"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1359" w:type="pct"/>
            <w:vAlign w:val="center"/>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c>
          <w:tcPr>
            <w:tcBorders>
              <w:top w:val="single" w:color="auto" w:sz="6" w:space="0"/>
              <w:left w:val="single" w:color="auto" w:sz="6" w:space="0"/>
              <w:bottom w:val="single" w:color="auto" w:sz="6" w:space="0"/>
              <w:right w:val="single" w:color="auto" w:sz="12" w:space="0"/>
            </w:tcBorders>
            <w:tcW w:w="723" w:type="pct"/>
            <w:textDirection w:val="lrTb"/>
            <w:noWrap w:val="false"/>
          </w:tcPr>
          <w:p>
            <w:pPr>
              <w:ind w:left="695"/>
              <w:jc w:val="left"/>
              <w:spacing w:line="340" w:lineRule="exact"/>
              <w:rPr>
                <w:rFonts w:ascii="仿宋" w:hAnsi="仿宋" w:eastAsia="仿宋" w:cs="仿宋"/>
                <w:sz w:val="24"/>
                <w:szCs w:val="24"/>
              </w:rPr>
            </w:pPr>
            <w:r>
              <w:rPr>
                <w:rFonts w:ascii="仿宋" w:hAnsi="仿宋" w:eastAsia="仿宋" w:cs="仿宋"/>
                <w:sz w:val="24"/>
                <w:szCs w:val="24"/>
              </w:rPr>
            </w:r>
            <w:r/>
          </w:p>
        </w:tc>
      </w:tr>
    </w:tbl>
    <w:p>
      <w:pPr>
        <w:contextualSpacing/>
        <w:ind w:left="695" w:firstLine="482"/>
        <w:spacing w:line="300" w:lineRule="auto"/>
        <w:rPr>
          <w:rFonts w:ascii="仿宋" w:hAnsi="仿宋" w:eastAsia="仿宋" w:cs="仿宋"/>
          <w:b/>
          <w:sz w:val="24"/>
          <w:szCs w:val="24"/>
        </w:rPr>
      </w:pPr>
      <w:r>
        <w:rPr>
          <w:rFonts w:hint="eastAsia" w:ascii="仿宋" w:hAnsi="仿宋" w:eastAsia="仿宋" w:cs="仿宋"/>
          <w:b/>
          <w:sz w:val="24"/>
          <w:szCs w:val="24"/>
        </w:rPr>
        <w:t xml:space="preserve">注：</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1.供应商提交的响应文件中与采购文件第三部分“项目需求”中的技术部分的要求，应逐条填列在偏离表中。完全响应可空白。</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2.“偏离说明”一栏选择“正偏离”、“无偏离”、“负偏离”进行填写。正偏离、无偏离的确认和负偏离的是否响应磋商文件，由磋商小组认定。</w:t>
      </w:r>
      <w:r/>
    </w:p>
    <w:p>
      <w:pPr>
        <w:contextualSpacing/>
        <w:ind w:left="695" w:firstLine="480"/>
        <w:spacing w:line="300" w:lineRule="auto"/>
        <w:rPr>
          <w:rFonts w:ascii="仿宋" w:hAnsi="仿宋" w:eastAsia="仿宋" w:cs="仿宋"/>
          <w:sz w:val="24"/>
          <w:szCs w:val="24"/>
        </w:rPr>
      </w:pPr>
      <w:r>
        <w:rPr>
          <w:rFonts w:hint="eastAsia" w:ascii="仿宋" w:hAnsi="仿宋" w:eastAsia="仿宋" w:cs="仿宋"/>
          <w:sz w:val="24"/>
          <w:szCs w:val="24"/>
        </w:rPr>
        <w:t xml:space="preserve">3.供应商若提供其他增值服务，可以在表中自行据实填写。</w:t>
      </w:r>
      <w:bookmarkEnd w:id="111"/>
      <w:r/>
      <w:r/>
    </w:p>
    <w:p>
      <w:pPr>
        <w:rPr>
          <w:rFonts w:ascii="仿宋" w:hAnsi="仿宋" w:eastAsia="仿宋" w:cs="仿宋"/>
          <w:sz w:val="30"/>
          <w:szCs w:val="30"/>
        </w:rPr>
        <w:outlineLvl w:val="1"/>
      </w:pPr>
      <w:r>
        <w:rPr>
          <w:rFonts w:hint="eastAsia" w:ascii="仿宋" w:hAnsi="仿宋" w:eastAsia="仿宋" w:cs="仿宋"/>
          <w:sz w:val="24"/>
          <w:szCs w:val="24"/>
        </w:rPr>
        <w:br w:type="page" w:clear="all"/>
      </w:r>
      <w:r>
        <w:rPr>
          <w:rFonts w:hint="eastAsia" w:ascii="仿宋" w:hAnsi="仿宋" w:eastAsia="仿宋" w:cs="仿宋"/>
          <w:sz w:val="30"/>
          <w:szCs w:val="30"/>
        </w:rPr>
        <w:t xml:space="preserve">附件</w:t>
      </w:r>
      <w:bookmarkStart w:id="112" w:name="_Toc20744274"/>
      <w:r/>
      <w:bookmarkStart w:id="113" w:name="_Toc20744811"/>
      <w:r>
        <w:rPr>
          <w:rFonts w:hint="eastAsia" w:ascii="仿宋" w:hAnsi="仿宋" w:eastAsia="仿宋" w:cs="仿宋"/>
          <w:sz w:val="30"/>
          <w:szCs w:val="30"/>
        </w:rPr>
        <w:t xml:space="preserve">10             </w:t>
      </w:r>
      <w:r/>
    </w:p>
    <w:p>
      <w:pPr>
        <w:jc w:val="center"/>
        <w:rPr>
          <w:rFonts w:ascii="仿宋" w:hAnsi="仿宋" w:eastAsia="仿宋" w:cs="仿宋"/>
          <w:b/>
          <w:sz w:val="28"/>
          <w:szCs w:val="28"/>
        </w:rPr>
        <w:outlineLvl w:val="1"/>
      </w:pPr>
      <w:r>
        <w:rPr>
          <w:rFonts w:hint="eastAsia" w:ascii="仿宋" w:hAnsi="仿宋" w:eastAsia="仿宋" w:cs="仿宋"/>
          <w:b/>
          <w:sz w:val="28"/>
          <w:szCs w:val="28"/>
        </w:rPr>
        <w:t xml:space="preserve">磋商响应文件报价表（第一次）</w:t>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项目名称：</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项目编号：                                      </w:t>
      </w:r>
      <w:r/>
    </w:p>
    <w:tbl>
      <w:tblPr>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3477"/>
        <w:gridCol w:w="2359"/>
        <w:gridCol w:w="2484"/>
      </w:tblGrid>
      <w:tr>
        <w:trPr>
          <w:jc w:val="center"/>
          <w:trHeight w:val="73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none" w:color="000000" w:sz="4" w:space="0"/>
              <w:bottom w:val="single" w:color="auto" w:sz="4" w:space="0"/>
              <w:right w:val="single" w:color="auto" w:sz="4" w:space="0"/>
            </w:tcBorders>
            <w:tcW w:w="3477"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Cs w:val="21"/>
              </w:rPr>
              <w:t xml:space="preserve">项目名称</w:t>
            </w:r>
            <w:r/>
          </w:p>
        </w:tc>
        <w:tc>
          <w:tcPr>
            <w:tcBorders>
              <w:top w:val="single" w:color="auto" w:sz="4" w:space="0"/>
              <w:left w:val="none" w:color="000000" w:sz="4" w:space="0"/>
              <w:bottom w:val="single" w:color="auto" w:sz="4" w:space="0"/>
              <w:right w:val="single" w:color="auto" w:sz="4" w:space="0"/>
            </w:tcBorders>
            <w:tcW w:w="2359" w:type="dxa"/>
            <w:vAlign w:val="center"/>
            <w:textDirection w:val="lrTb"/>
            <w:noWrap w:val="false"/>
          </w:tcPr>
          <w:p>
            <w:pPr>
              <w:ind w:firstLine="480"/>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响应报价</w:t>
            </w:r>
            <w:r/>
          </w:p>
          <w:p>
            <w:pPr>
              <w:ind w:firstLine="480"/>
              <w:jc w:val="center"/>
              <w:spacing w:line="400" w:lineRule="exact"/>
              <w:rPr>
                <w:rFonts w:ascii="仿宋" w:hAnsi="仿宋" w:eastAsia="仿宋" w:cs="仿宋"/>
                <w:szCs w:val="21"/>
              </w:rPr>
            </w:pPr>
            <w:r>
              <w:rPr>
                <w:rFonts w:hint="eastAsia" w:ascii="仿宋" w:hAnsi="仿宋" w:eastAsia="仿宋" w:cs="仿宋"/>
                <w:sz w:val="24"/>
                <w:szCs w:val="24"/>
              </w:rPr>
              <w:t xml:space="preserve">（元/年）</w:t>
            </w:r>
            <w:r/>
          </w:p>
        </w:tc>
        <w:tc>
          <w:tcPr>
            <w:tcBorders>
              <w:top w:val="single" w:color="auto" w:sz="4" w:space="0"/>
              <w:left w:val="none" w:color="000000" w:sz="4" w:space="0"/>
              <w:bottom w:val="single" w:color="auto" w:sz="4" w:space="0"/>
              <w:right w:val="single" w:color="auto" w:sz="4" w:space="0"/>
            </w:tcBorders>
            <w:tcW w:w="2484"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 w:val="24"/>
                <w:szCs w:val="24"/>
              </w:rPr>
              <w:t xml:space="preserve">最高限价（元/年）</w:t>
            </w:r>
            <w:r/>
          </w:p>
        </w:tc>
      </w:tr>
      <w:tr>
        <w:trPr>
          <w:jc w:val="center"/>
          <w:trHeight w:val="73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3477" w:type="dxa"/>
            <w:vAlign w:val="center"/>
            <w:textDirection w:val="lrTb"/>
            <w:noWrap w:val="false"/>
          </w:tcPr>
          <w:p>
            <w:pPr>
              <w:spacing w:line="4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359" w:type="dxa"/>
            <w:vAlign w:val="center"/>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484" w:type="dxa"/>
            <w:vAlign w:val="center"/>
            <w:textDirection w:val="lrTb"/>
            <w:noWrap w:val="false"/>
          </w:tcPr>
          <w:p>
            <w:pPr>
              <w:jc w:val="center"/>
              <w:spacing w:line="400" w:lineRule="exact"/>
              <w:rPr>
                <w:rFonts w:ascii="仿宋" w:hAnsi="仿宋" w:eastAsia="仿宋" w:cs="仿宋"/>
                <w:b/>
                <w:sz w:val="24"/>
                <w:szCs w:val="24"/>
              </w:rPr>
            </w:pPr>
            <w:r>
              <w:rPr>
                <w:rFonts w:hint="eastAsia" w:ascii="仿宋" w:hAnsi="仿宋" w:eastAsia="仿宋" w:cs="仿宋"/>
                <w:sz w:val="24"/>
                <w:szCs w:val="24"/>
              </w:rPr>
              <w:t xml:space="preserve">1700000.00元/年</w:t>
            </w:r>
            <w:r/>
          </w:p>
        </w:tc>
      </w:tr>
      <w:tr>
        <w:trPr>
          <w:jc w:val="center"/>
          <w:trHeight w:val="1047"/>
        </w:trPr>
        <w:tc>
          <w:tcPr>
            <w:gridSpan w:val="2"/>
            <w:tcBorders>
              <w:top w:val="single" w:color="auto" w:sz="4" w:space="0"/>
              <w:left w:val="single" w:color="auto" w:sz="4" w:space="0"/>
              <w:bottom w:val="single" w:color="auto" w:sz="4" w:space="0"/>
              <w:right w:val="single" w:color="auto" w:sz="4" w:space="0"/>
            </w:tcBorders>
            <w:tcW w:w="4337"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备           注</w:t>
            </w:r>
            <w:r/>
          </w:p>
        </w:tc>
        <w:tc>
          <w:tcPr>
            <w:gridSpan w:val="2"/>
            <w:tcBorders>
              <w:top w:val="single" w:color="auto" w:sz="4" w:space="0"/>
              <w:left w:val="none" w:color="000000" w:sz="4" w:space="0"/>
              <w:bottom w:val="single" w:color="auto" w:sz="4" w:space="0"/>
              <w:right w:val="single" w:color="auto" w:sz="4" w:space="0"/>
            </w:tcBorders>
            <w:tcW w:w="4843" w:type="dxa"/>
            <w:vAlign w:val="center"/>
            <w:textDirection w:val="lrTb"/>
            <w:noWrap w:val="false"/>
          </w:tcPr>
          <w:p>
            <w:pPr>
              <w:pStyle w:val="1052"/>
              <w:ind w:firstLine="0"/>
              <w:rPr>
                <w:rFonts w:ascii="仿宋" w:hAnsi="仿宋" w:eastAsia="仿宋" w:cs="仿宋"/>
                <w:sz w:val="24"/>
              </w:rPr>
            </w:pPr>
            <w:r>
              <w:rPr>
                <w:rFonts w:hint="eastAsia" w:ascii="仿宋" w:hAnsi="仿宋" w:eastAsia="仿宋" w:cs="仿宋"/>
                <w:bCs/>
                <w:sz w:val="24"/>
              </w:rPr>
              <w:t xml:space="preserve">响应供应商总价报价应包含但不限于本项目委托服务任务完成所需的一切费用。且均包含在本项目的投标报价中，一旦中标，不再额外支付本项目服务范围内的任何费用。</w:t>
            </w:r>
            <w:r/>
          </w:p>
        </w:tc>
      </w:tr>
    </w:tbl>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法定代表人或者授权代表（签字或盖章）：                    </w:t>
      </w:r>
      <w:r/>
    </w:p>
    <w:p>
      <w:pPr>
        <w:ind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磋商供应商全称（盖章）：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    年   月    日</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注：</w:t>
      </w:r>
      <w:r/>
    </w:p>
    <w:p>
      <w:pPr>
        <w:pStyle w:val="1010"/>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1、本表为样表，具体可以自行调整。</w:t>
      </w:r>
      <w:r/>
    </w:p>
    <w:p>
      <w:pPr>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2、响应报价保留小数点后两位。</w:t>
      </w:r>
      <w:r/>
    </w:p>
    <w:p>
      <w:pPr>
        <w:pStyle w:val="803"/>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3、响应单位的报价（人民币）按总价报价，报价（以人民币计价）应包含但不限于所有工作内容所需的员工工资、社保，岗位补贴、高温费、全年日常加班及节假日加班费、节日福利、奖金、劳保用品、各种材料消耗、设备折旧等费用及办公费、道路清扫保洁所有作业用水费、电费用、工会计提、经营管理费、税金、利润及其它费用等。同时还包括本次招标代理费在内的所有费用，即招标作业服务项目实施的所有费用以及包含响应竞争性磋商文件采购要求的所有费用。</w:t>
      </w:r>
      <w:r/>
    </w:p>
    <w:p>
      <w:pPr>
        <w:ind w:firstLine="2530"/>
        <w:spacing w:line="460" w:lineRule="exact"/>
        <w:rPr>
          <w:rFonts w:ascii="仿宋" w:hAnsi="仿宋" w:eastAsia="仿宋" w:cs="仿宋"/>
          <w:b/>
          <w:sz w:val="28"/>
          <w:szCs w:val="28"/>
        </w:rPr>
      </w:pPr>
      <w:r>
        <w:rPr>
          <w:rFonts w:ascii="仿宋" w:hAnsi="仿宋" w:eastAsia="仿宋" w:cs="仿宋"/>
          <w:b/>
          <w:sz w:val="28"/>
          <w:szCs w:val="28"/>
        </w:rPr>
      </w:r>
      <w:r/>
    </w:p>
    <w:p>
      <w:pPr>
        <w:ind w:firstLine="2530"/>
        <w:spacing w:line="460" w:lineRule="exact"/>
        <w:rPr>
          <w:rFonts w:ascii="仿宋" w:hAnsi="仿宋" w:eastAsia="仿宋" w:cs="仿宋"/>
          <w:b/>
          <w:sz w:val="28"/>
          <w:szCs w:val="28"/>
        </w:rPr>
      </w:pPr>
      <w:r>
        <w:rPr>
          <w:rFonts w:ascii="仿宋" w:hAnsi="仿宋" w:eastAsia="仿宋" w:cs="仿宋"/>
          <w:b/>
          <w:sz w:val="28"/>
          <w:szCs w:val="28"/>
        </w:rPr>
      </w:r>
      <w:r/>
    </w:p>
    <w:p>
      <w:pPr>
        <w:ind w:firstLine="2530"/>
        <w:spacing w:line="460" w:lineRule="exact"/>
        <w:rPr>
          <w:rFonts w:ascii="仿宋" w:hAnsi="仿宋" w:eastAsia="仿宋" w:cs="仿宋"/>
          <w:b/>
          <w:bCs/>
          <w:sz w:val="28"/>
          <w:szCs w:val="28"/>
        </w:rPr>
      </w:pPr>
      <w:r>
        <w:rPr>
          <w:rFonts w:ascii="仿宋" w:hAnsi="仿宋" w:eastAsia="仿宋" w:cs="仿宋"/>
          <w:b/>
          <w:sz w:val="28"/>
          <w:szCs w:val="28"/>
        </w:rPr>
      </w:r>
      <w:r>
        <w:rPr>
          <w:rFonts w:ascii="仿宋" w:hAnsi="仿宋" w:eastAsia="仿宋" w:cs="仿宋"/>
          <w:b/>
          <w:sz w:val="28"/>
          <w:szCs w:val="28"/>
        </w:rPr>
      </w:r>
      <w:r/>
    </w:p>
    <w:p>
      <w:pPr>
        <w:ind w:firstLine="2530"/>
        <w:spacing w:line="460" w:lineRule="exact"/>
        <w:rPr>
          <w:rFonts w:ascii="仿宋" w:hAnsi="仿宋" w:eastAsia="仿宋" w:cs="仿宋"/>
          <w:b/>
          <w:bCs/>
          <w:sz w:val="28"/>
          <w:szCs w:val="28"/>
        </w:rPr>
      </w:pPr>
      <w:r>
        <w:rPr>
          <w:rFonts w:ascii="仿宋" w:hAnsi="仿宋" w:eastAsia="仿宋" w:cs="仿宋"/>
          <w:b/>
          <w:bCs/>
          <w:sz w:val="28"/>
          <w:szCs w:val="28"/>
        </w:rPr>
      </w:r>
      <w:r>
        <w:rPr>
          <w:rFonts w:ascii="仿宋" w:hAnsi="仿宋" w:eastAsia="仿宋" w:cs="仿宋"/>
          <w:b/>
          <w:bCs/>
          <w:sz w:val="28"/>
          <w:szCs w:val="28"/>
        </w:rPr>
      </w:r>
      <w:r/>
    </w:p>
    <w:p>
      <w:pPr>
        <w:ind w:firstLine="2530"/>
        <w:spacing w:line="460" w:lineRule="exact"/>
        <w:rPr>
          <w:rFonts w:ascii="仿宋" w:hAnsi="仿宋" w:eastAsia="仿宋" w:cs="仿宋"/>
          <w:b/>
          <w:bCs/>
          <w:sz w:val="28"/>
          <w:szCs w:val="28"/>
        </w:rPr>
      </w:pPr>
      <w:r>
        <w:rPr>
          <w:rFonts w:ascii="仿宋" w:hAnsi="仿宋" w:eastAsia="仿宋" w:cs="仿宋"/>
          <w:b/>
          <w:sz w:val="28"/>
          <w:szCs w:val="28"/>
        </w:rPr>
      </w:r>
      <w:r/>
    </w:p>
    <w:p>
      <w:pPr>
        <w:ind w:firstLine="2530"/>
        <w:spacing w:line="460" w:lineRule="exact"/>
        <w:rPr>
          <w:rFonts w:ascii="仿宋" w:hAnsi="仿宋" w:eastAsia="仿宋" w:cs="仿宋"/>
          <w:b/>
          <w:sz w:val="28"/>
          <w:szCs w:val="28"/>
        </w:rPr>
      </w:pPr>
      <w:r>
        <w:rPr>
          <w:rFonts w:ascii="仿宋" w:hAnsi="仿宋" w:eastAsia="仿宋" w:cs="仿宋"/>
          <w:b/>
          <w:sz w:val="28"/>
          <w:szCs w:val="28"/>
        </w:rPr>
      </w:r>
      <w:r/>
    </w:p>
    <w:p>
      <w:pPr>
        <w:ind w:firstLine="2530"/>
        <w:spacing w:line="460" w:lineRule="exact"/>
        <w:rPr>
          <w:rFonts w:ascii="仿宋" w:hAnsi="仿宋" w:eastAsia="仿宋" w:cs="仿宋"/>
          <w:b/>
          <w:sz w:val="28"/>
          <w:szCs w:val="28"/>
        </w:rPr>
      </w:pPr>
      <w:r>
        <w:rPr>
          <w:rFonts w:ascii="仿宋" w:hAnsi="仿宋" w:eastAsia="仿宋" w:cs="仿宋"/>
          <w:b/>
          <w:sz w:val="28"/>
          <w:szCs w:val="28"/>
        </w:rPr>
      </w:r>
      <w:r/>
    </w:p>
    <w:p>
      <w:pPr>
        <w:jc w:val="left"/>
        <w:spacing w:line="460" w:lineRule="exact"/>
        <w:rPr>
          <w:rFonts w:ascii="仿宋" w:hAnsi="仿宋" w:eastAsia="仿宋" w:cs="仿宋"/>
          <w:b/>
          <w:sz w:val="28"/>
          <w:szCs w:val="28"/>
        </w:rPr>
      </w:pPr>
      <w:r>
        <w:rPr>
          <w:rFonts w:hint="eastAsia" w:ascii="仿宋" w:hAnsi="仿宋" w:eastAsia="仿宋" w:cs="仿宋"/>
          <w:sz w:val="30"/>
          <w:szCs w:val="30"/>
        </w:rPr>
        <w:t xml:space="preserve">附件11               </w:t>
      </w:r>
      <w:r>
        <w:rPr>
          <w:rFonts w:hint="eastAsia" w:ascii="仿宋" w:hAnsi="仿宋" w:eastAsia="仿宋" w:cs="仿宋"/>
          <w:b/>
          <w:sz w:val="28"/>
          <w:szCs w:val="28"/>
        </w:rPr>
        <w:t xml:space="preserve">分项报价明细表</w:t>
      </w:r>
      <w:r/>
    </w:p>
    <w:p>
      <w:pPr>
        <w:pStyle w:val="806"/>
        <w:rPr>
          <w:rFonts w:ascii="仿宋" w:hAnsi="仿宋" w:eastAsia="仿宋" w:cs="仿宋"/>
          <w:sz w:val="24"/>
          <w:szCs w:val="24"/>
        </w:rPr>
      </w:pPr>
      <w:r>
        <w:rPr>
          <w:rFonts w:hint="eastAsia" w:ascii="仿宋" w:hAnsi="仿宋" w:eastAsia="仿宋" w:cs="仿宋"/>
          <w:sz w:val="24"/>
          <w:szCs w:val="24"/>
        </w:rPr>
        <w:t xml:space="preserve">项目名称：</w:t>
      </w:r>
      <w:r/>
    </w:p>
    <w:p>
      <w:pPr>
        <w:pStyle w:val="806"/>
        <w:rPr>
          <w:rFonts w:ascii="仿宋" w:hAnsi="仿宋" w:eastAsia="仿宋" w:cs="仿宋"/>
        </w:rPr>
      </w:pPr>
      <w:r>
        <w:rPr>
          <w:rFonts w:hint="eastAsia" w:ascii="仿宋" w:hAnsi="仿宋" w:eastAsia="仿宋" w:cs="仿宋"/>
          <w:sz w:val="24"/>
          <w:szCs w:val="24"/>
        </w:rPr>
        <w:t xml:space="preserve">项目编号：</w:t>
      </w:r>
      <w:r/>
    </w:p>
    <w:p>
      <w:pPr>
        <w:pStyle w:val="806"/>
        <w:rPr>
          <w:rFonts w:ascii="仿宋" w:hAnsi="仿宋" w:eastAsia="仿宋" w:cs="仿宋"/>
        </w:rPr>
      </w:pPr>
      <w:r>
        <w:rPr>
          <w:rFonts w:ascii="仿宋" w:hAnsi="仿宋" w:eastAsia="仿宋" w:cs="仿宋"/>
        </w:rPr>
      </w:r>
      <w:r/>
    </w:p>
    <w:tbl>
      <w:tblPr>
        <w:tblW w:w="8310"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522"/>
        <w:gridCol w:w="2075"/>
        <w:gridCol w:w="2355"/>
        <w:gridCol w:w="2358"/>
      </w:tblGrid>
      <w:tr>
        <w:trPr>
          <w:jc w:val="center"/>
          <w:trHeight w:val="670"/>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响应报价（元/年）</w:t>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最高限价（元/年）</w:t>
            </w:r>
            <w:r/>
          </w:p>
        </w:tc>
      </w:tr>
      <w:tr>
        <w:trPr>
          <w:jc w:val="center"/>
          <w:trHeight w:val="615"/>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1</w:t>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olor w:val="000000"/>
              </w:rPr>
              <w:t xml:space="preserve">1700000.00元/年</w:t>
            </w:r>
            <w:r/>
          </w:p>
        </w:tc>
      </w:tr>
      <w:tr>
        <w:trPr>
          <w:jc w:val="center"/>
          <w:trHeight w:val="615"/>
        </w:trPr>
        <w:tc>
          <w:tcPr>
            <w:tcBorders>
              <w:top w:val="single" w:color="auto" w:sz="4" w:space="0"/>
              <w:left w:val="single" w:color="auto" w:sz="4" w:space="0"/>
              <w:bottom w:val="single" w:color="auto" w:sz="4" w:space="0"/>
              <w:right w:val="single" w:color="auto" w:sz="4" w:space="0"/>
            </w:tcBorders>
            <w:tcW w:w="1522"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r>
      <w:tr>
        <w:trPr>
          <w:jc w:val="center"/>
          <w:trHeight w:val="571"/>
        </w:trPr>
        <w:tc>
          <w:tcPr>
            <w:gridSpan w:val="2"/>
            <w:tcBorders>
              <w:top w:val="single" w:color="auto" w:sz="4" w:space="0"/>
              <w:left w:val="single" w:color="auto" w:sz="4" w:space="0"/>
              <w:bottom w:val="single" w:color="auto" w:sz="4" w:space="0"/>
              <w:right w:val="single" w:color="auto" w:sz="4" w:space="0"/>
            </w:tcBorders>
            <w:tcW w:w="3597" w:type="dxa"/>
            <w:vAlign w:val="center"/>
            <w:textDirection w:val="lrTb"/>
            <w:noWrap w:val="false"/>
          </w:tcPr>
          <w:p>
            <w:pPr>
              <w:jc w:val="center"/>
              <w:spacing w:line="400" w:lineRule="exact"/>
              <w:rPr>
                <w:rFonts w:ascii="仿宋" w:hAnsi="仿宋" w:eastAsia="仿宋" w:cs="仿宋"/>
                <w:sz w:val="24"/>
              </w:rPr>
            </w:pPr>
            <w:r>
              <w:rPr>
                <w:rFonts w:hint="eastAsia" w:ascii="仿宋" w:hAnsi="仿宋" w:eastAsia="仿宋" w:cs="仿宋"/>
                <w:sz w:val="24"/>
                <w:szCs w:val="24"/>
              </w:rPr>
              <w:t xml:space="preserve">总 计</w:t>
            </w:r>
            <w:r/>
          </w:p>
        </w:tc>
        <w:tc>
          <w:tcPr>
            <w:tcBorders>
              <w:top w:val="single" w:color="auto" w:sz="4" w:space="0"/>
              <w:left w:val="single" w:color="auto" w:sz="4" w:space="0"/>
              <w:bottom w:val="single" w:color="auto" w:sz="4" w:space="0"/>
              <w:right w:val="single" w:color="auto" w:sz="4" w:space="0"/>
            </w:tcBorders>
            <w:tcW w:w="2355"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2358" w:type="dxa"/>
            <w:vAlign w:val="center"/>
            <w:textDirection w:val="lrTb"/>
            <w:noWrap w:val="false"/>
          </w:tcPr>
          <w:p>
            <w:pPr>
              <w:jc w:val="center"/>
              <w:spacing w:line="400" w:lineRule="exact"/>
              <w:rPr>
                <w:rFonts w:ascii="仿宋" w:hAnsi="仿宋" w:eastAsia="仿宋" w:cs="仿宋"/>
                <w:sz w:val="24"/>
              </w:rPr>
            </w:pPr>
            <w:r>
              <w:rPr>
                <w:rFonts w:ascii="仿宋" w:hAnsi="仿宋" w:eastAsia="仿宋" w:cs="仿宋"/>
                <w:sz w:val="24"/>
              </w:rPr>
            </w:r>
            <w:r/>
          </w:p>
        </w:tc>
      </w:tr>
    </w:tbl>
    <w:p>
      <w:pPr>
        <w:pStyle w:val="806"/>
        <w:rPr>
          <w:rFonts w:ascii="仿宋" w:hAnsi="仿宋" w:eastAsia="仿宋" w:cs="仿宋"/>
        </w:rPr>
      </w:pPr>
      <w:r>
        <w:rPr>
          <w:rFonts w:ascii="仿宋" w:hAnsi="仿宋" w:eastAsia="仿宋" w:cs="仿宋"/>
        </w:rPr>
      </w:r>
      <w:r/>
    </w:p>
    <w:p>
      <w:pPr>
        <w:pStyle w:val="806"/>
        <w:rPr>
          <w:rFonts w:ascii="仿宋" w:hAnsi="仿宋" w:eastAsia="仿宋" w:cs="仿宋"/>
        </w:rPr>
      </w:pPr>
      <w:r>
        <w:rPr>
          <w:rFonts w:ascii="仿宋" w:hAnsi="仿宋" w:eastAsia="仿宋" w:cs="仿宋"/>
        </w:rPr>
      </w:r>
      <w:r/>
    </w:p>
    <w:p>
      <w:pPr>
        <w:ind w:firstLine="3960"/>
        <w:spacing w:line="400" w:lineRule="exact"/>
        <w:rPr>
          <w:rFonts w:ascii="仿宋" w:hAnsi="仿宋" w:eastAsia="仿宋" w:cs="仿宋"/>
          <w:sz w:val="24"/>
        </w:rPr>
      </w:pPr>
      <w:r>
        <w:rPr>
          <w:rFonts w:hint="eastAsia" w:ascii="仿宋" w:hAnsi="仿宋" w:eastAsia="仿宋" w:cs="仿宋"/>
          <w:sz w:val="24"/>
        </w:rPr>
        <w:t xml:space="preserve">响应供应商公章：</w:t>
      </w:r>
      <w:r/>
    </w:p>
    <w:p>
      <w:pPr>
        <w:ind w:firstLine="3960"/>
        <w:spacing w:line="400" w:lineRule="exact"/>
        <w:rPr>
          <w:rFonts w:ascii="仿宋" w:hAnsi="仿宋" w:eastAsia="仿宋" w:cs="仿宋"/>
          <w:sz w:val="24"/>
        </w:rPr>
      </w:pPr>
      <w:r>
        <w:rPr>
          <w:rFonts w:ascii="仿宋" w:hAnsi="仿宋" w:eastAsia="仿宋" w:cs="仿宋"/>
          <w:sz w:val="24"/>
        </w:rPr>
      </w:r>
      <w:r/>
    </w:p>
    <w:p>
      <w:pPr>
        <w:ind w:firstLine="3960"/>
        <w:spacing w:line="400" w:lineRule="exact"/>
        <w:rPr>
          <w:rFonts w:ascii="仿宋" w:hAnsi="仿宋" w:eastAsia="仿宋" w:cs="仿宋"/>
          <w:sz w:val="24"/>
        </w:rPr>
      </w:pPr>
      <w:r>
        <w:rPr>
          <w:rFonts w:hint="eastAsia" w:ascii="仿宋" w:hAnsi="仿宋" w:eastAsia="仿宋" w:cs="仿宋"/>
          <w:sz w:val="24"/>
        </w:rPr>
        <w:t xml:space="preserve">法定代表人或被授权人（签字或盖章）：</w:t>
      </w:r>
      <w:r/>
    </w:p>
    <w:p>
      <w:pPr>
        <w:ind w:firstLine="3960"/>
        <w:spacing w:line="400" w:lineRule="exact"/>
        <w:rPr>
          <w:rFonts w:ascii="仿宋" w:hAnsi="仿宋" w:eastAsia="仿宋" w:cs="仿宋"/>
          <w:sz w:val="24"/>
        </w:rPr>
      </w:pPr>
      <w:r>
        <w:rPr>
          <w:rFonts w:ascii="仿宋" w:hAnsi="仿宋" w:eastAsia="仿宋" w:cs="仿宋"/>
          <w:sz w:val="24"/>
        </w:rPr>
      </w:r>
      <w:r/>
    </w:p>
    <w:p>
      <w:pPr>
        <w:ind w:firstLine="3960"/>
        <w:spacing w:line="400" w:lineRule="exact"/>
        <w:rPr>
          <w:rFonts w:ascii="仿宋" w:hAnsi="仿宋" w:eastAsia="仿宋" w:cs="仿宋"/>
          <w:b/>
          <w:sz w:val="28"/>
          <w:szCs w:val="28"/>
        </w:rPr>
      </w:pPr>
      <w:r>
        <w:rPr>
          <w:rFonts w:hint="eastAsia" w:ascii="仿宋" w:hAnsi="仿宋" w:eastAsia="仿宋" w:cs="仿宋"/>
          <w:sz w:val="24"/>
        </w:rPr>
        <w:t xml:space="preserve">日期：</w:t>
      </w:r>
      <w:r/>
    </w:p>
    <w:p>
      <w:pPr>
        <w:ind w:firstLine="482"/>
        <w:spacing w:line="400" w:lineRule="exact"/>
        <w:rPr>
          <w:rFonts w:ascii="仿宋" w:hAnsi="仿宋" w:eastAsia="仿宋" w:cs="仿宋"/>
          <w:bCs/>
          <w:sz w:val="24"/>
        </w:rPr>
      </w:pPr>
      <w:r>
        <w:rPr>
          <w:rFonts w:hint="eastAsia" w:ascii="仿宋" w:hAnsi="仿宋" w:eastAsia="仿宋" w:cs="仿宋"/>
          <w:b/>
          <w:bCs/>
          <w:sz w:val="24"/>
        </w:rPr>
        <w:t xml:space="preserve">注：</w:t>
      </w:r>
      <w:r>
        <w:rPr>
          <w:rFonts w:hint="eastAsia" w:ascii="仿宋" w:hAnsi="仿宋" w:eastAsia="仿宋" w:cs="仿宋"/>
          <w:sz w:val="24"/>
        </w:rPr>
        <w:t xml:space="preserve">（1）如</w:t>
      </w:r>
      <w:r>
        <w:rPr>
          <w:rFonts w:hint="eastAsia" w:ascii="仿宋" w:hAnsi="仿宋" w:eastAsia="仿宋" w:cs="仿宋"/>
          <w:bCs/>
          <w:sz w:val="24"/>
        </w:rPr>
        <w:t xml:space="preserve">果不提供详细分项报价将视为未实质性响应招标文件要求。</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（2）磋商响应文件报价表（第一次）中的投标总报价应与分项报价明细表中的投标总报价一致，如不一致，不作为无效投标处理，但第一次的报价评标时按磋商响应文件报价表（第一次）中价格为准。</w:t>
      </w:r>
      <w:r/>
    </w:p>
    <w:p>
      <w:pPr>
        <w:ind w:firstLine="240"/>
        <w:jc w:val="left"/>
        <w:spacing w:line="400" w:lineRule="exact"/>
        <w:rPr>
          <w:rFonts w:ascii="仿宋" w:hAnsi="仿宋" w:eastAsia="仿宋" w:cs="仿宋"/>
          <w:sz w:val="24"/>
        </w:rPr>
      </w:pPr>
      <w:r>
        <w:rPr>
          <w:rFonts w:hint="eastAsia" w:ascii="仿宋" w:hAnsi="仿宋" w:eastAsia="仿宋" w:cs="仿宋"/>
          <w:sz w:val="24"/>
        </w:rPr>
        <w:t xml:space="preserve">（3）报价小数点后保留后两位。</w:t>
      </w:r>
      <w:r/>
    </w:p>
    <w:p>
      <w:pPr>
        <w:ind w:firstLine="240"/>
        <w:jc w:val="left"/>
        <w:spacing w:line="400" w:lineRule="exact"/>
        <w:rPr>
          <w:rFonts w:ascii="仿宋" w:hAnsi="仿宋" w:eastAsia="仿宋" w:cs="仿宋"/>
        </w:rPr>
      </w:pPr>
      <w:r>
        <w:rPr>
          <w:rFonts w:hint="eastAsia" w:ascii="仿宋" w:hAnsi="仿宋" w:eastAsia="仿宋" w:cs="仿宋"/>
          <w:sz w:val="24"/>
        </w:rPr>
        <w:t xml:space="preserve">（4）各响应供应商投标文件拟派人员保持前后一致，否则经磋商小组核实后不一致，作无效响应处理。</w:t>
      </w:r>
      <w:r/>
    </w:p>
    <w:p>
      <w:pPr>
        <w:ind w:left="695" w:firstLine="480"/>
        <w:rPr>
          <w:rFonts w:ascii="仿宋" w:hAnsi="仿宋" w:eastAsia="仿宋" w:cs="仿宋"/>
          <w:sz w:val="36"/>
          <w:szCs w:val="36"/>
        </w:rPr>
      </w:pPr>
      <w:r>
        <w:rPr>
          <w:rFonts w:hint="eastAsia" w:ascii="仿宋" w:hAnsi="仿宋" w:eastAsia="仿宋" w:cs="仿宋"/>
          <w:sz w:val="24"/>
          <w:szCs w:val="24"/>
        </w:rPr>
        <w:br w:type="page" w:clear="all"/>
      </w:r>
      <w:r/>
    </w:p>
    <w:p>
      <w:pPr>
        <w:spacing w:line="440" w:lineRule="exact"/>
        <w:rPr>
          <w:rFonts w:ascii="仿宋" w:hAnsi="仿宋" w:eastAsia="仿宋" w:cs="仿宋"/>
          <w:b/>
          <w:sz w:val="28"/>
          <w:szCs w:val="28"/>
        </w:rPr>
      </w:pPr>
      <w:r>
        <w:rPr>
          <w:rFonts w:hint="eastAsia" w:ascii="仿宋" w:hAnsi="仿宋" w:eastAsia="仿宋" w:cs="仿宋"/>
          <w:sz w:val="36"/>
          <w:szCs w:val="36"/>
        </w:rPr>
        <w:t xml:space="preserve">附件12</w:t>
      </w:r>
      <w:r>
        <w:rPr>
          <w:rFonts w:hint="eastAsia" w:ascii="仿宋" w:hAnsi="仿宋" w:eastAsia="仿宋" w:cs="仿宋"/>
          <w:b/>
          <w:sz w:val="28"/>
          <w:szCs w:val="28"/>
        </w:rPr>
        <w:t xml:space="preserve">磋商响应文件报价表（最终）</w:t>
      </w:r>
      <w:r/>
    </w:p>
    <w:p>
      <w:pPr>
        <w:rPr>
          <w:rFonts w:ascii="仿宋" w:hAnsi="仿宋" w:eastAsia="仿宋" w:cs="仿宋"/>
          <w:b/>
          <w:sz w:val="28"/>
          <w:szCs w:val="28"/>
        </w:rPr>
        <w:outlineLvl w:val="1"/>
      </w:pPr>
      <w:r>
        <w:rPr>
          <w:rFonts w:ascii="仿宋" w:hAnsi="仿宋" w:eastAsia="仿宋" w:cs="仿宋"/>
          <w:b/>
          <w:sz w:val="28"/>
          <w:szCs w:val="28"/>
        </w:rPr>
      </w:r>
      <w:r/>
    </w:p>
    <w:p>
      <w:pPr>
        <w:ind w:firstLine="480"/>
        <w:spacing w:line="460" w:lineRule="exact"/>
        <w:rPr>
          <w:rFonts w:ascii="仿宋" w:hAnsi="仿宋" w:eastAsia="仿宋" w:cs="仿宋"/>
          <w:sz w:val="24"/>
          <w:szCs w:val="24"/>
        </w:rPr>
      </w:pPr>
      <w:r>
        <w:rPr>
          <w:rFonts w:hint="eastAsia" w:ascii="仿宋" w:hAnsi="仿宋" w:eastAsia="仿宋" w:cs="仿宋"/>
          <w:sz w:val="24"/>
          <w:szCs w:val="24"/>
        </w:rPr>
        <w:t xml:space="preserve">项目名称：</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项目编号：                                      </w:t>
      </w:r>
      <w:r/>
    </w:p>
    <w:tbl>
      <w:tblPr>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3477"/>
        <w:gridCol w:w="2359"/>
        <w:gridCol w:w="2484"/>
      </w:tblGrid>
      <w:tr>
        <w:trPr>
          <w:jc w:val="center"/>
          <w:trHeight w:val="73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Cs w:val="21"/>
              </w:rPr>
              <w:t xml:space="preserve">序号</w:t>
            </w:r>
            <w:r/>
          </w:p>
        </w:tc>
        <w:tc>
          <w:tcPr>
            <w:tcBorders>
              <w:top w:val="single" w:color="auto" w:sz="4" w:space="0"/>
              <w:left w:val="none" w:color="000000" w:sz="4" w:space="0"/>
              <w:bottom w:val="single" w:color="auto" w:sz="4" w:space="0"/>
              <w:right w:val="single" w:color="auto" w:sz="4" w:space="0"/>
            </w:tcBorders>
            <w:tcW w:w="3477"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Cs w:val="21"/>
              </w:rPr>
              <w:t xml:space="preserve">项目名称</w:t>
            </w:r>
            <w:r/>
          </w:p>
        </w:tc>
        <w:tc>
          <w:tcPr>
            <w:tcBorders>
              <w:top w:val="single" w:color="auto" w:sz="4" w:space="0"/>
              <w:left w:val="none" w:color="000000" w:sz="4" w:space="0"/>
              <w:bottom w:val="single" w:color="auto" w:sz="4" w:space="0"/>
              <w:right w:val="single" w:color="auto" w:sz="4" w:space="0"/>
            </w:tcBorders>
            <w:tcW w:w="2359" w:type="dxa"/>
            <w:vAlign w:val="center"/>
            <w:textDirection w:val="lrTb"/>
            <w:noWrap w:val="false"/>
          </w:tcPr>
          <w:p>
            <w:pPr>
              <w:ind w:firstLine="480"/>
              <w:jc w:val="center"/>
              <w:spacing w:line="400" w:lineRule="exact"/>
              <w:rPr>
                <w:rFonts w:ascii="仿宋" w:hAnsi="仿宋" w:eastAsia="仿宋" w:cs="仿宋"/>
                <w:sz w:val="24"/>
                <w:szCs w:val="24"/>
              </w:rPr>
            </w:pPr>
            <w:r>
              <w:rPr>
                <w:rFonts w:hint="eastAsia" w:ascii="仿宋" w:hAnsi="仿宋" w:eastAsia="仿宋" w:cs="仿宋"/>
                <w:sz w:val="24"/>
                <w:szCs w:val="24"/>
              </w:rPr>
              <w:t xml:space="preserve">响应报价</w:t>
            </w:r>
            <w:r/>
          </w:p>
          <w:p>
            <w:pPr>
              <w:ind w:firstLine="480"/>
              <w:jc w:val="center"/>
              <w:spacing w:line="400" w:lineRule="exact"/>
              <w:rPr>
                <w:rFonts w:ascii="仿宋" w:hAnsi="仿宋" w:eastAsia="仿宋" w:cs="仿宋"/>
                <w:szCs w:val="21"/>
              </w:rPr>
            </w:pPr>
            <w:r>
              <w:rPr>
                <w:rFonts w:hint="eastAsia" w:ascii="仿宋" w:hAnsi="仿宋" w:eastAsia="仿宋" w:cs="仿宋"/>
                <w:sz w:val="24"/>
                <w:szCs w:val="24"/>
              </w:rPr>
              <w:t xml:space="preserve">（元/年）</w:t>
            </w:r>
            <w:r/>
          </w:p>
        </w:tc>
        <w:tc>
          <w:tcPr>
            <w:tcBorders>
              <w:top w:val="single" w:color="auto" w:sz="4" w:space="0"/>
              <w:left w:val="none" w:color="000000" w:sz="4" w:space="0"/>
              <w:bottom w:val="single" w:color="auto" w:sz="4" w:space="0"/>
              <w:right w:val="single" w:color="auto" w:sz="4" w:space="0"/>
            </w:tcBorders>
            <w:tcW w:w="2484" w:type="dxa"/>
            <w:vAlign w:val="center"/>
            <w:textDirection w:val="lrTb"/>
            <w:noWrap w:val="false"/>
          </w:tcPr>
          <w:p>
            <w:pPr>
              <w:jc w:val="center"/>
              <w:spacing w:line="400" w:lineRule="exact"/>
              <w:rPr>
                <w:rFonts w:ascii="仿宋" w:hAnsi="仿宋" w:eastAsia="仿宋" w:cs="仿宋"/>
                <w:szCs w:val="21"/>
              </w:rPr>
            </w:pPr>
            <w:r>
              <w:rPr>
                <w:rFonts w:hint="eastAsia" w:ascii="仿宋" w:hAnsi="仿宋" w:eastAsia="仿宋" w:cs="仿宋"/>
                <w:sz w:val="24"/>
                <w:szCs w:val="24"/>
              </w:rPr>
              <w:t xml:space="preserve">最高限价（元/年）</w:t>
            </w:r>
            <w:r/>
          </w:p>
        </w:tc>
      </w:tr>
      <w:tr>
        <w:trPr>
          <w:jc w:val="center"/>
          <w:trHeight w:val="732"/>
        </w:trPr>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400" w:lineRule="exact"/>
              <w:rPr>
                <w:rFonts w:ascii="仿宋" w:hAnsi="仿宋" w:eastAsia="仿宋" w:cs="仿宋"/>
                <w:sz w:val="24"/>
                <w:szCs w:val="24"/>
              </w:rPr>
            </w:pPr>
            <w:r>
              <w:rPr>
                <w:rFonts w:hint="eastAsia" w:ascii="仿宋" w:hAnsi="仿宋" w:eastAsia="仿宋" w:cs="仿宋"/>
                <w:sz w:val="24"/>
                <w:szCs w:val="24"/>
              </w:rPr>
              <w:t xml:space="preserve">1</w:t>
            </w:r>
            <w:r/>
          </w:p>
        </w:tc>
        <w:tc>
          <w:tcPr>
            <w:tcBorders>
              <w:top w:val="single" w:color="auto" w:sz="4" w:space="0"/>
              <w:left w:val="none" w:color="000000" w:sz="4" w:space="0"/>
              <w:bottom w:val="single" w:color="auto" w:sz="4" w:space="0"/>
              <w:right w:val="single" w:color="auto" w:sz="4" w:space="0"/>
            </w:tcBorders>
            <w:tcW w:w="3477" w:type="dxa"/>
            <w:vAlign w:val="center"/>
            <w:textDirection w:val="lrTb"/>
            <w:noWrap w:val="false"/>
          </w:tcPr>
          <w:p>
            <w:pPr>
              <w:spacing w:line="4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359" w:type="dxa"/>
            <w:vAlign w:val="center"/>
            <w:textDirection w:val="lrTb"/>
            <w:noWrap w:val="false"/>
          </w:tcPr>
          <w:p>
            <w:pPr>
              <w:jc w:val="center"/>
              <w:spacing w:line="400" w:lineRule="exact"/>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2484" w:type="dxa"/>
            <w:vAlign w:val="center"/>
            <w:textDirection w:val="lrTb"/>
            <w:noWrap w:val="false"/>
          </w:tcPr>
          <w:p>
            <w:pPr>
              <w:jc w:val="center"/>
              <w:spacing w:line="400" w:lineRule="exact"/>
              <w:rPr>
                <w:rFonts w:ascii="仿宋" w:hAnsi="仿宋" w:eastAsia="仿宋" w:cs="仿宋"/>
                <w:b/>
                <w:sz w:val="24"/>
                <w:szCs w:val="24"/>
              </w:rPr>
            </w:pPr>
            <w:r>
              <w:rPr>
                <w:rFonts w:hint="eastAsia" w:ascii="仿宋" w:hAnsi="仿宋" w:eastAsia="仿宋" w:cs="仿宋"/>
                <w:sz w:val="24"/>
                <w:szCs w:val="24"/>
              </w:rPr>
              <w:t xml:space="preserve">1700000.00元/年</w:t>
            </w:r>
            <w:r/>
          </w:p>
        </w:tc>
      </w:tr>
      <w:tr>
        <w:trPr>
          <w:jc w:val="center"/>
          <w:trHeight w:val="1047"/>
        </w:trPr>
        <w:tc>
          <w:tcPr>
            <w:gridSpan w:val="2"/>
            <w:tcBorders>
              <w:top w:val="single" w:color="auto" w:sz="4" w:space="0"/>
              <w:left w:val="single" w:color="auto" w:sz="4" w:space="0"/>
              <w:bottom w:val="single" w:color="auto" w:sz="4" w:space="0"/>
              <w:right w:val="single" w:color="auto" w:sz="4" w:space="0"/>
            </w:tcBorders>
            <w:tcW w:w="4337" w:type="dxa"/>
            <w:vAlign w:val="center"/>
            <w:textDirection w:val="lrTb"/>
            <w:noWrap w:val="false"/>
          </w:tcPr>
          <w:p>
            <w:pPr>
              <w:rPr>
                <w:rFonts w:ascii="仿宋" w:hAnsi="仿宋" w:eastAsia="仿宋" w:cs="仿宋"/>
                <w:sz w:val="24"/>
                <w:szCs w:val="24"/>
              </w:rPr>
            </w:pPr>
            <w:r>
              <w:rPr>
                <w:rFonts w:hint="eastAsia" w:ascii="仿宋" w:hAnsi="仿宋" w:eastAsia="仿宋" w:cs="仿宋"/>
                <w:sz w:val="24"/>
                <w:szCs w:val="24"/>
              </w:rPr>
              <w:t xml:space="preserve">备           注</w:t>
            </w:r>
            <w:r/>
          </w:p>
        </w:tc>
        <w:tc>
          <w:tcPr>
            <w:gridSpan w:val="2"/>
            <w:tcBorders>
              <w:top w:val="single" w:color="auto" w:sz="4" w:space="0"/>
              <w:left w:val="none" w:color="000000" w:sz="4" w:space="0"/>
              <w:bottom w:val="single" w:color="auto" w:sz="4" w:space="0"/>
              <w:right w:val="single" w:color="auto" w:sz="4" w:space="0"/>
            </w:tcBorders>
            <w:tcW w:w="4843" w:type="dxa"/>
            <w:vAlign w:val="center"/>
            <w:textDirection w:val="lrTb"/>
            <w:noWrap w:val="false"/>
          </w:tcPr>
          <w:p>
            <w:pPr>
              <w:pStyle w:val="1052"/>
              <w:ind w:firstLine="0"/>
              <w:rPr>
                <w:rFonts w:ascii="仿宋" w:hAnsi="仿宋" w:eastAsia="仿宋" w:cs="仿宋"/>
                <w:sz w:val="24"/>
              </w:rPr>
            </w:pPr>
            <w:r>
              <w:rPr>
                <w:rFonts w:hint="eastAsia" w:ascii="仿宋" w:hAnsi="仿宋" w:eastAsia="仿宋" w:cs="仿宋"/>
                <w:bCs/>
                <w:sz w:val="24"/>
              </w:rPr>
              <w:t xml:space="preserve">响应供应商总价报价应包含但不限于本项目委托服务任务完成所需的一切费用。且均包含在本项目的投标报价中，一旦中标，不再额外支付本项目服务范围内的任何费用。</w:t>
            </w:r>
            <w:r/>
          </w:p>
        </w:tc>
      </w:tr>
    </w:tbl>
    <w:p>
      <w:pPr>
        <w:ind w:firstLine="480"/>
        <w:jc w:val="right"/>
        <w:spacing w:line="360" w:lineRule="auto"/>
        <w:rPr>
          <w:rFonts w:ascii="仿宋" w:hAnsi="仿宋" w:eastAsia="仿宋" w:cs="仿宋"/>
          <w:sz w:val="24"/>
          <w:szCs w:val="24"/>
        </w:rPr>
      </w:pPr>
      <w:r>
        <w:rPr>
          <w:rFonts w:hint="eastAsia" w:ascii="仿宋" w:hAnsi="仿宋" w:eastAsia="仿宋" w:cs="仿宋"/>
          <w:sz w:val="24"/>
          <w:szCs w:val="24"/>
        </w:rPr>
        <w:t xml:space="preserve">法定代表人或者授权代表（签字或盖章）：                    </w:t>
      </w:r>
      <w:r/>
    </w:p>
    <w:p>
      <w:pPr>
        <w:ind w:firstLine="480"/>
        <w:jc w:val="right"/>
        <w:spacing w:line="360" w:lineRule="auto"/>
        <w:rPr>
          <w:rFonts w:ascii="仿宋" w:hAnsi="仿宋" w:eastAsia="仿宋" w:cs="仿宋"/>
          <w:sz w:val="24"/>
          <w:szCs w:val="24"/>
          <w:u w:val="single"/>
        </w:rPr>
      </w:pPr>
      <w:r>
        <w:rPr>
          <w:rFonts w:hint="eastAsia" w:ascii="仿宋" w:hAnsi="仿宋" w:eastAsia="仿宋" w:cs="仿宋"/>
          <w:sz w:val="24"/>
          <w:szCs w:val="24"/>
        </w:rPr>
        <w:t xml:space="preserve">磋商供应商全称（盖章）：</w:t>
      </w:r>
      <w:r/>
    </w:p>
    <w:p>
      <w:pPr>
        <w:ind w:firstLine="480"/>
        <w:jc w:val="right"/>
        <w:spacing w:line="360" w:lineRule="auto"/>
        <w:rPr>
          <w:rFonts w:ascii="仿宋" w:hAnsi="仿宋" w:eastAsia="仿宋" w:cs="仿宋"/>
          <w:sz w:val="24"/>
          <w:szCs w:val="24"/>
        </w:rPr>
      </w:pPr>
      <w:r>
        <w:rPr>
          <w:rFonts w:hint="eastAsia" w:ascii="仿宋" w:hAnsi="仿宋" w:eastAsia="仿宋" w:cs="仿宋"/>
          <w:sz w:val="24"/>
          <w:szCs w:val="24"/>
        </w:rPr>
        <w:t xml:space="preserve">日期：    年   月    日</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注：</w:t>
      </w:r>
      <w:r/>
    </w:p>
    <w:p>
      <w:pPr>
        <w:pStyle w:val="1010"/>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1、本表为样表，具体可以自行调整。</w:t>
      </w:r>
      <w:r/>
    </w:p>
    <w:p>
      <w:pPr>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2、响应报价保留小数点后两位。</w:t>
      </w:r>
      <w:r/>
    </w:p>
    <w:p>
      <w:pPr>
        <w:pStyle w:val="803"/>
        <w:ind w:firstLine="482"/>
        <w:spacing w:line="380" w:lineRule="exact"/>
        <w:rPr>
          <w:rFonts w:ascii="仿宋" w:hAnsi="仿宋" w:eastAsia="仿宋" w:cs="仿宋"/>
          <w:b/>
          <w:sz w:val="24"/>
          <w:szCs w:val="24"/>
        </w:rPr>
      </w:pPr>
      <w:r>
        <w:rPr>
          <w:rFonts w:hint="eastAsia" w:ascii="仿宋" w:hAnsi="仿宋" w:eastAsia="仿宋" w:cs="仿宋"/>
          <w:b/>
          <w:sz w:val="24"/>
          <w:szCs w:val="24"/>
        </w:rPr>
        <w:t xml:space="preserve">3、响应单位的报价（人民币）按总价报价，报价（以人民币计价）应包含但不限于所有工作内容所需的员工工资、社保，岗位补贴、高温费、全年日常加班及节假日加班费、节日福利、奖金、劳保用品、各种材料消耗、设备折旧等费用及办公费、道路清扫保洁所有作业用水费、电费用、工会计提、经营管理费、税金、利润及其它费用等。同时还包括本次招标代理费在内的所有费用，即招标作业服务项目实施的所有费用以及包含响应竞争性磋商文件采购要求的所有费用。</w:t>
      </w:r>
      <w:r/>
    </w:p>
    <w:p>
      <w:pPr>
        <w:ind w:firstLine="241"/>
        <w:spacing w:line="420" w:lineRule="exact"/>
        <w:rPr>
          <w:rFonts w:ascii="仿宋" w:hAnsi="仿宋" w:eastAsia="仿宋" w:cs="仿宋"/>
          <w:b/>
          <w:sz w:val="24"/>
          <w:szCs w:val="24"/>
        </w:rPr>
      </w:pPr>
      <w:r>
        <w:rPr>
          <w:rFonts w:hint="eastAsia" w:ascii="仿宋" w:hAnsi="仿宋" w:eastAsia="仿宋" w:cs="仿宋"/>
          <w:b/>
          <w:sz w:val="24"/>
          <w:szCs w:val="24"/>
        </w:rPr>
        <w:t xml:space="preserve">3、最终报价不得高于前一次报价。</w:t>
      </w:r>
      <w:r/>
    </w:p>
    <w:p>
      <w:pPr>
        <w:ind w:firstLine="241"/>
        <w:spacing w:line="420" w:lineRule="exact"/>
        <w:rPr>
          <w:rFonts w:ascii="仿宋" w:hAnsi="仿宋" w:eastAsia="仿宋" w:cs="仿宋"/>
          <w:b/>
          <w:sz w:val="24"/>
          <w:szCs w:val="24"/>
        </w:rPr>
      </w:pPr>
      <w:r>
        <w:rPr>
          <w:rFonts w:hint="eastAsia" w:ascii="仿宋" w:hAnsi="仿宋" w:eastAsia="仿宋" w:cs="仿宋"/>
          <w:b/>
          <w:sz w:val="24"/>
          <w:szCs w:val="24"/>
        </w:rPr>
        <w:t xml:space="preserve">4、友情提醒：商务技术部分评审结束后进入最后报价环节，最后报价将作为评审价。系统发送最后报价填报通知后，所有的响应供应商须在15分钟内填写并提交最后报价，未在规定时间内提交最后报价的，经磋商委员会核实后，报价标做无效响应处理。</w:t>
      </w:r>
      <w:r/>
    </w:p>
    <w:p>
      <w:pPr>
        <w:ind w:firstLine="241"/>
        <w:spacing w:line="420" w:lineRule="exact"/>
        <w:rPr>
          <w:rFonts w:ascii="仿宋" w:hAnsi="仿宋" w:eastAsia="仿宋" w:cs="仿宋"/>
          <w:b/>
          <w:sz w:val="24"/>
          <w:szCs w:val="24"/>
        </w:rPr>
      </w:pPr>
      <w:r>
        <w:rPr>
          <w:rFonts w:hint="eastAsia" w:ascii="仿宋" w:hAnsi="仿宋" w:eastAsia="仿宋" w:cs="仿宋"/>
          <w:b/>
          <w:sz w:val="24"/>
          <w:szCs w:val="24"/>
        </w:rPr>
        <w:t xml:space="preserve">5、此表为响应供应商中标后需提交的纸质最终报价表，金额请与系统内提交的最终报价一致。</w:t>
      </w:r>
      <w:r/>
    </w:p>
    <w:p>
      <w:pPr>
        <w:pStyle w:val="804"/>
        <w:ind w:firstLine="241"/>
        <w:rPr>
          <w:rFonts w:ascii="仿宋" w:hAnsi="仿宋" w:eastAsia="仿宋" w:cs="仿宋"/>
          <w:b/>
          <w:sz w:val="24"/>
          <w:szCs w:val="24"/>
        </w:rPr>
      </w:pPr>
      <w:r>
        <w:rPr>
          <w:rFonts w:hint="eastAsia" w:ascii="仿宋" w:hAnsi="仿宋" w:eastAsia="仿宋" w:cs="仿宋"/>
          <w:b/>
          <w:sz w:val="24"/>
          <w:szCs w:val="24"/>
        </w:rPr>
        <w:t xml:space="preserve">6、分项报价明细表的最终各保洁人员的工资金额以磋商响应文件报价表（第一次）总价报价的金额和最终总价报价金额同比率下浮后核算的金额为准。</w:t>
      </w:r>
      <w:r>
        <w:rPr>
          <w:rFonts w:hint="eastAsia" w:ascii="仿宋" w:hAnsi="仿宋" w:eastAsia="仿宋" w:cs="仿宋"/>
          <w:b/>
          <w:sz w:val="24"/>
          <w:szCs w:val="24"/>
        </w:rPr>
        <w:br w:type="page" w:clear="all"/>
      </w:r>
      <w:r>
        <w:rPr>
          <w:rFonts w:ascii="仿宋" w:hAnsi="仿宋" w:eastAsia="仿宋" w:cs="仿宋"/>
          <w:b/>
          <w:sz w:val="24"/>
          <w:szCs w:val="24"/>
        </w:rPr>
      </w:r>
      <w:r/>
    </w:p>
    <w:p>
      <w:pPr>
        <w:spacing w:line="460" w:lineRule="exact"/>
        <w:rPr>
          <w:rFonts w:ascii="仿宋" w:hAnsi="仿宋" w:eastAsia="仿宋" w:cs="仿宋"/>
          <w:bCs/>
          <w:sz w:val="40"/>
          <w:szCs w:val="40"/>
        </w:rPr>
      </w:pPr>
      <w:r>
        <w:rPr>
          <w:rFonts w:hint="eastAsia" w:ascii="仿宋" w:hAnsi="仿宋" w:eastAsia="仿宋" w:cs="仿宋"/>
          <w:bCs/>
          <w:sz w:val="40"/>
          <w:szCs w:val="40"/>
        </w:rPr>
        <w:t xml:space="preserve">质疑函范本</w:t>
      </w:r>
      <w:r/>
    </w:p>
    <w:p>
      <w:pPr>
        <w:ind w:left="695" w:firstLine="560"/>
        <w:spacing w:line="460" w:lineRule="exact"/>
        <w:rPr>
          <w:rFonts w:ascii="仿宋" w:hAnsi="仿宋" w:eastAsia="仿宋" w:cs="仿宋"/>
          <w:bCs/>
          <w:sz w:val="28"/>
          <w:szCs w:val="28"/>
        </w:rPr>
      </w:pPr>
      <w:r>
        <w:rPr>
          <w:rFonts w:hint="eastAsia" w:ascii="仿宋" w:hAnsi="仿宋" w:eastAsia="仿宋" w:cs="仿宋"/>
          <w:bCs/>
          <w:sz w:val="28"/>
          <w:szCs w:val="28"/>
        </w:rPr>
        <w:t xml:space="preserve">一、质疑供应商基本信息</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联系人：联系电话：</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联系电话：</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地址：邮编：</w:t>
      </w:r>
      <w:r/>
    </w:p>
    <w:p>
      <w:pPr>
        <w:ind w:left="695" w:firstLine="560"/>
        <w:spacing w:line="460" w:lineRule="exact"/>
        <w:rPr>
          <w:rFonts w:ascii="仿宋" w:hAnsi="仿宋" w:eastAsia="仿宋" w:cs="仿宋"/>
          <w:bCs/>
          <w:sz w:val="28"/>
          <w:szCs w:val="28"/>
        </w:rPr>
      </w:pPr>
      <w:r>
        <w:rPr>
          <w:rFonts w:hint="eastAsia" w:ascii="仿宋" w:hAnsi="仿宋" w:eastAsia="仿宋" w:cs="仿宋"/>
          <w:bCs/>
          <w:sz w:val="28"/>
          <w:szCs w:val="28"/>
        </w:rPr>
        <w:t xml:space="preserve">二、质疑项目基本情况</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质疑项目的名称：</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质疑项目的编号：包号：</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p>
    <w:p>
      <w:pPr>
        <w:ind w:left="695" w:firstLine="560"/>
        <w:spacing w:line="460" w:lineRule="exact"/>
        <w:rPr>
          <w:rFonts w:ascii="仿宋" w:hAnsi="仿宋" w:eastAsia="仿宋" w:cs="仿宋"/>
          <w:bCs/>
          <w:sz w:val="28"/>
          <w:szCs w:val="28"/>
        </w:rPr>
      </w:pPr>
      <w:r>
        <w:rPr>
          <w:rFonts w:hint="eastAsia" w:ascii="仿宋" w:hAnsi="仿宋" w:eastAsia="仿宋" w:cs="仿宋"/>
          <w:bCs/>
          <w:sz w:val="28"/>
          <w:szCs w:val="28"/>
        </w:rPr>
        <w:t xml:space="preserve">三、质疑事项具体内容</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事实依据：</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法律依据：</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w:t>
      </w:r>
      <w:r/>
    </w:p>
    <w:p>
      <w:pPr>
        <w:ind w:left="695" w:firstLine="560"/>
        <w:spacing w:line="460" w:lineRule="exact"/>
        <w:rPr>
          <w:rFonts w:ascii="仿宋" w:hAnsi="仿宋" w:eastAsia="仿宋" w:cs="仿宋"/>
          <w:bCs/>
          <w:sz w:val="28"/>
          <w:szCs w:val="28"/>
        </w:rPr>
      </w:pPr>
      <w:r>
        <w:rPr>
          <w:rFonts w:hint="eastAsia" w:ascii="仿宋" w:hAnsi="仿宋" w:eastAsia="仿宋" w:cs="仿宋"/>
          <w:bCs/>
          <w:sz w:val="28"/>
          <w:szCs w:val="28"/>
        </w:rPr>
        <w:t xml:space="preserve">四、与质疑事项相关的质疑请求</w:t>
      </w:r>
      <w:r/>
    </w:p>
    <w:p>
      <w:pPr>
        <w:ind w:left="695" w:firstLine="560"/>
        <w:spacing w:line="460" w:lineRule="exact"/>
        <w:rPr>
          <w:rFonts w:ascii="仿宋" w:hAnsi="仿宋" w:eastAsia="仿宋" w:cs="仿宋"/>
          <w:sz w:val="28"/>
          <w:szCs w:val="28"/>
          <w:u w:val="single"/>
        </w:rPr>
      </w:pPr>
      <w:r>
        <w:rPr>
          <w:rFonts w:hint="eastAsia" w:ascii="仿宋" w:hAnsi="仿宋" w:eastAsia="仿宋" w:cs="仿宋"/>
          <w:sz w:val="28"/>
          <w:szCs w:val="28"/>
        </w:rPr>
        <w:t xml:space="preserve">请求：</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签字(签章)：                   公章：                      </w:t>
      </w:r>
      <w:r/>
    </w:p>
    <w:p>
      <w:pPr>
        <w:ind w:left="695" w:firstLine="560"/>
        <w:spacing w:line="460" w:lineRule="exact"/>
        <w:rPr>
          <w:rFonts w:ascii="仿宋" w:hAnsi="仿宋" w:eastAsia="仿宋" w:cs="仿宋"/>
          <w:sz w:val="28"/>
          <w:szCs w:val="28"/>
        </w:rPr>
      </w:pPr>
      <w:r>
        <w:rPr>
          <w:rFonts w:hint="eastAsia" w:ascii="仿宋" w:hAnsi="仿宋" w:eastAsia="仿宋" w:cs="仿宋"/>
          <w:sz w:val="28"/>
          <w:szCs w:val="28"/>
        </w:rPr>
        <w:t xml:space="preserve">日期：    </w:t>
      </w:r>
      <w:r/>
    </w:p>
    <w:p>
      <w:pPr>
        <w:ind w:left="695" w:firstLine="562"/>
        <w:spacing w:line="460" w:lineRule="exact"/>
        <w:rPr>
          <w:rFonts w:ascii="仿宋" w:hAnsi="仿宋" w:eastAsia="仿宋" w:cs="仿宋"/>
          <w:b/>
          <w:sz w:val="28"/>
          <w:szCs w:val="28"/>
        </w:rPr>
      </w:pPr>
      <w:r>
        <w:rPr>
          <w:rFonts w:hint="eastAsia" w:ascii="仿宋" w:hAnsi="仿宋" w:eastAsia="仿宋" w:cs="仿宋"/>
          <w:b/>
          <w:sz w:val="28"/>
          <w:szCs w:val="28"/>
        </w:rPr>
        <w:t xml:space="preserve">质疑函制作说明：</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1.供应商提出质疑时，应提交质疑函和必要的证明材料。</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3.质疑供应商若对项目的某一分包进行质疑，质疑函中应列明具体分包号。</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4.质疑函的质疑事项应具体、明确，并有必要的事实依据和法律依据。</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5.质疑函的质疑请求应与质疑事项相关。</w:t>
      </w:r>
      <w:r/>
    </w:p>
    <w:p>
      <w:pPr>
        <w:ind w:left="695" w:firstLine="560"/>
        <w:jc w:val="left"/>
        <w:spacing w:line="460" w:lineRule="exact"/>
        <w:widowControl/>
        <w:rPr>
          <w:rFonts w:ascii="仿宋" w:hAnsi="仿宋" w:eastAsia="仿宋" w:cs="仿宋"/>
          <w:sz w:val="28"/>
          <w:szCs w:val="28"/>
        </w:rPr>
      </w:pPr>
      <w:r>
        <w:rPr>
          <w:rFonts w:hint="eastAsia" w:ascii="仿宋" w:hAnsi="仿宋" w:eastAsia="仿宋" w:cs="仿宋"/>
          <w:sz w:val="28"/>
          <w:szCs w:val="28"/>
        </w:rPr>
        <w:t xml:space="preserve">6.质疑供应商为自然人的，质疑函应由本人签字；质疑供应商为法人或者其他组织的，质疑函应由法定代表人、主要负责人，或者其授权代表签字或者盖章，并加盖公章。</w:t>
      </w:r>
      <w:bookmarkEnd w:id="112"/>
      <w:r/>
      <w:bookmarkEnd w:id="113"/>
      <w:r/>
      <w:r/>
    </w:p>
    <w:p>
      <w:pPr>
        <w:rPr>
          <w:rFonts w:ascii="仿宋" w:hAnsi="仿宋" w:eastAsia="仿宋" w:cs="仿宋"/>
          <w:b/>
          <w:bCs/>
          <w:sz w:val="24"/>
          <w:u w:val="single"/>
        </w:rPr>
      </w:pPr>
      <w:r>
        <w:rPr>
          <w:rFonts w:ascii="仿宋" w:hAnsi="仿宋" w:eastAsia="仿宋" w:cs="仿宋"/>
          <w:b/>
          <w:bCs/>
          <w:sz w:val="24"/>
          <w:u w:val="single"/>
        </w:rPr>
      </w:r>
      <w:r/>
    </w:p>
    <w:sectPr>
      <w:headerReference w:type="default" r:id="rId9"/>
      <w:footerReference w:type="defaul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新宋体">
    <w:panose1 w:val="02010609030101010101"/>
  </w:font>
  <w:font w:name="Wingdings">
    <w:panose1 w:val="05000000000000000000"/>
  </w:font>
  <w:font w:name="华文楷体">
    <w:panose1 w:val="02010600040101010101"/>
  </w:font>
  <w:font w:name="Tahoma">
    <w:panose1 w:val="020B0604030504040204"/>
  </w:font>
  <w:font w:name="Helvetica">
    <w:panose1 w:val="020B0604020202020204"/>
  </w:font>
  <w:font w:name="长城仿宋">
    <w:panose1 w:val="020B0503020202020204"/>
  </w:font>
  <w:font w:name="方正仿宋_GBK">
    <w:panose1 w:val="020B0503020202020204"/>
  </w:font>
  <w:font w:name="Calibri">
    <w:panose1 w:val="020F050202020403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FuturaA Bk BT">
    <w:panose1 w:val="020B0503020202020204"/>
  </w:font>
  <w:font w:name="宋体">
    <w:panose1 w:val="02010600030101010101"/>
  </w:font>
  <w:font w:name="??_GB2312">
    <w:panose1 w:val="020B0503020202020204"/>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fldSimple w:instr="PAGE \* MERGEFORMAT">
                            <w:r>
                              <w:t xml:space="preserve">1</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fldSimple w:instr="PAGE \* MERGEFORMAT">
                            <w:r>
                              <w:t xml:space="preserve">1</w:t>
                            </w:r>
                          </w:fldSimple>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fldSimple w:instr="PAGE \* MERGEFORMAT">
                      <w:r>
                        <w:t xml:space="preserve">1</w:t>
                      </w:r>
                    </w:fldSimple>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fldSimple w:instr="PAGE \* MERGEFORMAT">
                      <w:r>
                        <w:t xml:space="preserve">1</w:t>
                      </w:r>
                    </w:fldSimple>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033"/>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TOC Heading"/>
    <w:uiPriority w:val="39"/>
    <w:unhideWhenUsed/>
  </w:style>
  <w:style w:type="paragraph" w:styleId="787" w:default="1">
    <w:name w:val="Normal"/>
    <w:qFormat/>
    <w:pPr>
      <w:jc w:val="both"/>
      <w:widowControl w:val="off"/>
    </w:pPr>
    <w:rPr>
      <w:sz w:val="21"/>
    </w:rPr>
  </w:style>
  <w:style w:type="paragraph" w:styleId="788">
    <w:name w:val="Heading 1"/>
    <w:basedOn w:val="787"/>
    <w:next w:val="787"/>
    <w:qFormat/>
    <w:pPr>
      <w:keepLines/>
      <w:keepNext/>
      <w:spacing w:before="340" w:after="330" w:line="578" w:lineRule="auto"/>
      <w:outlineLvl w:val="0"/>
    </w:pPr>
    <w:rPr>
      <w:rFonts w:eastAsia="楷体_GB2312"/>
      <w:b/>
      <w:sz w:val="44"/>
    </w:rPr>
  </w:style>
  <w:style w:type="paragraph" w:styleId="789">
    <w:name w:val="Heading 2"/>
    <w:basedOn w:val="787"/>
    <w:next w:val="787"/>
    <w:uiPriority w:val="9"/>
    <w:qFormat/>
    <w:pPr>
      <w:keepLines/>
      <w:keepNext/>
      <w:spacing w:before="260" w:after="260" w:line="415" w:lineRule="auto"/>
      <w:outlineLvl w:val="1"/>
    </w:pPr>
    <w:rPr>
      <w:rFonts w:ascii="Arial" w:hAnsi="Arial" w:eastAsia="黑体"/>
      <w:b/>
      <w:bCs/>
      <w:sz w:val="32"/>
      <w:szCs w:val="32"/>
    </w:rPr>
  </w:style>
  <w:style w:type="paragraph" w:styleId="790">
    <w:name w:val="Heading 3"/>
    <w:basedOn w:val="787"/>
    <w:next w:val="787"/>
    <w:uiPriority w:val="9"/>
    <w:qFormat/>
    <w:pPr>
      <w:ind w:left="220"/>
      <w:outlineLvl w:val="2"/>
    </w:pPr>
    <w:rPr>
      <w:rFonts w:ascii="仿宋" w:hAnsi="仿宋" w:eastAsia="仿宋" w:cs="仿宋"/>
      <w:b/>
      <w:bCs/>
      <w:sz w:val="28"/>
      <w:szCs w:val="28"/>
    </w:rPr>
  </w:style>
  <w:style w:type="paragraph" w:styleId="791">
    <w:name w:val="Heading 4"/>
    <w:basedOn w:val="787"/>
    <w:next w:val="787"/>
    <w:qFormat/>
    <w:pPr>
      <w:keepLines/>
      <w:keepNext/>
      <w:spacing w:before="120" w:after="120"/>
      <w:outlineLvl w:val="3"/>
    </w:pPr>
    <w:rPr>
      <w:rFonts w:ascii="Arial" w:hAnsi="Arial" w:eastAsia="黑体"/>
      <w:b/>
      <w:sz w:val="20"/>
    </w:rPr>
  </w:style>
  <w:style w:type="paragraph" w:styleId="792">
    <w:name w:val="Heading 5"/>
    <w:basedOn w:val="787"/>
    <w:next w:val="787"/>
    <w:link w:val="863"/>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64"/>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66"/>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6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style>
  <w:style w:type="table" w:styleId="798" w:default="1">
    <w:name w:val="Normal Table"/>
    <w:uiPriority w:val="99"/>
    <w:semiHidden/>
    <w:unhideWhenUsed/>
    <w:qFormat/>
    <w:tblPr>
      <w:tblInd w:w="0" w:type="dxa"/>
      <w:tblCellMar>
        <w:left w:w="108" w:type="dxa"/>
        <w:top w:w="0" w:type="dxa"/>
        <w:right w:w="108" w:type="dxa"/>
        <w:bottom w:w="0" w:type="dxa"/>
      </w:tblCellMar>
    </w:tblPr>
  </w:style>
  <w:style w:type="numbering" w:styleId="799" w:default="1">
    <w:name w:val="No List"/>
    <w:uiPriority w:val="99"/>
    <w:semiHidden/>
    <w:unhideWhenUsed/>
  </w:style>
  <w:style w:type="paragraph" w:styleId="800">
    <w:name w:val="toc 7"/>
    <w:basedOn w:val="787"/>
    <w:next w:val="787"/>
    <w:uiPriority w:val="39"/>
    <w:unhideWhenUsed/>
    <w:qFormat/>
    <w:pPr>
      <w:ind w:left="1701"/>
      <w:spacing w:after="57"/>
    </w:pPr>
  </w:style>
  <w:style w:type="paragraph" w:styleId="801">
    <w:name w:val="Normal Indent"/>
    <w:basedOn w:val="787"/>
    <w:qFormat/>
    <w:pPr>
      <w:ind w:firstLine="420"/>
      <w:jc w:val="left"/>
    </w:pPr>
    <w:rPr>
      <w:rFonts w:eastAsia="楷体_GB2312"/>
      <w:sz w:val="24"/>
    </w:rPr>
  </w:style>
  <w:style w:type="paragraph" w:styleId="802">
    <w:name w:val="Caption"/>
    <w:basedOn w:val="787"/>
    <w:next w:val="787"/>
    <w:uiPriority w:val="35"/>
    <w:semiHidden/>
    <w:unhideWhenUsed/>
    <w:qFormat/>
    <w:pPr>
      <w:spacing w:line="276" w:lineRule="auto"/>
    </w:pPr>
    <w:rPr>
      <w:b/>
      <w:bCs/>
      <w:color w:val="4f81bd" w:themeColor="accent1"/>
      <w:sz w:val="18"/>
      <w:szCs w:val="18"/>
    </w:rPr>
  </w:style>
  <w:style w:type="paragraph" w:styleId="803">
    <w:name w:val="annotation text"/>
    <w:basedOn w:val="787"/>
    <w:link w:val="1055"/>
    <w:qFormat/>
    <w:pPr>
      <w:jc w:val="left"/>
    </w:pPr>
  </w:style>
  <w:style w:type="paragraph" w:styleId="804">
    <w:name w:val="Body Text"/>
    <w:basedOn w:val="787"/>
    <w:qFormat/>
    <w:pPr>
      <w:spacing w:after="120"/>
    </w:pPr>
  </w:style>
  <w:style w:type="paragraph" w:styleId="805">
    <w:name w:val="Body Text Indent"/>
    <w:basedOn w:val="787"/>
    <w:next w:val="806"/>
    <w:uiPriority w:val="99"/>
    <w:unhideWhenUsed/>
    <w:qFormat/>
    <w:pPr>
      <w:ind w:left="420"/>
      <w:spacing w:after="120"/>
    </w:pPr>
    <w:rPr>
      <w:szCs w:val="24"/>
    </w:rPr>
  </w:style>
  <w:style w:type="paragraph" w:styleId="806">
    <w:name w:val="envelope return"/>
    <w:basedOn w:val="787"/>
    <w:uiPriority w:val="99"/>
    <w:unhideWhenUsed/>
    <w:qFormat/>
    <w:rPr>
      <w:rFonts w:ascii="Arial" w:hAnsi="Arial"/>
    </w:rPr>
  </w:style>
  <w:style w:type="paragraph" w:styleId="807">
    <w:name w:val="index 4"/>
    <w:basedOn w:val="787"/>
    <w:next w:val="787"/>
    <w:uiPriority w:val="99"/>
    <w:unhideWhenUsed/>
    <w:qFormat/>
    <w:pPr>
      <w:ind w:left="600"/>
    </w:pPr>
  </w:style>
  <w:style w:type="paragraph" w:styleId="808">
    <w:name w:val="toc 5"/>
    <w:basedOn w:val="787"/>
    <w:next w:val="787"/>
    <w:uiPriority w:val="39"/>
    <w:unhideWhenUsed/>
    <w:qFormat/>
    <w:pPr>
      <w:ind w:left="1134"/>
      <w:spacing w:after="57"/>
    </w:pPr>
  </w:style>
  <w:style w:type="paragraph" w:styleId="809">
    <w:name w:val="toc 3"/>
    <w:basedOn w:val="787"/>
    <w:next w:val="787"/>
    <w:qFormat/>
    <w:pPr>
      <w:ind w:left="840"/>
    </w:pPr>
  </w:style>
  <w:style w:type="paragraph" w:styleId="810">
    <w:name w:val="Plain Text"/>
    <w:basedOn w:val="787"/>
    <w:uiPriority w:val="99"/>
    <w:qFormat/>
    <w:rPr>
      <w:rFonts w:ascii="宋体" w:hAnsi="Courier New"/>
      <w:sz w:val="20"/>
      <w:szCs w:val="21"/>
    </w:rPr>
  </w:style>
  <w:style w:type="paragraph" w:styleId="811">
    <w:name w:val="toc 8"/>
    <w:basedOn w:val="787"/>
    <w:next w:val="787"/>
    <w:uiPriority w:val="39"/>
    <w:unhideWhenUsed/>
    <w:qFormat/>
    <w:pPr>
      <w:ind w:left="1984"/>
      <w:spacing w:after="57"/>
    </w:pPr>
  </w:style>
  <w:style w:type="paragraph" w:styleId="812">
    <w:name w:val="Body Text Indent 2"/>
    <w:basedOn w:val="787"/>
    <w:semiHidden/>
    <w:unhideWhenUsed/>
    <w:qFormat/>
    <w:pPr>
      <w:ind w:firstLine="560"/>
      <w:spacing w:line="500" w:lineRule="exact"/>
    </w:pPr>
    <w:rPr>
      <w:rFonts w:eastAsia="仿宋_GB2312"/>
      <w:sz w:val="28"/>
    </w:rPr>
  </w:style>
  <w:style w:type="paragraph" w:styleId="813">
    <w:name w:val="endnote text"/>
    <w:basedOn w:val="787"/>
    <w:link w:val="1004"/>
    <w:uiPriority w:val="99"/>
    <w:semiHidden/>
    <w:unhideWhenUsed/>
    <w:qFormat/>
    <w:rPr>
      <w:sz w:val="20"/>
    </w:rPr>
  </w:style>
  <w:style w:type="paragraph" w:styleId="814">
    <w:name w:val="Balloon Text"/>
    <w:basedOn w:val="787"/>
    <w:uiPriority w:val="99"/>
    <w:unhideWhenUsed/>
    <w:qFormat/>
    <w:rPr>
      <w:sz w:val="18"/>
      <w:szCs w:val="18"/>
    </w:rPr>
  </w:style>
  <w:style w:type="paragraph" w:styleId="815">
    <w:name w:val="Footer"/>
    <w:basedOn w:val="787"/>
    <w:qFormat/>
    <w:pPr>
      <w:jc w:val="left"/>
      <w:tabs>
        <w:tab w:val="center" w:pos="4153" w:leader="none"/>
        <w:tab w:val="right" w:pos="8306" w:leader="none"/>
      </w:tabs>
    </w:pPr>
    <w:rPr>
      <w:sz w:val="18"/>
      <w:szCs w:val="18"/>
    </w:rPr>
  </w:style>
  <w:style w:type="paragraph" w:styleId="816">
    <w:name w:val="Header"/>
    <w:basedOn w:val="787"/>
    <w:link w:val="1009"/>
    <w:qFormat/>
    <w:pPr>
      <w:jc w:val="center"/>
      <w:tabs>
        <w:tab w:val="center" w:pos="4153" w:leader="none"/>
        <w:tab w:val="right" w:pos="8306" w:leader="none"/>
      </w:tabs>
      <w:pBdr>
        <w:bottom w:val="single" w:color="auto" w:sz="6" w:space="1"/>
      </w:pBdr>
    </w:pPr>
    <w:rPr>
      <w:sz w:val="18"/>
      <w:szCs w:val="18"/>
    </w:rPr>
  </w:style>
  <w:style w:type="paragraph" w:styleId="817">
    <w:name w:val="toc 1"/>
    <w:basedOn w:val="787"/>
    <w:next w:val="787"/>
    <w:qFormat/>
    <w:pPr>
      <w:jc w:val="left"/>
    </w:pPr>
    <w:rPr>
      <w:rFonts w:eastAsia="楷体_GB2312"/>
      <w:sz w:val="24"/>
    </w:rPr>
  </w:style>
  <w:style w:type="paragraph" w:styleId="818">
    <w:name w:val="toc 4"/>
    <w:basedOn w:val="787"/>
    <w:next w:val="787"/>
    <w:uiPriority w:val="39"/>
    <w:unhideWhenUsed/>
    <w:qFormat/>
    <w:pPr>
      <w:ind w:left="850"/>
      <w:spacing w:after="57"/>
    </w:pPr>
  </w:style>
  <w:style w:type="paragraph" w:styleId="819">
    <w:name w:val="Subtitle"/>
    <w:basedOn w:val="787"/>
    <w:next w:val="787"/>
    <w:link w:val="870"/>
    <w:uiPriority w:val="11"/>
    <w:qFormat/>
    <w:pPr>
      <w:spacing w:before="200" w:after="200"/>
    </w:pPr>
    <w:rPr>
      <w:sz w:val="24"/>
      <w:szCs w:val="24"/>
    </w:rPr>
  </w:style>
  <w:style w:type="paragraph" w:styleId="820">
    <w:name w:val="footnote text"/>
    <w:basedOn w:val="787"/>
    <w:link w:val="1003"/>
    <w:uiPriority w:val="99"/>
    <w:semiHidden/>
    <w:unhideWhenUsed/>
    <w:qFormat/>
    <w:pPr>
      <w:spacing w:after="40"/>
    </w:pPr>
    <w:rPr>
      <w:sz w:val="18"/>
    </w:rPr>
  </w:style>
  <w:style w:type="paragraph" w:styleId="821">
    <w:name w:val="toc 6"/>
    <w:basedOn w:val="787"/>
    <w:next w:val="787"/>
    <w:qFormat/>
    <w:pPr>
      <w:ind w:left="1050"/>
      <w:jc w:val="left"/>
    </w:pPr>
    <w:rPr>
      <w:sz w:val="18"/>
    </w:rPr>
  </w:style>
  <w:style w:type="paragraph" w:styleId="822">
    <w:name w:val="Body Text Indent 3"/>
    <w:basedOn w:val="787"/>
    <w:qFormat/>
    <w:pPr>
      <w:ind w:firstLine="539"/>
      <w:spacing w:line="520" w:lineRule="exact"/>
    </w:pPr>
    <w:rPr>
      <w:rFonts w:ascii="宋体"/>
      <w:b/>
      <w:spacing w:val="6"/>
      <w:sz w:val="28"/>
    </w:rPr>
  </w:style>
  <w:style w:type="paragraph" w:styleId="823">
    <w:name w:val="table of figures"/>
    <w:basedOn w:val="787"/>
    <w:next w:val="787"/>
    <w:uiPriority w:val="99"/>
    <w:unhideWhenUsed/>
    <w:qFormat/>
  </w:style>
  <w:style w:type="paragraph" w:styleId="824">
    <w:name w:val="toc 2"/>
    <w:basedOn w:val="787"/>
    <w:next w:val="787"/>
    <w:uiPriority w:val="39"/>
    <w:unhideWhenUsed/>
    <w:qFormat/>
    <w:pPr>
      <w:ind w:left="283"/>
      <w:spacing w:after="57"/>
    </w:pPr>
  </w:style>
  <w:style w:type="paragraph" w:styleId="825">
    <w:name w:val="toc 9"/>
    <w:basedOn w:val="787"/>
    <w:next w:val="787"/>
    <w:uiPriority w:val="39"/>
    <w:unhideWhenUsed/>
    <w:qFormat/>
    <w:pPr>
      <w:ind w:left="2268"/>
      <w:spacing w:after="57"/>
    </w:pPr>
  </w:style>
  <w:style w:type="paragraph" w:styleId="826">
    <w:name w:val="Normal (Web)"/>
    <w:basedOn w:val="787"/>
    <w:uiPriority w:val="99"/>
    <w:semiHidden/>
    <w:qFormat/>
    <w:pPr>
      <w:jc w:val="left"/>
      <w:spacing w:before="100" w:beforeAutospacing="1" w:after="100" w:afterAutospacing="1"/>
      <w:widowControl/>
    </w:pPr>
    <w:rPr>
      <w:rFonts w:ascii="宋体" w:hAnsi="宋体" w:cs="宋体"/>
      <w:sz w:val="24"/>
      <w:szCs w:val="24"/>
    </w:rPr>
  </w:style>
  <w:style w:type="paragraph" w:styleId="827">
    <w:name w:val="Title"/>
    <w:basedOn w:val="787"/>
    <w:next w:val="787"/>
    <w:link w:val="869"/>
    <w:uiPriority w:val="10"/>
    <w:qFormat/>
    <w:pPr>
      <w:contextualSpacing/>
      <w:spacing w:before="300" w:after="200"/>
    </w:pPr>
    <w:rPr>
      <w:sz w:val="48"/>
      <w:szCs w:val="48"/>
    </w:rPr>
  </w:style>
  <w:style w:type="paragraph" w:styleId="828">
    <w:name w:val="annotation subject"/>
    <w:basedOn w:val="803"/>
    <w:next w:val="803"/>
    <w:link w:val="1056"/>
    <w:uiPriority w:val="99"/>
    <w:semiHidden/>
    <w:unhideWhenUsed/>
    <w:qFormat/>
    <w:rPr>
      <w:b/>
      <w:bCs/>
    </w:rPr>
  </w:style>
  <w:style w:type="paragraph" w:styleId="829">
    <w:name w:val="Body Text First Indent"/>
    <w:basedOn w:val="804"/>
    <w:qFormat/>
    <w:pPr>
      <w:ind w:firstLine="482"/>
      <w:spacing w:line="360" w:lineRule="auto"/>
    </w:pPr>
    <w:rPr>
      <w:b/>
      <w:sz w:val="24"/>
    </w:rPr>
  </w:style>
  <w:style w:type="paragraph" w:styleId="830">
    <w:name w:val="Body Text First Indent 2"/>
    <w:basedOn w:val="805"/>
    <w:next w:val="787"/>
    <w:uiPriority w:val="99"/>
    <w:unhideWhenUsed/>
    <w:qFormat/>
    <w:pPr>
      <w:ind w:firstLine="200"/>
    </w:pPr>
  </w:style>
  <w:style w:type="table" w:styleId="831">
    <w:name w:val="Table Grid"/>
    <w:basedOn w:val="798"/>
    <w:uiPriority w:val="59"/>
    <w:qFormat/>
    <w:rPr>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797"/>
    <w:uiPriority w:val="22"/>
    <w:qFormat/>
    <w:rPr>
      <w:b/>
      <w:bCs/>
    </w:rPr>
  </w:style>
  <w:style w:type="character" w:styleId="833">
    <w:name w:val="endnote reference"/>
    <w:basedOn w:val="797"/>
    <w:uiPriority w:val="99"/>
    <w:semiHidden/>
    <w:unhideWhenUsed/>
    <w:qFormat/>
    <w:rPr>
      <w:vertAlign w:val="superscript"/>
    </w:rPr>
  </w:style>
  <w:style w:type="character" w:styleId="834">
    <w:name w:val="page number"/>
    <w:qFormat/>
  </w:style>
  <w:style w:type="character" w:styleId="835">
    <w:name w:val="FollowedHyperlink"/>
    <w:qFormat/>
    <w:rPr>
      <w:color w:val="771caa"/>
      <w:u w:val="none"/>
    </w:rPr>
  </w:style>
  <w:style w:type="character" w:styleId="836">
    <w:name w:val="Emphasis"/>
    <w:qFormat/>
    <w:rPr>
      <w:color w:val="f73131"/>
    </w:rPr>
  </w:style>
  <w:style w:type="character" w:styleId="837">
    <w:name w:val="Hyperlink"/>
    <w:qFormat/>
    <w:rPr>
      <w:color w:val="333333"/>
      <w:u w:val="none"/>
    </w:rPr>
  </w:style>
  <w:style w:type="character" w:styleId="838">
    <w:name w:val="annotation reference"/>
    <w:basedOn w:val="797"/>
    <w:uiPriority w:val="99"/>
    <w:semiHidden/>
    <w:unhideWhenUsed/>
    <w:qFormat/>
    <w:rPr>
      <w:sz w:val="21"/>
      <w:szCs w:val="21"/>
    </w:rPr>
  </w:style>
  <w:style w:type="character" w:styleId="839">
    <w:name w:val="HTML Cite"/>
    <w:qFormat/>
    <w:rPr>
      <w:color w:val="008000"/>
    </w:rPr>
  </w:style>
  <w:style w:type="character" w:styleId="840">
    <w:name w:val="footnote reference"/>
    <w:basedOn w:val="797"/>
    <w:uiPriority w:val="99"/>
    <w:unhideWhenUsed/>
    <w:qFormat/>
    <w:rPr>
      <w:vertAlign w:val="superscript"/>
    </w:rPr>
  </w:style>
  <w:style w:type="character" w:styleId="841" w:customStyle="1">
    <w:name w:val="Heading 5 Char"/>
    <w:basedOn w:val="797"/>
    <w:uiPriority w:val="9"/>
    <w:qFormat/>
    <w:rPr>
      <w:rFonts w:ascii="Arial" w:hAnsi="Arial" w:eastAsia="Arial" w:cs="Arial"/>
      <w:b/>
      <w:bCs/>
      <w:sz w:val="24"/>
      <w:szCs w:val="24"/>
    </w:rPr>
  </w:style>
  <w:style w:type="character" w:styleId="842" w:customStyle="1">
    <w:name w:val="Heading 6 Char"/>
    <w:basedOn w:val="797"/>
    <w:uiPriority w:val="9"/>
    <w:qFormat/>
    <w:rPr>
      <w:rFonts w:ascii="Arial" w:hAnsi="Arial" w:eastAsia="Arial" w:cs="Arial"/>
      <w:b/>
      <w:bCs/>
      <w:sz w:val="22"/>
      <w:szCs w:val="22"/>
    </w:rPr>
  </w:style>
  <w:style w:type="character" w:styleId="843" w:customStyle="1">
    <w:name w:val="Heading 7 Char"/>
    <w:basedOn w:val="797"/>
    <w:uiPriority w:val="9"/>
    <w:qFormat/>
    <w:rPr>
      <w:rFonts w:ascii="Arial" w:hAnsi="Arial" w:eastAsia="Arial" w:cs="Arial"/>
      <w:b/>
      <w:bCs/>
      <w:i/>
      <w:iCs/>
      <w:sz w:val="22"/>
      <w:szCs w:val="22"/>
    </w:rPr>
  </w:style>
  <w:style w:type="character" w:styleId="844" w:customStyle="1">
    <w:name w:val="Heading 8 Char"/>
    <w:basedOn w:val="797"/>
    <w:uiPriority w:val="9"/>
    <w:qFormat/>
    <w:rPr>
      <w:rFonts w:ascii="Arial" w:hAnsi="Arial" w:eastAsia="Arial" w:cs="Arial"/>
      <w:i/>
      <w:iCs/>
      <w:sz w:val="22"/>
      <w:szCs w:val="22"/>
    </w:rPr>
  </w:style>
  <w:style w:type="character" w:styleId="845" w:customStyle="1">
    <w:name w:val="Heading 9 Char"/>
    <w:basedOn w:val="797"/>
    <w:uiPriority w:val="9"/>
    <w:qFormat/>
    <w:rPr>
      <w:rFonts w:ascii="Arial" w:hAnsi="Arial" w:eastAsia="Arial" w:cs="Arial"/>
      <w:i/>
      <w:iCs/>
      <w:sz w:val="21"/>
      <w:szCs w:val="21"/>
    </w:rPr>
  </w:style>
  <w:style w:type="character" w:styleId="846" w:customStyle="1">
    <w:name w:val="Title Char"/>
    <w:basedOn w:val="797"/>
    <w:uiPriority w:val="10"/>
    <w:qFormat/>
    <w:rPr>
      <w:sz w:val="48"/>
      <w:szCs w:val="48"/>
    </w:rPr>
  </w:style>
  <w:style w:type="character" w:styleId="847" w:customStyle="1">
    <w:name w:val="Subtitle Char"/>
    <w:basedOn w:val="797"/>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
    <w:uiPriority w:val="39"/>
    <w:unhideWhenUsed/>
    <w:qFormat/>
  </w:style>
  <w:style w:type="paragraph" w:styleId="853" w:customStyle="1">
    <w:name w:val="正文首行缩进1"/>
    <w:basedOn w:val="854"/>
    <w:qFormat/>
    <w:pPr>
      <w:ind w:firstLine="420"/>
      <w:spacing w:after="120"/>
    </w:pPr>
    <w:rPr>
      <w:rFonts w:ascii="Times New Roman"/>
      <w:szCs w:val="24"/>
    </w:rPr>
  </w:style>
  <w:style w:type="paragraph" w:styleId="854" w:customStyle="1">
    <w:name w:val="正文文本1"/>
    <w:basedOn w:val="855"/>
    <w:next w:val="787"/>
    <w:uiPriority w:val="99"/>
    <w:qFormat/>
    <w:rPr>
      <w:rFonts w:ascii="??_GB2312" w:hAnsi="??_GB2312"/>
      <w:sz w:val="28"/>
      <w:szCs w:val="28"/>
    </w:rPr>
  </w:style>
  <w:style w:type="paragraph" w:styleId="855" w:customStyle="1">
    <w:name w:val="正文11"/>
    <w:next w:val="854"/>
    <w:uiPriority w:val="99"/>
    <w:qFormat/>
    <w:pPr>
      <w:jc w:val="both"/>
      <w:widowControl w:val="off"/>
    </w:pPr>
    <w:rPr>
      <w:rFonts w:ascii="Calibri" w:hAnsi="Calibri"/>
      <w:sz w:val="21"/>
      <w:szCs w:val="21"/>
    </w:rPr>
  </w:style>
  <w:style w:type="paragraph" w:styleId="856" w:customStyle="1">
    <w:name w:val="正文1"/>
    <w:basedOn w:val="857"/>
    <w:next w:val="787"/>
    <w:qFormat/>
    <w:pPr>
      <w:ind w:firstLine="361"/>
      <w:spacing w:line="360" w:lineRule="auto"/>
    </w:pPr>
    <w:rPr>
      <w:szCs w:val="24"/>
    </w:rPr>
  </w:style>
  <w:style w:type="paragraph" w:styleId="857" w:customStyle="1">
    <w:name w:val="样式1"/>
    <w:basedOn w:val="787"/>
    <w:qFormat/>
    <w:pPr>
      <w:ind w:left="432" w:firstLine="288"/>
      <w:tabs>
        <w:tab w:val="left" w:pos="1110" w:leader="none"/>
      </w:tabs>
    </w:pPr>
    <w:rPr>
      <w:rFonts w:ascii="宋体" w:hAnsi="宋体"/>
      <w:szCs w:val="21"/>
    </w:rPr>
  </w:style>
  <w:style w:type="paragraph" w:styleId="858" w:customStyle="1">
    <w:name w:val="Default"/>
    <w:qFormat/>
    <w:pPr>
      <w:widowControl w:val="off"/>
    </w:pPr>
    <w:rPr>
      <w:rFonts w:ascii="宋体" w:hAnsi="宋体" w:cs="宋体"/>
      <w:color w:val="000000"/>
      <w:sz w:val="24"/>
      <w:szCs w:val="24"/>
    </w:rPr>
  </w:style>
  <w:style w:type="character" w:styleId="859" w:customStyle="1">
    <w:name w:val="Heading 1 Char"/>
    <w:basedOn w:val="797"/>
    <w:uiPriority w:val="9"/>
    <w:qFormat/>
    <w:rPr>
      <w:rFonts w:ascii="Arial" w:hAnsi="Arial" w:eastAsia="Arial" w:cs="Arial"/>
      <w:sz w:val="40"/>
      <w:szCs w:val="40"/>
    </w:rPr>
  </w:style>
  <w:style w:type="character" w:styleId="860" w:customStyle="1">
    <w:name w:val="Heading 2 Char"/>
    <w:basedOn w:val="797"/>
    <w:uiPriority w:val="9"/>
    <w:qFormat/>
    <w:rPr>
      <w:rFonts w:ascii="Arial" w:hAnsi="Arial" w:eastAsia="Arial" w:cs="Arial"/>
      <w:sz w:val="34"/>
    </w:rPr>
  </w:style>
  <w:style w:type="character" w:styleId="861" w:customStyle="1">
    <w:name w:val="Heading 3 Char"/>
    <w:basedOn w:val="797"/>
    <w:uiPriority w:val="9"/>
    <w:qFormat/>
    <w:rPr>
      <w:rFonts w:ascii="Arial" w:hAnsi="Arial" w:eastAsia="Arial" w:cs="Arial"/>
      <w:sz w:val="30"/>
      <w:szCs w:val="30"/>
    </w:rPr>
  </w:style>
  <w:style w:type="character" w:styleId="862" w:customStyle="1">
    <w:name w:val="Heading 4 Char"/>
    <w:basedOn w:val="797"/>
    <w:uiPriority w:val="9"/>
    <w:qFormat/>
    <w:rPr>
      <w:rFonts w:ascii="Arial" w:hAnsi="Arial" w:eastAsia="Arial" w:cs="Arial"/>
      <w:b/>
      <w:bCs/>
      <w:sz w:val="26"/>
      <w:szCs w:val="26"/>
    </w:rPr>
  </w:style>
  <w:style w:type="character" w:styleId="863" w:customStyle="1">
    <w:name w:val="标题 5 Char"/>
    <w:basedOn w:val="797"/>
    <w:link w:val="792"/>
    <w:uiPriority w:val="9"/>
    <w:qFormat/>
    <w:rPr>
      <w:rFonts w:ascii="Arial" w:hAnsi="Arial" w:eastAsia="Arial" w:cs="Arial"/>
      <w:b/>
      <w:bCs/>
      <w:sz w:val="24"/>
      <w:szCs w:val="24"/>
    </w:rPr>
  </w:style>
  <w:style w:type="character" w:styleId="864" w:customStyle="1">
    <w:name w:val="标题 6 Char"/>
    <w:basedOn w:val="797"/>
    <w:link w:val="793"/>
    <w:uiPriority w:val="9"/>
    <w:qFormat/>
    <w:rPr>
      <w:rFonts w:ascii="Arial" w:hAnsi="Arial" w:eastAsia="Arial" w:cs="Arial"/>
      <w:b/>
      <w:bCs/>
      <w:sz w:val="22"/>
      <w:szCs w:val="22"/>
    </w:rPr>
  </w:style>
  <w:style w:type="character" w:styleId="865" w:customStyle="1">
    <w:name w:val="标题 7 Char"/>
    <w:basedOn w:val="797"/>
    <w:link w:val="794"/>
    <w:uiPriority w:val="9"/>
    <w:qFormat/>
    <w:rPr>
      <w:rFonts w:ascii="Arial" w:hAnsi="Arial" w:eastAsia="Arial" w:cs="Arial"/>
      <w:b/>
      <w:bCs/>
      <w:i/>
      <w:iCs/>
      <w:sz w:val="22"/>
      <w:szCs w:val="22"/>
    </w:rPr>
  </w:style>
  <w:style w:type="character" w:styleId="866" w:customStyle="1">
    <w:name w:val="标题 8 Char"/>
    <w:basedOn w:val="797"/>
    <w:link w:val="795"/>
    <w:uiPriority w:val="9"/>
    <w:qFormat/>
    <w:rPr>
      <w:rFonts w:ascii="Arial" w:hAnsi="Arial" w:eastAsia="Arial" w:cs="Arial"/>
      <w:i/>
      <w:iCs/>
      <w:sz w:val="22"/>
      <w:szCs w:val="22"/>
    </w:rPr>
  </w:style>
  <w:style w:type="character" w:styleId="867" w:customStyle="1">
    <w:name w:val="标题 9 Char"/>
    <w:basedOn w:val="797"/>
    <w:link w:val="796"/>
    <w:uiPriority w:val="9"/>
    <w:qFormat/>
    <w:rPr>
      <w:rFonts w:ascii="Arial" w:hAnsi="Arial" w:eastAsia="Arial" w:cs="Arial"/>
      <w:i/>
      <w:iCs/>
      <w:sz w:val="21"/>
      <w:szCs w:val="21"/>
    </w:rPr>
  </w:style>
  <w:style w:type="paragraph" w:styleId="868">
    <w:name w:val="No Spacing"/>
    <w:uiPriority w:val="1"/>
    <w:qFormat/>
  </w:style>
  <w:style w:type="character" w:styleId="869" w:customStyle="1">
    <w:name w:val="标题 Char"/>
    <w:basedOn w:val="797"/>
    <w:link w:val="827"/>
    <w:uiPriority w:val="10"/>
    <w:qFormat/>
    <w:rPr>
      <w:sz w:val="48"/>
      <w:szCs w:val="48"/>
    </w:rPr>
  </w:style>
  <w:style w:type="character" w:styleId="870" w:customStyle="1">
    <w:name w:val="副标题 Char"/>
    <w:basedOn w:val="797"/>
    <w:link w:val="819"/>
    <w:uiPriority w:val="11"/>
    <w:qFormat/>
    <w:rPr>
      <w:sz w:val="24"/>
      <w:szCs w:val="24"/>
    </w:rPr>
  </w:style>
  <w:style w:type="paragraph" w:styleId="871">
    <w:name w:val="Quote"/>
    <w:basedOn w:val="787"/>
    <w:next w:val="787"/>
    <w:link w:val="872"/>
    <w:uiPriority w:val="29"/>
    <w:qFormat/>
    <w:pPr>
      <w:ind w:left="720" w:right="720"/>
    </w:pPr>
    <w:rPr>
      <w:i/>
    </w:rPr>
  </w:style>
  <w:style w:type="character" w:styleId="872" w:customStyle="1">
    <w:name w:val="引用 Char"/>
    <w:link w:val="871"/>
    <w:uiPriority w:val="29"/>
    <w:qFormat/>
    <w:rPr>
      <w:i/>
    </w:rPr>
  </w:style>
  <w:style w:type="paragraph" w:styleId="873">
    <w:name w:val="Intense Quote"/>
    <w:basedOn w:val="787"/>
    <w:next w:val="787"/>
    <w:link w:val="8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明显引用 Char"/>
    <w:link w:val="873"/>
    <w:uiPriority w:val="30"/>
    <w:qFormat/>
    <w:rPr>
      <w:i/>
    </w:rPr>
  </w:style>
  <w:style w:type="character" w:styleId="875" w:customStyle="1">
    <w:name w:val="Header Char"/>
    <w:basedOn w:val="797"/>
    <w:uiPriority w:val="99"/>
    <w:qFormat/>
  </w:style>
  <w:style w:type="character" w:styleId="876" w:customStyle="1">
    <w:name w:val="Footer Char"/>
    <w:basedOn w:val="797"/>
    <w:uiPriority w:val="99"/>
    <w:qFormat/>
  </w:style>
  <w:style w:type="character" w:styleId="877" w:customStyle="1">
    <w:name w:val="Caption Char"/>
    <w:uiPriority w:val="99"/>
    <w:qFormat/>
  </w:style>
  <w:style w:type="table" w:styleId="878" w:customStyle="1">
    <w:name w:val="Table Grid Light"/>
    <w:basedOn w:val="79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79" w:customStyle="1">
    <w:name w:val="Plain Table 1"/>
    <w:basedOn w:val="79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79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79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79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79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79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79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79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79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79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79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79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79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79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9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9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9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9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9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79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798"/>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98"/>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98"/>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98"/>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98"/>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98"/>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79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798"/>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7" w:customStyle="1">
    <w:name w:val="Grid Table 4 - Accent 2"/>
    <w:basedOn w:val="798"/>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8" w:customStyle="1">
    <w:name w:val="Grid Table 4 - Accent 3"/>
    <w:basedOn w:val="798"/>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9" w:customStyle="1">
    <w:name w:val="Grid Table 4 - Accent 4"/>
    <w:basedOn w:val="798"/>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798"/>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798"/>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79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79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0" w:customStyle="1">
    <w:name w:val="Grid Table 6 Colorful - Accent 1"/>
    <w:basedOn w:val="798"/>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1" w:customStyle="1">
    <w:name w:val="Grid Table 6 Colorful - Accent 2"/>
    <w:basedOn w:val="79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2" w:customStyle="1">
    <w:name w:val="Grid Table 6 Colorful - Accent 3"/>
    <w:basedOn w:val="798"/>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3" w:customStyle="1">
    <w:name w:val="Grid Table 6 Colorful - Accent 4"/>
    <w:basedOn w:val="79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4" w:customStyle="1">
    <w:name w:val="Grid Table 6 Colorful - Accent 5"/>
    <w:basedOn w:val="798"/>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5" w:customStyle="1">
    <w:name w:val="Grid Table 6 Colorful - Accent 6"/>
    <w:basedOn w:val="798"/>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6" w:customStyle="1">
    <w:name w:val="Grid Table 7 Colorful"/>
    <w:basedOn w:val="79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798"/>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98"/>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98"/>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98"/>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98"/>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98"/>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798"/>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798"/>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798"/>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798"/>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798"/>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798"/>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798"/>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79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1" w:customStyle="1">
    <w:name w:val="List Table 2 - Accent 1"/>
    <w:basedOn w:val="798"/>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798"/>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3" w:customStyle="1">
    <w:name w:val="List Table 2 - Accent 3"/>
    <w:basedOn w:val="798"/>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798"/>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798"/>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798"/>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79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798"/>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798"/>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798"/>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798"/>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798"/>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798"/>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79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798"/>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798"/>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798"/>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798"/>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798"/>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798"/>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79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2" w:customStyle="1">
    <w:name w:val="List Table 5 Dark - Accent 1"/>
    <w:basedOn w:val="798"/>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3" w:customStyle="1">
    <w:name w:val="List Table 5 Dark - Accent 2"/>
    <w:basedOn w:val="798"/>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4" w:customStyle="1">
    <w:name w:val="List Table 5 Dark - Accent 3"/>
    <w:basedOn w:val="798"/>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5" w:customStyle="1">
    <w:name w:val="List Table 5 Dark - Accent 4"/>
    <w:basedOn w:val="798"/>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6" w:customStyle="1">
    <w:name w:val="List Table 5 Dark - Accent 5"/>
    <w:basedOn w:val="798"/>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7" w:customStyle="1">
    <w:name w:val="List Table 5 Dark - Accent 6"/>
    <w:basedOn w:val="798"/>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8" w:customStyle="1">
    <w:name w:val="List Table 6 Colorful"/>
    <w:basedOn w:val="79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9" w:customStyle="1">
    <w:name w:val="List Table 6 Colorful - Accent 1"/>
    <w:basedOn w:val="798"/>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0" w:customStyle="1">
    <w:name w:val="List Table 6 Colorful - Accent 2"/>
    <w:basedOn w:val="798"/>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1" w:customStyle="1">
    <w:name w:val="List Table 6 Colorful - Accent 3"/>
    <w:basedOn w:val="798"/>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2" w:customStyle="1">
    <w:name w:val="List Table 6 Colorful - Accent 4"/>
    <w:basedOn w:val="798"/>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3" w:customStyle="1">
    <w:name w:val="List Table 6 Colorful - Accent 5"/>
    <w:basedOn w:val="798"/>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4" w:customStyle="1">
    <w:name w:val="List Table 6 Colorful - Accent 6"/>
    <w:basedOn w:val="798"/>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5" w:customStyle="1">
    <w:name w:val="List Table 7 Colorful"/>
    <w:basedOn w:val="79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798"/>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798"/>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798"/>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798"/>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798"/>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798"/>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Lined - Accent 1"/>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4" w:customStyle="1">
    <w:name w:val="Lined - Accent 2"/>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5" w:customStyle="1">
    <w:name w:val="Lined - Accent 3"/>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6" w:customStyle="1">
    <w:name w:val="Lined - Accent 4"/>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79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79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0" w:customStyle="1">
    <w:name w:val="Bordered &amp; Lined - Accent 1"/>
    <w:basedOn w:val="798"/>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1" w:customStyle="1">
    <w:name w:val="Bordered &amp; Lined - Accent 2"/>
    <w:basedOn w:val="798"/>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2" w:customStyle="1">
    <w:name w:val="Bordered &amp; Lined - Accent 3"/>
    <w:basedOn w:val="798"/>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3" w:customStyle="1">
    <w:name w:val="Bordered &amp; Lined - Accent 4"/>
    <w:basedOn w:val="798"/>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798"/>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798"/>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79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7" w:customStyle="1">
    <w:name w:val="Bordered - Accent 1"/>
    <w:basedOn w:val="798"/>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798"/>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9" w:customStyle="1">
    <w:name w:val="Bordered - Accent 3"/>
    <w:basedOn w:val="798"/>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0" w:customStyle="1">
    <w:name w:val="Bordered - Accent 4"/>
    <w:basedOn w:val="798"/>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798"/>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798"/>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脚注文本 Char"/>
    <w:link w:val="820"/>
    <w:uiPriority w:val="99"/>
    <w:qFormat/>
    <w:rPr>
      <w:sz w:val="18"/>
    </w:rPr>
  </w:style>
  <w:style w:type="character" w:styleId="1004" w:customStyle="1">
    <w:name w:val="尾注文本 Char"/>
    <w:link w:val="813"/>
    <w:uiPriority w:val="99"/>
    <w:qFormat/>
    <w:rPr>
      <w:sz w:val="20"/>
    </w:rPr>
  </w:style>
  <w:style w:type="paragraph" w:styleId="1005" w:customStyle="1">
    <w:name w:val="TOC 标题11"/>
    <w:uiPriority w:val="39"/>
    <w:unhideWhenUsed/>
    <w:qFormat/>
  </w:style>
  <w:style w:type="paragraph" w:styleId="1006" w:customStyle="1">
    <w:name w:val="无间隔1"/>
    <w:uiPriority w:val="99"/>
    <w:qFormat/>
    <w:pPr>
      <w:spacing w:line="300" w:lineRule="auto"/>
      <w:widowControl w:val="off"/>
    </w:pPr>
    <w:rPr>
      <w:rFonts w:eastAsia="华文仿宋"/>
      <w:sz w:val="24"/>
      <w:szCs w:val="21"/>
    </w:rPr>
  </w:style>
  <w:style w:type="paragraph" w:styleId="1007" w:customStyle="1">
    <w:name w:val="正文首行缩进 21"/>
    <w:basedOn w:val="805"/>
    <w:uiPriority w:val="99"/>
    <w:unhideWhenUsed/>
    <w:qFormat/>
    <w:pPr>
      <w:ind w:firstLine="200"/>
    </w:pPr>
  </w:style>
  <w:style w:type="paragraph" w:styleId="1008" w:customStyle="1">
    <w:name w:val="表格文字"/>
    <w:basedOn w:val="787"/>
    <w:next w:val="804"/>
    <w:qFormat/>
    <w:pPr>
      <w:jc w:val="left"/>
      <w:spacing w:line="420" w:lineRule="atLeast"/>
      <w:widowControl/>
    </w:pPr>
    <w:rPr>
      <w:szCs w:val="24"/>
    </w:rPr>
  </w:style>
  <w:style w:type="character" w:styleId="1009" w:customStyle="1">
    <w:name w:val="页眉 Char"/>
    <w:link w:val="816"/>
    <w:qFormat/>
    <w:rPr>
      <w:rFonts w:ascii="Times New Roman" w:hAnsi="Times New Roman"/>
      <w:sz w:val="18"/>
      <w:szCs w:val="18"/>
    </w:rPr>
  </w:style>
  <w:style w:type="paragraph" w:styleId="1010">
    <w:name w:val="List Paragraph"/>
    <w:basedOn w:val="787"/>
    <w:uiPriority w:val="34"/>
    <w:qFormat/>
    <w:pPr>
      <w:ind w:firstLine="420"/>
    </w:pPr>
    <w:rPr>
      <w:szCs w:val="22"/>
    </w:rPr>
  </w:style>
  <w:style w:type="paragraph" w:styleId="1011" w:customStyle="1">
    <w:name w:val="正文缩进2格"/>
    <w:basedOn w:val="787"/>
    <w:qFormat/>
    <w:pPr>
      <w:ind w:firstLine="639"/>
      <w:spacing w:line="600" w:lineRule="exact"/>
    </w:pPr>
    <w:rPr>
      <w:rFonts w:ascii="仿宋_GB2312" w:hAnsi="宋体" w:eastAsia="仿宋_GB2312"/>
      <w:sz w:val="31"/>
      <w:szCs w:val="28"/>
    </w:rPr>
  </w:style>
  <w:style w:type="paragraph" w:styleId="1012" w:customStyle="1">
    <w:name w:val="Table Paragraph"/>
    <w:basedOn w:val="787"/>
    <w:uiPriority w:val="1"/>
    <w:qFormat/>
    <w:pPr>
      <w:ind w:left="107"/>
      <w:spacing w:before="31"/>
    </w:pPr>
    <w:rPr>
      <w:rFonts w:ascii="微软雅黑" w:hAnsi="微软雅黑" w:eastAsia="微软雅黑" w:cs="微软雅黑"/>
    </w:rPr>
  </w:style>
  <w:style w:type="table" w:styleId="1013" w:customStyle="1">
    <w:name w:val="Table Normal"/>
    <w:uiPriority w:val="2"/>
    <w:unhideWhenUsed/>
    <w:qFormat/>
    <w:tblPr>
      <w:tblCellMar>
        <w:left w:w="0" w:type="dxa"/>
        <w:top w:w="0" w:type="dxa"/>
        <w:right w:w="0" w:type="dxa"/>
        <w:bottom w:w="0" w:type="dxa"/>
      </w:tblCellMar>
    </w:tblPr>
  </w:style>
  <w:style w:type="paragraph" w:styleId="1014" w:customStyle="1">
    <w:name w:val="普通正文"/>
    <w:basedOn w:val="787"/>
    <w:uiPriority w:val="99"/>
    <w:qFormat/>
    <w:pPr>
      <w:ind w:firstLine="480"/>
      <w:jc w:val="left"/>
      <w:spacing w:before="120" w:after="120" w:line="360" w:lineRule="auto"/>
    </w:pPr>
    <w:rPr>
      <w:rFonts w:ascii="Arial" w:hAnsi="Arial" w:cs="Arial"/>
      <w:sz w:val="24"/>
      <w:szCs w:val="24"/>
    </w:rPr>
  </w:style>
  <w:style w:type="character" w:styleId="1015" w:customStyle="1">
    <w:name w:val="font12"/>
    <w:qFormat/>
    <w:rPr>
      <w:rFonts w:hint="default" w:ascii="方正仿宋_GBK" w:hAnsi="方正仿宋_GBK" w:eastAsia="方正仿宋_GBK" w:cs="方正仿宋_GBK"/>
      <w:b/>
      <w:bCs/>
      <w:color w:val="000000"/>
      <w:sz w:val="22"/>
      <w:szCs w:val="22"/>
      <w:u w:val="none"/>
    </w:rPr>
  </w:style>
  <w:style w:type="character" w:styleId="1016" w:customStyle="1">
    <w:name w:val="font61"/>
    <w:qFormat/>
    <w:rPr>
      <w:rFonts w:hint="default" w:ascii="方正仿宋_GBK" w:hAnsi="方正仿宋_GBK" w:eastAsia="方正仿宋_GBK" w:cs="方正仿宋_GBK"/>
      <w:color w:val="000000"/>
      <w:sz w:val="22"/>
      <w:szCs w:val="22"/>
      <w:u w:val="none"/>
    </w:rPr>
  </w:style>
  <w:style w:type="character" w:styleId="1017" w:customStyle="1">
    <w:name w:val="font71"/>
    <w:qFormat/>
    <w:rPr>
      <w:rFonts w:hint="default" w:ascii="Arial" w:hAnsi="Arial" w:cs="Arial"/>
      <w:color w:val="000000"/>
      <w:sz w:val="22"/>
      <w:szCs w:val="22"/>
      <w:u w:val="none"/>
    </w:rPr>
  </w:style>
  <w:style w:type="character" w:styleId="1018" w:customStyle="1">
    <w:name w:val="font21"/>
    <w:qFormat/>
    <w:rPr>
      <w:rFonts w:hint="eastAsia" w:ascii="等线" w:hAnsi="等线" w:eastAsia="等线" w:cs="等线"/>
      <w:color w:val="000000"/>
      <w:sz w:val="22"/>
      <w:szCs w:val="22"/>
      <w:u w:val="none"/>
    </w:rPr>
  </w:style>
  <w:style w:type="character" w:styleId="1019" w:customStyle="1">
    <w:name w:val="font31"/>
    <w:qFormat/>
    <w:rPr>
      <w:rFonts w:hint="default" w:ascii="方正仿宋_GBK" w:hAnsi="方正仿宋_GBK" w:eastAsia="方正仿宋_GBK" w:cs="方正仿宋_GBK"/>
      <w:color w:val="000000"/>
      <w:sz w:val="22"/>
      <w:szCs w:val="22"/>
      <w:u w:val="none"/>
    </w:rPr>
  </w:style>
  <w:style w:type="character" w:styleId="1020" w:customStyle="1">
    <w:name w:val="font122"/>
    <w:qFormat/>
    <w:rPr>
      <w:rFonts w:hint="eastAsia" w:ascii="等线" w:hAnsi="等线" w:eastAsia="等线" w:cs="等线"/>
      <w:color w:val="000000"/>
      <w:sz w:val="22"/>
      <w:szCs w:val="22"/>
      <w:u w:val="none"/>
    </w:rPr>
  </w:style>
  <w:style w:type="character" w:styleId="1021" w:customStyle="1">
    <w:name w:val="font51"/>
    <w:qFormat/>
    <w:rPr>
      <w:rFonts w:hint="default" w:ascii="Arial" w:hAnsi="Arial" w:cs="Arial"/>
      <w:b/>
      <w:bCs/>
      <w:color w:val="000000"/>
      <w:sz w:val="22"/>
      <w:szCs w:val="22"/>
      <w:u w:val="none"/>
    </w:rPr>
  </w:style>
  <w:style w:type="paragraph" w:styleId="1022" w:customStyle="1">
    <w:name w:val="ZX-正文"/>
    <w:qFormat/>
    <w:pPr>
      <w:ind w:firstLine="480"/>
    </w:pPr>
    <w:rPr>
      <w:rFonts w:ascii="Trebuchet MS" w:hAnsi="FuturaA Bk BT"/>
      <w:sz w:val="24"/>
    </w:rPr>
  </w:style>
  <w:style w:type="character" w:styleId="1023" w:customStyle="1">
    <w:name w:val="c-icon"/>
    <w:qFormat/>
  </w:style>
  <w:style w:type="character" w:styleId="1024" w:customStyle="1">
    <w:name w:val="ec_d20_recomm_link"/>
    <w:qFormat/>
    <w:rPr>
      <w:shd w:val="clear" w:color="auto" w:fill="f5f5f6"/>
    </w:rPr>
  </w:style>
  <w:style w:type="character" w:styleId="1025" w:customStyle="1">
    <w:name w:val="hover28"/>
    <w:qFormat/>
    <w:rPr>
      <w:color w:val="315efb"/>
    </w:rPr>
  </w:style>
  <w:style w:type="character" w:styleId="1026" w:customStyle="1">
    <w:name w:val="hover29"/>
    <w:qFormat/>
  </w:style>
  <w:style w:type="character" w:styleId="1027" w:customStyle="1">
    <w:name w:val="c-icon32"/>
    <w:qFormat/>
  </w:style>
  <w:style w:type="paragraph" w:styleId="1028" w:customStyle="1">
    <w:name w:val="正文自设"/>
    <w:basedOn w:val="801"/>
    <w:qFormat/>
    <w:pPr>
      <w:ind w:firstLine="502"/>
      <w:spacing w:line="350" w:lineRule="exact"/>
    </w:pPr>
    <w:rPr>
      <w:rFonts w:ascii="宋体" w:hAnsi="宋体"/>
      <w:b/>
      <w:bCs/>
      <w:sz w:val="25"/>
      <w:szCs w:val="25"/>
    </w:rPr>
  </w:style>
  <w:style w:type="character" w:styleId="1029" w:customStyle="1">
    <w:name w:val="NormalCharacter"/>
    <w:qFormat/>
  </w:style>
  <w:style w:type="paragraph" w:styleId="1030" w:customStyle="1">
    <w:name w:val="文档正文"/>
    <w:basedOn w:val="787"/>
    <w:qFormat/>
    <w:pPr>
      <w:ind w:firstLine="567"/>
      <w:spacing w:line="312" w:lineRule="atLeast"/>
    </w:pPr>
    <w:rPr>
      <w:rFonts w:ascii="长城仿宋" w:eastAsia="长城仿宋"/>
      <w:sz w:val="28"/>
    </w:rPr>
  </w:style>
  <w:style w:type="paragraph" w:styleId="1031" w:customStyle="1">
    <w:name w:val="普通(网站) Char Char"/>
    <w:basedOn w:val="787"/>
    <w:qFormat/>
    <w:pPr>
      <w:jc w:val="left"/>
      <w:spacing w:before="100" w:beforeAutospacing="1" w:after="100" w:afterAutospacing="1"/>
      <w:widowControl/>
    </w:pPr>
    <w:rPr>
      <w:rFonts w:hint="eastAsia" w:ascii="宋体" w:hAnsi="宋体"/>
      <w:sz w:val="24"/>
      <w:szCs w:val="24"/>
    </w:rPr>
  </w:style>
  <w:style w:type="paragraph" w:styleId="1032" w:customStyle="1">
    <w:name w:val="章正文"/>
    <w:basedOn w:val="787"/>
    <w:qFormat/>
    <w:pPr>
      <w:ind w:firstLine="480"/>
      <w:spacing w:after="120" w:line="300" w:lineRule="auto"/>
    </w:pPr>
    <w:rPr>
      <w:rFonts w:ascii="Helvetica" w:hAnsi="Helvetica"/>
      <w:sz w:val="24"/>
    </w:rPr>
  </w:style>
  <w:style w:type="paragraph" w:styleId="1033" w:customStyle="1">
    <w:name w:val="标题 5（有编号）（绿盟科技）"/>
    <w:basedOn w:val="787"/>
    <w:next w:val="1034"/>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34" w:customStyle="1">
    <w:name w:val="正文（绿盟科技）"/>
    <w:qFormat/>
    <w:pPr>
      <w:spacing w:line="300" w:lineRule="auto"/>
    </w:pPr>
    <w:rPr>
      <w:rFonts w:ascii="Arial" w:hAnsi="Arial" w:cs="黑体"/>
      <w:sz w:val="21"/>
      <w:szCs w:val="21"/>
    </w:rPr>
  </w:style>
  <w:style w:type="paragraph" w:styleId="1035" w:customStyle="1">
    <w:name w:val="msonormalcxspmiddle"/>
    <w:basedOn w:val="787"/>
    <w:qFormat/>
    <w:pPr>
      <w:jc w:val="left"/>
      <w:spacing w:before="100" w:beforeAutospacing="1" w:after="100" w:afterAutospacing="1"/>
      <w:widowControl/>
    </w:pPr>
    <w:rPr>
      <w:rFonts w:ascii="宋体" w:hAnsi="宋体" w:cs="宋体"/>
      <w:sz w:val="24"/>
      <w:szCs w:val="24"/>
    </w:rPr>
  </w:style>
  <w:style w:type="paragraph" w:styleId="1036" w:customStyle="1">
    <w:name w:val="段"/>
    <w:next w:val="787"/>
    <w:qFormat/>
    <w:pPr>
      <w:ind w:firstLine="200"/>
      <w:jc w:val="both"/>
      <w:widowControl w:val="off"/>
    </w:pPr>
    <w:rPr>
      <w:rFonts w:ascii="宋体" w:hAnsi="宋体" w:cs="宋体"/>
      <w:color w:val="000000"/>
      <w:sz w:val="21"/>
      <w:szCs w:val="21"/>
    </w:rPr>
  </w:style>
  <w:style w:type="paragraph" w:styleId="1037" w:customStyle="1">
    <w:name w:val="正文 A"/>
    <w:next w:val="1036"/>
    <w:uiPriority w:val="99"/>
    <w:qFormat/>
    <w:pPr>
      <w:jc w:val="both"/>
      <w:widowControl w:val="off"/>
    </w:pPr>
    <w:rPr>
      <w:color w:val="000000"/>
      <w:sz w:val="21"/>
      <w:szCs w:val="21"/>
    </w:rPr>
  </w:style>
  <w:style w:type="paragraph" w:styleId="1038" w:customStyle="1">
    <w:name w:val="Body text|1"/>
    <w:basedOn w:val="787"/>
    <w:qFormat/>
    <w:pPr>
      <w:ind w:firstLine="400"/>
      <w:spacing w:line="374" w:lineRule="auto"/>
    </w:pPr>
    <w:rPr>
      <w:rFonts w:ascii="宋体" w:hAnsi="宋体" w:cs="宋体"/>
      <w:sz w:val="22"/>
      <w:szCs w:val="22"/>
      <w:lang w:val="zh-TW" w:eastAsia="zh-TW" w:bidi="zh-TW"/>
    </w:rPr>
  </w:style>
  <w:style w:type="paragraph" w:styleId="1039" w:customStyle="1">
    <w:name w:val="正文缩进1"/>
    <w:basedOn w:val="787"/>
    <w:qFormat/>
    <w:pPr>
      <w:ind w:firstLine="420"/>
      <w:jc w:val="left"/>
    </w:pPr>
    <w:rPr>
      <w:rFonts w:ascii="宋体" w:hAnsi="Calibri"/>
      <w:sz w:val="24"/>
      <w:szCs w:val="22"/>
    </w:rPr>
  </w:style>
  <w:style w:type="paragraph" w:styleId="1040" w:customStyle="1">
    <w:name w:val="List Paragraph1"/>
    <w:basedOn w:val="787"/>
    <w:next w:val="1041"/>
    <w:qFormat/>
    <w:pPr>
      <w:ind w:firstLine="420"/>
    </w:pPr>
    <w:rPr>
      <w:rFonts w:hAnsi="宋体" w:cs="宋体"/>
    </w:rPr>
  </w:style>
  <w:style w:type="paragraph" w:styleId="1041" w:customStyle="1">
    <w:name w:val="Char Char Char Char"/>
    <w:basedOn w:val="787"/>
    <w:qFormat/>
    <w:rPr>
      <w:rFonts w:ascii="Tahoma" w:hAnsi="Tahoma"/>
      <w:sz w:val="24"/>
    </w:rPr>
  </w:style>
  <w:style w:type="paragraph" w:styleId="1042" w:customStyle="1">
    <w:name w:val="正文文本11"/>
    <w:basedOn w:val="787"/>
    <w:uiPriority w:val="99"/>
    <w:qFormat/>
    <w:rPr>
      <w:rFonts w:ascii="楷体_GB2312" w:hAnsi="Arial" w:eastAsia="楷体_GB2312"/>
      <w:sz w:val="28"/>
    </w:rPr>
  </w:style>
  <w:style w:type="paragraph" w:styleId="1043" w:customStyle="1">
    <w:name w:val="AONormal"/>
    <w:qFormat/>
    <w:pPr>
      <w:ind w:firstLine="440"/>
      <w:spacing w:line="400" w:lineRule="exact"/>
    </w:pPr>
    <w:rPr>
      <w:rFonts w:ascii="华文楷体" w:hAnsi="华文楷体" w:eastAsia="华文楷体" w:cs="华文楷体"/>
      <w:sz w:val="22"/>
      <w:szCs w:val="21"/>
    </w:rPr>
  </w:style>
  <w:style w:type="paragraph" w:styleId="1044" w:customStyle="1">
    <w:name w:val="标题 21"/>
    <w:basedOn w:val="787"/>
    <w:next w:val="787"/>
    <w:qFormat/>
    <w:pPr>
      <w:jc w:val="center"/>
      <w:keepLines/>
      <w:keepNext/>
      <w:spacing w:before="260" w:after="260" w:line="416" w:lineRule="auto"/>
      <w:outlineLvl w:val="1"/>
    </w:pPr>
    <w:rPr>
      <w:rFonts w:ascii="Arial" w:hAnsi="Arial" w:eastAsia="幼圆" w:cs="Arial"/>
      <w:b/>
      <w:bCs/>
      <w:sz w:val="44"/>
      <w:szCs w:val="44"/>
    </w:rPr>
  </w:style>
  <w:style w:type="table" w:styleId="1045" w:customStyle="1">
    <w:name w:val="网格型61"/>
    <w:basedOn w:val="79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46" w:customStyle="1">
    <w:name w:val="正文首行缩进2"/>
    <w:basedOn w:val="1047"/>
    <w:qFormat/>
    <w:pPr>
      <w:ind w:firstLine="200"/>
      <w:spacing w:line="360" w:lineRule="auto"/>
    </w:pPr>
    <w:rPr>
      <w:rFonts w:ascii="仿宋_GB2312" w:hAnsi="Times New Roman" w:eastAsia="仿宋_GB2312"/>
      <w:sz w:val="30"/>
      <w:szCs w:val="30"/>
    </w:rPr>
  </w:style>
  <w:style w:type="paragraph" w:styleId="1047" w:customStyle="1">
    <w:name w:val="正文文本2"/>
    <w:basedOn w:val="787"/>
    <w:next w:val="787"/>
    <w:qFormat/>
    <w:rPr>
      <w:rFonts w:ascii="楷体_GB2312" w:hAnsi="Arial" w:eastAsia="楷体_GB2312"/>
      <w:sz w:val="28"/>
      <w:szCs w:val="28"/>
    </w:rPr>
  </w:style>
  <w:style w:type="paragraph" w:styleId="1048" w:customStyle="1">
    <w:name w:val="索引 11"/>
    <w:basedOn w:val="787"/>
    <w:next w:val="787"/>
    <w:qFormat/>
    <w:pPr>
      <w:spacing w:line="360" w:lineRule="auto"/>
    </w:pPr>
    <w:rPr>
      <w:rFonts w:ascii="仿宋_GB2312" w:eastAsia="仿宋_GB2312"/>
      <w:sz w:val="24"/>
    </w:rPr>
  </w:style>
  <w:style w:type="paragraph" w:styleId="1049" w:customStyle="1">
    <w:name w:val="纯文本1"/>
    <w:basedOn w:val="787"/>
    <w:qFormat/>
    <w:rPr>
      <w:rFonts w:ascii="宋体" w:hAnsi="Courier New" w:eastAsiaTheme="minorEastAsia" w:cstheme="minorBidi"/>
      <w:szCs w:val="22"/>
    </w:rPr>
  </w:style>
  <w:style w:type="paragraph" w:styleId="1050" w:customStyle="1">
    <w:name w:val="Char"/>
    <w:basedOn w:val="787"/>
    <w:qFormat/>
    <w:pPr>
      <w:jc w:val="left"/>
      <w:tabs>
        <w:tab w:val="left" w:pos="360" w:leader="none"/>
      </w:tabs>
    </w:pPr>
    <w:rPr>
      <w:sz w:val="24"/>
    </w:rPr>
  </w:style>
  <w:style w:type="paragraph" w:styleId="1051" w:customStyle="1">
    <w:name w:val="sh4"/>
    <w:basedOn w:val="787"/>
    <w:uiPriority w:val="99"/>
    <w:qFormat/>
    <w:pPr>
      <w:ind w:firstLine="420"/>
      <w:spacing w:line="460" w:lineRule="exact"/>
    </w:pPr>
    <w:rPr>
      <w:rFonts w:ascii="宋体" w:hAnsi="宋体"/>
      <w:szCs w:val="21"/>
    </w:rPr>
  </w:style>
  <w:style w:type="paragraph" w:styleId="1052" w:customStyle="1">
    <w:name w:val="DAS正文"/>
    <w:basedOn w:val="787"/>
    <w:qFormat/>
    <w:pPr>
      <w:ind w:right="181" w:firstLine="480"/>
      <w:spacing w:line="360" w:lineRule="auto"/>
    </w:pPr>
    <w:rPr>
      <w:rFonts w:ascii="Verdana" w:hAnsi="Verdana"/>
      <w:szCs w:val="24"/>
    </w:rPr>
  </w:style>
  <w:style w:type="paragraph" w:styleId="1053" w:customStyle="1">
    <w:name w:val="正文首行缩进11"/>
    <w:basedOn w:val="854"/>
    <w:qFormat/>
    <w:pPr>
      <w:ind w:firstLine="200"/>
      <w:spacing w:line="360" w:lineRule="auto"/>
    </w:pPr>
    <w:rPr>
      <w:rFonts w:ascii="仿宋_GB2312" w:hAnsi="Times New Roman" w:eastAsia="仿宋_GB2312"/>
      <w:sz w:val="30"/>
      <w:szCs w:val="30"/>
    </w:rPr>
  </w:style>
  <w:style w:type="paragraph" w:styleId="1054" w:customStyle="1">
    <w:name w:val="标题 41"/>
    <w:basedOn w:val="787"/>
    <w:next w:val="787"/>
    <w:qFormat/>
    <w:pPr>
      <w:jc w:val="center"/>
      <w:keepNext/>
      <w:outlineLvl w:val="3"/>
    </w:pPr>
    <w:rPr>
      <w:rFonts w:eastAsia="新宋体"/>
      <w:sz w:val="30"/>
      <w:szCs w:val="21"/>
    </w:rPr>
  </w:style>
  <w:style w:type="character" w:styleId="1055" w:customStyle="1">
    <w:name w:val="批注文字 Char"/>
    <w:basedOn w:val="797"/>
    <w:link w:val="803"/>
    <w:qFormat/>
    <w:rPr>
      <w:sz w:val="21"/>
    </w:rPr>
  </w:style>
  <w:style w:type="character" w:styleId="1056" w:customStyle="1">
    <w:name w:val="批注主题 Char"/>
    <w:basedOn w:val="1055"/>
    <w:link w:val="828"/>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 Id="rId18" Type="http://schemas.openxmlformats.org/officeDocument/2006/relationships/hyperlink" Target="https://zxgk.court.gov.cn/shixin/" TargetMode="External"/><Relationship Id="rId19" Type="http://schemas.openxmlformats.org/officeDocument/2006/relationships/hyperlink" Target="https://www.creditchina.gov.cn/zhuanxiangchaxun/zhongdashuishouweifaanjian/" TargetMode="External"/><Relationship Id="rId20" Type="http://schemas.openxmlformats.org/officeDocument/2006/relationships/hyperlink" Target="https://www.creditchina.gov.cn/zhuanxiangchaxun/zhengfucaigouyanzhongweifashixinmingdan/" TargetMode="External"/><Relationship Id="rId21" Type="http://schemas.openxmlformats.org/officeDocument/2006/relationships/hyperlink" Target="https://www.creditchina.gov.cn/xinxigongshi/shixinheimingdan/" TargetMode="External"/><Relationship Id="rId22" Type="http://schemas.openxmlformats.org/officeDocument/2006/relationships/hyperlink" Target="https://www.creditchina.gov.cn/xinxigongshi/zhongdianguanzhushixinmingdan/" TargetMode="External"/><Relationship Id="rId23" Type="http://schemas.openxmlformats.org/officeDocument/2006/relationships/hyperlink" Target="http://jszfcg.jsczt.cn/&#65289;&#30456;&#20851;&#35201;&#27714;&#26159;&#26412;&#37319;&#36141;&#25991;&#20214;&#30340;&#32452;&#25104;&#37096;&#20998;&#12290;" TargetMode="External"/><Relationship Id="rId24" Type="http://schemas.openxmlformats.org/officeDocument/2006/relationships/hyperlink" Target="http://ggzyjy.nantong.gov.cn/NTdzbhweb/supermarket/"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D385903-7258-410A-AF09-B96EEC52CBC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朱劲夫</cp:lastModifiedBy>
  <cp:revision>44</cp:revision>
  <dcterms:created xsi:type="dcterms:W3CDTF">2026-03-17T01:08:00Z</dcterms:created>
  <dcterms:modified xsi:type="dcterms:W3CDTF">2026-09-02T02:40:39Z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06D2855311034DE1A0BC2A1FD2B04FBD_13</vt:lpwstr>
  </property>
  <property fmtid="{D5CDD505-2E9C-101B-9397-08002B2CF9AE}" pid="4" name="KSOTemplateDocerSaveRecord">
    <vt:lpwstr>eyJoZGlkIjoiMDNiMjdhZThkOWNkMzE3MjlhNTAyNGUxZDAzMzBmZWUiLCJ1c2VySWQiOiI1ODIwOTQ5MzkifQ==</vt:lpwstr>
  </property>
</Properties>
</file>