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hd w:val="clear"/>
        <w:spacing w:line="300" w:lineRule="auto"/>
        <w:jc w:val="center"/>
        <w:outlineLvl w:val="9"/>
        <w:rPr>
          <w:rFonts w:ascii="宋体" w:hAnsi="宋体" w:cs="宋体"/>
          <w:bCs/>
          <w:color w:val="auto"/>
          <w:spacing w:val="20"/>
          <w:sz w:val="72"/>
          <w:szCs w:val="72"/>
          <w:highlight w:val="none"/>
        </w:rPr>
      </w:pPr>
      <w:r>
        <w:rPr>
          <w:rFonts w:hint="eastAsia" w:ascii="宋体" w:hAnsi="宋体" w:cs="宋体"/>
          <w:bCs/>
          <w:color w:val="auto"/>
          <w:spacing w:val="20"/>
          <w:sz w:val="72"/>
          <w:szCs w:val="72"/>
          <w:highlight w:val="none"/>
        </w:rPr>
        <w:t>无锡市新吴区政府采购</w:t>
      </w:r>
    </w:p>
    <w:p>
      <w:pPr>
        <w:shd w:val="clear"/>
        <w:spacing w:line="300" w:lineRule="auto"/>
        <w:outlineLvl w:val="9"/>
        <w:rPr>
          <w:rFonts w:ascii="宋体" w:hAnsi="宋体" w:cs="宋体"/>
          <w:bCs/>
          <w:color w:val="auto"/>
          <w:sz w:val="30"/>
          <w:highlight w:val="none"/>
        </w:rPr>
      </w:pPr>
    </w:p>
    <w:p>
      <w:pPr>
        <w:shd w:val="clear"/>
        <w:spacing w:line="300" w:lineRule="auto"/>
        <w:jc w:val="left"/>
        <w:outlineLvl w:val="9"/>
        <w:rPr>
          <w:rFonts w:hint="eastAsia" w:ascii="宋体" w:hAnsi="宋体" w:cs="宋体"/>
          <w:b/>
          <w:color w:val="auto"/>
          <w:spacing w:val="20"/>
          <w:sz w:val="72"/>
          <w:szCs w:val="72"/>
          <w:highlight w:val="none"/>
        </w:rPr>
      </w:pPr>
    </w:p>
    <w:p>
      <w:pPr>
        <w:shd w:val="clear"/>
        <w:spacing w:line="300" w:lineRule="auto"/>
        <w:jc w:val="center"/>
        <w:outlineLvl w:val="9"/>
        <w:rPr>
          <w:rFonts w:hint="eastAsia" w:ascii="宋体" w:hAnsi="宋体" w:cs="宋体"/>
          <w:b/>
          <w:color w:val="auto"/>
          <w:spacing w:val="20"/>
          <w:sz w:val="72"/>
          <w:szCs w:val="72"/>
          <w:highlight w:val="none"/>
        </w:rPr>
      </w:pPr>
    </w:p>
    <w:p>
      <w:pPr>
        <w:shd w:val="clear"/>
        <w:spacing w:line="300" w:lineRule="auto"/>
        <w:jc w:val="center"/>
        <w:outlineLvl w:val="9"/>
        <w:rPr>
          <w:rFonts w:ascii="宋体" w:hAnsi="宋体" w:cs="宋体"/>
          <w:b/>
          <w:color w:val="auto"/>
          <w:spacing w:val="20"/>
          <w:sz w:val="72"/>
          <w:szCs w:val="72"/>
          <w:highlight w:val="none"/>
        </w:rPr>
      </w:pPr>
      <w:r>
        <w:rPr>
          <w:rFonts w:hint="eastAsia" w:ascii="宋体" w:hAnsi="宋体" w:cs="宋体"/>
          <w:b/>
          <w:color w:val="auto"/>
          <w:spacing w:val="20"/>
          <w:sz w:val="72"/>
          <w:szCs w:val="72"/>
          <w:highlight w:val="none"/>
        </w:rPr>
        <w:t>公   开</w:t>
      </w:r>
    </w:p>
    <w:p>
      <w:pPr>
        <w:shd w:val="clear"/>
        <w:spacing w:line="300" w:lineRule="auto"/>
        <w:jc w:val="center"/>
        <w:outlineLvl w:val="9"/>
        <w:rPr>
          <w:rFonts w:ascii="宋体" w:hAnsi="宋体" w:cs="宋体"/>
          <w:b/>
          <w:color w:val="auto"/>
          <w:spacing w:val="20"/>
          <w:sz w:val="72"/>
          <w:szCs w:val="72"/>
          <w:highlight w:val="none"/>
        </w:rPr>
      </w:pPr>
      <w:r>
        <w:rPr>
          <w:color w:val="auto"/>
          <w:highlight w:val="none"/>
        </w:rP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CnPr/>
                      <wps:spPr>
                        <a:xfrm>
                          <a:off x="0" y="0"/>
                          <a:ext cx="635" cy="0"/>
                        </a:xfrm>
                        <a:prstGeom prst="line">
                          <a:avLst/>
                        </a:prstGeom>
                        <a:ln w="1778"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8.95pt;margin-top:15.6pt;height:0pt;width:0.05pt;z-index:251659264;mso-width-relative:page;mso-height-relative:page;" filled="f" stroked="t" coordsize="21600,21600" o:allowincell="f" o:gfxdata="UEsDBAoAAAAAAIdO4kAAAAAAAAAAAAAAAAAEAAAAZHJzL1BLAwQUAAAACACHTuJAWtLKjdUAAAAJ&#10;AQAADwAAAGRycy9kb3ducmV2LnhtbE2Py07DMBBF90j8gzVI7FrHLSptGqcCJFiwI60ESzeePCAe&#10;R7b74O8ZxKIs587RfRSbsxvEEUPsPWlQ0wwEUu1tT62G3fZ5sgQRkyFrBk+o4RsjbMrrq8Lk1p/o&#10;DY9VagWbUMyNhi6lMZcy1h06E6d+ROJf44Mzic/QShvMic3dIGdZtpDO9MQJnRnxqcP6qzo4DR9h&#10;Xj00Su7eF5/t48v2Trrla6P17Y3K1iASntMFht/6XB1K7rT3B7JRDBom6n7FqIa5moFggAXesv8T&#10;ZFnI/wvKH1BLAwQUAAAACACHTuJAq2otdNYBAACSAwAADgAAAGRycy9lMm9Eb2MueG1srVNLbhNB&#10;EN0jcYdW7/HYQSRo5HEWMWGDwFLgAOX+zLTUP3V1PPYluAASO1hlmX1uQzgG1W3H4bNBCC/K1dXV&#10;r+q9qpmfb51lG5XQBN/x2WTKmfIiSOP7jn94f/nsJWeYwUuwwauO7xTy88XTJ/MxtuokDMFKlRiB&#10;eGzH2PEh59g2DYpBOcBJiMrTpQ7JQaZj6huZYCR0Z5uT6fS0GUOSMQWhECm63F/yRcXXWon8TmtU&#10;mdmOU2+52lTtuthmMYe2TxAHIw5twD904cB4KnqEWkIGdp3MH1DOiBQw6DwRwTVBayNU5UBsZtPf&#10;2FwNEFXlQuJgPMqE/w9WvN2sEjOSZseZB0cjuv90++3jl+93n8ne33xlsyLSGLGl3Au/SocTxlUq&#10;jLc6ufJPXNi2Crs7Cqu2mQkKnj5/wZl4iDePj2LC/FoFx4rTcWt84QstbN5gpkKU+pBSwtazkTo9&#10;O6OtEkDroi1kcl0kAuj7+haDNfLSWFteYOrXFzaxDZQFqL9Ch3B/SStFloDDPq9e7VdjUCBfecny&#10;LpI0nnaYlxackpxZRStfPAKENoOxf5NJpa2nDoqiew2Ltw5yR4O4jsn0AylRRa85NPja72FJy2b9&#10;fK5Ij5/S4g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a0sqN1QAAAAkBAAAPAAAAAAAAAAEAIAAA&#10;ACIAAABkcnMvZG93bnJldi54bWxQSwECFAAUAAAACACHTuJAq2otdNYBAACSAwAADgAAAAAAAAAB&#10;ACAAAAAkAQAAZHJzL2Uyb0RvYy54bWxQSwUGAAAAAAYABgBZAQAAbAUAAAAA&#10;">
                <v:fill on="f" focussize="0,0"/>
                <v:stroke weight="0.14pt" color="#000000" joinstyle="round"/>
                <v:imagedata o:title=""/>
                <o:lock v:ext="edit" aspectratio="f"/>
              </v:line>
            </w:pict>
          </mc:Fallback>
        </mc:AlternateContent>
      </w:r>
      <w:r>
        <w:rPr>
          <w:rFonts w:hint="eastAsia" w:ascii="宋体" w:hAnsi="宋体" w:cs="宋体"/>
          <w:b/>
          <w:color w:val="auto"/>
          <w:spacing w:val="20"/>
          <w:sz w:val="72"/>
          <w:szCs w:val="72"/>
          <w:highlight w:val="none"/>
        </w:rPr>
        <w:t>招  标  文 件</w:t>
      </w:r>
    </w:p>
    <w:p>
      <w:pPr>
        <w:shd w:val="clear"/>
        <w:tabs>
          <w:tab w:val="left" w:pos="9921"/>
        </w:tabs>
        <w:jc w:val="center"/>
        <w:outlineLvl w:val="9"/>
        <w:rPr>
          <w:rFonts w:ascii="宋体" w:hAnsi="宋体" w:cs="宋体"/>
          <w:bCs/>
          <w:color w:val="auto"/>
          <w:sz w:val="30"/>
          <w:highlight w:val="none"/>
        </w:rPr>
      </w:pPr>
      <w:r>
        <w:rPr>
          <w:rFonts w:hint="eastAsia" w:ascii="宋体" w:hAnsi="宋体" w:cs="宋体"/>
          <w:bCs/>
          <w:color w:val="auto"/>
          <w:sz w:val="30"/>
          <w:highlight w:val="none"/>
        </w:rPr>
        <w:t>（全流程电子化）</w:t>
      </w:r>
    </w:p>
    <w:p>
      <w:pPr>
        <w:shd w:val="clear"/>
        <w:spacing w:line="360" w:lineRule="auto"/>
        <w:jc w:val="center"/>
        <w:outlineLvl w:val="9"/>
        <w:rPr>
          <w:rFonts w:ascii="宋体" w:hAnsi="宋体" w:cs="宋体"/>
          <w:b/>
          <w:color w:val="auto"/>
          <w:sz w:val="24"/>
          <w:highlight w:val="none"/>
        </w:rPr>
      </w:pPr>
    </w:p>
    <w:p>
      <w:pPr>
        <w:shd w:val="clear"/>
        <w:spacing w:line="360" w:lineRule="auto"/>
        <w:jc w:val="center"/>
        <w:outlineLvl w:val="9"/>
        <w:rPr>
          <w:rFonts w:ascii="宋体" w:hAnsi="宋体" w:cs="宋体"/>
          <w:b/>
          <w:color w:val="auto"/>
          <w:sz w:val="24"/>
          <w:highlight w:val="none"/>
        </w:rPr>
      </w:pPr>
    </w:p>
    <w:p>
      <w:pPr>
        <w:shd w:val="clear"/>
        <w:spacing w:before="95" w:after="95" w:line="360" w:lineRule="auto"/>
        <w:outlineLvl w:val="9"/>
        <w:rPr>
          <w:rFonts w:hint="eastAsia" w:ascii="宋体" w:hAnsi="宋体" w:cs="宋体"/>
          <w:b/>
          <w:color w:val="auto"/>
          <w:sz w:val="32"/>
          <w:szCs w:val="32"/>
          <w:highlight w:val="none"/>
          <w:lang w:eastAsia="zh-CN"/>
        </w:rPr>
      </w:pPr>
    </w:p>
    <w:p>
      <w:pPr>
        <w:shd w:val="clear"/>
        <w:spacing w:before="95" w:after="95" w:line="360" w:lineRule="auto"/>
        <w:outlineLvl w:val="9"/>
        <w:rPr>
          <w:rFonts w:hint="eastAsia" w:ascii="宋体" w:hAnsi="宋体" w:eastAsia="Arial" w:cs="宋体"/>
          <w:b/>
          <w:color w:val="auto"/>
          <w:sz w:val="32"/>
          <w:szCs w:val="32"/>
          <w:highlight w:val="none"/>
          <w:lang w:eastAsia="zh-CN"/>
        </w:rPr>
      </w:pPr>
      <w:r>
        <w:rPr>
          <w:rFonts w:hint="eastAsia" w:ascii="宋体" w:hAnsi="宋体" w:cs="宋体"/>
          <w:b/>
          <w:color w:val="auto"/>
          <w:sz w:val="32"/>
          <w:szCs w:val="32"/>
          <w:highlight w:val="none"/>
          <w:lang w:eastAsia="zh-CN"/>
        </w:rPr>
        <w:t>采购项目编号</w:t>
      </w:r>
      <w:r>
        <w:rPr>
          <w:rFonts w:hint="eastAsia" w:ascii="宋体" w:hAnsi="宋体" w:cs="宋体"/>
          <w:b/>
          <w:color w:val="auto"/>
          <w:sz w:val="32"/>
          <w:szCs w:val="32"/>
          <w:highlight w:val="none"/>
        </w:rPr>
        <w:t>：</w:t>
      </w:r>
      <w:r>
        <w:rPr>
          <w:rFonts w:hint="eastAsia" w:ascii="宋体" w:hAnsi="宋体" w:cs="宋体"/>
          <w:b/>
          <w:color w:val="auto"/>
          <w:sz w:val="32"/>
          <w:szCs w:val="32"/>
          <w:highlight w:val="none"/>
          <w:lang w:eastAsia="zh-CN"/>
        </w:rPr>
        <w:t>JSZC-320292-BJZC-G2026-0014</w:t>
      </w:r>
    </w:p>
    <w:p>
      <w:pPr>
        <w:shd w:val="clear"/>
        <w:spacing w:before="95" w:after="95" w:line="360" w:lineRule="auto"/>
        <w:outlineLvl w:val="9"/>
        <w:rPr>
          <w:rFonts w:hint="eastAsia" w:ascii="宋体" w:hAnsi="宋体" w:cs="宋体"/>
          <w:b/>
          <w:color w:val="auto"/>
          <w:sz w:val="32"/>
          <w:szCs w:val="32"/>
          <w:highlight w:val="none"/>
        </w:rPr>
      </w:pPr>
      <w:r>
        <w:rPr>
          <w:rFonts w:hint="eastAsia" w:ascii="宋体" w:hAnsi="宋体" w:cs="宋体"/>
          <w:b/>
          <w:color w:val="auto"/>
          <w:sz w:val="32"/>
          <w:szCs w:val="32"/>
          <w:highlight w:val="none"/>
        </w:rPr>
        <w:t>采购项目名称：</w:t>
      </w:r>
      <w:r>
        <w:rPr>
          <w:rFonts w:hint="eastAsia" w:ascii="宋体" w:hAnsi="宋体" w:cs="宋体"/>
          <w:b/>
          <w:color w:val="auto"/>
          <w:sz w:val="32"/>
          <w:szCs w:val="32"/>
          <w:highlight w:val="none"/>
          <w:lang w:eastAsia="zh-CN"/>
        </w:rPr>
        <w:t>2026-2027年太湖街道污水管网及设施运行维护作业权项目</w:t>
      </w:r>
    </w:p>
    <w:p>
      <w:pPr>
        <w:shd w:val="clear"/>
        <w:spacing w:before="95" w:after="95" w:line="360" w:lineRule="auto"/>
        <w:outlineLvl w:val="9"/>
        <w:rPr>
          <w:rFonts w:hint="eastAsia" w:ascii="宋体" w:hAnsi="宋体" w:cs="宋体"/>
          <w:b/>
          <w:color w:val="auto"/>
          <w:sz w:val="32"/>
          <w:szCs w:val="32"/>
          <w:highlight w:val="none"/>
        </w:rPr>
      </w:pPr>
      <w:r>
        <w:rPr>
          <w:rFonts w:hint="eastAsia" w:ascii="宋体" w:hAnsi="宋体" w:cs="宋体"/>
          <w:b/>
          <w:color w:val="auto"/>
          <w:sz w:val="32"/>
          <w:szCs w:val="32"/>
          <w:highlight w:val="none"/>
        </w:rPr>
        <w:t>采购人：</w:t>
      </w:r>
      <w:r>
        <w:rPr>
          <w:rFonts w:hint="eastAsia" w:ascii="宋体" w:hAnsi="宋体" w:cs="宋体"/>
          <w:b/>
          <w:color w:val="auto"/>
          <w:sz w:val="32"/>
          <w:szCs w:val="32"/>
          <w:highlight w:val="none"/>
          <w:lang w:eastAsia="zh-CN"/>
        </w:rPr>
        <w:t>无锡市滨湖区太湖街道办事处</w:t>
      </w:r>
    </w:p>
    <w:p>
      <w:pPr>
        <w:shd w:val="clear"/>
        <w:spacing w:before="95" w:after="95" w:line="360" w:lineRule="auto"/>
        <w:outlineLvl w:val="9"/>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采购代理机构：</w:t>
      </w:r>
      <w:r>
        <w:rPr>
          <w:rFonts w:hint="eastAsia" w:ascii="宋体" w:hAnsi="宋体" w:cs="宋体"/>
          <w:b/>
          <w:color w:val="auto"/>
          <w:sz w:val="32"/>
          <w:szCs w:val="32"/>
          <w:highlight w:val="none"/>
          <w:lang w:eastAsia="zh-CN"/>
        </w:rPr>
        <w:t>北京中昌工程咨询有限公司</w:t>
      </w:r>
    </w:p>
    <w:p>
      <w:pPr>
        <w:shd w:val="clear"/>
        <w:spacing w:line="360" w:lineRule="auto"/>
        <w:jc w:val="center"/>
        <w:outlineLvl w:val="9"/>
        <w:rPr>
          <w:rFonts w:ascii="宋体" w:hAnsi="宋体" w:cs="宋体"/>
          <w:b/>
          <w:color w:val="auto"/>
          <w:sz w:val="32"/>
          <w:szCs w:val="32"/>
          <w:highlight w:val="none"/>
        </w:rPr>
      </w:pPr>
      <w:r>
        <w:rPr>
          <w:rFonts w:hint="eastAsia" w:ascii="宋体" w:hAnsi="宋体" w:cs="宋体"/>
          <w:b/>
          <w:color w:val="auto"/>
          <w:sz w:val="32"/>
          <w:szCs w:val="32"/>
          <w:highlight w:val="none"/>
          <w:lang w:eastAsia="zh-CN"/>
        </w:rPr>
        <w:t>二〇二</w:t>
      </w:r>
      <w:r>
        <w:rPr>
          <w:rFonts w:hint="eastAsia" w:ascii="宋体" w:hAnsi="宋体" w:cs="宋体"/>
          <w:b/>
          <w:color w:val="auto"/>
          <w:sz w:val="32"/>
          <w:szCs w:val="32"/>
          <w:highlight w:val="none"/>
          <w:lang w:val="en-US" w:eastAsia="zh-CN"/>
        </w:rPr>
        <w:t>六</w:t>
      </w:r>
      <w:r>
        <w:rPr>
          <w:rFonts w:hint="eastAsia" w:ascii="宋体" w:hAnsi="宋体" w:cs="宋体"/>
          <w:b/>
          <w:color w:val="auto"/>
          <w:sz w:val="32"/>
          <w:szCs w:val="32"/>
          <w:highlight w:val="none"/>
        </w:rPr>
        <w:t>年</w:t>
      </w:r>
      <w:r>
        <w:rPr>
          <w:rFonts w:hint="eastAsia" w:ascii="宋体" w:hAnsi="宋体" w:cs="宋体"/>
          <w:b/>
          <w:color w:val="auto"/>
          <w:sz w:val="32"/>
          <w:szCs w:val="32"/>
          <w:highlight w:val="none"/>
          <w:lang w:val="en-US" w:eastAsia="zh-CN"/>
        </w:rPr>
        <w:t>八</w:t>
      </w:r>
      <w:r>
        <w:rPr>
          <w:rFonts w:hint="eastAsia" w:ascii="宋体" w:hAnsi="宋体" w:cs="宋体"/>
          <w:b/>
          <w:color w:val="auto"/>
          <w:sz w:val="32"/>
          <w:szCs w:val="32"/>
          <w:highlight w:val="none"/>
        </w:rPr>
        <w:t>月</w:t>
      </w:r>
    </w:p>
    <w:p>
      <w:pPr>
        <w:shd w:val="clear"/>
        <w:spacing w:line="360" w:lineRule="auto"/>
        <w:jc w:val="center"/>
        <w:outlineLvl w:val="9"/>
        <w:rPr>
          <w:rFonts w:hint="eastAsia" w:ascii="宋体" w:hAnsi="宋体" w:cs="宋体"/>
          <w:b/>
          <w:bCs/>
          <w:color w:val="auto"/>
          <w:sz w:val="44"/>
          <w:szCs w:val="44"/>
          <w:highlight w:val="none"/>
        </w:rPr>
      </w:pPr>
    </w:p>
    <w:p>
      <w:pPr>
        <w:shd w:val="clear"/>
        <w:spacing w:line="360" w:lineRule="auto"/>
        <w:jc w:val="center"/>
        <w:outlineLvl w:val="9"/>
        <w:rPr>
          <w:rFonts w:hint="eastAsia" w:ascii="宋体" w:hAnsi="宋体" w:cs="宋体"/>
          <w:b/>
          <w:bCs/>
          <w:color w:val="auto"/>
          <w:sz w:val="44"/>
          <w:szCs w:val="44"/>
          <w:highlight w:val="none"/>
        </w:rPr>
      </w:pPr>
    </w:p>
    <w:p>
      <w:pPr>
        <w:shd w:val="clear"/>
        <w:spacing w:line="360" w:lineRule="auto"/>
        <w:jc w:val="center"/>
        <w:outlineLvl w:val="9"/>
        <w:rPr>
          <w:rFonts w:hint="eastAsia" w:ascii="宋体" w:hAnsi="宋体" w:cs="宋体"/>
          <w:b/>
          <w:color w:val="auto"/>
          <w:sz w:val="44"/>
          <w:szCs w:val="44"/>
          <w:highlight w:val="none"/>
        </w:rPr>
      </w:pPr>
    </w:p>
    <w:p>
      <w:pPr>
        <w:shd w:val="clear"/>
        <w:spacing w:line="360" w:lineRule="auto"/>
        <w:jc w:val="center"/>
        <w:outlineLvl w:val="9"/>
        <w:rPr>
          <w:rFonts w:hint="eastAsia" w:ascii="宋体" w:hAnsi="宋体" w:cs="宋体"/>
          <w:b/>
          <w:color w:val="auto"/>
          <w:sz w:val="44"/>
          <w:szCs w:val="44"/>
          <w:highlight w:val="none"/>
        </w:rPr>
      </w:pPr>
    </w:p>
    <w:p>
      <w:pPr>
        <w:shd w:val="clear"/>
        <w:spacing w:line="360" w:lineRule="auto"/>
        <w:jc w:val="center"/>
        <w:outlineLvl w:val="9"/>
        <w:rPr>
          <w:rFonts w:ascii="宋体" w:hAnsi="宋体" w:cs="宋体"/>
          <w:b/>
          <w:color w:val="auto"/>
          <w:sz w:val="44"/>
          <w:szCs w:val="44"/>
          <w:highlight w:val="none"/>
        </w:rPr>
      </w:pPr>
      <w:r>
        <w:rPr>
          <w:rFonts w:hint="eastAsia" w:ascii="宋体" w:hAnsi="宋体" w:cs="宋体"/>
          <w:b/>
          <w:color w:val="auto"/>
          <w:sz w:val="44"/>
          <w:szCs w:val="44"/>
          <w:highlight w:val="none"/>
        </w:rPr>
        <w:t>目录</w:t>
      </w:r>
    </w:p>
    <w:p>
      <w:pPr>
        <w:shd w:val="clear"/>
        <w:tabs>
          <w:tab w:val="left" w:pos="8000"/>
        </w:tabs>
        <w:spacing w:line="1000" w:lineRule="exact"/>
        <w:outlineLvl w:val="9"/>
        <w:rPr>
          <w:rFonts w:ascii="宋体" w:hAnsi="宋体" w:cs="宋体"/>
          <w:b/>
          <w:color w:val="auto"/>
          <w:sz w:val="30"/>
          <w:szCs w:val="30"/>
          <w:highlight w:val="none"/>
        </w:rPr>
      </w:pPr>
      <w:r>
        <w:rPr>
          <w:rFonts w:hint="eastAsia" w:ascii="宋体" w:hAnsi="宋体" w:cs="宋体"/>
          <w:b/>
          <w:color w:val="auto"/>
          <w:sz w:val="30"/>
          <w:szCs w:val="30"/>
          <w:highlight w:val="none"/>
        </w:rPr>
        <w:t>第一部分    投标邀请</w:t>
      </w:r>
    </w:p>
    <w:p>
      <w:pPr>
        <w:shd w:val="clear"/>
        <w:spacing w:line="1000" w:lineRule="exact"/>
        <w:outlineLvl w:val="9"/>
        <w:rPr>
          <w:rFonts w:ascii="宋体" w:hAnsi="宋体" w:cs="宋体"/>
          <w:b/>
          <w:color w:val="auto"/>
          <w:sz w:val="30"/>
          <w:szCs w:val="30"/>
          <w:highlight w:val="none"/>
        </w:rPr>
      </w:pPr>
      <w:r>
        <w:rPr>
          <w:rFonts w:hint="eastAsia" w:ascii="宋体" w:hAnsi="宋体" w:cs="宋体"/>
          <w:b/>
          <w:color w:val="auto"/>
          <w:sz w:val="30"/>
          <w:szCs w:val="30"/>
          <w:highlight w:val="none"/>
        </w:rPr>
        <w:t>第二部分    投标供应商须知</w:t>
      </w:r>
    </w:p>
    <w:p>
      <w:pPr>
        <w:shd w:val="clear"/>
        <w:spacing w:line="1000" w:lineRule="exact"/>
        <w:outlineLvl w:val="9"/>
        <w:rPr>
          <w:rFonts w:ascii="宋体" w:hAnsi="宋体" w:cs="宋体"/>
          <w:b/>
          <w:color w:val="auto"/>
          <w:sz w:val="30"/>
          <w:szCs w:val="30"/>
          <w:highlight w:val="none"/>
        </w:rPr>
      </w:pPr>
      <w:r>
        <w:rPr>
          <w:rFonts w:hint="eastAsia" w:ascii="宋体" w:hAnsi="宋体" w:cs="宋体"/>
          <w:b/>
          <w:color w:val="auto"/>
          <w:sz w:val="30"/>
          <w:szCs w:val="30"/>
          <w:highlight w:val="none"/>
        </w:rPr>
        <w:t>第三部分    采购需求</w:t>
      </w:r>
    </w:p>
    <w:p>
      <w:pPr>
        <w:shd w:val="clear"/>
        <w:spacing w:line="1000" w:lineRule="exact"/>
        <w:outlineLvl w:val="9"/>
        <w:rPr>
          <w:rFonts w:ascii="宋体" w:hAnsi="宋体" w:cs="宋体"/>
          <w:b/>
          <w:color w:val="auto"/>
          <w:sz w:val="30"/>
          <w:szCs w:val="30"/>
          <w:highlight w:val="none"/>
        </w:rPr>
      </w:pPr>
      <w:r>
        <w:rPr>
          <w:rFonts w:hint="eastAsia" w:ascii="宋体" w:hAnsi="宋体" w:cs="宋体"/>
          <w:b/>
          <w:color w:val="auto"/>
          <w:sz w:val="30"/>
          <w:szCs w:val="30"/>
          <w:highlight w:val="none"/>
        </w:rPr>
        <w:t>第四部分    合同书</w:t>
      </w:r>
    </w:p>
    <w:p>
      <w:pPr>
        <w:shd w:val="clear"/>
        <w:spacing w:line="1000" w:lineRule="exact"/>
        <w:outlineLvl w:val="9"/>
        <w:rPr>
          <w:rFonts w:ascii="宋体" w:hAnsi="宋体" w:cs="宋体"/>
          <w:b/>
          <w:color w:val="auto"/>
          <w:sz w:val="30"/>
          <w:szCs w:val="30"/>
          <w:highlight w:val="none"/>
        </w:rPr>
      </w:pPr>
      <w:r>
        <w:rPr>
          <w:rFonts w:hint="eastAsia" w:ascii="宋体" w:hAnsi="宋体" w:cs="宋体"/>
          <w:b/>
          <w:color w:val="auto"/>
          <w:sz w:val="30"/>
          <w:szCs w:val="30"/>
          <w:highlight w:val="none"/>
        </w:rPr>
        <w:t>第五部分    附件</w:t>
      </w:r>
    </w:p>
    <w:p>
      <w:pPr>
        <w:widowControl/>
        <w:shd w:val="clear"/>
        <w:spacing w:line="360" w:lineRule="auto"/>
        <w:outlineLvl w:val="9"/>
        <w:rPr>
          <w:rFonts w:ascii="宋体" w:hAnsi="宋体" w:cs="宋体"/>
          <w:b/>
          <w:color w:val="auto"/>
          <w:sz w:val="30"/>
          <w:szCs w:val="30"/>
          <w:highlight w:val="none"/>
        </w:rPr>
      </w:pPr>
    </w:p>
    <w:p>
      <w:pPr>
        <w:widowControl/>
        <w:shd w:val="clear"/>
        <w:spacing w:line="360" w:lineRule="auto"/>
        <w:outlineLvl w:val="9"/>
        <w:rPr>
          <w:rFonts w:ascii="宋体" w:hAnsi="宋体" w:cs="宋体"/>
          <w:b/>
          <w:color w:val="auto"/>
          <w:sz w:val="30"/>
          <w:szCs w:val="30"/>
          <w:highlight w:val="none"/>
        </w:rPr>
      </w:pPr>
    </w:p>
    <w:p>
      <w:pPr>
        <w:widowControl/>
        <w:shd w:val="clear"/>
        <w:spacing w:line="360" w:lineRule="auto"/>
        <w:outlineLvl w:val="9"/>
        <w:rPr>
          <w:rFonts w:ascii="宋体" w:hAnsi="宋体" w:cs="宋体"/>
          <w:b/>
          <w:color w:val="auto"/>
          <w:sz w:val="24"/>
          <w:highlight w:val="none"/>
        </w:rPr>
      </w:pPr>
    </w:p>
    <w:p>
      <w:pPr>
        <w:widowControl/>
        <w:shd w:val="clear"/>
        <w:spacing w:line="360" w:lineRule="auto"/>
        <w:outlineLvl w:val="9"/>
        <w:rPr>
          <w:rFonts w:ascii="宋体" w:hAnsi="宋体" w:cs="宋体"/>
          <w:b/>
          <w:color w:val="auto"/>
          <w:sz w:val="24"/>
          <w:highlight w:val="none"/>
        </w:rPr>
      </w:pPr>
    </w:p>
    <w:p>
      <w:pPr>
        <w:widowControl/>
        <w:shd w:val="clear"/>
        <w:spacing w:line="360" w:lineRule="auto"/>
        <w:outlineLvl w:val="9"/>
        <w:rPr>
          <w:rFonts w:ascii="宋体" w:hAnsi="宋体" w:cs="宋体"/>
          <w:b/>
          <w:color w:val="auto"/>
          <w:sz w:val="24"/>
          <w:highlight w:val="none"/>
        </w:rPr>
      </w:pPr>
    </w:p>
    <w:p>
      <w:pPr>
        <w:widowControl/>
        <w:shd w:val="clear"/>
        <w:spacing w:before="470"/>
        <w:outlineLvl w:val="9"/>
        <w:rPr>
          <w:rFonts w:ascii="宋体" w:hAnsi="宋体" w:cs="宋体"/>
          <w:b/>
          <w:color w:val="auto"/>
          <w:sz w:val="24"/>
          <w:highlight w:val="none"/>
        </w:rPr>
      </w:pPr>
    </w:p>
    <w:p>
      <w:pPr>
        <w:pStyle w:val="4"/>
        <w:shd w:val="clear"/>
        <w:bidi w:val="0"/>
        <w:rPr>
          <w:rFonts w:ascii="宋体" w:hAnsi="宋体" w:cs="宋体"/>
          <w:b/>
          <w:color w:val="auto"/>
          <w:sz w:val="44"/>
          <w:szCs w:val="44"/>
          <w:highlight w:val="none"/>
        </w:rPr>
      </w:pPr>
      <w:r>
        <w:rPr>
          <w:rFonts w:hint="eastAsia" w:ascii="宋体" w:hAnsi="宋体" w:cs="宋体"/>
          <w:b/>
          <w:color w:val="auto"/>
          <w:sz w:val="24"/>
          <w:highlight w:val="none"/>
        </w:rPr>
        <w:br w:type="page" w:clear="all"/>
      </w:r>
      <w:r>
        <w:rPr>
          <w:rStyle w:val="520"/>
          <w:rFonts w:hint="eastAsia"/>
          <w:b/>
          <w:bCs/>
          <w:color w:val="auto"/>
          <w:highlight w:val="none"/>
        </w:rPr>
        <w:t>第一部分</w:t>
      </w:r>
      <w:r>
        <w:rPr>
          <w:rStyle w:val="520"/>
          <w:rFonts w:hint="eastAsia"/>
          <w:b/>
          <w:bCs/>
          <w:color w:val="auto"/>
          <w:highlight w:val="none"/>
          <w:lang w:val="en-US" w:eastAsia="zh-CN"/>
        </w:rPr>
        <w:t>.</w:t>
      </w:r>
      <w:r>
        <w:rPr>
          <w:rStyle w:val="520"/>
          <w:rFonts w:hint="eastAsia"/>
          <w:b/>
          <w:bCs/>
          <w:color w:val="auto"/>
          <w:highlight w:val="none"/>
        </w:rPr>
        <w:t>投标邀请</w:t>
      </w:r>
    </w:p>
    <w:tbl>
      <w:tblPr>
        <w:tblStyle w:val="8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7"/>
        <w:gridCol w:w="862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827" w:type="dxa"/>
            <w:noWrap w:val="0"/>
            <w:vAlign w:val="center"/>
          </w:tcPr>
          <w:p>
            <w:pPr>
              <w:widowControl/>
              <w:shd w:val="clear"/>
              <w:spacing w:line="360" w:lineRule="auto"/>
              <w:jc w:val="center"/>
              <w:outlineLvl w:val="9"/>
              <w:rPr>
                <w:rFonts w:ascii="宋体" w:hAnsi="宋体" w:eastAsia="Arial"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序号</w:t>
            </w:r>
          </w:p>
        </w:tc>
        <w:tc>
          <w:tcPr>
            <w:tcW w:w="8623" w:type="dxa"/>
            <w:noWrap w:val="0"/>
            <w:vAlign w:val="center"/>
          </w:tcPr>
          <w:p>
            <w:pPr>
              <w:widowControl/>
              <w:shd w:val="clear"/>
              <w:spacing w:line="360" w:lineRule="auto"/>
              <w:jc w:val="center"/>
              <w:outlineLvl w:val="9"/>
              <w:rPr>
                <w:rFonts w:ascii="宋体" w:hAnsi="宋体" w:eastAsia="Arial"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27" w:type="dxa"/>
            <w:noWrap w:val="0"/>
            <w:vAlign w:val="center"/>
          </w:tcPr>
          <w:p>
            <w:pPr>
              <w:widowControl/>
              <w:shd w:val="clear"/>
              <w:spacing w:line="360" w:lineRule="auto"/>
              <w:jc w:val="center"/>
              <w:outlineLvl w:val="9"/>
              <w:rPr>
                <w:rFonts w:ascii="宋体" w:hAnsi="宋体" w:eastAsia="Arial"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1</w:t>
            </w:r>
          </w:p>
        </w:tc>
        <w:tc>
          <w:tcPr>
            <w:tcW w:w="8623" w:type="dxa"/>
            <w:noWrap w:val="0"/>
            <w:vAlign w:val="center"/>
          </w:tcPr>
          <w:p>
            <w:pPr>
              <w:widowControl/>
              <w:shd w:val="clear"/>
              <w:spacing w:line="360" w:lineRule="auto"/>
              <w:jc w:val="both"/>
              <w:outlineLvl w:val="9"/>
              <w:rPr>
                <w:rFonts w:hint="eastAsia" w:ascii="宋体" w:hAnsi="宋体" w:eastAsia="宋体"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项目名称：</w:t>
            </w:r>
            <w:r>
              <w:rPr>
                <w:rFonts w:hint="eastAsia" w:ascii="宋体" w:hAnsi="宋体" w:cs="宋体"/>
                <w:color w:val="auto"/>
                <w:sz w:val="24"/>
                <w:szCs w:val="24"/>
                <w:highlight w:val="none"/>
                <w:lang w:val="en-US" w:eastAsia="zh-CN" w:bidi="ar-SA"/>
              </w:rPr>
              <w:t>2026-2027年太湖街道污水管网及设施运行维护作业权项目</w:t>
            </w:r>
          </w:p>
          <w:p>
            <w:pPr>
              <w:widowControl/>
              <w:shd w:val="clear"/>
              <w:spacing w:line="360" w:lineRule="auto"/>
              <w:jc w:val="both"/>
              <w:outlineLvl w:val="9"/>
              <w:rPr>
                <w:rFonts w:hint="eastAsia" w:ascii="宋体" w:hAnsi="宋体" w:eastAsia="Arial"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采购项目编号：</w:t>
            </w:r>
            <w:r>
              <w:rPr>
                <w:rFonts w:hint="eastAsia" w:ascii="宋体" w:hAnsi="宋体" w:cs="宋体"/>
                <w:color w:val="auto"/>
                <w:sz w:val="24"/>
                <w:szCs w:val="24"/>
                <w:highlight w:val="none"/>
                <w:lang w:val="en-US" w:eastAsia="zh-CN" w:bidi="ar-SA"/>
              </w:rPr>
              <w:t>JSZC-320292-BJZC-G2026-0014</w:t>
            </w:r>
          </w:p>
          <w:p>
            <w:pPr>
              <w:widowControl/>
              <w:shd w:val="clear"/>
              <w:spacing w:line="360" w:lineRule="auto"/>
              <w:jc w:val="both"/>
              <w:outlineLvl w:val="9"/>
              <w:rPr>
                <w:rFonts w:hint="eastAsia" w:ascii="宋体" w:hAnsi="宋体" w:eastAsia="Arial"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采购方式：公开招标</w:t>
            </w:r>
          </w:p>
          <w:p>
            <w:pPr>
              <w:widowControl/>
              <w:shd w:val="clear"/>
              <w:spacing w:line="360" w:lineRule="auto"/>
              <w:jc w:val="both"/>
              <w:outlineLvl w:val="9"/>
              <w:rPr>
                <w:rFonts w:hint="eastAsia" w:ascii="宋体" w:hAnsi="宋体" w:eastAsia="宋体"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采购内容：对太湖街道辖区范围内的污水管网及其附属设施实施维护服务，包括泵站、污水管、提升井的疏通养护、清淤、淤泥外运、破损管道更换、缺损井框井盖更换</w:t>
            </w:r>
            <w:r>
              <w:rPr>
                <w:rFonts w:hint="eastAsia" w:ascii="宋体" w:hAnsi="宋体" w:cs="宋体"/>
                <w:color w:val="auto"/>
                <w:sz w:val="24"/>
                <w:szCs w:val="24"/>
                <w:highlight w:val="none"/>
                <w:lang w:val="en-US" w:eastAsia="zh-CN" w:bidi="ar-SA"/>
              </w:rPr>
              <w:t>、防汛工作</w:t>
            </w:r>
            <w:r>
              <w:rPr>
                <w:rFonts w:hint="eastAsia" w:ascii="宋体" w:hAnsi="宋体" w:eastAsia="Arial" w:cs="宋体"/>
                <w:color w:val="auto"/>
                <w:sz w:val="24"/>
                <w:szCs w:val="24"/>
                <w:highlight w:val="none"/>
                <w:lang w:val="en-US" w:eastAsia="zh-CN" w:bidi="ar-SA"/>
              </w:rPr>
              <w:t>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27" w:type="dxa"/>
            <w:noWrap w:val="0"/>
            <w:vAlign w:val="center"/>
          </w:tcPr>
          <w:p>
            <w:pPr>
              <w:widowControl/>
              <w:shd w:val="clear"/>
              <w:spacing w:line="360" w:lineRule="auto"/>
              <w:jc w:val="center"/>
              <w:outlineLvl w:val="9"/>
              <w:rPr>
                <w:rFonts w:ascii="宋体" w:hAnsi="宋体" w:eastAsia="Arial"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2</w:t>
            </w:r>
          </w:p>
        </w:tc>
        <w:tc>
          <w:tcPr>
            <w:tcW w:w="8623" w:type="dxa"/>
            <w:noWrap w:val="0"/>
            <w:vAlign w:val="center"/>
          </w:tcPr>
          <w:p>
            <w:pPr>
              <w:widowControl/>
              <w:shd w:val="clear"/>
              <w:spacing w:line="360" w:lineRule="auto"/>
              <w:jc w:val="both"/>
              <w:outlineLvl w:val="9"/>
              <w:rPr>
                <w:rFonts w:hint="eastAsia" w:ascii="宋体" w:hAnsi="宋体" w:eastAsia="宋体"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采购人：</w:t>
            </w:r>
            <w:r>
              <w:rPr>
                <w:rFonts w:hint="eastAsia" w:ascii="宋体" w:hAnsi="宋体" w:cs="宋体"/>
                <w:color w:val="auto"/>
                <w:sz w:val="24"/>
                <w:szCs w:val="24"/>
                <w:highlight w:val="none"/>
                <w:lang w:val="en-US" w:eastAsia="zh-CN" w:bidi="ar-SA"/>
              </w:rPr>
              <w:t>无锡市滨湖区太湖街道办事处</w:t>
            </w:r>
          </w:p>
          <w:p>
            <w:pPr>
              <w:widowControl/>
              <w:shd w:val="clear"/>
              <w:spacing w:line="360" w:lineRule="auto"/>
              <w:jc w:val="both"/>
              <w:outlineLvl w:val="9"/>
              <w:rPr>
                <w:rFonts w:hint="eastAsia" w:ascii="宋体" w:hAnsi="宋体" w:eastAsia="宋体"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联系地址：</w:t>
            </w:r>
            <w:r>
              <w:rPr>
                <w:rFonts w:hint="eastAsia" w:ascii="宋体" w:hAnsi="宋体" w:cs="宋体"/>
                <w:color w:val="auto"/>
                <w:sz w:val="24"/>
                <w:szCs w:val="24"/>
                <w:highlight w:val="none"/>
                <w:lang w:val="en-US" w:eastAsia="zh-CN" w:bidi="ar-SA"/>
              </w:rPr>
              <w:t>江苏省无锡市滨湖区太湖街道周新东路58号</w:t>
            </w:r>
          </w:p>
          <w:p>
            <w:pPr>
              <w:widowControl/>
              <w:shd w:val="clear"/>
              <w:spacing w:line="360" w:lineRule="auto"/>
              <w:jc w:val="both"/>
              <w:outlineLvl w:val="9"/>
              <w:rPr>
                <w:rFonts w:hint="eastAsia" w:ascii="宋体" w:hAnsi="宋体" w:eastAsia="宋体"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采购代理机构：</w:t>
            </w:r>
            <w:r>
              <w:rPr>
                <w:rFonts w:hint="eastAsia" w:ascii="宋体" w:hAnsi="宋体" w:cs="宋体"/>
                <w:color w:val="auto"/>
                <w:sz w:val="24"/>
                <w:szCs w:val="24"/>
                <w:highlight w:val="none"/>
                <w:lang w:val="en-US" w:eastAsia="zh-CN" w:bidi="ar-SA"/>
              </w:rPr>
              <w:t>北京中昌工程咨询有限公司</w:t>
            </w:r>
          </w:p>
          <w:p>
            <w:pPr>
              <w:widowControl/>
              <w:shd w:val="clear"/>
              <w:spacing w:line="360" w:lineRule="auto"/>
              <w:jc w:val="both"/>
              <w:outlineLvl w:val="9"/>
              <w:rPr>
                <w:rFonts w:hint="eastAsia" w:ascii="宋体" w:hAnsi="宋体" w:eastAsia="宋体"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采购机构地址：</w:t>
            </w:r>
            <w:r>
              <w:rPr>
                <w:rFonts w:hint="eastAsia" w:ascii="宋体" w:hAnsi="宋体" w:cs="宋体"/>
                <w:color w:val="auto"/>
                <w:sz w:val="24"/>
                <w:szCs w:val="24"/>
                <w:highlight w:val="none"/>
                <w:lang w:val="en-US" w:eastAsia="zh-CN" w:bidi="ar-SA"/>
              </w:rPr>
              <w:t>无锡市梁溪区扬名创智园H座二层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27" w:type="dxa"/>
            <w:noWrap w:val="0"/>
            <w:vAlign w:val="center"/>
          </w:tcPr>
          <w:p>
            <w:pPr>
              <w:widowControl/>
              <w:shd w:val="clear"/>
              <w:spacing w:line="360" w:lineRule="auto"/>
              <w:jc w:val="center"/>
              <w:outlineLvl w:val="9"/>
              <w:rPr>
                <w:rFonts w:ascii="宋体" w:hAnsi="宋体" w:eastAsia="Arial"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3</w:t>
            </w:r>
          </w:p>
        </w:tc>
        <w:tc>
          <w:tcPr>
            <w:tcW w:w="8623" w:type="dxa"/>
            <w:noWrap w:val="0"/>
            <w:vAlign w:val="center"/>
          </w:tcPr>
          <w:p>
            <w:pPr>
              <w:widowControl/>
              <w:shd w:val="clear"/>
              <w:spacing w:line="360" w:lineRule="auto"/>
              <w:jc w:val="both"/>
              <w:outlineLvl w:val="9"/>
              <w:rPr>
                <w:rFonts w:ascii="宋体" w:hAnsi="宋体" w:eastAsia="Arial"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采购项目概况、要求：</w:t>
            </w:r>
          </w:p>
          <w:p>
            <w:pPr>
              <w:widowControl/>
              <w:shd w:val="clear"/>
              <w:spacing w:line="360" w:lineRule="auto"/>
              <w:jc w:val="both"/>
              <w:outlineLvl w:val="9"/>
              <w:rPr>
                <w:rFonts w:hint="eastAsia" w:ascii="宋体" w:hAnsi="宋体" w:eastAsia="宋体"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1.项目概况：</w:t>
            </w:r>
            <w:r>
              <w:rPr>
                <w:rFonts w:hint="eastAsia" w:ascii="宋体" w:hAnsi="宋体" w:cs="Arial"/>
                <w:color w:val="auto"/>
                <w:sz w:val="24"/>
                <w:szCs w:val="24"/>
                <w:highlight w:val="none"/>
                <w:lang w:val="en-US" w:eastAsia="zh-CN" w:bidi="ar-SA"/>
              </w:rPr>
              <w:t>本项目为2026-2027年太湖街道污水管网及设施运行维护作业权项目，主要对太湖街道范围内的污水管网及其附属设施实施维护服务，包括泵站、污水管、提升井的疏通养护、清淤、淤泥外运、破损管道更换、缺损井框井盖更换、防汛工作等</w:t>
            </w:r>
            <w:r>
              <w:rPr>
                <w:rFonts w:hint="eastAsia" w:ascii="宋体" w:hAnsi="宋体" w:eastAsia="Arial" w:cs="宋体"/>
                <w:color w:val="auto"/>
                <w:sz w:val="24"/>
                <w:szCs w:val="24"/>
                <w:highlight w:val="none"/>
                <w:lang w:val="en-US" w:eastAsia="zh-CN" w:bidi="ar-SA"/>
              </w:rPr>
              <w:t>。具体内容及要求详见“三、采购需求”。</w:t>
            </w:r>
          </w:p>
          <w:p>
            <w:pPr>
              <w:widowControl/>
              <w:shd w:val="clear"/>
              <w:spacing w:line="360" w:lineRule="auto"/>
              <w:jc w:val="both"/>
              <w:outlineLvl w:val="9"/>
              <w:rPr>
                <w:rFonts w:hint="eastAsia" w:ascii="宋体" w:hAnsi="宋体" w:eastAsia="Arial" w:cs="宋体"/>
                <w:color w:val="auto"/>
                <w:sz w:val="24"/>
                <w:szCs w:val="24"/>
                <w:highlight w:val="none"/>
                <w:lang w:val="en-US" w:eastAsia="zh-CN" w:bidi="ar-SA"/>
              </w:rPr>
            </w:pPr>
            <w:bookmarkStart w:id="0" w:name="_Hlk32944999"/>
            <w:r>
              <w:rPr>
                <w:rFonts w:hint="eastAsia" w:ascii="宋体" w:hAnsi="宋体" w:eastAsia="Arial" w:cs="宋体"/>
                <w:color w:val="auto"/>
                <w:sz w:val="24"/>
                <w:szCs w:val="24"/>
                <w:highlight w:val="none"/>
                <w:lang w:val="en-US" w:eastAsia="zh-CN" w:bidi="ar-SA"/>
              </w:rPr>
              <w:t>2.养护期：一年（具体起止时间以合同签订为准）。</w:t>
            </w:r>
          </w:p>
          <w:p>
            <w:pPr>
              <w:widowControl/>
              <w:shd w:val="clear"/>
              <w:spacing w:line="360" w:lineRule="auto"/>
              <w:jc w:val="both"/>
              <w:outlineLvl w:val="9"/>
              <w:rPr>
                <w:rFonts w:hint="eastAsia" w:ascii="宋体" w:hAnsi="宋体" w:eastAsia="宋体"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3.质量标准：</w:t>
            </w:r>
            <w:bookmarkEnd w:id="0"/>
            <w:r>
              <w:rPr>
                <w:rFonts w:hint="eastAsia" w:ascii="宋体" w:hAnsi="宋体" w:eastAsia="Arial" w:cs="宋体"/>
                <w:color w:val="auto"/>
                <w:sz w:val="24"/>
                <w:szCs w:val="24"/>
                <w:highlight w:val="none"/>
                <w:lang w:val="en-US" w:eastAsia="zh-CN" w:bidi="ar-SA"/>
              </w:rPr>
              <w:t>满足国家、省市、行业标准和相应的规范、规定及采购人的需求。</w:t>
            </w:r>
            <w:r>
              <w:rPr>
                <w:rFonts w:hint="eastAsia" w:ascii="宋体" w:hAnsi="宋体" w:cs="宋体"/>
                <w:color w:val="auto"/>
                <w:sz w:val="24"/>
                <w:szCs w:val="24"/>
                <w:highlight w:val="none"/>
                <w:lang w:val="en-US" w:eastAsia="zh-CN" w:bidi="ar-SA"/>
              </w:rPr>
              <w:t>4</w:t>
            </w:r>
            <w:r>
              <w:rPr>
                <w:rFonts w:hint="eastAsia" w:ascii="宋体" w:hAnsi="宋体" w:eastAsia="Arial" w:cs="宋体"/>
                <w:color w:val="auto"/>
                <w:sz w:val="24"/>
                <w:szCs w:val="24"/>
                <w:highlight w:val="none"/>
                <w:lang w:val="en-US" w:eastAsia="zh-CN" w:bidi="ar-SA"/>
              </w:rPr>
              <w:t>.本项目采购预算为</w:t>
            </w:r>
            <w:r>
              <w:rPr>
                <w:rFonts w:hint="eastAsia" w:ascii="宋体" w:hAnsi="宋体" w:cs="宋体"/>
                <w:color w:val="auto"/>
                <w:sz w:val="24"/>
                <w:szCs w:val="24"/>
                <w:highlight w:val="none"/>
                <w:lang w:val="en-US" w:eastAsia="zh-CN" w:bidi="ar-SA"/>
              </w:rPr>
              <w:t>120.622万元</w:t>
            </w:r>
            <w:r>
              <w:rPr>
                <w:rFonts w:hint="eastAsia" w:ascii="宋体" w:hAnsi="宋体" w:eastAsia="Arial" w:cs="宋体"/>
                <w:color w:val="auto"/>
                <w:sz w:val="24"/>
                <w:szCs w:val="24"/>
                <w:highlight w:val="none"/>
                <w:lang w:val="en-US" w:eastAsia="zh-CN" w:bidi="ar-SA"/>
              </w:rPr>
              <w:t>。</w:t>
            </w:r>
          </w:p>
          <w:p>
            <w:pPr>
              <w:widowControl/>
              <w:shd w:val="clear"/>
              <w:spacing w:line="360" w:lineRule="auto"/>
              <w:jc w:val="both"/>
              <w:outlineLvl w:val="9"/>
              <w:rPr>
                <w:rFonts w:hint="default" w:ascii="宋体" w:hAnsi="宋体" w:eastAsia="Arial"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5</w:t>
            </w:r>
            <w:r>
              <w:rPr>
                <w:rFonts w:hint="eastAsia" w:ascii="宋体" w:hAnsi="宋体" w:eastAsia="Arial" w:cs="宋体"/>
                <w:color w:val="auto"/>
                <w:sz w:val="24"/>
                <w:szCs w:val="24"/>
                <w:highlight w:val="none"/>
                <w:lang w:val="en-US" w:eastAsia="zh-CN" w:bidi="ar-SA"/>
              </w:rPr>
              <w:t>.本项目最高限价为</w:t>
            </w:r>
            <w:r>
              <w:rPr>
                <w:rFonts w:hint="eastAsia" w:ascii="宋体" w:hAnsi="宋体" w:cs="宋体"/>
                <w:color w:val="auto"/>
                <w:sz w:val="24"/>
                <w:szCs w:val="24"/>
                <w:highlight w:val="none"/>
                <w:lang w:val="en-US" w:eastAsia="zh-CN" w:bidi="ar-SA"/>
              </w:rPr>
              <w:t>120.622万元</w:t>
            </w:r>
            <w:r>
              <w:rPr>
                <w:rFonts w:hint="eastAsia" w:ascii="宋体" w:hAnsi="宋体" w:eastAsia="Arial" w:cs="宋体"/>
                <w:color w:val="auto"/>
                <w:sz w:val="24"/>
                <w:szCs w:val="24"/>
                <w:highlight w:val="none"/>
                <w:lang w:val="en-US" w:eastAsia="zh-CN" w:bidi="ar-SA"/>
              </w:rPr>
              <w:t>，超过最高限价的投标报价将不被接受，视为</w:t>
            </w:r>
            <w:r>
              <w:rPr>
                <w:rFonts w:hint="eastAsia" w:ascii="宋体" w:hAnsi="宋体" w:cs="宋体"/>
                <w:color w:val="auto"/>
                <w:sz w:val="24"/>
                <w:szCs w:val="24"/>
                <w:highlight w:val="none"/>
                <w:lang w:val="en-US" w:eastAsia="zh-CN" w:bidi="ar-SA"/>
              </w:rPr>
              <w:t>无效投标。</w:t>
            </w:r>
          </w:p>
          <w:p>
            <w:pPr>
              <w:widowControl/>
              <w:shd w:val="clear"/>
              <w:spacing w:line="360" w:lineRule="auto"/>
              <w:jc w:val="both"/>
              <w:outlineLvl w:val="9"/>
              <w:rPr>
                <w:rFonts w:ascii="宋体" w:hAnsi="宋体" w:eastAsia="Arial"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6</w:t>
            </w:r>
            <w:r>
              <w:rPr>
                <w:rFonts w:hint="eastAsia" w:ascii="宋体" w:hAnsi="宋体" w:eastAsia="Arial" w:cs="宋体"/>
                <w:color w:val="auto"/>
                <w:sz w:val="24"/>
                <w:szCs w:val="24"/>
                <w:highlight w:val="none"/>
                <w:lang w:val="en-US" w:eastAsia="zh-CN" w:bidi="ar-SA"/>
              </w:rPr>
              <w:t>.是否专门面向中小企业（或监狱企业或残疾人福利性单位）：是。</w:t>
            </w:r>
          </w:p>
          <w:p>
            <w:pPr>
              <w:widowControl/>
              <w:shd w:val="clear"/>
              <w:spacing w:line="360" w:lineRule="auto"/>
              <w:jc w:val="both"/>
              <w:outlineLvl w:val="9"/>
              <w:rPr>
                <w:rFonts w:ascii="宋体" w:hAnsi="宋体" w:eastAsia="Arial" w:cs="宋体"/>
                <w:bCs/>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7</w:t>
            </w:r>
            <w:r>
              <w:rPr>
                <w:rFonts w:hint="eastAsia" w:ascii="宋体" w:hAnsi="宋体" w:eastAsia="Arial" w:cs="宋体"/>
                <w:color w:val="auto"/>
                <w:sz w:val="24"/>
                <w:szCs w:val="24"/>
                <w:highlight w:val="none"/>
                <w:lang w:val="en-US" w:eastAsia="zh-CN" w:bidi="ar-SA"/>
              </w:rPr>
              <w:t>.项目标的所属行业：其他未列明行业（其他未列明行业：根据《中小企业划型标准规定》工信部联企业[2011]300号，从业人员300人以下的为中小微型企业。其中，从业人员100人及以上的为中型企业；从业人员10人及以上的为小型企业；从业人员10人以下的为微型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27" w:type="dxa"/>
            <w:noWrap w:val="0"/>
            <w:vAlign w:val="center"/>
          </w:tcPr>
          <w:p>
            <w:pPr>
              <w:widowControl/>
              <w:shd w:val="clear"/>
              <w:spacing w:line="360" w:lineRule="auto"/>
              <w:jc w:val="center"/>
              <w:outlineLvl w:val="9"/>
              <w:rPr>
                <w:rFonts w:ascii="宋体" w:hAnsi="宋体" w:eastAsia="Arial"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4</w:t>
            </w:r>
          </w:p>
        </w:tc>
        <w:tc>
          <w:tcPr>
            <w:tcW w:w="8623" w:type="dxa"/>
            <w:noWrap w:val="0"/>
            <w:vAlign w:val="center"/>
          </w:tcPr>
          <w:p>
            <w:pPr>
              <w:widowControl w:val="0"/>
              <w:shd w:val="clear"/>
              <w:spacing w:line="360" w:lineRule="auto"/>
              <w:jc w:val="both"/>
              <w:outlineLvl w:val="9"/>
              <w:rPr>
                <w:rFonts w:ascii="宋体" w:hAnsi="宋体" w:eastAsia="Arial"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报价供应商参加本次政府采购活动除应当符合《中华人民共和国政府采购法》第二十二条的规定外，还必须具备以下条件：</w:t>
            </w:r>
          </w:p>
          <w:p>
            <w:pPr>
              <w:widowControl w:val="0"/>
              <w:shd w:val="clear"/>
              <w:spacing w:line="360" w:lineRule="auto"/>
              <w:jc w:val="both"/>
              <w:outlineLvl w:val="9"/>
              <w:rPr>
                <w:rFonts w:ascii="宋体" w:hAnsi="宋体" w:eastAsia="Arial"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1.投标供应商应为中华人民共和国境内合法注册并具有独立承担民事责任能力的企（事）业单位、其他组织；</w:t>
            </w:r>
          </w:p>
          <w:p>
            <w:pPr>
              <w:widowControl w:val="0"/>
              <w:shd w:val="clear"/>
              <w:spacing w:line="360" w:lineRule="auto"/>
              <w:jc w:val="both"/>
              <w:outlineLvl w:val="9"/>
              <w:rPr>
                <w:rFonts w:hint="eastAsia" w:ascii="宋体" w:hAnsi="宋体" w:eastAsia="Arial"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2.授权代理人必须为投标供应商企业在职员工；【需提供由法定的社保收缴部门出具的</w:t>
            </w:r>
            <w:r>
              <w:rPr>
                <w:rFonts w:hint="eastAsia" w:ascii="宋体" w:hAnsi="宋体" w:cs="宋体"/>
                <w:color w:val="auto"/>
                <w:sz w:val="24"/>
                <w:szCs w:val="24"/>
                <w:highlight w:val="none"/>
                <w:lang w:val="en-US" w:eastAsia="zh-CN" w:bidi="ar-SA"/>
              </w:rPr>
              <w:t>近一年中</w:t>
            </w:r>
            <w:r>
              <w:rPr>
                <w:rFonts w:hint="eastAsia" w:ascii="宋体" w:hAnsi="宋体" w:eastAsia="Arial" w:cs="宋体"/>
                <w:color w:val="auto"/>
                <w:sz w:val="24"/>
                <w:szCs w:val="24"/>
                <w:highlight w:val="none"/>
                <w:lang w:val="en-US" w:eastAsia="zh-CN" w:bidi="ar-SA"/>
              </w:rPr>
              <w:t>任意一个月份的投标供应商依法为其缴纳社会保险证明（由相关主管部门出具，如投标供应商成立时间迟于要求开始的时间，则时间要求为投标供应商成立时间至截止时间；法定代表人亲自参加投标除外；社保缴费证明必须提交带有社保部门红章的或含有县（区）级及以上社保部门电子签章或带二维码验证的扫描件）】；</w:t>
            </w:r>
          </w:p>
          <w:p>
            <w:pPr>
              <w:widowControl w:val="0"/>
              <w:shd w:val="clear"/>
              <w:spacing w:line="360" w:lineRule="auto"/>
              <w:jc w:val="both"/>
              <w:outlineLvl w:val="9"/>
              <w:rPr>
                <w:rFonts w:hint="eastAsia" w:ascii="宋体" w:hAnsi="宋体" w:eastAsia="Arial"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3.投标供应商提供</w:t>
            </w:r>
            <w:r>
              <w:rPr>
                <w:rFonts w:hint="eastAsia" w:ascii="宋体" w:hAnsi="宋体" w:cs="宋体"/>
                <w:color w:val="auto"/>
                <w:sz w:val="24"/>
                <w:szCs w:val="24"/>
                <w:highlight w:val="none"/>
                <w:lang w:val="en-US" w:eastAsia="zh-CN" w:bidi="ar-SA"/>
              </w:rPr>
              <w:t>近一年中</w:t>
            </w:r>
            <w:r>
              <w:rPr>
                <w:rFonts w:hint="eastAsia" w:ascii="宋体" w:hAnsi="宋体" w:eastAsia="Arial" w:cs="宋体"/>
                <w:color w:val="auto"/>
                <w:sz w:val="24"/>
                <w:szCs w:val="24"/>
                <w:highlight w:val="none"/>
                <w:lang w:val="en-US" w:eastAsia="zh-CN" w:bidi="ar-SA"/>
              </w:rPr>
              <w:t>任意一个月份的财务状况报告（资产负债表和利润表）或由会计师事务所出具的近两年中任意一年度的审计报告（提供扫描件）；</w:t>
            </w:r>
          </w:p>
          <w:p>
            <w:pPr>
              <w:widowControl w:val="0"/>
              <w:shd w:val="clear"/>
              <w:spacing w:line="360" w:lineRule="auto"/>
              <w:jc w:val="both"/>
              <w:outlineLvl w:val="9"/>
              <w:rPr>
                <w:rFonts w:hint="eastAsia" w:ascii="宋体" w:hAnsi="宋体" w:eastAsia="Arial"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4.投标供应商提供</w:t>
            </w:r>
            <w:r>
              <w:rPr>
                <w:rFonts w:hint="eastAsia" w:ascii="宋体" w:hAnsi="宋体" w:cs="宋体"/>
                <w:color w:val="auto"/>
                <w:sz w:val="24"/>
                <w:szCs w:val="24"/>
                <w:highlight w:val="none"/>
                <w:lang w:val="en-US" w:eastAsia="zh-CN" w:bidi="ar-SA"/>
              </w:rPr>
              <w:t>近一年中</w:t>
            </w:r>
            <w:r>
              <w:rPr>
                <w:rFonts w:hint="eastAsia" w:ascii="宋体" w:hAnsi="宋体" w:eastAsia="Arial" w:cs="宋体"/>
                <w:color w:val="auto"/>
                <w:sz w:val="24"/>
                <w:szCs w:val="24"/>
                <w:highlight w:val="none"/>
                <w:lang w:val="en-US" w:eastAsia="zh-CN" w:bidi="ar-SA"/>
              </w:rPr>
              <w:t>任意一个月份的依法缴纳税收的相关材料（提供相关主管部门证明或银行代扣证明）（提供扫描件）；</w:t>
            </w:r>
          </w:p>
          <w:p>
            <w:pPr>
              <w:widowControl w:val="0"/>
              <w:shd w:val="clear"/>
              <w:spacing w:line="360" w:lineRule="auto"/>
              <w:jc w:val="both"/>
              <w:outlineLvl w:val="9"/>
              <w:rPr>
                <w:rFonts w:ascii="Calibri" w:hAnsi="Calibri" w:eastAsia="Arial" w:cs="Arial"/>
                <w:color w:val="auto"/>
                <w:sz w:val="21"/>
                <w:szCs w:val="24"/>
                <w:highlight w:val="none"/>
                <w:lang w:val="en-US" w:eastAsia="zh-CN" w:bidi="ar-SA"/>
              </w:rPr>
            </w:pPr>
            <w:r>
              <w:rPr>
                <w:rFonts w:hint="eastAsia" w:ascii="宋体" w:hAnsi="宋体" w:eastAsia="Arial" w:cs="宋体"/>
                <w:color w:val="auto"/>
                <w:sz w:val="24"/>
                <w:szCs w:val="24"/>
                <w:highlight w:val="none"/>
                <w:lang w:val="en-US" w:eastAsia="zh-CN" w:bidi="ar-SA"/>
              </w:rPr>
              <w:t>5.投标供应商提供</w:t>
            </w:r>
            <w:r>
              <w:rPr>
                <w:rFonts w:hint="eastAsia" w:ascii="宋体" w:hAnsi="宋体" w:cs="宋体"/>
                <w:color w:val="auto"/>
                <w:sz w:val="24"/>
                <w:szCs w:val="24"/>
                <w:highlight w:val="none"/>
                <w:lang w:val="en-US" w:eastAsia="zh-CN" w:bidi="ar-SA"/>
              </w:rPr>
              <w:t>近一年中</w:t>
            </w:r>
            <w:r>
              <w:rPr>
                <w:rFonts w:hint="eastAsia" w:ascii="宋体" w:hAnsi="宋体" w:eastAsia="Arial" w:cs="宋体"/>
                <w:color w:val="auto"/>
                <w:sz w:val="24"/>
                <w:szCs w:val="24"/>
                <w:highlight w:val="none"/>
                <w:lang w:val="en-US" w:eastAsia="zh-CN" w:bidi="ar-SA"/>
              </w:rPr>
              <w:t>任意一个月份的依法缴纳社会保障资金的相关材料（提供相关主管部门证明或银行代扣证明）（提供扫描件）；</w:t>
            </w:r>
          </w:p>
          <w:p>
            <w:pPr>
              <w:widowControl w:val="0"/>
              <w:shd w:val="clear"/>
              <w:spacing w:line="360" w:lineRule="auto"/>
              <w:jc w:val="both"/>
              <w:outlineLvl w:val="9"/>
              <w:rPr>
                <w:rFonts w:hint="eastAsia" w:ascii="宋体" w:hAnsi="宋体" w:eastAsia="Arial"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6.投标供应商未被“信用中国”网站（www.creditchina.gov.cn）列入失信被执行人、</w:t>
            </w:r>
            <w:r>
              <w:rPr>
                <w:rFonts w:hint="eastAsia" w:ascii="宋体" w:hAnsi="宋体" w:cs="宋体"/>
                <w:color w:val="auto"/>
                <w:sz w:val="24"/>
                <w:szCs w:val="24"/>
                <w:highlight w:val="none"/>
                <w:lang w:val="en-US" w:eastAsia="zh-CN" w:bidi="ar-SA"/>
              </w:rPr>
              <w:t>重大税收违法失信主体</w:t>
            </w:r>
            <w:r>
              <w:rPr>
                <w:rFonts w:hint="eastAsia" w:ascii="宋体" w:hAnsi="宋体" w:eastAsia="Arial" w:cs="宋体"/>
                <w:color w:val="auto"/>
                <w:sz w:val="24"/>
                <w:szCs w:val="24"/>
                <w:highlight w:val="none"/>
                <w:lang w:val="en-US" w:eastAsia="zh-CN" w:bidi="ar-SA"/>
              </w:rPr>
              <w:t>、政府采购严重失信行为记录名单；</w:t>
            </w:r>
          </w:p>
          <w:p>
            <w:pPr>
              <w:widowControl w:val="0"/>
              <w:shd w:val="clear"/>
              <w:spacing w:line="360" w:lineRule="auto"/>
              <w:jc w:val="both"/>
              <w:outlineLvl w:val="9"/>
              <w:rPr>
                <w:rFonts w:hint="eastAsia" w:ascii="宋体" w:hAnsi="宋体" w:eastAsia="Arial"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7.投标供应商为中型企业/小型企业/微型企业（监狱企业、残疾人福利性单位视同小微企业）；</w:t>
            </w:r>
          </w:p>
          <w:p>
            <w:pPr>
              <w:pStyle w:val="28"/>
              <w:shd w:val="clear"/>
              <w:rPr>
                <w:rFonts w:hint="default" w:ascii="宋体" w:hAnsi="宋体" w:eastAsia="Arial" w:cs="宋体"/>
                <w:b/>
                <w:bCs/>
                <w:color w:val="auto"/>
                <w:sz w:val="24"/>
                <w:szCs w:val="24"/>
                <w:highlight w:val="none"/>
                <w:lang w:val="en-US" w:eastAsia="zh-CN" w:bidi="ar-SA"/>
              </w:rPr>
            </w:pPr>
            <w:r>
              <w:rPr>
                <w:rFonts w:hint="eastAsia" w:ascii="宋体" w:hAnsi="宋体" w:eastAsia="Arial" w:cs="宋体"/>
                <w:b/>
                <w:bCs/>
                <w:color w:val="auto"/>
                <w:sz w:val="24"/>
                <w:szCs w:val="24"/>
                <w:highlight w:val="none"/>
                <w:lang w:val="en-US" w:eastAsia="zh-CN" w:bidi="ar-SA"/>
              </w:rPr>
              <w:t>特定资格条件</w:t>
            </w:r>
          </w:p>
          <w:p>
            <w:pPr>
              <w:widowControl w:val="0"/>
              <w:numPr>
                <w:ilvl w:val="0"/>
                <w:numId w:val="17"/>
              </w:numPr>
              <w:shd w:val="clear"/>
              <w:spacing w:line="360" w:lineRule="auto"/>
              <w:jc w:val="both"/>
              <w:outlineLvl w:val="9"/>
              <w:rPr>
                <w:rFonts w:hint="eastAsia" w:ascii="宋体" w:hAnsi="宋体" w:eastAsia="Arial"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投标供应商须具有市政公用工程施工总承包三级（含）以上资质证书且具有安全生产许可证；【提供证书原件扫描件】</w:t>
            </w:r>
          </w:p>
          <w:p>
            <w:pPr>
              <w:widowControl w:val="0"/>
              <w:shd w:val="clear"/>
              <w:spacing w:line="360" w:lineRule="auto"/>
              <w:jc w:val="left"/>
              <w:outlineLvl w:val="9"/>
              <w:rPr>
                <w:rFonts w:ascii="宋体" w:hAnsi="宋体" w:eastAsia="Arial"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本项目不接受联合体投标。</w:t>
            </w:r>
          </w:p>
          <w:p>
            <w:pPr>
              <w:widowControl w:val="0"/>
              <w:shd w:val="clear"/>
              <w:spacing w:line="360" w:lineRule="auto"/>
              <w:jc w:val="left"/>
              <w:outlineLvl w:val="9"/>
              <w:rPr>
                <w:rFonts w:ascii="宋体" w:hAnsi="宋体" w:eastAsia="Arial"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注：1、采购人及采购代理机构有权对以上资格条件进行核查，如投标供应商有弄虚作假行为或不具备以上条件的将取消投标资格。2、</w:t>
            </w:r>
            <w:r>
              <w:rPr>
                <w:rFonts w:hint="eastAsia" w:ascii="宋体" w:hAnsi="宋体" w:eastAsia="Arial" w:cs="宋体"/>
                <w:color w:val="auto"/>
                <w:sz w:val="24"/>
                <w:szCs w:val="24"/>
                <w:highlight w:val="none"/>
                <w:lang w:val="zh-CN" w:eastAsia="zh-CN" w:bidi="ar-SA"/>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2" w:hRule="atLeast"/>
          <w:jc w:val="center"/>
        </w:trPr>
        <w:tc>
          <w:tcPr>
            <w:tcW w:w="827" w:type="dxa"/>
            <w:noWrap w:val="0"/>
            <w:vAlign w:val="center"/>
          </w:tcPr>
          <w:p>
            <w:pPr>
              <w:widowControl w:val="0"/>
              <w:shd w:val="clear"/>
              <w:spacing w:line="360" w:lineRule="auto"/>
              <w:jc w:val="center"/>
              <w:outlineLvl w:val="9"/>
              <w:rPr>
                <w:rFonts w:ascii="宋体" w:hAnsi="宋体" w:eastAsia="Arial"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5</w:t>
            </w:r>
          </w:p>
        </w:tc>
        <w:tc>
          <w:tcPr>
            <w:tcW w:w="8623" w:type="dxa"/>
            <w:noWrap w:val="0"/>
            <w:vAlign w:val="center"/>
          </w:tcPr>
          <w:p>
            <w:pPr>
              <w:widowControl w:val="0"/>
              <w:shd w:val="clear"/>
              <w:spacing w:line="360" w:lineRule="auto"/>
              <w:jc w:val="left"/>
              <w:outlineLvl w:val="9"/>
              <w:rPr>
                <w:rFonts w:ascii="宋体" w:hAnsi="宋体" w:eastAsia="Arial" w:cs="宋体"/>
                <w:bCs/>
                <w:color w:val="auto"/>
                <w:sz w:val="24"/>
                <w:szCs w:val="24"/>
                <w:highlight w:val="none"/>
                <w:lang w:val="zh-CN" w:eastAsia="zh-CN" w:bidi="ar-SA"/>
              </w:rPr>
            </w:pPr>
            <w:r>
              <w:rPr>
                <w:rFonts w:hint="eastAsia" w:ascii="宋体" w:hAnsi="宋体" w:eastAsia="Arial" w:cs="宋体"/>
                <w:bCs/>
                <w:color w:val="auto"/>
                <w:sz w:val="24"/>
                <w:szCs w:val="24"/>
                <w:highlight w:val="none"/>
                <w:lang w:val="zh-CN" w:eastAsia="zh-CN" w:bidi="ar-SA"/>
              </w:rPr>
              <w:t xml:space="preserve">招标文件获取信息： </w:t>
            </w:r>
          </w:p>
          <w:p>
            <w:pPr>
              <w:widowControl w:val="0"/>
              <w:shd w:val="clear"/>
              <w:spacing w:line="360" w:lineRule="auto"/>
              <w:jc w:val="left"/>
              <w:outlineLvl w:val="9"/>
              <w:rPr>
                <w:rFonts w:ascii="宋体" w:hAnsi="宋体" w:eastAsia="Arial" w:cs="宋体"/>
                <w:bCs/>
                <w:color w:val="auto"/>
                <w:sz w:val="24"/>
                <w:szCs w:val="24"/>
                <w:highlight w:val="none"/>
                <w:lang w:val="zh-CN" w:eastAsia="zh-CN" w:bidi="ar-SA"/>
              </w:rPr>
            </w:pPr>
            <w:r>
              <w:rPr>
                <w:rFonts w:hint="eastAsia" w:ascii="宋体" w:hAnsi="宋体" w:eastAsia="Arial" w:cs="宋体"/>
                <w:bCs/>
                <w:color w:val="auto"/>
                <w:sz w:val="24"/>
                <w:szCs w:val="24"/>
                <w:highlight w:val="none"/>
                <w:lang w:val="zh-CN" w:eastAsia="zh-CN" w:bidi="ar-SA"/>
              </w:rPr>
              <w:t>1.获取招标文件方式：</w:t>
            </w:r>
            <w:r>
              <w:rPr>
                <w:rFonts w:hint="eastAsia" w:ascii="宋体" w:hAnsi="宋体" w:eastAsia="Arial" w:cs="宋体"/>
                <w:b/>
                <w:color w:val="auto"/>
                <w:sz w:val="24"/>
                <w:szCs w:val="24"/>
                <w:highlight w:val="none"/>
                <w:lang w:val="zh-CN" w:eastAsia="zh-CN" w:bidi="ar-SA"/>
              </w:rPr>
              <w:t>供应商登录苏采云</w:t>
            </w:r>
            <w:r>
              <w:rPr>
                <w:color w:val="auto"/>
                <w:highlight w:val="none"/>
              </w:rPr>
              <w:fldChar w:fldCharType="begin"/>
            </w:r>
            <w:r>
              <w:rPr>
                <w:rFonts w:ascii="Calibri" w:hAnsi="Calibri" w:eastAsia="Arial" w:cs="Arial"/>
                <w:color w:val="auto"/>
                <w:sz w:val="21"/>
                <w:szCs w:val="24"/>
                <w:highlight w:val="none"/>
                <w:lang w:val="en-US" w:eastAsia="zh-CN" w:bidi="ar-SA"/>
              </w:rPr>
              <w:instrText xml:space="preserve"> HYPERLINK "http://jszfcg.jsczt.cn/" \o "http://jszfcg.jsczt.cn/" </w:instrText>
            </w:r>
            <w:r>
              <w:rPr>
                <w:color w:val="auto"/>
                <w:highlight w:val="none"/>
              </w:rPr>
              <w:fldChar w:fldCharType="separate"/>
            </w:r>
            <w:r>
              <w:rPr>
                <w:rFonts w:hint="eastAsia" w:ascii="宋体" w:hAnsi="宋体" w:eastAsia="Arial" w:cs="宋体"/>
                <w:b/>
                <w:color w:val="auto"/>
                <w:sz w:val="24"/>
                <w:szCs w:val="24"/>
                <w:highlight w:val="none"/>
                <w:lang w:val="zh-CN" w:eastAsia="zh-CN" w:bidi="ar-SA"/>
              </w:rPr>
              <w:t>http://jszfcg.jsczt.cn/</w:t>
            </w:r>
            <w:r>
              <w:rPr>
                <w:rFonts w:hint="eastAsia" w:ascii="宋体" w:hAnsi="宋体" w:cs="宋体"/>
                <w:b/>
                <w:color w:val="auto"/>
                <w:sz w:val="24"/>
                <w:highlight w:val="none"/>
                <w:lang w:val="zh-CN"/>
              </w:rPr>
              <w:fldChar w:fldCharType="end"/>
            </w:r>
            <w:r>
              <w:rPr>
                <w:rFonts w:hint="eastAsia" w:ascii="宋体" w:hAnsi="宋体" w:eastAsia="Arial" w:cs="宋体"/>
                <w:b/>
                <w:color w:val="auto"/>
                <w:sz w:val="24"/>
                <w:szCs w:val="24"/>
                <w:highlight w:val="none"/>
                <w:lang w:val="zh-CN" w:eastAsia="zh-CN" w:bidi="ar-SA"/>
              </w:rPr>
              <w:t>，招标文件（后缀名为“.kedt”）、供应商操作手册及政府采购客户端工具也可通过“苏采云”系统--已报名项目--报名详情页面内相应链接进行下载。</w:t>
            </w:r>
          </w:p>
          <w:p>
            <w:pPr>
              <w:widowControl w:val="0"/>
              <w:shd w:val="clear"/>
              <w:spacing w:line="360" w:lineRule="auto"/>
              <w:jc w:val="left"/>
              <w:outlineLvl w:val="9"/>
              <w:rPr>
                <w:rFonts w:ascii="宋体" w:hAnsi="宋体" w:eastAsia="Arial" w:cs="宋体"/>
                <w:bCs/>
                <w:color w:val="auto"/>
                <w:sz w:val="24"/>
                <w:szCs w:val="24"/>
                <w:highlight w:val="none"/>
                <w:lang w:val="zh-CN" w:eastAsia="zh-CN" w:bidi="ar-SA"/>
              </w:rPr>
            </w:pPr>
            <w:r>
              <w:rPr>
                <w:rFonts w:hint="eastAsia" w:ascii="宋体" w:hAnsi="宋体" w:eastAsia="Arial" w:cs="宋体"/>
                <w:bCs/>
                <w:color w:val="auto"/>
                <w:sz w:val="24"/>
                <w:szCs w:val="24"/>
                <w:highlight w:val="none"/>
                <w:lang w:val="zh-CN" w:eastAsia="zh-CN" w:bidi="ar-SA"/>
              </w:rPr>
              <w:t>2.招标文件获取时间：本招标文件有效获取期限以本项目招标公告中规定的获取招标文件时间为准。</w:t>
            </w:r>
          </w:p>
          <w:p>
            <w:pPr>
              <w:widowControl w:val="0"/>
              <w:shd w:val="clear"/>
              <w:spacing w:line="360" w:lineRule="auto"/>
              <w:jc w:val="left"/>
              <w:outlineLvl w:val="9"/>
              <w:rPr>
                <w:rFonts w:ascii="宋体" w:hAnsi="宋体" w:eastAsia="Arial" w:cs="宋体"/>
                <w:bCs/>
                <w:color w:val="auto"/>
                <w:sz w:val="24"/>
                <w:szCs w:val="24"/>
                <w:highlight w:val="none"/>
                <w:lang w:val="zh-CN" w:eastAsia="zh-CN" w:bidi="ar-SA"/>
              </w:rPr>
            </w:pPr>
            <w:r>
              <w:rPr>
                <w:rFonts w:hint="eastAsia" w:ascii="宋体" w:hAnsi="宋体" w:eastAsia="Arial" w:cs="宋体"/>
                <w:bCs/>
                <w:color w:val="auto"/>
                <w:sz w:val="24"/>
                <w:szCs w:val="24"/>
                <w:highlight w:val="none"/>
                <w:lang w:val="zh-CN" w:eastAsia="zh-CN" w:bidi="ar-SA"/>
              </w:rPr>
              <w:t>3.招标文件获取地点：</w:t>
            </w:r>
            <w:r>
              <w:rPr>
                <w:rFonts w:hint="eastAsia" w:ascii="宋体" w:hAnsi="宋体" w:eastAsia="Arial" w:cs="宋体"/>
                <w:b/>
                <w:color w:val="auto"/>
                <w:sz w:val="24"/>
                <w:szCs w:val="24"/>
                <w:highlight w:val="none"/>
                <w:lang w:val="zh-CN" w:eastAsia="zh-CN" w:bidi="ar-SA"/>
              </w:rPr>
              <w:t>供应商登录苏采云</w:t>
            </w:r>
            <w:r>
              <w:rPr>
                <w:color w:val="auto"/>
                <w:highlight w:val="none"/>
              </w:rPr>
              <w:fldChar w:fldCharType="begin"/>
            </w:r>
            <w:r>
              <w:rPr>
                <w:rFonts w:ascii="Calibri" w:hAnsi="Calibri" w:eastAsia="Arial" w:cs="Arial"/>
                <w:color w:val="auto"/>
                <w:sz w:val="21"/>
                <w:szCs w:val="24"/>
                <w:highlight w:val="none"/>
                <w:lang w:val="en-US" w:eastAsia="zh-CN" w:bidi="ar-SA"/>
              </w:rPr>
              <w:instrText xml:space="preserve"> HYPERLINK "http://jszfcg.jsczt.cn/" \o "http://jszfcg.jsczt.cn/" </w:instrText>
            </w:r>
            <w:r>
              <w:rPr>
                <w:color w:val="auto"/>
                <w:highlight w:val="none"/>
              </w:rPr>
              <w:fldChar w:fldCharType="separate"/>
            </w:r>
            <w:r>
              <w:rPr>
                <w:rFonts w:hint="eastAsia" w:ascii="宋体" w:hAnsi="宋体" w:eastAsia="Arial" w:cs="宋体"/>
                <w:b/>
                <w:color w:val="auto"/>
                <w:sz w:val="24"/>
                <w:szCs w:val="24"/>
                <w:highlight w:val="none"/>
                <w:lang w:val="zh-CN" w:eastAsia="zh-CN" w:bidi="ar-SA"/>
              </w:rPr>
              <w:t>http://jszfcg.jsczt.cn/</w:t>
            </w:r>
            <w:r>
              <w:rPr>
                <w:rFonts w:hint="eastAsia" w:ascii="宋体" w:hAnsi="宋体" w:cs="宋体"/>
                <w:b/>
                <w:color w:val="auto"/>
                <w:sz w:val="24"/>
                <w:highlight w:val="none"/>
                <w:lang w:val="zh-CN"/>
              </w:rPr>
              <w:fldChar w:fldCharType="end"/>
            </w:r>
            <w:r>
              <w:rPr>
                <w:rFonts w:hint="eastAsia" w:ascii="宋体" w:hAnsi="宋体" w:eastAsia="Arial" w:cs="宋体"/>
                <w:b/>
                <w:color w:val="auto"/>
                <w:sz w:val="24"/>
                <w:szCs w:val="24"/>
                <w:highlight w:val="none"/>
                <w:lang w:val="zh-CN" w:eastAsia="zh-CN" w:bidi="ar-SA"/>
              </w:rPr>
              <w:t>进行获取</w:t>
            </w:r>
            <w:r>
              <w:rPr>
                <w:rFonts w:hint="eastAsia" w:ascii="宋体" w:hAnsi="宋体" w:eastAsia="Arial" w:cs="宋体"/>
                <w:bCs/>
                <w:color w:val="auto"/>
                <w:sz w:val="24"/>
                <w:szCs w:val="24"/>
                <w:highlight w:val="none"/>
                <w:lang w:val="zh-CN" w:eastAsia="zh-CN" w:bidi="ar-SA"/>
              </w:rPr>
              <w:t>。</w:t>
            </w:r>
          </w:p>
          <w:p>
            <w:pPr>
              <w:widowControl w:val="0"/>
              <w:shd w:val="clear"/>
              <w:spacing w:line="360" w:lineRule="auto"/>
              <w:jc w:val="left"/>
              <w:outlineLvl w:val="9"/>
              <w:rPr>
                <w:rFonts w:ascii="宋体" w:hAnsi="宋体" w:eastAsia="Arial" w:cs="宋体"/>
                <w:color w:val="auto"/>
                <w:sz w:val="24"/>
                <w:szCs w:val="24"/>
                <w:highlight w:val="none"/>
                <w:lang w:val="en-US" w:eastAsia="zh-CN" w:bidi="ar-SA"/>
              </w:rPr>
            </w:pPr>
            <w:r>
              <w:rPr>
                <w:rFonts w:hint="eastAsia" w:ascii="宋体" w:hAnsi="宋体" w:eastAsia="Arial" w:cs="宋体"/>
                <w:bCs/>
                <w:color w:val="auto"/>
                <w:sz w:val="24"/>
                <w:szCs w:val="24"/>
                <w:highlight w:val="none"/>
                <w:lang w:val="zh-CN" w:eastAsia="zh-CN" w:bidi="ar-SA"/>
              </w:rPr>
              <w:t>4.售价：0元。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27" w:type="dxa"/>
            <w:noWrap w:val="0"/>
            <w:vAlign w:val="center"/>
          </w:tcPr>
          <w:p>
            <w:pPr>
              <w:widowControl/>
              <w:shd w:val="clear"/>
              <w:spacing w:line="360" w:lineRule="auto"/>
              <w:jc w:val="center"/>
              <w:outlineLvl w:val="9"/>
              <w:rPr>
                <w:rFonts w:ascii="宋体" w:hAnsi="宋体" w:eastAsia="Arial"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6</w:t>
            </w:r>
          </w:p>
        </w:tc>
        <w:tc>
          <w:tcPr>
            <w:tcW w:w="8623" w:type="dxa"/>
            <w:noWrap w:val="0"/>
            <w:vAlign w:val="center"/>
          </w:tcPr>
          <w:p>
            <w:pPr>
              <w:widowControl/>
              <w:shd w:val="clear"/>
              <w:spacing w:line="360" w:lineRule="auto"/>
              <w:jc w:val="both"/>
              <w:outlineLvl w:val="9"/>
              <w:rPr>
                <w:rFonts w:ascii="宋体" w:hAnsi="宋体" w:eastAsia="Arial"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投标供应商要求澄清招标文件的截止时间：</w:t>
            </w:r>
            <w:r>
              <w:rPr>
                <w:rFonts w:hint="eastAsia" w:ascii="宋体" w:hAnsi="宋体" w:cs="宋体"/>
                <w:color w:val="auto"/>
                <w:sz w:val="24"/>
                <w:szCs w:val="24"/>
                <w:highlight w:val="none"/>
                <w:lang w:val="en-US" w:eastAsia="zh-CN" w:bidi="ar-SA"/>
              </w:rPr>
              <w:t>2026年09月08日</w:t>
            </w:r>
            <w:r>
              <w:rPr>
                <w:rFonts w:hint="eastAsia" w:ascii="宋体" w:hAnsi="宋体" w:eastAsia="Arial" w:cs="宋体"/>
                <w:color w:val="auto"/>
                <w:sz w:val="24"/>
                <w:szCs w:val="24"/>
                <w:highlight w:val="none"/>
                <w:lang w:val="en-US" w:eastAsia="zh-CN" w:bidi="ar-SA"/>
              </w:rPr>
              <w:t>10:00时前，以书面形式及电子邮件形式发送给采购代理机构。</w:t>
            </w:r>
          </w:p>
          <w:p>
            <w:pPr>
              <w:widowControl/>
              <w:shd w:val="clear"/>
              <w:spacing w:line="360" w:lineRule="auto"/>
              <w:jc w:val="both"/>
              <w:outlineLvl w:val="9"/>
              <w:rPr>
                <w:rFonts w:ascii="宋体" w:hAnsi="宋体" w:eastAsia="Arial"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采购人对招标文件澄清、修改的时间：投标截止时间十五日前对招标文件进行必要的澄清或者修改，不足15日的，将顺延提交投标文件的截止时间。</w:t>
            </w:r>
          </w:p>
          <w:p>
            <w:pPr>
              <w:widowControl/>
              <w:shd w:val="clear"/>
              <w:spacing w:line="360" w:lineRule="auto"/>
              <w:jc w:val="both"/>
              <w:outlineLvl w:val="9"/>
              <w:rPr>
                <w:rFonts w:ascii="宋体" w:hAnsi="宋体" w:eastAsia="Arial" w:cs="宋体"/>
                <w:b/>
                <w:bCs/>
                <w:color w:val="auto"/>
                <w:sz w:val="24"/>
                <w:szCs w:val="24"/>
                <w:highlight w:val="none"/>
                <w:lang w:val="en-US" w:eastAsia="zh-CN" w:bidi="ar-SA"/>
              </w:rPr>
            </w:pPr>
            <w:r>
              <w:rPr>
                <w:rFonts w:hint="eastAsia" w:ascii="宋体" w:hAnsi="宋体" w:eastAsia="Arial" w:cs="宋体"/>
                <w:b/>
                <w:bCs/>
                <w:color w:val="auto"/>
                <w:sz w:val="24"/>
                <w:szCs w:val="24"/>
                <w:highlight w:val="none"/>
                <w:lang w:val="en-US" w:eastAsia="zh-CN" w:bidi="ar-SA"/>
              </w:rPr>
              <w:t>现场踏勘：</w:t>
            </w:r>
          </w:p>
          <w:p>
            <w:pPr>
              <w:widowControl/>
              <w:shd w:val="clear"/>
              <w:spacing w:line="360" w:lineRule="auto"/>
              <w:jc w:val="both"/>
              <w:outlineLvl w:val="9"/>
              <w:rPr>
                <w:rFonts w:ascii="宋体" w:hAnsi="宋体" w:eastAsia="Arial"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各供应商可自行踏勘现场。未踏勘现场或踏勘工作不详细的供应商中标后，不得以不完全了解现场情况为理由而向采购人提出任何索赔或其他要求，对此采购人不承担任何责任并将不作任何答复。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27" w:type="dxa"/>
            <w:noWrap w:val="0"/>
            <w:vAlign w:val="center"/>
          </w:tcPr>
          <w:p>
            <w:pPr>
              <w:widowControl/>
              <w:shd w:val="clear"/>
              <w:spacing w:line="360" w:lineRule="auto"/>
              <w:jc w:val="center"/>
              <w:outlineLvl w:val="9"/>
              <w:rPr>
                <w:rFonts w:ascii="宋体" w:hAnsi="宋体" w:eastAsia="Arial"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7</w:t>
            </w:r>
          </w:p>
        </w:tc>
        <w:tc>
          <w:tcPr>
            <w:tcW w:w="8623" w:type="dxa"/>
            <w:noWrap w:val="0"/>
            <w:vAlign w:val="center"/>
          </w:tcPr>
          <w:p>
            <w:pPr>
              <w:widowControl/>
              <w:shd w:val="clear"/>
              <w:spacing w:line="360" w:lineRule="auto"/>
              <w:jc w:val="left"/>
              <w:outlineLvl w:val="9"/>
              <w:rPr>
                <w:rFonts w:ascii="宋体" w:hAnsi="宋体" w:eastAsia="Arial"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本项目不收取投标保证金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27" w:type="dxa"/>
            <w:noWrap w:val="0"/>
            <w:vAlign w:val="center"/>
          </w:tcPr>
          <w:p>
            <w:pPr>
              <w:widowControl/>
              <w:shd w:val="clear"/>
              <w:spacing w:line="360" w:lineRule="auto"/>
              <w:jc w:val="center"/>
              <w:outlineLvl w:val="9"/>
              <w:rPr>
                <w:rFonts w:ascii="宋体" w:hAnsi="宋体" w:eastAsia="Arial"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8</w:t>
            </w:r>
          </w:p>
        </w:tc>
        <w:tc>
          <w:tcPr>
            <w:tcW w:w="8623" w:type="dxa"/>
            <w:noWrap w:val="0"/>
            <w:vAlign w:val="center"/>
          </w:tcPr>
          <w:p>
            <w:pPr>
              <w:widowControl/>
              <w:shd w:val="clear"/>
              <w:spacing w:line="360" w:lineRule="auto"/>
              <w:jc w:val="both"/>
              <w:outlineLvl w:val="9"/>
              <w:rPr>
                <w:rFonts w:ascii="宋体" w:hAnsi="宋体" w:eastAsia="Arial"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投标有效期：投标截止之日起90天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27" w:type="dxa"/>
            <w:noWrap w:val="0"/>
            <w:vAlign w:val="center"/>
          </w:tcPr>
          <w:p>
            <w:pPr>
              <w:widowControl/>
              <w:shd w:val="clear"/>
              <w:spacing w:line="360" w:lineRule="auto"/>
              <w:jc w:val="center"/>
              <w:outlineLvl w:val="9"/>
              <w:rPr>
                <w:rFonts w:ascii="宋体" w:hAnsi="宋体" w:eastAsia="Arial"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9</w:t>
            </w:r>
          </w:p>
        </w:tc>
        <w:tc>
          <w:tcPr>
            <w:tcW w:w="8623" w:type="dxa"/>
            <w:noWrap w:val="0"/>
            <w:vAlign w:val="center"/>
          </w:tcPr>
          <w:p>
            <w:pPr>
              <w:widowControl/>
              <w:shd w:val="clear"/>
              <w:spacing w:line="360" w:lineRule="auto"/>
              <w:jc w:val="both"/>
              <w:outlineLvl w:val="9"/>
              <w:rPr>
                <w:rFonts w:ascii="宋体" w:hAnsi="宋体" w:eastAsia="Arial" w:cs="宋体"/>
                <w:b/>
                <w:color w:val="auto"/>
                <w:sz w:val="24"/>
                <w:szCs w:val="24"/>
                <w:highlight w:val="none"/>
                <w:lang w:val="en-US" w:eastAsia="zh-CN" w:bidi="ar-SA"/>
              </w:rPr>
            </w:pPr>
            <w:r>
              <w:rPr>
                <w:rFonts w:hint="eastAsia" w:ascii="宋体" w:hAnsi="宋体" w:eastAsia="Arial" w:cs="宋体"/>
                <w:b/>
                <w:color w:val="auto"/>
                <w:sz w:val="24"/>
                <w:szCs w:val="24"/>
                <w:highlight w:val="none"/>
                <w:lang w:val="en-US" w:eastAsia="zh-CN" w:bidi="ar-SA"/>
              </w:rPr>
              <w:t>投标文件接收信息：</w:t>
            </w:r>
          </w:p>
          <w:p>
            <w:pPr>
              <w:widowControl/>
              <w:shd w:val="clear"/>
              <w:spacing w:line="360" w:lineRule="auto"/>
              <w:jc w:val="both"/>
              <w:outlineLvl w:val="9"/>
              <w:rPr>
                <w:rFonts w:hint="default" w:ascii="宋体" w:hAnsi="宋体" w:eastAsia="Arial" w:cs="宋体"/>
                <w:bCs/>
                <w:color w:val="auto"/>
                <w:sz w:val="24"/>
                <w:szCs w:val="24"/>
                <w:highlight w:val="none"/>
                <w:lang w:val="en-US" w:eastAsia="zh-CN" w:bidi="ar-SA"/>
              </w:rPr>
            </w:pPr>
            <w:r>
              <w:rPr>
                <w:rFonts w:hint="eastAsia" w:ascii="宋体" w:hAnsi="宋体" w:eastAsia="Arial" w:cs="宋体"/>
                <w:bCs/>
                <w:color w:val="auto"/>
                <w:sz w:val="24"/>
                <w:szCs w:val="24"/>
                <w:highlight w:val="none"/>
                <w:lang w:val="en-US" w:eastAsia="zh-CN" w:bidi="ar-SA"/>
              </w:rPr>
              <w:t>网上投标截止时间（开标时间）：</w:t>
            </w:r>
            <w:r>
              <w:rPr>
                <w:rFonts w:hint="eastAsia" w:ascii="宋体" w:hAnsi="宋体" w:eastAsia="Arial" w:cs="宋体"/>
                <w:b/>
                <w:color w:val="auto"/>
                <w:sz w:val="24"/>
                <w:szCs w:val="24"/>
                <w:highlight w:val="none"/>
                <w:lang w:val="en-US" w:eastAsia="zh-CN" w:bidi="ar-SA"/>
              </w:rPr>
              <w:t>2026年</w:t>
            </w:r>
            <w:r>
              <w:rPr>
                <w:rFonts w:hint="eastAsia" w:ascii="宋体" w:hAnsi="宋体" w:cs="宋体"/>
                <w:b/>
                <w:color w:val="auto"/>
                <w:sz w:val="24"/>
                <w:szCs w:val="24"/>
                <w:highlight w:val="none"/>
                <w:lang w:val="en-US" w:eastAsia="zh-CN" w:bidi="ar-SA"/>
              </w:rPr>
              <w:t>09</w:t>
            </w:r>
            <w:r>
              <w:rPr>
                <w:rFonts w:hint="eastAsia" w:ascii="宋体" w:hAnsi="宋体" w:eastAsia="Arial" w:cs="宋体"/>
                <w:b/>
                <w:color w:val="auto"/>
                <w:sz w:val="24"/>
                <w:szCs w:val="24"/>
                <w:highlight w:val="none"/>
                <w:lang w:val="en-US" w:eastAsia="zh-CN" w:bidi="ar-SA"/>
              </w:rPr>
              <w:t>月</w:t>
            </w:r>
            <w:r>
              <w:rPr>
                <w:rFonts w:hint="eastAsia" w:ascii="宋体" w:hAnsi="宋体" w:cs="宋体"/>
                <w:b/>
                <w:color w:val="auto"/>
                <w:sz w:val="24"/>
                <w:szCs w:val="24"/>
                <w:highlight w:val="none"/>
                <w:lang w:val="en-US" w:eastAsia="zh-CN" w:bidi="ar-SA"/>
              </w:rPr>
              <w:t>24</w:t>
            </w:r>
            <w:r>
              <w:rPr>
                <w:rFonts w:hint="eastAsia" w:ascii="宋体" w:hAnsi="宋体" w:eastAsia="Arial" w:cs="宋体"/>
                <w:b/>
                <w:color w:val="auto"/>
                <w:sz w:val="24"/>
                <w:szCs w:val="24"/>
                <w:highlight w:val="none"/>
                <w:lang w:val="en-US" w:eastAsia="zh-CN" w:bidi="ar-SA"/>
              </w:rPr>
              <w:t>日</w:t>
            </w:r>
            <w:r>
              <w:rPr>
                <w:rFonts w:hint="eastAsia" w:ascii="宋体" w:hAnsi="宋体" w:cs="宋体"/>
                <w:b/>
                <w:color w:val="auto"/>
                <w:sz w:val="24"/>
                <w:szCs w:val="24"/>
                <w:highlight w:val="none"/>
                <w:lang w:val="en-US" w:eastAsia="zh-CN" w:bidi="ar-SA"/>
              </w:rPr>
              <w:t>09</w:t>
            </w:r>
            <w:r>
              <w:rPr>
                <w:rFonts w:hint="eastAsia" w:ascii="宋体" w:hAnsi="宋体" w:eastAsia="Arial" w:cs="宋体"/>
                <w:b/>
                <w:color w:val="auto"/>
                <w:sz w:val="24"/>
                <w:szCs w:val="24"/>
                <w:highlight w:val="none"/>
                <w:lang w:val="en-US" w:eastAsia="zh-CN" w:bidi="ar-SA"/>
              </w:rPr>
              <w:t>：</w:t>
            </w:r>
            <w:r>
              <w:rPr>
                <w:rFonts w:hint="eastAsia" w:ascii="宋体" w:hAnsi="宋体" w:cs="宋体"/>
                <w:b/>
                <w:color w:val="auto"/>
                <w:sz w:val="24"/>
                <w:szCs w:val="24"/>
                <w:highlight w:val="none"/>
                <w:lang w:val="en-US" w:eastAsia="zh-CN" w:bidi="ar-SA"/>
              </w:rPr>
              <w:t>30</w:t>
            </w:r>
          </w:p>
          <w:p>
            <w:pPr>
              <w:widowControl/>
              <w:shd w:val="clear"/>
              <w:spacing w:line="360" w:lineRule="auto"/>
              <w:jc w:val="both"/>
              <w:outlineLvl w:val="9"/>
              <w:rPr>
                <w:rFonts w:ascii="宋体" w:hAnsi="宋体" w:eastAsia="Arial" w:cs="宋体"/>
                <w:b/>
                <w:color w:val="auto"/>
                <w:sz w:val="24"/>
                <w:szCs w:val="24"/>
                <w:highlight w:val="none"/>
                <w:lang w:val="en-US" w:eastAsia="zh-CN" w:bidi="ar-SA"/>
              </w:rPr>
            </w:pPr>
            <w:r>
              <w:rPr>
                <w:rFonts w:hint="eastAsia" w:ascii="宋体" w:hAnsi="宋体" w:eastAsia="Arial" w:cs="宋体"/>
                <w:b/>
                <w:color w:val="auto"/>
                <w:sz w:val="24"/>
                <w:szCs w:val="24"/>
                <w:highlight w:val="none"/>
                <w:lang w:val="en-US" w:eastAsia="zh-CN" w:bidi="ar-SA"/>
              </w:rPr>
              <w:t>本项目招标文件规定的供应商按时在线解密方式：开启时间后30分钟内，通过“苏采云”系统（使用“CA数字证书”）解密。</w:t>
            </w:r>
          </w:p>
          <w:p>
            <w:pPr>
              <w:widowControl/>
              <w:shd w:val="clear"/>
              <w:spacing w:line="360" w:lineRule="auto"/>
              <w:jc w:val="both"/>
              <w:outlineLvl w:val="9"/>
              <w:rPr>
                <w:rFonts w:ascii="宋体" w:hAnsi="宋体" w:eastAsia="Arial" w:cs="宋体"/>
                <w:bCs/>
                <w:color w:val="auto"/>
                <w:sz w:val="24"/>
                <w:szCs w:val="24"/>
                <w:highlight w:val="none"/>
                <w:lang w:val="en-US" w:eastAsia="zh-CN" w:bidi="ar-SA"/>
              </w:rPr>
            </w:pPr>
            <w:r>
              <w:rPr>
                <w:rFonts w:hint="eastAsia" w:ascii="宋体" w:hAnsi="宋体" w:eastAsia="Arial" w:cs="宋体"/>
                <w:bCs/>
                <w:color w:val="auto"/>
                <w:sz w:val="24"/>
                <w:szCs w:val="24"/>
                <w:highlight w:val="none"/>
                <w:lang w:val="en-US" w:eastAsia="zh-CN" w:bidi="ar-SA"/>
              </w:rPr>
              <w:t>递交地点：</w:t>
            </w:r>
            <w:r>
              <w:rPr>
                <w:rFonts w:hint="eastAsia" w:ascii="宋体" w:hAnsi="宋体" w:eastAsia="Arial" w:cs="宋体"/>
                <w:b/>
                <w:color w:val="auto"/>
                <w:sz w:val="24"/>
                <w:szCs w:val="24"/>
                <w:highlight w:val="none"/>
                <w:lang w:val="en-US" w:eastAsia="zh-CN" w:bidi="ar-SA"/>
              </w:rPr>
              <w:t>“苏采云”系统（网址：http://jszfcg.jsczt.cn/）“报名详情”</w:t>
            </w:r>
          </w:p>
          <w:p>
            <w:pPr>
              <w:widowControl/>
              <w:shd w:val="clear"/>
              <w:spacing w:line="360" w:lineRule="auto"/>
              <w:jc w:val="both"/>
              <w:outlineLvl w:val="9"/>
              <w:rPr>
                <w:rFonts w:ascii="宋体" w:hAnsi="宋体" w:eastAsia="Arial" w:cs="宋体"/>
                <w:bCs/>
                <w:color w:val="auto"/>
                <w:sz w:val="24"/>
                <w:szCs w:val="24"/>
                <w:highlight w:val="none"/>
                <w:lang w:val="en-US" w:eastAsia="zh-CN" w:bidi="ar-SA"/>
              </w:rPr>
            </w:pPr>
            <w:r>
              <w:rPr>
                <w:rFonts w:hint="eastAsia" w:ascii="宋体" w:hAnsi="宋体" w:eastAsia="Arial" w:cs="宋体"/>
                <w:bCs/>
                <w:color w:val="auto"/>
                <w:sz w:val="24"/>
                <w:szCs w:val="24"/>
                <w:highlight w:val="none"/>
                <w:lang w:val="en-US" w:eastAsia="zh-CN" w:bidi="ar-SA"/>
              </w:rPr>
              <w:t>开标地点：</w:t>
            </w:r>
            <w:r>
              <w:rPr>
                <w:rFonts w:hint="eastAsia" w:ascii="宋体" w:hAnsi="宋体" w:eastAsia="Arial" w:cs="宋体"/>
                <w:b/>
                <w:color w:val="auto"/>
                <w:sz w:val="24"/>
                <w:szCs w:val="24"/>
                <w:highlight w:val="none"/>
                <w:lang w:val="en-US" w:eastAsia="zh-CN" w:bidi="ar-SA"/>
              </w:rPr>
              <w:t>“苏采云”系统（网址：</w:t>
            </w:r>
            <w:r>
              <w:rPr>
                <w:rFonts w:hint="eastAsia" w:ascii="宋体" w:hAnsi="宋体" w:eastAsia="Arial" w:cs="宋体"/>
                <w:b/>
                <w:color w:val="auto"/>
                <w:sz w:val="24"/>
                <w:szCs w:val="24"/>
                <w:highlight w:val="none"/>
                <w:u w:val="none"/>
                <w:lang w:val="en-US" w:eastAsia="zh-CN" w:bidi="ar-SA"/>
              </w:rPr>
              <w:t>http://jszfcg.jsczt.cn/）“开标大厅”</w:t>
            </w:r>
          </w:p>
          <w:p>
            <w:pPr>
              <w:widowControl/>
              <w:shd w:val="clear"/>
              <w:spacing w:line="360" w:lineRule="auto"/>
              <w:jc w:val="both"/>
              <w:outlineLvl w:val="9"/>
              <w:rPr>
                <w:rFonts w:ascii="宋体" w:hAnsi="宋体" w:eastAsia="Arial" w:cs="宋体"/>
                <w:b/>
                <w:color w:val="auto"/>
                <w:sz w:val="24"/>
                <w:szCs w:val="24"/>
                <w:highlight w:val="none"/>
                <w:lang w:val="en-US" w:eastAsia="zh-CN" w:bidi="ar-SA"/>
              </w:rPr>
            </w:pPr>
            <w:r>
              <w:rPr>
                <w:rFonts w:hint="eastAsia" w:ascii="宋体" w:hAnsi="宋体" w:eastAsia="Arial" w:cs="宋体"/>
                <w:b/>
                <w:color w:val="auto"/>
                <w:sz w:val="24"/>
                <w:szCs w:val="24"/>
                <w:highlight w:val="none"/>
                <w:lang w:val="en-US" w:eastAsia="zh-CN" w:bidi="ar-SA"/>
              </w:rPr>
              <w:t>特别提醒：</w:t>
            </w:r>
          </w:p>
          <w:p>
            <w:pPr>
              <w:widowControl/>
              <w:shd w:val="clear"/>
              <w:spacing w:line="360" w:lineRule="auto"/>
              <w:jc w:val="both"/>
              <w:outlineLvl w:val="9"/>
              <w:rPr>
                <w:rFonts w:ascii="宋体" w:hAnsi="宋体" w:eastAsia="Arial" w:cs="宋体"/>
                <w:b/>
                <w:color w:val="auto"/>
                <w:sz w:val="24"/>
                <w:szCs w:val="24"/>
                <w:highlight w:val="none"/>
                <w:lang w:val="en-US" w:eastAsia="zh-CN" w:bidi="ar-SA"/>
              </w:rPr>
            </w:pPr>
            <w:r>
              <w:rPr>
                <w:rFonts w:hint="eastAsia" w:ascii="宋体" w:hAnsi="宋体" w:eastAsia="Arial" w:cs="宋体"/>
                <w:b/>
                <w:color w:val="auto"/>
                <w:sz w:val="24"/>
                <w:szCs w:val="24"/>
                <w:highlight w:val="none"/>
                <w:lang w:val="en-US" w:eastAsia="zh-CN" w:bidi="ar-SA"/>
              </w:rPr>
              <w:t>若资格审查中或评审过程中，采购人/代理机构/评标委员会对投标文件存在疑问，投标供应商被授权委托人须在接到在线询标函后30分钟内，在开标界面在线以澄清函回复并签章；若投标供应商被授权委托人未在规定时间内按上述要求做出回复，则视为投标供应商默认资审结果或评审结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27" w:type="dxa"/>
            <w:noWrap w:val="0"/>
            <w:vAlign w:val="center"/>
          </w:tcPr>
          <w:p>
            <w:pPr>
              <w:widowControl/>
              <w:shd w:val="clear"/>
              <w:spacing w:line="360" w:lineRule="auto"/>
              <w:jc w:val="center"/>
              <w:outlineLvl w:val="9"/>
              <w:rPr>
                <w:rFonts w:ascii="宋体" w:hAnsi="宋体" w:eastAsia="Arial"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10</w:t>
            </w:r>
          </w:p>
        </w:tc>
        <w:tc>
          <w:tcPr>
            <w:tcW w:w="8623" w:type="dxa"/>
            <w:noWrap w:val="0"/>
            <w:vAlign w:val="center"/>
          </w:tcPr>
          <w:p>
            <w:pPr>
              <w:widowControl/>
              <w:shd w:val="clear"/>
              <w:spacing w:line="360" w:lineRule="auto"/>
              <w:jc w:val="both"/>
              <w:outlineLvl w:val="9"/>
              <w:rPr>
                <w:rFonts w:ascii="宋体" w:hAnsi="宋体" w:eastAsia="Arial"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评审时间：2026年</w:t>
            </w:r>
            <w:r>
              <w:rPr>
                <w:rFonts w:hint="eastAsia" w:ascii="宋体" w:hAnsi="宋体" w:cs="宋体"/>
                <w:color w:val="auto"/>
                <w:sz w:val="24"/>
                <w:szCs w:val="24"/>
                <w:highlight w:val="none"/>
                <w:lang w:val="en-US" w:eastAsia="zh-CN" w:bidi="ar-SA"/>
              </w:rPr>
              <w:t>09</w:t>
            </w:r>
            <w:r>
              <w:rPr>
                <w:rFonts w:hint="eastAsia" w:ascii="宋体" w:hAnsi="宋体" w:eastAsia="Arial" w:cs="宋体"/>
                <w:color w:val="auto"/>
                <w:sz w:val="24"/>
                <w:szCs w:val="24"/>
                <w:highlight w:val="none"/>
                <w:lang w:val="en-US" w:eastAsia="zh-CN" w:bidi="ar-SA"/>
              </w:rPr>
              <w:t>月</w:t>
            </w:r>
            <w:r>
              <w:rPr>
                <w:rFonts w:hint="eastAsia" w:ascii="宋体" w:hAnsi="宋体" w:cs="宋体"/>
                <w:color w:val="auto"/>
                <w:sz w:val="24"/>
                <w:szCs w:val="24"/>
                <w:highlight w:val="none"/>
                <w:lang w:val="en-US" w:eastAsia="zh-CN" w:bidi="ar-SA"/>
              </w:rPr>
              <w:t>24</w:t>
            </w:r>
            <w:r>
              <w:rPr>
                <w:rFonts w:hint="eastAsia" w:ascii="宋体" w:hAnsi="宋体" w:eastAsia="Arial" w:cs="宋体"/>
                <w:color w:val="auto"/>
                <w:sz w:val="24"/>
                <w:szCs w:val="24"/>
                <w:highlight w:val="none"/>
                <w:lang w:val="en-US" w:eastAsia="zh-CN" w:bidi="ar-SA"/>
              </w:rPr>
              <w:t>日开标结束后</w:t>
            </w:r>
          </w:p>
          <w:p>
            <w:pPr>
              <w:widowControl/>
              <w:shd w:val="clear"/>
              <w:spacing w:line="360" w:lineRule="auto"/>
              <w:jc w:val="both"/>
              <w:outlineLvl w:val="9"/>
              <w:rPr>
                <w:rFonts w:ascii="宋体" w:hAnsi="宋体" w:eastAsia="Arial"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评审地点：无锡市公共资源交易中心新吴分中心（新吴区交大联云科技园停车场1楼）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7" w:hRule="atLeast"/>
          <w:jc w:val="center"/>
        </w:trPr>
        <w:tc>
          <w:tcPr>
            <w:tcW w:w="827" w:type="dxa"/>
            <w:noWrap w:val="0"/>
            <w:vAlign w:val="center"/>
          </w:tcPr>
          <w:p>
            <w:pPr>
              <w:widowControl/>
              <w:shd w:val="clear"/>
              <w:spacing w:line="360" w:lineRule="auto"/>
              <w:jc w:val="center"/>
              <w:outlineLvl w:val="9"/>
              <w:rPr>
                <w:rFonts w:ascii="宋体" w:hAnsi="宋体" w:eastAsia="Arial"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11</w:t>
            </w:r>
          </w:p>
        </w:tc>
        <w:tc>
          <w:tcPr>
            <w:tcW w:w="8623" w:type="dxa"/>
            <w:noWrap w:val="0"/>
            <w:vAlign w:val="center"/>
          </w:tcPr>
          <w:p>
            <w:pPr>
              <w:widowControl/>
              <w:shd w:val="clear"/>
              <w:spacing w:line="360" w:lineRule="auto"/>
              <w:jc w:val="both"/>
              <w:outlineLvl w:val="9"/>
              <w:rPr>
                <w:rFonts w:ascii="宋体" w:hAnsi="宋体" w:eastAsia="Arial" w:cs="宋体"/>
                <w:b/>
                <w:color w:val="auto"/>
                <w:sz w:val="24"/>
                <w:szCs w:val="24"/>
                <w:highlight w:val="none"/>
                <w:u w:val="single"/>
                <w:lang w:val="en-US" w:eastAsia="zh-CN" w:bidi="ar-SA"/>
              </w:rPr>
            </w:pPr>
            <w:r>
              <w:rPr>
                <w:rFonts w:hint="eastAsia" w:ascii="宋体" w:hAnsi="宋体" w:eastAsia="Arial" w:cs="宋体"/>
                <w:color w:val="auto"/>
                <w:sz w:val="24"/>
                <w:szCs w:val="24"/>
                <w:highlight w:val="none"/>
                <w:lang w:val="en-US" w:eastAsia="zh-CN" w:bidi="ar-SA"/>
              </w:rPr>
              <w:t>确定中标单位时间：</w:t>
            </w:r>
            <w:r>
              <w:rPr>
                <w:rFonts w:hint="eastAsia" w:ascii="宋体" w:hAnsi="宋体" w:eastAsia="Arial" w:cs="宋体"/>
                <w:b/>
                <w:color w:val="auto"/>
                <w:sz w:val="24"/>
                <w:szCs w:val="24"/>
                <w:highlight w:val="none"/>
                <w:u w:val="none"/>
                <w:lang w:val="en-US" w:eastAsia="zh-CN" w:bidi="ar-SA"/>
              </w:rPr>
              <w:t>2026年</w:t>
            </w:r>
            <w:r>
              <w:rPr>
                <w:rFonts w:hint="eastAsia" w:ascii="宋体" w:hAnsi="宋体" w:cs="宋体"/>
                <w:b/>
                <w:color w:val="auto"/>
                <w:sz w:val="24"/>
                <w:szCs w:val="24"/>
                <w:highlight w:val="none"/>
                <w:u w:val="none"/>
                <w:lang w:val="en-US" w:eastAsia="zh-CN" w:bidi="ar-SA"/>
              </w:rPr>
              <w:t>09</w:t>
            </w:r>
            <w:r>
              <w:rPr>
                <w:rFonts w:hint="eastAsia" w:ascii="宋体" w:hAnsi="宋体" w:eastAsia="Arial" w:cs="宋体"/>
                <w:b/>
                <w:color w:val="auto"/>
                <w:sz w:val="24"/>
                <w:szCs w:val="24"/>
                <w:highlight w:val="none"/>
                <w:u w:val="none"/>
                <w:lang w:val="en-US" w:eastAsia="zh-CN" w:bidi="ar-SA"/>
              </w:rPr>
              <w:t>月</w:t>
            </w:r>
            <w:r>
              <w:rPr>
                <w:rFonts w:hint="eastAsia" w:ascii="宋体" w:hAnsi="宋体" w:cs="宋体"/>
                <w:b/>
                <w:color w:val="auto"/>
                <w:sz w:val="24"/>
                <w:szCs w:val="24"/>
                <w:highlight w:val="none"/>
                <w:u w:val="none"/>
                <w:lang w:val="en-US" w:eastAsia="zh-CN" w:bidi="ar-SA"/>
              </w:rPr>
              <w:t>24</w:t>
            </w:r>
            <w:r>
              <w:rPr>
                <w:rFonts w:hint="eastAsia" w:ascii="宋体" w:hAnsi="宋体" w:eastAsia="Arial" w:cs="宋体"/>
                <w:b/>
                <w:color w:val="auto"/>
                <w:sz w:val="24"/>
                <w:szCs w:val="24"/>
                <w:highlight w:val="none"/>
                <w:u w:val="none"/>
                <w:lang w:val="en-US" w:eastAsia="zh-CN" w:bidi="ar-SA"/>
              </w:rPr>
              <w:t>日评审结束</w:t>
            </w:r>
          </w:p>
          <w:p>
            <w:pPr>
              <w:widowControl/>
              <w:shd w:val="clear"/>
              <w:spacing w:line="360" w:lineRule="auto"/>
              <w:jc w:val="both"/>
              <w:outlineLvl w:val="9"/>
              <w:rPr>
                <w:rFonts w:ascii="宋体" w:hAnsi="宋体" w:eastAsia="Arial"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确定中标单位地点：无锡市公共资源交易中心新吴分中心（新吴区交大联云科技园停车场1楼）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27" w:type="dxa"/>
            <w:noWrap w:val="0"/>
            <w:vAlign w:val="center"/>
          </w:tcPr>
          <w:p>
            <w:pPr>
              <w:widowControl/>
              <w:shd w:val="clear"/>
              <w:spacing w:line="360" w:lineRule="auto"/>
              <w:jc w:val="center"/>
              <w:outlineLvl w:val="9"/>
              <w:rPr>
                <w:rFonts w:ascii="宋体" w:hAnsi="宋体" w:eastAsia="Arial"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12</w:t>
            </w:r>
          </w:p>
        </w:tc>
        <w:tc>
          <w:tcPr>
            <w:tcW w:w="8623" w:type="dxa"/>
            <w:noWrap w:val="0"/>
            <w:vAlign w:val="center"/>
          </w:tcPr>
          <w:p>
            <w:pPr>
              <w:widowControl w:val="0"/>
              <w:shd w:val="clear"/>
              <w:spacing w:line="360" w:lineRule="auto"/>
              <w:jc w:val="both"/>
              <w:outlineLvl w:val="9"/>
              <w:rPr>
                <w:rFonts w:ascii="宋体" w:hAnsi="宋体" w:eastAsia="Arial" w:cs="宋体"/>
                <w:color w:val="auto"/>
                <w:sz w:val="24"/>
                <w:szCs w:val="24"/>
                <w:highlight w:val="none"/>
                <w:lang w:val="en-US" w:eastAsia="zh-CN" w:bidi="ar-SA"/>
              </w:rPr>
            </w:pPr>
            <w:r>
              <w:rPr>
                <w:rFonts w:hint="eastAsia" w:ascii="宋体" w:hAnsi="宋体" w:eastAsia="Arial" w:cs="宋体"/>
                <w:b/>
                <w:bCs/>
                <w:color w:val="auto"/>
                <w:sz w:val="24"/>
                <w:szCs w:val="24"/>
                <w:highlight w:val="none"/>
                <w:lang w:val="en-US" w:eastAsia="zh-CN" w:bidi="ar-SA"/>
              </w:rPr>
              <w:t>投标文件制作要求：</w:t>
            </w:r>
          </w:p>
          <w:p>
            <w:pPr>
              <w:widowControl w:val="0"/>
              <w:shd w:val="clear"/>
              <w:spacing w:line="360" w:lineRule="auto"/>
              <w:jc w:val="both"/>
              <w:outlineLvl w:val="9"/>
              <w:rPr>
                <w:rFonts w:ascii="宋体" w:hAnsi="宋体" w:eastAsia="Arial"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1.因本项目作为采用线上电子开评标</w:t>
            </w:r>
            <w:r>
              <w:rPr>
                <w:rFonts w:hint="eastAsia" w:ascii="宋体" w:hAnsi="宋体" w:eastAsia="Arial" w:cs="宋体"/>
                <w:b/>
                <w:bCs/>
                <w:color w:val="auto"/>
                <w:sz w:val="24"/>
                <w:szCs w:val="24"/>
                <w:highlight w:val="none"/>
                <w:lang w:val="en-US" w:eastAsia="zh-CN" w:bidi="ar-SA"/>
              </w:rPr>
              <w:t>（网上不见面开标）</w:t>
            </w:r>
            <w:r>
              <w:rPr>
                <w:rFonts w:hint="eastAsia" w:ascii="宋体" w:hAnsi="宋体" w:eastAsia="Arial" w:cs="宋体"/>
                <w:color w:val="auto"/>
                <w:sz w:val="24"/>
                <w:szCs w:val="24"/>
                <w:highlight w:val="none"/>
                <w:lang w:val="en-US" w:eastAsia="zh-CN" w:bidi="ar-SA"/>
              </w:rPr>
              <w:t>，供应商在苏采云系统规定的时间内对投标文件进行解密。</w:t>
            </w:r>
          </w:p>
          <w:p>
            <w:pPr>
              <w:widowControl w:val="0"/>
              <w:shd w:val="clear"/>
              <w:spacing w:line="360" w:lineRule="auto"/>
              <w:jc w:val="both"/>
              <w:outlineLvl w:val="9"/>
              <w:rPr>
                <w:rFonts w:ascii="宋体" w:hAnsi="宋体" w:eastAsia="Arial" w:cs="宋体"/>
                <w:b/>
                <w:bCs/>
                <w:color w:val="auto"/>
                <w:sz w:val="24"/>
                <w:szCs w:val="24"/>
                <w:highlight w:val="none"/>
                <w:lang w:val="en-US" w:eastAsia="zh-CN" w:bidi="ar-SA"/>
              </w:rPr>
            </w:pPr>
            <w:r>
              <w:rPr>
                <w:rFonts w:hint="eastAsia" w:ascii="宋体" w:hAnsi="宋体" w:eastAsia="Arial" w:cs="宋体"/>
                <w:b/>
                <w:bCs/>
                <w:color w:val="auto"/>
                <w:sz w:val="24"/>
                <w:szCs w:val="24"/>
                <w:highlight w:val="none"/>
                <w:lang w:val="en-US" w:eastAsia="zh-CN" w:bidi="ar-SA"/>
              </w:rPr>
              <w:t>2.供应商请仔细阅读供应商注册流程和公开招标文件中关于电子开评标等相关事项，如有问题可发送邮件或移动电话咨询。</w:t>
            </w:r>
          </w:p>
          <w:p>
            <w:pPr>
              <w:widowControl/>
              <w:shd w:val="clear"/>
              <w:spacing w:line="360" w:lineRule="auto"/>
              <w:jc w:val="both"/>
              <w:outlineLvl w:val="9"/>
              <w:rPr>
                <w:rFonts w:ascii="宋体" w:hAnsi="宋体" w:eastAsia="Arial" w:cs="宋体"/>
                <w:color w:val="auto"/>
                <w:sz w:val="24"/>
                <w:szCs w:val="24"/>
                <w:highlight w:val="none"/>
                <w:lang w:val="en-US" w:eastAsia="zh-CN" w:bidi="ar-SA"/>
              </w:rPr>
            </w:pPr>
            <w:r>
              <w:rPr>
                <w:rFonts w:hint="eastAsia" w:ascii="宋体" w:hAnsi="宋体" w:eastAsia="Arial" w:cs="宋体"/>
                <w:b/>
                <w:bCs/>
                <w:color w:val="auto"/>
                <w:sz w:val="24"/>
                <w:szCs w:val="24"/>
                <w:highlight w:val="none"/>
                <w:lang w:val="en-US" w:eastAsia="zh-CN" w:bidi="ar-SA"/>
              </w:rPr>
              <w:t>3.本次采购采用“苏采云”系统进行采购活动，招标文件发布、报价、评审和中标结果发布全程电子化。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jc w:val="center"/>
        </w:trPr>
        <w:tc>
          <w:tcPr>
            <w:tcW w:w="827" w:type="dxa"/>
            <w:noWrap w:val="0"/>
            <w:vAlign w:val="center"/>
          </w:tcPr>
          <w:p>
            <w:pPr>
              <w:widowControl/>
              <w:shd w:val="clear"/>
              <w:spacing w:line="360" w:lineRule="auto"/>
              <w:jc w:val="center"/>
              <w:outlineLvl w:val="9"/>
              <w:rPr>
                <w:rFonts w:ascii="宋体" w:hAnsi="宋体" w:eastAsia="Arial"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13</w:t>
            </w:r>
          </w:p>
        </w:tc>
        <w:tc>
          <w:tcPr>
            <w:tcW w:w="8623" w:type="dxa"/>
            <w:noWrap w:val="0"/>
            <w:vAlign w:val="center"/>
          </w:tcPr>
          <w:p>
            <w:pPr>
              <w:widowControl/>
              <w:shd w:val="clear"/>
              <w:spacing w:line="360" w:lineRule="auto"/>
              <w:jc w:val="both"/>
              <w:outlineLvl w:val="9"/>
              <w:rPr>
                <w:rFonts w:ascii="宋体" w:hAnsi="宋体" w:eastAsia="Arial"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有关本次采购活动程序方面的问题，可来人、来函或电话联系。</w:t>
            </w:r>
          </w:p>
          <w:p>
            <w:pPr>
              <w:widowControl/>
              <w:shd w:val="clear"/>
              <w:spacing w:line="360" w:lineRule="auto"/>
              <w:jc w:val="left"/>
              <w:outlineLvl w:val="9"/>
              <w:rPr>
                <w:rFonts w:hint="eastAsia" w:ascii="宋体" w:hAnsi="宋体" w:eastAsia="宋体"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采购人：</w:t>
            </w:r>
            <w:r>
              <w:rPr>
                <w:rFonts w:hint="eastAsia" w:ascii="宋体" w:hAnsi="宋体" w:cs="宋体"/>
                <w:color w:val="auto"/>
                <w:sz w:val="24"/>
                <w:szCs w:val="24"/>
                <w:highlight w:val="none"/>
                <w:lang w:val="en-US" w:eastAsia="zh-CN" w:bidi="ar-SA"/>
              </w:rPr>
              <w:t>无锡市滨湖区太湖街道办事处</w:t>
            </w:r>
          </w:p>
          <w:p>
            <w:pPr>
              <w:widowControl/>
              <w:shd w:val="clear"/>
              <w:spacing w:line="360" w:lineRule="auto"/>
              <w:jc w:val="left"/>
              <w:outlineLvl w:val="9"/>
              <w:rPr>
                <w:rFonts w:ascii="宋体" w:hAnsi="宋体" w:eastAsia="Arial"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联系地址：</w:t>
            </w:r>
            <w:r>
              <w:rPr>
                <w:rFonts w:hint="eastAsia" w:ascii="宋体" w:hAnsi="宋体" w:cs="宋体"/>
                <w:color w:val="auto"/>
                <w:sz w:val="24"/>
                <w:szCs w:val="24"/>
                <w:highlight w:val="none"/>
                <w:lang w:val="en-US" w:eastAsia="zh-CN" w:bidi="ar-SA"/>
              </w:rPr>
              <w:t>江苏省无锡市滨湖区太湖街道周新东路58号</w:t>
            </w:r>
            <w:r>
              <w:rPr>
                <w:rFonts w:hint="eastAsia" w:ascii="宋体" w:hAnsi="宋体" w:eastAsia="Arial" w:cs="宋体"/>
                <w:color w:val="auto"/>
                <w:sz w:val="24"/>
                <w:szCs w:val="24"/>
                <w:highlight w:val="none"/>
                <w:lang w:val="en-US" w:eastAsia="zh-CN" w:bidi="ar-SA"/>
              </w:rPr>
              <w:t xml:space="preserve"> </w:t>
            </w:r>
          </w:p>
          <w:p>
            <w:pPr>
              <w:widowControl/>
              <w:shd w:val="clear"/>
              <w:spacing w:line="360" w:lineRule="auto"/>
              <w:jc w:val="left"/>
              <w:outlineLvl w:val="9"/>
              <w:rPr>
                <w:rFonts w:hint="eastAsia" w:ascii="宋体" w:hAnsi="宋体" w:eastAsia="Arial"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联系人：</w:t>
            </w:r>
            <w:r>
              <w:rPr>
                <w:rFonts w:hint="eastAsia" w:ascii="宋体" w:hAnsi="宋体" w:eastAsia="Arial" w:cs="宋体"/>
                <w:color w:val="auto"/>
                <w:sz w:val="24"/>
                <w:szCs w:val="24"/>
                <w:highlight w:val="none"/>
                <w:lang w:val="zh-CN" w:eastAsia="zh-CN" w:bidi="ar-SA"/>
              </w:rPr>
              <w:t>沈彦晴</w:t>
            </w:r>
          </w:p>
          <w:p>
            <w:pPr>
              <w:widowControl/>
              <w:shd w:val="clear"/>
              <w:spacing w:line="360" w:lineRule="auto"/>
              <w:jc w:val="left"/>
              <w:outlineLvl w:val="9"/>
              <w:rPr>
                <w:rFonts w:hint="default" w:ascii="宋体" w:hAnsi="宋体" w:eastAsia="Arial"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联系电话：0510-</w:t>
            </w:r>
            <w:r>
              <w:rPr>
                <w:rFonts w:hint="eastAsia" w:ascii="宋体" w:hAnsi="宋体" w:cs="宋体"/>
                <w:color w:val="auto"/>
                <w:sz w:val="24"/>
                <w:szCs w:val="24"/>
                <w:highlight w:val="none"/>
                <w:lang w:val="en-US" w:eastAsia="zh-CN" w:bidi="ar-SA"/>
              </w:rPr>
              <w:t>85070118</w:t>
            </w:r>
          </w:p>
          <w:p>
            <w:pPr>
              <w:widowControl/>
              <w:shd w:val="clear"/>
              <w:spacing w:line="360" w:lineRule="auto"/>
              <w:jc w:val="left"/>
              <w:outlineLvl w:val="9"/>
              <w:rPr>
                <w:rFonts w:hint="eastAsia" w:ascii="宋体" w:hAnsi="宋体" w:eastAsia="宋体"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采购代理机构：</w:t>
            </w:r>
            <w:r>
              <w:rPr>
                <w:rFonts w:hint="eastAsia" w:ascii="宋体" w:hAnsi="宋体" w:cs="宋体"/>
                <w:color w:val="auto"/>
                <w:sz w:val="24"/>
                <w:szCs w:val="24"/>
                <w:highlight w:val="none"/>
                <w:lang w:val="en-US" w:eastAsia="zh-CN" w:bidi="ar-SA"/>
              </w:rPr>
              <w:t>北京中昌工程咨询有限公司</w:t>
            </w:r>
          </w:p>
          <w:p>
            <w:pPr>
              <w:widowControl/>
              <w:shd w:val="clear"/>
              <w:spacing w:line="360" w:lineRule="auto"/>
              <w:jc w:val="left"/>
              <w:outlineLvl w:val="9"/>
              <w:rPr>
                <w:rFonts w:ascii="宋体" w:hAnsi="宋体" w:eastAsia="Arial"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联系人：</w:t>
            </w:r>
            <w:r>
              <w:rPr>
                <w:rFonts w:hint="eastAsia" w:ascii="宋体" w:hAnsi="宋体" w:cs="宋体"/>
                <w:color w:val="auto"/>
                <w:sz w:val="24"/>
                <w:szCs w:val="24"/>
                <w:highlight w:val="none"/>
                <w:lang w:val="en-US" w:eastAsia="zh-CN" w:bidi="ar-SA"/>
              </w:rPr>
              <w:t>邱小宇</w:t>
            </w:r>
          </w:p>
          <w:p>
            <w:pPr>
              <w:widowControl/>
              <w:shd w:val="clear"/>
              <w:spacing w:line="360" w:lineRule="auto"/>
              <w:jc w:val="left"/>
              <w:outlineLvl w:val="9"/>
              <w:rPr>
                <w:rFonts w:ascii="宋体" w:hAnsi="宋体" w:eastAsia="Arial"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联系电话：</w:t>
            </w:r>
            <w:r>
              <w:rPr>
                <w:rFonts w:hint="eastAsia" w:ascii="宋体" w:hAnsi="宋体" w:cs="宋体"/>
                <w:color w:val="auto"/>
                <w:sz w:val="24"/>
                <w:szCs w:val="24"/>
                <w:highlight w:val="none"/>
                <w:lang w:val="en-US" w:eastAsia="zh-CN" w:bidi="ar-SA"/>
              </w:rPr>
              <w:t>15862869538</w:t>
            </w:r>
          </w:p>
          <w:p>
            <w:pPr>
              <w:widowControl/>
              <w:shd w:val="clear"/>
              <w:spacing w:line="360" w:lineRule="auto"/>
              <w:jc w:val="left"/>
              <w:outlineLvl w:val="9"/>
              <w:rPr>
                <w:rFonts w:hint="eastAsia" w:ascii="宋体" w:hAnsi="宋体" w:eastAsia="Arial" w:cs="宋体"/>
                <w:color w:val="auto"/>
                <w:sz w:val="24"/>
                <w:szCs w:val="24"/>
                <w:highlight w:val="none"/>
                <w:lang w:val="en-US" w:eastAsia="zh-CN" w:bidi="ar-SA"/>
              </w:rPr>
            </w:pPr>
            <w:r>
              <w:rPr>
                <w:rFonts w:hint="eastAsia" w:ascii="宋体" w:hAnsi="宋体" w:eastAsia="Arial" w:cs="宋体"/>
                <w:color w:val="auto"/>
                <w:sz w:val="24"/>
                <w:szCs w:val="24"/>
                <w:highlight w:val="none"/>
                <w:lang w:val="zh-CN" w:eastAsia="zh-CN" w:bidi="ar-SA"/>
              </w:rPr>
              <w:t>电子邮件地址</w:t>
            </w:r>
            <w:r>
              <w:rPr>
                <w:rFonts w:hint="eastAsia" w:ascii="宋体" w:hAnsi="宋体" w:eastAsia="Arial" w:cs="宋体"/>
                <w:color w:val="auto"/>
                <w:sz w:val="24"/>
                <w:szCs w:val="24"/>
                <w:highlight w:val="none"/>
                <w:lang w:val="en-US" w:eastAsia="zh-CN" w:bidi="ar-SA"/>
              </w:rPr>
              <w:t>：</w:t>
            </w:r>
            <w:r>
              <w:rPr>
                <w:rFonts w:hint="eastAsia" w:ascii="宋体" w:hAnsi="宋体" w:cs="宋体"/>
                <w:color w:val="auto"/>
                <w:sz w:val="24"/>
                <w:szCs w:val="24"/>
                <w:highlight w:val="none"/>
                <w:lang w:val="en-US" w:eastAsia="zh-CN" w:bidi="ar-SA"/>
              </w:rPr>
              <w:t>1228248253</w:t>
            </w:r>
            <w:r>
              <w:rPr>
                <w:rFonts w:hint="eastAsia" w:ascii="宋体" w:hAnsi="宋体" w:eastAsia="Arial" w:cs="宋体"/>
                <w:color w:val="auto"/>
                <w:sz w:val="24"/>
                <w:szCs w:val="24"/>
                <w:highlight w:val="none"/>
                <w:lang w:val="en-US" w:eastAsia="zh-CN" w:bidi="ar-SA"/>
              </w:rPr>
              <w:t>@qq.com</w:t>
            </w:r>
          </w:p>
          <w:p>
            <w:pPr>
              <w:widowControl/>
              <w:shd w:val="clear"/>
              <w:spacing w:line="360" w:lineRule="auto"/>
              <w:jc w:val="left"/>
              <w:outlineLvl w:val="9"/>
              <w:rPr>
                <w:rFonts w:hint="eastAsia" w:ascii="宋体" w:hAnsi="宋体" w:eastAsia="宋体"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联系地址：</w:t>
            </w:r>
            <w:r>
              <w:rPr>
                <w:rFonts w:hint="eastAsia" w:ascii="宋体" w:hAnsi="宋体" w:cs="宋体"/>
                <w:color w:val="auto"/>
                <w:sz w:val="24"/>
                <w:szCs w:val="24"/>
                <w:highlight w:val="none"/>
                <w:lang w:val="en-US" w:eastAsia="zh-CN" w:bidi="ar-SA"/>
              </w:rPr>
              <w:t>无锡市梁溪区扬名创智园H座二层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jc w:val="center"/>
        </w:trPr>
        <w:tc>
          <w:tcPr>
            <w:tcW w:w="827" w:type="dxa"/>
            <w:noWrap w:val="0"/>
            <w:vAlign w:val="center"/>
          </w:tcPr>
          <w:p>
            <w:pPr>
              <w:widowControl/>
              <w:shd w:val="clear"/>
              <w:spacing w:line="360" w:lineRule="auto"/>
              <w:jc w:val="center"/>
              <w:outlineLvl w:val="9"/>
              <w:rPr>
                <w:rFonts w:ascii="宋体" w:hAnsi="宋体" w:eastAsia="Arial"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14</w:t>
            </w:r>
          </w:p>
        </w:tc>
        <w:tc>
          <w:tcPr>
            <w:tcW w:w="8623" w:type="dxa"/>
            <w:noWrap w:val="0"/>
            <w:vAlign w:val="center"/>
          </w:tcPr>
          <w:p>
            <w:pPr>
              <w:widowControl/>
              <w:shd w:val="clear"/>
              <w:spacing w:line="420" w:lineRule="exact"/>
              <w:jc w:val="both"/>
              <w:outlineLvl w:val="9"/>
              <w:rPr>
                <w:rFonts w:ascii="宋体" w:hAnsi="宋体" w:eastAsia="Arial" w:cs="宋体"/>
                <w:b/>
                <w:bCs/>
                <w:color w:val="auto"/>
                <w:sz w:val="24"/>
                <w:szCs w:val="24"/>
                <w:highlight w:val="none"/>
                <w:lang w:val="en-US" w:eastAsia="zh-CN" w:bidi="ar-SA"/>
              </w:rPr>
            </w:pPr>
            <w:r>
              <w:rPr>
                <w:rFonts w:hint="eastAsia" w:ascii="宋体" w:hAnsi="宋体" w:eastAsia="Arial" w:cs="宋体"/>
                <w:b/>
                <w:bCs/>
                <w:color w:val="auto"/>
                <w:sz w:val="24"/>
                <w:szCs w:val="24"/>
                <w:highlight w:val="none"/>
                <w:lang w:val="en-US" w:eastAsia="zh-CN" w:bidi="ar-SA"/>
              </w:rPr>
              <w:t>潜在投标供应商访问江苏省政府采购（苏采云）平台的网络地址和方法：</w:t>
            </w:r>
          </w:p>
          <w:p>
            <w:pPr>
              <w:widowControl w:val="0"/>
              <w:shd w:val="clear"/>
              <w:spacing w:line="420" w:lineRule="exact"/>
              <w:jc w:val="both"/>
              <w:outlineLvl w:val="9"/>
              <w:rPr>
                <w:rFonts w:ascii="宋体" w:hAnsi="宋体" w:eastAsia="Arial"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1.请有意参加本项目投标的供应商按以下流程进行操作：</w:t>
            </w:r>
          </w:p>
          <w:p>
            <w:pPr>
              <w:widowControl w:val="0"/>
              <w:shd w:val="clear"/>
              <w:spacing w:line="420" w:lineRule="exact"/>
              <w:jc w:val="both"/>
              <w:outlineLvl w:val="9"/>
              <w:rPr>
                <w:rFonts w:ascii="宋体" w:hAnsi="宋体" w:eastAsia="Arial"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1）潜在供应商访问江苏省政府采购（苏采云）平台的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w:t>
            </w:r>
          </w:p>
          <w:p>
            <w:pPr>
              <w:widowControl w:val="0"/>
              <w:shd w:val="clear"/>
              <w:spacing w:line="420" w:lineRule="exact"/>
              <w:jc w:val="both"/>
              <w:outlineLvl w:val="9"/>
              <w:rPr>
                <w:rFonts w:ascii="宋体" w:hAnsi="宋体" w:eastAsia="Arial"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p>
          <w:p>
            <w:pPr>
              <w:widowControl w:val="0"/>
              <w:shd w:val="clear"/>
              <w:spacing w:line="420" w:lineRule="exact"/>
              <w:jc w:val="both"/>
              <w:outlineLvl w:val="9"/>
              <w:rPr>
                <w:rFonts w:ascii="宋体" w:hAnsi="宋体" w:eastAsia="Arial"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（3）咨询电话：供应商注册：0519-86722801、0519-86722806，CA及电子加盖公章或签电子公章：0510-81827781，其他事项：0510-81827730。</w:t>
            </w:r>
          </w:p>
          <w:p>
            <w:pPr>
              <w:widowControl w:val="0"/>
              <w:shd w:val="clear"/>
              <w:spacing w:line="420" w:lineRule="exact"/>
              <w:jc w:val="both"/>
              <w:outlineLvl w:val="9"/>
              <w:rPr>
                <w:rFonts w:ascii="宋体" w:hAnsi="宋体" w:eastAsia="Arial"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（4）潜在供应商访问“苏采云”系统的网络地址和方法：“苏采云”系统的网址：http://jszfcg.jsczt.cn/。</w:t>
            </w:r>
          </w:p>
          <w:p>
            <w:pPr>
              <w:widowControl w:val="0"/>
              <w:shd w:val="clear"/>
              <w:spacing w:line="420" w:lineRule="exact"/>
              <w:jc w:val="both"/>
              <w:outlineLvl w:val="9"/>
              <w:rPr>
                <w:rFonts w:ascii="宋体" w:hAnsi="宋体" w:eastAsia="Arial"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（5）招标文件（后缀名为“.kedt”）、供应商操作手册及政府采购客户端工具也可通过“苏采云”系统--已报名项目--报名详情页面内相应链接进行下载。</w:t>
            </w:r>
          </w:p>
          <w:p>
            <w:pPr>
              <w:widowControl w:val="0"/>
              <w:shd w:val="clear"/>
              <w:spacing w:line="420" w:lineRule="exact"/>
              <w:jc w:val="both"/>
              <w:outlineLvl w:val="9"/>
              <w:rPr>
                <w:rFonts w:ascii="宋体" w:hAnsi="宋体" w:eastAsia="Arial"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 xml:space="preserve">（6）招标代理机构（采购代理机构）将数据电文形式的招标文件加载至“苏采云”系统，供潜在供应商下载或者查阅。     </w:t>
            </w:r>
          </w:p>
          <w:p>
            <w:pPr>
              <w:widowControl w:val="0"/>
              <w:shd w:val="clear"/>
              <w:tabs>
                <w:tab w:val="left" w:pos="840"/>
                <w:tab w:val="left" w:pos="1050"/>
              </w:tabs>
              <w:spacing w:line="360" w:lineRule="auto"/>
              <w:jc w:val="both"/>
              <w:outlineLvl w:val="9"/>
              <w:rPr>
                <w:rFonts w:ascii="宋体" w:hAnsi="宋体" w:eastAsia="Arial"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（7）苏采云系统使用谷歌浏览器参与不见面开标。</w:t>
            </w:r>
          </w:p>
          <w:p>
            <w:pPr>
              <w:widowControl w:val="0"/>
              <w:shd w:val="clear"/>
              <w:tabs>
                <w:tab w:val="left" w:pos="840"/>
                <w:tab w:val="left" w:pos="1050"/>
              </w:tabs>
              <w:spacing w:line="360" w:lineRule="auto"/>
              <w:jc w:val="both"/>
              <w:outlineLvl w:val="9"/>
              <w:rPr>
                <w:rFonts w:ascii="宋体" w:hAnsi="宋体" w:eastAsia="Arial" w:cs="宋体"/>
                <w:color w:val="auto"/>
                <w:sz w:val="21"/>
                <w:szCs w:val="24"/>
                <w:highlight w:val="none"/>
                <w:lang w:val="en-US" w:eastAsia="zh-CN" w:bidi="ar-SA"/>
              </w:rPr>
            </w:pPr>
            <w:r>
              <w:rPr>
                <w:rFonts w:hint="eastAsia" w:ascii="宋体" w:hAnsi="宋体" w:eastAsia="Arial" w:cs="宋体"/>
                <w:bCs/>
                <w:color w:val="auto"/>
                <w:sz w:val="24"/>
                <w:szCs w:val="20"/>
                <w:highlight w:val="none"/>
                <w:lang w:val="en-US" w:eastAsia="zh-CN" w:bidi="ar-SA"/>
              </w:rPr>
              <w:t>2.有关本次招标的事项若存在变动或修改，敬请及时关注“江苏政府采购网”发布的信息。</w:t>
            </w:r>
          </w:p>
        </w:tc>
      </w:tr>
    </w:tbl>
    <w:p>
      <w:pPr>
        <w:pStyle w:val="4"/>
        <w:shd w:val="clear"/>
        <w:bidi w:val="0"/>
        <w:rPr>
          <w:rFonts w:ascii="宋体" w:hAnsi="宋体" w:cs="宋体"/>
          <w:b/>
          <w:color w:val="auto"/>
          <w:sz w:val="44"/>
          <w:szCs w:val="44"/>
          <w:highlight w:val="none"/>
        </w:rPr>
      </w:pPr>
      <w:r>
        <w:rPr>
          <w:rFonts w:hint="eastAsia" w:ascii="宋体" w:hAnsi="宋体" w:cs="宋体"/>
          <w:b/>
          <w:color w:val="auto"/>
          <w:sz w:val="24"/>
          <w:highlight w:val="none"/>
        </w:rPr>
        <w:br w:type="page" w:clear="all"/>
      </w:r>
      <w:r>
        <w:rPr>
          <w:rStyle w:val="520"/>
          <w:rFonts w:hint="eastAsia"/>
          <w:b/>
          <w:bCs/>
          <w:color w:val="auto"/>
          <w:highlight w:val="none"/>
        </w:rPr>
        <w:t>第二部分.投标供应商须知</w:t>
      </w:r>
    </w:p>
    <w:p>
      <w:pPr>
        <w:shd w:val="clear"/>
        <w:spacing w:line="360" w:lineRule="auto"/>
        <w:ind w:firstLine="240"/>
        <w:outlineLvl w:val="9"/>
        <w:rPr>
          <w:rFonts w:hint="eastAsia" w:ascii="宋体" w:hAnsi="宋体" w:cs="宋体"/>
          <w:color w:val="auto"/>
          <w:sz w:val="24"/>
          <w:highlight w:val="none"/>
        </w:rPr>
      </w:pPr>
      <w:r>
        <w:rPr>
          <w:rFonts w:hint="eastAsia" w:ascii="宋体" w:hAnsi="宋体" w:cs="宋体"/>
          <w:color w:val="auto"/>
          <w:sz w:val="24"/>
          <w:highlight w:val="none"/>
        </w:rPr>
        <w:t>（一） 遵循原则：</w:t>
      </w:r>
    </w:p>
    <w:p>
      <w:pPr>
        <w:shd w:val="clear"/>
        <w:spacing w:line="360" w:lineRule="auto"/>
        <w:ind w:firstLine="240"/>
        <w:outlineLvl w:val="9"/>
        <w:rPr>
          <w:rFonts w:hint="eastAsia" w:ascii="宋体" w:hAnsi="宋体" w:cs="宋体"/>
          <w:color w:val="auto"/>
          <w:sz w:val="24"/>
          <w:highlight w:val="none"/>
        </w:rPr>
      </w:pPr>
      <w:r>
        <w:rPr>
          <w:rFonts w:hint="eastAsia" w:ascii="宋体" w:hAnsi="宋体" w:cs="宋体"/>
          <w:color w:val="auto"/>
          <w:sz w:val="24"/>
          <w:highlight w:val="none"/>
        </w:rPr>
        <w:t>公开透明原则、公平竞争原则、公正原则和诚实信用原则。</w:t>
      </w:r>
    </w:p>
    <w:p>
      <w:pPr>
        <w:shd w:val="clear"/>
        <w:spacing w:line="360" w:lineRule="auto"/>
        <w:ind w:firstLine="240"/>
        <w:outlineLvl w:val="9"/>
        <w:rPr>
          <w:rFonts w:hint="eastAsia" w:ascii="宋体" w:hAnsi="宋体" w:cs="宋体"/>
          <w:color w:val="auto"/>
          <w:sz w:val="24"/>
          <w:highlight w:val="none"/>
        </w:rPr>
      </w:pPr>
      <w:r>
        <w:rPr>
          <w:rFonts w:hint="eastAsia" w:ascii="宋体" w:hAnsi="宋体" w:cs="宋体"/>
          <w:color w:val="auto"/>
          <w:sz w:val="24"/>
          <w:highlight w:val="none"/>
        </w:rPr>
        <w:t>（二） 招标文件：</w:t>
      </w:r>
    </w:p>
    <w:p>
      <w:pPr>
        <w:shd w:val="clear"/>
        <w:spacing w:line="360" w:lineRule="auto"/>
        <w:ind w:firstLine="240"/>
        <w:outlineLvl w:val="9"/>
        <w:rPr>
          <w:rFonts w:hint="eastAsia" w:ascii="宋体" w:hAnsi="宋体" w:cs="宋体"/>
          <w:color w:val="auto"/>
          <w:sz w:val="24"/>
          <w:highlight w:val="none"/>
        </w:rPr>
      </w:pPr>
      <w:r>
        <w:rPr>
          <w:rFonts w:hint="eastAsia" w:ascii="宋体" w:hAnsi="宋体" w:cs="宋体"/>
          <w:color w:val="auto"/>
          <w:sz w:val="24"/>
          <w:highlight w:val="none"/>
        </w:rPr>
        <w:t>1．招标文件包括本文件目录所列全部内容，投标供应商应仔细阅读，并在投标文件中充分响应招标文件的所有要求。</w:t>
      </w:r>
    </w:p>
    <w:p>
      <w:pPr>
        <w:shd w:val="clear"/>
        <w:spacing w:line="360" w:lineRule="auto"/>
        <w:ind w:firstLine="240"/>
        <w:outlineLvl w:val="9"/>
        <w:rPr>
          <w:rFonts w:hint="eastAsia" w:ascii="宋体" w:hAnsi="宋体" w:cs="宋体"/>
          <w:color w:val="auto"/>
          <w:sz w:val="24"/>
          <w:highlight w:val="none"/>
        </w:rPr>
      </w:pPr>
      <w:r>
        <w:rPr>
          <w:rFonts w:hint="eastAsia" w:ascii="宋体" w:hAnsi="宋体" w:cs="宋体"/>
          <w:color w:val="auto"/>
          <w:sz w:val="24"/>
          <w:highlight w:val="none"/>
        </w:rPr>
        <w:t>2．招标文件中的“法定代表人”是指投标供应商的营业执照的“法定代表人”或相关部门的登记证明文件中的“负责人”。</w:t>
      </w:r>
    </w:p>
    <w:p>
      <w:pPr>
        <w:shd w:val="clear"/>
        <w:spacing w:line="360" w:lineRule="auto"/>
        <w:ind w:firstLine="240"/>
        <w:outlineLvl w:val="9"/>
        <w:rPr>
          <w:rFonts w:hint="eastAsia" w:ascii="宋体" w:hAnsi="宋体" w:cs="宋体"/>
          <w:color w:val="auto"/>
          <w:sz w:val="24"/>
          <w:highlight w:val="none"/>
        </w:rPr>
      </w:pPr>
      <w:r>
        <w:rPr>
          <w:rFonts w:hint="eastAsia" w:ascii="宋体" w:hAnsi="宋体" w:cs="宋体"/>
          <w:color w:val="auto"/>
          <w:sz w:val="24"/>
          <w:highlight w:val="none"/>
        </w:rPr>
        <w:t>3．投标供应商应在苏采云平台（http://jszfcg.jscz.gov.cn/jszc/login）下载招标文件及有关资料，按要求制作、上传投标文件，对招标文件各项内容做出实质性响应，否则投标无效。</w:t>
      </w:r>
    </w:p>
    <w:p>
      <w:pPr>
        <w:shd w:val="clear"/>
        <w:spacing w:line="360" w:lineRule="auto"/>
        <w:ind w:firstLine="240"/>
        <w:outlineLvl w:val="9"/>
        <w:rPr>
          <w:rFonts w:hint="eastAsia" w:ascii="宋体" w:hAnsi="宋体" w:cs="宋体"/>
          <w:color w:val="auto"/>
          <w:sz w:val="24"/>
          <w:highlight w:val="none"/>
        </w:rPr>
      </w:pPr>
      <w:r>
        <w:rPr>
          <w:rFonts w:hint="eastAsia" w:ascii="宋体" w:hAnsi="宋体" w:cs="宋体"/>
          <w:color w:val="auto"/>
          <w:sz w:val="24"/>
          <w:highlight w:val="none"/>
        </w:rPr>
        <w:t>4．招标文件仅作为本次招投标使用。</w:t>
      </w:r>
    </w:p>
    <w:p>
      <w:pPr>
        <w:shd w:val="clear"/>
        <w:spacing w:line="360" w:lineRule="auto"/>
        <w:ind w:firstLine="240"/>
        <w:outlineLvl w:val="9"/>
        <w:rPr>
          <w:rFonts w:hint="eastAsia" w:ascii="宋体" w:hAnsi="宋体" w:cs="宋体"/>
          <w:color w:val="auto"/>
          <w:sz w:val="24"/>
          <w:highlight w:val="none"/>
        </w:rPr>
      </w:pPr>
      <w:r>
        <w:rPr>
          <w:rFonts w:hint="eastAsia" w:ascii="宋体" w:hAnsi="宋体" w:cs="宋体"/>
          <w:color w:val="auto"/>
          <w:sz w:val="24"/>
          <w:highlight w:val="none"/>
        </w:rPr>
        <w:t>（三） 招标文件的解释：</w:t>
      </w:r>
    </w:p>
    <w:p>
      <w:pPr>
        <w:shd w:val="clear"/>
        <w:spacing w:line="360" w:lineRule="auto"/>
        <w:ind w:firstLine="240"/>
        <w:outlineLvl w:val="9"/>
        <w:rPr>
          <w:rFonts w:hint="eastAsia" w:ascii="宋体" w:hAnsi="宋体" w:cs="宋体"/>
          <w:color w:val="auto"/>
          <w:sz w:val="24"/>
          <w:highlight w:val="none"/>
        </w:rPr>
      </w:pPr>
      <w:r>
        <w:rPr>
          <w:rFonts w:hint="eastAsia" w:ascii="宋体" w:hAnsi="宋体" w:cs="宋体"/>
          <w:color w:val="auto"/>
          <w:sz w:val="24"/>
          <w:highlight w:val="none"/>
        </w:rPr>
        <w:t>本文件的最终解释权归采购人。</w:t>
      </w:r>
    </w:p>
    <w:p>
      <w:pPr>
        <w:shd w:val="clear"/>
        <w:spacing w:line="360" w:lineRule="auto"/>
        <w:ind w:firstLine="240"/>
        <w:outlineLvl w:val="9"/>
        <w:rPr>
          <w:rFonts w:hint="eastAsia" w:ascii="宋体" w:hAnsi="宋体" w:cs="宋体"/>
          <w:color w:val="auto"/>
          <w:sz w:val="24"/>
          <w:highlight w:val="none"/>
        </w:rPr>
      </w:pPr>
      <w:r>
        <w:rPr>
          <w:rFonts w:hint="eastAsia" w:ascii="宋体" w:hAnsi="宋体" w:cs="宋体"/>
          <w:color w:val="auto"/>
          <w:sz w:val="24"/>
          <w:highlight w:val="none"/>
        </w:rPr>
        <w:t xml:space="preserve">（四） 招标文件的补充或修正： </w:t>
      </w:r>
    </w:p>
    <w:p>
      <w:pPr>
        <w:shd w:val="clear"/>
        <w:spacing w:line="360" w:lineRule="auto"/>
        <w:ind w:firstLine="240"/>
        <w:outlineLvl w:val="9"/>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eastAsia="宋体" w:cs="宋体"/>
          <w:color w:val="auto"/>
          <w:sz w:val="24"/>
          <w:highlight w:val="none"/>
          <w:lang w:eastAsia="zh-CN"/>
        </w:rPr>
        <w:t>北京中昌工程咨询有限公司</w:t>
      </w:r>
      <w:r>
        <w:rPr>
          <w:rFonts w:hint="eastAsia" w:ascii="宋体" w:hAnsi="宋体" w:cs="宋体"/>
          <w:color w:val="auto"/>
          <w:sz w:val="24"/>
          <w:highlight w:val="none"/>
        </w:rPr>
        <w:t>可在投标截止时间十五日前对招标文件进行必要的澄清或者修改，不足15日的，将顺延提交投标文件的截止时间。</w:t>
      </w:r>
    </w:p>
    <w:p>
      <w:pPr>
        <w:shd w:val="clear"/>
        <w:spacing w:line="360" w:lineRule="auto"/>
        <w:ind w:firstLine="240"/>
        <w:outlineLvl w:val="9"/>
        <w:rPr>
          <w:rFonts w:hint="eastAsia" w:ascii="宋体" w:hAnsi="宋体" w:cs="宋体"/>
          <w:color w:val="auto"/>
          <w:sz w:val="24"/>
          <w:highlight w:val="none"/>
        </w:rPr>
      </w:pPr>
      <w:r>
        <w:rPr>
          <w:rFonts w:hint="eastAsia" w:ascii="宋体" w:hAnsi="宋体" w:cs="宋体"/>
          <w:color w:val="auto"/>
          <w:sz w:val="24"/>
          <w:highlight w:val="none"/>
        </w:rPr>
        <w:t>2.如需对招标文件进行澄清或修正，</w:t>
      </w:r>
      <w:r>
        <w:rPr>
          <w:rFonts w:hint="eastAsia" w:ascii="宋体" w:hAnsi="宋体" w:eastAsia="宋体" w:cs="宋体"/>
          <w:color w:val="auto"/>
          <w:sz w:val="24"/>
          <w:highlight w:val="none"/>
          <w:lang w:eastAsia="zh-CN"/>
        </w:rPr>
        <w:t>北京中昌工程咨询有限公司</w:t>
      </w:r>
      <w:r>
        <w:rPr>
          <w:rFonts w:hint="eastAsia" w:ascii="宋体" w:hAnsi="宋体" w:cs="宋体"/>
          <w:color w:val="auto"/>
          <w:sz w:val="24"/>
          <w:highlight w:val="none"/>
        </w:rPr>
        <w:t>将在江苏政府采购网、中国政府采购网发布更正公告，该澄清或修正的内容为招标文件的组成部分。投标供应商应在投标截止时间前登录投标客户端或关注原招标公告媒体上发布的相关更正公告。因投标供应商未尽注意义务，未及时更新上传投标文件或全面地关注更正公告导致其提交的投标材料不符合招标文件要求，而造成的损失及风险（包括但不限于未中标）由投标供应商自行承担。</w:t>
      </w:r>
    </w:p>
    <w:p>
      <w:pPr>
        <w:shd w:val="clear"/>
        <w:spacing w:line="360" w:lineRule="auto"/>
        <w:ind w:firstLine="240"/>
        <w:outlineLvl w:val="9"/>
        <w:rPr>
          <w:rFonts w:ascii="宋体" w:hAnsi="宋体" w:cs="宋体"/>
          <w:color w:val="auto"/>
          <w:sz w:val="24"/>
          <w:highlight w:val="none"/>
        </w:rPr>
      </w:pPr>
      <w:r>
        <w:rPr>
          <w:rFonts w:hint="eastAsia" w:ascii="宋体" w:hAnsi="宋体" w:cs="宋体"/>
          <w:color w:val="auto"/>
          <w:sz w:val="24"/>
          <w:highlight w:val="none"/>
        </w:rPr>
        <w:t>（五）投标文件的组成（相应内容上传至投标客户端）：</w:t>
      </w:r>
    </w:p>
    <w:p>
      <w:pPr>
        <w:shd w:val="clear"/>
        <w:spacing w:line="360" w:lineRule="auto"/>
        <w:ind w:firstLine="480"/>
        <w:outlineLvl w:val="9"/>
        <w:rPr>
          <w:rFonts w:ascii="宋体" w:hAnsi="宋体" w:cs="宋体"/>
          <w:b/>
          <w:color w:val="auto"/>
          <w:sz w:val="24"/>
          <w:highlight w:val="none"/>
        </w:rPr>
      </w:pPr>
      <w:r>
        <w:rPr>
          <w:rFonts w:hint="eastAsia" w:ascii="宋体" w:hAnsi="宋体" w:cs="宋体"/>
          <w:b/>
          <w:color w:val="auto"/>
          <w:sz w:val="24"/>
          <w:highlight w:val="none"/>
        </w:rPr>
        <w:t>投标文件由证明文件、投标函、报价部分、技术文件部分四部分组成。</w:t>
      </w:r>
    </w:p>
    <w:p>
      <w:pPr>
        <w:shd w:val="clear"/>
        <w:tabs>
          <w:tab w:val="left" w:pos="525"/>
        </w:tabs>
        <w:spacing w:line="470" w:lineRule="exact"/>
        <w:ind w:firstLine="480"/>
        <w:outlineLvl w:val="9"/>
        <w:rPr>
          <w:rFonts w:ascii="宋体" w:hAnsi="宋体" w:cs="宋体"/>
          <w:b/>
          <w:bCs/>
          <w:color w:val="auto"/>
          <w:sz w:val="24"/>
          <w:highlight w:val="none"/>
        </w:rPr>
      </w:pPr>
      <w:r>
        <w:rPr>
          <w:rFonts w:hint="eastAsia" w:ascii="宋体" w:hAnsi="宋体" w:cs="宋体"/>
          <w:b/>
          <w:bCs/>
          <w:color w:val="auto"/>
          <w:sz w:val="24"/>
          <w:highlight w:val="none"/>
        </w:rPr>
        <w:t>1.</w:t>
      </w:r>
      <w:r>
        <w:rPr>
          <w:rFonts w:hint="eastAsia" w:ascii="宋体" w:hAnsi="宋体" w:cs="宋体"/>
          <w:b/>
          <w:color w:val="auto"/>
          <w:sz w:val="24"/>
          <w:highlight w:val="none"/>
        </w:rPr>
        <w:t xml:space="preserve"> 资格、资信</w:t>
      </w:r>
      <w:r>
        <w:rPr>
          <w:rFonts w:hint="eastAsia" w:ascii="宋体" w:hAnsi="宋体" w:cs="宋体"/>
          <w:b/>
          <w:bCs/>
          <w:color w:val="auto"/>
          <w:sz w:val="24"/>
          <w:highlight w:val="none"/>
        </w:rPr>
        <w:t>证明文件（相关证明材料扫描后上传）：</w:t>
      </w:r>
    </w:p>
    <w:p>
      <w:pPr>
        <w:shd w:val="clear"/>
        <w:tabs>
          <w:tab w:val="left" w:pos="426"/>
        </w:tabs>
        <w:spacing w:line="470" w:lineRule="exact"/>
        <w:ind w:firstLine="480"/>
        <w:outlineLvl w:val="9"/>
        <w:rPr>
          <w:rFonts w:ascii="宋体" w:hAnsi="宋体" w:cs="宋体"/>
          <w:color w:val="auto"/>
          <w:sz w:val="24"/>
          <w:highlight w:val="none"/>
        </w:rPr>
      </w:pPr>
      <w:r>
        <w:rPr>
          <w:rFonts w:hint="eastAsia" w:ascii="宋体" w:hAnsi="宋体" w:cs="宋体"/>
          <w:color w:val="auto"/>
          <w:sz w:val="24"/>
          <w:highlight w:val="none"/>
        </w:rPr>
        <w:t>（1）关于资格的声明函（格式见附件）；</w:t>
      </w:r>
    </w:p>
    <w:p>
      <w:pPr>
        <w:shd w:val="clear"/>
        <w:tabs>
          <w:tab w:val="left" w:pos="0"/>
        </w:tabs>
        <w:spacing w:line="470" w:lineRule="exact"/>
        <w:ind w:firstLine="480"/>
        <w:outlineLvl w:val="9"/>
        <w:rPr>
          <w:rFonts w:ascii="宋体" w:hAnsi="宋体" w:cs="宋体"/>
          <w:color w:val="auto"/>
          <w:sz w:val="24"/>
          <w:highlight w:val="none"/>
        </w:rPr>
      </w:pPr>
      <w:r>
        <w:rPr>
          <w:rFonts w:hint="eastAsia" w:ascii="宋体" w:hAnsi="宋体" w:cs="宋体"/>
          <w:color w:val="auto"/>
          <w:sz w:val="24"/>
          <w:highlight w:val="none"/>
        </w:rPr>
        <w:t>（2）具有独立承担民事责任能力的投标供应商营业执照或相关部门登记的证明文件</w:t>
      </w:r>
      <w:r>
        <w:rPr>
          <w:rFonts w:hint="eastAsia" w:ascii="宋体" w:hAnsi="宋体" w:cs="宋体"/>
          <w:b/>
          <w:bCs/>
          <w:color w:val="auto"/>
          <w:sz w:val="24"/>
          <w:highlight w:val="none"/>
        </w:rPr>
        <w:t>（提供扫描件）</w:t>
      </w:r>
      <w:r>
        <w:rPr>
          <w:rFonts w:hint="eastAsia" w:ascii="宋体" w:hAnsi="宋体" w:cs="宋体"/>
          <w:color w:val="auto"/>
          <w:sz w:val="24"/>
          <w:highlight w:val="none"/>
        </w:rPr>
        <w:t>；</w:t>
      </w:r>
    </w:p>
    <w:p>
      <w:pPr>
        <w:shd w:val="clear"/>
        <w:tabs>
          <w:tab w:val="left" w:pos="0"/>
        </w:tabs>
        <w:spacing w:line="470" w:lineRule="exact"/>
        <w:ind w:firstLine="480"/>
        <w:outlineLvl w:val="9"/>
        <w:rPr>
          <w:rFonts w:ascii="宋体" w:hAnsi="宋体" w:cs="宋体"/>
          <w:color w:val="auto"/>
          <w:sz w:val="24"/>
          <w:highlight w:val="none"/>
        </w:rPr>
      </w:pPr>
      <w:r>
        <w:rPr>
          <w:rFonts w:hint="eastAsia" w:ascii="宋体" w:hAnsi="宋体" w:cs="宋体"/>
          <w:color w:val="auto"/>
          <w:sz w:val="24"/>
          <w:highlight w:val="none"/>
        </w:rPr>
        <w:t>（3）投标供应商法定代表人授权委托书</w:t>
      </w:r>
      <w:r>
        <w:rPr>
          <w:rFonts w:hint="eastAsia" w:ascii="宋体" w:hAnsi="宋体" w:cs="宋体"/>
          <w:b/>
          <w:bCs/>
          <w:color w:val="auto"/>
          <w:sz w:val="24"/>
          <w:highlight w:val="none"/>
        </w:rPr>
        <w:t>（法定代表人亲自参与投标的除外，格式见附件）</w:t>
      </w:r>
      <w:r>
        <w:rPr>
          <w:rFonts w:hint="eastAsia" w:ascii="宋体" w:hAnsi="宋体" w:cs="宋体"/>
          <w:color w:val="auto"/>
          <w:sz w:val="24"/>
          <w:highlight w:val="none"/>
        </w:rPr>
        <w:t>；</w:t>
      </w:r>
    </w:p>
    <w:p>
      <w:pPr>
        <w:shd w:val="clear"/>
        <w:tabs>
          <w:tab w:val="left" w:pos="0"/>
        </w:tabs>
        <w:spacing w:line="470" w:lineRule="exact"/>
        <w:ind w:firstLine="480"/>
        <w:outlineLvl w:val="9"/>
        <w:rPr>
          <w:rFonts w:ascii="宋体" w:hAnsi="宋体" w:cs="宋体"/>
          <w:color w:val="auto"/>
          <w:sz w:val="24"/>
          <w:highlight w:val="none"/>
        </w:rPr>
      </w:pPr>
      <w:r>
        <w:rPr>
          <w:rFonts w:hint="eastAsia" w:ascii="宋体" w:hAnsi="宋体" w:cs="宋体"/>
          <w:color w:val="auto"/>
          <w:sz w:val="24"/>
          <w:highlight w:val="none"/>
        </w:rPr>
        <w:t>（4）</w:t>
      </w:r>
      <w:r>
        <w:rPr>
          <w:rFonts w:hint="eastAsia" w:ascii="宋体" w:hAnsi="宋体" w:cs="宋体"/>
          <w:bCs/>
          <w:color w:val="auto"/>
          <w:sz w:val="24"/>
          <w:highlight w:val="none"/>
        </w:rPr>
        <w:t>投标供应商法定代表人身份证及法定代表人授权代表身份证</w:t>
      </w:r>
      <w:r>
        <w:rPr>
          <w:rFonts w:hint="eastAsia" w:ascii="宋体" w:hAnsi="宋体" w:cs="宋体"/>
          <w:b/>
          <w:bCs/>
          <w:color w:val="auto"/>
          <w:sz w:val="24"/>
          <w:highlight w:val="none"/>
        </w:rPr>
        <w:t>（提供正、反面扫描件）</w:t>
      </w:r>
      <w:r>
        <w:rPr>
          <w:rFonts w:hint="eastAsia" w:ascii="宋体" w:hAnsi="宋体" w:cs="宋体"/>
          <w:color w:val="auto"/>
          <w:sz w:val="24"/>
          <w:highlight w:val="none"/>
        </w:rPr>
        <w:t>；</w:t>
      </w:r>
    </w:p>
    <w:p>
      <w:pPr>
        <w:shd w:val="clear"/>
        <w:tabs>
          <w:tab w:val="left" w:pos="0"/>
        </w:tabs>
        <w:spacing w:line="470" w:lineRule="exact"/>
        <w:ind w:firstLine="480"/>
        <w:outlineLvl w:val="9"/>
        <w:rPr>
          <w:rFonts w:hint="eastAsia" w:ascii="宋体" w:hAnsi="宋体" w:cs="宋体"/>
          <w:color w:val="auto"/>
          <w:sz w:val="24"/>
          <w:highlight w:val="none"/>
        </w:rPr>
      </w:pPr>
      <w:r>
        <w:rPr>
          <w:rFonts w:hint="eastAsia" w:ascii="宋体" w:hAnsi="宋体" w:cs="宋体"/>
          <w:color w:val="auto"/>
          <w:sz w:val="24"/>
          <w:highlight w:val="none"/>
        </w:rPr>
        <w:t>（5）</w:t>
      </w:r>
      <w:r>
        <w:rPr>
          <w:rFonts w:hint="eastAsia" w:ascii="宋体" w:hAnsi="宋体" w:cs="宋体"/>
          <w:color w:val="auto"/>
          <w:sz w:val="24"/>
          <w:highlight w:val="none"/>
          <w:lang w:val="en-US" w:eastAsia="zh-CN"/>
        </w:rPr>
        <w:t>投标</w:t>
      </w:r>
      <w:r>
        <w:rPr>
          <w:rFonts w:hint="eastAsia" w:ascii="宋体" w:hAnsi="宋体" w:cs="宋体"/>
          <w:color w:val="auto"/>
          <w:sz w:val="24"/>
          <w:highlight w:val="none"/>
          <w:lang w:val="en-US"/>
        </w:rPr>
        <w:t>供应商拟派</w:t>
      </w:r>
      <w:r>
        <w:rPr>
          <w:rFonts w:hint="eastAsia" w:ascii="宋体" w:hAnsi="宋体" w:cs="宋体"/>
          <w:color w:val="auto"/>
          <w:sz w:val="24"/>
          <w:highlight w:val="none"/>
          <w:lang w:val="en-US" w:eastAsia="zh-CN"/>
        </w:rPr>
        <w:t>的</w:t>
      </w:r>
      <w:r>
        <w:rPr>
          <w:rFonts w:hint="eastAsia" w:ascii="宋体" w:hAnsi="宋体" w:cs="宋体"/>
          <w:color w:val="auto"/>
          <w:sz w:val="24"/>
          <w:highlight w:val="none"/>
        </w:rPr>
        <w:t>授权代理人由法定的社保收缴部门出具</w:t>
      </w:r>
      <w:r>
        <w:rPr>
          <w:rFonts w:hint="eastAsia" w:ascii="宋体" w:hAnsi="宋体" w:eastAsia="宋体" w:cs="宋体"/>
          <w:color w:val="auto"/>
          <w:sz w:val="24"/>
          <w:highlight w:val="none"/>
          <w:lang w:eastAsia="zh-CN"/>
        </w:rPr>
        <w:t>近一年中</w:t>
      </w:r>
      <w:r>
        <w:rPr>
          <w:rFonts w:hint="eastAsia" w:ascii="宋体" w:hAnsi="宋体" w:cs="宋体"/>
          <w:color w:val="auto"/>
          <w:sz w:val="24"/>
          <w:highlight w:val="none"/>
        </w:rPr>
        <w:t>任意一个月份的</w:t>
      </w:r>
      <w:r>
        <w:rPr>
          <w:rFonts w:hint="eastAsia" w:ascii="宋体" w:hAnsi="宋体" w:cs="宋体"/>
          <w:color w:val="auto"/>
          <w:sz w:val="24"/>
          <w:highlight w:val="none"/>
          <w:lang w:val="en-US" w:eastAsia="zh-CN"/>
        </w:rPr>
        <w:t>投标</w:t>
      </w:r>
      <w:r>
        <w:rPr>
          <w:rFonts w:hint="eastAsia" w:ascii="宋体" w:hAnsi="宋体" w:cs="宋体"/>
          <w:color w:val="auto"/>
          <w:sz w:val="24"/>
          <w:highlight w:val="none"/>
        </w:rPr>
        <w:t>供应商依法为其缴纳社会保险证明</w:t>
      </w:r>
      <w:r>
        <w:rPr>
          <w:rFonts w:hint="eastAsia" w:ascii="宋体" w:hAnsi="宋体" w:cs="宋体"/>
          <w:color w:val="auto"/>
          <w:sz w:val="24"/>
          <w:highlight w:val="none"/>
          <w:lang w:val="en-US" w:eastAsia="zh-CN"/>
        </w:rPr>
        <w:t>扫描件；</w:t>
      </w:r>
      <w:r>
        <w:rPr>
          <w:rFonts w:hint="eastAsia" w:ascii="宋体" w:hAnsi="宋体" w:cs="宋体"/>
          <w:color w:val="auto"/>
          <w:sz w:val="24"/>
          <w:highlight w:val="none"/>
        </w:rPr>
        <w:t>（由相关主管部门出具，如</w:t>
      </w:r>
      <w:r>
        <w:rPr>
          <w:rFonts w:hint="eastAsia" w:ascii="宋体" w:hAnsi="宋体" w:cs="宋体"/>
          <w:color w:val="auto"/>
          <w:sz w:val="24"/>
          <w:highlight w:val="none"/>
          <w:lang w:val="en-US" w:eastAsia="zh-CN"/>
        </w:rPr>
        <w:t>投标</w:t>
      </w:r>
      <w:r>
        <w:rPr>
          <w:rFonts w:hint="eastAsia" w:ascii="宋体" w:hAnsi="宋体" w:cs="宋体"/>
          <w:color w:val="auto"/>
          <w:sz w:val="24"/>
          <w:highlight w:val="none"/>
        </w:rPr>
        <w:t>供应商成立时间迟于要求开始的时间，则时间要求为</w:t>
      </w:r>
      <w:r>
        <w:rPr>
          <w:rFonts w:hint="eastAsia" w:ascii="宋体" w:hAnsi="宋体" w:cs="宋体"/>
          <w:color w:val="auto"/>
          <w:sz w:val="24"/>
          <w:highlight w:val="none"/>
          <w:lang w:val="en-US" w:eastAsia="zh-CN"/>
        </w:rPr>
        <w:t>投标</w:t>
      </w:r>
      <w:r>
        <w:rPr>
          <w:rFonts w:hint="eastAsia" w:ascii="宋体" w:hAnsi="宋体" w:cs="宋体"/>
          <w:color w:val="auto"/>
          <w:sz w:val="24"/>
          <w:highlight w:val="none"/>
        </w:rPr>
        <w:t>供应商成立时间至截止时间；法定代表人亲自参加投标的除外；社保缴费证明必须提交带有社保部门红章的或含有县</w:t>
      </w:r>
      <w:r>
        <w:rPr>
          <w:rFonts w:hint="eastAsia" w:ascii="宋体" w:hAnsi="宋体" w:cs="宋体"/>
          <w:color w:val="auto"/>
          <w:sz w:val="24"/>
          <w:highlight w:val="none"/>
          <w:lang w:eastAsia="zh-CN"/>
        </w:rPr>
        <w:t>（</w:t>
      </w:r>
      <w:r>
        <w:rPr>
          <w:rFonts w:hint="eastAsia" w:ascii="宋体" w:hAnsi="宋体" w:cs="宋体"/>
          <w:color w:val="auto"/>
          <w:sz w:val="24"/>
          <w:highlight w:val="none"/>
        </w:rPr>
        <w:t>区</w:t>
      </w:r>
      <w:r>
        <w:rPr>
          <w:rFonts w:hint="eastAsia" w:ascii="宋体" w:hAnsi="宋体" w:cs="宋体"/>
          <w:color w:val="auto"/>
          <w:sz w:val="24"/>
          <w:highlight w:val="none"/>
          <w:lang w:eastAsia="zh-CN"/>
        </w:rPr>
        <w:t>）</w:t>
      </w:r>
      <w:r>
        <w:rPr>
          <w:rFonts w:hint="eastAsia" w:ascii="宋体" w:hAnsi="宋体" w:cs="宋体"/>
          <w:color w:val="auto"/>
          <w:sz w:val="24"/>
          <w:highlight w:val="none"/>
        </w:rPr>
        <w:t>级及以上社保部门电子签章或带二维码验证的扫描件）；</w:t>
      </w:r>
    </w:p>
    <w:p>
      <w:pPr>
        <w:shd w:val="clear"/>
        <w:tabs>
          <w:tab w:val="left" w:pos="0"/>
        </w:tabs>
        <w:spacing w:line="470" w:lineRule="exact"/>
        <w:ind w:firstLine="480"/>
        <w:outlineLvl w:val="9"/>
        <w:rPr>
          <w:rFonts w:ascii="宋体" w:hAnsi="宋体" w:cs="宋体"/>
          <w:b/>
          <w:color w:val="auto"/>
          <w:sz w:val="24"/>
          <w:highlight w:val="none"/>
        </w:rPr>
      </w:pPr>
      <w:r>
        <w:rPr>
          <w:rFonts w:hint="eastAsia" w:ascii="宋体" w:hAnsi="宋体" w:cs="宋体"/>
          <w:color w:val="auto"/>
          <w:sz w:val="24"/>
          <w:highlight w:val="none"/>
        </w:rPr>
        <w:t>（6）</w:t>
      </w:r>
      <w:r>
        <w:rPr>
          <w:rFonts w:hint="eastAsia" w:ascii="宋体" w:hAnsi="宋体" w:cs="宋体"/>
          <w:bCs/>
          <w:color w:val="auto"/>
          <w:sz w:val="24"/>
          <w:highlight w:val="none"/>
        </w:rPr>
        <w:t>投标供应商提供</w:t>
      </w:r>
      <w:r>
        <w:rPr>
          <w:rFonts w:hint="eastAsia" w:ascii="宋体" w:hAnsi="宋体" w:eastAsia="宋体" w:cs="宋体"/>
          <w:bCs/>
          <w:color w:val="auto"/>
          <w:sz w:val="24"/>
          <w:highlight w:val="none"/>
          <w:lang w:eastAsia="zh-CN"/>
        </w:rPr>
        <w:t>近一年中</w:t>
      </w:r>
      <w:r>
        <w:rPr>
          <w:rFonts w:hint="eastAsia" w:ascii="宋体" w:hAnsi="宋体" w:cs="宋体"/>
          <w:bCs/>
          <w:color w:val="auto"/>
          <w:sz w:val="24"/>
          <w:highlight w:val="none"/>
        </w:rPr>
        <w:t>任意一个月份的财务状况报告（资产负债表和利润表）或由会计师事务所出具的近两年中任意一年度的审计报告</w:t>
      </w:r>
      <w:r>
        <w:rPr>
          <w:rFonts w:hint="eastAsia" w:ascii="宋体" w:hAnsi="宋体" w:cs="宋体"/>
          <w:b/>
          <w:bCs w:val="0"/>
          <w:color w:val="auto"/>
          <w:sz w:val="24"/>
          <w:highlight w:val="none"/>
        </w:rPr>
        <w:t>（提供扫描件）；</w:t>
      </w:r>
    </w:p>
    <w:p>
      <w:pPr>
        <w:shd w:val="clear"/>
        <w:tabs>
          <w:tab w:val="left" w:pos="0"/>
        </w:tabs>
        <w:spacing w:line="470" w:lineRule="exact"/>
        <w:ind w:firstLine="480"/>
        <w:outlineLvl w:val="9"/>
        <w:rPr>
          <w:rFonts w:ascii="宋体" w:hAnsi="宋体" w:cs="宋体"/>
          <w:color w:val="auto"/>
          <w:sz w:val="24"/>
          <w:highlight w:val="none"/>
        </w:rPr>
      </w:pPr>
      <w:r>
        <w:rPr>
          <w:rFonts w:hint="eastAsia" w:ascii="宋体" w:hAnsi="宋体" w:cs="宋体"/>
          <w:color w:val="auto"/>
          <w:sz w:val="24"/>
          <w:highlight w:val="none"/>
        </w:rPr>
        <w:t>（7）</w:t>
      </w:r>
      <w:r>
        <w:rPr>
          <w:rFonts w:hint="eastAsia" w:ascii="宋体" w:hAnsi="宋体" w:cs="宋体"/>
          <w:bCs/>
          <w:color w:val="auto"/>
          <w:sz w:val="24"/>
          <w:highlight w:val="none"/>
        </w:rPr>
        <w:t>投标</w:t>
      </w:r>
      <w:r>
        <w:rPr>
          <w:rFonts w:hint="eastAsia" w:ascii="宋体" w:hAnsi="宋体" w:cs="宋体"/>
          <w:color w:val="auto"/>
          <w:sz w:val="24"/>
          <w:highlight w:val="none"/>
        </w:rPr>
        <w:t>供应商</w:t>
      </w:r>
      <w:r>
        <w:rPr>
          <w:rFonts w:hint="eastAsia" w:ascii="宋体" w:hAnsi="宋体" w:cs="宋体"/>
          <w:bCs/>
          <w:color w:val="auto"/>
          <w:sz w:val="24"/>
          <w:highlight w:val="none"/>
        </w:rPr>
        <w:t>提供</w:t>
      </w:r>
      <w:r>
        <w:rPr>
          <w:rFonts w:hint="eastAsia" w:ascii="宋体" w:hAnsi="宋体" w:eastAsia="宋体" w:cs="宋体"/>
          <w:bCs/>
          <w:color w:val="auto"/>
          <w:sz w:val="24"/>
          <w:highlight w:val="none"/>
          <w:lang w:eastAsia="zh-CN"/>
        </w:rPr>
        <w:t>近一年中</w:t>
      </w:r>
      <w:r>
        <w:rPr>
          <w:rFonts w:hint="eastAsia" w:ascii="宋体" w:hAnsi="宋体" w:cs="宋体"/>
          <w:bCs/>
          <w:color w:val="auto"/>
          <w:sz w:val="24"/>
          <w:highlight w:val="none"/>
        </w:rPr>
        <w:t>任意一个月份</w:t>
      </w:r>
      <w:r>
        <w:rPr>
          <w:rFonts w:hint="eastAsia" w:ascii="宋体" w:hAnsi="宋体" w:cs="宋体"/>
          <w:color w:val="auto"/>
          <w:sz w:val="24"/>
          <w:highlight w:val="none"/>
        </w:rPr>
        <w:t>的依法缴纳税收的相关材料（提供相关主管部门证明或银行代扣证明）</w:t>
      </w:r>
      <w:r>
        <w:rPr>
          <w:rFonts w:hint="eastAsia" w:ascii="宋体" w:hAnsi="宋体" w:cs="宋体"/>
          <w:b/>
          <w:bCs/>
          <w:color w:val="auto"/>
          <w:sz w:val="24"/>
          <w:highlight w:val="none"/>
        </w:rPr>
        <w:t>（提供扫描件）</w:t>
      </w:r>
      <w:r>
        <w:rPr>
          <w:rFonts w:hint="eastAsia" w:ascii="宋体" w:hAnsi="宋体" w:cs="宋体"/>
          <w:color w:val="auto"/>
          <w:sz w:val="24"/>
          <w:highlight w:val="none"/>
        </w:rPr>
        <w:t>；</w:t>
      </w:r>
    </w:p>
    <w:p>
      <w:pPr>
        <w:shd w:val="clear"/>
        <w:tabs>
          <w:tab w:val="left" w:pos="0"/>
        </w:tabs>
        <w:spacing w:line="470" w:lineRule="exact"/>
        <w:ind w:firstLine="480"/>
        <w:outlineLvl w:val="9"/>
        <w:rPr>
          <w:rFonts w:hint="eastAsia" w:ascii="宋体" w:hAnsi="宋体" w:cs="宋体"/>
          <w:color w:val="auto"/>
          <w:sz w:val="24"/>
          <w:highlight w:val="none"/>
        </w:rPr>
      </w:pPr>
      <w:r>
        <w:rPr>
          <w:rFonts w:hint="eastAsia" w:ascii="宋体" w:hAnsi="宋体" w:cs="宋体"/>
          <w:color w:val="auto"/>
          <w:sz w:val="24"/>
          <w:highlight w:val="none"/>
        </w:rPr>
        <w:t>（8）</w:t>
      </w:r>
      <w:r>
        <w:rPr>
          <w:rFonts w:hint="eastAsia" w:ascii="宋体" w:hAnsi="宋体" w:cs="宋体"/>
          <w:bCs/>
          <w:color w:val="auto"/>
          <w:sz w:val="24"/>
          <w:highlight w:val="none"/>
        </w:rPr>
        <w:t>投标</w:t>
      </w:r>
      <w:r>
        <w:rPr>
          <w:rFonts w:hint="eastAsia" w:ascii="宋体" w:hAnsi="宋体" w:cs="宋体"/>
          <w:color w:val="auto"/>
          <w:sz w:val="24"/>
          <w:highlight w:val="none"/>
        </w:rPr>
        <w:t>供应商</w:t>
      </w:r>
      <w:r>
        <w:rPr>
          <w:rFonts w:hint="eastAsia" w:ascii="宋体" w:hAnsi="宋体" w:cs="宋体"/>
          <w:bCs/>
          <w:color w:val="auto"/>
          <w:sz w:val="24"/>
          <w:highlight w:val="none"/>
        </w:rPr>
        <w:t>提供</w:t>
      </w:r>
      <w:r>
        <w:rPr>
          <w:rFonts w:hint="eastAsia" w:ascii="宋体" w:hAnsi="宋体" w:eastAsia="宋体" w:cs="宋体"/>
          <w:bCs/>
          <w:color w:val="auto"/>
          <w:sz w:val="24"/>
          <w:highlight w:val="none"/>
          <w:lang w:eastAsia="zh-CN"/>
        </w:rPr>
        <w:t>近一年中</w:t>
      </w:r>
      <w:r>
        <w:rPr>
          <w:rFonts w:hint="eastAsia" w:ascii="宋体" w:hAnsi="宋体" w:cs="宋体"/>
          <w:bCs/>
          <w:color w:val="auto"/>
          <w:sz w:val="24"/>
          <w:highlight w:val="none"/>
        </w:rPr>
        <w:t>任意一个月份</w:t>
      </w:r>
      <w:r>
        <w:rPr>
          <w:rFonts w:hint="eastAsia" w:ascii="宋体" w:hAnsi="宋体" w:cs="宋体"/>
          <w:color w:val="auto"/>
          <w:sz w:val="24"/>
          <w:highlight w:val="none"/>
        </w:rPr>
        <w:t>的依法缴纳社会保障资金的相关材料（提供相关主管部门证明或银行代扣证明）</w:t>
      </w:r>
      <w:r>
        <w:rPr>
          <w:rFonts w:hint="eastAsia" w:ascii="宋体" w:hAnsi="宋体" w:cs="宋体"/>
          <w:b/>
          <w:bCs/>
          <w:color w:val="auto"/>
          <w:sz w:val="24"/>
          <w:highlight w:val="none"/>
        </w:rPr>
        <w:t>（提供扫描件）</w:t>
      </w:r>
      <w:r>
        <w:rPr>
          <w:rFonts w:hint="eastAsia" w:ascii="宋体" w:hAnsi="宋体" w:cs="宋体"/>
          <w:color w:val="auto"/>
          <w:sz w:val="24"/>
          <w:highlight w:val="none"/>
        </w:rPr>
        <w:t>；</w:t>
      </w:r>
    </w:p>
    <w:p>
      <w:pPr>
        <w:shd w:val="clear"/>
        <w:tabs>
          <w:tab w:val="left" w:pos="0"/>
        </w:tabs>
        <w:spacing w:line="470" w:lineRule="exact"/>
        <w:ind w:firstLine="480"/>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（9）投标</w:t>
      </w:r>
      <w:r>
        <w:rPr>
          <w:rFonts w:hint="eastAsia" w:ascii="宋体" w:hAnsi="宋体" w:cs="宋体"/>
          <w:color w:val="auto"/>
          <w:sz w:val="24"/>
          <w:highlight w:val="none"/>
          <w:lang w:val="en-US"/>
        </w:rPr>
        <w:t>供应商</w:t>
      </w:r>
      <w:r>
        <w:rPr>
          <w:rFonts w:hint="eastAsia" w:ascii="宋体" w:hAnsi="宋体" w:cs="宋体"/>
          <w:color w:val="auto"/>
          <w:sz w:val="24"/>
          <w:highlight w:val="none"/>
          <w:lang w:val="en-US" w:eastAsia="zh-CN"/>
        </w:rPr>
        <w:t>的</w:t>
      </w:r>
      <w:r>
        <w:rPr>
          <w:rFonts w:hint="eastAsia" w:ascii="宋体" w:hAnsi="宋体" w:cs="宋体"/>
          <w:color w:val="auto"/>
          <w:sz w:val="24"/>
          <w:highlight w:val="none"/>
          <w:lang w:val="en-US"/>
        </w:rPr>
        <w:t>市政公用工程施工总承包三级</w:t>
      </w:r>
      <w:r>
        <w:rPr>
          <w:rFonts w:hint="eastAsia" w:ascii="宋体" w:hAnsi="宋体" w:cs="宋体"/>
          <w:color w:val="auto"/>
          <w:sz w:val="24"/>
          <w:highlight w:val="none"/>
          <w:lang w:val="en-US" w:eastAsia="zh-CN"/>
        </w:rPr>
        <w:t>（</w:t>
      </w:r>
      <w:r>
        <w:rPr>
          <w:rFonts w:hint="eastAsia" w:ascii="宋体" w:hAnsi="宋体" w:cs="宋体"/>
          <w:color w:val="auto"/>
          <w:sz w:val="24"/>
          <w:highlight w:val="none"/>
          <w:lang w:val="en-US"/>
        </w:rPr>
        <w:t>含</w:t>
      </w:r>
      <w:r>
        <w:rPr>
          <w:rFonts w:hint="eastAsia" w:ascii="宋体" w:hAnsi="宋体" w:cs="宋体"/>
          <w:color w:val="auto"/>
          <w:sz w:val="24"/>
          <w:highlight w:val="none"/>
          <w:lang w:val="en-US" w:eastAsia="zh-CN"/>
        </w:rPr>
        <w:t>）</w:t>
      </w:r>
      <w:r>
        <w:rPr>
          <w:rFonts w:hint="eastAsia" w:ascii="宋体" w:hAnsi="宋体" w:cs="宋体"/>
          <w:color w:val="auto"/>
          <w:sz w:val="24"/>
          <w:highlight w:val="none"/>
          <w:lang w:val="en-US"/>
        </w:rPr>
        <w:t>以上资质证书</w:t>
      </w:r>
      <w:r>
        <w:rPr>
          <w:rFonts w:hint="eastAsia" w:ascii="宋体" w:hAnsi="宋体" w:cs="宋体"/>
          <w:color w:val="auto"/>
          <w:sz w:val="24"/>
          <w:highlight w:val="none"/>
          <w:lang w:val="en-US" w:eastAsia="zh-CN"/>
        </w:rPr>
        <w:t>及</w:t>
      </w:r>
      <w:r>
        <w:rPr>
          <w:rFonts w:hint="eastAsia" w:ascii="宋体" w:hAnsi="宋体" w:cs="宋体"/>
          <w:color w:val="auto"/>
          <w:sz w:val="24"/>
          <w:highlight w:val="none"/>
          <w:lang w:val="en-US"/>
        </w:rPr>
        <w:t>安全生产许可证扫描件</w:t>
      </w:r>
      <w:r>
        <w:rPr>
          <w:rFonts w:hint="eastAsia" w:ascii="宋体" w:hAnsi="宋体" w:cs="宋体"/>
          <w:color w:val="auto"/>
          <w:sz w:val="24"/>
          <w:highlight w:val="none"/>
          <w:lang w:val="en-US" w:eastAsia="zh-CN"/>
        </w:rPr>
        <w:t>；</w:t>
      </w:r>
    </w:p>
    <w:p>
      <w:pPr>
        <w:shd w:val="clear"/>
        <w:tabs>
          <w:tab w:val="left" w:pos="0"/>
        </w:tabs>
        <w:spacing w:line="470" w:lineRule="exact"/>
        <w:ind w:firstLine="480"/>
        <w:outlineLvl w:val="9"/>
        <w:rPr>
          <w:rFonts w:ascii="宋体" w:hAnsi="宋体" w:cs="宋体"/>
          <w:b/>
          <w:bCs/>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eastAsia="zh"/>
        </w:rPr>
        <w:t>10</w:t>
      </w:r>
      <w:r>
        <w:rPr>
          <w:rFonts w:hint="eastAsia" w:ascii="宋体" w:hAnsi="宋体" w:cs="宋体"/>
          <w:color w:val="auto"/>
          <w:sz w:val="24"/>
          <w:highlight w:val="none"/>
        </w:rPr>
        <w:t>）承诺书</w:t>
      </w:r>
      <w:r>
        <w:rPr>
          <w:rFonts w:hint="eastAsia" w:ascii="宋体" w:hAnsi="宋体" w:cs="宋体"/>
          <w:b/>
          <w:bCs/>
          <w:color w:val="auto"/>
          <w:sz w:val="24"/>
          <w:highlight w:val="none"/>
        </w:rPr>
        <w:t>（格式见附件）；</w:t>
      </w:r>
    </w:p>
    <w:p>
      <w:pPr>
        <w:shd w:val="clear"/>
        <w:tabs>
          <w:tab w:val="left" w:pos="0"/>
        </w:tabs>
        <w:spacing w:line="470" w:lineRule="exact"/>
        <w:ind w:firstLine="480"/>
        <w:outlineLvl w:val="9"/>
        <w:rPr>
          <w:rFonts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eastAsia="zh"/>
        </w:rPr>
        <w:t>11</w:t>
      </w:r>
      <w:r>
        <w:rPr>
          <w:rFonts w:hint="eastAsia" w:ascii="宋体" w:hAnsi="宋体" w:cs="宋体"/>
          <w:color w:val="auto"/>
          <w:sz w:val="24"/>
          <w:highlight w:val="none"/>
        </w:rPr>
        <w:t>）中小企业声明函或省级以上监狱管理局、戒毒管理局（含新疆生产建设兵团）出具的属于监狱企业的证明文件或残疾人福利性单位声明函</w:t>
      </w:r>
      <w:r>
        <w:rPr>
          <w:rFonts w:hint="eastAsia" w:ascii="宋体" w:hAnsi="宋体" w:cs="宋体"/>
          <w:b/>
          <w:bCs/>
          <w:color w:val="auto"/>
          <w:sz w:val="24"/>
          <w:highlight w:val="none"/>
        </w:rPr>
        <w:t>（声明函格式见附件）（提供扫描件）</w:t>
      </w:r>
      <w:r>
        <w:rPr>
          <w:rFonts w:hint="eastAsia" w:ascii="宋体" w:hAnsi="宋体" w:cs="宋体"/>
          <w:color w:val="auto"/>
          <w:sz w:val="24"/>
          <w:highlight w:val="none"/>
        </w:rPr>
        <w:t>。</w:t>
      </w:r>
    </w:p>
    <w:p>
      <w:pPr>
        <w:pStyle w:val="135"/>
        <w:shd w:val="clear"/>
        <w:spacing w:line="470" w:lineRule="exact"/>
        <w:ind w:firstLine="482"/>
        <w:outlineLvl w:val="9"/>
        <w:rPr>
          <w:rFonts w:ascii="宋体" w:hAnsi="宋体" w:cs="宋体"/>
          <w:b/>
          <w:color w:val="auto"/>
          <w:sz w:val="24"/>
          <w:highlight w:val="none"/>
        </w:rPr>
      </w:pPr>
      <w:r>
        <w:rPr>
          <w:rFonts w:hint="eastAsia" w:ascii="宋体" w:hAnsi="宋体" w:cs="宋体"/>
          <w:b/>
          <w:color w:val="auto"/>
          <w:sz w:val="24"/>
          <w:highlight w:val="none"/>
        </w:rPr>
        <w:t>注：上述资格、资信证明文件供应商必须按要求全部提供，必须确保所有证明文件均为真实的、有效的且清晰的。如上述资格、资信证明文件遇有国家相关政策规定可不具备的，必须提供相关政策规定或相关单位出具的有效证明</w:t>
      </w:r>
      <w:r>
        <w:rPr>
          <w:rFonts w:hint="eastAsia" w:ascii="宋体" w:hAnsi="宋体" w:cs="宋体"/>
          <w:b/>
          <w:color w:val="auto"/>
          <w:sz w:val="24"/>
          <w:highlight w:val="none"/>
          <w:lang w:val="en-US" w:eastAsia="zh-CN"/>
        </w:rPr>
        <w:t>的</w:t>
      </w:r>
      <w:r>
        <w:rPr>
          <w:rFonts w:hint="eastAsia" w:ascii="宋体" w:hAnsi="宋体" w:cs="宋体"/>
          <w:b/>
          <w:color w:val="auto"/>
          <w:sz w:val="24"/>
          <w:highlight w:val="none"/>
        </w:rPr>
        <w:t>扫描件。供应商法定代表人或法定代表人授权代表为外籍、港、澳、台地区人士的，其身份证明须提供有效的护照或港澳同胞来往内地通行证、台湾同胞来往大陆通行证，或</w:t>
      </w:r>
      <w:r>
        <w:rPr>
          <w:rFonts w:hint="eastAsia" w:ascii="宋体" w:hAnsi="宋体" w:cs="宋体"/>
          <w:b/>
          <w:color w:val="auto"/>
          <w:sz w:val="24"/>
          <w:highlight w:val="none"/>
          <w:lang w:eastAsia="zh-CN"/>
        </w:rPr>
        <w:t>其他</w:t>
      </w:r>
      <w:r>
        <w:rPr>
          <w:rFonts w:hint="eastAsia" w:ascii="宋体" w:hAnsi="宋体" w:cs="宋体"/>
          <w:b/>
          <w:color w:val="auto"/>
          <w:sz w:val="24"/>
          <w:highlight w:val="none"/>
        </w:rPr>
        <w:t>可在中国大陆有效居留的许可证明。 </w:t>
      </w:r>
    </w:p>
    <w:p>
      <w:pPr>
        <w:shd w:val="clear"/>
        <w:spacing w:line="470" w:lineRule="exact"/>
        <w:ind w:firstLine="480"/>
        <w:outlineLvl w:val="9"/>
        <w:rPr>
          <w:rFonts w:ascii="宋体" w:hAnsi="宋体" w:cs="宋体"/>
          <w:bCs/>
          <w:color w:val="auto"/>
          <w:sz w:val="24"/>
          <w:highlight w:val="none"/>
        </w:rPr>
      </w:pPr>
      <w:r>
        <w:rPr>
          <w:rFonts w:hint="eastAsia" w:ascii="宋体" w:hAnsi="宋体" w:cs="宋体"/>
          <w:bCs/>
          <w:color w:val="auto"/>
          <w:sz w:val="24"/>
          <w:highlight w:val="none"/>
        </w:rPr>
        <w:t>1.1补充证明文件：</w:t>
      </w:r>
    </w:p>
    <w:p>
      <w:pPr>
        <w:widowControl/>
        <w:numPr>
          <w:ilvl w:val="0"/>
          <w:numId w:val="18"/>
        </w:numPr>
        <w:shd w:val="clear"/>
        <w:spacing w:line="460" w:lineRule="exact"/>
        <w:ind w:left="180" w:firstLine="240"/>
        <w:jc w:val="left"/>
        <w:outlineLvl w:val="9"/>
        <w:rPr>
          <w:rFonts w:ascii="宋体" w:hAnsi="宋体" w:cs="宋体"/>
          <w:color w:val="auto"/>
          <w:sz w:val="24"/>
          <w:highlight w:val="none"/>
        </w:rPr>
      </w:pPr>
      <w:bookmarkStart w:id="1" w:name="OLE_LINK5"/>
      <w:r>
        <w:rPr>
          <w:rFonts w:hint="eastAsia" w:ascii="宋体" w:hAnsi="宋体" w:eastAsia="宋体" w:cs="宋体"/>
          <w:bCs/>
          <w:color w:val="auto"/>
          <w:sz w:val="24"/>
          <w:szCs w:val="24"/>
          <w:highlight w:val="none"/>
        </w:rPr>
        <w:t>供应商基本情况声明</w:t>
      </w:r>
      <w:r>
        <w:rPr>
          <w:rFonts w:hint="eastAsia" w:ascii="宋体" w:hAnsi="宋体" w:cs="宋体"/>
          <w:color w:val="auto"/>
          <w:sz w:val="24"/>
          <w:highlight w:val="none"/>
        </w:rPr>
        <w:t>；</w:t>
      </w:r>
      <w:bookmarkEnd w:id="1"/>
    </w:p>
    <w:p>
      <w:pPr>
        <w:widowControl/>
        <w:numPr>
          <w:ilvl w:val="0"/>
          <w:numId w:val="18"/>
        </w:numPr>
        <w:shd w:val="clear"/>
        <w:spacing w:line="460" w:lineRule="exact"/>
        <w:ind w:left="180" w:firstLine="240"/>
        <w:jc w:val="left"/>
        <w:outlineLvl w:val="9"/>
        <w:rPr>
          <w:rFonts w:ascii="宋体" w:hAnsi="宋体" w:cs="宋体"/>
          <w:color w:val="auto"/>
          <w:sz w:val="24"/>
          <w:highlight w:val="none"/>
        </w:rPr>
      </w:pPr>
      <w:bookmarkStart w:id="2" w:name="OLE_LINK6"/>
      <w:r>
        <w:rPr>
          <w:rFonts w:hint="eastAsia" w:ascii="宋体" w:hAnsi="宋体" w:cs="宋体"/>
          <w:color w:val="auto"/>
          <w:sz w:val="24"/>
          <w:highlight w:val="none"/>
        </w:rPr>
        <w:t>要求采购人提供的配合（如有，自拟并自行添加至投标函中）；</w:t>
      </w:r>
      <w:bookmarkEnd w:id="2"/>
    </w:p>
    <w:p>
      <w:pPr>
        <w:widowControl/>
        <w:numPr>
          <w:ilvl w:val="0"/>
          <w:numId w:val="18"/>
        </w:numPr>
        <w:shd w:val="clear"/>
        <w:spacing w:line="460" w:lineRule="exact"/>
        <w:ind w:left="180" w:firstLine="240"/>
        <w:jc w:val="left"/>
        <w:outlineLvl w:val="9"/>
        <w:rPr>
          <w:rFonts w:ascii="宋体" w:hAnsi="宋体" w:cs="宋体"/>
          <w:color w:val="auto"/>
          <w:sz w:val="24"/>
          <w:highlight w:val="none"/>
        </w:rPr>
      </w:pPr>
      <w:r>
        <w:rPr>
          <w:rFonts w:hint="eastAsia" w:ascii="宋体" w:hAnsi="宋体" w:cs="宋体"/>
          <w:color w:val="auto"/>
          <w:sz w:val="24"/>
          <w:highlight w:val="none"/>
        </w:rPr>
        <w:t>其他</w:t>
      </w:r>
      <w:r>
        <w:rPr>
          <w:rFonts w:hint="eastAsia" w:ascii="宋体" w:hAnsi="宋体" w:cs="宋体"/>
          <w:color w:val="auto"/>
          <w:sz w:val="24"/>
          <w:highlight w:val="none"/>
          <w:lang w:val="en-US" w:eastAsia="zh-CN"/>
        </w:rPr>
        <w:t>供应商</w:t>
      </w:r>
      <w:r>
        <w:rPr>
          <w:rFonts w:hint="eastAsia" w:ascii="宋体" w:hAnsi="宋体" w:cs="宋体"/>
          <w:color w:val="auto"/>
          <w:sz w:val="24"/>
          <w:highlight w:val="none"/>
        </w:rPr>
        <w:t>认为有必要提供的证明资料（参考评分标准）。</w:t>
      </w:r>
    </w:p>
    <w:p>
      <w:pPr>
        <w:shd w:val="clear"/>
        <w:tabs>
          <w:tab w:val="left" w:pos="525"/>
          <w:tab w:val="left" w:pos="1050"/>
        </w:tabs>
        <w:spacing w:line="460" w:lineRule="exact"/>
        <w:ind w:firstLine="480"/>
        <w:outlineLvl w:val="9"/>
        <w:rPr>
          <w:rFonts w:ascii="宋体" w:hAnsi="宋体" w:cs="宋体"/>
          <w:color w:val="auto"/>
          <w:sz w:val="24"/>
          <w:highlight w:val="none"/>
        </w:rPr>
      </w:pPr>
      <w:r>
        <w:rPr>
          <w:rFonts w:hint="eastAsia" w:ascii="宋体" w:hAnsi="宋体" w:cs="宋体"/>
          <w:color w:val="auto"/>
          <w:sz w:val="24"/>
          <w:highlight w:val="none"/>
        </w:rPr>
        <w:t>1.2投标函部分（格式见附件）：</w:t>
      </w:r>
    </w:p>
    <w:p>
      <w:pPr>
        <w:shd w:val="clear"/>
        <w:tabs>
          <w:tab w:val="left" w:pos="525"/>
          <w:tab w:val="left" w:pos="1050"/>
        </w:tabs>
        <w:spacing w:line="460" w:lineRule="exact"/>
        <w:ind w:firstLine="480"/>
        <w:outlineLvl w:val="9"/>
        <w:rPr>
          <w:rFonts w:hint="eastAsia" w:ascii="宋体" w:hAnsi="宋体" w:cs="宋体"/>
          <w:color w:val="auto"/>
          <w:sz w:val="24"/>
          <w:highlight w:val="none"/>
        </w:rPr>
      </w:pPr>
      <w:r>
        <w:rPr>
          <w:rFonts w:hint="eastAsia" w:ascii="宋体" w:hAnsi="宋体" w:cs="宋体"/>
          <w:color w:val="auto"/>
          <w:sz w:val="24"/>
          <w:highlight w:val="none"/>
        </w:rPr>
        <w:t>（1）投标函；</w:t>
      </w:r>
    </w:p>
    <w:p>
      <w:pPr>
        <w:shd w:val="clear"/>
        <w:tabs>
          <w:tab w:val="left" w:pos="525"/>
          <w:tab w:val="left" w:pos="1050"/>
        </w:tabs>
        <w:spacing w:line="460" w:lineRule="exact"/>
        <w:ind w:firstLine="480"/>
        <w:outlineLvl w:val="9"/>
        <w:rPr>
          <w:rFonts w:hint="eastAsia" w:ascii="宋体" w:hAnsi="宋体" w:cs="宋体"/>
          <w:color w:val="auto"/>
          <w:sz w:val="24"/>
          <w:highlight w:val="none"/>
        </w:rPr>
      </w:pPr>
      <w:r>
        <w:rPr>
          <w:rFonts w:hint="eastAsia" w:ascii="宋体" w:hAnsi="宋体" w:cs="宋体"/>
          <w:color w:val="auto"/>
          <w:sz w:val="24"/>
          <w:highlight w:val="none"/>
        </w:rPr>
        <w:t>（2）开标一览表；</w:t>
      </w:r>
    </w:p>
    <w:p>
      <w:pPr>
        <w:shd w:val="clear"/>
        <w:tabs>
          <w:tab w:val="left" w:pos="525"/>
          <w:tab w:val="left" w:pos="1050"/>
        </w:tabs>
        <w:spacing w:line="460" w:lineRule="exact"/>
        <w:ind w:firstLine="480"/>
        <w:outlineLvl w:val="9"/>
        <w:rPr>
          <w:rFonts w:hint="eastAsia"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报价明细</w:t>
      </w:r>
      <w:r>
        <w:rPr>
          <w:rFonts w:hint="eastAsia" w:ascii="宋体" w:hAnsi="宋体" w:cs="宋体"/>
          <w:color w:val="auto"/>
          <w:sz w:val="24"/>
          <w:highlight w:val="none"/>
        </w:rPr>
        <w:t>表；</w:t>
      </w:r>
    </w:p>
    <w:p>
      <w:pPr>
        <w:shd w:val="clear"/>
        <w:tabs>
          <w:tab w:val="left" w:pos="525"/>
          <w:tab w:val="left" w:pos="1050"/>
        </w:tabs>
        <w:spacing w:line="460" w:lineRule="exact"/>
        <w:ind w:firstLine="480"/>
        <w:outlineLvl w:val="9"/>
        <w:rPr>
          <w:rFonts w:hint="eastAsia" w:ascii="宋体" w:hAnsi="宋体" w:eastAsia="宋体" w:cs="宋体"/>
          <w:color w:val="auto"/>
          <w:sz w:val="24"/>
          <w:highlight w:val="none"/>
        </w:rPr>
      </w:pPr>
      <w:r>
        <w:rPr>
          <w:rFonts w:hint="eastAsia" w:ascii="宋体" w:hAnsi="宋体" w:eastAsia="宋体" w:cs="宋体"/>
          <w:b w:val="0"/>
          <w:color w:val="auto"/>
          <w:sz w:val="24"/>
          <w:szCs w:val="24"/>
          <w:highlight w:val="none"/>
          <w:lang w:eastAsia="zh-CN"/>
        </w:rPr>
        <w:t>（</w:t>
      </w:r>
      <w:r>
        <w:rPr>
          <w:rFonts w:hint="eastAsia" w:ascii="宋体" w:hAnsi="宋体" w:eastAsia="宋体" w:cs="宋体"/>
          <w:b w:val="0"/>
          <w:color w:val="auto"/>
          <w:sz w:val="24"/>
          <w:szCs w:val="24"/>
          <w:highlight w:val="none"/>
          <w:lang w:val="en-US" w:eastAsia="zh-CN"/>
        </w:rPr>
        <w:t>4</w:t>
      </w:r>
      <w:r>
        <w:rPr>
          <w:rFonts w:hint="eastAsia" w:ascii="宋体" w:hAnsi="宋体" w:eastAsia="宋体" w:cs="宋体"/>
          <w:b w:val="0"/>
          <w:color w:val="auto"/>
          <w:sz w:val="24"/>
          <w:szCs w:val="24"/>
          <w:highlight w:val="none"/>
          <w:lang w:eastAsia="zh-CN"/>
        </w:rPr>
        <w:t>）</w:t>
      </w:r>
      <w:r>
        <w:rPr>
          <w:rFonts w:hint="eastAsia" w:ascii="宋体" w:hAnsi="宋体" w:eastAsia="宋体" w:cs="宋体"/>
          <w:b w:val="0"/>
          <w:color w:val="auto"/>
          <w:sz w:val="24"/>
          <w:szCs w:val="24"/>
          <w:highlight w:val="none"/>
        </w:rPr>
        <w:t>企业业绩一览表</w:t>
      </w:r>
      <w:r>
        <w:rPr>
          <w:rFonts w:hint="eastAsia" w:ascii="宋体" w:hAnsi="宋体" w:cs="宋体"/>
          <w:b w:val="0"/>
          <w:color w:val="auto"/>
          <w:sz w:val="24"/>
          <w:szCs w:val="24"/>
          <w:highlight w:val="none"/>
          <w:lang w:eastAsia="zh-CN"/>
        </w:rPr>
        <w:t>；</w:t>
      </w:r>
    </w:p>
    <w:p>
      <w:pPr>
        <w:shd w:val="clear"/>
        <w:tabs>
          <w:tab w:val="left" w:pos="525"/>
          <w:tab w:val="left" w:pos="1050"/>
        </w:tabs>
        <w:spacing w:line="460" w:lineRule="exact"/>
        <w:ind w:firstLine="480"/>
        <w:outlineLvl w:val="9"/>
        <w:rPr>
          <w:rFonts w:hint="eastAsia" w:ascii="宋体" w:hAnsi="宋体" w:eastAsia="宋体" w:cs="宋体"/>
          <w:color w:val="auto"/>
          <w:sz w:val="24"/>
          <w:highlight w:val="none"/>
        </w:rPr>
      </w:pPr>
      <w:r>
        <w:rPr>
          <w:rFonts w:hint="eastAsia" w:ascii="宋体" w:hAnsi="宋体" w:cs="宋体"/>
          <w:color w:val="auto"/>
          <w:sz w:val="24"/>
          <w:highlight w:val="none"/>
        </w:rPr>
        <w:t>（</w:t>
      </w:r>
      <w:r>
        <w:rPr>
          <w:rFonts w:hint="eastAsia" w:ascii="宋体" w:hAnsi="宋体" w:eastAsia="宋体" w:cs="宋体"/>
          <w:color w:val="auto"/>
          <w:sz w:val="24"/>
          <w:highlight w:val="none"/>
          <w:lang w:val="en-US" w:eastAsia="zh-CN"/>
        </w:rPr>
        <w:t>5</w:t>
      </w:r>
      <w:r>
        <w:rPr>
          <w:rFonts w:hint="eastAsia" w:ascii="宋体" w:hAnsi="宋体" w:cs="宋体"/>
          <w:color w:val="auto"/>
          <w:sz w:val="24"/>
          <w:highlight w:val="none"/>
        </w:rPr>
        <w:t>）投标偏离表；</w:t>
      </w:r>
    </w:p>
    <w:p>
      <w:pPr>
        <w:shd w:val="clear"/>
        <w:tabs>
          <w:tab w:val="left" w:pos="525"/>
          <w:tab w:val="left" w:pos="1050"/>
        </w:tabs>
        <w:spacing w:line="460" w:lineRule="exact"/>
        <w:ind w:firstLine="480"/>
        <w:outlineLvl w:val="9"/>
        <w:rPr>
          <w:rFonts w:hint="eastAsia" w:ascii="宋体" w:hAnsi="宋体" w:eastAsia="宋体" w:cs="宋体"/>
          <w:b w:val="0"/>
          <w:color w:val="auto"/>
          <w:sz w:val="24"/>
          <w:szCs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lang w:eastAsia="zh-CN"/>
        </w:rPr>
        <w:t>）</w:t>
      </w:r>
      <w:r>
        <w:rPr>
          <w:rFonts w:hint="eastAsia" w:ascii="宋体" w:hAnsi="宋体" w:eastAsia="宋体" w:cs="宋体"/>
          <w:b w:val="0"/>
          <w:color w:val="auto"/>
          <w:sz w:val="24"/>
          <w:szCs w:val="24"/>
          <w:highlight w:val="none"/>
        </w:rPr>
        <w:t>项目管理机构配备情况表</w:t>
      </w:r>
      <w:r>
        <w:rPr>
          <w:rFonts w:hint="eastAsia" w:ascii="宋体" w:hAnsi="宋体" w:cs="宋体"/>
          <w:b w:val="0"/>
          <w:color w:val="auto"/>
          <w:sz w:val="24"/>
          <w:szCs w:val="24"/>
          <w:highlight w:val="none"/>
          <w:lang w:eastAsia="zh-CN"/>
        </w:rPr>
        <w:t>；</w:t>
      </w:r>
    </w:p>
    <w:p>
      <w:pPr>
        <w:shd w:val="clear"/>
        <w:tabs>
          <w:tab w:val="left" w:pos="525"/>
          <w:tab w:val="left" w:pos="1050"/>
        </w:tabs>
        <w:spacing w:line="460" w:lineRule="exact"/>
        <w:ind w:firstLine="480"/>
        <w:outlineLvl w:val="9"/>
        <w:rPr>
          <w:rFonts w:hint="eastAsia" w:ascii="宋体" w:hAnsi="宋体" w:eastAsia="宋体" w:cs="宋体"/>
          <w:color w:val="auto"/>
          <w:sz w:val="24"/>
          <w:highlight w:val="none"/>
        </w:rPr>
      </w:pPr>
      <w:r>
        <w:rPr>
          <w:rFonts w:hint="eastAsia" w:ascii="宋体" w:hAnsi="宋体" w:eastAsia="宋体" w:cs="宋体"/>
          <w:bCs w:val="0"/>
          <w:color w:val="auto"/>
          <w:sz w:val="24"/>
          <w:szCs w:val="24"/>
          <w:highlight w:val="none"/>
          <w:lang w:eastAsia="zh-CN"/>
        </w:rPr>
        <w:t>（</w:t>
      </w:r>
      <w:r>
        <w:rPr>
          <w:rFonts w:hint="eastAsia" w:ascii="宋体" w:hAnsi="宋体" w:eastAsia="宋体" w:cs="宋体"/>
          <w:bCs w:val="0"/>
          <w:color w:val="auto"/>
          <w:sz w:val="24"/>
          <w:szCs w:val="24"/>
          <w:highlight w:val="none"/>
          <w:lang w:val="en-US" w:eastAsia="zh-CN"/>
        </w:rPr>
        <w:t>7</w:t>
      </w:r>
      <w:r>
        <w:rPr>
          <w:rFonts w:hint="eastAsia" w:ascii="宋体" w:hAnsi="宋体" w:eastAsia="宋体" w:cs="宋体"/>
          <w:bCs w:val="0"/>
          <w:color w:val="auto"/>
          <w:sz w:val="24"/>
          <w:szCs w:val="24"/>
          <w:highlight w:val="none"/>
          <w:lang w:eastAsia="zh-CN"/>
        </w:rPr>
        <w:t>）</w:t>
      </w:r>
      <w:r>
        <w:rPr>
          <w:rFonts w:hint="eastAsia" w:ascii="宋体" w:hAnsi="宋体" w:eastAsia="宋体" w:cs="宋体"/>
          <w:bCs w:val="0"/>
          <w:color w:val="auto"/>
          <w:sz w:val="24"/>
          <w:szCs w:val="24"/>
          <w:highlight w:val="none"/>
        </w:rPr>
        <w:t>拟投入本项目的</w:t>
      </w:r>
      <w:r>
        <w:rPr>
          <w:rFonts w:hint="eastAsia" w:ascii="宋体" w:hAnsi="宋体" w:eastAsia="宋体" w:cs="宋体"/>
          <w:bCs w:val="0"/>
          <w:color w:val="auto"/>
          <w:sz w:val="24"/>
          <w:szCs w:val="24"/>
          <w:highlight w:val="none"/>
          <w:lang w:val="en-US" w:eastAsia="zh-CN"/>
        </w:rPr>
        <w:t>机械</w:t>
      </w:r>
      <w:r>
        <w:rPr>
          <w:rFonts w:hint="eastAsia" w:ascii="宋体" w:hAnsi="宋体" w:eastAsia="宋体" w:cs="宋体"/>
          <w:bCs w:val="0"/>
          <w:color w:val="auto"/>
          <w:sz w:val="24"/>
          <w:szCs w:val="24"/>
          <w:highlight w:val="none"/>
        </w:rPr>
        <w:t>设备明细表</w:t>
      </w:r>
      <w:r>
        <w:rPr>
          <w:rFonts w:hint="eastAsia" w:ascii="宋体" w:hAnsi="宋体" w:eastAsia="宋体" w:cs="宋体"/>
          <w:bCs w:val="0"/>
          <w:color w:val="auto"/>
          <w:sz w:val="24"/>
          <w:szCs w:val="24"/>
          <w:highlight w:val="none"/>
          <w:lang w:eastAsia="zh-CN"/>
        </w:rPr>
        <w:t>。</w:t>
      </w:r>
    </w:p>
    <w:p>
      <w:pPr>
        <w:shd w:val="clear"/>
        <w:tabs>
          <w:tab w:val="left" w:pos="525"/>
          <w:tab w:val="left" w:pos="1050"/>
        </w:tabs>
        <w:spacing w:line="460" w:lineRule="exact"/>
        <w:ind w:firstLine="480"/>
        <w:outlineLvl w:val="9"/>
        <w:rPr>
          <w:rFonts w:hint="eastAsia" w:ascii="宋体" w:hAnsi="宋体" w:cs="宋体"/>
          <w:color w:val="auto"/>
          <w:sz w:val="24"/>
          <w:highlight w:val="none"/>
        </w:rPr>
      </w:pPr>
      <w:r>
        <w:rPr>
          <w:rFonts w:hint="eastAsia" w:ascii="宋体" w:hAnsi="宋体" w:cs="宋体"/>
          <w:color w:val="auto"/>
          <w:sz w:val="24"/>
          <w:highlight w:val="none"/>
        </w:rPr>
        <w:t>1.3技术文件</w:t>
      </w:r>
      <w:r>
        <w:rPr>
          <w:rFonts w:hint="eastAsia" w:ascii="宋体" w:hAnsi="宋体" w:cs="宋体"/>
          <w:color w:val="auto"/>
          <w:sz w:val="24"/>
          <w:highlight w:val="none"/>
          <w:lang w:eastAsia="zh-CN"/>
        </w:rPr>
        <w:t>（根据评分细则自行编制）</w:t>
      </w:r>
    </w:p>
    <w:p>
      <w:pPr>
        <w:shd w:val="clear"/>
        <w:spacing w:line="360" w:lineRule="auto"/>
        <w:ind w:firstLine="240"/>
        <w:outlineLvl w:val="9"/>
        <w:rPr>
          <w:rFonts w:ascii="宋体" w:hAnsi="宋体" w:cs="宋体"/>
          <w:color w:val="auto"/>
          <w:sz w:val="24"/>
          <w:highlight w:val="none"/>
        </w:rPr>
      </w:pPr>
      <w:r>
        <w:rPr>
          <w:rFonts w:hint="eastAsia" w:ascii="宋体" w:hAnsi="宋体" w:cs="宋体"/>
          <w:color w:val="auto"/>
          <w:sz w:val="24"/>
          <w:highlight w:val="none"/>
        </w:rPr>
        <w:t>（六）报价要求：</w:t>
      </w:r>
    </w:p>
    <w:p>
      <w:pPr>
        <w:shd w:val="clear"/>
        <w:spacing w:line="360" w:lineRule="auto"/>
        <w:ind w:firstLine="480"/>
        <w:outlineLvl w:val="9"/>
        <w:rPr>
          <w:rFonts w:hint="eastAsia" w:ascii="宋体" w:hAnsi="宋体" w:cs="宋体"/>
          <w:color w:val="auto"/>
          <w:sz w:val="24"/>
          <w:highlight w:val="none"/>
        </w:rPr>
      </w:pPr>
      <w:r>
        <w:rPr>
          <w:rFonts w:hint="eastAsia" w:ascii="宋体" w:hAnsi="宋体" w:cs="宋体"/>
          <w:color w:val="auto"/>
          <w:sz w:val="24"/>
          <w:highlight w:val="none"/>
        </w:rPr>
        <w:t>1.供应商的</w:t>
      </w:r>
      <w:r>
        <w:rPr>
          <w:rFonts w:hint="eastAsia" w:ascii="宋体" w:hAnsi="宋体" w:cs="宋体"/>
          <w:color w:val="auto"/>
          <w:sz w:val="24"/>
          <w:highlight w:val="none"/>
          <w:lang w:eastAsia="zh-CN"/>
        </w:rPr>
        <w:t>报价</w:t>
      </w:r>
      <w:r>
        <w:rPr>
          <w:rFonts w:hint="eastAsia" w:ascii="宋体" w:hAnsi="宋体" w:cs="宋体"/>
          <w:color w:val="auto"/>
          <w:sz w:val="24"/>
          <w:highlight w:val="none"/>
        </w:rPr>
        <w:t>应是完成本次采购所列项目的全部费用。</w:t>
      </w:r>
    </w:p>
    <w:p>
      <w:pPr>
        <w:shd w:val="clear"/>
        <w:spacing w:line="360" w:lineRule="auto"/>
        <w:ind w:firstLine="480"/>
        <w:outlineLvl w:val="9"/>
        <w:rPr>
          <w:rFonts w:hint="eastAsia" w:ascii="宋体" w:hAnsi="宋体" w:cs="宋体"/>
          <w:color w:val="auto"/>
          <w:sz w:val="24"/>
          <w:highlight w:val="none"/>
        </w:rPr>
      </w:pPr>
      <w:r>
        <w:rPr>
          <w:rFonts w:hint="eastAsia" w:ascii="宋体" w:hAnsi="宋体" w:cs="宋体"/>
          <w:color w:val="auto"/>
          <w:sz w:val="24"/>
          <w:highlight w:val="none"/>
        </w:rPr>
        <w:t>2.本项目</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文件所提供的采购清单是由采购人提供的，供应商只能以采购人发放的采购清单及修正文件进行报价。除非采购人对</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文件予以修改，供应商应按采购人提供的采购清单进行报价。</w:t>
      </w:r>
    </w:p>
    <w:p>
      <w:pPr>
        <w:shd w:val="clear"/>
        <w:spacing w:line="360" w:lineRule="auto"/>
        <w:ind w:firstLine="480"/>
        <w:outlineLvl w:val="9"/>
        <w:rPr>
          <w:rFonts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、经评标委员会认定投标供应商的投标报价明显低于其他通过符合性审</w:t>
      </w:r>
      <w:r>
        <w:rPr>
          <w:rFonts w:hint="eastAsia" w:ascii="宋体" w:hAnsi="宋体" w:cs="宋体"/>
          <w:color w:val="auto"/>
          <w:sz w:val="24"/>
          <w:highlight w:val="none"/>
          <w:lang w:eastAsia="zh-CN"/>
        </w:rPr>
        <w:t>查的</w:t>
      </w:r>
      <w:r>
        <w:rPr>
          <w:rFonts w:hint="eastAsia" w:ascii="宋体" w:hAnsi="宋体" w:cs="宋体"/>
          <w:color w:val="auto"/>
          <w:sz w:val="24"/>
          <w:highlight w:val="none"/>
        </w:rPr>
        <w:t>投标供应商的报价，有可能影响产品质量或者不能诚信履约，要求其在合理的时间内（自江苏省政府采购（苏采云）平台通知之时起一小时内）提供书面说明，并提交相关证明材料。投标供应商不能证明其报价合理性的，评标委员</w:t>
      </w:r>
      <w:r>
        <w:rPr>
          <w:rFonts w:hint="eastAsia" w:ascii="宋体" w:hAnsi="宋体" w:cs="宋体"/>
          <w:color w:val="auto"/>
          <w:sz w:val="24"/>
          <w:highlight w:val="none"/>
          <w:lang w:eastAsia="zh-CN"/>
        </w:rPr>
        <w:t>会应</w:t>
      </w:r>
      <w:r>
        <w:rPr>
          <w:rFonts w:hint="eastAsia" w:ascii="宋体" w:hAnsi="宋体" w:cs="宋体"/>
          <w:color w:val="auto"/>
          <w:sz w:val="24"/>
          <w:highlight w:val="none"/>
        </w:rPr>
        <w:t>当将其作为无效标书处理。</w:t>
      </w:r>
    </w:p>
    <w:p>
      <w:pPr>
        <w:shd w:val="clear"/>
        <w:spacing w:line="360" w:lineRule="auto"/>
        <w:ind w:firstLine="240"/>
        <w:outlineLvl w:val="9"/>
        <w:rPr>
          <w:rFonts w:ascii="宋体" w:hAnsi="宋体" w:cs="宋体"/>
          <w:color w:val="auto"/>
          <w:sz w:val="24"/>
          <w:highlight w:val="none"/>
        </w:rPr>
      </w:pPr>
      <w:r>
        <w:rPr>
          <w:rFonts w:hint="eastAsia" w:ascii="宋体" w:hAnsi="宋体" w:cs="宋体"/>
          <w:color w:val="auto"/>
          <w:sz w:val="24"/>
          <w:highlight w:val="none"/>
        </w:rPr>
        <w:t>（七）投标文件的编制要求：</w:t>
      </w:r>
    </w:p>
    <w:p>
      <w:pPr>
        <w:shd w:val="clear"/>
        <w:spacing w:line="360" w:lineRule="auto"/>
        <w:ind w:firstLine="480"/>
        <w:outlineLvl w:val="9"/>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bCs/>
          <w:color w:val="auto"/>
          <w:sz w:val="24"/>
          <w:highlight w:val="none"/>
        </w:rPr>
        <w:t>．</w:t>
      </w:r>
      <w:r>
        <w:rPr>
          <w:rFonts w:hint="eastAsia" w:ascii="宋体" w:hAnsi="宋体" w:cs="宋体"/>
          <w:color w:val="auto"/>
          <w:sz w:val="24"/>
          <w:highlight w:val="none"/>
        </w:rPr>
        <w:t>所有文件、往来函件均应使用简体中文（规格、型号辅助符号除外）。</w:t>
      </w:r>
    </w:p>
    <w:p>
      <w:pPr>
        <w:shd w:val="clear"/>
        <w:spacing w:line="360" w:lineRule="auto"/>
        <w:ind w:firstLine="480"/>
        <w:outlineLvl w:val="9"/>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bCs/>
          <w:color w:val="auto"/>
          <w:sz w:val="24"/>
          <w:highlight w:val="none"/>
        </w:rPr>
        <w:t>．</w:t>
      </w:r>
      <w:r>
        <w:rPr>
          <w:rFonts w:hint="eastAsia" w:ascii="宋体" w:hAnsi="宋体" w:cs="宋体"/>
          <w:color w:val="auto"/>
          <w:sz w:val="24"/>
          <w:highlight w:val="none"/>
        </w:rPr>
        <w:t>投标文件由投标供应商按给定格式如实填写（编写），须有法人（盖章）、法定代表人或法定代表人授权代表签字或盖章，方为有效，未尽事宜可自行补充。</w:t>
      </w:r>
    </w:p>
    <w:p>
      <w:pPr>
        <w:shd w:val="clear"/>
        <w:spacing w:line="360" w:lineRule="auto"/>
        <w:ind w:firstLine="480"/>
        <w:outlineLvl w:val="9"/>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bCs/>
          <w:color w:val="auto"/>
          <w:sz w:val="24"/>
          <w:highlight w:val="none"/>
        </w:rPr>
        <w:t>．</w:t>
      </w:r>
      <w:r>
        <w:rPr>
          <w:rFonts w:hint="eastAsia" w:ascii="宋体" w:hAnsi="宋体" w:cs="宋体"/>
          <w:color w:val="auto"/>
          <w:sz w:val="24"/>
          <w:highlight w:val="none"/>
        </w:rPr>
        <w:t>如无特别说明，投标供应商报价一律以人民币为报价结算货币，结算单位为“元”。</w:t>
      </w:r>
    </w:p>
    <w:p>
      <w:pPr>
        <w:shd w:val="clear"/>
        <w:spacing w:line="360" w:lineRule="auto"/>
        <w:ind w:firstLine="480"/>
        <w:outlineLvl w:val="9"/>
        <w:rPr>
          <w:rFonts w:ascii="宋体" w:hAnsi="宋体" w:cs="宋体"/>
          <w:color w:val="auto"/>
          <w:sz w:val="24"/>
          <w:highlight w:val="none"/>
        </w:rPr>
      </w:pPr>
      <w:r>
        <w:rPr>
          <w:rFonts w:hint="eastAsia" w:ascii="宋体" w:hAnsi="宋体" w:cs="宋体"/>
          <w:color w:val="auto"/>
          <w:sz w:val="24"/>
          <w:highlight w:val="none"/>
        </w:rPr>
        <w:t>4</w:t>
      </w:r>
      <w:r>
        <w:rPr>
          <w:rFonts w:hint="eastAsia" w:ascii="宋体" w:hAnsi="宋体" w:cs="宋体"/>
          <w:bCs/>
          <w:color w:val="auto"/>
          <w:sz w:val="24"/>
          <w:highlight w:val="none"/>
        </w:rPr>
        <w:t>．</w:t>
      </w:r>
      <w:r>
        <w:rPr>
          <w:rFonts w:hint="eastAsia" w:ascii="宋体" w:hAnsi="宋体" w:cs="宋体"/>
          <w:color w:val="auto"/>
          <w:sz w:val="24"/>
          <w:highlight w:val="none"/>
        </w:rPr>
        <w:t>投标文件格式部分，应由投标供应商按给定格式提供，不得更改。</w:t>
      </w:r>
    </w:p>
    <w:p>
      <w:pPr>
        <w:shd w:val="clear"/>
        <w:spacing w:line="360" w:lineRule="auto"/>
        <w:ind w:firstLine="480"/>
        <w:outlineLvl w:val="9"/>
        <w:rPr>
          <w:rFonts w:ascii="宋体" w:hAnsi="宋体" w:cs="宋体"/>
          <w:color w:val="auto"/>
          <w:sz w:val="24"/>
          <w:highlight w:val="none"/>
        </w:rPr>
      </w:pPr>
      <w:r>
        <w:rPr>
          <w:rFonts w:hint="eastAsia" w:ascii="宋体" w:hAnsi="宋体" w:cs="宋体"/>
          <w:color w:val="auto"/>
          <w:sz w:val="24"/>
          <w:highlight w:val="none"/>
        </w:rPr>
        <w:t>5</w:t>
      </w:r>
      <w:r>
        <w:rPr>
          <w:rFonts w:hint="eastAsia" w:ascii="宋体" w:hAnsi="宋体" w:cs="宋体"/>
          <w:bCs/>
          <w:color w:val="auto"/>
          <w:sz w:val="24"/>
          <w:highlight w:val="none"/>
        </w:rPr>
        <w:t>．</w:t>
      </w:r>
      <w:r>
        <w:rPr>
          <w:rFonts w:hint="eastAsia" w:ascii="宋体" w:hAnsi="宋体" w:cs="宋体"/>
          <w:color w:val="auto"/>
          <w:sz w:val="24"/>
          <w:highlight w:val="none"/>
        </w:rPr>
        <w:t>投标费用自理。</w:t>
      </w:r>
    </w:p>
    <w:p>
      <w:pPr>
        <w:shd w:val="clear"/>
        <w:spacing w:line="360" w:lineRule="auto"/>
        <w:ind w:firstLine="480"/>
        <w:outlineLvl w:val="9"/>
        <w:rPr>
          <w:rFonts w:ascii="宋体" w:hAnsi="宋体" w:cs="宋体"/>
          <w:color w:val="auto"/>
          <w:sz w:val="24"/>
          <w:highlight w:val="none"/>
        </w:rPr>
      </w:pPr>
      <w:r>
        <w:rPr>
          <w:rFonts w:hint="eastAsia" w:ascii="宋体" w:hAnsi="宋体" w:cs="宋体"/>
          <w:color w:val="auto"/>
          <w:sz w:val="24"/>
          <w:highlight w:val="none"/>
        </w:rPr>
        <w:t>6</w:t>
      </w:r>
      <w:r>
        <w:rPr>
          <w:rFonts w:hint="eastAsia" w:ascii="宋体" w:hAnsi="宋体" w:cs="宋体"/>
          <w:bCs/>
          <w:color w:val="auto"/>
          <w:sz w:val="24"/>
          <w:highlight w:val="none"/>
        </w:rPr>
        <w:t>．</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应由其法定代表人或法定代表人授权代表在规定的网上投标时间内，凭CA数字证书</w:t>
      </w:r>
      <w:r>
        <w:rPr>
          <w:rFonts w:hint="eastAsia" w:ascii="宋体" w:hAnsi="宋体" w:cs="宋体"/>
          <w:color w:val="auto"/>
          <w:sz w:val="24"/>
          <w:highlight w:val="none"/>
          <w:lang w:eastAsia="zh-CN"/>
        </w:rPr>
        <w:t>登录</w:t>
      </w:r>
      <w:r>
        <w:rPr>
          <w:rFonts w:hint="eastAsia" w:ascii="宋体" w:hAnsi="宋体" w:cs="宋体"/>
          <w:color w:val="auto"/>
          <w:sz w:val="24"/>
          <w:highlight w:val="none"/>
        </w:rPr>
        <w:t>江苏省政府采购（苏采云）平台获取招标文件，并在投标截止时间之前上传投标文件。</w:t>
      </w:r>
    </w:p>
    <w:p>
      <w:pPr>
        <w:shd w:val="clear"/>
        <w:spacing w:line="360" w:lineRule="auto"/>
        <w:ind w:firstLine="480"/>
        <w:outlineLvl w:val="9"/>
        <w:rPr>
          <w:rFonts w:ascii="宋体" w:hAnsi="宋体" w:cs="宋体"/>
          <w:color w:val="auto"/>
          <w:sz w:val="24"/>
          <w:highlight w:val="none"/>
        </w:rPr>
      </w:pPr>
      <w:r>
        <w:rPr>
          <w:rFonts w:hint="eastAsia" w:ascii="宋体" w:hAnsi="宋体" w:cs="宋体"/>
          <w:color w:val="auto"/>
          <w:sz w:val="24"/>
          <w:highlight w:val="none"/>
        </w:rPr>
        <w:t>7</w:t>
      </w:r>
      <w:r>
        <w:rPr>
          <w:rFonts w:hint="eastAsia" w:ascii="宋体" w:hAnsi="宋体" w:cs="宋体"/>
          <w:bCs/>
          <w:color w:val="auto"/>
          <w:sz w:val="24"/>
          <w:highlight w:val="none"/>
        </w:rPr>
        <w:t>．</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应对CA数字证书妥善保管，如被他人盗用投标，后果自负。</w:t>
      </w:r>
    </w:p>
    <w:p>
      <w:pPr>
        <w:shd w:val="clear"/>
        <w:spacing w:line="360" w:lineRule="auto"/>
        <w:ind w:firstLine="480"/>
        <w:outlineLvl w:val="9"/>
        <w:rPr>
          <w:rFonts w:ascii="宋体" w:hAnsi="宋体" w:cs="宋体"/>
          <w:color w:val="auto"/>
          <w:sz w:val="24"/>
          <w:highlight w:val="none"/>
        </w:rPr>
      </w:pPr>
      <w:r>
        <w:rPr>
          <w:rFonts w:hint="eastAsia" w:ascii="宋体" w:hAnsi="宋体" w:cs="宋体"/>
          <w:color w:val="auto"/>
          <w:sz w:val="24"/>
          <w:highlight w:val="none"/>
        </w:rPr>
        <w:t>8</w:t>
      </w:r>
      <w:r>
        <w:rPr>
          <w:rFonts w:hint="eastAsia" w:ascii="宋体" w:hAnsi="宋体" w:cs="宋体"/>
          <w:bCs/>
          <w:color w:val="auto"/>
          <w:sz w:val="24"/>
          <w:highlight w:val="none"/>
        </w:rPr>
        <w:t>．</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按招标文件规定的网上解密时间进行解密，如未按时解密后果自负。</w:t>
      </w:r>
    </w:p>
    <w:p>
      <w:pPr>
        <w:shd w:val="clear"/>
        <w:spacing w:line="360" w:lineRule="auto"/>
        <w:ind w:firstLine="480"/>
        <w:outlineLvl w:val="9"/>
        <w:rPr>
          <w:rFonts w:ascii="宋体" w:hAnsi="宋体" w:cs="宋体"/>
          <w:color w:val="auto"/>
          <w:sz w:val="24"/>
          <w:highlight w:val="none"/>
        </w:rPr>
      </w:pPr>
      <w:r>
        <w:rPr>
          <w:rFonts w:hint="eastAsia" w:ascii="宋体" w:hAnsi="宋体" w:cs="宋体"/>
          <w:color w:val="auto"/>
          <w:sz w:val="24"/>
          <w:highlight w:val="none"/>
        </w:rPr>
        <w:t>9</w:t>
      </w:r>
      <w:r>
        <w:rPr>
          <w:rFonts w:hint="eastAsia" w:ascii="宋体" w:hAnsi="宋体" w:cs="宋体"/>
          <w:bCs/>
          <w:color w:val="auto"/>
          <w:sz w:val="24"/>
          <w:highlight w:val="none"/>
        </w:rPr>
        <w:t>．</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应当对招标文件提出的要求和条件作出实质性响应，并在电子投标系统逐条应答。</w:t>
      </w:r>
    </w:p>
    <w:p>
      <w:pPr>
        <w:shd w:val="clear"/>
        <w:spacing w:line="360" w:lineRule="auto"/>
        <w:ind w:firstLine="480"/>
        <w:outlineLvl w:val="9"/>
        <w:rPr>
          <w:rFonts w:ascii="宋体" w:hAnsi="宋体" w:cs="宋体"/>
          <w:color w:val="auto"/>
          <w:sz w:val="24"/>
          <w:highlight w:val="none"/>
        </w:rPr>
      </w:pPr>
      <w:r>
        <w:rPr>
          <w:rFonts w:hint="eastAsia" w:ascii="宋体" w:hAnsi="宋体" w:cs="宋体"/>
          <w:color w:val="auto"/>
          <w:sz w:val="24"/>
          <w:highlight w:val="none"/>
        </w:rPr>
        <w:t>10</w:t>
      </w:r>
      <w:r>
        <w:rPr>
          <w:rFonts w:hint="eastAsia" w:ascii="宋体" w:hAnsi="宋体" w:cs="宋体"/>
          <w:bCs/>
          <w:color w:val="auto"/>
          <w:sz w:val="24"/>
          <w:highlight w:val="none"/>
        </w:rPr>
        <w:t>．</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应对要求提供的资格证明文件（如资质证书、资格证书）、技术资料（如白皮书、彩页、手册、检测报告等）扫描上传至投标系统。</w:t>
      </w:r>
    </w:p>
    <w:p>
      <w:pPr>
        <w:shd w:val="clear"/>
        <w:spacing w:line="360" w:lineRule="auto"/>
        <w:ind w:firstLine="240"/>
        <w:outlineLvl w:val="9"/>
        <w:rPr>
          <w:rFonts w:ascii="宋体" w:hAnsi="宋体" w:cs="宋体"/>
          <w:color w:val="auto"/>
          <w:sz w:val="24"/>
          <w:highlight w:val="none"/>
        </w:rPr>
      </w:pPr>
      <w:r>
        <w:rPr>
          <w:rFonts w:hint="eastAsia" w:ascii="宋体" w:hAnsi="宋体" w:cs="宋体"/>
          <w:color w:val="auto"/>
          <w:sz w:val="24"/>
          <w:highlight w:val="none"/>
        </w:rPr>
        <w:t>（八）无效投标文件的确认：</w:t>
      </w:r>
    </w:p>
    <w:p>
      <w:pPr>
        <w:shd w:val="clear"/>
        <w:spacing w:line="360" w:lineRule="auto"/>
        <w:ind w:firstLine="480"/>
        <w:outlineLvl w:val="9"/>
        <w:rPr>
          <w:rFonts w:ascii="宋体" w:hAnsi="宋体" w:cs="宋体"/>
          <w:color w:val="auto"/>
          <w:sz w:val="24"/>
          <w:highlight w:val="none"/>
        </w:rPr>
      </w:pPr>
      <w:r>
        <w:rPr>
          <w:rFonts w:hint="eastAsia" w:ascii="宋体" w:hAnsi="宋体" w:cs="宋体"/>
          <w:color w:val="auto"/>
          <w:sz w:val="24"/>
          <w:highlight w:val="none"/>
        </w:rPr>
        <w:t>供应商有下列情况之一者，其投标文件无效：</w:t>
      </w:r>
    </w:p>
    <w:p>
      <w:pPr>
        <w:shd w:val="clear"/>
        <w:tabs>
          <w:tab w:val="left" w:pos="525"/>
          <w:tab w:val="left" w:pos="1050"/>
          <w:tab w:val="left" w:pos="1146"/>
          <w:tab w:val="left" w:pos="1254"/>
          <w:tab w:val="left" w:pos="1770"/>
        </w:tabs>
        <w:spacing w:line="360" w:lineRule="auto"/>
        <w:ind w:firstLine="480"/>
        <w:outlineLvl w:val="9"/>
        <w:rPr>
          <w:rFonts w:ascii="宋体" w:hAnsi="宋体" w:cs="宋体"/>
          <w:bCs/>
          <w:color w:val="auto"/>
          <w:sz w:val="24"/>
          <w:highlight w:val="none"/>
        </w:rPr>
      </w:pPr>
      <w:r>
        <w:rPr>
          <w:rFonts w:hint="eastAsia" w:ascii="宋体" w:hAnsi="宋体" w:cs="宋体"/>
          <w:bCs/>
          <w:color w:val="auto"/>
          <w:sz w:val="24"/>
          <w:highlight w:val="none"/>
        </w:rPr>
        <w:t>1．电子投标文件未按规定时间上传的，纸质投标文件（如有）未按规定的期限、地点送达的；</w:t>
      </w:r>
    </w:p>
    <w:p>
      <w:pPr>
        <w:shd w:val="clear"/>
        <w:tabs>
          <w:tab w:val="left" w:pos="525"/>
          <w:tab w:val="left" w:pos="1050"/>
          <w:tab w:val="left" w:pos="1146"/>
          <w:tab w:val="left" w:pos="1254"/>
          <w:tab w:val="left" w:pos="1770"/>
        </w:tabs>
        <w:spacing w:line="360" w:lineRule="auto"/>
        <w:ind w:firstLine="480"/>
        <w:outlineLvl w:val="9"/>
        <w:rPr>
          <w:rFonts w:ascii="宋体" w:hAnsi="宋体" w:cs="宋体"/>
          <w:bCs/>
          <w:color w:val="auto"/>
          <w:sz w:val="24"/>
          <w:highlight w:val="none"/>
        </w:rPr>
      </w:pPr>
      <w:r>
        <w:rPr>
          <w:rFonts w:hint="eastAsia" w:ascii="宋体" w:hAnsi="宋体" w:cs="宋体"/>
          <w:bCs/>
          <w:color w:val="auto"/>
          <w:sz w:val="24"/>
          <w:highlight w:val="none"/>
        </w:rPr>
        <w:t>3．电子投标文件未按招标文件要求签章的；</w:t>
      </w:r>
    </w:p>
    <w:p>
      <w:pPr>
        <w:shd w:val="clear"/>
        <w:tabs>
          <w:tab w:val="left" w:pos="525"/>
          <w:tab w:val="left" w:pos="1050"/>
          <w:tab w:val="left" w:pos="1146"/>
          <w:tab w:val="left" w:pos="1254"/>
          <w:tab w:val="left" w:pos="1770"/>
        </w:tabs>
        <w:spacing w:line="360" w:lineRule="auto"/>
        <w:ind w:firstLine="480"/>
        <w:outlineLvl w:val="9"/>
        <w:rPr>
          <w:rFonts w:ascii="宋体" w:hAnsi="宋体" w:cs="宋体"/>
          <w:bCs/>
          <w:color w:val="auto"/>
          <w:sz w:val="24"/>
          <w:highlight w:val="none"/>
        </w:rPr>
      </w:pPr>
      <w:r>
        <w:rPr>
          <w:rFonts w:hint="eastAsia" w:ascii="宋体" w:hAnsi="宋体" w:cs="宋体"/>
          <w:bCs/>
          <w:color w:val="auto"/>
          <w:sz w:val="24"/>
          <w:highlight w:val="none"/>
        </w:rPr>
        <w:t>4．</w:t>
      </w:r>
      <w:r>
        <w:rPr>
          <w:rFonts w:hint="eastAsia" w:ascii="宋体" w:hAnsi="宋体" w:cs="宋体"/>
          <w:bCs/>
          <w:color w:val="auto"/>
          <w:sz w:val="24"/>
          <w:highlight w:val="none"/>
          <w:lang w:eastAsia="zh-CN"/>
        </w:rPr>
        <w:t>投标供应商</w:t>
      </w:r>
      <w:r>
        <w:rPr>
          <w:rFonts w:hint="eastAsia" w:ascii="宋体" w:hAnsi="宋体" w:cs="宋体"/>
          <w:bCs/>
          <w:color w:val="auto"/>
          <w:sz w:val="24"/>
          <w:highlight w:val="none"/>
        </w:rPr>
        <w:t>未按招标文件要求解密电子投标文件的；</w:t>
      </w:r>
    </w:p>
    <w:p>
      <w:pPr>
        <w:shd w:val="clear"/>
        <w:tabs>
          <w:tab w:val="left" w:pos="525"/>
          <w:tab w:val="left" w:pos="1050"/>
          <w:tab w:val="left" w:pos="1146"/>
          <w:tab w:val="left" w:pos="1254"/>
          <w:tab w:val="left" w:pos="1770"/>
        </w:tabs>
        <w:spacing w:line="360" w:lineRule="auto"/>
        <w:ind w:firstLine="480"/>
        <w:outlineLvl w:val="9"/>
        <w:rPr>
          <w:rFonts w:ascii="宋体" w:hAnsi="宋体" w:cs="宋体"/>
          <w:bCs/>
          <w:color w:val="auto"/>
          <w:sz w:val="24"/>
          <w:highlight w:val="none"/>
        </w:rPr>
      </w:pPr>
      <w:r>
        <w:rPr>
          <w:rFonts w:hint="eastAsia" w:ascii="宋体" w:hAnsi="宋体" w:cs="宋体"/>
          <w:bCs/>
          <w:color w:val="auto"/>
          <w:sz w:val="24"/>
          <w:highlight w:val="none"/>
        </w:rPr>
        <w:t>5．不具备招标文件中规定的资格要求的；</w:t>
      </w:r>
    </w:p>
    <w:p>
      <w:pPr>
        <w:shd w:val="clear"/>
        <w:tabs>
          <w:tab w:val="left" w:pos="525"/>
          <w:tab w:val="left" w:pos="1050"/>
          <w:tab w:val="left" w:pos="1146"/>
          <w:tab w:val="left" w:pos="1254"/>
          <w:tab w:val="left" w:pos="1770"/>
        </w:tabs>
        <w:spacing w:line="360" w:lineRule="auto"/>
        <w:ind w:firstLine="480"/>
        <w:outlineLvl w:val="9"/>
        <w:rPr>
          <w:rFonts w:ascii="宋体" w:hAnsi="宋体" w:cs="宋体"/>
          <w:bCs/>
          <w:color w:val="auto"/>
          <w:sz w:val="24"/>
          <w:highlight w:val="none"/>
        </w:rPr>
      </w:pPr>
      <w:r>
        <w:rPr>
          <w:rFonts w:hint="eastAsia" w:ascii="宋体" w:hAnsi="宋体" w:cs="宋体"/>
          <w:bCs/>
          <w:color w:val="auto"/>
          <w:sz w:val="24"/>
          <w:highlight w:val="none"/>
        </w:rPr>
        <w:t>6．报价超过招标文件中规定的预算金额或最高限价或最高单项限价的；</w:t>
      </w:r>
    </w:p>
    <w:p>
      <w:pPr>
        <w:shd w:val="clear"/>
        <w:tabs>
          <w:tab w:val="left" w:pos="525"/>
          <w:tab w:val="left" w:pos="1050"/>
          <w:tab w:val="left" w:pos="1146"/>
          <w:tab w:val="left" w:pos="1254"/>
          <w:tab w:val="left" w:pos="1770"/>
        </w:tabs>
        <w:spacing w:line="360" w:lineRule="auto"/>
        <w:ind w:firstLine="480"/>
        <w:outlineLvl w:val="9"/>
        <w:rPr>
          <w:rFonts w:ascii="宋体" w:hAnsi="宋体" w:cs="宋体"/>
          <w:bCs/>
          <w:color w:val="auto"/>
          <w:sz w:val="24"/>
          <w:highlight w:val="none"/>
        </w:rPr>
      </w:pPr>
      <w:r>
        <w:rPr>
          <w:rFonts w:hint="eastAsia" w:ascii="宋体" w:hAnsi="宋体" w:cs="宋体"/>
          <w:bCs/>
          <w:color w:val="auto"/>
          <w:sz w:val="24"/>
          <w:highlight w:val="none"/>
        </w:rPr>
        <w:t>7．投标供应商的法定代表人授权代表无法定代表人授权委托书的；</w:t>
      </w:r>
    </w:p>
    <w:p>
      <w:pPr>
        <w:shd w:val="clear"/>
        <w:tabs>
          <w:tab w:val="left" w:pos="525"/>
          <w:tab w:val="left" w:pos="1050"/>
          <w:tab w:val="left" w:pos="1146"/>
          <w:tab w:val="left" w:pos="1254"/>
          <w:tab w:val="left" w:pos="1770"/>
        </w:tabs>
        <w:spacing w:line="360" w:lineRule="auto"/>
        <w:ind w:firstLine="480"/>
        <w:outlineLvl w:val="9"/>
        <w:rPr>
          <w:rFonts w:ascii="宋体" w:hAnsi="宋体" w:cs="宋体"/>
          <w:bCs/>
          <w:color w:val="auto"/>
          <w:sz w:val="24"/>
          <w:highlight w:val="none"/>
        </w:rPr>
      </w:pPr>
      <w:r>
        <w:rPr>
          <w:rFonts w:hint="eastAsia" w:ascii="宋体" w:hAnsi="宋体" w:cs="宋体"/>
          <w:bCs/>
          <w:color w:val="auto"/>
          <w:sz w:val="24"/>
          <w:highlight w:val="none"/>
        </w:rPr>
        <w:t>8．投标文件含有采购人不能接受的附加条件的；</w:t>
      </w:r>
    </w:p>
    <w:p>
      <w:pPr>
        <w:shd w:val="clear"/>
        <w:tabs>
          <w:tab w:val="left" w:pos="525"/>
          <w:tab w:val="left" w:pos="1050"/>
          <w:tab w:val="left" w:pos="1146"/>
          <w:tab w:val="left" w:pos="1254"/>
          <w:tab w:val="left" w:pos="1770"/>
        </w:tabs>
        <w:spacing w:line="360" w:lineRule="auto"/>
        <w:ind w:firstLine="480"/>
        <w:outlineLvl w:val="9"/>
        <w:rPr>
          <w:rFonts w:ascii="宋体" w:hAnsi="宋体" w:cs="宋体"/>
          <w:bCs/>
          <w:color w:val="auto"/>
          <w:sz w:val="24"/>
          <w:highlight w:val="none"/>
        </w:rPr>
      </w:pPr>
      <w:r>
        <w:rPr>
          <w:rFonts w:hint="eastAsia" w:ascii="宋体" w:hAnsi="宋体" w:cs="宋体"/>
          <w:bCs/>
          <w:color w:val="auto"/>
          <w:sz w:val="24"/>
          <w:highlight w:val="none"/>
        </w:rPr>
        <w:t>9．投标文件中有招标文件未允许提供的选择性内容的；</w:t>
      </w:r>
    </w:p>
    <w:p>
      <w:pPr>
        <w:shd w:val="clear"/>
        <w:tabs>
          <w:tab w:val="left" w:pos="525"/>
          <w:tab w:val="left" w:pos="1050"/>
          <w:tab w:val="left" w:pos="1146"/>
          <w:tab w:val="left" w:pos="1254"/>
          <w:tab w:val="left" w:pos="1770"/>
        </w:tabs>
        <w:spacing w:line="360" w:lineRule="auto"/>
        <w:ind w:firstLine="480"/>
        <w:outlineLvl w:val="9"/>
        <w:rPr>
          <w:rFonts w:ascii="宋体" w:hAnsi="宋体" w:cs="宋体"/>
          <w:bCs/>
          <w:color w:val="auto"/>
          <w:sz w:val="24"/>
          <w:highlight w:val="none"/>
        </w:rPr>
      </w:pPr>
      <w:r>
        <w:rPr>
          <w:rFonts w:hint="eastAsia" w:ascii="宋体" w:hAnsi="宋体" w:cs="宋体"/>
          <w:bCs/>
          <w:color w:val="auto"/>
          <w:sz w:val="24"/>
          <w:highlight w:val="none"/>
        </w:rPr>
        <w:t>10．恶意串通其他投标供应商，故意哄抬价格或压价的；</w:t>
      </w:r>
    </w:p>
    <w:p>
      <w:pPr>
        <w:shd w:val="clear"/>
        <w:tabs>
          <w:tab w:val="left" w:pos="525"/>
          <w:tab w:val="left" w:pos="1050"/>
          <w:tab w:val="left" w:pos="1146"/>
          <w:tab w:val="left" w:pos="1254"/>
          <w:tab w:val="left" w:pos="1770"/>
        </w:tabs>
        <w:spacing w:line="360" w:lineRule="auto"/>
        <w:ind w:firstLine="480"/>
        <w:outlineLvl w:val="9"/>
        <w:rPr>
          <w:rFonts w:ascii="宋体" w:hAnsi="宋体" w:cs="宋体"/>
          <w:bCs/>
          <w:color w:val="auto"/>
          <w:sz w:val="24"/>
          <w:highlight w:val="none"/>
        </w:rPr>
      </w:pPr>
      <w:r>
        <w:rPr>
          <w:rFonts w:hint="eastAsia" w:ascii="宋体" w:hAnsi="宋体" w:cs="宋体"/>
          <w:bCs/>
          <w:color w:val="auto"/>
          <w:sz w:val="24"/>
          <w:highlight w:val="none"/>
        </w:rPr>
        <w:t>11．提供虚假材料的（包括工商营业执照、财务报表、资格证明文件等）；</w:t>
      </w:r>
    </w:p>
    <w:p>
      <w:pPr>
        <w:shd w:val="clear"/>
        <w:tabs>
          <w:tab w:val="left" w:pos="525"/>
          <w:tab w:val="left" w:pos="1050"/>
          <w:tab w:val="left" w:pos="1146"/>
          <w:tab w:val="left" w:pos="1254"/>
          <w:tab w:val="left" w:pos="1770"/>
        </w:tabs>
        <w:spacing w:line="360" w:lineRule="auto"/>
        <w:ind w:firstLine="480"/>
        <w:outlineLvl w:val="9"/>
        <w:rPr>
          <w:rFonts w:ascii="宋体" w:hAnsi="宋体" w:cs="宋体"/>
          <w:bCs/>
          <w:color w:val="auto"/>
          <w:sz w:val="24"/>
          <w:highlight w:val="none"/>
        </w:rPr>
      </w:pPr>
      <w:r>
        <w:rPr>
          <w:rFonts w:hint="eastAsia" w:ascii="宋体" w:hAnsi="宋体" w:cs="宋体"/>
          <w:bCs/>
          <w:color w:val="auto"/>
          <w:sz w:val="24"/>
          <w:highlight w:val="none"/>
        </w:rPr>
        <w:t>12．不具备招标文件中规定的资格要求或未按招标文件规定的要求提供资格、资信证明文件的；</w:t>
      </w:r>
    </w:p>
    <w:p>
      <w:pPr>
        <w:shd w:val="clear"/>
        <w:tabs>
          <w:tab w:val="left" w:pos="525"/>
          <w:tab w:val="left" w:pos="1050"/>
          <w:tab w:val="left" w:pos="1146"/>
          <w:tab w:val="left" w:pos="1254"/>
          <w:tab w:val="left" w:pos="1770"/>
        </w:tabs>
        <w:spacing w:line="360" w:lineRule="auto"/>
        <w:ind w:firstLine="480"/>
        <w:outlineLvl w:val="9"/>
        <w:rPr>
          <w:rFonts w:ascii="宋体" w:hAnsi="宋体" w:cs="宋体"/>
          <w:bCs/>
          <w:color w:val="auto"/>
          <w:sz w:val="24"/>
          <w:highlight w:val="none"/>
        </w:rPr>
      </w:pPr>
      <w:r>
        <w:rPr>
          <w:rFonts w:hint="eastAsia" w:ascii="宋体" w:hAnsi="宋体" w:cs="宋体"/>
          <w:bCs/>
          <w:color w:val="auto"/>
          <w:sz w:val="24"/>
          <w:highlight w:val="none"/>
        </w:rPr>
        <w:t>13．不同投标供应商投标文件中的项目相关人员出现同一人的；</w:t>
      </w:r>
    </w:p>
    <w:p>
      <w:pPr>
        <w:shd w:val="clear"/>
        <w:tabs>
          <w:tab w:val="left" w:pos="525"/>
          <w:tab w:val="left" w:pos="1050"/>
          <w:tab w:val="left" w:pos="1146"/>
          <w:tab w:val="left" w:pos="1254"/>
          <w:tab w:val="left" w:pos="1770"/>
        </w:tabs>
        <w:spacing w:line="360" w:lineRule="auto"/>
        <w:ind w:firstLine="480"/>
        <w:outlineLvl w:val="9"/>
        <w:rPr>
          <w:rFonts w:ascii="宋体" w:hAnsi="宋体" w:cs="宋体"/>
          <w:bCs/>
          <w:color w:val="auto"/>
          <w:sz w:val="24"/>
          <w:highlight w:val="none"/>
        </w:rPr>
      </w:pPr>
      <w:r>
        <w:rPr>
          <w:rFonts w:hint="eastAsia" w:ascii="宋体" w:hAnsi="宋体" w:cs="宋体"/>
          <w:bCs/>
          <w:color w:val="auto"/>
          <w:sz w:val="24"/>
          <w:highlight w:val="none"/>
        </w:rPr>
        <w:t>14．不同投标供应商聘请同一人为其投标提供技术或经济咨询服务的；</w:t>
      </w:r>
    </w:p>
    <w:p>
      <w:pPr>
        <w:shd w:val="clear"/>
        <w:tabs>
          <w:tab w:val="left" w:pos="525"/>
          <w:tab w:val="left" w:pos="1050"/>
          <w:tab w:val="left" w:pos="1146"/>
          <w:tab w:val="left" w:pos="1254"/>
          <w:tab w:val="left" w:pos="1770"/>
        </w:tabs>
        <w:spacing w:line="360" w:lineRule="auto"/>
        <w:ind w:firstLine="480"/>
        <w:outlineLvl w:val="9"/>
        <w:rPr>
          <w:rFonts w:ascii="宋体" w:hAnsi="宋体" w:cs="宋体"/>
          <w:bCs/>
          <w:color w:val="auto"/>
          <w:sz w:val="24"/>
          <w:highlight w:val="none"/>
        </w:rPr>
      </w:pPr>
      <w:r>
        <w:rPr>
          <w:rFonts w:hint="eastAsia" w:ascii="宋体" w:hAnsi="宋体" w:cs="宋体"/>
          <w:bCs/>
          <w:color w:val="auto"/>
          <w:sz w:val="24"/>
          <w:highlight w:val="none"/>
        </w:rPr>
        <w:t>15．不同投标供应商的单位负责人为同一人或者存在直接控股、管理关系的；</w:t>
      </w:r>
    </w:p>
    <w:p>
      <w:pPr>
        <w:shd w:val="clear"/>
        <w:tabs>
          <w:tab w:val="left" w:pos="525"/>
          <w:tab w:val="left" w:pos="1050"/>
          <w:tab w:val="left" w:pos="1146"/>
          <w:tab w:val="left" w:pos="1254"/>
          <w:tab w:val="left" w:pos="1770"/>
        </w:tabs>
        <w:spacing w:line="360" w:lineRule="auto"/>
        <w:ind w:firstLine="480"/>
        <w:outlineLvl w:val="9"/>
        <w:rPr>
          <w:rFonts w:ascii="宋体" w:hAnsi="宋体" w:cs="宋体"/>
          <w:bCs/>
          <w:color w:val="auto"/>
          <w:sz w:val="24"/>
          <w:highlight w:val="none"/>
        </w:rPr>
      </w:pPr>
      <w:r>
        <w:rPr>
          <w:rFonts w:hint="eastAsia" w:ascii="宋体" w:hAnsi="宋体" w:cs="宋体"/>
          <w:bCs/>
          <w:color w:val="auto"/>
          <w:sz w:val="24"/>
          <w:highlight w:val="none"/>
        </w:rPr>
        <w:t>16．不同投标供应商的投标文件异常一致或者投标报价呈规律性差异；</w:t>
      </w:r>
    </w:p>
    <w:p>
      <w:pPr>
        <w:shd w:val="clear"/>
        <w:tabs>
          <w:tab w:val="left" w:pos="525"/>
          <w:tab w:val="left" w:pos="1050"/>
          <w:tab w:val="left" w:pos="1146"/>
          <w:tab w:val="left" w:pos="1254"/>
          <w:tab w:val="left" w:pos="1770"/>
        </w:tabs>
        <w:spacing w:line="360" w:lineRule="auto"/>
        <w:ind w:firstLine="480"/>
        <w:outlineLvl w:val="9"/>
        <w:rPr>
          <w:rFonts w:ascii="宋体" w:hAnsi="宋体" w:cs="宋体"/>
          <w:bCs/>
          <w:color w:val="auto"/>
          <w:sz w:val="24"/>
          <w:highlight w:val="none"/>
        </w:rPr>
      </w:pPr>
      <w:r>
        <w:rPr>
          <w:rFonts w:hint="eastAsia" w:ascii="宋体" w:hAnsi="宋体" w:cs="宋体"/>
          <w:bCs/>
          <w:color w:val="auto"/>
          <w:sz w:val="24"/>
          <w:highlight w:val="none"/>
        </w:rPr>
        <w:t>17．投标文件商务标中同一方案有选择性报价且未声明以哪一个为准的；</w:t>
      </w:r>
    </w:p>
    <w:p>
      <w:pPr>
        <w:shd w:val="clear"/>
        <w:tabs>
          <w:tab w:val="left" w:pos="525"/>
          <w:tab w:val="left" w:pos="1050"/>
          <w:tab w:val="left" w:pos="1146"/>
          <w:tab w:val="left" w:pos="1254"/>
          <w:tab w:val="left" w:pos="1770"/>
        </w:tabs>
        <w:spacing w:line="360" w:lineRule="auto"/>
        <w:ind w:firstLine="480"/>
        <w:outlineLvl w:val="9"/>
        <w:rPr>
          <w:rFonts w:ascii="宋体" w:hAnsi="宋体" w:cs="宋体"/>
          <w:bCs/>
          <w:color w:val="auto"/>
          <w:sz w:val="24"/>
          <w:highlight w:val="none"/>
        </w:rPr>
      </w:pPr>
      <w:r>
        <w:rPr>
          <w:rFonts w:hint="eastAsia" w:ascii="宋体" w:hAnsi="宋体" w:cs="宋体"/>
          <w:bCs/>
          <w:color w:val="auto"/>
          <w:sz w:val="24"/>
          <w:highlight w:val="none"/>
        </w:rPr>
        <w:t>18．投标文件报价出现前后不一致，投标供应商拒不确认修正后的报价的；</w:t>
      </w:r>
    </w:p>
    <w:p>
      <w:pPr>
        <w:shd w:val="clear"/>
        <w:tabs>
          <w:tab w:val="left" w:pos="525"/>
          <w:tab w:val="left" w:pos="1050"/>
          <w:tab w:val="left" w:pos="1146"/>
          <w:tab w:val="left" w:pos="1254"/>
          <w:tab w:val="left" w:pos="1770"/>
        </w:tabs>
        <w:spacing w:line="360" w:lineRule="auto"/>
        <w:ind w:firstLine="480"/>
        <w:outlineLvl w:val="9"/>
        <w:rPr>
          <w:rFonts w:ascii="宋体" w:hAnsi="宋体" w:cs="宋体"/>
          <w:bCs/>
          <w:color w:val="auto"/>
          <w:sz w:val="24"/>
          <w:highlight w:val="none"/>
        </w:rPr>
      </w:pPr>
      <w:r>
        <w:rPr>
          <w:rFonts w:hint="eastAsia" w:ascii="宋体" w:hAnsi="宋体" w:cs="宋体"/>
          <w:bCs/>
          <w:color w:val="auto"/>
          <w:sz w:val="24"/>
          <w:highlight w:val="none"/>
        </w:rPr>
        <w:t>19．评标委员会认为投标供应商的报价明显低于其他通过符合性审</w:t>
      </w:r>
      <w:r>
        <w:rPr>
          <w:rFonts w:hint="eastAsia" w:ascii="宋体" w:hAnsi="宋体" w:cs="宋体"/>
          <w:bCs/>
          <w:color w:val="auto"/>
          <w:sz w:val="24"/>
          <w:highlight w:val="none"/>
          <w:lang w:eastAsia="zh-CN"/>
        </w:rPr>
        <w:t>查的</w:t>
      </w:r>
      <w:r>
        <w:rPr>
          <w:rFonts w:hint="eastAsia" w:ascii="宋体" w:hAnsi="宋体" w:cs="宋体"/>
          <w:bCs/>
          <w:color w:val="auto"/>
          <w:sz w:val="24"/>
          <w:highlight w:val="none"/>
        </w:rPr>
        <w:t>投标供应商的报价，有可能影响产品质量或者不能诚信履约的，未能在合理的时间内（</w:t>
      </w:r>
      <w:r>
        <w:rPr>
          <w:rFonts w:hint="eastAsia" w:ascii="宋体" w:hAnsi="宋体" w:cs="宋体"/>
          <w:color w:val="auto"/>
          <w:sz w:val="24"/>
          <w:highlight w:val="none"/>
        </w:rPr>
        <w:t>自江苏省政府采购（苏采云）平台通知之时起一小时内</w:t>
      </w:r>
      <w:r>
        <w:rPr>
          <w:rFonts w:hint="eastAsia" w:ascii="宋体" w:hAnsi="宋体" w:cs="宋体"/>
          <w:bCs/>
          <w:color w:val="auto"/>
          <w:sz w:val="24"/>
          <w:highlight w:val="none"/>
        </w:rPr>
        <w:t>）提交书面说明或相关证明材料以证明其报价合理性的；</w:t>
      </w:r>
    </w:p>
    <w:p>
      <w:pPr>
        <w:shd w:val="clear"/>
        <w:tabs>
          <w:tab w:val="left" w:pos="525"/>
          <w:tab w:val="left" w:pos="1050"/>
          <w:tab w:val="left" w:pos="1146"/>
          <w:tab w:val="left" w:pos="1254"/>
          <w:tab w:val="left" w:pos="1770"/>
        </w:tabs>
        <w:spacing w:line="360" w:lineRule="auto"/>
        <w:ind w:firstLine="480"/>
        <w:outlineLvl w:val="9"/>
        <w:rPr>
          <w:rFonts w:ascii="宋体" w:hAnsi="宋体" w:cs="宋体"/>
          <w:bCs/>
          <w:color w:val="auto"/>
          <w:sz w:val="24"/>
          <w:highlight w:val="none"/>
        </w:rPr>
      </w:pPr>
      <w:r>
        <w:rPr>
          <w:rFonts w:hint="eastAsia" w:ascii="宋体" w:hAnsi="宋体" w:cs="宋体"/>
          <w:bCs/>
          <w:color w:val="auto"/>
          <w:sz w:val="24"/>
          <w:highlight w:val="none"/>
        </w:rPr>
        <w:t>20．未通过初步资格性审查、投标文件资格性检查、投标文件符合性检查的；</w:t>
      </w:r>
    </w:p>
    <w:p>
      <w:pPr>
        <w:shd w:val="clear"/>
        <w:tabs>
          <w:tab w:val="left" w:pos="525"/>
          <w:tab w:val="left" w:pos="1050"/>
          <w:tab w:val="left" w:pos="1146"/>
          <w:tab w:val="left" w:pos="1254"/>
          <w:tab w:val="left" w:pos="1770"/>
        </w:tabs>
        <w:spacing w:line="360" w:lineRule="auto"/>
        <w:ind w:firstLine="480"/>
        <w:outlineLvl w:val="9"/>
        <w:rPr>
          <w:rFonts w:ascii="宋体" w:hAnsi="宋体" w:cs="宋体"/>
          <w:bCs/>
          <w:color w:val="auto"/>
          <w:sz w:val="24"/>
          <w:highlight w:val="none"/>
        </w:rPr>
      </w:pPr>
      <w:r>
        <w:rPr>
          <w:rFonts w:hint="eastAsia" w:ascii="宋体" w:hAnsi="宋体" w:cs="宋体"/>
          <w:bCs/>
          <w:color w:val="auto"/>
          <w:sz w:val="24"/>
          <w:highlight w:val="none"/>
        </w:rPr>
        <w:t>21．列入失信被执行人、重大税收违法失信主体、政府采购严重违法失信行为记录名单及其他不符合《中华人民共和国政府采购法》第二十二条规定条件的；</w:t>
      </w:r>
    </w:p>
    <w:p>
      <w:pPr>
        <w:shd w:val="clear"/>
        <w:tabs>
          <w:tab w:val="left" w:pos="525"/>
          <w:tab w:val="left" w:pos="1050"/>
          <w:tab w:val="left" w:pos="1146"/>
          <w:tab w:val="left" w:pos="1254"/>
          <w:tab w:val="left" w:pos="1770"/>
        </w:tabs>
        <w:spacing w:line="360" w:lineRule="auto"/>
        <w:ind w:firstLine="480"/>
        <w:outlineLvl w:val="9"/>
        <w:rPr>
          <w:rFonts w:ascii="宋体" w:hAnsi="宋体" w:cs="宋体"/>
          <w:bCs/>
          <w:color w:val="auto"/>
          <w:sz w:val="24"/>
          <w:highlight w:val="none"/>
        </w:rPr>
      </w:pPr>
      <w:r>
        <w:rPr>
          <w:rFonts w:hint="eastAsia" w:ascii="宋体" w:hAnsi="宋体" w:cs="宋体"/>
          <w:bCs/>
          <w:color w:val="auto"/>
          <w:sz w:val="24"/>
          <w:highlight w:val="none"/>
        </w:rPr>
        <w:t>22．不同投标供应商的投标文件存在明显的相似性或一致性，特征显示由同一单位或者同一个人编制的；</w:t>
      </w:r>
    </w:p>
    <w:p>
      <w:pPr>
        <w:shd w:val="clear"/>
        <w:tabs>
          <w:tab w:val="left" w:pos="525"/>
          <w:tab w:val="left" w:pos="1050"/>
          <w:tab w:val="left" w:pos="1146"/>
          <w:tab w:val="left" w:pos="1254"/>
          <w:tab w:val="left" w:pos="1770"/>
        </w:tabs>
        <w:spacing w:line="360" w:lineRule="auto"/>
        <w:ind w:firstLine="480"/>
        <w:outlineLvl w:val="9"/>
        <w:rPr>
          <w:rFonts w:ascii="宋体" w:hAnsi="宋体" w:cs="宋体"/>
          <w:bCs/>
          <w:color w:val="auto"/>
          <w:sz w:val="24"/>
          <w:highlight w:val="none"/>
        </w:rPr>
      </w:pPr>
      <w:r>
        <w:rPr>
          <w:rFonts w:hint="eastAsia" w:ascii="宋体" w:hAnsi="宋体" w:cs="宋体"/>
          <w:bCs/>
          <w:color w:val="auto"/>
          <w:sz w:val="24"/>
          <w:highlight w:val="none"/>
        </w:rPr>
        <w:t>23．不同投标供应商投标文件内容存在非正常一致、项目组成员或者联系人员出现同一人、投标文件中错误（或异常）一致或雷同、电子文档信息一致或雷同的；</w:t>
      </w:r>
    </w:p>
    <w:p>
      <w:pPr>
        <w:shd w:val="clear"/>
        <w:tabs>
          <w:tab w:val="left" w:pos="525"/>
          <w:tab w:val="left" w:pos="1050"/>
          <w:tab w:val="left" w:pos="1146"/>
          <w:tab w:val="left" w:pos="1254"/>
          <w:tab w:val="left" w:pos="1770"/>
        </w:tabs>
        <w:spacing w:line="360" w:lineRule="auto"/>
        <w:ind w:firstLine="480"/>
        <w:outlineLvl w:val="9"/>
        <w:rPr>
          <w:rFonts w:ascii="宋体" w:hAnsi="宋体" w:cs="宋体"/>
          <w:bCs/>
          <w:color w:val="auto"/>
          <w:sz w:val="24"/>
          <w:highlight w:val="none"/>
        </w:rPr>
      </w:pPr>
      <w:r>
        <w:rPr>
          <w:rFonts w:hint="eastAsia" w:ascii="宋体" w:hAnsi="宋体" w:cs="宋体"/>
          <w:bCs/>
          <w:color w:val="auto"/>
          <w:sz w:val="24"/>
          <w:highlight w:val="none"/>
        </w:rPr>
        <w:t>24．不同投标供应商的委托代理人、项目负责人以及其他相关人员有在同一个单位缴纳社会保险的；</w:t>
      </w:r>
    </w:p>
    <w:p>
      <w:pPr>
        <w:shd w:val="clear"/>
        <w:tabs>
          <w:tab w:val="left" w:pos="525"/>
          <w:tab w:val="left" w:pos="1050"/>
          <w:tab w:val="left" w:pos="1146"/>
          <w:tab w:val="left" w:pos="1254"/>
          <w:tab w:val="left" w:pos="1770"/>
        </w:tabs>
        <w:spacing w:line="360" w:lineRule="auto"/>
        <w:ind w:firstLine="480"/>
        <w:outlineLvl w:val="9"/>
        <w:rPr>
          <w:rFonts w:ascii="宋体" w:hAnsi="宋体" w:cs="宋体"/>
          <w:bCs/>
          <w:color w:val="auto"/>
          <w:sz w:val="24"/>
          <w:highlight w:val="none"/>
        </w:rPr>
      </w:pPr>
      <w:r>
        <w:rPr>
          <w:rFonts w:hint="eastAsia" w:ascii="宋体" w:hAnsi="宋体" w:cs="宋体"/>
          <w:bCs/>
          <w:color w:val="auto"/>
          <w:sz w:val="24"/>
          <w:highlight w:val="none"/>
        </w:rPr>
        <w:t>25．同一投标文件中单位名称落款与公章不是同一单位的；</w:t>
      </w:r>
    </w:p>
    <w:p>
      <w:pPr>
        <w:shd w:val="clear"/>
        <w:tabs>
          <w:tab w:val="left" w:pos="525"/>
          <w:tab w:val="left" w:pos="1050"/>
          <w:tab w:val="left" w:pos="1146"/>
          <w:tab w:val="left" w:pos="1254"/>
          <w:tab w:val="left" w:pos="1770"/>
        </w:tabs>
        <w:spacing w:line="360" w:lineRule="auto"/>
        <w:ind w:firstLine="480"/>
        <w:outlineLvl w:val="9"/>
        <w:rPr>
          <w:rFonts w:ascii="宋体" w:hAnsi="宋体" w:cs="宋体"/>
          <w:bCs/>
          <w:color w:val="auto"/>
          <w:sz w:val="24"/>
          <w:highlight w:val="none"/>
        </w:rPr>
      </w:pPr>
      <w:r>
        <w:rPr>
          <w:rFonts w:hint="eastAsia" w:ascii="宋体" w:hAnsi="宋体" w:cs="宋体"/>
          <w:bCs/>
          <w:color w:val="auto"/>
          <w:sz w:val="24"/>
          <w:highlight w:val="none"/>
        </w:rPr>
        <w:t>26．不同投标供应商委托同一单位或者个人办理投标事宜的；</w:t>
      </w:r>
    </w:p>
    <w:p>
      <w:pPr>
        <w:shd w:val="clear"/>
        <w:tabs>
          <w:tab w:val="left" w:pos="525"/>
          <w:tab w:val="left" w:pos="1050"/>
          <w:tab w:val="left" w:pos="1146"/>
          <w:tab w:val="left" w:pos="1254"/>
          <w:tab w:val="left" w:pos="1770"/>
        </w:tabs>
        <w:spacing w:line="360" w:lineRule="auto"/>
        <w:ind w:firstLine="480"/>
        <w:outlineLvl w:val="9"/>
        <w:rPr>
          <w:rFonts w:ascii="宋体" w:hAnsi="宋体" w:cs="宋体"/>
          <w:bCs/>
          <w:color w:val="auto"/>
          <w:sz w:val="24"/>
          <w:highlight w:val="none"/>
        </w:rPr>
      </w:pPr>
      <w:r>
        <w:rPr>
          <w:rFonts w:hint="eastAsia" w:ascii="宋体" w:hAnsi="宋体" w:cs="宋体"/>
          <w:bCs/>
          <w:color w:val="auto"/>
          <w:sz w:val="24"/>
          <w:highlight w:val="none"/>
        </w:rPr>
        <w:t>27．投标文件内容不全或不符合法律法规和招标文件中规定的其他实质性要求的。</w:t>
      </w:r>
    </w:p>
    <w:p>
      <w:pPr>
        <w:shd w:val="clear"/>
        <w:tabs>
          <w:tab w:val="left" w:pos="525"/>
          <w:tab w:val="left" w:pos="1050"/>
          <w:tab w:val="left" w:pos="1146"/>
          <w:tab w:val="left" w:pos="1254"/>
          <w:tab w:val="left" w:pos="1770"/>
        </w:tabs>
        <w:spacing w:line="360" w:lineRule="auto"/>
        <w:ind w:firstLine="480"/>
        <w:outlineLvl w:val="9"/>
        <w:rPr>
          <w:rFonts w:ascii="宋体" w:hAnsi="宋体" w:cs="宋体"/>
          <w:bCs/>
          <w:color w:val="auto"/>
          <w:sz w:val="24"/>
          <w:highlight w:val="none"/>
        </w:rPr>
      </w:pPr>
      <w:r>
        <w:rPr>
          <w:rFonts w:hint="eastAsia" w:ascii="宋体" w:hAnsi="宋体" w:cs="宋体"/>
          <w:bCs/>
          <w:color w:val="auto"/>
          <w:sz w:val="24"/>
          <w:highlight w:val="none"/>
        </w:rPr>
        <w:t>28．不同</w:t>
      </w:r>
      <w:r>
        <w:rPr>
          <w:rFonts w:hint="eastAsia" w:ascii="宋体" w:hAnsi="宋体" w:cs="宋体"/>
          <w:bCs/>
          <w:color w:val="auto"/>
          <w:sz w:val="24"/>
          <w:highlight w:val="none"/>
          <w:lang w:eastAsia="zh-CN"/>
        </w:rPr>
        <w:t>投标供应商</w:t>
      </w:r>
      <w:r>
        <w:rPr>
          <w:rFonts w:hint="eastAsia" w:ascii="宋体" w:hAnsi="宋体" w:cs="宋体"/>
          <w:bCs/>
          <w:color w:val="auto"/>
          <w:sz w:val="24"/>
          <w:highlight w:val="none"/>
        </w:rPr>
        <w:t>的投标文件由同一台电脑编制或者同一把数字证书加密锁加密或者同一台附属设备打印的；</w:t>
      </w:r>
    </w:p>
    <w:p>
      <w:pPr>
        <w:shd w:val="clear"/>
        <w:tabs>
          <w:tab w:val="left" w:pos="525"/>
          <w:tab w:val="left" w:pos="1050"/>
          <w:tab w:val="left" w:pos="1146"/>
          <w:tab w:val="left" w:pos="1254"/>
          <w:tab w:val="left" w:pos="1770"/>
        </w:tabs>
        <w:spacing w:line="360" w:lineRule="auto"/>
        <w:ind w:firstLine="480"/>
        <w:outlineLvl w:val="9"/>
        <w:rPr>
          <w:rFonts w:ascii="宋体" w:hAnsi="宋体" w:cs="宋体"/>
          <w:bCs/>
          <w:color w:val="auto"/>
          <w:sz w:val="24"/>
          <w:highlight w:val="none"/>
        </w:rPr>
      </w:pPr>
      <w:r>
        <w:rPr>
          <w:rFonts w:hint="eastAsia" w:ascii="宋体" w:hAnsi="宋体" w:cs="宋体"/>
          <w:bCs/>
          <w:color w:val="auto"/>
          <w:sz w:val="24"/>
          <w:highlight w:val="none"/>
        </w:rPr>
        <w:t>29.不同</w:t>
      </w:r>
      <w:r>
        <w:rPr>
          <w:rFonts w:hint="eastAsia" w:ascii="宋体" w:hAnsi="宋体" w:cs="宋体"/>
          <w:bCs/>
          <w:color w:val="auto"/>
          <w:sz w:val="24"/>
          <w:highlight w:val="none"/>
          <w:lang w:eastAsia="zh-CN"/>
        </w:rPr>
        <w:t>投标供应商</w:t>
      </w:r>
      <w:r>
        <w:rPr>
          <w:rFonts w:hint="eastAsia" w:ascii="宋体" w:hAnsi="宋体" w:cs="宋体"/>
          <w:bCs/>
          <w:color w:val="auto"/>
          <w:sz w:val="24"/>
          <w:highlight w:val="none"/>
        </w:rPr>
        <w:t>的投标文件上传使用的MAC地址和IP地址一致的，其投标无效；</w:t>
      </w:r>
    </w:p>
    <w:p>
      <w:pPr>
        <w:shd w:val="clear"/>
        <w:tabs>
          <w:tab w:val="left" w:pos="525"/>
          <w:tab w:val="left" w:pos="1050"/>
          <w:tab w:val="left" w:pos="1146"/>
          <w:tab w:val="left" w:pos="1254"/>
          <w:tab w:val="left" w:pos="1770"/>
        </w:tabs>
        <w:spacing w:line="360" w:lineRule="auto"/>
        <w:ind w:firstLine="480"/>
        <w:outlineLvl w:val="9"/>
        <w:rPr>
          <w:rFonts w:ascii="宋体" w:hAnsi="宋体" w:cs="宋体"/>
          <w:bCs/>
          <w:color w:val="auto"/>
          <w:sz w:val="24"/>
          <w:highlight w:val="none"/>
        </w:rPr>
      </w:pPr>
      <w:r>
        <w:rPr>
          <w:rFonts w:hint="eastAsia" w:ascii="宋体" w:hAnsi="宋体" w:cs="宋体"/>
          <w:bCs/>
          <w:color w:val="auto"/>
          <w:sz w:val="24"/>
          <w:highlight w:val="none"/>
        </w:rPr>
        <w:t>30.电子投标文件与招标文件要求格式不一致而无法导入计算机评标系统；</w:t>
      </w:r>
    </w:p>
    <w:p>
      <w:pPr>
        <w:shd w:val="clear"/>
        <w:tabs>
          <w:tab w:val="left" w:pos="525"/>
          <w:tab w:val="left" w:pos="1050"/>
          <w:tab w:val="left" w:pos="1146"/>
          <w:tab w:val="left" w:pos="1254"/>
          <w:tab w:val="left" w:pos="1770"/>
        </w:tabs>
        <w:spacing w:line="360" w:lineRule="auto"/>
        <w:ind w:firstLine="480"/>
        <w:outlineLvl w:val="9"/>
        <w:rPr>
          <w:rFonts w:ascii="宋体" w:hAnsi="宋体" w:cs="宋体"/>
          <w:bCs/>
          <w:color w:val="auto"/>
          <w:sz w:val="24"/>
          <w:highlight w:val="none"/>
        </w:rPr>
      </w:pPr>
      <w:r>
        <w:rPr>
          <w:rFonts w:hint="eastAsia" w:ascii="宋体" w:hAnsi="宋体" w:cs="宋体"/>
          <w:bCs/>
          <w:color w:val="auto"/>
          <w:sz w:val="24"/>
          <w:highlight w:val="none"/>
        </w:rPr>
        <w:t>31.启用投标文件电子文本的项目，</w:t>
      </w:r>
      <w:r>
        <w:rPr>
          <w:rFonts w:hint="eastAsia" w:ascii="宋体" w:hAnsi="宋体" w:cs="宋体"/>
          <w:bCs/>
          <w:color w:val="auto"/>
          <w:sz w:val="24"/>
          <w:highlight w:val="none"/>
          <w:lang w:eastAsia="zh-CN"/>
        </w:rPr>
        <w:t>投标供应商</w:t>
      </w:r>
      <w:r>
        <w:rPr>
          <w:rFonts w:hint="eastAsia" w:ascii="宋体" w:hAnsi="宋体" w:cs="宋体"/>
          <w:bCs/>
          <w:color w:val="auto"/>
          <w:sz w:val="24"/>
          <w:highlight w:val="none"/>
        </w:rPr>
        <w:t>因自身原因造成投标文件电子文本无法导入应急开评标系统的。</w:t>
      </w:r>
    </w:p>
    <w:p>
      <w:pPr>
        <w:shd w:val="clear"/>
        <w:tabs>
          <w:tab w:val="left" w:pos="525"/>
          <w:tab w:val="left" w:pos="1050"/>
          <w:tab w:val="left" w:pos="1146"/>
          <w:tab w:val="left" w:pos="1254"/>
          <w:tab w:val="left" w:pos="1770"/>
        </w:tabs>
        <w:spacing w:line="360" w:lineRule="auto"/>
        <w:ind w:firstLine="480"/>
        <w:outlineLvl w:val="9"/>
        <w:rPr>
          <w:rFonts w:ascii="宋体" w:hAnsi="宋体" w:cs="宋体"/>
          <w:bCs/>
          <w:color w:val="auto"/>
          <w:sz w:val="24"/>
          <w:highlight w:val="none"/>
        </w:rPr>
      </w:pPr>
      <w:r>
        <w:rPr>
          <w:rFonts w:hint="eastAsia" w:ascii="宋体" w:hAnsi="宋体" w:cs="宋体"/>
          <w:bCs/>
          <w:color w:val="auto"/>
          <w:sz w:val="24"/>
          <w:highlight w:val="none"/>
        </w:rPr>
        <w:t xml:space="preserve">32. </w:t>
      </w:r>
      <w:r>
        <w:rPr>
          <w:rFonts w:hint="eastAsia" w:ascii="宋体" w:hAnsi="宋体" w:cs="宋体"/>
          <w:bCs/>
          <w:color w:val="auto"/>
          <w:sz w:val="24"/>
          <w:highlight w:val="none"/>
          <w:lang w:eastAsia="zh-CN"/>
        </w:rPr>
        <w:t>投标供应商</w:t>
      </w:r>
      <w:r>
        <w:rPr>
          <w:rFonts w:hint="eastAsia" w:ascii="宋体" w:hAnsi="宋体" w:cs="宋体"/>
          <w:bCs/>
          <w:color w:val="auto"/>
          <w:sz w:val="24"/>
          <w:highlight w:val="none"/>
        </w:rPr>
        <w:t>为分支机构，无委托投标授权书的；</w:t>
      </w:r>
    </w:p>
    <w:p>
      <w:pPr>
        <w:shd w:val="clear"/>
        <w:spacing w:line="420" w:lineRule="exact"/>
        <w:ind w:left="-2" w:firstLine="420"/>
        <w:outlineLvl w:val="9"/>
        <w:rPr>
          <w:rFonts w:ascii="宋体" w:hAnsi="宋体" w:cs="宋体"/>
          <w:bCs/>
          <w:color w:val="auto"/>
          <w:sz w:val="24"/>
          <w:highlight w:val="none"/>
        </w:rPr>
      </w:pPr>
      <w:r>
        <w:rPr>
          <w:rFonts w:hint="eastAsia" w:ascii="宋体" w:hAnsi="宋体" w:cs="宋体"/>
          <w:bCs/>
          <w:color w:val="auto"/>
          <w:sz w:val="24"/>
          <w:highlight w:val="none"/>
        </w:rPr>
        <w:t>（九） 开标、评标：</w:t>
      </w:r>
    </w:p>
    <w:p>
      <w:pPr>
        <w:pStyle w:val="132"/>
        <w:shd w:val="clear"/>
        <w:spacing w:line="360" w:lineRule="auto"/>
        <w:ind w:firstLine="480"/>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1．所有投标单位在</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规定的时间内解密各自投标文件。</w:t>
      </w:r>
    </w:p>
    <w:p>
      <w:pPr>
        <w:pStyle w:val="132"/>
        <w:shd w:val="clear"/>
        <w:spacing w:line="360" w:lineRule="auto"/>
        <w:ind w:firstLine="480"/>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2．解密时，供应商须自行准备设备（包括但不限于笔记本电脑、无线网络）登录“江苏省政府采购（苏采云）平台”，按</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规定时间解密后，在评审过程中保持在线，等待评标委员会的询问，并等待评审结果，中途不得离开。如未按要求应答，由此所产生的损失及风险由供应商自行承担。</w:t>
      </w:r>
    </w:p>
    <w:p>
      <w:pPr>
        <w:pStyle w:val="132"/>
        <w:shd w:val="clear"/>
        <w:spacing w:line="360" w:lineRule="auto"/>
        <w:ind w:firstLine="480"/>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3．投标截止时间后参加投标的供应商或解密投标文件的供应商不足三家的，不开标；开标后，所有投标供应商可在线上开标大厅中看到所有</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的投标报价。</w:t>
      </w:r>
    </w:p>
    <w:p>
      <w:pPr>
        <w:pStyle w:val="132"/>
        <w:shd w:val="clear"/>
        <w:spacing w:line="360" w:lineRule="auto"/>
        <w:ind w:firstLine="480"/>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4．投标文件的审查</w:t>
      </w:r>
    </w:p>
    <w:p>
      <w:pPr>
        <w:pStyle w:val="132"/>
        <w:shd w:val="clear"/>
        <w:spacing w:line="360" w:lineRule="auto"/>
        <w:ind w:firstLine="480"/>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投标文件报价出现前后不一致的，按照下列规定修正： </w:t>
      </w:r>
    </w:p>
    <w:p>
      <w:pPr>
        <w:pStyle w:val="132"/>
        <w:shd w:val="clear"/>
        <w:spacing w:line="360" w:lineRule="auto"/>
        <w:ind w:firstLine="480"/>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①投标文件中开标一览表（报价表）内容与投标文件中相应内容不一致的，以开标一览表（报价表）为准；</w:t>
      </w:r>
    </w:p>
    <w:p>
      <w:pPr>
        <w:pStyle w:val="132"/>
        <w:shd w:val="clear"/>
        <w:spacing w:line="360" w:lineRule="auto"/>
        <w:ind w:firstLine="480"/>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②大写金额和小写金额不一致的，以大写金额为准；</w:t>
      </w:r>
    </w:p>
    <w:p>
      <w:pPr>
        <w:pStyle w:val="132"/>
        <w:shd w:val="clear"/>
        <w:spacing w:line="360" w:lineRule="auto"/>
        <w:ind w:firstLine="480"/>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③单价金额小数点或者百分比有明显错位的，以开标一览表的总价为准，并修改单价；</w:t>
      </w:r>
    </w:p>
    <w:p>
      <w:pPr>
        <w:pStyle w:val="132"/>
        <w:shd w:val="clear"/>
        <w:spacing w:line="360" w:lineRule="auto"/>
        <w:ind w:firstLine="480"/>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④总价金额与按单价汇总金额不一致的，以单价金额计算结果为准。</w:t>
      </w:r>
    </w:p>
    <w:p>
      <w:pPr>
        <w:pStyle w:val="132"/>
        <w:shd w:val="clear"/>
        <w:spacing w:line="360" w:lineRule="auto"/>
        <w:ind w:firstLine="480"/>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⑤同时出现两种以上不一致的，按照上述①-④款规定的顺序修正。修正后的报价经供应商书面澄清、说明或者补正，并加盖供应商公章，或者</w:t>
      </w:r>
      <w:r>
        <w:rPr>
          <w:rFonts w:hint="eastAsia" w:ascii="宋体" w:hAnsi="宋体" w:eastAsia="宋体" w:cs="宋体"/>
          <w:color w:val="auto"/>
          <w:sz w:val="24"/>
          <w:szCs w:val="24"/>
          <w:highlight w:val="none"/>
          <w:lang w:eastAsia="zh-CN"/>
        </w:rPr>
        <w:t>由</w:t>
      </w:r>
      <w:r>
        <w:rPr>
          <w:rFonts w:hint="eastAsia" w:ascii="宋体" w:hAnsi="宋体" w:eastAsia="宋体" w:cs="宋体"/>
          <w:color w:val="auto"/>
          <w:sz w:val="24"/>
          <w:szCs w:val="24"/>
          <w:highlight w:val="none"/>
        </w:rPr>
        <w:t>法定代表人或其授权的代表签字作为确认后产生约束力，供应商不确认的，其投标无效。</w:t>
      </w:r>
    </w:p>
    <w:p>
      <w:pPr>
        <w:pStyle w:val="132"/>
        <w:shd w:val="clear"/>
        <w:spacing w:line="360" w:lineRule="auto"/>
        <w:ind w:firstLine="480"/>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(2)电子投标文件与纸质投标文件（如有）不符的，以电子投标文件为准。</w:t>
      </w:r>
    </w:p>
    <w:p>
      <w:pPr>
        <w:pStyle w:val="132"/>
        <w:shd w:val="clear"/>
        <w:spacing w:line="360" w:lineRule="auto"/>
        <w:ind w:firstLine="480"/>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未参加开标的，视同认可开标结果。</w:t>
      </w:r>
    </w:p>
    <w:p>
      <w:pPr>
        <w:pStyle w:val="132"/>
        <w:shd w:val="clear"/>
        <w:spacing w:line="360" w:lineRule="auto"/>
        <w:ind w:firstLine="480"/>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5．评标程序</w:t>
      </w:r>
    </w:p>
    <w:p>
      <w:pPr>
        <w:pStyle w:val="132"/>
        <w:shd w:val="clear"/>
        <w:spacing w:line="360" w:lineRule="auto"/>
        <w:ind w:firstLine="480"/>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评标工作由代理人员负责组织，具体评标事务由依法组建的评标委员会负责。</w:t>
      </w:r>
    </w:p>
    <w:p>
      <w:pPr>
        <w:pStyle w:val="132"/>
        <w:shd w:val="clear"/>
        <w:spacing w:line="360" w:lineRule="auto"/>
        <w:ind w:firstLine="480"/>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(1)投标文件初审。初审分为资格性检查和符合性检查。</w:t>
      </w:r>
    </w:p>
    <w:p>
      <w:pPr>
        <w:shd w:val="clear"/>
        <w:tabs>
          <w:tab w:val="left" w:pos="525"/>
          <w:tab w:val="left" w:pos="945"/>
        </w:tabs>
        <w:spacing w:line="360" w:lineRule="auto"/>
        <w:ind w:firstLine="480"/>
        <w:outlineLvl w:val="9"/>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A．资格性检查。采购人</w:t>
      </w:r>
      <w:r>
        <w:rPr>
          <w:rFonts w:hint="eastAsia" w:ascii="宋体" w:hAnsi="宋体" w:eastAsia="宋体" w:cs="Times New Roman"/>
          <w:bCs/>
          <w:color w:val="auto"/>
          <w:sz w:val="24"/>
          <w:highlight w:val="none"/>
          <w:lang w:val="en-US" w:eastAsia="zh-CN"/>
        </w:rPr>
        <w:t>或招标代理机构</w:t>
      </w:r>
      <w:r>
        <w:rPr>
          <w:rFonts w:hint="eastAsia" w:ascii="宋体" w:hAnsi="宋体" w:eastAsia="宋体" w:cs="Times New Roman"/>
          <w:bCs/>
          <w:color w:val="auto"/>
          <w:sz w:val="24"/>
          <w:highlight w:val="none"/>
        </w:rPr>
        <w:t>依据法律法规和招标文件的规定，对投标文件中的资格证明、投标（报价）承诺函等进行审查；通过“信用中国”网站（www.creditchina.gov.cn）、中国政府采购网（www.ccgp.gov.cn）查询</w:t>
      </w:r>
      <w:r>
        <w:rPr>
          <w:rFonts w:hint="eastAsia" w:ascii="宋体" w:hAnsi="宋体" w:eastAsia="宋体" w:cs="Times New Roman"/>
          <w:bCs/>
          <w:color w:val="auto"/>
          <w:sz w:val="24"/>
          <w:highlight w:val="none"/>
          <w:lang w:eastAsia="zh-CN"/>
        </w:rPr>
        <w:t>投标供应商</w:t>
      </w:r>
      <w:r>
        <w:rPr>
          <w:rFonts w:hint="eastAsia" w:ascii="宋体" w:hAnsi="宋体" w:eastAsia="宋体" w:cs="Times New Roman"/>
          <w:bCs/>
          <w:color w:val="auto"/>
          <w:sz w:val="24"/>
          <w:highlight w:val="none"/>
        </w:rPr>
        <w:t>在投标截止时间之前，是否被列入失信被执行人、重大税收违法失信主体、政府采购严重违法失信行为记录名单，以确定</w:t>
      </w:r>
      <w:r>
        <w:rPr>
          <w:rFonts w:hint="eastAsia" w:ascii="宋体" w:hAnsi="宋体" w:eastAsia="宋体" w:cs="Times New Roman"/>
          <w:bCs/>
          <w:color w:val="auto"/>
          <w:sz w:val="24"/>
          <w:highlight w:val="none"/>
          <w:lang w:eastAsia="zh-CN"/>
        </w:rPr>
        <w:t>投标供应商</w:t>
      </w:r>
      <w:r>
        <w:rPr>
          <w:rFonts w:hint="eastAsia" w:ascii="宋体" w:hAnsi="宋体" w:eastAsia="宋体" w:cs="Times New Roman"/>
          <w:bCs/>
          <w:color w:val="auto"/>
          <w:sz w:val="24"/>
          <w:highlight w:val="none"/>
        </w:rPr>
        <w:t>是否具备投标资格。信用查询结果以网页打印的形式留存并归档。</w:t>
      </w:r>
    </w:p>
    <w:p>
      <w:pPr>
        <w:shd w:val="clear"/>
        <w:tabs>
          <w:tab w:val="left" w:pos="525"/>
          <w:tab w:val="left" w:pos="945"/>
        </w:tabs>
        <w:spacing w:line="360" w:lineRule="auto"/>
        <w:ind w:firstLine="480"/>
        <w:jc w:val="center"/>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资格性审查表</w:t>
      </w:r>
    </w:p>
    <w:tbl>
      <w:tblPr>
        <w:tblStyle w:val="82"/>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ign w:val="center"/>
          </w:tcPr>
          <w:p>
            <w:pPr>
              <w:pStyle w:val="275"/>
              <w:widowControl w:val="0"/>
              <w:shd w:val="clear"/>
              <w:spacing w:before="0" w:after="0" w:line="240" w:lineRule="auto"/>
              <w:ind w:firstLine="0"/>
              <w:jc w:val="center"/>
              <w:outlineLvl w:val="9"/>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序号</w:t>
            </w:r>
          </w:p>
        </w:tc>
        <w:tc>
          <w:tcPr>
            <w:tcW w:w="6104" w:type="dxa"/>
            <w:noWrap/>
            <w:vAlign w:val="center"/>
          </w:tcPr>
          <w:p>
            <w:pPr>
              <w:pStyle w:val="275"/>
              <w:widowControl w:val="0"/>
              <w:shd w:val="clear"/>
              <w:spacing w:before="0" w:after="0" w:line="240" w:lineRule="auto"/>
              <w:ind w:firstLine="480"/>
              <w:jc w:val="center"/>
              <w:outlineLvl w:val="9"/>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评审项目及评审要求</w:t>
            </w:r>
          </w:p>
        </w:tc>
        <w:tc>
          <w:tcPr>
            <w:tcW w:w="2449" w:type="dxa"/>
            <w:noWrap/>
            <w:vAlign w:val="center"/>
          </w:tcPr>
          <w:p>
            <w:pPr>
              <w:pStyle w:val="275"/>
              <w:widowControl w:val="0"/>
              <w:shd w:val="clear"/>
              <w:spacing w:before="0" w:after="0" w:line="240" w:lineRule="auto"/>
              <w:ind w:firstLine="0"/>
              <w:jc w:val="center"/>
              <w:outlineLvl w:val="9"/>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审查因素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2" w:hRule="atLeast"/>
          <w:jc w:val="center"/>
        </w:trPr>
        <w:tc>
          <w:tcPr>
            <w:tcW w:w="719" w:type="dxa"/>
            <w:noWrap/>
            <w:vAlign w:val="center"/>
          </w:tcPr>
          <w:p>
            <w:pPr>
              <w:pStyle w:val="275"/>
              <w:widowControl w:val="0"/>
              <w:shd w:val="clear"/>
              <w:spacing w:before="0" w:after="0" w:line="240" w:lineRule="auto"/>
              <w:ind w:firstLine="0"/>
              <w:jc w:val="center"/>
              <w:outlineLvl w:val="9"/>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w:t>
            </w:r>
          </w:p>
        </w:tc>
        <w:tc>
          <w:tcPr>
            <w:tcW w:w="6104" w:type="dxa"/>
            <w:noWrap/>
            <w:vAlign w:val="center"/>
          </w:tcPr>
          <w:p>
            <w:pPr>
              <w:widowControl w:val="0"/>
              <w:shd w:val="clear"/>
              <w:tabs>
                <w:tab w:val="left" w:pos="426"/>
              </w:tabs>
              <w:spacing w:line="240" w:lineRule="auto"/>
              <w:ind w:firstLine="0"/>
              <w:jc w:val="both"/>
              <w:outlineLvl w:val="9"/>
              <w:rPr>
                <w:rFonts w:ascii="宋体" w:hAnsi="宋体" w:eastAsia="宋体" w:cs="宋体"/>
                <w:b w:val="0"/>
                <w:bCs w:val="0"/>
                <w:color w:val="auto"/>
                <w:sz w:val="21"/>
                <w:szCs w:val="24"/>
                <w:highlight w:val="none"/>
                <w:lang w:val="en-US" w:eastAsia="zh-CN" w:bidi="ar-SA"/>
              </w:rPr>
            </w:pPr>
            <w:r>
              <w:rPr>
                <w:rFonts w:hint="eastAsia" w:ascii="宋体" w:hAnsi="宋体" w:eastAsia="Arial" w:cs="宋体"/>
                <w:b w:val="0"/>
                <w:bCs w:val="0"/>
                <w:color w:val="auto"/>
                <w:sz w:val="24"/>
                <w:szCs w:val="24"/>
                <w:highlight w:val="none"/>
                <w:lang w:val="en-US" w:eastAsia="zh-CN" w:bidi="ar-SA"/>
              </w:rPr>
              <w:t>关于资格的声明函（格式见附件）；</w:t>
            </w:r>
          </w:p>
        </w:tc>
        <w:tc>
          <w:tcPr>
            <w:tcW w:w="2449" w:type="dxa"/>
            <w:vMerge w:val="restart"/>
            <w:noWrap/>
            <w:vAlign w:val="center"/>
          </w:tcPr>
          <w:p>
            <w:pPr>
              <w:pStyle w:val="275"/>
              <w:widowControl w:val="0"/>
              <w:shd w:val="clear"/>
              <w:spacing w:before="0" w:after="0" w:line="240" w:lineRule="auto"/>
              <w:ind w:firstLine="0"/>
              <w:jc w:val="left"/>
              <w:outlineLvl w:val="9"/>
              <w:rPr>
                <w:rFonts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满足《中华人民共和国政府采购法》第二十二条规定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noWrap/>
            <w:vAlign w:val="center"/>
          </w:tcPr>
          <w:p>
            <w:pPr>
              <w:pStyle w:val="275"/>
              <w:widowControl w:val="0"/>
              <w:shd w:val="clear"/>
              <w:spacing w:before="0" w:after="0" w:line="240" w:lineRule="auto"/>
              <w:ind w:firstLine="0"/>
              <w:jc w:val="center"/>
              <w:outlineLvl w:val="9"/>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w:t>
            </w:r>
          </w:p>
        </w:tc>
        <w:tc>
          <w:tcPr>
            <w:tcW w:w="6104" w:type="dxa"/>
            <w:noWrap/>
            <w:vAlign w:val="center"/>
          </w:tcPr>
          <w:p>
            <w:pPr>
              <w:pStyle w:val="275"/>
              <w:widowControl w:val="0"/>
              <w:shd w:val="clear"/>
              <w:spacing w:before="0" w:after="0" w:line="240" w:lineRule="auto"/>
              <w:ind w:firstLine="0"/>
              <w:jc w:val="both"/>
              <w:outlineLvl w:val="9"/>
              <w:rPr>
                <w:rFonts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具有独立承担民事责任能力的投标供应商营业执照或相关部门登记的证明文件（提供扫描件）；</w:t>
            </w:r>
          </w:p>
        </w:tc>
        <w:tc>
          <w:tcPr>
            <w:tcW w:w="2449" w:type="dxa"/>
            <w:vMerge w:val="continue"/>
            <w:noWrap/>
            <w:vAlign w:val="center"/>
          </w:tcPr>
          <w:p>
            <w:pPr>
              <w:pStyle w:val="275"/>
              <w:widowControl w:val="0"/>
              <w:shd w:val="clear"/>
              <w:spacing w:before="0" w:after="0" w:line="240" w:lineRule="auto"/>
              <w:ind w:firstLine="0"/>
              <w:jc w:val="left"/>
              <w:outlineLvl w:val="9"/>
              <w:rPr>
                <w:rFonts w:ascii="宋体" w:hAnsi="宋体" w:eastAsia="宋体" w:cs="宋体"/>
                <w:b w:val="0"/>
                <w:bCs w:val="0"/>
                <w:color w:val="auto"/>
                <w:sz w:val="24"/>
                <w:szCs w:val="24"/>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10" w:hRule="atLeast"/>
          <w:jc w:val="center"/>
        </w:trPr>
        <w:tc>
          <w:tcPr>
            <w:tcW w:w="719" w:type="dxa"/>
            <w:noWrap/>
            <w:vAlign w:val="center"/>
          </w:tcPr>
          <w:p>
            <w:pPr>
              <w:pStyle w:val="275"/>
              <w:widowControl w:val="0"/>
              <w:shd w:val="clear"/>
              <w:spacing w:before="0" w:after="0" w:line="240" w:lineRule="auto"/>
              <w:ind w:firstLine="0"/>
              <w:jc w:val="center"/>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w:t>
            </w:r>
          </w:p>
        </w:tc>
        <w:tc>
          <w:tcPr>
            <w:tcW w:w="6104" w:type="dxa"/>
            <w:noWrap/>
            <w:vAlign w:val="center"/>
          </w:tcPr>
          <w:p>
            <w:pPr>
              <w:widowControl w:val="0"/>
              <w:shd w:val="clear"/>
              <w:tabs>
                <w:tab w:val="left" w:pos="0"/>
              </w:tabs>
              <w:spacing w:line="240" w:lineRule="auto"/>
              <w:ind w:firstLine="0"/>
              <w:jc w:val="both"/>
              <w:outlineLvl w:val="9"/>
              <w:rPr>
                <w:rFonts w:ascii="宋体" w:hAnsi="宋体" w:eastAsia="宋体" w:cs="宋体"/>
                <w:b w:val="0"/>
                <w:bCs w:val="0"/>
                <w:color w:val="auto"/>
                <w:sz w:val="21"/>
                <w:szCs w:val="24"/>
                <w:highlight w:val="none"/>
                <w:lang w:val="en-US" w:eastAsia="zh-CN" w:bidi="ar-SA"/>
              </w:rPr>
            </w:pPr>
            <w:r>
              <w:rPr>
                <w:rFonts w:hint="eastAsia" w:ascii="宋体" w:hAnsi="宋体" w:eastAsia="Arial" w:cs="宋体"/>
                <w:b w:val="0"/>
                <w:bCs w:val="0"/>
                <w:color w:val="auto"/>
                <w:sz w:val="24"/>
                <w:szCs w:val="24"/>
                <w:highlight w:val="none"/>
                <w:lang w:val="en-US" w:eastAsia="zh-CN" w:bidi="ar-SA"/>
              </w:rPr>
              <w:t>投标供应商法定代表人授权委托书（法定代表人亲自参与投标的除外，格式见附件）；</w:t>
            </w:r>
          </w:p>
        </w:tc>
        <w:tc>
          <w:tcPr>
            <w:tcW w:w="2449" w:type="dxa"/>
            <w:vMerge w:val="continue"/>
            <w:noWrap/>
            <w:vAlign w:val="center"/>
          </w:tcPr>
          <w:p>
            <w:pPr>
              <w:pStyle w:val="275"/>
              <w:widowControl w:val="0"/>
              <w:shd w:val="clear"/>
              <w:spacing w:before="0" w:after="0" w:line="240" w:lineRule="auto"/>
              <w:ind w:firstLine="0"/>
              <w:jc w:val="left"/>
              <w:outlineLvl w:val="9"/>
              <w:rPr>
                <w:rFonts w:ascii="宋体" w:hAnsi="宋体" w:eastAsia="宋体" w:cs="宋体"/>
                <w:b w:val="0"/>
                <w:bCs w:val="0"/>
                <w:color w:val="auto"/>
                <w:sz w:val="24"/>
                <w:szCs w:val="24"/>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6" w:hRule="atLeast"/>
          <w:jc w:val="center"/>
        </w:trPr>
        <w:tc>
          <w:tcPr>
            <w:tcW w:w="719" w:type="dxa"/>
            <w:noWrap/>
            <w:vAlign w:val="center"/>
          </w:tcPr>
          <w:p>
            <w:pPr>
              <w:pStyle w:val="275"/>
              <w:widowControl w:val="0"/>
              <w:shd w:val="clear"/>
              <w:spacing w:before="0" w:after="0" w:line="240" w:lineRule="auto"/>
              <w:ind w:firstLine="0"/>
              <w:jc w:val="center"/>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w:t>
            </w:r>
          </w:p>
        </w:tc>
        <w:tc>
          <w:tcPr>
            <w:tcW w:w="6104" w:type="dxa"/>
            <w:noWrap/>
            <w:vAlign w:val="center"/>
          </w:tcPr>
          <w:p>
            <w:pPr>
              <w:widowControl w:val="0"/>
              <w:shd w:val="clear"/>
              <w:tabs>
                <w:tab w:val="left" w:pos="0"/>
              </w:tabs>
              <w:jc w:val="both"/>
              <w:outlineLvl w:val="9"/>
              <w:rPr>
                <w:rFonts w:ascii="宋体" w:hAnsi="宋体" w:eastAsia="宋体" w:cs="宋体"/>
                <w:b w:val="0"/>
                <w:bCs w:val="0"/>
                <w:color w:val="auto"/>
                <w:sz w:val="21"/>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投标供应商法定代表人身份证及法定代表人授权代表身份证（提供正、反面扫描件）；</w:t>
            </w:r>
          </w:p>
        </w:tc>
        <w:tc>
          <w:tcPr>
            <w:tcW w:w="2449" w:type="dxa"/>
            <w:vMerge w:val="continue"/>
            <w:noWrap/>
            <w:vAlign w:val="center"/>
          </w:tcPr>
          <w:p>
            <w:pPr>
              <w:pStyle w:val="275"/>
              <w:widowControl w:val="0"/>
              <w:shd w:val="clear"/>
              <w:spacing w:before="0" w:after="0" w:line="240" w:lineRule="auto"/>
              <w:ind w:firstLine="0"/>
              <w:jc w:val="left"/>
              <w:outlineLvl w:val="9"/>
              <w:rPr>
                <w:rFonts w:ascii="宋体" w:hAnsi="宋体" w:eastAsia="宋体" w:cs="宋体"/>
                <w:b w:val="0"/>
                <w:bCs w:val="0"/>
                <w:color w:val="auto"/>
                <w:sz w:val="24"/>
                <w:szCs w:val="24"/>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noWrap/>
            <w:vAlign w:val="center"/>
          </w:tcPr>
          <w:p>
            <w:pPr>
              <w:pStyle w:val="275"/>
              <w:widowControl w:val="0"/>
              <w:shd w:val="clear"/>
              <w:spacing w:before="0" w:after="0" w:line="240" w:lineRule="auto"/>
              <w:ind w:firstLine="0"/>
              <w:jc w:val="center"/>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w:t>
            </w:r>
          </w:p>
        </w:tc>
        <w:tc>
          <w:tcPr>
            <w:tcW w:w="6104" w:type="dxa"/>
            <w:noWrap/>
            <w:vAlign w:val="center"/>
          </w:tcPr>
          <w:p>
            <w:pPr>
              <w:pStyle w:val="275"/>
              <w:widowControl w:val="0"/>
              <w:shd w:val="clear"/>
              <w:spacing w:before="0" w:after="0" w:line="240" w:lineRule="auto"/>
              <w:ind w:firstLine="0"/>
              <w:jc w:val="both"/>
              <w:outlineLvl w:val="9"/>
              <w:rPr>
                <w:rFonts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投标供应商拟派的授权代理人由法定的社保收缴部门出具近一年中任意一个月份的投标供应商依法为其缴纳社会保险证明扫描件；（由相关主管部门出具，如投标供应商成立时间迟于要求开始的时间，则时间要求为投标供应商成立时间至截止时间；法定代表人亲自参加投标的除外；社保缴费证明必须提交带有社保部门红章的或含有县（区）级及以上社保部门电子签章或带二维码验证的扫描件）；</w:t>
            </w:r>
          </w:p>
        </w:tc>
        <w:tc>
          <w:tcPr>
            <w:tcW w:w="2449" w:type="dxa"/>
            <w:vMerge w:val="continue"/>
            <w:noWrap/>
            <w:vAlign w:val="center"/>
          </w:tcPr>
          <w:p>
            <w:pPr>
              <w:pStyle w:val="275"/>
              <w:widowControl w:val="0"/>
              <w:shd w:val="clear"/>
              <w:spacing w:before="0" w:after="0" w:line="240" w:lineRule="auto"/>
              <w:ind w:firstLine="0"/>
              <w:jc w:val="left"/>
              <w:outlineLvl w:val="9"/>
              <w:rPr>
                <w:rFonts w:ascii="宋体" w:hAnsi="宋体" w:eastAsia="宋体" w:cs="宋体"/>
                <w:b w:val="0"/>
                <w:bCs w:val="0"/>
                <w:color w:val="auto"/>
                <w:sz w:val="24"/>
                <w:szCs w:val="24"/>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tcBorders>
              <w:bottom w:val="single" w:color="000000" w:sz="4" w:space="0"/>
            </w:tcBorders>
            <w:noWrap/>
            <w:vAlign w:val="center"/>
          </w:tcPr>
          <w:p>
            <w:pPr>
              <w:pStyle w:val="275"/>
              <w:widowControl w:val="0"/>
              <w:shd w:val="clear"/>
              <w:spacing w:before="0" w:after="0" w:line="240" w:lineRule="auto"/>
              <w:ind w:firstLine="0"/>
              <w:jc w:val="center"/>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w:t>
            </w:r>
          </w:p>
        </w:tc>
        <w:tc>
          <w:tcPr>
            <w:tcW w:w="6104" w:type="dxa"/>
            <w:tcBorders>
              <w:bottom w:val="single" w:color="000000" w:sz="4" w:space="0"/>
            </w:tcBorders>
            <w:noWrap/>
            <w:vAlign w:val="center"/>
          </w:tcPr>
          <w:p>
            <w:pPr>
              <w:widowControl w:val="0"/>
              <w:shd w:val="clear"/>
              <w:tabs>
                <w:tab w:val="left" w:pos="0"/>
              </w:tabs>
              <w:jc w:val="both"/>
              <w:outlineLvl w:val="9"/>
              <w:rPr>
                <w:rFonts w:ascii="宋体" w:hAnsi="宋体" w:eastAsia="宋体" w:cs="宋体"/>
                <w:b w:val="0"/>
                <w:bCs w:val="0"/>
                <w:color w:val="auto"/>
                <w:sz w:val="21"/>
                <w:szCs w:val="24"/>
                <w:highlight w:val="none"/>
                <w:lang w:val="en-US" w:eastAsia="zh-CN" w:bidi="ar-SA"/>
              </w:rPr>
            </w:pPr>
            <w:r>
              <w:rPr>
                <w:rFonts w:hint="eastAsia" w:ascii="宋体" w:hAnsi="宋体" w:eastAsia="Arial" w:cs="宋体"/>
                <w:b w:val="0"/>
                <w:bCs w:val="0"/>
                <w:color w:val="auto"/>
                <w:sz w:val="24"/>
                <w:szCs w:val="24"/>
                <w:highlight w:val="none"/>
                <w:lang w:val="en-US" w:eastAsia="zh-CN" w:bidi="ar-SA"/>
              </w:rPr>
              <w:t>投标供应商提供</w:t>
            </w:r>
            <w:r>
              <w:rPr>
                <w:rFonts w:hint="eastAsia" w:ascii="宋体" w:hAnsi="宋体" w:cs="宋体"/>
                <w:b w:val="0"/>
                <w:bCs w:val="0"/>
                <w:color w:val="auto"/>
                <w:sz w:val="24"/>
                <w:szCs w:val="24"/>
                <w:highlight w:val="none"/>
                <w:lang w:val="en-US" w:eastAsia="zh-CN" w:bidi="ar-SA"/>
              </w:rPr>
              <w:t>近一年中</w:t>
            </w:r>
            <w:r>
              <w:rPr>
                <w:rFonts w:hint="eastAsia" w:ascii="宋体" w:hAnsi="宋体" w:eastAsia="Arial" w:cs="宋体"/>
                <w:b w:val="0"/>
                <w:bCs w:val="0"/>
                <w:color w:val="auto"/>
                <w:sz w:val="24"/>
                <w:szCs w:val="24"/>
                <w:highlight w:val="none"/>
                <w:lang w:val="en-US" w:eastAsia="zh-CN" w:bidi="ar-SA"/>
              </w:rPr>
              <w:t>任意一个月份的财务状况报告（资产负债表和利润表）或由会计师事务所出具的近两年中任意一年度的审计报告（提供扫描件）；</w:t>
            </w:r>
          </w:p>
        </w:tc>
        <w:tc>
          <w:tcPr>
            <w:tcW w:w="2449" w:type="dxa"/>
            <w:vMerge w:val="continue"/>
            <w:noWrap/>
            <w:vAlign w:val="center"/>
          </w:tcPr>
          <w:p>
            <w:pPr>
              <w:pStyle w:val="275"/>
              <w:widowControl w:val="0"/>
              <w:shd w:val="clear"/>
              <w:spacing w:before="0" w:after="0" w:line="240" w:lineRule="auto"/>
              <w:ind w:firstLine="0"/>
              <w:jc w:val="left"/>
              <w:outlineLvl w:val="9"/>
              <w:rPr>
                <w:rFonts w:ascii="宋体" w:hAnsi="宋体" w:eastAsia="宋体" w:cs="宋体"/>
                <w:b w:val="0"/>
                <w:bCs w:val="0"/>
                <w:color w:val="auto"/>
                <w:sz w:val="24"/>
                <w:szCs w:val="24"/>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tcBorders>
              <w:bottom w:val="single" w:color="000000" w:sz="4" w:space="0"/>
            </w:tcBorders>
            <w:noWrap/>
            <w:vAlign w:val="center"/>
          </w:tcPr>
          <w:p>
            <w:pPr>
              <w:pStyle w:val="275"/>
              <w:widowControl w:val="0"/>
              <w:shd w:val="clear"/>
              <w:spacing w:before="0" w:after="0" w:line="240" w:lineRule="auto"/>
              <w:ind w:firstLine="0"/>
              <w:jc w:val="center"/>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7</w:t>
            </w:r>
          </w:p>
        </w:tc>
        <w:tc>
          <w:tcPr>
            <w:tcW w:w="6104" w:type="dxa"/>
            <w:tcBorders>
              <w:bottom w:val="single" w:color="000000" w:sz="4" w:space="0"/>
            </w:tcBorders>
            <w:noWrap/>
            <w:vAlign w:val="center"/>
          </w:tcPr>
          <w:p>
            <w:pPr>
              <w:widowControl w:val="0"/>
              <w:shd w:val="clear"/>
              <w:tabs>
                <w:tab w:val="left" w:pos="0"/>
              </w:tabs>
              <w:jc w:val="both"/>
              <w:outlineLvl w:val="9"/>
              <w:rPr>
                <w:rFonts w:hint="eastAsia" w:ascii="宋体" w:hAnsi="宋体" w:eastAsia="宋体" w:cs="宋体"/>
                <w:b w:val="0"/>
                <w:bCs w:val="0"/>
                <w:color w:val="auto"/>
                <w:sz w:val="21"/>
                <w:szCs w:val="24"/>
                <w:highlight w:val="none"/>
                <w:lang w:val="en-US" w:eastAsia="zh-CN" w:bidi="ar-SA"/>
              </w:rPr>
            </w:pPr>
            <w:r>
              <w:rPr>
                <w:rFonts w:hint="eastAsia" w:ascii="宋体" w:hAnsi="宋体" w:eastAsia="Arial" w:cs="宋体"/>
                <w:b w:val="0"/>
                <w:bCs w:val="0"/>
                <w:color w:val="auto"/>
                <w:sz w:val="24"/>
                <w:szCs w:val="24"/>
                <w:highlight w:val="none"/>
                <w:lang w:val="en-US" w:eastAsia="zh-CN" w:bidi="ar-SA"/>
              </w:rPr>
              <w:t>投标供应商提供</w:t>
            </w:r>
            <w:r>
              <w:rPr>
                <w:rFonts w:hint="eastAsia" w:ascii="宋体" w:hAnsi="宋体" w:cs="宋体"/>
                <w:b w:val="0"/>
                <w:bCs w:val="0"/>
                <w:color w:val="auto"/>
                <w:sz w:val="24"/>
                <w:szCs w:val="24"/>
                <w:highlight w:val="none"/>
                <w:lang w:val="en-US" w:eastAsia="zh-CN" w:bidi="ar-SA"/>
              </w:rPr>
              <w:t>近一年中</w:t>
            </w:r>
            <w:r>
              <w:rPr>
                <w:rFonts w:hint="eastAsia" w:ascii="宋体" w:hAnsi="宋体" w:eastAsia="Arial" w:cs="宋体"/>
                <w:b w:val="0"/>
                <w:bCs w:val="0"/>
                <w:color w:val="auto"/>
                <w:sz w:val="24"/>
                <w:szCs w:val="24"/>
                <w:highlight w:val="none"/>
                <w:lang w:val="en-US" w:eastAsia="zh-CN" w:bidi="ar-SA"/>
              </w:rPr>
              <w:t>任意一个月份的依法缴纳税收的相关材料（提供相关主管部门证明或银行代扣证明）（提供扫描件）；</w:t>
            </w:r>
          </w:p>
        </w:tc>
        <w:tc>
          <w:tcPr>
            <w:tcW w:w="2449" w:type="dxa"/>
            <w:vMerge w:val="continue"/>
            <w:noWrap/>
            <w:vAlign w:val="center"/>
          </w:tcPr>
          <w:p>
            <w:pPr>
              <w:pStyle w:val="275"/>
              <w:widowControl w:val="0"/>
              <w:shd w:val="clear"/>
              <w:spacing w:before="0" w:after="0" w:line="240" w:lineRule="auto"/>
              <w:ind w:firstLine="0"/>
              <w:jc w:val="left"/>
              <w:outlineLvl w:val="9"/>
              <w:rPr>
                <w:rFonts w:ascii="宋体" w:hAnsi="宋体" w:eastAsia="宋体" w:cs="宋体"/>
                <w:b w:val="0"/>
                <w:bCs w:val="0"/>
                <w:color w:val="auto"/>
                <w:sz w:val="24"/>
                <w:szCs w:val="24"/>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tcBorders>
              <w:bottom w:val="single" w:color="000000" w:sz="4" w:space="0"/>
            </w:tcBorders>
            <w:noWrap/>
            <w:vAlign w:val="center"/>
          </w:tcPr>
          <w:p>
            <w:pPr>
              <w:pStyle w:val="275"/>
              <w:widowControl w:val="0"/>
              <w:shd w:val="clear"/>
              <w:spacing w:before="0" w:after="0" w:line="240" w:lineRule="auto"/>
              <w:ind w:firstLine="0"/>
              <w:jc w:val="center"/>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8</w:t>
            </w:r>
          </w:p>
        </w:tc>
        <w:tc>
          <w:tcPr>
            <w:tcW w:w="6104" w:type="dxa"/>
            <w:tcBorders>
              <w:bottom w:val="single" w:color="000000" w:sz="4" w:space="0"/>
            </w:tcBorders>
            <w:noWrap/>
            <w:vAlign w:val="center"/>
          </w:tcPr>
          <w:p>
            <w:pPr>
              <w:widowControl w:val="0"/>
              <w:shd w:val="clear"/>
              <w:tabs>
                <w:tab w:val="left" w:pos="0"/>
              </w:tabs>
              <w:jc w:val="both"/>
              <w:outlineLvl w:val="9"/>
              <w:rPr>
                <w:rFonts w:hint="eastAsia" w:ascii="宋体" w:hAnsi="宋体" w:eastAsia="宋体" w:cs="宋体"/>
                <w:b w:val="0"/>
                <w:bCs w:val="0"/>
                <w:color w:val="auto"/>
                <w:sz w:val="21"/>
                <w:szCs w:val="24"/>
                <w:highlight w:val="none"/>
                <w:lang w:val="en-US" w:eastAsia="zh-CN" w:bidi="ar-SA"/>
              </w:rPr>
            </w:pPr>
            <w:r>
              <w:rPr>
                <w:rFonts w:hint="eastAsia" w:ascii="宋体" w:hAnsi="宋体" w:eastAsia="Arial" w:cs="宋体"/>
                <w:b w:val="0"/>
                <w:bCs w:val="0"/>
                <w:color w:val="auto"/>
                <w:sz w:val="24"/>
                <w:szCs w:val="24"/>
                <w:highlight w:val="none"/>
                <w:lang w:val="en-US" w:eastAsia="zh-CN" w:bidi="ar-SA"/>
              </w:rPr>
              <w:t>投标供应商提供</w:t>
            </w:r>
            <w:r>
              <w:rPr>
                <w:rFonts w:hint="eastAsia" w:ascii="宋体" w:hAnsi="宋体" w:cs="宋体"/>
                <w:b w:val="0"/>
                <w:bCs w:val="0"/>
                <w:color w:val="auto"/>
                <w:sz w:val="24"/>
                <w:szCs w:val="24"/>
                <w:highlight w:val="none"/>
                <w:lang w:val="en-US" w:eastAsia="zh-CN" w:bidi="ar-SA"/>
              </w:rPr>
              <w:t>近一年中</w:t>
            </w:r>
            <w:r>
              <w:rPr>
                <w:rFonts w:hint="eastAsia" w:ascii="宋体" w:hAnsi="宋体" w:eastAsia="Arial" w:cs="宋体"/>
                <w:b w:val="0"/>
                <w:bCs w:val="0"/>
                <w:color w:val="auto"/>
                <w:sz w:val="24"/>
                <w:szCs w:val="24"/>
                <w:highlight w:val="none"/>
                <w:lang w:val="en-US" w:eastAsia="zh-CN" w:bidi="ar-SA"/>
              </w:rPr>
              <w:t>任意一个月份的依法缴纳社会保障资金的相关材料（提供相关主管部门证明或银行代扣证明）（提供扫描件）；</w:t>
            </w:r>
          </w:p>
        </w:tc>
        <w:tc>
          <w:tcPr>
            <w:tcW w:w="2449" w:type="dxa"/>
            <w:vMerge w:val="continue"/>
            <w:noWrap/>
            <w:vAlign w:val="center"/>
          </w:tcPr>
          <w:p>
            <w:pPr>
              <w:pStyle w:val="275"/>
              <w:widowControl w:val="0"/>
              <w:shd w:val="clear"/>
              <w:spacing w:before="0" w:after="0" w:line="240" w:lineRule="auto"/>
              <w:ind w:firstLine="0"/>
              <w:jc w:val="left"/>
              <w:outlineLvl w:val="9"/>
              <w:rPr>
                <w:rFonts w:ascii="宋体" w:hAnsi="宋体" w:eastAsia="宋体" w:cs="宋体"/>
                <w:b w:val="0"/>
                <w:bCs w:val="0"/>
                <w:color w:val="auto"/>
                <w:sz w:val="24"/>
                <w:szCs w:val="24"/>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tcBorders>
              <w:bottom w:val="single" w:color="000000" w:sz="4" w:space="0"/>
            </w:tcBorders>
            <w:noWrap/>
            <w:vAlign w:val="center"/>
          </w:tcPr>
          <w:p>
            <w:pPr>
              <w:pStyle w:val="275"/>
              <w:spacing w:before="0" w:after="0" w:line="240" w:lineRule="auto"/>
              <w:ind w:firstLine="0" w:firstLineChars="0"/>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9</w:t>
            </w:r>
          </w:p>
        </w:tc>
        <w:tc>
          <w:tcPr>
            <w:tcW w:w="6104" w:type="dxa"/>
            <w:tcBorders>
              <w:bottom w:val="single" w:color="000000" w:sz="4" w:space="0"/>
            </w:tcBorders>
            <w:noWrap/>
            <w:vAlign w:val="center"/>
          </w:tcPr>
          <w:p>
            <w:pPr>
              <w:pStyle w:val="275"/>
              <w:spacing w:before="0" w:after="0" w:line="240" w:lineRule="auto"/>
              <w:ind w:firstLine="0" w:firstLineChars="0"/>
              <w:jc w:val="both"/>
              <w:rPr>
                <w:rFonts w:hint="eastAsia" w:ascii="宋体" w:hAnsi="宋体" w:eastAsia="宋体" w:cs="宋体"/>
                <w:bCs/>
                <w:color w:val="auto"/>
                <w:sz w:val="24"/>
                <w:szCs w:val="24"/>
                <w:highlight w:val="none"/>
                <w:lang w:val="en-US" w:eastAsia="zh-CN"/>
              </w:rPr>
            </w:pPr>
            <w:r>
              <w:rPr>
                <w:rFonts w:hint="eastAsia" w:ascii="宋体" w:hAnsi="宋体" w:cs="宋体"/>
                <w:bCs/>
                <w:color w:val="auto"/>
                <w:highlight w:val="none"/>
              </w:rPr>
              <w:t>本项目要求的特定资格证明</w:t>
            </w:r>
            <w:r>
              <w:rPr>
                <w:rFonts w:hint="eastAsia" w:ascii="宋体" w:hAnsi="宋体" w:cs="宋体"/>
                <w:color w:val="auto"/>
                <w:highlight w:val="none"/>
              </w:rPr>
              <w:t>文件（</w:t>
            </w:r>
            <w:r>
              <w:rPr>
                <w:rFonts w:hint="eastAsia" w:ascii="宋体" w:hAnsi="宋体" w:cs="宋体"/>
                <w:bCs/>
                <w:color w:val="auto"/>
                <w:highlight w:val="none"/>
              </w:rPr>
              <w:t>如有</w:t>
            </w:r>
            <w:r>
              <w:rPr>
                <w:rFonts w:hint="eastAsia" w:ascii="宋体" w:hAnsi="宋体" w:cs="宋体"/>
                <w:color w:val="auto"/>
                <w:highlight w:val="none"/>
              </w:rPr>
              <w:t>特定资格要求的）。</w:t>
            </w:r>
          </w:p>
        </w:tc>
        <w:tc>
          <w:tcPr>
            <w:tcW w:w="2449" w:type="dxa"/>
            <w:noWrap/>
            <w:vAlign w:val="center"/>
          </w:tcPr>
          <w:p>
            <w:pPr>
              <w:pStyle w:val="275"/>
              <w:spacing w:before="0" w:after="0" w:line="240" w:lineRule="auto"/>
              <w:ind w:firstLine="0" w:firstLineChars="0"/>
              <w:rPr>
                <w:rFonts w:hint="eastAsia" w:ascii="宋体" w:hAnsi="宋体" w:eastAsia="宋体" w:cs="宋体"/>
                <w:bCs/>
                <w:color w:val="auto"/>
                <w:sz w:val="24"/>
                <w:szCs w:val="24"/>
                <w:highlight w:val="none"/>
                <w:lang w:val="en-US" w:eastAsia="zh-CN"/>
              </w:rPr>
            </w:pPr>
            <w:r>
              <w:rPr>
                <w:rFonts w:hint="eastAsia" w:ascii="宋体" w:hAnsi="宋体" w:cs="宋体"/>
                <w:color w:val="auto"/>
                <w:highlight w:val="none"/>
              </w:rPr>
              <w:t>特定资格要求，详见第一章《投标邀请》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tcBorders>
              <w:bottom w:val="single" w:color="000000" w:sz="4" w:space="0"/>
            </w:tcBorders>
            <w:noWrap/>
            <w:vAlign w:val="center"/>
          </w:tcPr>
          <w:p>
            <w:pPr>
              <w:pStyle w:val="275"/>
              <w:widowControl w:val="0"/>
              <w:shd w:val="clear"/>
              <w:spacing w:before="0" w:after="0" w:line="240" w:lineRule="auto"/>
              <w:ind w:firstLine="0"/>
              <w:jc w:val="center"/>
              <w:outlineLvl w:val="9"/>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10</w:t>
            </w:r>
          </w:p>
        </w:tc>
        <w:tc>
          <w:tcPr>
            <w:tcW w:w="6104" w:type="dxa"/>
            <w:tcBorders>
              <w:bottom w:val="single" w:color="000000" w:sz="4" w:space="0"/>
            </w:tcBorders>
            <w:noWrap/>
            <w:vAlign w:val="center"/>
          </w:tcPr>
          <w:p>
            <w:pPr>
              <w:widowControl w:val="0"/>
              <w:shd w:val="clear"/>
              <w:tabs>
                <w:tab w:val="left" w:pos="0"/>
              </w:tabs>
              <w:jc w:val="both"/>
              <w:outlineLvl w:val="9"/>
              <w:rPr>
                <w:rFonts w:hint="eastAsia" w:ascii="宋体" w:hAnsi="宋体" w:eastAsia="宋体" w:cs="宋体"/>
                <w:b w:val="0"/>
                <w:bCs w:val="0"/>
                <w:color w:val="auto"/>
                <w:sz w:val="21"/>
                <w:szCs w:val="24"/>
                <w:highlight w:val="none"/>
                <w:lang w:val="en-US" w:eastAsia="zh-CN" w:bidi="ar-SA"/>
              </w:rPr>
            </w:pPr>
            <w:r>
              <w:rPr>
                <w:rFonts w:hint="eastAsia" w:ascii="宋体" w:hAnsi="宋体" w:eastAsia="Arial" w:cs="宋体"/>
                <w:b w:val="0"/>
                <w:bCs w:val="0"/>
                <w:color w:val="auto"/>
                <w:sz w:val="24"/>
                <w:szCs w:val="24"/>
                <w:highlight w:val="none"/>
                <w:lang w:val="en-US" w:eastAsia="zh-CN" w:bidi="ar-SA"/>
              </w:rPr>
              <w:t>承诺书（格式见附件）；</w:t>
            </w:r>
          </w:p>
        </w:tc>
        <w:tc>
          <w:tcPr>
            <w:tcW w:w="2449" w:type="dxa"/>
            <w:noWrap/>
            <w:vAlign w:val="center"/>
          </w:tcPr>
          <w:p>
            <w:pPr>
              <w:pStyle w:val="275"/>
              <w:widowControl w:val="0"/>
              <w:shd w:val="clear"/>
              <w:spacing w:before="0" w:after="0" w:line="240" w:lineRule="auto"/>
              <w:ind w:firstLine="0"/>
              <w:jc w:val="left"/>
              <w:outlineLvl w:val="9"/>
              <w:rPr>
                <w:rFonts w:ascii="宋体" w:hAnsi="宋体" w:eastAsia="宋体" w:cs="宋体"/>
                <w:b w:val="0"/>
                <w:bCs w:val="0"/>
                <w:color w:val="auto"/>
                <w:sz w:val="24"/>
                <w:szCs w:val="24"/>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ign w:val="center"/>
          </w:tcPr>
          <w:p>
            <w:pPr>
              <w:pStyle w:val="275"/>
              <w:widowControl w:val="0"/>
              <w:shd w:val="clear"/>
              <w:spacing w:before="0" w:after="0" w:line="240" w:lineRule="auto"/>
              <w:ind w:firstLine="0"/>
              <w:jc w:val="center"/>
              <w:outlineLvl w:val="9"/>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11</w:t>
            </w:r>
          </w:p>
        </w:tc>
        <w:tc>
          <w:tcPr>
            <w:tcW w:w="6104" w:type="dxa"/>
            <w:noWrap/>
            <w:vAlign w:val="center"/>
          </w:tcPr>
          <w:p>
            <w:pPr>
              <w:pStyle w:val="275"/>
              <w:widowControl w:val="0"/>
              <w:shd w:val="clear"/>
              <w:spacing w:before="0" w:after="0" w:line="240" w:lineRule="auto"/>
              <w:ind w:firstLine="0"/>
              <w:jc w:val="left"/>
              <w:outlineLvl w:val="9"/>
              <w:rPr>
                <w:rFonts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中小企业声明函或省级以上监狱管理局、戒毒管理局（含新疆生产建设兵团）出具的属于监狱企业的证明文件或残疾人福利性单位声明函（声明函格式见附件）（提供扫描件）。</w:t>
            </w:r>
          </w:p>
        </w:tc>
        <w:tc>
          <w:tcPr>
            <w:tcW w:w="2449" w:type="dxa"/>
            <w:noWrap/>
            <w:vAlign w:val="center"/>
          </w:tcPr>
          <w:p>
            <w:pPr>
              <w:pStyle w:val="275"/>
              <w:widowControl w:val="0"/>
              <w:shd w:val="clear"/>
              <w:spacing w:before="0" w:after="0" w:line="240" w:lineRule="auto"/>
              <w:ind w:firstLine="0"/>
              <w:jc w:val="left"/>
              <w:outlineLvl w:val="9"/>
              <w:rPr>
                <w:rFonts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落实政府采购政策需满足的资格要求，详见第一章《投标邀请》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ign w:val="center"/>
          </w:tcPr>
          <w:p>
            <w:pPr>
              <w:pStyle w:val="275"/>
              <w:widowControl w:val="0"/>
              <w:shd w:val="clear"/>
              <w:spacing w:before="0" w:after="0" w:line="240" w:lineRule="auto"/>
              <w:ind w:firstLine="0"/>
              <w:jc w:val="center"/>
              <w:outlineLvl w:val="9"/>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12</w:t>
            </w:r>
          </w:p>
        </w:tc>
        <w:tc>
          <w:tcPr>
            <w:tcW w:w="6104" w:type="dxa"/>
            <w:noWrap/>
            <w:vAlign w:val="center"/>
          </w:tcPr>
          <w:p>
            <w:pPr>
              <w:pStyle w:val="275"/>
              <w:widowControl w:val="0"/>
              <w:shd w:val="clear"/>
              <w:spacing w:before="0" w:after="0" w:line="240" w:lineRule="auto"/>
              <w:ind w:firstLine="0"/>
              <w:jc w:val="both"/>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在“信用中国”网站（www.creditchina.gov.cn）、中国政府采购网（www.ccgp.gov.cn）查询，无被列入失信被执行人、</w:t>
            </w:r>
            <w:r>
              <w:rPr>
                <w:rFonts w:hint="eastAsia" w:ascii="宋体" w:hAnsi="宋体" w:cs="宋体"/>
                <w:b w:val="0"/>
                <w:bCs w:val="0"/>
                <w:color w:val="auto"/>
                <w:sz w:val="24"/>
                <w:szCs w:val="24"/>
                <w:highlight w:val="none"/>
                <w:lang w:val="en-US" w:eastAsia="zh-CN" w:bidi="ar-SA"/>
              </w:rPr>
              <w:t>重大税收违法失信主体</w:t>
            </w:r>
            <w:r>
              <w:rPr>
                <w:rFonts w:hint="eastAsia" w:ascii="宋体" w:hAnsi="宋体" w:eastAsia="宋体" w:cs="宋体"/>
                <w:b w:val="0"/>
                <w:bCs w:val="0"/>
                <w:color w:val="auto"/>
                <w:sz w:val="24"/>
                <w:szCs w:val="24"/>
                <w:highlight w:val="none"/>
                <w:lang w:val="en-US" w:eastAsia="zh-CN" w:bidi="ar-SA"/>
              </w:rPr>
              <w:t>、政府采购严重失信行为记录名单及其他不符合《中华人民共和国政府采购法》第二十二条规定条件的信用记录；</w:t>
            </w:r>
          </w:p>
        </w:tc>
        <w:tc>
          <w:tcPr>
            <w:tcW w:w="2449" w:type="dxa"/>
            <w:noWrap/>
            <w:vAlign w:val="center"/>
          </w:tcPr>
          <w:p>
            <w:pPr>
              <w:pStyle w:val="275"/>
              <w:widowControl w:val="0"/>
              <w:shd w:val="clear"/>
              <w:spacing w:before="0" w:after="0" w:line="240" w:lineRule="auto"/>
              <w:ind w:firstLine="0"/>
              <w:jc w:val="left"/>
              <w:outlineLvl w:val="9"/>
              <w:rPr>
                <w:rFonts w:hint="eastAsia" w:ascii="宋体" w:hAnsi="宋体" w:eastAsia="宋体" w:cs="宋体"/>
                <w:b w:val="0"/>
                <w:bCs w:val="0"/>
                <w:color w:val="auto"/>
                <w:sz w:val="24"/>
                <w:szCs w:val="24"/>
                <w:highlight w:val="none"/>
                <w:lang w:val="en-US" w:eastAsia="zh-CN" w:bidi="ar-SA"/>
              </w:rPr>
            </w:pPr>
          </w:p>
        </w:tc>
      </w:tr>
    </w:tbl>
    <w:p>
      <w:pPr>
        <w:shd w:val="clear"/>
        <w:tabs>
          <w:tab w:val="left" w:pos="525"/>
          <w:tab w:val="left" w:pos="945"/>
        </w:tabs>
        <w:spacing w:line="360" w:lineRule="auto"/>
        <w:ind w:firstLine="480"/>
        <w:jc w:val="center"/>
        <w:outlineLvl w:val="9"/>
        <w:rPr>
          <w:rFonts w:hint="eastAsia" w:ascii="宋体" w:hAnsi="宋体" w:eastAsia="宋体" w:cs="宋体"/>
          <w:b/>
          <w:color w:val="auto"/>
          <w:sz w:val="24"/>
          <w:highlight w:val="none"/>
        </w:rPr>
      </w:pPr>
    </w:p>
    <w:p>
      <w:pPr>
        <w:shd w:val="clear"/>
        <w:spacing w:line="360" w:lineRule="auto"/>
        <w:ind w:firstLine="480"/>
        <w:outlineLvl w:val="9"/>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特别提醒：资格审查不合格的投标供应商的投标文件不进入后续评审。</w:t>
      </w:r>
    </w:p>
    <w:p>
      <w:pPr>
        <w:shd w:val="clear"/>
        <w:spacing w:line="360" w:lineRule="auto"/>
        <w:ind w:firstLine="480"/>
        <w:outlineLvl w:val="9"/>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B．符合性检查。评标委员会依据招标文件的规定，从投标文件的有效性、完整性和对招标文件的响应程度进行审查，以确定是否对招标文件的实质性要求作出响应。</w:t>
      </w:r>
    </w:p>
    <w:p>
      <w:pPr>
        <w:shd w:val="clear"/>
        <w:tabs>
          <w:tab w:val="left" w:pos="480"/>
        </w:tabs>
        <w:spacing w:line="440" w:lineRule="exact"/>
        <w:jc w:val="center"/>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符合性审查表</w:t>
      </w:r>
    </w:p>
    <w:tbl>
      <w:tblPr>
        <w:tblStyle w:val="8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206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pPr>
              <w:widowControl w:val="0"/>
              <w:shd w:val="clear"/>
              <w:spacing w:before="0" w:after="0" w:line="360" w:lineRule="auto"/>
              <w:ind w:firstLine="0"/>
              <w:jc w:val="center"/>
              <w:outlineLvl w:val="9"/>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序号</w:t>
            </w:r>
          </w:p>
        </w:tc>
        <w:tc>
          <w:tcPr>
            <w:tcW w:w="6095" w:type="dxa"/>
            <w:noWrap w:val="0"/>
            <w:vAlign w:val="center"/>
          </w:tcPr>
          <w:p>
            <w:pPr>
              <w:widowControl w:val="0"/>
              <w:shd w:val="clear"/>
              <w:spacing w:before="0" w:after="0" w:line="360" w:lineRule="auto"/>
              <w:ind w:firstLine="0"/>
              <w:jc w:val="center"/>
              <w:outlineLvl w:val="9"/>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评审项及评审要求</w:t>
            </w:r>
          </w:p>
        </w:tc>
        <w:tc>
          <w:tcPr>
            <w:tcW w:w="2066" w:type="dxa"/>
            <w:noWrap w:val="0"/>
            <w:vAlign w:val="center"/>
          </w:tcPr>
          <w:p>
            <w:pPr>
              <w:widowControl w:val="0"/>
              <w:shd w:val="clear"/>
              <w:spacing w:before="0" w:after="0" w:line="360" w:lineRule="auto"/>
              <w:ind w:firstLine="0"/>
              <w:jc w:val="center"/>
              <w:outlineLvl w:val="9"/>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审查因素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pPr>
              <w:widowControl w:val="0"/>
              <w:shd w:val="clear"/>
              <w:spacing w:before="0" w:after="0" w:line="360" w:lineRule="auto"/>
              <w:ind w:firstLine="0"/>
              <w:jc w:val="center"/>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w:t>
            </w:r>
          </w:p>
        </w:tc>
        <w:tc>
          <w:tcPr>
            <w:tcW w:w="6095" w:type="dxa"/>
            <w:noWrap w:val="0"/>
            <w:vAlign w:val="center"/>
          </w:tcPr>
          <w:p>
            <w:pPr>
              <w:widowControl w:val="0"/>
              <w:shd w:val="clear"/>
              <w:spacing w:before="0" w:after="0" w:line="360" w:lineRule="auto"/>
              <w:ind w:firstLine="0"/>
              <w:jc w:val="both"/>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投标函（给定格式）</w:t>
            </w:r>
          </w:p>
        </w:tc>
        <w:tc>
          <w:tcPr>
            <w:tcW w:w="2066" w:type="dxa"/>
            <w:noWrap w:val="0"/>
            <w:vAlign w:val="center"/>
          </w:tcPr>
          <w:p>
            <w:pPr>
              <w:widowControl w:val="0"/>
              <w:shd w:val="clear"/>
              <w:spacing w:before="0" w:after="0" w:line="360" w:lineRule="auto"/>
              <w:ind w:firstLine="0"/>
              <w:jc w:val="both"/>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商务符合性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pPr>
              <w:widowControl w:val="0"/>
              <w:shd w:val="clear"/>
              <w:spacing w:before="0" w:after="0" w:line="360" w:lineRule="auto"/>
              <w:ind w:firstLine="0"/>
              <w:jc w:val="center"/>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w:t>
            </w:r>
          </w:p>
        </w:tc>
        <w:tc>
          <w:tcPr>
            <w:tcW w:w="6095" w:type="dxa"/>
            <w:noWrap w:val="0"/>
            <w:vAlign w:val="center"/>
          </w:tcPr>
          <w:p>
            <w:pPr>
              <w:widowControl w:val="0"/>
              <w:shd w:val="clear"/>
              <w:spacing w:before="0" w:after="0" w:line="360" w:lineRule="auto"/>
              <w:ind w:firstLine="0"/>
              <w:jc w:val="both"/>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开标一览表（给定格式）</w:t>
            </w:r>
          </w:p>
        </w:tc>
        <w:tc>
          <w:tcPr>
            <w:tcW w:w="2066" w:type="dxa"/>
            <w:vMerge w:val="restart"/>
            <w:noWrap w:val="0"/>
            <w:vAlign w:val="center"/>
          </w:tcPr>
          <w:p>
            <w:pPr>
              <w:widowControl w:val="0"/>
              <w:shd w:val="clear"/>
              <w:spacing w:before="0" w:after="0" w:line="360" w:lineRule="auto"/>
              <w:ind w:firstLine="0"/>
              <w:jc w:val="both"/>
              <w:outlineLvl w:val="9"/>
              <w:rPr>
                <w:rFonts w:hint="eastAsia" w:ascii="宋体" w:hAnsi="宋体" w:eastAsia="宋体" w:cs="宋体"/>
                <w:color w:val="auto"/>
                <w:sz w:val="24"/>
                <w:szCs w:val="24"/>
                <w:highlight w:val="none"/>
                <w:lang w:val="en-US" w:eastAsia="zh-CN" w:bidi="ar-SA"/>
              </w:rPr>
            </w:pPr>
            <w:r>
              <w:rPr>
                <w:rFonts w:hint="eastAsia" w:ascii="Arial" w:hAnsi="Arial" w:eastAsia="宋体" w:cs="Arial"/>
                <w:color w:val="auto"/>
                <w:sz w:val="24"/>
                <w:szCs w:val="24"/>
                <w:highlight w:val="none"/>
                <w:lang w:val="en-US" w:eastAsia="zh-CN" w:bidi="ar-SA"/>
              </w:rPr>
              <w:t>报价符合性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pPr>
              <w:widowControl w:val="0"/>
              <w:shd w:val="clear"/>
              <w:spacing w:before="0" w:after="0" w:line="360" w:lineRule="auto"/>
              <w:ind w:firstLine="0"/>
              <w:jc w:val="center"/>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w:t>
            </w:r>
          </w:p>
        </w:tc>
        <w:tc>
          <w:tcPr>
            <w:tcW w:w="6095" w:type="dxa"/>
            <w:noWrap w:val="0"/>
            <w:vAlign w:val="center"/>
          </w:tcPr>
          <w:p>
            <w:pPr>
              <w:widowControl w:val="0"/>
              <w:shd w:val="clear"/>
              <w:spacing w:before="0" w:after="0" w:line="360" w:lineRule="auto"/>
              <w:ind w:firstLine="0"/>
              <w:jc w:val="both"/>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报价明细表（给定格式）</w:t>
            </w:r>
          </w:p>
        </w:tc>
        <w:tc>
          <w:tcPr>
            <w:tcW w:w="2066" w:type="dxa"/>
            <w:vMerge w:val="continue"/>
            <w:noWrap w:val="0"/>
            <w:vAlign w:val="center"/>
          </w:tcPr>
          <w:p>
            <w:pPr>
              <w:widowControl w:val="0"/>
              <w:shd w:val="clear"/>
              <w:spacing w:before="0" w:after="0" w:line="360" w:lineRule="auto"/>
              <w:ind w:firstLine="0"/>
              <w:jc w:val="both"/>
              <w:outlineLvl w:val="9"/>
              <w:rPr>
                <w:rFonts w:hint="eastAsia" w:ascii="宋体" w:hAnsi="宋体" w:eastAsia="宋体" w:cs="宋体"/>
                <w:color w:val="auto"/>
                <w:sz w:val="24"/>
                <w:szCs w:val="24"/>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pPr>
              <w:widowControl w:val="0"/>
              <w:shd w:val="clear"/>
              <w:spacing w:before="0" w:after="0" w:line="360" w:lineRule="auto"/>
              <w:ind w:firstLine="0"/>
              <w:jc w:val="center"/>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w:t>
            </w:r>
          </w:p>
        </w:tc>
        <w:tc>
          <w:tcPr>
            <w:tcW w:w="6095" w:type="dxa"/>
            <w:noWrap w:val="0"/>
            <w:vAlign w:val="center"/>
          </w:tcPr>
          <w:p>
            <w:pPr>
              <w:widowControl w:val="0"/>
              <w:shd w:val="clear"/>
              <w:spacing w:before="0" w:after="0" w:line="360" w:lineRule="auto"/>
              <w:ind w:firstLine="0"/>
              <w:jc w:val="both"/>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投标偏离表（给定格式）</w:t>
            </w:r>
          </w:p>
        </w:tc>
        <w:tc>
          <w:tcPr>
            <w:tcW w:w="2066" w:type="dxa"/>
            <w:vMerge w:val="restart"/>
            <w:noWrap w:val="0"/>
            <w:vAlign w:val="center"/>
          </w:tcPr>
          <w:p>
            <w:pPr>
              <w:widowControl w:val="0"/>
              <w:shd w:val="clear"/>
              <w:spacing w:before="0" w:after="0" w:line="360" w:lineRule="auto"/>
              <w:ind w:firstLine="0"/>
              <w:jc w:val="both"/>
              <w:outlineLvl w:val="9"/>
              <w:rPr>
                <w:rFonts w:hint="eastAsia" w:ascii="宋体" w:hAnsi="宋体" w:eastAsia="宋体" w:cs="宋体"/>
                <w:color w:val="auto"/>
                <w:sz w:val="24"/>
                <w:szCs w:val="24"/>
                <w:highlight w:val="none"/>
                <w:lang w:val="en-US" w:eastAsia="zh-CN" w:bidi="ar-SA"/>
              </w:rPr>
            </w:pPr>
            <w:r>
              <w:rPr>
                <w:rFonts w:hint="eastAsia" w:ascii="Arial" w:hAnsi="Arial" w:eastAsia="宋体" w:cs="Arial"/>
                <w:color w:val="auto"/>
                <w:sz w:val="24"/>
                <w:szCs w:val="24"/>
                <w:highlight w:val="none"/>
                <w:lang w:val="en-US" w:eastAsia="zh-CN" w:bidi="ar-SA"/>
              </w:rPr>
              <w:t>技术符合性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pPr>
              <w:widowControl w:val="0"/>
              <w:shd w:val="clear"/>
              <w:spacing w:before="0" w:after="0" w:line="360" w:lineRule="auto"/>
              <w:ind w:firstLine="0"/>
              <w:jc w:val="center"/>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w:t>
            </w:r>
          </w:p>
        </w:tc>
        <w:tc>
          <w:tcPr>
            <w:tcW w:w="6095" w:type="dxa"/>
            <w:noWrap w:val="0"/>
            <w:vAlign w:val="center"/>
          </w:tcPr>
          <w:p>
            <w:pPr>
              <w:widowControl w:val="0"/>
              <w:shd w:val="clear"/>
              <w:spacing w:before="0" w:after="0" w:line="360" w:lineRule="auto"/>
              <w:ind w:firstLine="0"/>
              <w:jc w:val="both"/>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《采购需求》中如有要求须提供的证明文件</w:t>
            </w:r>
          </w:p>
        </w:tc>
        <w:tc>
          <w:tcPr>
            <w:tcW w:w="2066" w:type="dxa"/>
            <w:vMerge w:val="continue"/>
            <w:noWrap w:val="0"/>
            <w:vAlign w:val="center"/>
          </w:tcPr>
          <w:p>
            <w:pPr>
              <w:widowControl w:val="0"/>
              <w:shd w:val="clear"/>
              <w:spacing w:before="0" w:after="0" w:line="360" w:lineRule="auto"/>
              <w:ind w:firstLine="0"/>
              <w:jc w:val="both"/>
              <w:outlineLvl w:val="9"/>
              <w:rPr>
                <w:rFonts w:hint="eastAsia" w:ascii="宋体" w:hAnsi="宋体" w:eastAsia="宋体" w:cs="宋体"/>
                <w:color w:val="auto"/>
                <w:sz w:val="24"/>
                <w:szCs w:val="24"/>
                <w:highlight w:val="none"/>
                <w:lang w:val="en-US" w:eastAsia="zh-CN" w:bidi="ar-SA"/>
              </w:rPr>
            </w:pPr>
          </w:p>
        </w:tc>
      </w:tr>
    </w:tbl>
    <w:p>
      <w:pPr>
        <w:shd w:val="clear"/>
        <w:tabs>
          <w:tab w:val="left" w:pos="480"/>
        </w:tabs>
        <w:spacing w:line="440" w:lineRule="exact"/>
        <w:jc w:val="center"/>
        <w:outlineLvl w:val="9"/>
        <w:rPr>
          <w:rFonts w:hint="eastAsia" w:ascii="宋体" w:hAnsi="宋体" w:eastAsia="宋体" w:cs="宋体"/>
          <w:b/>
          <w:color w:val="auto"/>
          <w:sz w:val="24"/>
          <w:highlight w:val="none"/>
        </w:rPr>
      </w:pPr>
    </w:p>
    <w:p>
      <w:pPr>
        <w:shd w:val="clear"/>
        <w:spacing w:line="360" w:lineRule="auto"/>
        <w:ind w:firstLine="482"/>
        <w:outlineLvl w:val="9"/>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特别提醒：符合性审查不合格的投标供应商的投标文件不进入后续评审。</w:t>
      </w:r>
    </w:p>
    <w:p>
      <w:pPr>
        <w:shd w:val="clear"/>
        <w:tabs>
          <w:tab w:val="left" w:pos="525"/>
          <w:tab w:val="left" w:pos="1050"/>
        </w:tabs>
        <w:spacing w:line="360" w:lineRule="auto"/>
        <w:ind w:firstLine="480"/>
        <w:outlineLvl w:val="9"/>
        <w:rPr>
          <w:rFonts w:ascii="Times New Roman" w:hAnsi="Times New Roman" w:eastAsia="宋体" w:cs="Times New Roman"/>
          <w:color w:val="auto"/>
          <w:highlight w:val="none"/>
        </w:rPr>
      </w:pPr>
      <w:r>
        <w:rPr>
          <w:rFonts w:hint="eastAsia" w:ascii="宋体" w:hAnsi="宋体" w:eastAsia="宋体" w:cs="Times New Roman"/>
          <w:bCs/>
          <w:color w:val="auto"/>
          <w:sz w:val="24"/>
          <w:highlight w:val="none"/>
        </w:rPr>
        <w:t>（2）澄清有关问题。对投标文件中含义不明确、同类问题表述不一致或者有明显文字和计算错误的内容，评标委员会可以通过江苏省政府采购（苏采云）平台发起答疑澄清，要求</w:t>
      </w:r>
      <w:r>
        <w:rPr>
          <w:rFonts w:hint="eastAsia" w:ascii="宋体" w:hAnsi="宋体" w:eastAsia="宋体" w:cs="Times New Roman"/>
          <w:bCs/>
          <w:color w:val="auto"/>
          <w:sz w:val="24"/>
          <w:highlight w:val="none"/>
          <w:lang w:eastAsia="zh-CN"/>
        </w:rPr>
        <w:t>投标供应商</w:t>
      </w:r>
      <w:r>
        <w:rPr>
          <w:rFonts w:hint="eastAsia" w:ascii="宋体" w:hAnsi="宋体" w:eastAsia="宋体" w:cs="Times New Roman"/>
          <w:bCs/>
          <w:color w:val="auto"/>
          <w:sz w:val="24"/>
          <w:highlight w:val="none"/>
        </w:rPr>
        <w:t>作出必要的澄清、说明或者纠正。</w:t>
      </w:r>
      <w:r>
        <w:rPr>
          <w:rFonts w:hint="eastAsia" w:ascii="宋体" w:hAnsi="宋体" w:eastAsia="宋体" w:cs="Times New Roman"/>
          <w:bCs/>
          <w:color w:val="auto"/>
          <w:sz w:val="24"/>
          <w:highlight w:val="none"/>
          <w:lang w:eastAsia="zh-CN"/>
        </w:rPr>
        <w:t>投标供应商</w:t>
      </w:r>
      <w:r>
        <w:rPr>
          <w:rFonts w:hint="eastAsia" w:ascii="宋体" w:hAnsi="宋体" w:eastAsia="宋体" w:cs="Times New Roman"/>
          <w:bCs/>
          <w:color w:val="auto"/>
          <w:sz w:val="24"/>
          <w:highlight w:val="none"/>
        </w:rPr>
        <w:t>的澄清、说明或者补正应当通过江苏省政府采购（苏采云）平台，由其授权的代表应答并加盖电子公章，且不得超出投标文件的范围或者改变投标文件的实质性内容。</w:t>
      </w:r>
    </w:p>
    <w:p>
      <w:pPr>
        <w:shd w:val="clear"/>
        <w:spacing w:line="360" w:lineRule="auto"/>
        <w:ind w:firstLine="480"/>
        <w:outlineLvl w:val="9"/>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（3）比较与评价。评标委员会按招标文件中规定的评标方法和标准，对资格性检查和标准，对资格性检查和符合性检查合格的投标文件进行商务和技术评估，综合比较与评价。</w:t>
      </w:r>
    </w:p>
    <w:p>
      <w:pPr>
        <w:pStyle w:val="132"/>
        <w:shd w:val="clear"/>
        <w:spacing w:line="360" w:lineRule="auto"/>
        <w:ind w:firstLine="480"/>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6．评标标准：</w:t>
      </w:r>
    </w:p>
    <w:p>
      <w:pPr>
        <w:pStyle w:val="132"/>
        <w:shd w:val="clear"/>
        <w:spacing w:line="360" w:lineRule="auto"/>
        <w:ind w:firstLine="480"/>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通过资格性与符合性审查的，方可进入比较与评价程序。</w:t>
      </w:r>
    </w:p>
    <w:p>
      <w:pPr>
        <w:shd w:val="clear"/>
        <w:spacing w:line="460" w:lineRule="exact"/>
        <w:ind w:firstLine="480"/>
        <w:outlineLvl w:val="9"/>
        <w:rPr>
          <w:rFonts w:ascii="宋体" w:hAnsi="宋体" w:cs="宋体"/>
          <w:color w:val="auto"/>
          <w:sz w:val="24"/>
          <w:highlight w:val="none"/>
        </w:rPr>
      </w:pPr>
      <w:r>
        <w:rPr>
          <w:rFonts w:hint="eastAsia" w:ascii="宋体" w:hAnsi="宋体" w:cs="宋体"/>
          <w:color w:val="auto"/>
          <w:sz w:val="24"/>
          <w:highlight w:val="none"/>
        </w:rPr>
        <w:t>比较与评价采用综合评分法（计分均保留2位小数）。</w:t>
      </w:r>
    </w:p>
    <w:p>
      <w:pPr>
        <w:shd w:val="clear"/>
        <w:tabs>
          <w:tab w:val="left" w:pos="945"/>
        </w:tabs>
        <w:spacing w:line="440" w:lineRule="exact"/>
        <w:ind w:firstLine="480"/>
        <w:outlineLvl w:val="9"/>
        <w:rPr>
          <w:rFonts w:hint="eastAsia" w:ascii="宋体" w:hAnsi="宋体" w:cs="宋体"/>
          <w:color w:val="auto"/>
          <w:sz w:val="24"/>
          <w:highlight w:val="none"/>
        </w:rPr>
      </w:pPr>
      <w:r>
        <w:rPr>
          <w:rFonts w:hint="eastAsia" w:ascii="宋体" w:hAnsi="宋体" w:cs="宋体"/>
          <w:color w:val="auto"/>
          <w:sz w:val="24"/>
          <w:highlight w:val="none"/>
        </w:rPr>
        <w:t>评审委员会遵循公平、公正、择优原则，独立按照评分标准分别评定</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的分值；各</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的最终得分为各评委所评定分值的平均值，评标结果按评审后得分由高到低顺序排列。得分相同的，按投标报价由低到高顺序排列。得分且投标报价相同的并列</w:t>
      </w:r>
      <w:r>
        <w:rPr>
          <w:rFonts w:hint="eastAsia" w:ascii="宋体" w:hAnsi="宋体" w:cs="宋体"/>
          <w:color w:val="auto"/>
          <w:sz w:val="24"/>
          <w:highlight w:val="none"/>
          <w:lang w:eastAsia="zh-CN"/>
        </w:rPr>
        <w:t>，</w:t>
      </w:r>
      <w:r>
        <w:rPr>
          <w:rFonts w:hint="eastAsia" w:ascii="宋体" w:hAnsi="宋体" w:cs="宋体"/>
          <w:color w:val="auto"/>
          <w:sz w:val="24"/>
          <w:highlight w:val="none"/>
        </w:rPr>
        <w:t>按照技术标优劣顺序推荐。投标文件满足招标文件全部实质性要求，且按照评审因素的量化指标评审得分最高的</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为排名第一的中标候选人。未列入本评分细则的其他条件不作为评分内容。</w:t>
      </w:r>
    </w:p>
    <w:p>
      <w:pPr>
        <w:shd w:val="clear"/>
        <w:tabs>
          <w:tab w:val="left" w:pos="525"/>
          <w:tab w:val="left" w:pos="945"/>
        </w:tabs>
        <w:spacing w:line="360" w:lineRule="auto"/>
        <w:ind w:firstLine="480"/>
        <w:outlineLvl w:val="9"/>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（一）根据《关于推动解决政府采购异常低价问题的通知》（财库〔2026〕2号）要求，政府采购评审中出现下列情形之</w:t>
      </w:r>
      <w:r>
        <w:rPr>
          <w:rFonts w:hint="eastAsia" w:ascii="宋体" w:hAnsi="宋体" w:eastAsia="宋体" w:cs="Times New Roman"/>
          <w:bCs/>
          <w:color w:val="auto"/>
          <w:sz w:val="24"/>
          <w:highlight w:val="none"/>
          <w:lang w:val="en-US" w:eastAsia="zh-CN"/>
        </w:rPr>
        <w:t>一</w:t>
      </w:r>
      <w:r>
        <w:rPr>
          <w:rFonts w:hint="eastAsia" w:ascii="宋体" w:hAnsi="宋体" w:eastAsia="宋体" w:cs="Times New Roman"/>
          <w:bCs/>
          <w:color w:val="auto"/>
          <w:sz w:val="24"/>
          <w:highlight w:val="none"/>
        </w:rPr>
        <w:t>的，评审委员会应当启动异常低价投标（响应）审查程序：</w:t>
      </w:r>
    </w:p>
    <w:p>
      <w:pPr>
        <w:shd w:val="clear"/>
        <w:tabs>
          <w:tab w:val="left" w:pos="525"/>
          <w:tab w:val="left" w:pos="945"/>
        </w:tabs>
        <w:spacing w:line="360" w:lineRule="auto"/>
        <w:ind w:firstLine="480"/>
        <w:outlineLvl w:val="9"/>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①投标（响应）报价低于全部通过符合性审查供应商投标（响应）报价平均值50%的，即投标（响应 ）报价＜全部通过符合性审查供应商投标（响应）报价平均值×50%；</w:t>
      </w:r>
    </w:p>
    <w:p>
      <w:pPr>
        <w:shd w:val="clear"/>
        <w:tabs>
          <w:tab w:val="left" w:pos="525"/>
          <w:tab w:val="left" w:pos="945"/>
        </w:tabs>
        <w:spacing w:line="360" w:lineRule="auto"/>
        <w:ind w:firstLine="480"/>
        <w:outlineLvl w:val="9"/>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②投标（响应）报价低于通过符合性审查的次低报价供应商投标（响应）报价50%的，即投标（响应 ）报价＜通过符合性审查的次低报价供应商投标（响应）报价×50%；</w:t>
      </w:r>
    </w:p>
    <w:p>
      <w:pPr>
        <w:shd w:val="clear"/>
        <w:tabs>
          <w:tab w:val="left" w:pos="525"/>
          <w:tab w:val="left" w:pos="945"/>
        </w:tabs>
        <w:spacing w:line="360" w:lineRule="auto"/>
        <w:ind w:firstLine="480"/>
        <w:outlineLvl w:val="9"/>
        <w:rPr>
          <w:rFonts w:hint="eastAsia" w:ascii="宋体" w:hAnsi="宋体" w:eastAsia="宋体" w:cs="Times New Roman"/>
          <w:bCs/>
          <w:color w:val="auto"/>
          <w:sz w:val="24"/>
          <w:highlight w:val="none"/>
          <w:lang w:eastAsia="zh-CN"/>
        </w:rPr>
      </w:pPr>
      <w:r>
        <w:rPr>
          <w:rFonts w:hint="eastAsia" w:ascii="宋体" w:hAnsi="宋体" w:eastAsia="宋体" w:cs="Times New Roman"/>
          <w:bCs/>
          <w:color w:val="auto"/>
          <w:sz w:val="24"/>
          <w:highlight w:val="none"/>
        </w:rPr>
        <w:t>③投标（响应）报价低于采购项目最高限价</w:t>
      </w:r>
      <w:r>
        <w:rPr>
          <w:rFonts w:hint="eastAsia" w:ascii="宋体" w:hAnsi="宋体" w:eastAsia="宋体" w:cs="Times New Roman"/>
          <w:bCs/>
          <w:color w:val="auto"/>
          <w:sz w:val="24"/>
          <w:highlight w:val="none"/>
          <w:lang w:val="en-US" w:eastAsia="zh-CN"/>
        </w:rPr>
        <w:t>65</w:t>
      </w:r>
      <w:r>
        <w:rPr>
          <w:rFonts w:hint="eastAsia" w:ascii="宋体" w:hAnsi="宋体" w:eastAsia="宋体" w:cs="Times New Roman"/>
          <w:bCs/>
          <w:color w:val="auto"/>
          <w:sz w:val="24"/>
          <w:highlight w:val="none"/>
        </w:rPr>
        <w:t>%的，即投标（响应）报价＜采购项目最高限价×</w:t>
      </w:r>
      <w:r>
        <w:rPr>
          <w:rFonts w:hint="eastAsia" w:ascii="宋体" w:hAnsi="宋体" w:eastAsia="宋体" w:cs="Times New Roman"/>
          <w:bCs/>
          <w:color w:val="auto"/>
          <w:sz w:val="24"/>
          <w:highlight w:val="none"/>
          <w:lang w:val="en-US" w:eastAsia="zh-CN"/>
        </w:rPr>
        <w:t>65</w:t>
      </w:r>
      <w:r>
        <w:rPr>
          <w:rFonts w:hint="eastAsia" w:ascii="宋体" w:hAnsi="宋体" w:eastAsia="宋体" w:cs="Times New Roman"/>
          <w:bCs/>
          <w:color w:val="auto"/>
          <w:sz w:val="24"/>
          <w:highlight w:val="none"/>
        </w:rPr>
        <w:t>%</w:t>
      </w:r>
      <w:r>
        <w:rPr>
          <w:rFonts w:hint="eastAsia" w:ascii="宋体" w:hAnsi="宋体" w:eastAsia="宋体" w:cs="Times New Roman"/>
          <w:bCs/>
          <w:color w:val="auto"/>
          <w:sz w:val="24"/>
          <w:highlight w:val="none"/>
          <w:lang w:eastAsia="zh-CN"/>
        </w:rPr>
        <w:t>；</w:t>
      </w:r>
    </w:p>
    <w:p>
      <w:pPr>
        <w:shd w:val="clear"/>
        <w:tabs>
          <w:tab w:val="left" w:pos="525"/>
          <w:tab w:val="left" w:pos="945"/>
        </w:tabs>
        <w:spacing w:line="360" w:lineRule="auto"/>
        <w:ind w:firstLine="480"/>
        <w:outlineLvl w:val="9"/>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④评审委员会基于专业判断，认为供应商报价过低，有可能影响产品质量或者不能诚信履约的其他情形。</w:t>
      </w:r>
    </w:p>
    <w:p>
      <w:pPr>
        <w:shd w:val="clear"/>
        <w:tabs>
          <w:tab w:val="left" w:pos="525"/>
          <w:tab w:val="left" w:pos="945"/>
        </w:tabs>
        <w:spacing w:line="360" w:lineRule="auto"/>
        <w:ind w:firstLine="480"/>
        <w:outlineLvl w:val="9"/>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lang w:eastAsia="zh-CN"/>
        </w:rPr>
        <w:t>（</w:t>
      </w:r>
      <w:r>
        <w:rPr>
          <w:rFonts w:hint="eastAsia" w:ascii="宋体" w:hAnsi="宋体" w:eastAsia="宋体" w:cs="Times New Roman"/>
          <w:bCs/>
          <w:color w:val="auto"/>
          <w:sz w:val="24"/>
          <w:highlight w:val="none"/>
          <w:lang w:val="en-US" w:eastAsia="zh-CN"/>
        </w:rPr>
        <w:t>二</w:t>
      </w:r>
      <w:r>
        <w:rPr>
          <w:rFonts w:hint="eastAsia" w:ascii="宋体" w:hAnsi="宋体" w:eastAsia="宋体" w:cs="Times New Roman"/>
          <w:bCs/>
          <w:color w:val="auto"/>
          <w:sz w:val="24"/>
          <w:highlight w:val="none"/>
          <w:lang w:eastAsia="zh-CN"/>
        </w:rPr>
        <w:t>）</w:t>
      </w:r>
      <w:r>
        <w:rPr>
          <w:rFonts w:hint="eastAsia" w:ascii="宋体" w:hAnsi="宋体" w:eastAsia="宋体" w:cs="Times New Roman"/>
          <w:bCs/>
          <w:color w:val="auto"/>
          <w:sz w:val="24"/>
          <w:highlight w:val="none"/>
        </w:rPr>
        <w:t>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p>
    <w:p>
      <w:pPr>
        <w:shd w:val="clear"/>
        <w:tabs>
          <w:tab w:val="left" w:pos="525"/>
          <w:tab w:val="left" w:pos="945"/>
        </w:tabs>
        <w:spacing w:line="360" w:lineRule="auto"/>
        <w:ind w:firstLine="480"/>
        <w:outlineLvl w:val="9"/>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shd w:val="clear"/>
        <w:tabs>
          <w:tab w:val="left" w:pos="525"/>
          <w:tab w:val="left" w:pos="945"/>
        </w:tabs>
        <w:spacing w:line="360" w:lineRule="auto"/>
        <w:ind w:firstLine="480"/>
        <w:outlineLvl w:val="9"/>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异常低价投标（响应）审查的启动原因、审查意见和审查结果应当在评审报告中记录，并随供应商提供的相关书面说明及证明材料，以及评审委员会有关互联网浏览、查询历史一并归档。</w:t>
      </w:r>
    </w:p>
    <w:p>
      <w:pPr>
        <w:pStyle w:val="104"/>
        <w:shd w:val="clear"/>
        <w:outlineLvl w:val="9"/>
        <w:rPr>
          <w:rFonts w:hint="eastAsia" w:ascii="宋体" w:hAnsi="宋体" w:cs="宋体"/>
          <w:color w:val="auto"/>
          <w:sz w:val="24"/>
          <w:highlight w:val="none"/>
        </w:rPr>
      </w:pPr>
      <w:r>
        <w:rPr>
          <w:rFonts w:hint="eastAsia" w:ascii="宋体" w:hAnsi="宋体" w:eastAsia="宋体" w:cs="Times New Roman"/>
          <w:bCs/>
          <w:color w:val="auto"/>
          <w:sz w:val="24"/>
          <w:highlight w:val="none"/>
        </w:rPr>
        <w:t>财政部门在投诉处理、监督检查中发现评审委员会未按规定对异常低价开展审查的，依法予以纠正并追究评审专家的法律责任。</w:t>
      </w:r>
    </w:p>
    <w:p>
      <w:pPr>
        <w:shd w:val="clear"/>
        <w:outlineLvl w:val="9"/>
        <w:rPr>
          <w:rFonts w:hint="eastAsia"/>
          <w:color w:val="auto"/>
          <w:highlight w:val="none"/>
        </w:rPr>
      </w:pPr>
    </w:p>
    <w:p>
      <w:pPr>
        <w:pStyle w:val="5"/>
        <w:shd w:val="clear"/>
        <w:bidi w:val="0"/>
        <w:rPr>
          <w:color w:val="auto"/>
          <w:highlight w:val="none"/>
        </w:rPr>
      </w:pPr>
      <w:r>
        <w:rPr>
          <w:rFonts w:hint="eastAsia"/>
          <w:color w:val="auto"/>
          <w:highlight w:val="none"/>
        </w:rPr>
        <w:t>评分项目及总分（总分100分）</w:t>
      </w:r>
    </w:p>
    <w:p>
      <w:pPr>
        <w:shd w:val="clear"/>
        <w:tabs>
          <w:tab w:val="left" w:pos="945"/>
          <w:tab w:val="left" w:pos="1146"/>
        </w:tabs>
        <w:spacing w:line="360" w:lineRule="auto"/>
        <w:ind w:firstLine="482"/>
        <w:outlineLvl w:val="9"/>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1、</w:t>
      </w:r>
      <w:r>
        <w:rPr>
          <w:rFonts w:hint="eastAsia" w:ascii="宋体" w:hAnsi="宋体" w:cs="宋体"/>
          <w:b w:val="0"/>
          <w:bCs w:val="0"/>
          <w:color w:val="auto"/>
          <w:sz w:val="24"/>
          <w:highlight w:val="none"/>
          <w:lang w:val="en-US" w:eastAsia="zh-CN"/>
        </w:rPr>
        <w:t>投标</w:t>
      </w:r>
      <w:r>
        <w:rPr>
          <w:rFonts w:hint="eastAsia" w:ascii="宋体" w:hAnsi="宋体" w:cs="宋体"/>
          <w:b w:val="0"/>
          <w:bCs w:val="0"/>
          <w:color w:val="auto"/>
          <w:sz w:val="24"/>
          <w:highlight w:val="none"/>
        </w:rPr>
        <w:t>报价</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rPr>
        <w:t xml:space="preserve">                            </w:t>
      </w:r>
      <w:r>
        <w:rPr>
          <w:rFonts w:hint="eastAsia" w:ascii="宋体" w:hAnsi="宋体" w:cs="宋体"/>
          <w:b w:val="0"/>
          <w:bCs w:val="0"/>
          <w:color w:val="auto"/>
          <w:sz w:val="24"/>
          <w:highlight w:val="none"/>
          <w:lang w:val="en-US" w:eastAsia="zh-CN"/>
        </w:rPr>
        <w:t>30</w:t>
      </w:r>
      <w:r>
        <w:rPr>
          <w:rFonts w:hint="eastAsia" w:ascii="宋体" w:hAnsi="宋体" w:cs="宋体"/>
          <w:b w:val="0"/>
          <w:bCs w:val="0"/>
          <w:color w:val="auto"/>
          <w:sz w:val="24"/>
          <w:highlight w:val="none"/>
        </w:rPr>
        <w:t>分</w:t>
      </w:r>
    </w:p>
    <w:p>
      <w:pPr>
        <w:shd w:val="clear"/>
        <w:tabs>
          <w:tab w:val="left" w:pos="945"/>
          <w:tab w:val="left" w:pos="1146"/>
        </w:tabs>
        <w:spacing w:line="360" w:lineRule="auto"/>
        <w:ind w:firstLine="482"/>
        <w:outlineLvl w:val="9"/>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2、投标供应商评价</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rPr>
        <w:t xml:space="preserve">           </w:t>
      </w:r>
      <w:r>
        <w:rPr>
          <w:rFonts w:hint="eastAsia" w:ascii="宋体" w:hAnsi="宋体" w:cs="宋体"/>
          <w:b w:val="0"/>
          <w:bCs w:val="0"/>
          <w:color w:val="auto"/>
          <w:sz w:val="24"/>
          <w:highlight w:val="none"/>
          <w:lang w:val="en-US" w:eastAsia="zh-CN"/>
        </w:rPr>
        <w:t>22</w:t>
      </w:r>
      <w:r>
        <w:rPr>
          <w:rFonts w:hint="eastAsia" w:ascii="宋体" w:hAnsi="宋体" w:cs="宋体"/>
          <w:b w:val="0"/>
          <w:bCs w:val="0"/>
          <w:color w:val="auto"/>
          <w:sz w:val="24"/>
          <w:highlight w:val="none"/>
        </w:rPr>
        <w:t>分</w:t>
      </w:r>
    </w:p>
    <w:p>
      <w:pPr>
        <w:shd w:val="clear"/>
        <w:tabs>
          <w:tab w:val="left" w:pos="945"/>
          <w:tab w:val="left" w:pos="1146"/>
        </w:tabs>
        <w:spacing w:line="360" w:lineRule="auto"/>
        <w:ind w:firstLine="482"/>
        <w:outlineLvl w:val="9"/>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3、技术文件                             </w:t>
      </w:r>
      <w:r>
        <w:rPr>
          <w:rFonts w:hint="eastAsia" w:ascii="宋体" w:hAnsi="宋体" w:cs="宋体"/>
          <w:b w:val="0"/>
          <w:bCs w:val="0"/>
          <w:color w:val="auto"/>
          <w:sz w:val="24"/>
          <w:highlight w:val="none"/>
          <w:lang w:val="en-US" w:eastAsia="zh-CN"/>
        </w:rPr>
        <w:t>48</w:t>
      </w:r>
      <w:r>
        <w:rPr>
          <w:rFonts w:hint="eastAsia" w:ascii="宋体" w:hAnsi="宋体" w:cs="宋体"/>
          <w:b w:val="0"/>
          <w:bCs w:val="0"/>
          <w:color w:val="auto"/>
          <w:sz w:val="24"/>
          <w:highlight w:val="none"/>
        </w:rPr>
        <w:t>分</w:t>
      </w:r>
    </w:p>
    <w:p>
      <w:pPr>
        <w:numPr>
          <w:ilvl w:val="0"/>
          <w:numId w:val="0"/>
        </w:numPr>
        <w:shd w:val="clear"/>
        <w:tabs>
          <w:tab w:val="left" w:pos="945"/>
          <w:tab w:val="left" w:pos="1155"/>
        </w:tabs>
        <w:spacing w:line="460" w:lineRule="exact"/>
        <w:ind w:left="210" w:firstLine="0"/>
        <w:outlineLvl w:val="9"/>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（二</w:t>
      </w:r>
      <w:r>
        <w:rPr>
          <w:rFonts w:hint="eastAsia" w:ascii="宋体" w:hAnsi="宋体" w:cs="宋体"/>
          <w:b w:val="0"/>
          <w:bCs w:val="0"/>
          <w:color w:val="auto"/>
          <w:sz w:val="24"/>
          <w:highlight w:val="none"/>
          <w:lang w:eastAsia="zh-CN"/>
        </w:rPr>
        <w:t>）</w:t>
      </w:r>
      <w:r>
        <w:rPr>
          <w:rFonts w:hint="eastAsia" w:ascii="宋体" w:hAnsi="宋体" w:cs="宋体"/>
          <w:b w:val="0"/>
          <w:bCs w:val="0"/>
          <w:color w:val="auto"/>
          <w:sz w:val="24"/>
          <w:highlight w:val="none"/>
        </w:rPr>
        <w:t>各项目评分标准</w:t>
      </w:r>
    </w:p>
    <w:p>
      <w:pPr>
        <w:shd w:val="clear"/>
        <w:spacing w:line="360" w:lineRule="auto"/>
        <w:ind w:firstLine="480"/>
        <w:jc w:val="left"/>
        <w:outlineLvl w:val="9"/>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（一）价格（30分）</w:t>
      </w:r>
    </w:p>
    <w:p>
      <w:pPr>
        <w:shd w:val="clear"/>
        <w:spacing w:line="360" w:lineRule="auto"/>
        <w:ind w:firstLine="480"/>
        <w:jc w:val="left"/>
        <w:outlineLvl w:val="9"/>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采用低价优先法计算，即满足招标文件要求且投标价格最低的投标报价为评标基准价，其价格分为满分。其他投标供应商的价格分统一按照下列公式计算： </w:t>
      </w:r>
    </w:p>
    <w:p>
      <w:pPr>
        <w:shd w:val="clear"/>
        <w:spacing w:line="360" w:lineRule="auto"/>
        <w:ind w:firstLine="480"/>
        <w:jc w:val="left"/>
        <w:outlineLvl w:val="9"/>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投标报价得分=（评标基准价／投标报价）×价格权值×100，结果保留两位小数。 </w:t>
      </w:r>
    </w:p>
    <w:p>
      <w:pPr>
        <w:shd w:val="clear"/>
        <w:spacing w:line="360" w:lineRule="auto"/>
        <w:ind w:firstLine="480"/>
        <w:jc w:val="left"/>
        <w:outlineLvl w:val="9"/>
        <w:rPr>
          <w:rFonts w:hint="eastAsia" w:ascii="宋体" w:hAnsi="宋体" w:cs="宋体"/>
          <w:b w:val="0"/>
          <w:bCs w:val="0"/>
          <w:color w:val="auto"/>
          <w:sz w:val="24"/>
          <w:highlight w:val="none"/>
          <w:lang w:val="en-US" w:eastAsia="zh-CN"/>
        </w:rPr>
      </w:pPr>
      <w:bookmarkStart w:id="3" w:name="_Hlk58858644"/>
      <w:r>
        <w:rPr>
          <w:rFonts w:hint="eastAsia" w:ascii="宋体" w:hAnsi="宋体" w:cs="宋体"/>
          <w:b w:val="0"/>
          <w:bCs w:val="0"/>
          <w:color w:val="auto"/>
          <w:sz w:val="24"/>
          <w:highlight w:val="none"/>
          <w:lang w:val="en-US" w:eastAsia="zh-CN"/>
        </w:rPr>
        <w:t>价格扣除：本项目专门面向中小微企业，</w:t>
      </w:r>
      <w:bookmarkEnd w:id="3"/>
      <w:r>
        <w:rPr>
          <w:rFonts w:hint="eastAsia" w:ascii="宋体" w:hAnsi="宋体" w:cs="宋体"/>
          <w:b w:val="0"/>
          <w:bCs w:val="0"/>
          <w:color w:val="auto"/>
          <w:sz w:val="24"/>
          <w:highlight w:val="none"/>
          <w:lang w:val="en-US" w:eastAsia="zh-CN"/>
        </w:rPr>
        <w:t>不再执行价格评审优惠的扶持政策。</w:t>
      </w:r>
    </w:p>
    <w:p>
      <w:pPr>
        <w:shd w:val="clear"/>
        <w:spacing w:line="360" w:lineRule="auto"/>
        <w:ind w:firstLine="480"/>
        <w:jc w:val="left"/>
        <w:outlineLvl w:val="9"/>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评标委员会认为投标供应商的报价明显低于其他通过符合性审查的投标供应商的报价，有可能影响产品质量或者不能诚信履约的，将要求其在合理的时间内（自江苏省政府采购（苏采云）平台通知之时起一小时内）提供书面说明，必要时提交相关证明材料；投标供应商不能证明其报价合理性的，评标委员会将其作为无效投标处理。</w:t>
      </w:r>
    </w:p>
    <w:p>
      <w:pPr>
        <w:shd w:val="clear"/>
        <w:spacing w:line="360" w:lineRule="auto"/>
        <w:ind w:firstLine="480"/>
        <w:jc w:val="left"/>
        <w:outlineLvl w:val="9"/>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（二）商务标部分 （22分）</w:t>
      </w:r>
    </w:p>
    <w:p>
      <w:pPr>
        <w:shd w:val="clear"/>
        <w:spacing w:line="360" w:lineRule="auto"/>
        <w:ind w:firstLine="480"/>
        <w:jc w:val="left"/>
        <w:outlineLvl w:val="9"/>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1.业绩（2分）</w:t>
      </w:r>
    </w:p>
    <w:p>
      <w:pPr>
        <w:shd w:val="clear"/>
        <w:spacing w:line="360" w:lineRule="auto"/>
        <w:ind w:firstLine="480"/>
        <w:jc w:val="left"/>
        <w:outlineLvl w:val="9"/>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投标供应商自202</w:t>
      </w:r>
      <w:r>
        <w:rPr>
          <w:rFonts w:hint="eastAsia" w:ascii="宋体" w:hAnsi="宋体" w:cs="宋体"/>
          <w:b w:val="0"/>
          <w:bCs w:val="0"/>
          <w:color w:val="auto"/>
          <w:sz w:val="24"/>
          <w:highlight w:val="none"/>
          <w:lang w:val="en-US" w:eastAsia="zh-CN"/>
        </w:rPr>
        <w:t>3</w:t>
      </w:r>
      <w:r>
        <w:rPr>
          <w:rFonts w:hint="eastAsia" w:ascii="宋体" w:hAnsi="宋体" w:cs="宋体"/>
          <w:b w:val="0"/>
          <w:bCs w:val="0"/>
          <w:color w:val="auto"/>
          <w:sz w:val="24"/>
          <w:highlight w:val="none"/>
        </w:rPr>
        <w:t>年1月1日起（以合同签订时间为准）至今承担过</w:t>
      </w:r>
      <w:r>
        <w:rPr>
          <w:rFonts w:hint="eastAsia" w:ascii="宋体" w:hAnsi="宋体" w:cs="宋体"/>
          <w:b w:val="0"/>
          <w:bCs w:val="0"/>
          <w:color w:val="auto"/>
          <w:sz w:val="24"/>
          <w:highlight w:val="none"/>
          <w:lang w:val="en-US" w:eastAsia="zh-CN"/>
        </w:rPr>
        <w:t>类似业绩</w:t>
      </w:r>
      <w:r>
        <w:rPr>
          <w:rFonts w:hint="eastAsia" w:ascii="宋体" w:hAnsi="宋体" w:cs="宋体"/>
          <w:b w:val="0"/>
          <w:bCs w:val="0"/>
          <w:color w:val="auto"/>
          <w:sz w:val="24"/>
          <w:highlight w:val="none"/>
        </w:rPr>
        <w:t>（指管网运行维护类项目）的，每项得1分，最高得</w:t>
      </w:r>
      <w:r>
        <w:rPr>
          <w:rFonts w:hint="eastAsia" w:ascii="宋体" w:hAnsi="宋体" w:cs="宋体"/>
          <w:b w:val="0"/>
          <w:bCs w:val="0"/>
          <w:color w:val="auto"/>
          <w:sz w:val="24"/>
          <w:highlight w:val="none"/>
          <w:lang w:val="en-US" w:eastAsia="zh-CN"/>
        </w:rPr>
        <w:t>2</w:t>
      </w:r>
      <w:r>
        <w:rPr>
          <w:rFonts w:hint="eastAsia" w:ascii="宋体" w:hAnsi="宋体" w:cs="宋体"/>
          <w:b w:val="0"/>
          <w:bCs w:val="0"/>
          <w:color w:val="auto"/>
          <w:sz w:val="24"/>
          <w:highlight w:val="none"/>
        </w:rPr>
        <w:t>分。提供相关</w:t>
      </w:r>
      <w:r>
        <w:rPr>
          <w:rFonts w:hint="eastAsia" w:ascii="宋体" w:hAnsi="宋体" w:cs="宋体"/>
          <w:b w:val="0"/>
          <w:bCs w:val="0"/>
          <w:color w:val="auto"/>
          <w:sz w:val="24"/>
          <w:highlight w:val="none"/>
          <w:lang w:val="en-US" w:eastAsia="zh-CN"/>
        </w:rPr>
        <w:t>中标通知书及合同</w:t>
      </w:r>
      <w:r>
        <w:rPr>
          <w:rFonts w:hint="eastAsia" w:ascii="宋体" w:hAnsi="宋体" w:cs="宋体"/>
          <w:b w:val="0"/>
          <w:bCs w:val="0"/>
          <w:color w:val="auto"/>
          <w:sz w:val="24"/>
          <w:highlight w:val="none"/>
        </w:rPr>
        <w:t>原件扫描件并加盖公章（或电子签章）上传至投标文件中，未按要求提供的不得分。</w:t>
      </w:r>
    </w:p>
    <w:p>
      <w:pPr>
        <w:shd w:val="clear"/>
        <w:spacing w:line="360" w:lineRule="auto"/>
        <w:ind w:firstLine="480"/>
        <w:jc w:val="left"/>
        <w:outlineLvl w:val="9"/>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2.项目组人员配备 （</w:t>
      </w:r>
      <w:r>
        <w:rPr>
          <w:rFonts w:hint="eastAsia" w:ascii="宋体" w:hAnsi="宋体" w:eastAsia="宋体" w:cs="宋体"/>
          <w:b w:val="0"/>
          <w:bCs w:val="0"/>
          <w:color w:val="auto"/>
          <w:sz w:val="24"/>
          <w:highlight w:val="none"/>
          <w:lang w:val="en-US" w:eastAsia="zh-CN"/>
        </w:rPr>
        <w:t>7</w:t>
      </w:r>
      <w:r>
        <w:rPr>
          <w:rFonts w:hint="eastAsia" w:ascii="宋体" w:hAnsi="宋体" w:cs="宋体"/>
          <w:b w:val="0"/>
          <w:bCs w:val="0"/>
          <w:color w:val="auto"/>
          <w:sz w:val="24"/>
          <w:highlight w:val="none"/>
          <w:lang w:val="en-US" w:eastAsia="zh-CN"/>
        </w:rPr>
        <w:t>分）</w:t>
      </w:r>
    </w:p>
    <w:p>
      <w:pPr>
        <w:shd w:val="clear"/>
        <w:spacing w:line="360" w:lineRule="auto"/>
        <w:ind w:firstLine="480"/>
        <w:jc w:val="left"/>
        <w:outlineLvl w:val="9"/>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（1）</w:t>
      </w:r>
      <w:r>
        <w:rPr>
          <w:rFonts w:hint="default" w:ascii="宋体" w:hAnsi="宋体" w:cs="宋体"/>
          <w:b w:val="0"/>
          <w:bCs w:val="0"/>
          <w:color w:val="auto"/>
          <w:sz w:val="24"/>
          <w:highlight w:val="none"/>
          <w:lang w:val="en-US" w:eastAsia="zh-CN"/>
        </w:rPr>
        <w:t>项目负责人：拟派项目负责人具备有效期内的市政公用工程贰级及以上注册建造师证书</w:t>
      </w:r>
      <w:r>
        <w:rPr>
          <w:rFonts w:hint="eastAsia" w:ascii="宋体" w:hAnsi="宋体" w:cs="宋体"/>
          <w:b w:val="0"/>
          <w:bCs w:val="0"/>
          <w:color w:val="auto"/>
          <w:sz w:val="24"/>
          <w:highlight w:val="none"/>
          <w:lang w:val="en-US" w:eastAsia="zh-CN"/>
        </w:rPr>
        <w:t>且</w:t>
      </w:r>
      <w:r>
        <w:rPr>
          <w:rFonts w:hint="default" w:ascii="宋体" w:hAnsi="宋体" w:cs="宋体"/>
          <w:b w:val="0"/>
          <w:bCs w:val="0"/>
          <w:color w:val="auto"/>
          <w:sz w:val="24"/>
          <w:highlight w:val="none"/>
          <w:lang w:val="en-US" w:eastAsia="zh-CN"/>
        </w:rPr>
        <w:t>具备</w:t>
      </w:r>
      <w:r>
        <w:rPr>
          <w:rFonts w:hint="eastAsia" w:ascii="宋体" w:hAnsi="宋体" w:cs="宋体"/>
          <w:b w:val="0"/>
          <w:bCs w:val="0"/>
          <w:color w:val="auto"/>
          <w:sz w:val="24"/>
          <w:highlight w:val="none"/>
          <w:lang w:val="en-US" w:eastAsia="zh-CN"/>
        </w:rPr>
        <w:t>给排水专业中级</w:t>
      </w:r>
      <w:r>
        <w:rPr>
          <w:rFonts w:hint="eastAsia" w:ascii="宋体" w:hAnsi="宋体" w:cs="宋体"/>
          <w:color w:val="auto"/>
          <w:spacing w:val="4"/>
          <w:sz w:val="24"/>
          <w:szCs w:val="24"/>
          <w:highlight w:val="none"/>
          <w:lang w:eastAsia="zh-CN"/>
        </w:rPr>
        <w:t>（</w:t>
      </w:r>
      <w:r>
        <w:rPr>
          <w:rFonts w:hint="eastAsia" w:ascii="宋体" w:hAnsi="宋体" w:eastAsia="宋体" w:cs="宋体"/>
          <w:color w:val="auto"/>
          <w:spacing w:val="4"/>
          <w:sz w:val="24"/>
          <w:szCs w:val="24"/>
          <w:highlight w:val="none"/>
        </w:rPr>
        <w:t>含</w:t>
      </w:r>
      <w:r>
        <w:rPr>
          <w:rFonts w:hint="eastAsia" w:ascii="宋体" w:hAnsi="宋体" w:cs="宋体"/>
          <w:color w:val="auto"/>
          <w:spacing w:val="4"/>
          <w:sz w:val="24"/>
          <w:szCs w:val="24"/>
          <w:highlight w:val="none"/>
          <w:lang w:eastAsia="zh-CN"/>
        </w:rPr>
        <w:t>）</w:t>
      </w:r>
      <w:r>
        <w:rPr>
          <w:rFonts w:hint="default" w:ascii="宋体" w:hAnsi="宋体" w:cs="宋体"/>
          <w:b w:val="0"/>
          <w:bCs w:val="0"/>
          <w:color w:val="auto"/>
          <w:sz w:val="24"/>
          <w:highlight w:val="none"/>
          <w:lang w:val="en-US" w:eastAsia="zh-CN"/>
        </w:rPr>
        <w:t>及以上职称</w:t>
      </w:r>
      <w:r>
        <w:rPr>
          <w:rFonts w:hint="eastAsia" w:ascii="宋体" w:hAnsi="宋体" w:cs="宋体"/>
          <w:b w:val="0"/>
          <w:bCs w:val="0"/>
          <w:color w:val="auto"/>
          <w:sz w:val="24"/>
          <w:highlight w:val="none"/>
          <w:lang w:val="en-US" w:eastAsia="zh-CN"/>
        </w:rPr>
        <w:t>证的</w:t>
      </w:r>
      <w:r>
        <w:rPr>
          <w:rFonts w:hint="default" w:ascii="宋体" w:hAnsi="宋体" w:cs="宋体"/>
          <w:b w:val="0"/>
          <w:bCs w:val="0"/>
          <w:color w:val="auto"/>
          <w:sz w:val="24"/>
          <w:highlight w:val="none"/>
          <w:lang w:val="en-US" w:eastAsia="zh-CN"/>
        </w:rPr>
        <w:t>得</w:t>
      </w:r>
      <w:r>
        <w:rPr>
          <w:rFonts w:hint="eastAsia" w:ascii="宋体" w:hAnsi="宋体" w:cs="宋体"/>
          <w:b w:val="0"/>
          <w:bCs w:val="0"/>
          <w:color w:val="auto"/>
          <w:sz w:val="24"/>
          <w:highlight w:val="none"/>
          <w:lang w:val="en-US" w:eastAsia="zh-CN"/>
        </w:rPr>
        <w:t>2</w:t>
      </w:r>
      <w:r>
        <w:rPr>
          <w:rFonts w:hint="default" w:ascii="宋体" w:hAnsi="宋体" w:cs="宋体"/>
          <w:b w:val="0"/>
          <w:bCs w:val="0"/>
          <w:color w:val="auto"/>
          <w:sz w:val="24"/>
          <w:highlight w:val="none"/>
          <w:lang w:val="en-US" w:eastAsia="zh-CN"/>
        </w:rPr>
        <w:t>分，本项最高得</w:t>
      </w:r>
      <w:r>
        <w:rPr>
          <w:rFonts w:hint="eastAsia" w:ascii="宋体" w:hAnsi="宋体" w:cs="宋体"/>
          <w:b w:val="0"/>
          <w:bCs w:val="0"/>
          <w:color w:val="auto"/>
          <w:sz w:val="24"/>
          <w:highlight w:val="none"/>
          <w:lang w:val="en-US" w:eastAsia="zh-CN"/>
        </w:rPr>
        <w:t>2</w:t>
      </w:r>
      <w:r>
        <w:rPr>
          <w:rFonts w:hint="default" w:ascii="宋体" w:hAnsi="宋体" w:cs="宋体"/>
          <w:b w:val="0"/>
          <w:bCs w:val="0"/>
          <w:color w:val="auto"/>
          <w:sz w:val="24"/>
          <w:highlight w:val="none"/>
          <w:lang w:val="en-US" w:eastAsia="zh-CN"/>
        </w:rPr>
        <w:t>分。</w:t>
      </w:r>
    </w:p>
    <w:p>
      <w:pPr>
        <w:shd w:val="clear"/>
        <w:spacing w:line="360" w:lineRule="auto"/>
        <w:ind w:firstLine="480"/>
        <w:jc w:val="left"/>
        <w:outlineLvl w:val="9"/>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（2）技术负责人：拟派技术负责人</w:t>
      </w:r>
      <w:r>
        <w:rPr>
          <w:rFonts w:hint="default" w:ascii="宋体" w:hAnsi="宋体" w:cs="宋体"/>
          <w:b w:val="0"/>
          <w:bCs w:val="0"/>
          <w:color w:val="auto"/>
          <w:sz w:val="24"/>
          <w:highlight w:val="none"/>
          <w:lang w:val="en-US" w:eastAsia="zh-CN"/>
        </w:rPr>
        <w:t>具备</w:t>
      </w:r>
      <w:r>
        <w:rPr>
          <w:rFonts w:hint="eastAsia" w:ascii="宋体" w:hAnsi="宋体" w:eastAsia="宋体" w:cs="宋体"/>
          <w:color w:val="auto"/>
          <w:spacing w:val="4"/>
          <w:sz w:val="24"/>
          <w:szCs w:val="24"/>
          <w:highlight w:val="none"/>
        </w:rPr>
        <w:t>给排水专业或市政养护专业</w:t>
      </w:r>
      <w:r>
        <w:rPr>
          <w:rFonts w:hint="eastAsia" w:ascii="宋体" w:hAnsi="宋体" w:eastAsia="宋体" w:cs="宋体"/>
          <w:color w:val="auto"/>
          <w:spacing w:val="4"/>
          <w:sz w:val="24"/>
          <w:szCs w:val="24"/>
          <w:highlight w:val="none"/>
          <w:lang w:val="en-US" w:eastAsia="zh-CN"/>
        </w:rPr>
        <w:t>中</w:t>
      </w:r>
      <w:r>
        <w:rPr>
          <w:rFonts w:hint="eastAsia" w:ascii="宋体" w:hAnsi="宋体" w:eastAsia="宋体" w:cs="宋体"/>
          <w:color w:val="auto"/>
          <w:spacing w:val="4"/>
          <w:sz w:val="24"/>
          <w:szCs w:val="24"/>
          <w:highlight w:val="none"/>
        </w:rPr>
        <w:t>级</w:t>
      </w:r>
      <w:r>
        <w:rPr>
          <w:rFonts w:hint="eastAsia" w:ascii="宋体" w:hAnsi="宋体" w:cs="宋体"/>
          <w:color w:val="auto"/>
          <w:spacing w:val="4"/>
          <w:sz w:val="24"/>
          <w:szCs w:val="24"/>
          <w:highlight w:val="none"/>
          <w:lang w:eastAsia="zh-CN"/>
        </w:rPr>
        <w:t>（</w:t>
      </w:r>
      <w:r>
        <w:rPr>
          <w:rFonts w:hint="eastAsia" w:ascii="宋体" w:hAnsi="宋体" w:eastAsia="宋体" w:cs="宋体"/>
          <w:color w:val="auto"/>
          <w:spacing w:val="4"/>
          <w:sz w:val="24"/>
          <w:szCs w:val="24"/>
          <w:highlight w:val="none"/>
        </w:rPr>
        <w:t>含</w:t>
      </w:r>
      <w:r>
        <w:rPr>
          <w:rFonts w:hint="eastAsia" w:ascii="宋体" w:hAnsi="宋体" w:cs="宋体"/>
          <w:color w:val="auto"/>
          <w:spacing w:val="4"/>
          <w:sz w:val="24"/>
          <w:szCs w:val="24"/>
          <w:highlight w:val="none"/>
          <w:lang w:eastAsia="zh-CN"/>
        </w:rPr>
        <w:t>）</w:t>
      </w:r>
      <w:r>
        <w:rPr>
          <w:rFonts w:hint="eastAsia" w:ascii="宋体" w:hAnsi="宋体" w:eastAsia="宋体" w:cs="宋体"/>
          <w:color w:val="auto"/>
          <w:spacing w:val="4"/>
          <w:sz w:val="24"/>
          <w:szCs w:val="24"/>
          <w:highlight w:val="none"/>
        </w:rPr>
        <w:t>以上职称</w:t>
      </w:r>
      <w:r>
        <w:rPr>
          <w:rFonts w:hint="eastAsia" w:ascii="宋体" w:hAnsi="宋体" w:eastAsia="宋体" w:cs="宋体"/>
          <w:color w:val="auto"/>
          <w:spacing w:val="4"/>
          <w:sz w:val="24"/>
          <w:szCs w:val="24"/>
          <w:highlight w:val="none"/>
          <w:lang w:val="en-US" w:eastAsia="zh-CN"/>
        </w:rPr>
        <w:t>证的得</w:t>
      </w:r>
      <w:r>
        <w:rPr>
          <w:rFonts w:hint="eastAsia" w:ascii="宋体" w:hAnsi="宋体" w:cs="宋体"/>
          <w:b w:val="0"/>
          <w:bCs w:val="0"/>
          <w:color w:val="auto"/>
          <w:sz w:val="24"/>
          <w:highlight w:val="none"/>
          <w:lang w:val="en-US" w:eastAsia="zh-CN"/>
        </w:rPr>
        <w:t>1</w:t>
      </w:r>
      <w:r>
        <w:rPr>
          <w:rFonts w:hint="default" w:ascii="宋体" w:hAnsi="宋体" w:cs="宋体"/>
          <w:b w:val="0"/>
          <w:bCs w:val="0"/>
          <w:color w:val="auto"/>
          <w:sz w:val="24"/>
          <w:highlight w:val="none"/>
          <w:lang w:val="en-US" w:eastAsia="zh-CN"/>
        </w:rPr>
        <w:t>分</w:t>
      </w:r>
      <w:r>
        <w:rPr>
          <w:rFonts w:hint="eastAsia" w:ascii="宋体" w:hAnsi="宋体" w:cs="宋体"/>
          <w:b w:val="0"/>
          <w:bCs w:val="0"/>
          <w:color w:val="auto"/>
          <w:sz w:val="24"/>
          <w:highlight w:val="none"/>
          <w:lang w:val="en-US" w:eastAsia="zh-CN"/>
        </w:rPr>
        <w:t xml:space="preserve">，本项最高得1分。 </w:t>
      </w:r>
    </w:p>
    <w:p>
      <w:pPr>
        <w:shd w:val="clear"/>
        <w:spacing w:line="360" w:lineRule="auto"/>
        <w:ind w:firstLine="480"/>
        <w:jc w:val="left"/>
        <w:outlineLvl w:val="9"/>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w:t>
      </w:r>
      <w:r>
        <w:rPr>
          <w:rFonts w:hint="eastAsia" w:ascii="宋体" w:hAnsi="宋体" w:cs="宋体"/>
          <w:b w:val="0"/>
          <w:bCs w:val="0"/>
          <w:color w:val="auto"/>
          <w:sz w:val="24"/>
          <w:highlight w:val="none"/>
          <w:lang w:val="en-US" w:eastAsia="zh"/>
        </w:rPr>
        <w:t>3</w:t>
      </w:r>
      <w:r>
        <w:rPr>
          <w:rFonts w:hint="eastAsia" w:ascii="宋体" w:hAnsi="宋体" w:cs="宋体"/>
          <w:b w:val="0"/>
          <w:bCs w:val="0"/>
          <w:color w:val="auto"/>
          <w:sz w:val="24"/>
          <w:highlight w:val="none"/>
          <w:lang w:val="en-US" w:eastAsia="zh-CN"/>
        </w:rPr>
        <w:t>）其他人员：</w:t>
      </w:r>
    </w:p>
    <w:p>
      <w:pPr>
        <w:shd w:val="clear"/>
        <w:spacing w:line="360" w:lineRule="auto"/>
        <w:ind w:firstLine="480"/>
        <w:jc w:val="left"/>
        <w:outlineLvl w:val="9"/>
        <w:rPr>
          <w:rFonts w:hint="eastAsia" w:ascii="宋体" w:hAnsi="宋体" w:eastAsia="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fldChar w:fldCharType="begin"/>
      </w:r>
      <w:r>
        <w:rPr>
          <w:rFonts w:hint="eastAsia" w:ascii="宋体" w:hAnsi="宋体" w:cs="宋体"/>
          <w:b w:val="0"/>
          <w:bCs w:val="0"/>
          <w:color w:val="auto"/>
          <w:sz w:val="24"/>
          <w:highlight w:val="none"/>
          <w:lang w:val="en-US" w:eastAsia="zh-CN"/>
        </w:rPr>
        <w:instrText xml:space="preserve"> = 1 \* GB3 \* MERGEFORMAT </w:instrText>
      </w:r>
      <w:r>
        <w:rPr>
          <w:rFonts w:hint="eastAsia" w:ascii="宋体" w:hAnsi="宋体" w:cs="宋体"/>
          <w:b w:val="0"/>
          <w:bCs w:val="0"/>
          <w:color w:val="auto"/>
          <w:sz w:val="24"/>
          <w:highlight w:val="none"/>
          <w:lang w:val="en-US" w:eastAsia="zh-CN"/>
        </w:rPr>
        <w:fldChar w:fldCharType="separate"/>
      </w:r>
      <w:r>
        <w:rPr>
          <w:rFonts w:hint="eastAsia" w:ascii="宋体" w:hAnsi="宋体" w:cs="宋体"/>
          <w:b w:val="0"/>
          <w:bCs w:val="0"/>
          <w:color w:val="auto"/>
          <w:sz w:val="24"/>
          <w:highlight w:val="none"/>
          <w:lang w:val="en-US" w:eastAsia="zh-CN"/>
        </w:rPr>
        <w:t>①</w:t>
      </w:r>
      <w:r>
        <w:rPr>
          <w:rFonts w:hint="eastAsia" w:ascii="宋体" w:hAnsi="宋体" w:cs="宋体"/>
          <w:b w:val="0"/>
          <w:bCs w:val="0"/>
          <w:color w:val="auto"/>
          <w:sz w:val="24"/>
          <w:highlight w:val="none"/>
          <w:lang w:val="en-US" w:eastAsia="zh-CN"/>
        </w:rPr>
        <w:fldChar w:fldCharType="end"/>
      </w:r>
      <w:r>
        <w:rPr>
          <w:rFonts w:hint="eastAsia" w:ascii="宋体" w:hAnsi="宋体" w:cs="宋体"/>
          <w:b w:val="0"/>
          <w:bCs w:val="0"/>
          <w:color w:val="auto"/>
          <w:sz w:val="24"/>
          <w:highlight w:val="none"/>
          <w:lang w:val="en-US" w:eastAsia="zh-CN"/>
        </w:rPr>
        <w:t>拟派</w:t>
      </w:r>
      <w:r>
        <w:rPr>
          <w:rFonts w:hint="eastAsia" w:ascii="宋体" w:hAnsi="宋体" w:eastAsia="宋体" w:cs="宋体"/>
          <w:color w:val="auto"/>
          <w:spacing w:val="4"/>
          <w:sz w:val="24"/>
          <w:szCs w:val="24"/>
          <w:highlight w:val="none"/>
          <w:lang w:val="en-US" w:eastAsia="en-US"/>
        </w:rPr>
        <w:t>项目组人员中具备给排水专业或者市政养护专业中级</w:t>
      </w:r>
      <w:r>
        <w:rPr>
          <w:rFonts w:hint="eastAsia" w:ascii="宋体" w:hAnsi="宋体" w:cs="宋体"/>
          <w:color w:val="auto"/>
          <w:spacing w:val="4"/>
          <w:sz w:val="24"/>
          <w:szCs w:val="24"/>
          <w:highlight w:val="none"/>
          <w:lang w:val="en-US" w:eastAsia="zh-CN"/>
        </w:rPr>
        <w:t>（</w:t>
      </w:r>
      <w:r>
        <w:rPr>
          <w:rFonts w:hint="eastAsia" w:ascii="宋体" w:hAnsi="宋体" w:eastAsia="宋体" w:cs="宋体"/>
          <w:color w:val="auto"/>
          <w:spacing w:val="4"/>
          <w:sz w:val="24"/>
          <w:szCs w:val="24"/>
          <w:highlight w:val="none"/>
          <w:lang w:val="en-US" w:eastAsia="en-US"/>
        </w:rPr>
        <w:t>含</w:t>
      </w:r>
      <w:r>
        <w:rPr>
          <w:rFonts w:hint="eastAsia" w:ascii="宋体" w:hAnsi="宋体" w:cs="宋体"/>
          <w:color w:val="auto"/>
          <w:spacing w:val="4"/>
          <w:sz w:val="24"/>
          <w:szCs w:val="24"/>
          <w:highlight w:val="none"/>
          <w:lang w:val="en-US" w:eastAsia="zh-CN"/>
        </w:rPr>
        <w:t>）及</w:t>
      </w:r>
      <w:r>
        <w:rPr>
          <w:rFonts w:hint="eastAsia" w:ascii="宋体" w:hAnsi="宋体" w:eastAsia="宋体" w:cs="宋体"/>
          <w:color w:val="auto"/>
          <w:spacing w:val="4"/>
          <w:sz w:val="24"/>
          <w:szCs w:val="24"/>
          <w:highlight w:val="none"/>
          <w:lang w:val="en-US" w:eastAsia="en-US"/>
        </w:rPr>
        <w:t>以上职称</w:t>
      </w:r>
      <w:r>
        <w:rPr>
          <w:rFonts w:hint="eastAsia" w:ascii="宋体" w:hAnsi="宋体" w:eastAsia="宋体" w:cs="宋体"/>
          <w:color w:val="auto"/>
          <w:spacing w:val="4"/>
          <w:sz w:val="24"/>
          <w:szCs w:val="24"/>
          <w:highlight w:val="none"/>
          <w:lang w:val="en-US" w:eastAsia="zh-CN"/>
        </w:rPr>
        <w:t>证的，</w:t>
      </w:r>
      <w:r>
        <w:rPr>
          <w:rFonts w:hint="eastAsia" w:ascii="宋体" w:hAnsi="宋体" w:eastAsia="宋体" w:cs="宋体"/>
          <w:color w:val="auto"/>
          <w:spacing w:val="4"/>
          <w:sz w:val="24"/>
          <w:szCs w:val="24"/>
          <w:highlight w:val="none"/>
          <w:lang w:val="en-US" w:eastAsia="en-US"/>
        </w:rPr>
        <w:t>有1人得</w:t>
      </w:r>
      <w:r>
        <w:rPr>
          <w:rFonts w:hint="eastAsia" w:ascii="宋体" w:hAnsi="宋体" w:eastAsia="宋体" w:cs="宋体"/>
          <w:color w:val="auto"/>
          <w:spacing w:val="4"/>
          <w:sz w:val="24"/>
          <w:szCs w:val="24"/>
          <w:highlight w:val="none"/>
          <w:lang w:val="en-US" w:eastAsia="zh-CN"/>
        </w:rPr>
        <w:t>1</w:t>
      </w:r>
      <w:r>
        <w:rPr>
          <w:rFonts w:hint="eastAsia" w:ascii="宋体" w:hAnsi="宋体" w:eastAsia="宋体" w:cs="宋体"/>
          <w:color w:val="auto"/>
          <w:spacing w:val="4"/>
          <w:sz w:val="24"/>
          <w:szCs w:val="24"/>
          <w:highlight w:val="none"/>
          <w:lang w:val="en-US" w:eastAsia="en-US"/>
        </w:rPr>
        <w:t>分，</w:t>
      </w:r>
      <w:r>
        <w:rPr>
          <w:rFonts w:hint="eastAsia" w:ascii="宋体" w:hAnsi="宋体" w:cs="宋体"/>
          <w:color w:val="auto"/>
          <w:spacing w:val="4"/>
          <w:sz w:val="24"/>
          <w:szCs w:val="24"/>
          <w:highlight w:val="none"/>
          <w:lang w:val="en-US" w:eastAsia="zh-CN"/>
        </w:rPr>
        <w:t>本项</w:t>
      </w:r>
      <w:r>
        <w:rPr>
          <w:rFonts w:hint="eastAsia" w:ascii="宋体" w:hAnsi="宋体" w:eastAsia="宋体" w:cs="宋体"/>
          <w:color w:val="auto"/>
          <w:spacing w:val="4"/>
          <w:sz w:val="24"/>
          <w:szCs w:val="24"/>
          <w:highlight w:val="none"/>
          <w:lang w:val="en-US" w:eastAsia="en-US"/>
        </w:rPr>
        <w:t>最高得</w:t>
      </w:r>
      <w:r>
        <w:rPr>
          <w:rFonts w:hint="eastAsia" w:ascii="宋体" w:hAnsi="宋体" w:eastAsia="宋体" w:cs="宋体"/>
          <w:color w:val="auto"/>
          <w:spacing w:val="4"/>
          <w:sz w:val="24"/>
          <w:szCs w:val="24"/>
          <w:highlight w:val="none"/>
          <w:lang w:val="en-US" w:eastAsia="zh-CN"/>
        </w:rPr>
        <w:t>2</w:t>
      </w:r>
      <w:r>
        <w:rPr>
          <w:rFonts w:hint="eastAsia" w:ascii="宋体" w:hAnsi="宋体" w:eastAsia="宋体" w:cs="宋体"/>
          <w:color w:val="auto"/>
          <w:spacing w:val="4"/>
          <w:sz w:val="24"/>
          <w:szCs w:val="24"/>
          <w:highlight w:val="none"/>
          <w:lang w:val="en-US" w:eastAsia="en-US"/>
        </w:rPr>
        <w:t>分</w:t>
      </w:r>
      <w:r>
        <w:rPr>
          <w:rFonts w:hint="eastAsia" w:ascii="宋体" w:hAnsi="宋体" w:eastAsia="宋体" w:cs="宋体"/>
          <w:color w:val="auto"/>
          <w:spacing w:val="4"/>
          <w:sz w:val="24"/>
          <w:szCs w:val="24"/>
          <w:highlight w:val="none"/>
          <w:lang w:val="en-US" w:eastAsia="zh-CN"/>
        </w:rPr>
        <w:t>；</w:t>
      </w:r>
    </w:p>
    <w:p>
      <w:pPr>
        <w:shd w:val="clear"/>
        <w:spacing w:line="360" w:lineRule="auto"/>
        <w:ind w:firstLine="480"/>
        <w:jc w:val="left"/>
        <w:outlineLvl w:val="9"/>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②拟派项目组成员中</w:t>
      </w:r>
      <w:r>
        <w:rPr>
          <w:rFonts w:hint="eastAsia" w:ascii="宋体" w:hAnsi="宋体" w:cs="宋体"/>
          <w:b w:val="0"/>
          <w:bCs w:val="0"/>
          <w:color w:val="auto"/>
          <w:sz w:val="24"/>
          <w:highlight w:val="none"/>
          <w:lang w:val="en-US" w:eastAsia="en-US"/>
        </w:rPr>
        <w:t>具备有效期内的</w:t>
      </w:r>
      <w:r>
        <w:rPr>
          <w:rFonts w:hint="eastAsia" w:ascii="宋体" w:hAnsi="宋体" w:cs="宋体"/>
          <w:b w:val="0"/>
          <w:bCs w:val="0"/>
          <w:color w:val="auto"/>
          <w:sz w:val="24"/>
          <w:highlight w:val="none"/>
        </w:rPr>
        <w:t>中国潜水打捞行业协会颁发的</w:t>
      </w:r>
      <w:r>
        <w:rPr>
          <w:rFonts w:hint="eastAsia" w:ascii="宋体" w:hAnsi="宋体" w:cs="宋体"/>
          <w:b w:val="0"/>
          <w:bCs w:val="0"/>
          <w:color w:val="auto"/>
          <w:sz w:val="24"/>
          <w:highlight w:val="none"/>
          <w:lang w:val="en-US" w:eastAsia="en-US"/>
        </w:rPr>
        <w:t>《</w:t>
      </w:r>
      <w:r>
        <w:rPr>
          <w:rFonts w:hint="eastAsia" w:ascii="宋体" w:hAnsi="宋体" w:cs="宋体"/>
          <w:b w:val="0"/>
          <w:bCs w:val="0"/>
          <w:color w:val="auto"/>
          <w:sz w:val="24"/>
          <w:highlight w:val="none"/>
          <w:lang w:val="en-US" w:eastAsia="zh-CN"/>
        </w:rPr>
        <w:t>市政</w:t>
      </w:r>
      <w:r>
        <w:rPr>
          <w:rFonts w:hint="eastAsia" w:ascii="宋体" w:hAnsi="宋体" w:cs="宋体"/>
          <w:b w:val="0"/>
          <w:bCs w:val="0"/>
          <w:color w:val="auto"/>
          <w:sz w:val="24"/>
          <w:highlight w:val="none"/>
          <w:lang w:val="en-US" w:eastAsia="en-US"/>
        </w:rPr>
        <w:t>潜水员证》专业技术人员</w:t>
      </w:r>
      <w:r>
        <w:rPr>
          <w:rFonts w:hint="eastAsia" w:ascii="宋体" w:hAnsi="宋体" w:cs="宋体"/>
          <w:b w:val="0"/>
          <w:bCs w:val="0"/>
          <w:color w:val="auto"/>
          <w:sz w:val="24"/>
          <w:highlight w:val="none"/>
          <w:lang w:val="en-US" w:eastAsia="zh-CN"/>
        </w:rPr>
        <w:t>证书的，有一个得</w:t>
      </w:r>
      <w:r>
        <w:rPr>
          <w:rFonts w:hint="eastAsia" w:ascii="宋体" w:hAnsi="宋体" w:cs="宋体"/>
          <w:b w:val="0"/>
          <w:bCs w:val="0"/>
          <w:color w:val="auto"/>
          <w:sz w:val="24"/>
          <w:highlight w:val="none"/>
          <w:lang w:val="en-US" w:eastAsia="zh"/>
        </w:rPr>
        <w:t>0.5</w:t>
      </w:r>
      <w:r>
        <w:rPr>
          <w:rFonts w:hint="eastAsia" w:ascii="宋体" w:hAnsi="宋体" w:cs="宋体"/>
          <w:b w:val="0"/>
          <w:bCs w:val="0"/>
          <w:color w:val="auto"/>
          <w:sz w:val="24"/>
          <w:highlight w:val="none"/>
          <w:lang w:val="en-US" w:eastAsia="zh-CN"/>
        </w:rPr>
        <w:t>分，本项最高得</w:t>
      </w:r>
      <w:r>
        <w:rPr>
          <w:rFonts w:hint="eastAsia" w:ascii="宋体" w:hAnsi="宋体" w:cs="宋体"/>
          <w:b w:val="0"/>
          <w:bCs w:val="0"/>
          <w:color w:val="auto"/>
          <w:sz w:val="24"/>
          <w:highlight w:val="none"/>
          <w:lang w:val="en-US" w:eastAsia="zh"/>
        </w:rPr>
        <w:t>1</w:t>
      </w:r>
      <w:r>
        <w:rPr>
          <w:rFonts w:hint="eastAsia" w:ascii="宋体" w:hAnsi="宋体" w:cs="宋体"/>
          <w:b w:val="0"/>
          <w:bCs w:val="0"/>
          <w:color w:val="auto"/>
          <w:sz w:val="24"/>
          <w:highlight w:val="none"/>
          <w:lang w:val="en-US" w:eastAsia="zh-CN"/>
        </w:rPr>
        <w:t>分；</w:t>
      </w:r>
    </w:p>
    <w:p>
      <w:pPr>
        <w:shd w:val="clear"/>
        <w:spacing w:line="360" w:lineRule="auto"/>
        <w:ind w:firstLine="480"/>
        <w:jc w:val="left"/>
        <w:outlineLvl w:val="9"/>
        <w:rPr>
          <w:rFonts w:hint="eastAsia" w:eastAsia="宋体"/>
          <w:color w:val="auto"/>
          <w:highlight w:val="none"/>
          <w:lang w:val="en-US" w:eastAsia="zh-CN"/>
        </w:rPr>
      </w:pPr>
      <w:r>
        <w:rPr>
          <w:rFonts w:hint="eastAsia" w:ascii="宋体" w:hAnsi="宋体" w:cs="宋体"/>
          <w:b w:val="0"/>
          <w:bCs w:val="0"/>
          <w:color w:val="auto"/>
          <w:sz w:val="24"/>
          <w:highlight w:val="none"/>
          <w:lang w:val="en-US" w:eastAsia="zh-CN"/>
        </w:rPr>
        <w:t>③拟派</w:t>
      </w:r>
      <w:r>
        <w:rPr>
          <w:rFonts w:hint="eastAsia" w:ascii="宋体" w:hAnsi="宋体" w:eastAsia="宋体" w:cs="宋体"/>
          <w:color w:val="auto"/>
          <w:spacing w:val="4"/>
          <w:sz w:val="24"/>
          <w:szCs w:val="24"/>
          <w:highlight w:val="none"/>
          <w:lang w:val="en-US" w:eastAsia="en-US"/>
        </w:rPr>
        <w:t>项目组人员中具备有效期内的“预防硫化氢中毒安全作业培训证书”的</w:t>
      </w:r>
      <w:r>
        <w:rPr>
          <w:rFonts w:hint="eastAsia" w:ascii="宋体" w:hAnsi="宋体" w:eastAsia="宋体" w:cs="宋体"/>
          <w:color w:val="auto"/>
          <w:spacing w:val="4"/>
          <w:sz w:val="24"/>
          <w:szCs w:val="24"/>
          <w:highlight w:val="none"/>
          <w:lang w:val="en-US" w:eastAsia="zh-CN"/>
        </w:rPr>
        <w:t>，</w:t>
      </w:r>
      <w:r>
        <w:rPr>
          <w:rFonts w:hint="eastAsia" w:ascii="宋体" w:hAnsi="宋体" w:eastAsia="宋体" w:cs="宋体"/>
          <w:color w:val="auto"/>
          <w:spacing w:val="4"/>
          <w:sz w:val="24"/>
          <w:szCs w:val="24"/>
          <w:highlight w:val="none"/>
          <w:lang w:val="en-US" w:eastAsia="en-US"/>
        </w:rPr>
        <w:t>有1人得</w:t>
      </w:r>
      <w:r>
        <w:rPr>
          <w:rFonts w:hint="eastAsia" w:ascii="宋体" w:hAnsi="宋体" w:eastAsia="宋体" w:cs="宋体"/>
          <w:color w:val="auto"/>
          <w:spacing w:val="4"/>
          <w:sz w:val="24"/>
          <w:szCs w:val="24"/>
          <w:highlight w:val="none"/>
          <w:lang w:val="en-US" w:eastAsia="zh-CN"/>
        </w:rPr>
        <w:t>0.5</w:t>
      </w:r>
      <w:r>
        <w:rPr>
          <w:rFonts w:hint="eastAsia" w:ascii="宋体" w:hAnsi="宋体" w:eastAsia="宋体" w:cs="宋体"/>
          <w:color w:val="auto"/>
          <w:spacing w:val="4"/>
          <w:sz w:val="24"/>
          <w:szCs w:val="24"/>
          <w:highlight w:val="none"/>
          <w:lang w:val="en-US" w:eastAsia="en-US"/>
        </w:rPr>
        <w:t>分，</w:t>
      </w:r>
      <w:r>
        <w:rPr>
          <w:rFonts w:hint="eastAsia" w:ascii="宋体" w:hAnsi="宋体" w:cs="宋体"/>
          <w:color w:val="auto"/>
          <w:spacing w:val="4"/>
          <w:sz w:val="24"/>
          <w:szCs w:val="24"/>
          <w:highlight w:val="none"/>
          <w:lang w:val="en-US" w:eastAsia="zh-CN"/>
        </w:rPr>
        <w:t>本项</w:t>
      </w:r>
      <w:r>
        <w:rPr>
          <w:rFonts w:hint="eastAsia" w:ascii="宋体" w:hAnsi="宋体" w:eastAsia="宋体" w:cs="宋体"/>
          <w:color w:val="auto"/>
          <w:spacing w:val="4"/>
          <w:sz w:val="24"/>
          <w:szCs w:val="24"/>
          <w:highlight w:val="none"/>
          <w:lang w:val="en-US" w:eastAsia="en-US"/>
        </w:rPr>
        <w:t>最高得</w:t>
      </w:r>
      <w:r>
        <w:rPr>
          <w:rFonts w:hint="eastAsia" w:ascii="宋体" w:hAnsi="宋体" w:eastAsia="宋体" w:cs="宋体"/>
          <w:color w:val="auto"/>
          <w:spacing w:val="4"/>
          <w:sz w:val="24"/>
          <w:szCs w:val="24"/>
          <w:highlight w:val="none"/>
          <w:lang w:val="en-US" w:eastAsia="zh-CN"/>
        </w:rPr>
        <w:t>0.5</w:t>
      </w:r>
      <w:r>
        <w:rPr>
          <w:rFonts w:hint="eastAsia" w:ascii="宋体" w:hAnsi="宋体" w:eastAsia="宋体" w:cs="宋体"/>
          <w:color w:val="auto"/>
          <w:spacing w:val="4"/>
          <w:sz w:val="24"/>
          <w:szCs w:val="24"/>
          <w:highlight w:val="none"/>
          <w:lang w:val="en-US" w:eastAsia="en-US"/>
        </w:rPr>
        <w:t>分</w:t>
      </w:r>
      <w:r>
        <w:rPr>
          <w:rFonts w:hint="eastAsia" w:ascii="宋体" w:hAnsi="宋体" w:eastAsia="宋体" w:cs="宋体"/>
          <w:color w:val="auto"/>
          <w:spacing w:val="4"/>
          <w:sz w:val="24"/>
          <w:szCs w:val="24"/>
          <w:highlight w:val="none"/>
          <w:lang w:val="en-US" w:eastAsia="zh-CN"/>
        </w:rPr>
        <w:t>。</w:t>
      </w:r>
    </w:p>
    <w:p>
      <w:pPr>
        <w:shd w:val="clear"/>
        <w:spacing w:line="360" w:lineRule="auto"/>
        <w:ind w:firstLine="480"/>
        <w:jc w:val="left"/>
        <w:outlineLvl w:val="9"/>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④拟派项目组成员中</w:t>
      </w:r>
      <w:r>
        <w:rPr>
          <w:rFonts w:hint="eastAsia" w:ascii="宋体" w:hAnsi="宋体" w:cs="宋体"/>
          <w:b w:val="0"/>
          <w:bCs w:val="0"/>
          <w:color w:val="auto"/>
          <w:sz w:val="24"/>
          <w:highlight w:val="none"/>
          <w:lang w:val="en-US" w:eastAsia="en-US"/>
        </w:rPr>
        <w:t>具备有效期内的《</w:t>
      </w:r>
      <w:r>
        <w:rPr>
          <w:rFonts w:hint="eastAsia" w:ascii="宋体" w:hAnsi="宋体" w:cs="宋体"/>
          <w:b w:val="0"/>
          <w:bCs w:val="0"/>
          <w:color w:val="auto"/>
          <w:sz w:val="24"/>
          <w:highlight w:val="none"/>
          <w:lang w:val="en-US" w:eastAsia="zh-CN"/>
        </w:rPr>
        <w:t>城镇</w:t>
      </w:r>
      <w:r>
        <w:rPr>
          <w:rFonts w:hint="eastAsia" w:ascii="宋体" w:hAnsi="宋体" w:cs="宋体"/>
          <w:b w:val="0"/>
          <w:bCs w:val="0"/>
          <w:color w:val="auto"/>
          <w:sz w:val="24"/>
          <w:highlight w:val="none"/>
          <w:lang w:val="en-US" w:eastAsia="en-US"/>
        </w:rPr>
        <w:t>排水管道检测与评估</w:t>
      </w:r>
      <w:r>
        <w:rPr>
          <w:rFonts w:hint="eastAsia" w:ascii="宋体" w:hAnsi="宋体" w:cs="宋体"/>
          <w:b w:val="0"/>
          <w:bCs w:val="0"/>
          <w:color w:val="auto"/>
          <w:sz w:val="24"/>
          <w:highlight w:val="none"/>
          <w:lang w:val="en-US" w:eastAsia="zh-CN"/>
        </w:rPr>
        <w:t>及非开挖修复证书</w:t>
      </w:r>
      <w:r>
        <w:rPr>
          <w:rFonts w:hint="eastAsia" w:ascii="宋体" w:hAnsi="宋体" w:cs="宋体"/>
          <w:b w:val="0"/>
          <w:bCs w:val="0"/>
          <w:color w:val="auto"/>
          <w:sz w:val="24"/>
          <w:highlight w:val="none"/>
          <w:lang w:val="en-US" w:eastAsia="en-US"/>
        </w:rPr>
        <w:t>》</w:t>
      </w:r>
      <w:r>
        <w:rPr>
          <w:rFonts w:hint="eastAsia" w:ascii="宋体" w:hAnsi="宋体" w:cs="宋体"/>
          <w:b w:val="0"/>
          <w:bCs w:val="0"/>
          <w:color w:val="auto"/>
          <w:sz w:val="24"/>
          <w:highlight w:val="none"/>
          <w:lang w:val="en-US" w:eastAsia="zh-CN"/>
        </w:rPr>
        <w:t>的，有一个得0.5分，本项最高得0.5分；</w:t>
      </w:r>
    </w:p>
    <w:p>
      <w:pPr>
        <w:shd w:val="clear"/>
        <w:spacing w:line="360" w:lineRule="auto"/>
        <w:ind w:firstLine="480"/>
        <w:jc w:val="left"/>
        <w:outlineLvl w:val="9"/>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注：一人多证不可重复得分；响应文件中须提供①相关证书或证明文件原件扫描件并签章（如职称证书不显示专业的，提供职称申报评审表或毕业证书）；②由法定的社保收缴部门出具</w:t>
      </w:r>
      <w:r>
        <w:rPr>
          <w:rFonts w:hint="eastAsia" w:ascii="宋体" w:hAnsi="宋体" w:cs="宋体"/>
          <w:b w:val="0"/>
          <w:bCs w:val="0"/>
          <w:color w:val="auto"/>
          <w:sz w:val="24"/>
          <w:highlight w:val="none"/>
        </w:rPr>
        <w:t>近一年中任意一个月份</w:t>
      </w:r>
      <w:r>
        <w:rPr>
          <w:rFonts w:hint="eastAsia" w:ascii="宋体" w:hAnsi="宋体" w:cs="宋体"/>
          <w:b w:val="0"/>
          <w:bCs w:val="0"/>
          <w:color w:val="auto"/>
          <w:sz w:val="24"/>
          <w:highlight w:val="none"/>
          <w:lang w:val="en-US" w:eastAsia="zh-CN"/>
        </w:rPr>
        <w:t>的投标供应商为其依法缴纳社保缴费证明，如投标供应商成立时间迟于要求开始的时间，则时间要求为投标供应商成立时间至截止时间。社保缴费证明必须提交原件或含有县（区）级及以上社保部门电子签章或带二维码验证的扫描件并签章，不提供或不符合要求均不得分）。</w:t>
      </w:r>
    </w:p>
    <w:p>
      <w:pPr>
        <w:shd w:val="clear"/>
        <w:spacing w:line="360" w:lineRule="auto"/>
        <w:ind w:firstLine="480"/>
        <w:jc w:val="left"/>
        <w:outlineLvl w:val="9"/>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3.服务车辆（6分）</w:t>
      </w:r>
    </w:p>
    <w:p>
      <w:pPr>
        <w:adjustRightInd w:val="0"/>
        <w:snapToGrid w:val="0"/>
        <w:spacing w:line="360" w:lineRule="auto"/>
        <w:ind w:firstLine="496" w:firstLineChars="200"/>
        <w:rPr>
          <w:rFonts w:hint="eastAsia" w:ascii="宋体" w:hAnsi="宋体" w:eastAsia="宋体" w:cs="宋体"/>
          <w:color w:val="auto"/>
          <w:spacing w:val="4"/>
          <w:sz w:val="24"/>
          <w:szCs w:val="24"/>
          <w:highlight w:val="none"/>
          <w:lang w:val="en-US" w:eastAsia="en-US"/>
        </w:rPr>
      </w:pPr>
      <w:r>
        <w:rPr>
          <w:rFonts w:hint="eastAsia" w:ascii="宋体" w:hAnsi="宋体" w:eastAsia="宋体" w:cs="宋体"/>
          <w:color w:val="auto"/>
          <w:spacing w:val="4"/>
          <w:sz w:val="24"/>
          <w:szCs w:val="24"/>
          <w:highlight w:val="none"/>
          <w:lang w:val="en-US" w:eastAsia="zh-CN"/>
        </w:rPr>
        <w:t>①</w:t>
      </w:r>
      <w:r>
        <w:rPr>
          <w:rFonts w:hint="eastAsia" w:ascii="宋体" w:hAnsi="宋体" w:eastAsia="宋体" w:cs="宋体"/>
          <w:color w:val="auto"/>
          <w:spacing w:val="4"/>
          <w:sz w:val="24"/>
          <w:szCs w:val="24"/>
          <w:highlight w:val="none"/>
          <w:lang w:val="en-US" w:eastAsia="en-US"/>
        </w:rPr>
        <w:t>投标供应商具备下水道疏通车或清洗车，每提供1辆得1分，</w:t>
      </w:r>
      <w:r>
        <w:rPr>
          <w:rFonts w:hint="eastAsia" w:ascii="宋体" w:hAnsi="宋体" w:cs="宋体"/>
          <w:color w:val="auto"/>
          <w:spacing w:val="4"/>
          <w:sz w:val="24"/>
          <w:szCs w:val="24"/>
          <w:highlight w:val="none"/>
          <w:lang w:val="en-US" w:eastAsia="zh-CN"/>
        </w:rPr>
        <w:t>本项</w:t>
      </w:r>
      <w:r>
        <w:rPr>
          <w:rFonts w:hint="eastAsia" w:ascii="宋体" w:hAnsi="宋体" w:eastAsia="宋体" w:cs="宋体"/>
          <w:color w:val="auto"/>
          <w:spacing w:val="4"/>
          <w:sz w:val="24"/>
          <w:szCs w:val="24"/>
          <w:highlight w:val="none"/>
          <w:lang w:val="en-US" w:eastAsia="en-US"/>
        </w:rPr>
        <w:t>最高得</w:t>
      </w:r>
      <w:r>
        <w:rPr>
          <w:rFonts w:hint="eastAsia" w:ascii="宋体" w:hAnsi="宋体" w:eastAsia="宋体" w:cs="宋体"/>
          <w:color w:val="auto"/>
          <w:spacing w:val="4"/>
          <w:sz w:val="24"/>
          <w:szCs w:val="24"/>
          <w:highlight w:val="none"/>
          <w:lang w:val="en-US" w:eastAsia="zh-CN"/>
        </w:rPr>
        <w:t>1</w:t>
      </w:r>
      <w:r>
        <w:rPr>
          <w:rFonts w:hint="eastAsia" w:ascii="宋体" w:hAnsi="宋体" w:eastAsia="宋体" w:cs="宋体"/>
          <w:color w:val="auto"/>
          <w:spacing w:val="4"/>
          <w:sz w:val="24"/>
          <w:szCs w:val="24"/>
          <w:highlight w:val="none"/>
          <w:lang w:val="en-US" w:eastAsia="en-US"/>
        </w:rPr>
        <w:t>分；</w:t>
      </w:r>
    </w:p>
    <w:p>
      <w:pPr>
        <w:adjustRightInd w:val="0"/>
        <w:snapToGrid w:val="0"/>
        <w:spacing w:line="360" w:lineRule="auto"/>
        <w:ind w:firstLine="496" w:firstLineChars="200"/>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②</w:t>
      </w:r>
      <w:r>
        <w:rPr>
          <w:rFonts w:hint="eastAsia" w:ascii="宋体" w:hAnsi="宋体" w:eastAsia="宋体" w:cs="宋体"/>
          <w:color w:val="auto"/>
          <w:spacing w:val="4"/>
          <w:sz w:val="24"/>
          <w:szCs w:val="24"/>
          <w:highlight w:val="none"/>
          <w:lang w:val="en-US" w:eastAsia="en-US"/>
        </w:rPr>
        <w:t>投标供应商具备吸污车或联合疏通车的，每提供1辆得1分，</w:t>
      </w:r>
      <w:r>
        <w:rPr>
          <w:rFonts w:hint="eastAsia" w:ascii="宋体" w:hAnsi="宋体" w:cs="宋体"/>
          <w:color w:val="auto"/>
          <w:spacing w:val="4"/>
          <w:sz w:val="24"/>
          <w:szCs w:val="24"/>
          <w:highlight w:val="none"/>
          <w:lang w:val="en-US" w:eastAsia="zh-CN"/>
        </w:rPr>
        <w:t>本项</w:t>
      </w:r>
      <w:r>
        <w:rPr>
          <w:rFonts w:hint="eastAsia" w:ascii="宋体" w:hAnsi="宋体" w:eastAsia="宋体" w:cs="宋体"/>
          <w:color w:val="auto"/>
          <w:spacing w:val="4"/>
          <w:sz w:val="24"/>
          <w:szCs w:val="24"/>
          <w:highlight w:val="none"/>
          <w:lang w:val="en-US" w:eastAsia="en-US"/>
        </w:rPr>
        <w:t>最高得</w:t>
      </w:r>
      <w:r>
        <w:rPr>
          <w:rFonts w:hint="eastAsia" w:ascii="宋体" w:hAnsi="宋体" w:eastAsia="宋体" w:cs="宋体"/>
          <w:color w:val="auto"/>
          <w:spacing w:val="4"/>
          <w:sz w:val="24"/>
          <w:szCs w:val="24"/>
          <w:highlight w:val="none"/>
          <w:lang w:val="en-US" w:eastAsia="zh-CN"/>
        </w:rPr>
        <w:t>2</w:t>
      </w:r>
      <w:r>
        <w:rPr>
          <w:rFonts w:hint="eastAsia" w:ascii="宋体" w:hAnsi="宋体" w:eastAsia="宋体" w:cs="宋体"/>
          <w:color w:val="auto"/>
          <w:spacing w:val="4"/>
          <w:sz w:val="24"/>
          <w:szCs w:val="24"/>
          <w:highlight w:val="none"/>
          <w:lang w:val="en-US" w:eastAsia="en-US"/>
        </w:rPr>
        <w:t>分</w:t>
      </w:r>
      <w:r>
        <w:rPr>
          <w:rFonts w:hint="eastAsia" w:ascii="宋体" w:hAnsi="宋体" w:eastAsia="宋体" w:cs="宋体"/>
          <w:color w:val="auto"/>
          <w:spacing w:val="4"/>
          <w:sz w:val="24"/>
          <w:szCs w:val="24"/>
          <w:highlight w:val="none"/>
          <w:lang w:val="en-US" w:eastAsia="zh-CN"/>
        </w:rPr>
        <w:t>；</w:t>
      </w:r>
    </w:p>
    <w:p>
      <w:pPr>
        <w:adjustRightInd w:val="0"/>
        <w:snapToGrid w:val="0"/>
        <w:spacing w:line="360" w:lineRule="auto"/>
        <w:ind w:firstLine="496" w:firstLineChars="200"/>
        <w:rPr>
          <w:rFonts w:hint="eastAsia" w:ascii="宋体" w:hAnsi="宋体" w:eastAsia="宋体" w:cs="宋体"/>
          <w:color w:val="auto"/>
          <w:spacing w:val="4"/>
          <w:sz w:val="24"/>
          <w:szCs w:val="24"/>
          <w:highlight w:val="none"/>
          <w:lang w:val="en-US" w:eastAsia="en-US"/>
        </w:rPr>
      </w:pPr>
      <w:r>
        <w:rPr>
          <w:rFonts w:hint="eastAsia" w:ascii="宋体" w:hAnsi="宋体" w:eastAsia="宋体" w:cs="宋体"/>
          <w:color w:val="auto"/>
          <w:spacing w:val="4"/>
          <w:sz w:val="24"/>
          <w:szCs w:val="24"/>
          <w:highlight w:val="none"/>
          <w:lang w:val="en-US" w:eastAsia="zh-CN"/>
        </w:rPr>
        <w:t>③</w:t>
      </w:r>
      <w:r>
        <w:rPr>
          <w:rFonts w:hint="eastAsia" w:ascii="宋体" w:hAnsi="宋体" w:eastAsia="宋体" w:cs="宋体"/>
          <w:color w:val="auto"/>
          <w:spacing w:val="4"/>
          <w:sz w:val="24"/>
          <w:szCs w:val="24"/>
          <w:highlight w:val="none"/>
          <w:lang w:val="en-US" w:eastAsia="en-US"/>
        </w:rPr>
        <w:t>投标供应商具备污泥密闭运输车的，每提供1辆得1分，</w:t>
      </w:r>
      <w:r>
        <w:rPr>
          <w:rFonts w:hint="eastAsia" w:ascii="宋体" w:hAnsi="宋体" w:cs="宋体"/>
          <w:color w:val="auto"/>
          <w:spacing w:val="4"/>
          <w:sz w:val="24"/>
          <w:szCs w:val="24"/>
          <w:highlight w:val="none"/>
          <w:lang w:val="en-US" w:eastAsia="zh-CN"/>
        </w:rPr>
        <w:t>本项</w:t>
      </w:r>
      <w:r>
        <w:rPr>
          <w:rFonts w:hint="eastAsia" w:ascii="宋体" w:hAnsi="宋体" w:eastAsia="宋体" w:cs="宋体"/>
          <w:color w:val="auto"/>
          <w:spacing w:val="4"/>
          <w:sz w:val="24"/>
          <w:szCs w:val="24"/>
          <w:highlight w:val="none"/>
          <w:lang w:val="en-US" w:eastAsia="en-US"/>
        </w:rPr>
        <w:t>最高得</w:t>
      </w:r>
      <w:r>
        <w:rPr>
          <w:rFonts w:hint="eastAsia" w:ascii="宋体" w:hAnsi="宋体" w:cs="宋体"/>
          <w:color w:val="auto"/>
          <w:spacing w:val="4"/>
          <w:sz w:val="24"/>
          <w:szCs w:val="24"/>
          <w:highlight w:val="none"/>
          <w:lang w:val="en-US" w:eastAsia="zh-CN"/>
        </w:rPr>
        <w:t>1</w:t>
      </w:r>
      <w:r>
        <w:rPr>
          <w:rFonts w:hint="eastAsia" w:ascii="宋体" w:hAnsi="宋体" w:eastAsia="宋体" w:cs="宋体"/>
          <w:color w:val="auto"/>
          <w:spacing w:val="4"/>
          <w:sz w:val="24"/>
          <w:szCs w:val="24"/>
          <w:highlight w:val="none"/>
          <w:lang w:val="en-US" w:eastAsia="en-US"/>
        </w:rPr>
        <w:t>分；</w:t>
      </w:r>
    </w:p>
    <w:p>
      <w:pPr>
        <w:adjustRightInd w:val="0"/>
        <w:snapToGrid w:val="0"/>
        <w:spacing w:line="360" w:lineRule="auto"/>
        <w:ind w:firstLine="496" w:firstLineChars="200"/>
        <w:rPr>
          <w:rFonts w:hint="eastAsia" w:ascii="宋体" w:hAnsi="宋体" w:eastAsia="宋体" w:cs="宋体"/>
          <w:color w:val="auto"/>
          <w:spacing w:val="4"/>
          <w:sz w:val="24"/>
          <w:szCs w:val="24"/>
          <w:highlight w:val="none"/>
          <w:lang w:val="en-US" w:eastAsia="en-US"/>
        </w:rPr>
      </w:pPr>
      <w:r>
        <w:rPr>
          <w:rFonts w:hint="eastAsia" w:ascii="宋体" w:hAnsi="宋体" w:eastAsia="宋体" w:cs="宋体"/>
          <w:color w:val="auto"/>
          <w:spacing w:val="4"/>
          <w:sz w:val="24"/>
          <w:szCs w:val="24"/>
          <w:highlight w:val="none"/>
          <w:lang w:val="en-US" w:eastAsia="en-US"/>
        </w:rPr>
        <w:t>④投标供应商具备抓斗式清淤机动车的，每提供1辆得1分，</w:t>
      </w:r>
      <w:r>
        <w:rPr>
          <w:rFonts w:hint="eastAsia" w:ascii="宋体" w:hAnsi="宋体" w:cs="宋体"/>
          <w:color w:val="auto"/>
          <w:spacing w:val="4"/>
          <w:sz w:val="24"/>
          <w:szCs w:val="24"/>
          <w:highlight w:val="none"/>
          <w:lang w:val="en-US" w:eastAsia="zh-CN"/>
        </w:rPr>
        <w:t>本项</w:t>
      </w:r>
      <w:r>
        <w:rPr>
          <w:rFonts w:hint="eastAsia" w:ascii="宋体" w:hAnsi="宋体" w:eastAsia="宋体" w:cs="宋体"/>
          <w:color w:val="auto"/>
          <w:spacing w:val="4"/>
          <w:sz w:val="24"/>
          <w:szCs w:val="24"/>
          <w:highlight w:val="none"/>
          <w:lang w:val="en-US" w:eastAsia="en-US"/>
        </w:rPr>
        <w:t>最高得</w:t>
      </w:r>
      <w:r>
        <w:rPr>
          <w:rFonts w:hint="eastAsia" w:ascii="宋体" w:hAnsi="宋体" w:cs="宋体"/>
          <w:color w:val="auto"/>
          <w:spacing w:val="4"/>
          <w:sz w:val="24"/>
          <w:szCs w:val="24"/>
          <w:highlight w:val="none"/>
          <w:lang w:val="en-US" w:eastAsia="zh-CN"/>
        </w:rPr>
        <w:t>1</w:t>
      </w:r>
      <w:r>
        <w:rPr>
          <w:rFonts w:hint="eastAsia" w:ascii="宋体" w:hAnsi="宋体" w:eastAsia="宋体" w:cs="宋体"/>
          <w:color w:val="auto"/>
          <w:spacing w:val="4"/>
          <w:sz w:val="24"/>
          <w:szCs w:val="24"/>
          <w:highlight w:val="none"/>
          <w:lang w:val="en-US" w:eastAsia="en-US"/>
        </w:rPr>
        <w:t>分；</w:t>
      </w:r>
    </w:p>
    <w:p>
      <w:pPr>
        <w:adjustRightInd w:val="0"/>
        <w:snapToGrid w:val="0"/>
        <w:spacing w:line="360" w:lineRule="auto"/>
        <w:ind w:firstLine="496" w:firstLineChars="200"/>
        <w:rPr>
          <w:rFonts w:hint="default"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fldChar w:fldCharType="begin"/>
      </w:r>
      <w:r>
        <w:rPr>
          <w:rFonts w:hint="eastAsia" w:ascii="宋体" w:hAnsi="宋体" w:eastAsia="宋体" w:cs="宋体"/>
          <w:color w:val="auto"/>
          <w:spacing w:val="4"/>
          <w:sz w:val="24"/>
          <w:szCs w:val="24"/>
          <w:highlight w:val="none"/>
          <w:lang w:val="en-US" w:eastAsia="zh-CN"/>
        </w:rPr>
        <w:instrText xml:space="preserve"> = 5 \* GB3 \* MERGEFORMAT </w:instrText>
      </w:r>
      <w:r>
        <w:rPr>
          <w:rFonts w:hint="eastAsia" w:ascii="宋体" w:hAnsi="宋体" w:eastAsia="宋体" w:cs="宋体"/>
          <w:color w:val="auto"/>
          <w:spacing w:val="4"/>
          <w:sz w:val="24"/>
          <w:szCs w:val="24"/>
          <w:highlight w:val="none"/>
          <w:lang w:val="en-US" w:eastAsia="zh-CN"/>
        </w:rPr>
        <w:fldChar w:fldCharType="separate"/>
      </w:r>
      <w:r>
        <w:rPr>
          <w:rFonts w:hint="eastAsia" w:ascii="宋体" w:hAnsi="宋体" w:eastAsia="宋体" w:cs="宋体"/>
          <w:color w:val="auto"/>
          <w:spacing w:val="4"/>
          <w:sz w:val="24"/>
          <w:szCs w:val="24"/>
          <w:highlight w:val="none"/>
          <w:lang w:val="en-US" w:eastAsia="zh-CN"/>
        </w:rPr>
        <w:t>⑤</w:t>
      </w:r>
      <w:r>
        <w:rPr>
          <w:rFonts w:hint="eastAsia" w:ascii="宋体" w:hAnsi="宋体" w:eastAsia="宋体" w:cs="宋体"/>
          <w:color w:val="auto"/>
          <w:spacing w:val="4"/>
          <w:sz w:val="24"/>
          <w:szCs w:val="24"/>
          <w:highlight w:val="none"/>
          <w:lang w:val="en-US" w:eastAsia="zh-CN"/>
        </w:rPr>
        <w:fldChar w:fldCharType="end"/>
      </w:r>
      <w:r>
        <w:rPr>
          <w:rFonts w:hint="eastAsia" w:ascii="宋体" w:hAnsi="宋体" w:eastAsia="宋体" w:cs="宋体"/>
          <w:color w:val="auto"/>
          <w:spacing w:val="4"/>
          <w:sz w:val="24"/>
          <w:szCs w:val="24"/>
          <w:highlight w:val="none"/>
          <w:lang w:val="en-US" w:eastAsia="zh-CN"/>
        </w:rPr>
        <w:t>投标供应商具备工程排涝检修车，每提供1辆得1分，本项最高得1分</w:t>
      </w:r>
    </w:p>
    <w:p>
      <w:pPr>
        <w:shd w:val="clear"/>
        <w:spacing w:line="360" w:lineRule="auto"/>
        <w:ind w:firstLine="480"/>
        <w:jc w:val="left"/>
        <w:outlineLvl w:val="9"/>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注：如是自有车辆，需提供车辆彩色照片（车辆正面，尾部，侧面，车牌清晰可辨）、购买发票（发票抬头为投标单位）、</w:t>
      </w:r>
      <w:r>
        <w:rPr>
          <w:rFonts w:hint="eastAsia" w:ascii="宋体" w:hAnsi="宋体" w:cs="宋体"/>
          <w:b w:val="0"/>
          <w:bCs w:val="0"/>
          <w:color w:val="auto"/>
          <w:sz w:val="24"/>
          <w:highlight w:val="none"/>
        </w:rPr>
        <w:t>有效期内的行驶证</w:t>
      </w:r>
      <w:r>
        <w:rPr>
          <w:rFonts w:hint="eastAsia" w:ascii="宋体" w:hAnsi="宋体" w:cs="宋体"/>
          <w:b w:val="0"/>
          <w:bCs w:val="0"/>
          <w:color w:val="auto"/>
          <w:sz w:val="24"/>
          <w:highlight w:val="none"/>
          <w:lang w:eastAsia="zh-CN"/>
        </w:rPr>
        <w:t>、</w:t>
      </w:r>
      <w:r>
        <w:rPr>
          <w:rFonts w:hint="eastAsia" w:ascii="宋体" w:hAnsi="宋体" w:cs="宋体"/>
          <w:b w:val="0"/>
          <w:bCs w:val="0"/>
          <w:color w:val="auto"/>
          <w:sz w:val="24"/>
          <w:highlight w:val="none"/>
          <w:lang w:val="en-US" w:eastAsia="zh-CN"/>
        </w:rPr>
        <w:t>为车辆购买的有效期内的保险；如是租赁车辆，提供车辆彩色照片（车辆正面，尾部，侧面，车牌清晰可辨）、出租方购买发票、</w:t>
      </w:r>
      <w:r>
        <w:rPr>
          <w:rFonts w:hint="eastAsia" w:ascii="宋体" w:hAnsi="宋体" w:cs="宋体"/>
          <w:b w:val="0"/>
          <w:bCs w:val="0"/>
          <w:color w:val="auto"/>
          <w:sz w:val="24"/>
          <w:highlight w:val="none"/>
        </w:rPr>
        <w:t>有效期内的行驶证</w:t>
      </w:r>
      <w:r>
        <w:rPr>
          <w:rFonts w:hint="eastAsia" w:ascii="宋体" w:hAnsi="宋体" w:cs="宋体"/>
          <w:b w:val="0"/>
          <w:bCs w:val="0"/>
          <w:color w:val="auto"/>
          <w:sz w:val="24"/>
          <w:highlight w:val="none"/>
          <w:lang w:eastAsia="zh-CN"/>
        </w:rPr>
        <w:t>、</w:t>
      </w:r>
      <w:r>
        <w:rPr>
          <w:rFonts w:hint="eastAsia" w:ascii="宋体" w:hAnsi="宋体" w:cs="宋体"/>
          <w:b w:val="0"/>
          <w:bCs w:val="0"/>
          <w:color w:val="auto"/>
          <w:sz w:val="24"/>
          <w:highlight w:val="none"/>
          <w:lang w:val="en-US" w:eastAsia="zh-CN"/>
        </w:rPr>
        <w:t>为车辆购买的有效期内的保险</w:t>
      </w:r>
      <w:r>
        <w:rPr>
          <w:rFonts w:hint="eastAsia" w:ascii="宋体" w:hAnsi="宋体" w:cs="宋体"/>
          <w:b w:val="0"/>
          <w:bCs w:val="0"/>
          <w:color w:val="auto"/>
          <w:sz w:val="24"/>
          <w:highlight w:val="none"/>
        </w:rPr>
        <w:t>，另须提供租赁协议</w:t>
      </w:r>
      <w:r>
        <w:rPr>
          <w:rFonts w:hint="eastAsia" w:ascii="宋体" w:hAnsi="宋体" w:cs="宋体"/>
          <w:b w:val="0"/>
          <w:bCs w:val="0"/>
          <w:color w:val="auto"/>
          <w:sz w:val="24"/>
          <w:highlight w:val="none"/>
          <w:lang w:val="en-US" w:eastAsia="zh-CN"/>
        </w:rPr>
        <w:t>和</w:t>
      </w:r>
      <w:r>
        <w:rPr>
          <w:rFonts w:hint="eastAsia" w:ascii="宋体" w:hAnsi="宋体" w:cs="宋体"/>
          <w:b w:val="0"/>
          <w:bCs w:val="0"/>
          <w:color w:val="auto"/>
          <w:sz w:val="24"/>
          <w:highlight w:val="none"/>
        </w:rPr>
        <w:t>租赁费发票</w:t>
      </w:r>
      <w:r>
        <w:rPr>
          <w:rFonts w:hint="eastAsia" w:ascii="宋体" w:hAnsi="宋体" w:cs="宋体"/>
          <w:b w:val="0"/>
          <w:bCs w:val="0"/>
          <w:color w:val="auto"/>
          <w:sz w:val="24"/>
          <w:highlight w:val="none"/>
          <w:lang w:eastAsia="zh-CN"/>
        </w:rPr>
        <w:t>，</w:t>
      </w:r>
      <w:r>
        <w:rPr>
          <w:rFonts w:hint="eastAsia" w:ascii="宋体" w:hAnsi="宋体" w:cs="宋体"/>
          <w:b w:val="0"/>
          <w:bCs w:val="0"/>
          <w:color w:val="auto"/>
          <w:sz w:val="24"/>
          <w:highlight w:val="none"/>
          <w:lang w:val="en-US" w:eastAsia="zh-CN"/>
        </w:rPr>
        <w:t>且租赁服务期限须完整覆盖本项目全部服务周期</w:t>
      </w:r>
      <w:r>
        <w:rPr>
          <w:rFonts w:hint="eastAsia" w:ascii="宋体" w:hAnsi="宋体" w:cs="宋体"/>
          <w:b w:val="0"/>
          <w:bCs w:val="0"/>
          <w:color w:val="auto"/>
          <w:sz w:val="24"/>
          <w:highlight w:val="none"/>
          <w:lang w:eastAsia="zh-CN"/>
        </w:rPr>
        <w:t>；</w:t>
      </w:r>
      <w:r>
        <w:rPr>
          <w:rFonts w:hint="eastAsia" w:ascii="宋体" w:hAnsi="宋体" w:cs="宋体"/>
          <w:b w:val="0"/>
          <w:bCs w:val="0"/>
          <w:color w:val="auto"/>
          <w:sz w:val="24"/>
          <w:highlight w:val="none"/>
          <w:lang w:val="en-US" w:eastAsia="zh-CN"/>
        </w:rPr>
        <w:t>资料提供不全或未按要求提供，不得分。</w:t>
      </w:r>
    </w:p>
    <w:p>
      <w:pPr>
        <w:shd w:val="clear"/>
        <w:spacing w:line="360" w:lineRule="auto"/>
        <w:ind w:firstLine="480"/>
        <w:jc w:val="left"/>
        <w:outlineLvl w:val="9"/>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4.服务设备 （7分）</w:t>
      </w:r>
    </w:p>
    <w:p>
      <w:pPr>
        <w:adjustRightInd w:val="0"/>
        <w:snapToGrid w:val="0"/>
        <w:spacing w:line="360" w:lineRule="auto"/>
        <w:ind w:firstLine="496" w:firstLineChars="200"/>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①</w:t>
      </w:r>
      <w:r>
        <w:rPr>
          <w:rFonts w:hint="eastAsia" w:ascii="宋体" w:hAnsi="宋体" w:eastAsia="宋体" w:cs="宋体"/>
          <w:color w:val="auto"/>
          <w:spacing w:val="4"/>
          <w:sz w:val="24"/>
          <w:szCs w:val="24"/>
          <w:highlight w:val="none"/>
          <w:lang w:val="en-US" w:eastAsia="en-US"/>
        </w:rPr>
        <w:t>投标供应商具备管道CCTV检测系统或管道机器人或CCTV设备</w:t>
      </w:r>
      <w:r>
        <w:rPr>
          <w:rFonts w:hint="eastAsia" w:ascii="宋体" w:hAnsi="宋体" w:eastAsia="宋体" w:cs="宋体"/>
          <w:color w:val="auto"/>
          <w:spacing w:val="4"/>
          <w:sz w:val="24"/>
          <w:szCs w:val="24"/>
          <w:highlight w:val="none"/>
          <w:lang w:val="en-US" w:eastAsia="zh-CN"/>
        </w:rPr>
        <w:t>的</w:t>
      </w:r>
      <w:r>
        <w:rPr>
          <w:rFonts w:hint="eastAsia" w:ascii="宋体" w:hAnsi="宋体" w:eastAsia="宋体" w:cs="宋体"/>
          <w:color w:val="auto"/>
          <w:spacing w:val="4"/>
          <w:sz w:val="24"/>
          <w:szCs w:val="24"/>
          <w:highlight w:val="none"/>
          <w:lang w:val="en-US" w:eastAsia="en-US"/>
        </w:rPr>
        <w:t>，</w:t>
      </w:r>
      <w:r>
        <w:rPr>
          <w:rFonts w:hint="eastAsia" w:ascii="宋体" w:hAnsi="宋体" w:cs="宋体"/>
          <w:color w:val="auto"/>
          <w:spacing w:val="4"/>
          <w:sz w:val="24"/>
          <w:szCs w:val="24"/>
          <w:highlight w:val="none"/>
          <w:lang w:val="en-US" w:eastAsia="zh-CN"/>
        </w:rPr>
        <w:t>提供1套得0.5分，本项最高</w:t>
      </w:r>
      <w:r>
        <w:rPr>
          <w:rFonts w:hint="eastAsia" w:ascii="宋体" w:hAnsi="宋体" w:eastAsia="宋体" w:cs="宋体"/>
          <w:color w:val="auto"/>
          <w:spacing w:val="4"/>
          <w:sz w:val="24"/>
          <w:szCs w:val="24"/>
          <w:highlight w:val="none"/>
          <w:lang w:val="en-US" w:eastAsia="en-US"/>
        </w:rPr>
        <w:t>得</w:t>
      </w:r>
      <w:r>
        <w:rPr>
          <w:rFonts w:hint="eastAsia" w:ascii="宋体" w:hAnsi="宋体" w:eastAsia="宋体" w:cs="宋体"/>
          <w:color w:val="auto"/>
          <w:spacing w:val="4"/>
          <w:sz w:val="24"/>
          <w:szCs w:val="24"/>
          <w:highlight w:val="none"/>
          <w:lang w:val="en-US" w:eastAsia="zh-CN"/>
        </w:rPr>
        <w:t>2</w:t>
      </w:r>
      <w:r>
        <w:rPr>
          <w:rFonts w:hint="eastAsia" w:ascii="宋体" w:hAnsi="宋体" w:eastAsia="宋体" w:cs="宋体"/>
          <w:color w:val="auto"/>
          <w:spacing w:val="4"/>
          <w:sz w:val="24"/>
          <w:szCs w:val="24"/>
          <w:highlight w:val="none"/>
          <w:lang w:val="en-US" w:eastAsia="en-US"/>
        </w:rPr>
        <w:t>分</w:t>
      </w:r>
      <w:r>
        <w:rPr>
          <w:rFonts w:hint="eastAsia" w:ascii="宋体" w:hAnsi="宋体" w:eastAsia="宋体" w:cs="宋体"/>
          <w:color w:val="auto"/>
          <w:spacing w:val="4"/>
          <w:sz w:val="24"/>
          <w:szCs w:val="24"/>
          <w:highlight w:val="none"/>
          <w:lang w:val="en-US" w:eastAsia="zh-CN"/>
        </w:rPr>
        <w:t>；</w:t>
      </w:r>
    </w:p>
    <w:p>
      <w:pPr>
        <w:adjustRightInd w:val="0"/>
        <w:snapToGrid w:val="0"/>
        <w:spacing w:line="360" w:lineRule="auto"/>
        <w:ind w:firstLine="496" w:firstLineChars="200"/>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②</w:t>
      </w:r>
      <w:r>
        <w:rPr>
          <w:rFonts w:hint="eastAsia" w:ascii="宋体" w:hAnsi="宋体" w:eastAsia="宋体" w:cs="宋体"/>
          <w:color w:val="auto"/>
          <w:spacing w:val="4"/>
          <w:sz w:val="24"/>
          <w:szCs w:val="24"/>
          <w:highlight w:val="none"/>
          <w:lang w:val="en-US" w:eastAsia="en-US"/>
        </w:rPr>
        <w:t>管道潜望镜或潜望镜</w:t>
      </w:r>
      <w:r>
        <w:rPr>
          <w:rFonts w:hint="eastAsia" w:ascii="宋体" w:hAnsi="宋体" w:eastAsia="宋体" w:cs="宋体"/>
          <w:color w:val="auto"/>
          <w:spacing w:val="4"/>
          <w:sz w:val="24"/>
          <w:szCs w:val="24"/>
          <w:highlight w:val="none"/>
          <w:lang w:val="en-US" w:eastAsia="zh-CN"/>
        </w:rPr>
        <w:t>或QV检测设备的</w:t>
      </w:r>
      <w:r>
        <w:rPr>
          <w:rFonts w:hint="eastAsia" w:ascii="宋体" w:hAnsi="宋体" w:eastAsia="宋体" w:cs="宋体"/>
          <w:color w:val="auto"/>
          <w:spacing w:val="4"/>
          <w:sz w:val="24"/>
          <w:szCs w:val="24"/>
          <w:highlight w:val="none"/>
          <w:lang w:val="en-US" w:eastAsia="en-US"/>
        </w:rPr>
        <w:t>，</w:t>
      </w:r>
      <w:r>
        <w:rPr>
          <w:rFonts w:hint="eastAsia" w:ascii="宋体" w:hAnsi="宋体" w:cs="宋体"/>
          <w:color w:val="auto"/>
          <w:spacing w:val="4"/>
          <w:sz w:val="24"/>
          <w:szCs w:val="24"/>
          <w:highlight w:val="none"/>
          <w:lang w:val="en-US" w:eastAsia="zh-CN"/>
        </w:rPr>
        <w:t>提供1套得0.5分，本项最高</w:t>
      </w:r>
      <w:r>
        <w:rPr>
          <w:rFonts w:hint="eastAsia" w:ascii="宋体" w:hAnsi="宋体" w:eastAsia="宋体" w:cs="宋体"/>
          <w:color w:val="auto"/>
          <w:spacing w:val="4"/>
          <w:sz w:val="24"/>
          <w:szCs w:val="24"/>
          <w:highlight w:val="none"/>
          <w:lang w:val="en-US" w:eastAsia="en-US"/>
        </w:rPr>
        <w:t>得</w:t>
      </w:r>
      <w:r>
        <w:rPr>
          <w:rFonts w:hint="eastAsia" w:ascii="宋体" w:hAnsi="宋体" w:eastAsia="宋体" w:cs="宋体"/>
          <w:color w:val="auto"/>
          <w:spacing w:val="4"/>
          <w:sz w:val="24"/>
          <w:szCs w:val="24"/>
          <w:highlight w:val="none"/>
          <w:lang w:val="en-US" w:eastAsia="zh-CN"/>
        </w:rPr>
        <w:t>2</w:t>
      </w:r>
      <w:r>
        <w:rPr>
          <w:rFonts w:hint="eastAsia" w:ascii="宋体" w:hAnsi="宋体" w:eastAsia="宋体" w:cs="宋体"/>
          <w:color w:val="auto"/>
          <w:spacing w:val="4"/>
          <w:sz w:val="24"/>
          <w:szCs w:val="24"/>
          <w:highlight w:val="none"/>
          <w:lang w:val="en-US" w:eastAsia="en-US"/>
        </w:rPr>
        <w:t>分</w:t>
      </w:r>
      <w:r>
        <w:rPr>
          <w:rFonts w:hint="eastAsia" w:ascii="宋体" w:hAnsi="宋体" w:eastAsia="宋体" w:cs="宋体"/>
          <w:color w:val="auto"/>
          <w:spacing w:val="4"/>
          <w:sz w:val="24"/>
          <w:szCs w:val="24"/>
          <w:highlight w:val="none"/>
          <w:lang w:val="en-US" w:eastAsia="zh-CN"/>
        </w:rPr>
        <w:t>；</w:t>
      </w:r>
    </w:p>
    <w:p>
      <w:pPr>
        <w:keepNext w:val="0"/>
        <w:keepLines w:val="0"/>
        <w:pageBreakBefore w:val="0"/>
        <w:widowControl w:val="0"/>
        <w:kinsoku/>
        <w:wordWrap w:val="0"/>
        <w:overflowPunct/>
        <w:topLinePunct w:val="0"/>
        <w:autoSpaceDE/>
        <w:autoSpaceDN/>
        <w:bidi w:val="0"/>
        <w:adjustRightInd w:val="0"/>
        <w:snapToGrid w:val="0"/>
        <w:spacing w:line="360" w:lineRule="auto"/>
        <w:ind w:firstLine="496" w:firstLineChars="200"/>
        <w:textAlignment w:val="auto"/>
        <w:rPr>
          <w:rFonts w:hint="eastAsia" w:asciiTheme="minorEastAsia" w:hAnsiTheme="minorEastAsia" w:eastAsiaTheme="minorEastAsia" w:cstheme="minorEastAsia"/>
          <w:color w:val="auto"/>
          <w:sz w:val="24"/>
          <w:szCs w:val="22"/>
          <w:highlight w:val="none"/>
        </w:rPr>
      </w:pPr>
      <w:r>
        <w:rPr>
          <w:rFonts w:hint="eastAsia" w:ascii="宋体" w:hAnsi="宋体" w:eastAsia="宋体" w:cs="宋体"/>
          <w:color w:val="auto"/>
          <w:spacing w:val="4"/>
          <w:sz w:val="24"/>
          <w:szCs w:val="24"/>
          <w:highlight w:val="none"/>
          <w:lang w:val="en-US" w:eastAsia="zh-CN"/>
        </w:rPr>
        <w:t>③投标供应商具备a管道声呐检测系统或管道声呐成像仪、b气体检测仪、c移动式发动机组（功率≥30</w:t>
      </w:r>
      <w:r>
        <w:rPr>
          <w:rFonts w:hint="eastAsia" w:ascii="宋体" w:hAnsi="宋体" w:cs="宋体"/>
          <w:color w:val="auto"/>
          <w:spacing w:val="4"/>
          <w:sz w:val="24"/>
          <w:szCs w:val="24"/>
          <w:highlight w:val="none"/>
          <w:lang w:val="en-US" w:eastAsia="zh-CN"/>
        </w:rPr>
        <w:t>kW</w:t>
      </w:r>
      <w:r>
        <w:rPr>
          <w:rFonts w:hint="eastAsia" w:ascii="宋体" w:hAnsi="宋体" w:eastAsia="宋体" w:cs="宋体"/>
          <w:color w:val="auto"/>
          <w:spacing w:val="4"/>
          <w:sz w:val="24"/>
          <w:szCs w:val="24"/>
          <w:highlight w:val="none"/>
          <w:lang w:val="en-US" w:eastAsia="zh-CN"/>
        </w:rPr>
        <w:t>）、d空压机、e液压动力站、f排水量800m³/h及以上的应急排涝设备（移动泵车）的</w:t>
      </w:r>
      <w:r>
        <w:rPr>
          <w:rFonts w:hint="eastAsia" w:ascii="宋体" w:hAnsi="宋体" w:cs="宋体"/>
          <w:color w:val="auto"/>
          <w:spacing w:val="4"/>
          <w:sz w:val="24"/>
          <w:szCs w:val="24"/>
          <w:highlight w:val="none"/>
          <w:lang w:val="en-US" w:eastAsia="zh-CN"/>
        </w:rPr>
        <w:t>。有1类得0.5分，本项最高</w:t>
      </w:r>
      <w:r>
        <w:rPr>
          <w:rFonts w:hint="eastAsia" w:ascii="宋体" w:hAnsi="宋体" w:eastAsia="宋体" w:cs="宋体"/>
          <w:color w:val="auto"/>
          <w:spacing w:val="4"/>
          <w:sz w:val="24"/>
          <w:szCs w:val="24"/>
          <w:highlight w:val="none"/>
          <w:lang w:val="en-US" w:eastAsia="zh-CN"/>
        </w:rPr>
        <w:t>得3分</w:t>
      </w:r>
      <w:r>
        <w:rPr>
          <w:rFonts w:hint="eastAsia" w:ascii="宋体" w:hAnsi="宋体" w:cs="宋体"/>
          <w:color w:val="auto"/>
          <w:spacing w:val="4"/>
          <w:sz w:val="24"/>
          <w:szCs w:val="24"/>
          <w:highlight w:val="none"/>
          <w:lang w:val="en-US" w:eastAsia="zh-CN"/>
        </w:rPr>
        <w:t>。</w:t>
      </w:r>
    </w:p>
    <w:p>
      <w:pPr>
        <w:shd w:val="clear"/>
        <w:spacing w:line="360" w:lineRule="auto"/>
        <w:ind w:firstLine="480"/>
        <w:jc w:val="left"/>
        <w:outlineLvl w:val="9"/>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注：自有工作设备、机具需提供购置发票（发票抬头为投标单位）、相应服务设备彩色图片；如为租赁的，提供出租方购置发票、相应服务设备彩色图片，另需提供租赁协议和租赁费发票，且租赁服务期限须完整覆盖本项目全部服务周期。资料提供不全或未按要求提供，不得分。</w:t>
      </w:r>
    </w:p>
    <w:p>
      <w:pPr>
        <w:shd w:val="clear"/>
        <w:spacing w:line="360" w:lineRule="auto"/>
        <w:ind w:firstLine="480"/>
        <w:jc w:val="left"/>
        <w:outlineLvl w:val="9"/>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合同签订前，采购人有权对中标人承诺配置的养护车辆及设备进行实地核查，核查方式包括由中标人将相关车辆及设备集中至采购人指定场所，或由采购人直接前往中标人现场进行实地核验。 所有车辆及设备须达到规范可用状态（包括但不限于具备正常通行及作业能力），并完全符合投标文件的承诺与要求。若中标人配备的车辆、设备未达到投标要求或无法保障项目正常运行，采购人有权取消其中标资格，由此产生的一切损失和法律责任均由中标人自行承担。</w:t>
      </w:r>
    </w:p>
    <w:p>
      <w:pPr>
        <w:shd w:val="clear"/>
        <w:spacing w:line="360" w:lineRule="auto"/>
        <w:ind w:firstLine="480"/>
        <w:jc w:val="left"/>
        <w:outlineLvl w:val="9"/>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（三）技术标部分 （48分）</w:t>
      </w:r>
    </w:p>
    <w:p>
      <w:pPr>
        <w:shd w:val="clear"/>
        <w:spacing w:line="360" w:lineRule="auto"/>
        <w:ind w:firstLine="480"/>
        <w:jc w:val="left"/>
        <w:outlineLvl w:val="9"/>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（1）服务完成度的标准及承诺目标（9分）：</w:t>
      </w:r>
    </w:p>
    <w:p>
      <w:pPr>
        <w:shd w:val="clear"/>
        <w:spacing w:line="360" w:lineRule="auto"/>
        <w:ind w:firstLine="480"/>
        <w:jc w:val="left"/>
        <w:outlineLvl w:val="9"/>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包括：①场地资料（如辨识场地变迁的资料），主要污染情况（如主要污染因子调查浓度结果）；②治理目标和治理范围；</w:t>
      </w:r>
      <w:r>
        <w:rPr>
          <w:rFonts w:hint="eastAsia" w:ascii="宋体" w:hAnsi="宋体" w:cs="宋体"/>
          <w:b w:val="0"/>
          <w:bCs w:val="0"/>
          <w:color w:val="auto"/>
          <w:sz w:val="24"/>
          <w:highlight w:val="none"/>
          <w:lang w:val="en-US" w:eastAsia="zh-CN"/>
        </w:rPr>
        <w:fldChar w:fldCharType="begin"/>
      </w:r>
      <w:r>
        <w:rPr>
          <w:rFonts w:hint="eastAsia" w:ascii="宋体" w:hAnsi="宋体" w:cs="宋体"/>
          <w:b w:val="0"/>
          <w:bCs w:val="0"/>
          <w:color w:val="auto"/>
          <w:sz w:val="24"/>
          <w:highlight w:val="none"/>
          <w:lang w:val="en-US" w:eastAsia="zh-CN"/>
        </w:rPr>
        <w:instrText xml:space="preserve"> = 3 \* GB3 \* MERGEFORMAT </w:instrText>
      </w:r>
      <w:r>
        <w:rPr>
          <w:rFonts w:hint="eastAsia" w:ascii="宋体" w:hAnsi="宋体" w:cs="宋体"/>
          <w:b w:val="0"/>
          <w:bCs w:val="0"/>
          <w:color w:val="auto"/>
          <w:sz w:val="24"/>
          <w:highlight w:val="none"/>
          <w:lang w:val="en-US" w:eastAsia="zh-CN"/>
        </w:rPr>
        <w:fldChar w:fldCharType="separate"/>
      </w:r>
      <w:r>
        <w:rPr>
          <w:rFonts w:hint="eastAsia" w:ascii="宋体" w:hAnsi="宋体" w:cs="宋体"/>
          <w:b w:val="0"/>
          <w:bCs w:val="0"/>
          <w:color w:val="auto"/>
          <w:sz w:val="24"/>
          <w:highlight w:val="none"/>
          <w:lang w:val="en-US" w:eastAsia="zh-CN"/>
        </w:rPr>
        <w:t>③</w:t>
      </w:r>
      <w:r>
        <w:rPr>
          <w:rFonts w:hint="eastAsia" w:ascii="宋体" w:hAnsi="宋体" w:cs="宋体"/>
          <w:b w:val="0"/>
          <w:bCs w:val="0"/>
          <w:color w:val="auto"/>
          <w:sz w:val="24"/>
          <w:highlight w:val="none"/>
          <w:lang w:val="en-US" w:eastAsia="zh-CN"/>
        </w:rPr>
        <w:fldChar w:fldCharType="end"/>
      </w:r>
      <w:r>
        <w:rPr>
          <w:rFonts w:hint="eastAsia" w:ascii="宋体" w:hAnsi="宋体" w:cs="宋体"/>
          <w:b w:val="0"/>
          <w:bCs w:val="0"/>
          <w:color w:val="auto"/>
          <w:sz w:val="24"/>
          <w:highlight w:val="none"/>
          <w:lang w:val="en-US" w:eastAsia="zh-CN"/>
        </w:rPr>
        <w:t>周边环境敏感目标（如周围居民区等敏感目标）。投标人须针对每条内容进行阐述，阐述内容须满足采购需求。</w:t>
      </w:r>
    </w:p>
    <w:p>
      <w:pPr>
        <w:shd w:val="clear"/>
        <w:spacing w:line="360" w:lineRule="auto"/>
        <w:ind w:firstLine="480"/>
        <w:jc w:val="left"/>
        <w:outlineLvl w:val="9"/>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内容翔实、需求契合度高且条理清晰的，该条得3分；</w:t>
      </w:r>
    </w:p>
    <w:p>
      <w:pPr>
        <w:shd w:val="clear"/>
        <w:spacing w:line="360" w:lineRule="auto"/>
        <w:ind w:firstLine="480"/>
        <w:jc w:val="left"/>
        <w:outlineLvl w:val="9"/>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内容较为简单、可行、细节有待完善的，该条得2分；</w:t>
      </w:r>
    </w:p>
    <w:p>
      <w:pPr>
        <w:shd w:val="clear"/>
        <w:spacing w:line="360" w:lineRule="auto"/>
        <w:ind w:firstLine="480"/>
        <w:jc w:val="left"/>
        <w:outlineLvl w:val="9"/>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内容粗略、无针对性、基本满足采购需求的，该条得1分。</w:t>
      </w:r>
    </w:p>
    <w:p>
      <w:pPr>
        <w:shd w:val="clear"/>
        <w:spacing w:line="360" w:lineRule="auto"/>
        <w:ind w:firstLine="480"/>
        <w:jc w:val="left"/>
        <w:outlineLvl w:val="9"/>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本项最高得9分，每缺少一条内容或内容存在不能满足采购需求，或存在逻辑错误、前后矛盾，或存在违反现行相关规范的，该条不得分。</w:t>
      </w:r>
    </w:p>
    <w:p>
      <w:pPr>
        <w:shd w:val="clear"/>
        <w:spacing w:line="360" w:lineRule="auto"/>
        <w:ind w:firstLine="480"/>
        <w:jc w:val="left"/>
        <w:outlineLvl w:val="9"/>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（2）日常养护、维修、巡查方案及保障措施（12分）：</w:t>
      </w:r>
    </w:p>
    <w:p>
      <w:pPr>
        <w:shd w:val="clear"/>
        <w:spacing w:line="360" w:lineRule="auto"/>
        <w:ind w:firstLine="480"/>
        <w:jc w:val="left"/>
        <w:outlineLvl w:val="9"/>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包括：①管网的日常养护方案；②管网的维修方案；③管网的巡查方案；④管网养护保障措施。投标人须针对每条内容进行阐述，阐述内容须满足采购需求。</w:t>
      </w:r>
    </w:p>
    <w:p>
      <w:pPr>
        <w:shd w:val="clear"/>
        <w:spacing w:line="360" w:lineRule="auto"/>
        <w:ind w:firstLine="480"/>
        <w:jc w:val="left"/>
        <w:outlineLvl w:val="9"/>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内容翔实、需求契合度高且条理清晰的，该条得3分；</w:t>
      </w:r>
    </w:p>
    <w:p>
      <w:pPr>
        <w:shd w:val="clear"/>
        <w:spacing w:line="360" w:lineRule="auto"/>
        <w:ind w:firstLine="480"/>
        <w:jc w:val="left"/>
        <w:outlineLvl w:val="9"/>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内容较为简单、可行、细节有待完善的，该条得2分；</w:t>
      </w:r>
    </w:p>
    <w:p>
      <w:pPr>
        <w:shd w:val="clear"/>
        <w:spacing w:line="360" w:lineRule="auto"/>
        <w:ind w:firstLine="480"/>
        <w:jc w:val="left"/>
        <w:outlineLvl w:val="9"/>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内容粗略、无针对性、基本满足采购需求的，该条得1分。</w:t>
      </w:r>
    </w:p>
    <w:p>
      <w:pPr>
        <w:shd w:val="clear"/>
        <w:spacing w:line="360" w:lineRule="auto"/>
        <w:ind w:firstLine="480"/>
        <w:jc w:val="left"/>
        <w:outlineLvl w:val="9"/>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本项最高得12分，每缺少一条内容或内容存在不能满足采购需求，或存在逻辑错误、前后矛盾，或存在违反现行相关规范的，该条不得分。 </w:t>
      </w:r>
    </w:p>
    <w:p>
      <w:pPr>
        <w:shd w:val="clear"/>
        <w:spacing w:line="360" w:lineRule="auto"/>
        <w:ind w:firstLine="480"/>
        <w:jc w:val="left"/>
        <w:outlineLvl w:val="9"/>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（3）日常养护维修应急处置方案（9分）：</w:t>
      </w:r>
    </w:p>
    <w:p>
      <w:pPr>
        <w:shd w:val="clear"/>
        <w:spacing w:line="360" w:lineRule="auto"/>
        <w:ind w:firstLine="480"/>
        <w:jc w:val="left"/>
        <w:outlineLvl w:val="9"/>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包括：①水体外溢应急处置方案；②管道沉降损坏应急处置方案；③污水提升泵站应急处置方案。投标人须针对每条内容进行阐述，阐述内容须满足采购需求。</w:t>
      </w:r>
    </w:p>
    <w:p>
      <w:pPr>
        <w:shd w:val="clear"/>
        <w:spacing w:line="360" w:lineRule="auto"/>
        <w:ind w:firstLine="480"/>
        <w:jc w:val="left"/>
        <w:outlineLvl w:val="9"/>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内容翔实、需求契合度高且条理清晰的，该条得3分；</w:t>
      </w:r>
    </w:p>
    <w:p>
      <w:pPr>
        <w:shd w:val="clear"/>
        <w:spacing w:line="360" w:lineRule="auto"/>
        <w:ind w:firstLine="480"/>
        <w:jc w:val="left"/>
        <w:outlineLvl w:val="9"/>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内容较为简单、可行、细节有待完善的，该条得2分；</w:t>
      </w:r>
    </w:p>
    <w:p>
      <w:pPr>
        <w:shd w:val="clear"/>
        <w:spacing w:line="360" w:lineRule="auto"/>
        <w:ind w:firstLine="480"/>
        <w:jc w:val="left"/>
        <w:outlineLvl w:val="9"/>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内容粗略、无针对性、基本满足采购需求的，该条得1分。</w:t>
      </w:r>
    </w:p>
    <w:p>
      <w:pPr>
        <w:shd w:val="clear"/>
        <w:spacing w:line="360" w:lineRule="auto"/>
        <w:ind w:firstLine="480"/>
        <w:jc w:val="left"/>
        <w:outlineLvl w:val="9"/>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本项最高得9分，每缺少一条内容或内容存在不能满足采购需求，或存在逻辑错误、前后矛盾，或存在违反现行相关规范的，该条不得分。 </w:t>
      </w:r>
    </w:p>
    <w:p>
      <w:pPr>
        <w:shd w:val="clear"/>
        <w:spacing w:line="360" w:lineRule="auto"/>
        <w:ind w:firstLine="480"/>
        <w:jc w:val="left"/>
        <w:outlineLvl w:val="9"/>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（4）管理制度（9分）：</w:t>
      </w:r>
    </w:p>
    <w:p>
      <w:pPr>
        <w:shd w:val="clear"/>
        <w:spacing w:line="360" w:lineRule="auto"/>
        <w:ind w:firstLine="480"/>
        <w:jc w:val="left"/>
        <w:outlineLvl w:val="9"/>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包括：①人员组织、分工；②日常管理方案；③养护台账管理体系。投标人须针对每条内容进行阐述，阐述内容须满足采购需求。</w:t>
      </w:r>
    </w:p>
    <w:p>
      <w:pPr>
        <w:shd w:val="clear"/>
        <w:spacing w:line="360" w:lineRule="auto"/>
        <w:ind w:firstLine="480"/>
        <w:jc w:val="left"/>
        <w:outlineLvl w:val="9"/>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内容翔实、需求契合度高且条理清晰的，该条得3分；</w:t>
      </w:r>
    </w:p>
    <w:p>
      <w:pPr>
        <w:shd w:val="clear"/>
        <w:spacing w:line="360" w:lineRule="auto"/>
        <w:ind w:firstLine="480"/>
        <w:jc w:val="left"/>
        <w:outlineLvl w:val="9"/>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内容较为简单、可行、细节有待完善的，该条得2分；</w:t>
      </w:r>
    </w:p>
    <w:p>
      <w:pPr>
        <w:shd w:val="clear"/>
        <w:spacing w:line="360" w:lineRule="auto"/>
        <w:ind w:firstLine="480"/>
        <w:jc w:val="left"/>
        <w:outlineLvl w:val="9"/>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内容粗略、无针对性、基本满足采购需求的，该条得1分。</w:t>
      </w:r>
    </w:p>
    <w:p>
      <w:pPr>
        <w:shd w:val="clear"/>
        <w:spacing w:line="360" w:lineRule="auto"/>
        <w:ind w:firstLine="480"/>
        <w:jc w:val="left"/>
        <w:outlineLvl w:val="9"/>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本项最高得9分，每缺少一条内容或内容存在不能满足采购需求，或存在逻辑错误、前后矛盾，或存在违反现行相关规范的，该条不得分。</w:t>
      </w:r>
    </w:p>
    <w:p>
      <w:pPr>
        <w:shd w:val="clear"/>
        <w:spacing w:line="360" w:lineRule="auto"/>
        <w:ind w:firstLine="480"/>
        <w:jc w:val="left"/>
        <w:outlineLvl w:val="9"/>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（5）防汛抗台等突发事件的应急预案（9分）：</w:t>
      </w:r>
    </w:p>
    <w:p>
      <w:pPr>
        <w:shd w:val="clear"/>
        <w:spacing w:line="360" w:lineRule="auto"/>
        <w:ind w:firstLine="480"/>
        <w:jc w:val="left"/>
        <w:outlineLvl w:val="9"/>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包括：①防汛应急预案；②抗台应急预案；③其他突发应急预案；投标人须针对每条内容进行阐述，阐述内容须满足采购需求。</w:t>
      </w:r>
    </w:p>
    <w:p>
      <w:pPr>
        <w:shd w:val="clear"/>
        <w:spacing w:line="360" w:lineRule="auto"/>
        <w:ind w:firstLine="480"/>
        <w:jc w:val="left"/>
        <w:outlineLvl w:val="9"/>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内容翔实、需求契合度高且条理清晰的，该条得3分；</w:t>
      </w:r>
    </w:p>
    <w:p>
      <w:pPr>
        <w:shd w:val="clear"/>
        <w:spacing w:line="360" w:lineRule="auto"/>
        <w:ind w:firstLine="480"/>
        <w:jc w:val="left"/>
        <w:outlineLvl w:val="9"/>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内容较为简单、可行、细节有待完善的，该条得2分；</w:t>
      </w:r>
    </w:p>
    <w:p>
      <w:pPr>
        <w:shd w:val="clear"/>
        <w:spacing w:line="360" w:lineRule="auto"/>
        <w:ind w:firstLine="480"/>
        <w:jc w:val="left"/>
        <w:outlineLvl w:val="9"/>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内容粗略、无针对性、基本满足采购需求的，该条得1分。</w:t>
      </w:r>
    </w:p>
    <w:p>
      <w:pPr>
        <w:shd w:val="clear"/>
        <w:spacing w:line="360" w:lineRule="auto"/>
        <w:ind w:firstLine="480"/>
        <w:jc w:val="left"/>
        <w:outlineLvl w:val="9"/>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本项最高得9分，每缺少一条内容或内容存在不能满足采购需求，或存在逻辑错误、前后矛盾，或存在违反现行相关规范的，该条不得分。</w:t>
      </w:r>
    </w:p>
    <w:p>
      <w:pPr>
        <w:shd w:val="clear"/>
        <w:spacing w:line="360" w:lineRule="auto"/>
        <w:ind w:firstLine="480"/>
        <w:jc w:val="left"/>
        <w:outlineLvl w:val="9"/>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highlight w:val="none"/>
        </w:rPr>
        <w:t>备注：针对评分标准中评分的每一条，投标供应商均应在投标文件中提供对应资料，不提供相关资料的视为不具备该项得分的条件</w:t>
      </w:r>
      <w:r>
        <w:rPr>
          <w:rFonts w:hint="eastAsia" w:ascii="宋体" w:hAnsi="宋体" w:eastAsia="宋体" w:cs="宋体"/>
          <w:b w:val="0"/>
          <w:bCs w:val="0"/>
          <w:color w:val="auto"/>
          <w:sz w:val="24"/>
          <w:szCs w:val="24"/>
          <w:highlight w:val="none"/>
          <w:lang w:val="zh-CN"/>
        </w:rPr>
        <w:t>。</w:t>
      </w:r>
    </w:p>
    <w:p>
      <w:pPr>
        <w:keepNext w:val="0"/>
        <w:keepLines w:val="0"/>
        <w:pageBreakBefore w:val="0"/>
        <w:widowControl w:val="0"/>
        <w:shd w:val="clear"/>
        <w:spacing w:line="360" w:lineRule="auto"/>
        <w:ind w:firstLine="480"/>
        <w:outlineLvl w:val="9"/>
        <w:rPr>
          <w:rFonts w:ascii="宋体" w:hAnsi="宋体" w:cs="宋体"/>
          <w:b w:val="0"/>
          <w:bCs w:val="0"/>
          <w:color w:val="auto"/>
          <w:sz w:val="24"/>
          <w:highlight w:val="none"/>
        </w:rPr>
      </w:pPr>
      <w:r>
        <w:rPr>
          <w:rFonts w:hint="eastAsia" w:ascii="宋体" w:hAnsi="宋体" w:cs="宋体"/>
          <w:b w:val="0"/>
          <w:bCs w:val="0"/>
          <w:color w:val="auto"/>
          <w:sz w:val="24"/>
          <w:highlight w:val="none"/>
        </w:rPr>
        <w:t>注：评委在5人及5人以上的，取所有</w:t>
      </w:r>
      <w:r>
        <w:rPr>
          <w:rFonts w:hint="eastAsia" w:ascii="宋体" w:hAnsi="宋体" w:cs="宋体"/>
          <w:b w:val="0"/>
          <w:bCs w:val="0"/>
          <w:color w:val="auto"/>
          <w:sz w:val="24"/>
          <w:szCs w:val="34"/>
          <w:highlight w:val="none"/>
        </w:rPr>
        <w:t>评委</w:t>
      </w:r>
      <w:r>
        <w:rPr>
          <w:rFonts w:hint="eastAsia" w:ascii="宋体" w:hAnsi="宋体" w:cs="宋体"/>
          <w:b w:val="0"/>
          <w:bCs w:val="0"/>
          <w:color w:val="auto"/>
          <w:sz w:val="24"/>
          <w:highlight w:val="none"/>
        </w:rPr>
        <w:t>的平均值。未列入本评分细则的其他条件不作为评分内容。</w:t>
      </w:r>
      <w:r>
        <w:rPr>
          <w:rFonts w:hint="eastAsia" w:ascii="宋体" w:hAnsi="宋体" w:cs="宋体"/>
          <w:b w:val="0"/>
          <w:bCs w:val="0"/>
          <w:color w:val="auto"/>
          <w:sz w:val="24"/>
          <w:highlight w:val="none"/>
          <w:lang w:val="en-US" w:eastAsia="zh-CN"/>
        </w:rPr>
        <w:t>技术文件</w:t>
      </w:r>
      <w:r>
        <w:rPr>
          <w:rFonts w:hint="eastAsia" w:ascii="宋体" w:hAnsi="宋体" w:cs="宋体"/>
          <w:b w:val="0"/>
          <w:bCs w:val="0"/>
          <w:color w:val="auto"/>
          <w:sz w:val="24"/>
          <w:highlight w:val="none"/>
        </w:rPr>
        <w:t>不宜超过200页，每超过一页扣0.1分。</w:t>
      </w:r>
    </w:p>
    <w:p>
      <w:pPr>
        <w:keepNext w:val="0"/>
        <w:keepLines w:val="0"/>
        <w:pageBreakBefore w:val="0"/>
        <w:widowControl w:val="0"/>
        <w:shd w:val="clear"/>
        <w:spacing w:line="360" w:lineRule="auto"/>
        <w:ind w:left="-2" w:firstLine="420"/>
        <w:outlineLvl w:val="9"/>
        <w:rPr>
          <w:rFonts w:ascii="宋体" w:hAnsi="宋体" w:cs="宋体"/>
          <w:bCs/>
          <w:color w:val="auto"/>
          <w:sz w:val="24"/>
          <w:highlight w:val="none"/>
        </w:rPr>
      </w:pPr>
      <w:r>
        <w:rPr>
          <w:rFonts w:hint="eastAsia" w:ascii="宋体" w:hAnsi="宋体" w:cs="宋体"/>
          <w:bCs/>
          <w:color w:val="auto"/>
          <w:sz w:val="24"/>
          <w:highlight w:val="none"/>
        </w:rPr>
        <w:t>（十） 确定中标供应商：</w:t>
      </w:r>
    </w:p>
    <w:p>
      <w:pPr>
        <w:keepNext w:val="0"/>
        <w:keepLines w:val="0"/>
        <w:pageBreakBefore w:val="0"/>
        <w:widowControl w:val="0"/>
        <w:shd w:val="clear"/>
        <w:tabs>
          <w:tab w:val="left" w:pos="525"/>
          <w:tab w:val="left" w:pos="1155"/>
        </w:tabs>
        <w:spacing w:line="360" w:lineRule="auto"/>
        <w:ind w:firstLine="480"/>
        <w:outlineLvl w:val="9"/>
        <w:rPr>
          <w:rFonts w:ascii="宋体" w:hAnsi="宋体" w:cs="宋体"/>
          <w:bCs/>
          <w:color w:val="auto"/>
          <w:sz w:val="24"/>
          <w:highlight w:val="none"/>
        </w:rPr>
      </w:pPr>
      <w:r>
        <w:rPr>
          <w:rFonts w:hint="eastAsia" w:ascii="宋体" w:hAnsi="宋体" w:cs="宋体"/>
          <w:color w:val="auto"/>
          <w:sz w:val="24"/>
          <w:highlight w:val="none"/>
        </w:rPr>
        <w:t>1、</w:t>
      </w:r>
      <w:r>
        <w:rPr>
          <w:rFonts w:hint="eastAsia" w:ascii="宋体" w:hAnsi="宋体" w:cs="宋体"/>
          <w:bCs/>
          <w:color w:val="auto"/>
          <w:sz w:val="24"/>
          <w:highlight w:val="none"/>
        </w:rPr>
        <w:t>评标委员会根据</w:t>
      </w:r>
      <w:r>
        <w:rPr>
          <w:rFonts w:hint="eastAsia" w:ascii="宋体" w:hAnsi="宋体" w:cs="宋体"/>
          <w:bCs/>
          <w:color w:val="auto"/>
          <w:sz w:val="24"/>
          <w:highlight w:val="none"/>
          <w:lang w:eastAsia="zh-CN"/>
        </w:rPr>
        <w:t>招标文件</w:t>
      </w:r>
      <w:r>
        <w:rPr>
          <w:rFonts w:hint="eastAsia" w:ascii="宋体" w:hAnsi="宋体" w:cs="宋体"/>
          <w:bCs/>
          <w:color w:val="auto"/>
          <w:sz w:val="24"/>
          <w:highlight w:val="none"/>
        </w:rPr>
        <w:t>规定的评标方法和评标标准进行评审，最终得分最高者将推荐为中标候选人，</w:t>
      </w:r>
      <w:r>
        <w:rPr>
          <w:rFonts w:hint="eastAsia" w:ascii="宋体" w:hAnsi="宋体" w:cs="宋体"/>
          <w:color w:val="auto"/>
          <w:sz w:val="24"/>
          <w:highlight w:val="none"/>
        </w:rPr>
        <w:t>自评审结束之日起2个工作日内将评审报告送交采购人。采购人自收到评审报告之日起5个工作日内在评审报告推荐的中标候选人中按顺序确定中标供应商</w:t>
      </w:r>
      <w:r>
        <w:rPr>
          <w:rFonts w:hint="eastAsia" w:ascii="宋体" w:hAnsi="宋体" w:cs="宋体"/>
          <w:bCs/>
          <w:color w:val="auto"/>
          <w:sz w:val="24"/>
          <w:highlight w:val="none"/>
        </w:rPr>
        <w:t>。</w:t>
      </w:r>
      <w:r>
        <w:rPr>
          <w:rFonts w:hint="eastAsia" w:ascii="宋体" w:hAnsi="宋体" w:cs="宋体"/>
          <w:bCs/>
          <w:color w:val="auto"/>
          <w:sz w:val="24"/>
          <w:highlight w:val="none"/>
          <w:lang w:eastAsia="zh-CN"/>
        </w:rPr>
        <w:t>北京中昌工程咨询有限公司</w:t>
      </w:r>
      <w:r>
        <w:rPr>
          <w:rFonts w:hint="eastAsia" w:ascii="宋体" w:hAnsi="宋体" w:cs="宋体"/>
          <w:color w:val="auto"/>
          <w:sz w:val="24"/>
          <w:highlight w:val="none"/>
        </w:rPr>
        <w:t>自中标供应商确定之日起2个工作日内，发出成交通知书并</w:t>
      </w:r>
      <w:r>
        <w:rPr>
          <w:rFonts w:hint="eastAsia" w:ascii="宋体" w:hAnsi="宋体" w:cs="宋体"/>
          <w:bCs/>
          <w:color w:val="auto"/>
          <w:sz w:val="24"/>
          <w:highlight w:val="none"/>
        </w:rPr>
        <w:t>在财政部门指定的政府采购信息发布媒体（</w:t>
      </w:r>
      <w:r>
        <w:rPr>
          <w:rFonts w:hint="eastAsia" w:ascii="宋体" w:hAnsi="宋体" w:cs="宋体"/>
          <w:color w:val="auto"/>
          <w:sz w:val="24"/>
          <w:highlight w:val="none"/>
        </w:rPr>
        <w:t>江苏政府采购网</w:t>
      </w:r>
      <w:r>
        <w:rPr>
          <w:rFonts w:hint="eastAsia" w:ascii="宋体" w:hAnsi="宋体" w:cs="宋体"/>
          <w:bCs/>
          <w:color w:val="auto"/>
          <w:sz w:val="24"/>
          <w:highlight w:val="none"/>
        </w:rPr>
        <w:t>）发布中标公告。</w:t>
      </w:r>
    </w:p>
    <w:p>
      <w:pPr>
        <w:keepNext w:val="0"/>
        <w:keepLines w:val="0"/>
        <w:pageBreakBefore w:val="0"/>
        <w:widowControl w:val="0"/>
        <w:shd w:val="clear"/>
        <w:tabs>
          <w:tab w:val="left" w:pos="525"/>
          <w:tab w:val="left" w:pos="1155"/>
        </w:tabs>
        <w:spacing w:line="360" w:lineRule="auto"/>
        <w:ind w:firstLine="480"/>
        <w:outlineLvl w:val="9"/>
        <w:rPr>
          <w:rFonts w:ascii="宋体" w:hAnsi="宋体" w:cs="宋体"/>
          <w:bCs/>
          <w:color w:val="auto"/>
          <w:sz w:val="24"/>
          <w:highlight w:val="none"/>
        </w:rPr>
      </w:pPr>
      <w:r>
        <w:rPr>
          <w:rFonts w:hint="eastAsia" w:ascii="宋体" w:hAnsi="宋体" w:cs="宋体"/>
          <w:bCs/>
          <w:color w:val="auto"/>
          <w:sz w:val="24"/>
          <w:highlight w:val="none"/>
        </w:rPr>
        <w:t>2、如有质疑，应在法定质疑期限内，即中标公告期限届满之日起7个工作日内，以书面形式送达采购人。质疑函应当列明具体的质疑事项及事实根据，认为自己合法权益受到损害的相关证据材料以及质疑供应商的名称、地址、邮编、联系人、联系电话、日期，同时该质疑函应由投标供应商法定代表人签字并加盖单位公章（原件）。采购人将在收到符合上述要求的书面质疑后七个工作日内，对质疑内容</w:t>
      </w:r>
      <w:r>
        <w:rPr>
          <w:rFonts w:hint="eastAsia" w:ascii="宋体" w:hAnsi="宋体" w:cs="宋体"/>
          <w:bCs/>
          <w:color w:val="auto"/>
          <w:sz w:val="24"/>
          <w:highlight w:val="none"/>
          <w:lang w:eastAsia="zh-CN"/>
        </w:rPr>
        <w:t>作出</w:t>
      </w:r>
      <w:r>
        <w:rPr>
          <w:rFonts w:hint="eastAsia" w:ascii="宋体" w:hAnsi="宋体" w:cs="宋体"/>
          <w:bCs/>
          <w:color w:val="auto"/>
          <w:sz w:val="24"/>
          <w:highlight w:val="none"/>
        </w:rPr>
        <w:t>答复。投标供应商在法定质疑期限外送达的质疑函或法定质疑期限内送达的质疑函不符合上述要求的均为无效质疑，采购人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p>
    <w:p>
      <w:pPr>
        <w:shd w:val="clear"/>
        <w:tabs>
          <w:tab w:val="left" w:pos="525"/>
          <w:tab w:val="left" w:pos="945"/>
        </w:tabs>
        <w:spacing w:line="470" w:lineRule="exact"/>
        <w:ind w:firstLine="480"/>
        <w:outlineLvl w:val="9"/>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bCs/>
          <w:color w:val="auto"/>
          <w:sz w:val="24"/>
          <w:highlight w:val="none"/>
        </w:rPr>
        <w:t>投标、开标及定标的整个过程均接受</w:t>
      </w:r>
      <w:r>
        <w:rPr>
          <w:rFonts w:hint="eastAsia" w:ascii="宋体" w:hAnsi="宋体" w:cs="宋体"/>
          <w:color w:val="auto"/>
          <w:sz w:val="24"/>
          <w:highlight w:val="none"/>
        </w:rPr>
        <w:t>政府采购监管部门</w:t>
      </w:r>
      <w:r>
        <w:rPr>
          <w:rFonts w:hint="eastAsia" w:ascii="宋体" w:hAnsi="宋体" w:cs="宋体"/>
          <w:bCs/>
          <w:color w:val="auto"/>
          <w:sz w:val="24"/>
          <w:highlight w:val="none"/>
        </w:rPr>
        <w:t>的监督</w:t>
      </w:r>
      <w:r>
        <w:rPr>
          <w:rFonts w:hint="eastAsia" w:ascii="宋体" w:hAnsi="宋体" w:cs="宋体"/>
          <w:color w:val="auto"/>
          <w:sz w:val="24"/>
          <w:highlight w:val="none"/>
        </w:rPr>
        <w:t>。</w:t>
      </w:r>
    </w:p>
    <w:p>
      <w:pPr>
        <w:shd w:val="clear"/>
        <w:tabs>
          <w:tab w:val="left" w:pos="525"/>
          <w:tab w:val="left" w:pos="945"/>
        </w:tabs>
        <w:spacing w:line="470" w:lineRule="exact"/>
        <w:ind w:firstLine="480"/>
        <w:outlineLvl w:val="9"/>
        <w:rPr>
          <w:rFonts w:ascii="宋体" w:hAnsi="宋体" w:cs="宋体"/>
          <w:color w:val="auto"/>
          <w:sz w:val="24"/>
          <w:highlight w:val="none"/>
        </w:rPr>
      </w:pPr>
      <w:r>
        <w:rPr>
          <w:rFonts w:hint="eastAsia" w:ascii="宋体" w:hAnsi="宋体" w:cs="宋体"/>
          <w:color w:val="auto"/>
          <w:sz w:val="24"/>
          <w:highlight w:val="none"/>
        </w:rPr>
        <w:t>3、在发布中标公告的同时，</w:t>
      </w:r>
      <w:r>
        <w:rPr>
          <w:rFonts w:hint="eastAsia" w:ascii="宋体" w:hAnsi="宋体" w:cs="宋体"/>
          <w:color w:val="auto"/>
          <w:sz w:val="24"/>
          <w:highlight w:val="none"/>
          <w:lang w:eastAsia="zh-CN"/>
        </w:rPr>
        <w:t>北京中昌工程咨询有限公司</w:t>
      </w:r>
      <w:r>
        <w:rPr>
          <w:rFonts w:hint="eastAsia" w:ascii="宋体" w:hAnsi="宋体" w:cs="宋体"/>
          <w:color w:val="auto"/>
          <w:sz w:val="24"/>
          <w:highlight w:val="none"/>
        </w:rPr>
        <w:t>将向中标供应商发出中标通知书。</w:t>
      </w:r>
    </w:p>
    <w:p>
      <w:pPr>
        <w:shd w:val="clear"/>
        <w:spacing w:line="360" w:lineRule="auto"/>
        <w:ind w:left="-2" w:firstLine="420"/>
        <w:outlineLvl w:val="9"/>
        <w:rPr>
          <w:rFonts w:ascii="宋体" w:hAnsi="宋体" w:cs="宋体"/>
          <w:bCs/>
          <w:color w:val="auto"/>
          <w:sz w:val="24"/>
          <w:highlight w:val="none"/>
        </w:rPr>
      </w:pPr>
      <w:r>
        <w:rPr>
          <w:rFonts w:hint="eastAsia" w:ascii="宋体" w:hAnsi="宋体" w:cs="宋体"/>
          <w:bCs/>
          <w:color w:val="auto"/>
          <w:sz w:val="24"/>
          <w:highlight w:val="none"/>
        </w:rPr>
        <w:t>（十一） 废标的确认：</w:t>
      </w:r>
    </w:p>
    <w:p>
      <w:pPr>
        <w:shd w:val="clear"/>
        <w:spacing w:line="360" w:lineRule="auto"/>
        <w:ind w:firstLine="480"/>
        <w:outlineLvl w:val="9"/>
        <w:rPr>
          <w:rFonts w:ascii="宋体" w:hAnsi="宋体" w:cs="宋体"/>
          <w:bCs/>
          <w:color w:val="auto"/>
          <w:sz w:val="24"/>
          <w:highlight w:val="none"/>
        </w:rPr>
      </w:pPr>
      <w:r>
        <w:rPr>
          <w:rFonts w:hint="eastAsia" w:ascii="宋体" w:hAnsi="宋体" w:cs="宋体"/>
          <w:bCs/>
          <w:color w:val="auto"/>
          <w:sz w:val="24"/>
          <w:highlight w:val="none"/>
        </w:rPr>
        <w:t>在招标采购中，出现下列情况之一的，应予废标：</w:t>
      </w:r>
    </w:p>
    <w:p>
      <w:pPr>
        <w:numPr>
          <w:ilvl w:val="0"/>
          <w:numId w:val="0"/>
        </w:numPr>
        <w:shd w:val="clear"/>
        <w:tabs>
          <w:tab w:val="left" w:pos="525"/>
          <w:tab w:val="left" w:pos="1155"/>
          <w:tab w:val="left" w:pos="1260"/>
        </w:tabs>
        <w:spacing w:line="360" w:lineRule="auto"/>
        <w:ind w:left="0" w:firstLine="630"/>
        <w:outlineLvl w:val="9"/>
        <w:rPr>
          <w:rFonts w:ascii="宋体" w:hAnsi="宋体" w:cs="宋体"/>
          <w:bCs/>
          <w:color w:val="auto"/>
          <w:sz w:val="24"/>
          <w:highlight w:val="none"/>
        </w:rPr>
      </w:pPr>
      <w:r>
        <w:rPr>
          <w:rFonts w:hint="eastAsia" w:ascii="宋体" w:hAnsi="宋体" w:eastAsia="Arial" w:cs="宋体"/>
          <w:bCs/>
          <w:color w:val="auto"/>
          <w:sz w:val="24"/>
          <w:szCs w:val="24"/>
          <w:highlight w:val="none"/>
          <w:lang w:val="en-US" w:eastAsia="zh-CN" w:bidi="ar-SA"/>
        </w:rPr>
        <w:t>1．</w:t>
      </w:r>
      <w:r>
        <w:rPr>
          <w:rFonts w:hint="eastAsia" w:ascii="宋体" w:hAnsi="宋体" w:cs="宋体"/>
          <w:bCs/>
          <w:color w:val="auto"/>
          <w:sz w:val="24"/>
          <w:highlight w:val="none"/>
        </w:rPr>
        <w:t>符合专业条件的投标供应商或者对</w:t>
      </w:r>
      <w:r>
        <w:rPr>
          <w:rFonts w:hint="eastAsia" w:ascii="宋体" w:hAnsi="宋体" w:cs="宋体"/>
          <w:bCs/>
          <w:color w:val="auto"/>
          <w:sz w:val="24"/>
          <w:highlight w:val="none"/>
          <w:lang w:eastAsia="zh-CN"/>
        </w:rPr>
        <w:t>招标文件</w:t>
      </w:r>
      <w:r>
        <w:rPr>
          <w:rFonts w:hint="eastAsia" w:ascii="宋体" w:hAnsi="宋体" w:cs="宋体"/>
          <w:bCs/>
          <w:color w:val="auto"/>
          <w:sz w:val="24"/>
          <w:highlight w:val="none"/>
        </w:rPr>
        <w:t>作出实质性响应的供应商不足三家；</w:t>
      </w:r>
    </w:p>
    <w:p>
      <w:pPr>
        <w:numPr>
          <w:ilvl w:val="0"/>
          <w:numId w:val="0"/>
        </w:numPr>
        <w:shd w:val="clear"/>
        <w:tabs>
          <w:tab w:val="left" w:pos="525"/>
          <w:tab w:val="left" w:pos="1155"/>
          <w:tab w:val="left" w:pos="1260"/>
        </w:tabs>
        <w:spacing w:line="360" w:lineRule="auto"/>
        <w:ind w:left="0" w:firstLine="630"/>
        <w:outlineLvl w:val="9"/>
        <w:rPr>
          <w:rFonts w:ascii="宋体" w:hAnsi="宋体" w:cs="宋体"/>
          <w:bCs/>
          <w:color w:val="auto"/>
          <w:sz w:val="24"/>
          <w:highlight w:val="none"/>
        </w:rPr>
      </w:pPr>
      <w:r>
        <w:rPr>
          <w:rFonts w:hint="eastAsia" w:ascii="宋体" w:hAnsi="宋体" w:eastAsia="Arial" w:cs="宋体"/>
          <w:bCs/>
          <w:color w:val="auto"/>
          <w:sz w:val="24"/>
          <w:szCs w:val="24"/>
          <w:highlight w:val="none"/>
          <w:lang w:val="en-US" w:eastAsia="zh-CN" w:bidi="ar-SA"/>
        </w:rPr>
        <w:t>2．</w:t>
      </w:r>
      <w:r>
        <w:rPr>
          <w:rFonts w:hint="eastAsia" w:ascii="宋体" w:hAnsi="宋体" w:cs="宋体"/>
          <w:bCs/>
          <w:color w:val="auto"/>
          <w:sz w:val="24"/>
          <w:highlight w:val="none"/>
        </w:rPr>
        <w:t>出现影响采购公正的违法、违规行为；</w:t>
      </w:r>
    </w:p>
    <w:p>
      <w:pPr>
        <w:numPr>
          <w:ilvl w:val="0"/>
          <w:numId w:val="0"/>
        </w:numPr>
        <w:shd w:val="clear"/>
        <w:tabs>
          <w:tab w:val="left" w:pos="525"/>
          <w:tab w:val="left" w:pos="1155"/>
          <w:tab w:val="left" w:pos="1260"/>
        </w:tabs>
        <w:spacing w:line="360" w:lineRule="auto"/>
        <w:ind w:left="0" w:firstLine="630"/>
        <w:outlineLvl w:val="9"/>
        <w:rPr>
          <w:rFonts w:ascii="宋体" w:hAnsi="宋体" w:cs="宋体"/>
          <w:bCs/>
          <w:color w:val="auto"/>
          <w:sz w:val="24"/>
          <w:highlight w:val="none"/>
        </w:rPr>
      </w:pPr>
      <w:r>
        <w:rPr>
          <w:rFonts w:hint="eastAsia" w:ascii="宋体" w:hAnsi="宋体" w:eastAsia="Arial" w:cs="宋体"/>
          <w:bCs/>
          <w:color w:val="auto"/>
          <w:sz w:val="24"/>
          <w:szCs w:val="24"/>
          <w:highlight w:val="none"/>
          <w:lang w:val="en-US" w:eastAsia="zh-CN" w:bidi="ar-SA"/>
        </w:rPr>
        <w:t>3．</w:t>
      </w:r>
      <w:r>
        <w:rPr>
          <w:rFonts w:hint="eastAsia" w:ascii="宋体" w:hAnsi="宋体" w:cs="宋体"/>
          <w:bCs/>
          <w:color w:val="auto"/>
          <w:sz w:val="24"/>
          <w:highlight w:val="none"/>
        </w:rPr>
        <w:t>供应商的报价均超过采购预算，采购人不能支付的；</w:t>
      </w:r>
    </w:p>
    <w:p>
      <w:pPr>
        <w:numPr>
          <w:ilvl w:val="0"/>
          <w:numId w:val="0"/>
        </w:numPr>
        <w:shd w:val="clear"/>
        <w:tabs>
          <w:tab w:val="right" w:pos="180"/>
          <w:tab w:val="left" w:pos="525"/>
          <w:tab w:val="left" w:pos="1155"/>
          <w:tab w:val="left" w:pos="1260"/>
        </w:tabs>
        <w:spacing w:line="360" w:lineRule="auto"/>
        <w:ind w:left="0" w:firstLine="630"/>
        <w:outlineLvl w:val="9"/>
        <w:rPr>
          <w:rFonts w:ascii="宋体" w:hAnsi="宋体" w:cs="宋体"/>
          <w:bCs/>
          <w:color w:val="auto"/>
          <w:sz w:val="24"/>
          <w:highlight w:val="none"/>
        </w:rPr>
      </w:pPr>
      <w:r>
        <w:rPr>
          <w:rFonts w:hint="eastAsia" w:ascii="宋体" w:hAnsi="宋体" w:eastAsia="Arial" w:cs="宋体"/>
          <w:bCs/>
          <w:color w:val="auto"/>
          <w:sz w:val="24"/>
          <w:szCs w:val="24"/>
          <w:highlight w:val="none"/>
          <w:lang w:val="en-US" w:eastAsia="zh-CN" w:bidi="ar-SA"/>
        </w:rPr>
        <w:t>4．</w:t>
      </w:r>
      <w:r>
        <w:rPr>
          <w:rFonts w:hint="eastAsia" w:ascii="宋体" w:hAnsi="宋体" w:cs="宋体"/>
          <w:bCs/>
          <w:color w:val="auto"/>
          <w:sz w:val="24"/>
          <w:highlight w:val="none"/>
        </w:rPr>
        <w:t>因重大变故，采购任务取消。</w:t>
      </w:r>
    </w:p>
    <w:p>
      <w:pPr>
        <w:shd w:val="clear"/>
        <w:spacing w:line="360" w:lineRule="auto"/>
        <w:ind w:left="-2" w:firstLine="420"/>
        <w:outlineLvl w:val="9"/>
        <w:rPr>
          <w:rFonts w:ascii="宋体" w:hAnsi="宋体" w:cs="宋体"/>
          <w:bCs/>
          <w:color w:val="auto"/>
          <w:sz w:val="24"/>
          <w:highlight w:val="none"/>
        </w:rPr>
      </w:pPr>
      <w:r>
        <w:rPr>
          <w:rFonts w:hint="eastAsia" w:ascii="宋体" w:hAnsi="宋体" w:cs="宋体"/>
          <w:b/>
          <w:color w:val="auto"/>
          <w:sz w:val="24"/>
          <w:highlight w:val="none"/>
        </w:rPr>
        <w:t>（十二）</w:t>
      </w:r>
      <w:r>
        <w:rPr>
          <w:rFonts w:hint="eastAsia" w:ascii="宋体" w:hAnsi="宋体" w:cs="宋体"/>
          <w:bCs/>
          <w:color w:val="auto"/>
          <w:sz w:val="24"/>
          <w:highlight w:val="none"/>
        </w:rPr>
        <w:t>中标无效的确认：</w:t>
      </w:r>
    </w:p>
    <w:p>
      <w:pPr>
        <w:shd w:val="clear"/>
        <w:spacing w:line="470" w:lineRule="exact"/>
        <w:ind w:firstLine="480"/>
        <w:outlineLvl w:val="9"/>
        <w:rPr>
          <w:rFonts w:ascii="宋体" w:hAnsi="宋体" w:cs="宋体"/>
          <w:bCs/>
          <w:color w:val="auto"/>
          <w:sz w:val="24"/>
          <w:highlight w:val="none"/>
        </w:rPr>
      </w:pPr>
      <w:r>
        <w:rPr>
          <w:rFonts w:hint="eastAsia" w:ascii="宋体" w:hAnsi="宋体" w:cs="宋体"/>
          <w:bCs/>
          <w:color w:val="auto"/>
          <w:sz w:val="24"/>
          <w:highlight w:val="none"/>
        </w:rPr>
        <w:t>（1）提供虚假材料谋取中标的；</w:t>
      </w:r>
    </w:p>
    <w:p>
      <w:pPr>
        <w:shd w:val="clear"/>
        <w:spacing w:line="470" w:lineRule="exact"/>
        <w:ind w:firstLine="480"/>
        <w:outlineLvl w:val="9"/>
        <w:rPr>
          <w:rFonts w:ascii="宋体" w:hAnsi="宋体" w:cs="宋体"/>
          <w:bCs/>
          <w:color w:val="auto"/>
          <w:sz w:val="24"/>
          <w:highlight w:val="none"/>
        </w:rPr>
      </w:pPr>
      <w:r>
        <w:rPr>
          <w:rFonts w:hint="eastAsia" w:ascii="宋体" w:hAnsi="宋体" w:cs="宋体"/>
          <w:bCs/>
          <w:color w:val="auto"/>
          <w:sz w:val="24"/>
          <w:highlight w:val="none"/>
        </w:rPr>
        <w:t>（2）采取不正当手段诋毁、排挤其他投标供应商的；</w:t>
      </w:r>
    </w:p>
    <w:p>
      <w:pPr>
        <w:shd w:val="clear"/>
        <w:spacing w:line="470" w:lineRule="exact"/>
        <w:ind w:firstLine="480"/>
        <w:outlineLvl w:val="9"/>
        <w:rPr>
          <w:rFonts w:ascii="宋体" w:hAnsi="宋体" w:cs="宋体"/>
          <w:bCs/>
          <w:color w:val="auto"/>
          <w:sz w:val="24"/>
          <w:highlight w:val="none"/>
        </w:rPr>
      </w:pPr>
      <w:r>
        <w:rPr>
          <w:rFonts w:hint="eastAsia" w:ascii="宋体" w:hAnsi="宋体" w:cs="宋体"/>
          <w:bCs/>
          <w:color w:val="auto"/>
          <w:sz w:val="24"/>
          <w:highlight w:val="none"/>
        </w:rPr>
        <w:t>（3）与招标采购单位、其他投标供应商恶意串通的；</w:t>
      </w:r>
    </w:p>
    <w:p>
      <w:pPr>
        <w:shd w:val="clear"/>
        <w:spacing w:line="470" w:lineRule="exact"/>
        <w:ind w:firstLine="480"/>
        <w:outlineLvl w:val="9"/>
        <w:rPr>
          <w:rFonts w:ascii="宋体" w:hAnsi="宋体" w:cs="宋体"/>
          <w:bCs/>
          <w:color w:val="auto"/>
          <w:sz w:val="24"/>
          <w:highlight w:val="none"/>
        </w:rPr>
      </w:pPr>
      <w:r>
        <w:rPr>
          <w:rFonts w:hint="eastAsia" w:ascii="宋体" w:hAnsi="宋体" w:cs="宋体"/>
          <w:bCs/>
          <w:color w:val="auto"/>
          <w:sz w:val="24"/>
          <w:highlight w:val="none"/>
        </w:rPr>
        <w:t>（4）向采购人行贿或者提供其他不正当利益的；</w:t>
      </w:r>
    </w:p>
    <w:p>
      <w:pPr>
        <w:shd w:val="clear"/>
        <w:spacing w:line="470" w:lineRule="exact"/>
        <w:ind w:firstLine="480"/>
        <w:outlineLvl w:val="9"/>
        <w:rPr>
          <w:rFonts w:ascii="宋体" w:hAnsi="宋体" w:cs="宋体"/>
          <w:bCs/>
          <w:color w:val="auto"/>
          <w:sz w:val="24"/>
          <w:highlight w:val="none"/>
        </w:rPr>
      </w:pPr>
      <w:r>
        <w:rPr>
          <w:rFonts w:hint="eastAsia" w:ascii="宋体" w:hAnsi="宋体" w:cs="宋体"/>
          <w:bCs/>
          <w:color w:val="auto"/>
          <w:sz w:val="24"/>
          <w:highlight w:val="none"/>
        </w:rPr>
        <w:t>（5）在招标过程中与采购人进行协商谈判、不按照</w:t>
      </w:r>
      <w:r>
        <w:rPr>
          <w:rFonts w:hint="eastAsia" w:ascii="宋体" w:hAnsi="宋体" w:cs="宋体"/>
          <w:bCs/>
          <w:color w:val="auto"/>
          <w:sz w:val="24"/>
          <w:highlight w:val="none"/>
          <w:lang w:eastAsia="zh-CN"/>
        </w:rPr>
        <w:t>招标文件</w:t>
      </w:r>
      <w:r>
        <w:rPr>
          <w:rFonts w:hint="eastAsia" w:ascii="宋体" w:hAnsi="宋体" w:cs="宋体"/>
          <w:bCs/>
          <w:color w:val="auto"/>
          <w:sz w:val="24"/>
          <w:highlight w:val="none"/>
        </w:rPr>
        <w:t>和中标供应商的投标文件订立合同，或者与采购人另行订立背离合同实质性内容的协议的；</w:t>
      </w:r>
    </w:p>
    <w:p>
      <w:pPr>
        <w:shd w:val="clear"/>
        <w:spacing w:line="470" w:lineRule="exact"/>
        <w:ind w:firstLine="480"/>
        <w:outlineLvl w:val="9"/>
        <w:rPr>
          <w:rFonts w:ascii="宋体" w:hAnsi="宋体" w:cs="宋体"/>
          <w:bCs/>
          <w:color w:val="auto"/>
          <w:sz w:val="24"/>
          <w:highlight w:val="none"/>
        </w:rPr>
      </w:pPr>
      <w:r>
        <w:rPr>
          <w:rFonts w:hint="eastAsia" w:ascii="宋体" w:hAnsi="宋体" w:cs="宋体"/>
          <w:bCs/>
          <w:color w:val="auto"/>
          <w:sz w:val="24"/>
          <w:highlight w:val="none"/>
        </w:rPr>
        <w:t>（6）拒绝有关部门监督检查或者提供虚假情况的。</w:t>
      </w:r>
    </w:p>
    <w:p>
      <w:pPr>
        <w:shd w:val="clear"/>
        <w:spacing w:line="470" w:lineRule="exact"/>
        <w:ind w:firstLine="480"/>
        <w:outlineLvl w:val="9"/>
        <w:rPr>
          <w:rFonts w:ascii="宋体" w:hAnsi="宋体" w:cs="宋体"/>
          <w:bCs/>
          <w:color w:val="auto"/>
          <w:sz w:val="24"/>
          <w:highlight w:val="none"/>
        </w:rPr>
      </w:pPr>
      <w:r>
        <w:rPr>
          <w:rFonts w:hint="eastAsia" w:ascii="宋体" w:hAnsi="宋体" w:cs="宋体"/>
          <w:bCs/>
          <w:color w:val="auto"/>
          <w:sz w:val="24"/>
          <w:highlight w:val="none"/>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pPr>
        <w:shd w:val="clear"/>
        <w:spacing w:line="360" w:lineRule="auto"/>
        <w:ind w:left="-2" w:firstLine="420"/>
        <w:outlineLvl w:val="9"/>
        <w:rPr>
          <w:rFonts w:ascii="宋体" w:hAnsi="宋体" w:cs="宋体"/>
          <w:bCs/>
          <w:color w:val="auto"/>
          <w:sz w:val="24"/>
          <w:highlight w:val="none"/>
        </w:rPr>
      </w:pPr>
      <w:r>
        <w:rPr>
          <w:rFonts w:hint="eastAsia" w:ascii="宋体" w:hAnsi="宋体" w:cs="宋体"/>
          <w:b/>
          <w:color w:val="auto"/>
          <w:sz w:val="24"/>
          <w:highlight w:val="none"/>
        </w:rPr>
        <w:t>（十三）</w:t>
      </w:r>
      <w:r>
        <w:rPr>
          <w:rFonts w:hint="eastAsia" w:ascii="宋体" w:hAnsi="宋体" w:cs="宋体"/>
          <w:bCs/>
          <w:color w:val="auto"/>
          <w:sz w:val="24"/>
          <w:highlight w:val="none"/>
        </w:rPr>
        <w:t>签订、履行合同：</w:t>
      </w:r>
    </w:p>
    <w:p>
      <w:pPr>
        <w:shd w:val="clear"/>
        <w:tabs>
          <w:tab w:val="left" w:pos="525"/>
          <w:tab w:val="left" w:pos="1050"/>
        </w:tabs>
        <w:spacing w:line="470" w:lineRule="exact"/>
        <w:ind w:firstLine="480"/>
        <w:outlineLvl w:val="9"/>
        <w:rPr>
          <w:rFonts w:ascii="宋体" w:hAnsi="宋体" w:cs="宋体"/>
          <w:bCs/>
          <w:color w:val="auto"/>
          <w:sz w:val="24"/>
          <w:highlight w:val="none"/>
        </w:rPr>
      </w:pPr>
      <w:r>
        <w:rPr>
          <w:rFonts w:hint="eastAsia" w:ascii="宋体" w:hAnsi="宋体" w:cs="宋体"/>
          <w:bCs/>
          <w:color w:val="auto"/>
          <w:sz w:val="24"/>
          <w:highlight w:val="none"/>
        </w:rPr>
        <w:t>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w:t>
      </w:r>
      <w:r>
        <w:rPr>
          <w:rFonts w:hint="eastAsia" w:ascii="宋体" w:hAnsi="宋体" w:cs="宋体"/>
          <w:bCs/>
          <w:color w:val="auto"/>
          <w:sz w:val="24"/>
          <w:highlight w:val="none"/>
          <w:lang w:eastAsia="zh-CN"/>
        </w:rPr>
        <w:t>北京中昌工程咨询有限公司</w:t>
      </w:r>
      <w:r>
        <w:rPr>
          <w:rFonts w:hint="eastAsia" w:ascii="宋体" w:hAnsi="宋体" w:cs="宋体"/>
          <w:bCs/>
          <w:color w:val="auto"/>
          <w:sz w:val="24"/>
          <w:highlight w:val="none"/>
        </w:rPr>
        <w:t>见证后生效。</w:t>
      </w:r>
    </w:p>
    <w:p>
      <w:pPr>
        <w:shd w:val="clear"/>
        <w:spacing w:line="360" w:lineRule="auto"/>
        <w:ind w:left="-2" w:firstLine="420"/>
        <w:outlineLvl w:val="9"/>
        <w:rPr>
          <w:rFonts w:ascii="宋体" w:hAnsi="宋体" w:cs="宋体"/>
          <w:bCs/>
          <w:color w:val="auto"/>
          <w:sz w:val="24"/>
          <w:highlight w:val="none"/>
        </w:rPr>
      </w:pPr>
      <w:r>
        <w:rPr>
          <w:rFonts w:hint="eastAsia" w:ascii="宋体" w:hAnsi="宋体" w:cs="宋体"/>
          <w:bCs/>
          <w:color w:val="auto"/>
          <w:sz w:val="24"/>
          <w:highlight w:val="none"/>
        </w:rPr>
        <w:t>（十四）代理服务费：</w:t>
      </w:r>
    </w:p>
    <w:p>
      <w:pPr>
        <w:shd w:val="clear"/>
        <w:tabs>
          <w:tab w:val="left" w:pos="525"/>
          <w:tab w:val="left" w:pos="1050"/>
        </w:tabs>
        <w:spacing w:line="470" w:lineRule="exact"/>
        <w:ind w:firstLine="480"/>
        <w:outlineLvl w:val="9"/>
        <w:rPr>
          <w:rFonts w:hint="eastAsia" w:ascii="宋体" w:hAnsi="宋体" w:cs="宋体"/>
          <w:b w:val="0"/>
          <w:bCs/>
          <w:color w:val="auto"/>
          <w:sz w:val="24"/>
          <w:highlight w:val="none"/>
        </w:rPr>
      </w:pPr>
      <w:r>
        <w:rPr>
          <w:rFonts w:hint="eastAsia" w:ascii="宋体" w:hAnsi="宋体" w:cs="宋体"/>
          <w:b w:val="0"/>
          <w:bCs/>
          <w:color w:val="auto"/>
          <w:sz w:val="24"/>
          <w:highlight w:val="none"/>
        </w:rPr>
        <w:t>本项目采购代理服务费由</w:t>
      </w:r>
      <w:r>
        <w:rPr>
          <w:rFonts w:hint="eastAsia" w:ascii="宋体" w:hAnsi="宋体" w:cs="宋体"/>
          <w:b w:val="0"/>
          <w:bCs/>
          <w:color w:val="auto"/>
          <w:sz w:val="24"/>
          <w:highlight w:val="none"/>
          <w:lang w:val="en-US" w:eastAsia="zh-CN"/>
        </w:rPr>
        <w:t>采购单位</w:t>
      </w:r>
      <w:r>
        <w:rPr>
          <w:rFonts w:hint="eastAsia" w:ascii="宋体" w:hAnsi="宋体" w:cs="宋体"/>
          <w:b w:val="0"/>
          <w:bCs/>
          <w:color w:val="auto"/>
          <w:sz w:val="24"/>
          <w:highlight w:val="none"/>
        </w:rPr>
        <w:t>支付，招标代理服务费参照国家计委计价格〔2002〕1980号《招标代理服务收费管理暂行办法》收费标准规定的</w:t>
      </w:r>
      <w:r>
        <w:rPr>
          <w:rFonts w:hint="eastAsia" w:ascii="宋体" w:hAnsi="宋体" w:eastAsia="宋体" w:cs="宋体"/>
          <w:b w:val="0"/>
          <w:bCs/>
          <w:color w:val="auto"/>
          <w:sz w:val="24"/>
          <w:highlight w:val="none"/>
          <w:lang w:val="en-US" w:eastAsia="zh-CN"/>
        </w:rPr>
        <w:t>60</w:t>
      </w:r>
      <w:r>
        <w:rPr>
          <w:rFonts w:hint="eastAsia" w:ascii="宋体" w:hAnsi="宋体" w:cs="宋体"/>
          <w:b w:val="0"/>
          <w:bCs/>
          <w:color w:val="auto"/>
          <w:sz w:val="24"/>
          <w:highlight w:val="none"/>
        </w:rPr>
        <w:t>%计取，以</w:t>
      </w:r>
      <w:r>
        <w:rPr>
          <w:rFonts w:hint="eastAsia" w:ascii="宋体" w:hAnsi="宋体" w:cs="宋体"/>
          <w:b w:val="0"/>
          <w:bCs/>
          <w:color w:val="auto"/>
          <w:sz w:val="24"/>
          <w:highlight w:val="none"/>
          <w:lang w:val="en-US" w:eastAsia="zh-CN"/>
        </w:rPr>
        <w:t>中标</w:t>
      </w:r>
      <w:r>
        <w:rPr>
          <w:rFonts w:hint="eastAsia" w:ascii="宋体" w:hAnsi="宋体" w:cs="宋体"/>
          <w:b w:val="0"/>
          <w:bCs/>
          <w:color w:val="auto"/>
          <w:sz w:val="24"/>
          <w:highlight w:val="none"/>
        </w:rPr>
        <w:t>价为计算基数计算。</w:t>
      </w:r>
    </w:p>
    <w:p>
      <w:pPr>
        <w:shd w:val="clear"/>
        <w:spacing w:line="360" w:lineRule="auto"/>
        <w:ind w:left="-2" w:firstLine="420"/>
        <w:outlineLvl w:val="9"/>
        <w:rPr>
          <w:rFonts w:ascii="宋体" w:hAnsi="宋体" w:cs="宋体"/>
          <w:bCs/>
          <w:color w:val="auto"/>
          <w:sz w:val="24"/>
          <w:highlight w:val="none"/>
        </w:rPr>
      </w:pPr>
      <w:r>
        <w:rPr>
          <w:rFonts w:hint="eastAsia" w:ascii="宋体" w:hAnsi="宋体" w:cs="宋体"/>
          <w:bCs/>
          <w:color w:val="auto"/>
          <w:sz w:val="24"/>
          <w:highlight w:val="none"/>
        </w:rPr>
        <w:t>（十五）其他：</w:t>
      </w:r>
    </w:p>
    <w:p>
      <w:pPr>
        <w:shd w:val="clear"/>
        <w:tabs>
          <w:tab w:val="left" w:pos="525"/>
          <w:tab w:val="left" w:pos="1050"/>
        </w:tabs>
        <w:spacing w:line="470" w:lineRule="exact"/>
        <w:ind w:firstLine="480"/>
        <w:outlineLvl w:val="9"/>
        <w:rPr>
          <w:rFonts w:ascii="宋体" w:hAnsi="宋体" w:cs="宋体"/>
          <w:bCs/>
          <w:color w:val="auto"/>
          <w:sz w:val="24"/>
          <w:highlight w:val="none"/>
        </w:rPr>
      </w:pPr>
      <w:r>
        <w:rPr>
          <w:rFonts w:hint="eastAsia" w:ascii="宋体" w:hAnsi="宋体" w:cs="宋体"/>
          <w:bCs/>
          <w:color w:val="auto"/>
          <w:sz w:val="24"/>
          <w:highlight w:val="none"/>
        </w:rPr>
        <w:t>招标文件的条款必须认真审阅，投标供应商应自行检查投标文件页数是否齐全。若有遗漏、重复或不清楚，需立刻通知采购人予以更正；凡属对条款的误解所造成的投标价格失误，由投标供应商负责。</w:t>
      </w:r>
    </w:p>
    <w:p>
      <w:pPr>
        <w:shd w:val="clear"/>
        <w:spacing w:line="360" w:lineRule="auto"/>
        <w:ind w:firstLine="360"/>
        <w:outlineLvl w:val="9"/>
        <w:rPr>
          <w:rFonts w:ascii="宋体" w:hAnsi="宋体" w:cs="宋体"/>
          <w:color w:val="auto"/>
          <w:sz w:val="24"/>
          <w:highlight w:val="none"/>
        </w:rPr>
      </w:pPr>
      <w:r>
        <w:rPr>
          <w:rFonts w:hint="eastAsia" w:ascii="宋体" w:hAnsi="宋体" w:cs="宋体"/>
          <w:color w:val="auto"/>
          <w:sz w:val="24"/>
          <w:highlight w:val="none"/>
        </w:rPr>
        <w:t>（十六）政府采购履约担保</w:t>
      </w:r>
      <w:r>
        <w:rPr>
          <w:rFonts w:hint="eastAsia" w:ascii="宋体" w:hAnsi="宋体" w:cs="宋体"/>
          <w:b/>
          <w:bCs/>
          <w:color w:val="auto"/>
          <w:sz w:val="24"/>
          <w:highlight w:val="none"/>
        </w:rPr>
        <w:t>（本项目无履约保证金）</w:t>
      </w:r>
    </w:p>
    <w:p>
      <w:pPr>
        <w:shd w:val="clear"/>
        <w:spacing w:line="360" w:lineRule="auto"/>
        <w:ind w:firstLine="480"/>
        <w:outlineLvl w:val="9"/>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pPr>
        <w:shd w:val="clear"/>
        <w:spacing w:line="360" w:lineRule="auto"/>
        <w:ind w:firstLine="480"/>
        <w:outlineLvl w:val="9"/>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pPr>
        <w:shd w:val="clear"/>
        <w:spacing w:line="360" w:lineRule="auto"/>
        <w:ind w:firstLine="240"/>
        <w:outlineLvl w:val="9"/>
        <w:rPr>
          <w:rFonts w:ascii="宋体" w:hAnsi="宋体" w:cs="宋体"/>
          <w:color w:val="auto"/>
          <w:sz w:val="24"/>
          <w:highlight w:val="none"/>
        </w:rPr>
      </w:pPr>
      <w:r>
        <w:rPr>
          <w:rFonts w:hint="eastAsia" w:ascii="宋体" w:hAnsi="宋体" w:cs="宋体"/>
          <w:color w:val="auto"/>
          <w:sz w:val="24"/>
          <w:highlight w:val="none"/>
        </w:rPr>
        <w:t>（十七）政府采购合同融资</w:t>
      </w:r>
    </w:p>
    <w:p>
      <w:pPr>
        <w:shd w:val="clear"/>
        <w:spacing w:line="360" w:lineRule="auto"/>
        <w:ind w:firstLine="480"/>
        <w:outlineLvl w:val="9"/>
        <w:rPr>
          <w:rFonts w:hint="eastAsia"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根据无锡市《关于开展政府采购合同融资工作的通知》（锡财购〔2020〕17号）要求：合同融资，是指参与政府采购的供应商，凭借中标、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中标、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pPr>
        <w:shd w:val="clear"/>
        <w:spacing w:line="360" w:lineRule="auto"/>
        <w:ind w:firstLine="480"/>
        <w:outlineLvl w:val="9"/>
        <w:rPr>
          <w:rFonts w:ascii="宋体" w:hAnsi="宋体" w:cs="宋体"/>
          <w:color w:val="auto"/>
          <w:sz w:val="24"/>
          <w:highlight w:val="none"/>
        </w:rPr>
      </w:pPr>
      <w:r>
        <w:rPr>
          <w:rFonts w:hint="eastAsia" w:ascii="宋体" w:hAnsi="宋体" w:cs="宋体"/>
          <w:b/>
          <w:color w:val="auto"/>
          <w:sz w:val="24"/>
          <w:highlight w:val="none"/>
          <w:shd w:val="clear" w:color="auto" w:fill="FFFFFF"/>
        </w:rPr>
        <w:t>中标、成交供应商可根据自身情况，自行决定是否选择采用合同融资形式，在无锡政府采购网——政采贷专栏提供的银行名录内自主选择合作银行。</w:t>
      </w:r>
      <w:r>
        <w:rPr>
          <w:rFonts w:hint="eastAsia" w:ascii="宋体" w:hAnsi="宋体" w:cs="宋体"/>
          <w:b/>
          <w:color w:val="auto"/>
          <w:sz w:val="24"/>
          <w:highlight w:val="none"/>
          <w:shd w:val="clear" w:color="auto" w:fill="FFFFFF"/>
        </w:rPr>
        <w:br w:type="page" w:clear="all"/>
      </w:r>
      <w:r>
        <w:rPr>
          <w:rFonts w:hint="eastAsia" w:ascii="宋体" w:hAnsi="宋体" w:cs="宋体"/>
          <w:bCs/>
          <w:color w:val="auto"/>
          <w:sz w:val="24"/>
          <w:highlight w:val="none"/>
        </w:rPr>
        <w:t xml:space="preserve">附件1                      </w:t>
      </w:r>
      <w:r>
        <w:rPr>
          <w:rFonts w:hint="eastAsia" w:ascii="宋体" w:hAnsi="宋体" w:cs="宋体"/>
          <w:color w:val="auto"/>
          <w:sz w:val="24"/>
          <w:highlight w:val="none"/>
        </w:rPr>
        <w:t>政府采购履约担保函（项目用）</w:t>
      </w:r>
    </w:p>
    <w:p>
      <w:pPr>
        <w:widowControl/>
        <w:shd w:val="clear"/>
        <w:tabs>
          <w:tab w:val="left" w:pos="360"/>
          <w:tab w:val="left" w:pos="960"/>
        </w:tabs>
        <w:spacing w:line="440" w:lineRule="exact"/>
        <w:ind w:firstLine="360"/>
        <w:jc w:val="left"/>
        <w:outlineLvl w:val="9"/>
        <w:rPr>
          <w:rFonts w:ascii="宋体" w:hAnsi="宋体" w:cs="宋体"/>
          <w:color w:val="auto"/>
          <w:sz w:val="24"/>
          <w:highlight w:val="none"/>
        </w:rPr>
      </w:pPr>
      <w:r>
        <w:rPr>
          <w:rFonts w:hint="eastAsia" w:ascii="宋体" w:hAnsi="宋体" w:cs="宋体"/>
          <w:color w:val="auto"/>
          <w:sz w:val="24"/>
          <w:highlight w:val="none"/>
        </w:rPr>
        <w:t>编号：</w:t>
      </w:r>
    </w:p>
    <w:p>
      <w:pPr>
        <w:widowControl/>
        <w:shd w:val="clear"/>
        <w:tabs>
          <w:tab w:val="left" w:pos="360"/>
          <w:tab w:val="left" w:pos="960"/>
        </w:tabs>
        <w:spacing w:line="440" w:lineRule="exact"/>
        <w:jc w:val="left"/>
        <w:outlineLvl w:val="9"/>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w:t>
      </w:r>
    </w:p>
    <w:p>
      <w:pPr>
        <w:widowControl/>
        <w:shd w:val="clear"/>
        <w:tabs>
          <w:tab w:val="left" w:pos="360"/>
          <w:tab w:val="left" w:pos="960"/>
        </w:tabs>
        <w:spacing w:line="440" w:lineRule="exact"/>
        <w:ind w:firstLine="360"/>
        <w:jc w:val="left"/>
        <w:outlineLvl w:val="9"/>
        <w:rPr>
          <w:rFonts w:ascii="宋体" w:hAnsi="宋体" w:cs="宋体"/>
          <w:color w:val="auto"/>
          <w:sz w:val="24"/>
          <w:highlight w:val="none"/>
        </w:rPr>
      </w:pPr>
    </w:p>
    <w:p>
      <w:pPr>
        <w:widowControl/>
        <w:shd w:val="clear"/>
        <w:tabs>
          <w:tab w:val="left" w:pos="360"/>
          <w:tab w:val="left" w:pos="960"/>
        </w:tabs>
        <w:spacing w:line="440" w:lineRule="exact"/>
        <w:ind w:firstLine="360"/>
        <w:jc w:val="left"/>
        <w:outlineLvl w:val="9"/>
        <w:rPr>
          <w:rFonts w:ascii="宋体" w:hAnsi="宋体" w:cs="宋体"/>
          <w:color w:val="auto"/>
          <w:sz w:val="24"/>
          <w:highlight w:val="none"/>
        </w:rPr>
      </w:pPr>
      <w:r>
        <w:rPr>
          <w:rFonts w:hint="eastAsia" w:ascii="宋体" w:hAnsi="宋体" w:cs="宋体"/>
          <w:color w:val="auto"/>
          <w:sz w:val="24"/>
          <w:highlight w:val="none"/>
        </w:rPr>
        <w:t xml:space="preserve">鉴于你方与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（以下简称供应商）于   年  月  日签订编号为   的</w:t>
      </w:r>
      <w:r>
        <w:rPr>
          <w:rFonts w:hint="eastAsia" w:ascii="宋体" w:hAnsi="宋体" w:cs="宋体"/>
          <w:color w:val="auto"/>
          <w:sz w:val="24"/>
          <w:highlight w:val="none"/>
          <w:lang w:eastAsia="zh-CN"/>
        </w:rPr>
        <w:t>《政府采购合同》（以下简称“主合同”）</w:t>
      </w:r>
      <w:r>
        <w:rPr>
          <w:rFonts w:hint="eastAsia" w:ascii="宋体" w:hAnsi="宋体" w:cs="宋体"/>
          <w:color w:val="auto"/>
          <w:sz w:val="24"/>
          <w:highlight w:val="none"/>
        </w:rPr>
        <w:t>，且依据该合同的约定，供应商应在    年    月   日前向你方交纳履约保证金，且可以履约担保函的形式交纳履约保证金。应供应商的申请，我方以保证的方式向你方提供如下履约保证金担保：</w:t>
      </w:r>
    </w:p>
    <w:p>
      <w:pPr>
        <w:widowControl/>
        <w:shd w:val="clear"/>
        <w:tabs>
          <w:tab w:val="left" w:pos="360"/>
          <w:tab w:val="left" w:pos="960"/>
        </w:tabs>
        <w:spacing w:line="440" w:lineRule="exact"/>
        <w:ind w:firstLine="360"/>
        <w:jc w:val="left"/>
        <w:outlineLvl w:val="9"/>
        <w:rPr>
          <w:rFonts w:ascii="宋体" w:hAnsi="宋体" w:cs="宋体"/>
          <w:color w:val="auto"/>
          <w:sz w:val="24"/>
          <w:highlight w:val="none"/>
        </w:rPr>
      </w:pPr>
      <w:r>
        <w:rPr>
          <w:rFonts w:hint="eastAsia" w:ascii="宋体" w:hAnsi="宋体" w:cs="宋体"/>
          <w:color w:val="auto"/>
          <w:sz w:val="24"/>
          <w:highlight w:val="none"/>
        </w:rPr>
        <w:t>一、保证责任的情形及保证金额</w:t>
      </w:r>
    </w:p>
    <w:p>
      <w:pPr>
        <w:widowControl/>
        <w:shd w:val="clear"/>
        <w:tabs>
          <w:tab w:val="left" w:pos="360"/>
          <w:tab w:val="left" w:pos="960"/>
        </w:tabs>
        <w:spacing w:line="440" w:lineRule="exact"/>
        <w:ind w:firstLine="360"/>
        <w:jc w:val="left"/>
        <w:outlineLvl w:val="9"/>
        <w:rPr>
          <w:rFonts w:ascii="宋体" w:hAnsi="宋体" w:cs="宋体"/>
          <w:color w:val="auto"/>
          <w:sz w:val="24"/>
          <w:highlight w:val="none"/>
        </w:rPr>
      </w:pPr>
      <w:r>
        <w:rPr>
          <w:rFonts w:hint="eastAsia" w:ascii="宋体" w:hAnsi="宋体" w:cs="宋体"/>
          <w:color w:val="auto"/>
          <w:sz w:val="24"/>
          <w:highlight w:val="none"/>
        </w:rPr>
        <w:t>（一）在供应商出现下列情形之一时，我方承担保证责任：</w:t>
      </w:r>
    </w:p>
    <w:p>
      <w:pPr>
        <w:widowControl/>
        <w:shd w:val="clear"/>
        <w:tabs>
          <w:tab w:val="left" w:pos="360"/>
          <w:tab w:val="left" w:pos="960"/>
        </w:tabs>
        <w:spacing w:line="440" w:lineRule="exact"/>
        <w:ind w:firstLine="360"/>
        <w:jc w:val="left"/>
        <w:outlineLvl w:val="9"/>
        <w:rPr>
          <w:rFonts w:ascii="宋体" w:hAnsi="宋体" w:cs="宋体"/>
          <w:color w:val="auto"/>
          <w:sz w:val="24"/>
          <w:highlight w:val="none"/>
        </w:rPr>
      </w:pPr>
      <w:r>
        <w:rPr>
          <w:rFonts w:hint="eastAsia" w:ascii="宋体" w:hAnsi="宋体" w:cs="宋体"/>
          <w:color w:val="auto"/>
          <w:sz w:val="24"/>
          <w:highlight w:val="none"/>
        </w:rPr>
        <w:t>1．将中标项目转让给他人，或者在投标文件中未说明，且未经采购招标机构同意，将中标项目分包给他人的；</w:t>
      </w:r>
    </w:p>
    <w:p>
      <w:pPr>
        <w:widowControl/>
        <w:shd w:val="clear"/>
        <w:tabs>
          <w:tab w:val="left" w:pos="360"/>
          <w:tab w:val="left" w:pos="960"/>
        </w:tabs>
        <w:spacing w:line="440" w:lineRule="exact"/>
        <w:ind w:firstLine="360"/>
        <w:jc w:val="left"/>
        <w:outlineLvl w:val="9"/>
        <w:rPr>
          <w:rFonts w:ascii="宋体" w:hAnsi="宋体" w:cs="宋体"/>
          <w:color w:val="auto"/>
          <w:sz w:val="24"/>
          <w:highlight w:val="none"/>
        </w:rPr>
      </w:pPr>
      <w:r>
        <w:rPr>
          <w:rFonts w:hint="eastAsia" w:ascii="宋体" w:hAnsi="宋体" w:cs="宋体"/>
          <w:color w:val="auto"/>
          <w:sz w:val="24"/>
          <w:highlight w:val="none"/>
        </w:rPr>
        <w:t xml:space="preserve">2．主合同约定的应当缴纳履约保证金的情形: </w:t>
      </w:r>
    </w:p>
    <w:p>
      <w:pPr>
        <w:widowControl/>
        <w:shd w:val="clear"/>
        <w:tabs>
          <w:tab w:val="left" w:pos="360"/>
          <w:tab w:val="left" w:pos="960"/>
        </w:tabs>
        <w:spacing w:line="440" w:lineRule="exact"/>
        <w:ind w:firstLine="360"/>
        <w:jc w:val="left"/>
        <w:outlineLvl w:val="9"/>
        <w:rPr>
          <w:rFonts w:ascii="宋体" w:hAnsi="宋体" w:cs="宋体"/>
          <w:color w:val="auto"/>
          <w:sz w:val="24"/>
          <w:highlight w:val="none"/>
        </w:rPr>
      </w:pPr>
      <w:r>
        <w:rPr>
          <w:rFonts w:hint="eastAsia" w:ascii="宋体" w:hAnsi="宋体" w:cs="宋体"/>
          <w:color w:val="auto"/>
          <w:sz w:val="24"/>
          <w:highlight w:val="none"/>
        </w:rPr>
        <w:t>（1）未按主合同约定的质量、数量和期限供应货物/提供服务/完成工程的；</w:t>
      </w:r>
    </w:p>
    <w:p>
      <w:pPr>
        <w:widowControl/>
        <w:shd w:val="clear"/>
        <w:tabs>
          <w:tab w:val="left" w:pos="360"/>
          <w:tab w:val="left" w:pos="960"/>
        </w:tabs>
        <w:spacing w:line="440" w:lineRule="exact"/>
        <w:ind w:firstLine="360"/>
        <w:jc w:val="left"/>
        <w:outlineLvl w:val="9"/>
        <w:rPr>
          <w:rFonts w:ascii="宋体" w:hAnsi="宋体" w:cs="宋体"/>
          <w:color w:val="auto"/>
          <w:sz w:val="24"/>
          <w:highlight w:val="none"/>
        </w:rPr>
      </w:pPr>
      <w:r>
        <w:rPr>
          <w:rFonts w:hint="eastAsia" w:ascii="宋体" w:hAnsi="宋体" w:cs="宋体"/>
          <w:color w:val="auto"/>
          <w:sz w:val="24"/>
          <w:highlight w:val="none"/>
        </w:rPr>
        <w:t xml:space="preserve">（2）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pPr>
        <w:widowControl/>
        <w:shd w:val="clear"/>
        <w:tabs>
          <w:tab w:val="left" w:pos="360"/>
          <w:tab w:val="left" w:pos="960"/>
        </w:tabs>
        <w:spacing w:line="440" w:lineRule="exact"/>
        <w:ind w:firstLine="360"/>
        <w:jc w:val="left"/>
        <w:outlineLvl w:val="9"/>
        <w:rPr>
          <w:rFonts w:ascii="宋体" w:hAnsi="宋体" w:cs="宋体"/>
          <w:color w:val="auto"/>
          <w:sz w:val="24"/>
          <w:highlight w:val="none"/>
        </w:rPr>
      </w:pPr>
      <w:r>
        <w:rPr>
          <w:rFonts w:hint="eastAsia" w:ascii="宋体" w:hAnsi="宋体" w:cs="宋体"/>
          <w:color w:val="auto"/>
          <w:sz w:val="24"/>
          <w:highlight w:val="none"/>
        </w:rPr>
        <w:t>（二）我方的保证范围是主合同约定的合同价款总额的        %数额为         元（大写           ），币种为        。（即主合同履约保证金金额）</w:t>
      </w:r>
    </w:p>
    <w:p>
      <w:pPr>
        <w:widowControl/>
        <w:shd w:val="clear"/>
        <w:tabs>
          <w:tab w:val="left" w:pos="360"/>
          <w:tab w:val="left" w:pos="960"/>
        </w:tabs>
        <w:spacing w:line="440" w:lineRule="exact"/>
        <w:ind w:firstLine="360"/>
        <w:jc w:val="left"/>
        <w:outlineLvl w:val="9"/>
        <w:rPr>
          <w:rFonts w:ascii="宋体" w:hAnsi="宋体" w:cs="宋体"/>
          <w:color w:val="auto"/>
          <w:sz w:val="24"/>
          <w:highlight w:val="none"/>
        </w:rPr>
      </w:pPr>
      <w:r>
        <w:rPr>
          <w:rFonts w:hint="eastAsia" w:ascii="宋体" w:hAnsi="宋体" w:cs="宋体"/>
          <w:color w:val="auto"/>
          <w:sz w:val="24"/>
          <w:highlight w:val="none"/>
        </w:rPr>
        <w:t>二、保证的方式及保证期间</w:t>
      </w:r>
    </w:p>
    <w:p>
      <w:pPr>
        <w:widowControl/>
        <w:shd w:val="clear"/>
        <w:tabs>
          <w:tab w:val="left" w:pos="360"/>
          <w:tab w:val="left" w:pos="960"/>
        </w:tabs>
        <w:spacing w:line="440" w:lineRule="exact"/>
        <w:ind w:firstLine="360"/>
        <w:jc w:val="left"/>
        <w:outlineLvl w:val="9"/>
        <w:rPr>
          <w:rFonts w:ascii="宋体" w:hAnsi="宋体" w:cs="宋体"/>
          <w:color w:val="auto"/>
          <w:sz w:val="24"/>
          <w:highlight w:val="none"/>
        </w:rPr>
      </w:pPr>
      <w:r>
        <w:rPr>
          <w:rFonts w:hint="eastAsia" w:ascii="宋体" w:hAnsi="宋体" w:cs="宋体"/>
          <w:color w:val="auto"/>
          <w:sz w:val="24"/>
          <w:highlight w:val="none"/>
        </w:rPr>
        <w:t>我方保证的方式为：连带责任保证。</w:t>
      </w:r>
    </w:p>
    <w:p>
      <w:pPr>
        <w:widowControl/>
        <w:shd w:val="clear"/>
        <w:tabs>
          <w:tab w:val="left" w:pos="360"/>
          <w:tab w:val="left" w:pos="960"/>
        </w:tabs>
        <w:spacing w:line="440" w:lineRule="exact"/>
        <w:ind w:firstLine="360"/>
        <w:jc w:val="left"/>
        <w:outlineLvl w:val="9"/>
        <w:rPr>
          <w:rFonts w:ascii="宋体" w:hAnsi="宋体" w:cs="宋体"/>
          <w:color w:val="auto"/>
          <w:sz w:val="24"/>
          <w:highlight w:val="none"/>
        </w:rPr>
      </w:pPr>
      <w:r>
        <w:rPr>
          <w:rFonts w:hint="eastAsia" w:ascii="宋体" w:hAnsi="宋体" w:cs="宋体"/>
          <w:color w:val="auto"/>
          <w:sz w:val="24"/>
          <w:highlight w:val="none"/>
        </w:rPr>
        <w:t>我方保证的期间为：自本合同生效之日起至供应商按照主合同约定的供货/完工期限届满后     日内。</w:t>
      </w:r>
    </w:p>
    <w:p>
      <w:pPr>
        <w:widowControl/>
        <w:shd w:val="clear"/>
        <w:tabs>
          <w:tab w:val="left" w:pos="360"/>
          <w:tab w:val="left" w:pos="960"/>
        </w:tabs>
        <w:spacing w:line="440" w:lineRule="exact"/>
        <w:ind w:firstLine="360"/>
        <w:jc w:val="left"/>
        <w:outlineLvl w:val="9"/>
        <w:rPr>
          <w:rFonts w:ascii="宋体" w:hAnsi="宋体" w:cs="宋体"/>
          <w:color w:val="auto"/>
          <w:sz w:val="24"/>
          <w:highlight w:val="none"/>
        </w:rPr>
      </w:pPr>
      <w:r>
        <w:rPr>
          <w:rFonts w:hint="eastAsia" w:ascii="宋体" w:hAnsi="宋体" w:cs="宋体"/>
          <w:color w:val="auto"/>
          <w:sz w:val="24"/>
          <w:highlight w:val="none"/>
        </w:rPr>
        <w:t>如果供应商未按主合同约定向贵方供应货物/提供服务/完成工程的，由我方在保证金额内向你方支付上述款项。</w:t>
      </w:r>
    </w:p>
    <w:p>
      <w:pPr>
        <w:widowControl/>
        <w:shd w:val="clear"/>
        <w:tabs>
          <w:tab w:val="left" w:pos="360"/>
          <w:tab w:val="left" w:pos="960"/>
        </w:tabs>
        <w:spacing w:line="440" w:lineRule="exact"/>
        <w:ind w:firstLine="360"/>
        <w:jc w:val="left"/>
        <w:outlineLvl w:val="9"/>
        <w:rPr>
          <w:rFonts w:ascii="宋体" w:hAnsi="宋体" w:cs="宋体"/>
          <w:color w:val="auto"/>
          <w:sz w:val="24"/>
          <w:highlight w:val="none"/>
        </w:rPr>
      </w:pPr>
      <w:r>
        <w:rPr>
          <w:rFonts w:hint="eastAsia" w:ascii="宋体" w:hAnsi="宋体" w:cs="宋体"/>
          <w:color w:val="auto"/>
          <w:sz w:val="24"/>
          <w:highlight w:val="none"/>
        </w:rPr>
        <w:t>三、承担保证责任的程序</w:t>
      </w:r>
    </w:p>
    <w:p>
      <w:pPr>
        <w:widowControl/>
        <w:shd w:val="clear"/>
        <w:tabs>
          <w:tab w:val="left" w:pos="360"/>
          <w:tab w:val="left" w:pos="960"/>
        </w:tabs>
        <w:spacing w:line="440" w:lineRule="exact"/>
        <w:ind w:firstLine="360"/>
        <w:jc w:val="left"/>
        <w:outlineLvl w:val="9"/>
        <w:rPr>
          <w:rFonts w:ascii="宋体" w:hAnsi="宋体" w:cs="宋体"/>
          <w:color w:val="auto"/>
          <w:sz w:val="24"/>
          <w:highlight w:val="none"/>
        </w:rPr>
      </w:pPr>
      <w:r>
        <w:rPr>
          <w:rFonts w:hint="eastAsia" w:ascii="宋体" w:hAnsi="宋体" w:cs="宋体"/>
          <w:color w:val="auto"/>
          <w:sz w:val="24"/>
          <w:highlight w:val="none"/>
        </w:rPr>
        <w:t>1．你方要求我方承担保证责任的，应在本保函保证期间内向我方发出书面索赔通知。索赔通知应写明要求索赔的金额，支付款项应到达的账号。并附有证明供应商违约事实的证明材料。</w:t>
      </w:r>
    </w:p>
    <w:p>
      <w:pPr>
        <w:widowControl/>
        <w:shd w:val="clear"/>
        <w:tabs>
          <w:tab w:val="left" w:pos="360"/>
          <w:tab w:val="left" w:pos="960"/>
        </w:tabs>
        <w:spacing w:line="440" w:lineRule="exact"/>
        <w:ind w:firstLine="360"/>
        <w:jc w:val="left"/>
        <w:outlineLvl w:val="9"/>
        <w:rPr>
          <w:rFonts w:ascii="宋体" w:hAnsi="宋体" w:cs="宋体"/>
          <w:color w:val="auto"/>
          <w:sz w:val="24"/>
          <w:highlight w:val="none"/>
        </w:rPr>
      </w:pPr>
      <w:r>
        <w:rPr>
          <w:rFonts w:hint="eastAsia" w:ascii="宋体" w:hAnsi="宋体" w:cs="宋体"/>
          <w:color w:val="auto"/>
          <w:sz w:val="24"/>
          <w:highlight w:val="none"/>
        </w:rPr>
        <w:t>如果你方与供应商因货物质量问题产生争议，你方还需同时提供质监部门出具的质量检测报告，或经诉讼（仲裁）程序裁决后的裁决书、调解书，本保证人即按照检测结果或裁决书、调解书决定是否承担保证责任。</w:t>
      </w:r>
    </w:p>
    <w:p>
      <w:pPr>
        <w:widowControl/>
        <w:shd w:val="clear"/>
        <w:tabs>
          <w:tab w:val="left" w:pos="360"/>
          <w:tab w:val="left" w:pos="960"/>
        </w:tabs>
        <w:spacing w:line="440" w:lineRule="exact"/>
        <w:ind w:firstLine="360"/>
        <w:jc w:val="left"/>
        <w:outlineLvl w:val="9"/>
        <w:rPr>
          <w:rFonts w:ascii="宋体" w:hAnsi="宋体" w:cs="宋体"/>
          <w:color w:val="auto"/>
          <w:sz w:val="24"/>
          <w:highlight w:val="none"/>
        </w:rPr>
      </w:pPr>
      <w:r>
        <w:rPr>
          <w:rFonts w:hint="eastAsia" w:ascii="宋体" w:hAnsi="宋体" w:cs="宋体"/>
          <w:color w:val="auto"/>
          <w:sz w:val="24"/>
          <w:highlight w:val="none"/>
        </w:rPr>
        <w:t>2． 我方收到你方的书面索赔通知及相应证明材料，在    工作日内进行核定后按照本保函的承诺承担保证责任。</w:t>
      </w:r>
    </w:p>
    <w:p>
      <w:pPr>
        <w:widowControl/>
        <w:shd w:val="clear"/>
        <w:tabs>
          <w:tab w:val="left" w:pos="360"/>
          <w:tab w:val="left" w:pos="960"/>
        </w:tabs>
        <w:spacing w:line="440" w:lineRule="exact"/>
        <w:ind w:firstLine="360"/>
        <w:jc w:val="left"/>
        <w:outlineLvl w:val="9"/>
        <w:rPr>
          <w:rFonts w:ascii="宋体" w:hAnsi="宋体" w:cs="宋体"/>
          <w:color w:val="auto"/>
          <w:sz w:val="24"/>
          <w:highlight w:val="none"/>
        </w:rPr>
      </w:pPr>
      <w:r>
        <w:rPr>
          <w:rFonts w:hint="eastAsia" w:ascii="宋体" w:hAnsi="宋体" w:cs="宋体"/>
          <w:color w:val="auto"/>
          <w:sz w:val="24"/>
          <w:highlight w:val="none"/>
        </w:rPr>
        <w:t>四、保证责任的终止</w:t>
      </w:r>
    </w:p>
    <w:p>
      <w:pPr>
        <w:widowControl/>
        <w:shd w:val="clear"/>
        <w:tabs>
          <w:tab w:val="left" w:pos="360"/>
          <w:tab w:val="left" w:pos="960"/>
        </w:tabs>
        <w:spacing w:line="440" w:lineRule="exact"/>
        <w:ind w:firstLine="360"/>
        <w:jc w:val="left"/>
        <w:outlineLvl w:val="9"/>
        <w:rPr>
          <w:rFonts w:ascii="宋体" w:hAnsi="宋体" w:cs="宋体"/>
          <w:color w:val="auto"/>
          <w:sz w:val="24"/>
          <w:highlight w:val="none"/>
        </w:rPr>
      </w:pPr>
      <w:r>
        <w:rPr>
          <w:rFonts w:hint="eastAsia" w:ascii="宋体" w:hAnsi="宋体" w:cs="宋体"/>
          <w:color w:val="auto"/>
          <w:sz w:val="24"/>
          <w:highlight w:val="none"/>
        </w:rPr>
        <w:t>1．保证期间届满你方未向我方书面主张保证责任的，自保证期间届满次日起，我方保证责任自动终止。保证期间届满前，主合同约定的货物\工程\服务全部验收合格的，自验收合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auto"/>
          <w:sz w:val="24"/>
          <w:highlight w:val="none"/>
          <w:lang w:eastAsia="zh-CN"/>
        </w:rPr>
        <w:t>格之</w:t>
      </w:r>
      <w:r>
        <w:rPr>
          <w:rFonts w:hint="eastAsia" w:ascii="宋体" w:hAnsi="宋体" w:cs="宋体"/>
          <w:color w:val="auto"/>
          <w:sz w:val="24"/>
          <w:highlight w:val="none"/>
        </w:rPr>
        <w:t>日起，我方保证责任自动终止。</w:t>
      </w:r>
    </w:p>
    <w:p>
      <w:pPr>
        <w:widowControl/>
        <w:shd w:val="clear"/>
        <w:tabs>
          <w:tab w:val="left" w:pos="360"/>
          <w:tab w:val="left" w:pos="960"/>
        </w:tabs>
        <w:spacing w:line="440" w:lineRule="exact"/>
        <w:ind w:firstLine="360"/>
        <w:jc w:val="left"/>
        <w:outlineLvl w:val="9"/>
        <w:rPr>
          <w:rFonts w:ascii="宋体" w:hAnsi="宋体" w:cs="宋体"/>
          <w:color w:val="auto"/>
          <w:sz w:val="24"/>
          <w:highlight w:val="none"/>
        </w:rPr>
      </w:pPr>
      <w:r>
        <w:rPr>
          <w:rFonts w:hint="eastAsia" w:ascii="宋体" w:hAnsi="宋体" w:cs="宋体"/>
          <w:color w:val="auto"/>
          <w:sz w:val="24"/>
          <w:highlight w:val="none"/>
        </w:rPr>
        <w:t>2．我方按照本保函向你方履行了保证责任后，自我方向你方支付款项（支付款项从我方账户划出）之日起，保证责任即终止。</w:t>
      </w:r>
    </w:p>
    <w:p>
      <w:pPr>
        <w:widowControl/>
        <w:shd w:val="clear"/>
        <w:tabs>
          <w:tab w:val="left" w:pos="360"/>
          <w:tab w:val="left" w:pos="960"/>
        </w:tabs>
        <w:spacing w:line="440" w:lineRule="exact"/>
        <w:ind w:firstLine="360"/>
        <w:jc w:val="left"/>
        <w:outlineLvl w:val="9"/>
        <w:rPr>
          <w:rFonts w:ascii="宋体" w:hAnsi="宋体" w:cs="宋体"/>
          <w:color w:val="auto"/>
          <w:sz w:val="24"/>
          <w:highlight w:val="none"/>
        </w:rPr>
      </w:pPr>
      <w:r>
        <w:rPr>
          <w:rFonts w:hint="eastAsia" w:ascii="宋体" w:hAnsi="宋体" w:cs="宋体"/>
          <w:color w:val="auto"/>
          <w:sz w:val="24"/>
          <w:highlight w:val="none"/>
        </w:rPr>
        <w:t>3．按照法律法规的规定或出现应终止我方保证责任的其他情形的，我方在本保函项下的保证责任亦终止。</w:t>
      </w:r>
    </w:p>
    <w:p>
      <w:pPr>
        <w:widowControl/>
        <w:shd w:val="clear"/>
        <w:tabs>
          <w:tab w:val="left" w:pos="360"/>
          <w:tab w:val="left" w:pos="960"/>
        </w:tabs>
        <w:spacing w:line="440" w:lineRule="exact"/>
        <w:ind w:firstLine="360"/>
        <w:jc w:val="left"/>
        <w:outlineLvl w:val="9"/>
        <w:rPr>
          <w:rFonts w:ascii="宋体" w:hAnsi="宋体" w:cs="宋体"/>
          <w:color w:val="auto"/>
          <w:sz w:val="24"/>
          <w:highlight w:val="none"/>
        </w:rPr>
      </w:pPr>
      <w:r>
        <w:rPr>
          <w:rFonts w:hint="eastAsia" w:ascii="宋体" w:hAnsi="宋体" w:cs="宋体"/>
          <w:color w:val="auto"/>
          <w:sz w:val="24"/>
          <w:highlight w:val="none"/>
        </w:rPr>
        <w:t>4．你方与供应商修改主合同，加重我方保证责任的，我方对加重部分不承担保证责任，但该等修改事先经我方书面同意的除外；你方与供应商修改主合同履行期限，我方保证期间</w:t>
      </w:r>
      <w:r>
        <w:rPr>
          <w:rFonts w:hint="eastAsia" w:ascii="宋体" w:hAnsi="宋体" w:cs="宋体"/>
          <w:color w:val="auto"/>
          <w:sz w:val="24"/>
          <w:highlight w:val="none"/>
          <w:lang w:eastAsia="zh-CN"/>
        </w:rPr>
        <w:t>仍以</w:t>
      </w:r>
      <w:r>
        <w:rPr>
          <w:rFonts w:hint="eastAsia" w:ascii="宋体" w:hAnsi="宋体" w:cs="宋体"/>
          <w:color w:val="auto"/>
          <w:sz w:val="24"/>
          <w:highlight w:val="none"/>
        </w:rPr>
        <w:t>修改前的履行期限计算，但该等修改事先经我方书面同意的除外。</w:t>
      </w:r>
    </w:p>
    <w:p>
      <w:pPr>
        <w:widowControl/>
        <w:shd w:val="clear"/>
        <w:tabs>
          <w:tab w:val="left" w:pos="360"/>
          <w:tab w:val="left" w:pos="960"/>
        </w:tabs>
        <w:spacing w:line="440" w:lineRule="exact"/>
        <w:ind w:firstLine="360"/>
        <w:jc w:val="left"/>
        <w:outlineLvl w:val="9"/>
        <w:rPr>
          <w:rFonts w:ascii="宋体" w:hAnsi="宋体" w:cs="宋体"/>
          <w:color w:val="auto"/>
          <w:sz w:val="24"/>
          <w:highlight w:val="none"/>
        </w:rPr>
      </w:pPr>
      <w:r>
        <w:rPr>
          <w:rFonts w:hint="eastAsia" w:ascii="宋体" w:hAnsi="宋体" w:cs="宋体"/>
          <w:color w:val="auto"/>
          <w:sz w:val="24"/>
          <w:highlight w:val="none"/>
        </w:rPr>
        <w:t>五、免责条款</w:t>
      </w:r>
    </w:p>
    <w:p>
      <w:pPr>
        <w:widowControl/>
        <w:shd w:val="clear"/>
        <w:tabs>
          <w:tab w:val="left" w:pos="360"/>
          <w:tab w:val="left" w:pos="960"/>
        </w:tabs>
        <w:spacing w:line="440" w:lineRule="exact"/>
        <w:ind w:firstLine="360"/>
        <w:jc w:val="left"/>
        <w:outlineLvl w:val="9"/>
        <w:rPr>
          <w:rFonts w:ascii="宋体" w:hAnsi="宋体" w:cs="宋体"/>
          <w:color w:val="auto"/>
          <w:sz w:val="24"/>
          <w:highlight w:val="none"/>
        </w:rPr>
      </w:pPr>
      <w:r>
        <w:rPr>
          <w:rFonts w:hint="eastAsia" w:ascii="宋体" w:hAnsi="宋体" w:cs="宋体"/>
          <w:color w:val="auto"/>
          <w:sz w:val="24"/>
          <w:highlight w:val="none"/>
        </w:rPr>
        <w:t>1．因你方违反主合同约定致使供应商不能履行义务的，我方不承担保证责任。</w:t>
      </w:r>
    </w:p>
    <w:p>
      <w:pPr>
        <w:widowControl/>
        <w:shd w:val="clear"/>
        <w:tabs>
          <w:tab w:val="left" w:pos="360"/>
          <w:tab w:val="left" w:pos="960"/>
        </w:tabs>
        <w:spacing w:line="440" w:lineRule="exact"/>
        <w:ind w:firstLine="360"/>
        <w:jc w:val="left"/>
        <w:outlineLvl w:val="9"/>
        <w:rPr>
          <w:rFonts w:ascii="宋体" w:hAnsi="宋体" w:cs="宋体"/>
          <w:color w:val="auto"/>
          <w:sz w:val="24"/>
          <w:highlight w:val="none"/>
        </w:rPr>
      </w:pPr>
      <w:r>
        <w:rPr>
          <w:rFonts w:hint="eastAsia" w:ascii="宋体" w:hAnsi="宋体" w:cs="宋体"/>
          <w:color w:val="auto"/>
          <w:sz w:val="24"/>
          <w:highlight w:val="none"/>
        </w:rPr>
        <w:t>2．依照法律法规的规定或你方与供应商的另行约定，全部或者部分免除供应商应缴纳的保证金义务的，我方亦免除相应的保证责任。</w:t>
      </w:r>
    </w:p>
    <w:p>
      <w:pPr>
        <w:widowControl/>
        <w:shd w:val="clear"/>
        <w:tabs>
          <w:tab w:val="left" w:pos="360"/>
          <w:tab w:val="left" w:pos="960"/>
        </w:tabs>
        <w:spacing w:line="440" w:lineRule="exact"/>
        <w:ind w:firstLine="360"/>
        <w:jc w:val="left"/>
        <w:outlineLvl w:val="9"/>
        <w:rPr>
          <w:rFonts w:ascii="宋体" w:hAnsi="宋体" w:cs="宋体"/>
          <w:color w:val="auto"/>
          <w:sz w:val="24"/>
          <w:highlight w:val="none"/>
        </w:rPr>
      </w:pPr>
      <w:r>
        <w:rPr>
          <w:rFonts w:hint="eastAsia" w:ascii="宋体" w:hAnsi="宋体" w:cs="宋体"/>
          <w:color w:val="auto"/>
          <w:sz w:val="24"/>
          <w:highlight w:val="none"/>
        </w:rPr>
        <w:t>3．因不可抗力造成供应商不能履行供货义务的，我方不承担保证责任。</w:t>
      </w:r>
    </w:p>
    <w:p>
      <w:pPr>
        <w:widowControl/>
        <w:shd w:val="clear"/>
        <w:tabs>
          <w:tab w:val="left" w:pos="360"/>
          <w:tab w:val="left" w:pos="960"/>
        </w:tabs>
        <w:spacing w:line="440" w:lineRule="exact"/>
        <w:ind w:firstLine="360"/>
        <w:jc w:val="left"/>
        <w:outlineLvl w:val="9"/>
        <w:rPr>
          <w:rFonts w:ascii="宋体" w:hAnsi="宋体" w:cs="宋体"/>
          <w:color w:val="auto"/>
          <w:sz w:val="24"/>
          <w:highlight w:val="none"/>
        </w:rPr>
      </w:pPr>
      <w:r>
        <w:rPr>
          <w:rFonts w:hint="eastAsia" w:ascii="宋体" w:hAnsi="宋体" w:cs="宋体"/>
          <w:color w:val="auto"/>
          <w:sz w:val="24"/>
          <w:highlight w:val="none"/>
        </w:rPr>
        <w:t>六、争议的解决</w:t>
      </w:r>
    </w:p>
    <w:p>
      <w:pPr>
        <w:widowControl/>
        <w:shd w:val="clear"/>
        <w:tabs>
          <w:tab w:val="left" w:pos="360"/>
          <w:tab w:val="left" w:pos="960"/>
        </w:tabs>
        <w:spacing w:line="440" w:lineRule="exact"/>
        <w:ind w:firstLine="360"/>
        <w:jc w:val="left"/>
        <w:outlineLvl w:val="9"/>
        <w:rPr>
          <w:rFonts w:ascii="宋体" w:hAnsi="宋体" w:cs="宋体"/>
          <w:color w:val="auto"/>
          <w:sz w:val="24"/>
          <w:highlight w:val="none"/>
        </w:rPr>
      </w:pPr>
      <w:r>
        <w:rPr>
          <w:rFonts w:hint="eastAsia" w:ascii="宋体" w:hAnsi="宋体" w:cs="宋体"/>
          <w:color w:val="auto"/>
          <w:sz w:val="24"/>
          <w:highlight w:val="none"/>
        </w:rPr>
        <w:t>因本保函发生的纠纷，由你我双方协商解决，协商不成的，通过诉讼程序解决，诉讼管辖地法院为        法院。</w:t>
      </w:r>
    </w:p>
    <w:p>
      <w:pPr>
        <w:widowControl/>
        <w:shd w:val="clear"/>
        <w:tabs>
          <w:tab w:val="left" w:pos="360"/>
          <w:tab w:val="left" w:pos="960"/>
        </w:tabs>
        <w:spacing w:line="440" w:lineRule="exact"/>
        <w:ind w:firstLine="360"/>
        <w:jc w:val="left"/>
        <w:outlineLvl w:val="9"/>
        <w:rPr>
          <w:rFonts w:ascii="宋体" w:hAnsi="宋体" w:cs="宋体"/>
          <w:color w:val="auto"/>
          <w:sz w:val="24"/>
          <w:highlight w:val="none"/>
        </w:rPr>
      </w:pPr>
      <w:r>
        <w:rPr>
          <w:rFonts w:hint="eastAsia" w:ascii="宋体" w:hAnsi="宋体" w:cs="宋体"/>
          <w:color w:val="auto"/>
          <w:sz w:val="24"/>
          <w:highlight w:val="none"/>
        </w:rPr>
        <w:t>七、保函的生效</w:t>
      </w:r>
    </w:p>
    <w:p>
      <w:pPr>
        <w:widowControl/>
        <w:shd w:val="clear"/>
        <w:tabs>
          <w:tab w:val="left" w:pos="360"/>
          <w:tab w:val="left" w:pos="960"/>
        </w:tabs>
        <w:spacing w:line="440" w:lineRule="exact"/>
        <w:ind w:firstLine="360"/>
        <w:jc w:val="left"/>
        <w:outlineLvl w:val="9"/>
        <w:rPr>
          <w:rFonts w:ascii="宋体" w:hAnsi="宋体" w:cs="宋体"/>
          <w:color w:val="auto"/>
          <w:sz w:val="24"/>
          <w:highlight w:val="none"/>
        </w:rPr>
      </w:pPr>
      <w:r>
        <w:rPr>
          <w:rFonts w:hint="eastAsia" w:ascii="宋体" w:hAnsi="宋体" w:cs="宋体"/>
          <w:color w:val="auto"/>
          <w:sz w:val="24"/>
          <w:highlight w:val="none"/>
        </w:rPr>
        <w:t>本保函自我方加盖公章之日起生效。</w:t>
      </w:r>
    </w:p>
    <w:p>
      <w:pPr>
        <w:widowControl/>
        <w:shd w:val="clear"/>
        <w:tabs>
          <w:tab w:val="left" w:pos="360"/>
          <w:tab w:val="left" w:pos="960"/>
        </w:tabs>
        <w:spacing w:line="440" w:lineRule="exact"/>
        <w:jc w:val="left"/>
        <w:outlineLvl w:val="9"/>
        <w:rPr>
          <w:rFonts w:ascii="宋体" w:hAnsi="宋体" w:cs="宋体"/>
          <w:color w:val="auto"/>
          <w:sz w:val="24"/>
          <w:highlight w:val="none"/>
        </w:rPr>
      </w:pPr>
      <w:r>
        <w:rPr>
          <w:rFonts w:hint="eastAsia" w:ascii="宋体" w:hAnsi="宋体" w:cs="宋体"/>
          <w:color w:val="auto"/>
          <w:sz w:val="24"/>
          <w:highlight w:val="none"/>
        </w:rPr>
        <w:t xml:space="preserve">                                 </w:t>
      </w:r>
    </w:p>
    <w:p>
      <w:pPr>
        <w:widowControl/>
        <w:shd w:val="clear"/>
        <w:tabs>
          <w:tab w:val="left" w:pos="360"/>
          <w:tab w:val="left" w:pos="960"/>
        </w:tabs>
        <w:spacing w:line="440" w:lineRule="exact"/>
        <w:ind w:firstLine="360"/>
        <w:jc w:val="left"/>
        <w:outlineLvl w:val="9"/>
        <w:rPr>
          <w:rFonts w:ascii="宋体" w:hAnsi="宋体" w:cs="宋体"/>
          <w:color w:val="auto"/>
          <w:sz w:val="24"/>
          <w:highlight w:val="none"/>
        </w:rPr>
      </w:pPr>
      <w:r>
        <w:rPr>
          <w:rFonts w:hint="eastAsia" w:ascii="宋体" w:hAnsi="宋体" w:cs="宋体"/>
          <w:color w:val="auto"/>
          <w:sz w:val="24"/>
          <w:highlight w:val="none"/>
        </w:rPr>
        <w:t>保证人：（公章）</w:t>
      </w:r>
    </w:p>
    <w:p>
      <w:pPr>
        <w:widowControl/>
        <w:shd w:val="clear"/>
        <w:tabs>
          <w:tab w:val="left" w:pos="360"/>
          <w:tab w:val="left" w:pos="960"/>
        </w:tabs>
        <w:spacing w:line="440" w:lineRule="exact"/>
        <w:ind w:firstLine="360"/>
        <w:jc w:val="left"/>
        <w:outlineLvl w:val="9"/>
        <w:rPr>
          <w:rFonts w:ascii="宋体" w:hAnsi="宋体" w:cs="宋体"/>
          <w:color w:val="auto"/>
          <w:sz w:val="24"/>
          <w:highlight w:val="none"/>
        </w:rPr>
      </w:pPr>
      <w:r>
        <w:rPr>
          <w:rFonts w:hint="eastAsia" w:ascii="宋体" w:hAnsi="宋体" w:cs="宋体"/>
          <w:color w:val="auto"/>
          <w:sz w:val="24"/>
          <w:highlight w:val="none"/>
        </w:rPr>
        <w:t xml:space="preserve">                   </w:t>
      </w:r>
    </w:p>
    <w:p>
      <w:pPr>
        <w:widowControl/>
        <w:shd w:val="clear"/>
        <w:tabs>
          <w:tab w:val="left" w:pos="360"/>
          <w:tab w:val="left" w:pos="960"/>
        </w:tabs>
        <w:spacing w:line="440" w:lineRule="exact"/>
        <w:ind w:firstLine="360"/>
        <w:jc w:val="left"/>
        <w:outlineLvl w:val="9"/>
        <w:rPr>
          <w:rFonts w:ascii="宋体" w:hAnsi="宋体" w:cs="宋体"/>
          <w:color w:val="auto"/>
          <w:sz w:val="24"/>
          <w:highlight w:val="none"/>
        </w:rPr>
      </w:pPr>
      <w:r>
        <w:rPr>
          <w:rFonts w:hint="eastAsia" w:ascii="宋体" w:hAnsi="宋体" w:cs="宋体"/>
          <w:color w:val="auto"/>
          <w:sz w:val="24"/>
          <w:highlight w:val="none"/>
        </w:rPr>
        <w:t xml:space="preserve"> 年     月      日</w:t>
      </w:r>
    </w:p>
    <w:p>
      <w:pPr>
        <w:shd w:val="clear"/>
        <w:spacing w:after="312" w:line="580" w:lineRule="exact"/>
        <w:outlineLvl w:val="9"/>
        <w:rPr>
          <w:rFonts w:ascii="宋体" w:hAnsi="宋体" w:cs="宋体"/>
          <w:bCs/>
          <w:color w:val="auto"/>
          <w:sz w:val="24"/>
          <w:highlight w:val="none"/>
        </w:rPr>
      </w:pPr>
      <w:r>
        <w:rPr>
          <w:rFonts w:hint="eastAsia" w:ascii="宋体" w:hAnsi="宋体" w:cs="宋体"/>
          <w:color w:val="auto"/>
          <w:highlight w:val="none"/>
        </w:rPr>
        <w:br w:type="page" w:clear="all"/>
      </w:r>
      <w:r>
        <w:rPr>
          <w:rFonts w:hint="eastAsia" w:ascii="宋体" w:hAnsi="宋体" w:cs="宋体"/>
          <w:bCs/>
          <w:color w:val="auto"/>
          <w:sz w:val="24"/>
          <w:highlight w:val="none"/>
        </w:rPr>
        <w:t>附件2：</w:t>
      </w:r>
    </w:p>
    <w:p>
      <w:pPr>
        <w:shd w:val="clear"/>
        <w:spacing w:line="360" w:lineRule="auto"/>
        <w:ind w:firstLine="480"/>
        <w:jc w:val="center"/>
        <w:outlineLvl w:val="9"/>
        <w:rPr>
          <w:rFonts w:ascii="宋体" w:hAnsi="宋体" w:cs="宋体"/>
          <w:color w:val="auto"/>
          <w:sz w:val="24"/>
          <w:highlight w:val="none"/>
        </w:rPr>
      </w:pPr>
      <w:r>
        <w:rPr>
          <w:rFonts w:hint="eastAsia" w:ascii="宋体" w:hAnsi="宋体" w:cs="宋体"/>
          <w:color w:val="auto"/>
          <w:sz w:val="24"/>
          <w:highlight w:val="none"/>
        </w:rPr>
        <w:t>无锡市政府采购合同融资政策告知函</w:t>
      </w:r>
    </w:p>
    <w:p>
      <w:pPr>
        <w:shd w:val="clear"/>
        <w:spacing w:after="312" w:line="580" w:lineRule="exact"/>
        <w:outlineLvl w:val="9"/>
        <w:rPr>
          <w:rFonts w:ascii="宋体" w:hAnsi="宋体" w:cs="宋体"/>
          <w:color w:val="auto"/>
          <w:sz w:val="24"/>
          <w:highlight w:val="none"/>
        </w:rPr>
      </w:pPr>
    </w:p>
    <w:p>
      <w:pPr>
        <w:widowControl/>
        <w:shd w:val="clear"/>
        <w:tabs>
          <w:tab w:val="left" w:pos="360"/>
          <w:tab w:val="left" w:pos="960"/>
        </w:tabs>
        <w:spacing w:line="360" w:lineRule="auto"/>
        <w:ind w:firstLine="480"/>
        <w:jc w:val="left"/>
        <w:outlineLvl w:val="9"/>
        <w:rPr>
          <w:rFonts w:ascii="宋体" w:hAnsi="宋体" w:cs="宋体"/>
          <w:color w:val="auto"/>
          <w:sz w:val="24"/>
          <w:highlight w:val="none"/>
        </w:rPr>
      </w:pPr>
      <w:r>
        <w:rPr>
          <w:rFonts w:hint="eastAsia" w:ascii="宋体" w:hAnsi="宋体" w:cs="宋体"/>
          <w:color w:val="auto"/>
          <w:sz w:val="24"/>
          <w:highlight w:val="none"/>
        </w:rPr>
        <w:t>各供应商：</w:t>
      </w:r>
    </w:p>
    <w:p>
      <w:pPr>
        <w:widowControl/>
        <w:shd w:val="clear"/>
        <w:tabs>
          <w:tab w:val="left" w:pos="360"/>
          <w:tab w:val="left" w:pos="960"/>
        </w:tabs>
        <w:spacing w:line="360" w:lineRule="auto"/>
        <w:jc w:val="left"/>
        <w:outlineLvl w:val="9"/>
        <w:rPr>
          <w:rFonts w:ascii="宋体" w:hAnsi="宋体" w:cs="宋体"/>
          <w:color w:val="auto"/>
          <w:sz w:val="24"/>
          <w:highlight w:val="none"/>
        </w:rPr>
      </w:pPr>
      <w:r>
        <w:rPr>
          <w:rFonts w:hint="eastAsia" w:ascii="宋体" w:hAnsi="宋体" w:cs="宋体"/>
          <w:color w:val="auto"/>
          <w:sz w:val="24"/>
          <w:highlight w:val="none"/>
        </w:rPr>
        <w:t>欢迎贵公司参与无锡市政府采购活动！</w:t>
      </w:r>
    </w:p>
    <w:p>
      <w:pPr>
        <w:widowControl/>
        <w:shd w:val="clear"/>
        <w:tabs>
          <w:tab w:val="left" w:pos="360"/>
          <w:tab w:val="left" w:pos="960"/>
        </w:tabs>
        <w:spacing w:line="360" w:lineRule="auto"/>
        <w:ind w:firstLine="480"/>
        <w:jc w:val="left"/>
        <w:outlineLvl w:val="9"/>
        <w:rPr>
          <w:rFonts w:ascii="宋体" w:hAnsi="宋体" w:cs="宋体"/>
          <w:color w:val="auto"/>
          <w:sz w:val="24"/>
          <w:highlight w:val="none"/>
        </w:rPr>
      </w:pPr>
      <w:r>
        <w:rPr>
          <w:rFonts w:hint="eastAsia" w:ascii="宋体" w:hAnsi="宋体" w:cs="宋体"/>
          <w:color w:val="auto"/>
          <w:sz w:val="24"/>
          <w:highlight w:val="none"/>
        </w:rPr>
        <w:t>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贷款渠道和提供贷款的金融机构，可在江苏省政府采购（苏采云）平台查询联系。</w:t>
      </w:r>
    </w:p>
    <w:p>
      <w:pPr>
        <w:shd w:val="clear"/>
        <w:spacing w:line="540" w:lineRule="exact"/>
        <w:ind w:firstLine="480"/>
        <w:outlineLvl w:val="9"/>
        <w:rPr>
          <w:rFonts w:ascii="宋体" w:hAnsi="宋体" w:cs="宋体"/>
          <w:b/>
          <w:color w:val="auto"/>
          <w:sz w:val="24"/>
          <w:highlight w:val="none"/>
          <w:shd w:val="clear" w:color="auto" w:fill="FFFFFF"/>
        </w:rPr>
      </w:pPr>
    </w:p>
    <w:p>
      <w:pPr>
        <w:pStyle w:val="4"/>
        <w:shd w:val="clear"/>
        <w:bidi w:val="0"/>
        <w:rPr>
          <w:rFonts w:ascii="宋体" w:hAnsi="宋体" w:cs="宋体"/>
          <w:b/>
          <w:color w:val="auto"/>
          <w:sz w:val="44"/>
          <w:szCs w:val="44"/>
          <w:highlight w:val="none"/>
        </w:rPr>
      </w:pPr>
      <w:r>
        <w:rPr>
          <w:rFonts w:hint="eastAsia" w:ascii="宋体" w:hAnsi="宋体" w:cs="宋体"/>
          <w:b/>
          <w:color w:val="auto"/>
          <w:sz w:val="44"/>
          <w:szCs w:val="44"/>
          <w:highlight w:val="none"/>
        </w:rPr>
        <w:br w:type="page" w:clear="all"/>
      </w:r>
      <w:r>
        <w:rPr>
          <w:rStyle w:val="520"/>
          <w:rFonts w:hint="eastAsia"/>
          <w:b/>
          <w:bCs/>
          <w:color w:val="auto"/>
          <w:highlight w:val="none"/>
        </w:rPr>
        <w:t>第三部分.采购需求</w:t>
      </w:r>
    </w:p>
    <w:p>
      <w:pPr>
        <w:pStyle w:val="105"/>
        <w:shd w:val="clear"/>
        <w:ind w:firstLine="480"/>
        <w:outlineLvl w:val="9"/>
        <w:rPr>
          <w:rFonts w:hint="eastAsia" w:ascii="宋体" w:hAnsi="宋体" w:eastAsia="宋体" w:cs="宋体"/>
          <w:bCs/>
          <w:color w:val="auto"/>
          <w:sz w:val="24"/>
          <w:highlight w:val="none"/>
        </w:rPr>
      </w:pPr>
    </w:p>
    <w:p>
      <w:pPr>
        <w:shd w:val="clear"/>
        <w:tabs>
          <w:tab w:val="left" w:pos="945"/>
        </w:tabs>
        <w:adjustRightInd w:val="0"/>
        <w:snapToGrid w:val="0"/>
        <w:spacing w:after="0" w:line="440" w:lineRule="exact"/>
        <w:ind w:firstLine="482" w:firstLineChars="200"/>
        <w:outlineLvl w:val="9"/>
        <w:rPr>
          <w:rFonts w:hint="default" w:ascii="宋体" w:hAnsi="宋体" w:eastAsia="宋体" w:cs="Times New Roman"/>
          <w:b/>
          <w:color w:val="auto"/>
          <w:kern w:val="2"/>
          <w:sz w:val="24"/>
          <w:szCs w:val="20"/>
          <w:highlight w:val="none"/>
          <w:lang w:val="en-US" w:bidi="ar-SA"/>
        </w:rPr>
      </w:pPr>
      <w:r>
        <w:rPr>
          <w:rFonts w:hint="default" w:ascii="宋体" w:hAnsi="宋体" w:eastAsia="宋体" w:cs="Times New Roman"/>
          <w:b/>
          <w:color w:val="auto"/>
          <w:kern w:val="2"/>
          <w:sz w:val="24"/>
          <w:szCs w:val="20"/>
          <w:highlight w:val="none"/>
          <w:lang w:val="en-US" w:bidi="ar-SA"/>
        </w:rPr>
        <w:t>一、采购标的需实现的功能或者目标，以及为落实政府采购政策需满足的要求</w:t>
      </w:r>
      <w:bookmarkStart w:id="4" w:name="_Toc36414913"/>
    </w:p>
    <w:p>
      <w:pPr>
        <w:shd w:val="clear"/>
        <w:tabs>
          <w:tab w:val="left" w:pos="945"/>
        </w:tabs>
        <w:adjustRightInd w:val="0"/>
        <w:snapToGrid w:val="0"/>
        <w:spacing w:after="0" w:line="440" w:lineRule="exact"/>
        <w:ind w:firstLine="482" w:firstLineChars="200"/>
        <w:outlineLvl w:val="9"/>
        <w:rPr>
          <w:rFonts w:hint="default" w:ascii="宋体" w:hAnsi="宋体" w:eastAsia="宋体" w:cs="Times New Roman"/>
          <w:b/>
          <w:color w:val="auto"/>
          <w:kern w:val="2"/>
          <w:sz w:val="24"/>
          <w:szCs w:val="20"/>
          <w:highlight w:val="none"/>
          <w:lang w:val="en-US" w:bidi="ar-SA"/>
        </w:rPr>
      </w:pPr>
      <w:r>
        <w:rPr>
          <w:rFonts w:hint="default" w:ascii="宋体" w:hAnsi="宋体" w:eastAsia="宋体" w:cs="Times New Roman"/>
          <w:b/>
          <w:color w:val="auto"/>
          <w:kern w:val="2"/>
          <w:sz w:val="24"/>
          <w:szCs w:val="20"/>
          <w:highlight w:val="none"/>
          <w:lang w:val="en-US" w:bidi="ar-SA"/>
        </w:rPr>
        <w:t>二、本项目采购标的概况、养护期、质量标准及其他要求</w:t>
      </w:r>
      <w:bookmarkEnd w:id="4"/>
    </w:p>
    <w:p>
      <w:pPr>
        <w:shd w:val="clear"/>
        <w:adjustRightInd w:val="0"/>
        <w:snapToGrid w:val="0"/>
        <w:spacing w:after="0" w:line="440" w:lineRule="exact"/>
        <w:ind w:firstLine="482" w:firstLineChars="200"/>
        <w:outlineLvl w:val="9"/>
        <w:rPr>
          <w:rFonts w:hint="eastAsia" w:ascii="宋体" w:hAnsi="宋体" w:eastAsia="宋体" w:cs="Times New Roman"/>
          <w:color w:val="auto"/>
          <w:kern w:val="2"/>
          <w:sz w:val="24"/>
          <w:szCs w:val="20"/>
          <w:highlight w:val="none"/>
          <w:lang w:val="en-US" w:eastAsia="zh-CN" w:bidi="ar-SA"/>
        </w:rPr>
      </w:pPr>
      <w:bookmarkStart w:id="5" w:name="_Hlk37847209"/>
      <w:r>
        <w:rPr>
          <w:rFonts w:hint="eastAsia" w:ascii="宋体" w:hAnsi="宋体" w:eastAsia="宋体" w:cs="Times New Roman"/>
          <w:b/>
          <w:bCs/>
          <w:color w:val="auto"/>
          <w:kern w:val="2"/>
          <w:sz w:val="24"/>
          <w:szCs w:val="20"/>
          <w:highlight w:val="none"/>
          <w:lang w:val="en-US" w:bidi="ar-SA"/>
        </w:rPr>
        <w:t>1</w:t>
      </w:r>
      <w:r>
        <w:rPr>
          <w:rFonts w:hint="default" w:ascii="宋体" w:hAnsi="宋体" w:eastAsia="宋体" w:cs="Times New Roman"/>
          <w:b/>
          <w:bCs/>
          <w:color w:val="auto"/>
          <w:kern w:val="2"/>
          <w:sz w:val="24"/>
          <w:szCs w:val="20"/>
          <w:highlight w:val="none"/>
          <w:lang w:val="en-US" w:bidi="ar-SA"/>
        </w:rPr>
        <w:t>.项目名称</w:t>
      </w:r>
      <w:bookmarkEnd w:id="5"/>
      <w:r>
        <w:rPr>
          <w:rFonts w:hint="default" w:ascii="宋体" w:hAnsi="宋体" w:eastAsia="宋体" w:cs="Times New Roman"/>
          <w:b/>
          <w:bCs/>
          <w:color w:val="auto"/>
          <w:kern w:val="2"/>
          <w:sz w:val="24"/>
          <w:szCs w:val="20"/>
          <w:highlight w:val="none"/>
          <w:lang w:val="en-US" w:bidi="ar-SA"/>
        </w:rPr>
        <w:t>：</w:t>
      </w:r>
      <w:r>
        <w:rPr>
          <w:rFonts w:hint="eastAsia" w:ascii="宋体" w:hAnsi="宋体" w:eastAsia="宋体" w:cs="Times New Roman"/>
          <w:color w:val="auto"/>
          <w:kern w:val="2"/>
          <w:sz w:val="24"/>
          <w:szCs w:val="20"/>
          <w:highlight w:val="none"/>
          <w:lang w:val="en-US" w:eastAsia="zh-CN" w:bidi="ar-SA"/>
        </w:rPr>
        <w:t>2026-2027年太湖街道污水管网及设施运行维护作业权项目</w:t>
      </w:r>
    </w:p>
    <w:p>
      <w:pPr>
        <w:shd w:val="clear"/>
        <w:adjustRightInd w:val="0"/>
        <w:snapToGrid w:val="0"/>
        <w:spacing w:after="0" w:line="440" w:lineRule="exact"/>
        <w:ind w:firstLine="482" w:firstLineChars="200"/>
        <w:outlineLvl w:val="9"/>
        <w:rPr>
          <w:rFonts w:hint="default" w:ascii="宋体" w:hAnsi="宋体" w:eastAsia="宋体" w:cs="Times New Roman"/>
          <w:bCs/>
          <w:color w:val="auto"/>
          <w:kern w:val="2"/>
          <w:sz w:val="24"/>
          <w:szCs w:val="20"/>
          <w:highlight w:val="none"/>
          <w:lang w:val="en-US" w:bidi="ar-SA"/>
        </w:rPr>
      </w:pPr>
      <w:r>
        <w:rPr>
          <w:rFonts w:hint="eastAsia" w:ascii="宋体" w:hAnsi="宋体" w:eastAsia="宋体" w:cs="Times New Roman"/>
          <w:b/>
          <w:bCs/>
          <w:color w:val="auto"/>
          <w:kern w:val="2"/>
          <w:sz w:val="24"/>
          <w:szCs w:val="20"/>
          <w:highlight w:val="none"/>
          <w:lang w:val="en-US" w:bidi="ar-SA"/>
        </w:rPr>
        <w:t>2</w:t>
      </w:r>
      <w:r>
        <w:rPr>
          <w:rFonts w:hint="default" w:ascii="宋体" w:hAnsi="宋体" w:eastAsia="宋体" w:cs="Times New Roman"/>
          <w:b/>
          <w:bCs/>
          <w:color w:val="auto"/>
          <w:kern w:val="2"/>
          <w:sz w:val="24"/>
          <w:szCs w:val="20"/>
          <w:highlight w:val="none"/>
          <w:lang w:val="en-US" w:bidi="ar-SA"/>
        </w:rPr>
        <w:t>.项目概况：</w:t>
      </w:r>
      <w:r>
        <w:rPr>
          <w:rFonts w:hint="eastAsia" w:ascii="宋体" w:hAnsi="宋体" w:eastAsia="宋体" w:cs="Times New Roman"/>
          <w:bCs/>
          <w:color w:val="auto"/>
          <w:kern w:val="2"/>
          <w:sz w:val="24"/>
          <w:szCs w:val="20"/>
          <w:highlight w:val="none"/>
          <w:lang w:val="en-US" w:bidi="ar-SA"/>
        </w:rPr>
        <w:t>本项目为</w:t>
      </w:r>
      <w:r>
        <w:rPr>
          <w:rFonts w:hint="eastAsia" w:ascii="宋体" w:hAnsi="宋体" w:eastAsia="宋体" w:cs="Times New Roman"/>
          <w:bCs/>
          <w:color w:val="auto"/>
          <w:kern w:val="2"/>
          <w:sz w:val="24"/>
          <w:szCs w:val="20"/>
          <w:highlight w:val="none"/>
          <w:lang w:val="en-US" w:eastAsia="zh-CN" w:bidi="ar-SA"/>
        </w:rPr>
        <w:t>2026-2027年太湖街道污水管网及设施运行维护作业权项目</w:t>
      </w:r>
      <w:r>
        <w:rPr>
          <w:rFonts w:hint="eastAsia" w:ascii="宋体" w:hAnsi="宋体" w:eastAsia="宋体" w:cs="Times New Roman"/>
          <w:bCs/>
          <w:color w:val="auto"/>
          <w:kern w:val="2"/>
          <w:sz w:val="24"/>
          <w:szCs w:val="20"/>
          <w:highlight w:val="none"/>
          <w:lang w:val="en-US" w:bidi="ar-SA"/>
        </w:rPr>
        <w:t>，主要对太湖街道范围内的污水管网及其附属设施实施维护服务，包括泵站、污水管、提升井的疏通养护、清淤、淤泥外运、破损管道更换、缺损井框井盖更换</w:t>
      </w:r>
      <w:r>
        <w:rPr>
          <w:rFonts w:hint="eastAsia" w:ascii="宋体" w:hAnsi="宋体" w:eastAsia="宋体" w:cs="Times New Roman"/>
          <w:bCs/>
          <w:color w:val="auto"/>
          <w:kern w:val="2"/>
          <w:sz w:val="24"/>
          <w:szCs w:val="20"/>
          <w:highlight w:val="none"/>
          <w:lang w:val="en-US" w:eastAsia="zh-CN" w:bidi="ar-SA"/>
        </w:rPr>
        <w:t>、防汛工作</w:t>
      </w:r>
      <w:r>
        <w:rPr>
          <w:rFonts w:hint="eastAsia" w:ascii="宋体" w:hAnsi="宋体" w:eastAsia="宋体" w:cs="Times New Roman"/>
          <w:bCs/>
          <w:color w:val="auto"/>
          <w:kern w:val="2"/>
          <w:sz w:val="24"/>
          <w:szCs w:val="20"/>
          <w:highlight w:val="none"/>
          <w:lang w:val="en-US" w:bidi="ar-SA"/>
        </w:rPr>
        <w:t>等，</w:t>
      </w:r>
      <w:r>
        <w:rPr>
          <w:rFonts w:hint="eastAsia" w:ascii="宋体" w:hAnsi="宋体" w:eastAsia="宋体" w:cs="Times New Roman"/>
          <w:bCs/>
          <w:color w:val="auto"/>
          <w:kern w:val="2"/>
          <w:sz w:val="24"/>
          <w:szCs w:val="20"/>
          <w:highlight w:val="none"/>
          <w:lang w:val="en-US" w:eastAsia="zh-CN" w:bidi="ar-SA"/>
        </w:rPr>
        <w:t>其中：污水管网约83.004千米。16座泵站及一体化提升井电动闸门、液压闸门等，共计34台泵。56座提升井，共计69台泵。并配合采购人做好排水户的排水许可证申办检查事宜等</w:t>
      </w:r>
      <w:r>
        <w:rPr>
          <w:rFonts w:hint="default" w:ascii="宋体" w:hAnsi="宋体" w:eastAsia="宋体" w:cs="Times New Roman"/>
          <w:bCs/>
          <w:color w:val="auto"/>
          <w:kern w:val="2"/>
          <w:sz w:val="24"/>
          <w:szCs w:val="20"/>
          <w:highlight w:val="none"/>
          <w:lang w:val="en-US" w:bidi="ar-SA"/>
        </w:rPr>
        <w:t>。</w:t>
      </w:r>
    </w:p>
    <w:p>
      <w:pPr>
        <w:shd w:val="clear"/>
        <w:adjustRightInd w:val="0"/>
        <w:snapToGrid w:val="0"/>
        <w:spacing w:after="0" w:line="440" w:lineRule="exact"/>
        <w:ind w:firstLine="482" w:firstLineChars="200"/>
        <w:outlineLvl w:val="9"/>
        <w:rPr>
          <w:rFonts w:hint="default" w:ascii="宋体" w:hAnsi="宋体" w:eastAsia="宋体" w:cs="Times New Roman"/>
          <w:bCs/>
          <w:color w:val="auto"/>
          <w:kern w:val="2"/>
          <w:sz w:val="24"/>
          <w:szCs w:val="20"/>
          <w:highlight w:val="none"/>
          <w:lang w:val="en-US" w:bidi="en-US"/>
        </w:rPr>
      </w:pPr>
      <w:r>
        <w:rPr>
          <w:rFonts w:hint="eastAsia" w:ascii="宋体" w:hAnsi="宋体" w:eastAsia="宋体" w:cs="Times New Roman"/>
          <w:b/>
          <w:color w:val="auto"/>
          <w:kern w:val="2"/>
          <w:sz w:val="24"/>
          <w:szCs w:val="20"/>
          <w:highlight w:val="none"/>
          <w:lang w:val="en-US" w:bidi="ar-SA"/>
        </w:rPr>
        <w:t>3</w:t>
      </w:r>
      <w:r>
        <w:rPr>
          <w:rFonts w:hint="default" w:ascii="宋体" w:hAnsi="宋体" w:eastAsia="宋体" w:cs="Times New Roman"/>
          <w:b/>
          <w:color w:val="auto"/>
          <w:kern w:val="2"/>
          <w:sz w:val="24"/>
          <w:szCs w:val="20"/>
          <w:highlight w:val="none"/>
          <w:lang w:val="en-US" w:bidi="ar-SA"/>
        </w:rPr>
        <w:t>.</w:t>
      </w:r>
      <w:r>
        <w:rPr>
          <w:rFonts w:hint="default" w:ascii="宋体" w:hAnsi="宋体" w:eastAsia="宋体" w:cs="Times New Roman"/>
          <w:b/>
          <w:color w:val="auto"/>
          <w:kern w:val="2"/>
          <w:sz w:val="24"/>
          <w:szCs w:val="20"/>
          <w:highlight w:val="none"/>
          <w:lang w:val="en-US" w:bidi="en-US"/>
        </w:rPr>
        <w:t>养护期：</w:t>
      </w:r>
      <w:r>
        <w:rPr>
          <w:rFonts w:hint="default" w:ascii="宋体" w:hAnsi="宋体" w:eastAsia="宋体" w:cs="Times New Roman"/>
          <w:color w:val="auto"/>
          <w:kern w:val="2"/>
          <w:sz w:val="24"/>
          <w:szCs w:val="20"/>
          <w:highlight w:val="none"/>
          <w:lang w:val="en-US" w:bidi="en-US"/>
        </w:rPr>
        <w:t>一年（具体起止时间以合同签订为准）。</w:t>
      </w:r>
    </w:p>
    <w:p>
      <w:pPr>
        <w:shd w:val="clear"/>
        <w:adjustRightInd w:val="0"/>
        <w:snapToGrid w:val="0"/>
        <w:spacing w:after="0" w:line="440" w:lineRule="exact"/>
        <w:ind w:firstLine="482" w:firstLineChars="200"/>
        <w:outlineLvl w:val="9"/>
        <w:rPr>
          <w:rFonts w:hint="default" w:ascii="宋体" w:hAnsi="宋体" w:eastAsia="宋体" w:cs="Times New Roman"/>
          <w:bCs/>
          <w:color w:val="auto"/>
          <w:kern w:val="2"/>
          <w:sz w:val="24"/>
          <w:szCs w:val="20"/>
          <w:highlight w:val="none"/>
          <w:lang w:val="en-US" w:bidi="ar-SA"/>
        </w:rPr>
      </w:pPr>
      <w:r>
        <w:rPr>
          <w:rFonts w:hint="eastAsia" w:ascii="宋体" w:hAnsi="宋体" w:eastAsia="宋体" w:cs="Times New Roman"/>
          <w:b/>
          <w:color w:val="auto"/>
          <w:kern w:val="2"/>
          <w:sz w:val="24"/>
          <w:szCs w:val="20"/>
          <w:highlight w:val="none"/>
          <w:lang w:val="en-US" w:bidi="en-US"/>
        </w:rPr>
        <w:t>4</w:t>
      </w:r>
      <w:r>
        <w:rPr>
          <w:rFonts w:hint="default" w:ascii="宋体" w:hAnsi="宋体" w:eastAsia="宋体" w:cs="Times New Roman"/>
          <w:b/>
          <w:color w:val="auto"/>
          <w:kern w:val="2"/>
          <w:sz w:val="24"/>
          <w:szCs w:val="20"/>
          <w:highlight w:val="none"/>
          <w:lang w:val="en-US" w:bidi="en-US"/>
        </w:rPr>
        <w:t>.质量标准：</w:t>
      </w:r>
      <w:r>
        <w:rPr>
          <w:rFonts w:hint="default" w:ascii="宋体" w:hAnsi="宋体" w:eastAsia="宋体" w:cs="Times New Roman"/>
          <w:bCs/>
          <w:color w:val="auto"/>
          <w:kern w:val="2"/>
          <w:sz w:val="24"/>
          <w:szCs w:val="20"/>
          <w:highlight w:val="none"/>
          <w:lang w:val="en-US" w:bidi="en-US"/>
        </w:rPr>
        <w:t>满足国家、省市、行业标准和相应的规范、规定及采购人的需求</w:t>
      </w:r>
      <w:r>
        <w:rPr>
          <w:rFonts w:hint="default" w:ascii="宋体" w:hAnsi="宋体" w:eastAsia="宋体" w:cs="Times New Roman"/>
          <w:bCs/>
          <w:color w:val="auto"/>
          <w:kern w:val="2"/>
          <w:sz w:val="24"/>
          <w:szCs w:val="20"/>
          <w:highlight w:val="none"/>
          <w:lang w:val="en-US" w:bidi="ar-SA"/>
        </w:rPr>
        <w:t>。</w:t>
      </w:r>
    </w:p>
    <w:p>
      <w:pPr>
        <w:shd w:val="clear" w:color="auto"/>
        <w:adjustRightInd w:val="0"/>
        <w:snapToGrid w:val="0"/>
        <w:spacing w:after="0" w:line="440" w:lineRule="exact"/>
        <w:ind w:firstLine="482" w:firstLineChars="200"/>
        <w:outlineLvl w:val="9"/>
        <w:rPr>
          <w:rFonts w:hint="default" w:ascii="宋体" w:hAnsi="宋体" w:eastAsia="宋体" w:cs="Times New Roman"/>
          <w:b/>
          <w:bCs/>
          <w:color w:val="auto"/>
          <w:kern w:val="2"/>
          <w:sz w:val="24"/>
          <w:szCs w:val="20"/>
          <w:highlight w:val="none"/>
          <w:lang w:val="en-US" w:bidi="ar-SA"/>
        </w:rPr>
      </w:pPr>
      <w:r>
        <w:rPr>
          <w:rFonts w:hint="default" w:ascii="宋体" w:hAnsi="宋体" w:eastAsia="宋体" w:cs="Times New Roman"/>
          <w:b/>
          <w:bCs/>
          <w:color w:val="auto"/>
          <w:kern w:val="2"/>
          <w:sz w:val="24"/>
          <w:szCs w:val="20"/>
          <w:highlight w:val="none"/>
          <w:lang w:val="en-US" w:bidi="ar-SA"/>
        </w:rPr>
        <w:t>5.付款方式：</w:t>
      </w:r>
    </w:p>
    <w:p>
      <w:pPr>
        <w:shd w:val="clear"/>
        <w:spacing w:after="0" w:line="440" w:lineRule="exact"/>
        <w:ind w:firstLine="482" w:firstLineChars="200"/>
        <w:outlineLvl w:val="9"/>
        <w:rPr>
          <w:rFonts w:hint="default" w:ascii="宋体" w:hAnsi="宋体" w:eastAsia="宋体" w:cs="Times New Roman"/>
          <w:b/>
          <w:bCs/>
          <w:color w:val="auto"/>
          <w:kern w:val="2"/>
          <w:sz w:val="24"/>
          <w:szCs w:val="20"/>
          <w:highlight w:val="none"/>
          <w:lang w:val="en-US" w:eastAsia="zh-CN" w:bidi="ar-SA"/>
        </w:rPr>
      </w:pPr>
      <w:bookmarkStart w:id="6" w:name="_Hlk89297181"/>
      <w:bookmarkStart w:id="7" w:name="_Toc36414917"/>
      <w:r>
        <w:rPr>
          <w:rFonts w:hint="default" w:ascii="宋体" w:hAnsi="宋体" w:eastAsia="宋体" w:cs="Times New Roman"/>
          <w:b/>
          <w:bCs/>
          <w:color w:val="auto"/>
          <w:kern w:val="2"/>
          <w:sz w:val="24"/>
          <w:szCs w:val="20"/>
          <w:highlight w:val="none"/>
          <w:lang w:val="en-US" w:eastAsia="zh-CN" w:bidi="ar-SA"/>
        </w:rPr>
        <w:t xml:space="preserve"> 本项目费用由“日常运行维护费”和“应急排查及抢修费（按实结算）”两部分组成：</w:t>
      </w:r>
    </w:p>
    <w:p>
      <w:pPr>
        <w:shd w:val="clear"/>
        <w:spacing w:after="0" w:line="440" w:lineRule="exact"/>
        <w:ind w:firstLine="482" w:firstLineChars="200"/>
        <w:outlineLvl w:val="9"/>
        <w:rPr>
          <w:rFonts w:hint="default" w:ascii="宋体" w:hAnsi="宋体" w:eastAsia="宋体" w:cs="Times New Roman"/>
          <w:b/>
          <w:bCs/>
          <w:color w:val="auto"/>
          <w:kern w:val="2"/>
          <w:sz w:val="24"/>
          <w:szCs w:val="20"/>
          <w:highlight w:val="none"/>
          <w:lang w:val="en-US" w:eastAsia="zh-CN" w:bidi="ar-SA"/>
        </w:rPr>
      </w:pPr>
      <w:r>
        <w:rPr>
          <w:rFonts w:hint="default" w:ascii="宋体" w:hAnsi="宋体" w:eastAsia="宋体" w:cs="Times New Roman"/>
          <w:b/>
          <w:bCs/>
          <w:color w:val="auto"/>
          <w:kern w:val="2"/>
          <w:sz w:val="24"/>
          <w:szCs w:val="20"/>
          <w:highlight w:val="none"/>
          <w:lang w:val="en-US" w:eastAsia="zh-CN" w:bidi="ar-SA"/>
        </w:rPr>
        <w:t>（1）日常运行维护费（泵站+提升井+管网）：</w:t>
      </w:r>
    </w:p>
    <w:p>
      <w:pPr>
        <w:shd w:val="clear"/>
        <w:spacing w:after="0" w:line="440" w:lineRule="exact"/>
        <w:ind w:firstLine="482" w:firstLineChars="200"/>
        <w:outlineLvl w:val="9"/>
        <w:rPr>
          <w:rFonts w:hint="default" w:ascii="宋体" w:hAnsi="宋体" w:eastAsia="宋体" w:cs="Times New Roman"/>
          <w:b/>
          <w:bCs/>
          <w:color w:val="auto"/>
          <w:kern w:val="2"/>
          <w:sz w:val="24"/>
          <w:szCs w:val="20"/>
          <w:highlight w:val="none"/>
          <w:lang w:val="en-US" w:eastAsia="zh-CN" w:bidi="ar-SA"/>
        </w:rPr>
      </w:pPr>
      <w:r>
        <w:rPr>
          <w:rFonts w:hint="default" w:ascii="宋体" w:hAnsi="宋体" w:eastAsia="宋体" w:cs="Times New Roman"/>
          <w:b/>
          <w:bCs/>
          <w:color w:val="auto"/>
          <w:kern w:val="2"/>
          <w:sz w:val="24"/>
          <w:szCs w:val="20"/>
          <w:highlight w:val="none"/>
          <w:lang w:val="en-US" w:eastAsia="zh-CN" w:bidi="ar-SA"/>
        </w:rPr>
        <w:t>首期预付款：合同签订生效并具备实施条件后，采购人预付日常运行维护费合同价款的 30%；</w:t>
      </w:r>
    </w:p>
    <w:p>
      <w:pPr>
        <w:shd w:val="clear"/>
        <w:spacing w:after="0" w:line="440" w:lineRule="exact"/>
        <w:ind w:firstLine="482" w:firstLineChars="200"/>
        <w:outlineLvl w:val="9"/>
        <w:rPr>
          <w:rFonts w:hint="default" w:ascii="宋体" w:hAnsi="宋体" w:eastAsia="宋体" w:cs="Times New Roman"/>
          <w:b/>
          <w:bCs/>
          <w:color w:val="auto"/>
          <w:kern w:val="2"/>
          <w:sz w:val="24"/>
          <w:szCs w:val="20"/>
          <w:highlight w:val="none"/>
          <w:lang w:val="en-US" w:eastAsia="zh-CN" w:bidi="ar-SA"/>
        </w:rPr>
      </w:pPr>
      <w:r>
        <w:rPr>
          <w:rFonts w:hint="default" w:ascii="宋体" w:hAnsi="宋体" w:eastAsia="宋体" w:cs="Times New Roman"/>
          <w:b/>
          <w:bCs/>
          <w:color w:val="auto"/>
          <w:kern w:val="2"/>
          <w:sz w:val="24"/>
          <w:szCs w:val="20"/>
          <w:highlight w:val="none"/>
          <w:lang w:val="en-US" w:eastAsia="zh-CN" w:bidi="ar-SA"/>
        </w:rPr>
        <w:t>中期进度款：养护服务时间满 6 个月，经日常运行考核合格后，累计支付至日常运行维护费合同金额的 50%；</w:t>
      </w:r>
    </w:p>
    <w:p>
      <w:pPr>
        <w:shd w:val="clear"/>
        <w:spacing w:after="0" w:line="440" w:lineRule="exact"/>
        <w:ind w:firstLine="482" w:firstLineChars="200"/>
        <w:outlineLvl w:val="9"/>
        <w:rPr>
          <w:rFonts w:hint="default" w:ascii="宋体" w:hAnsi="宋体" w:eastAsia="宋体" w:cs="Times New Roman"/>
          <w:b/>
          <w:bCs/>
          <w:color w:val="auto"/>
          <w:kern w:val="2"/>
          <w:sz w:val="24"/>
          <w:szCs w:val="20"/>
          <w:highlight w:val="none"/>
          <w:lang w:val="en-US" w:eastAsia="zh-CN" w:bidi="ar-SA"/>
        </w:rPr>
      </w:pPr>
      <w:r>
        <w:rPr>
          <w:rFonts w:hint="default" w:ascii="宋体" w:hAnsi="宋体" w:eastAsia="宋体" w:cs="Times New Roman"/>
          <w:b/>
          <w:bCs/>
          <w:color w:val="auto"/>
          <w:kern w:val="2"/>
          <w:sz w:val="24"/>
          <w:szCs w:val="20"/>
          <w:highlight w:val="none"/>
          <w:lang w:val="en-US" w:eastAsia="zh-CN" w:bidi="ar-SA"/>
        </w:rPr>
        <w:t>期满尾款：养护服务期满一年，经最终综合运行维护考核合格后，根据考核结果结清日常运行维护费余款。</w:t>
      </w:r>
    </w:p>
    <w:p>
      <w:pPr>
        <w:shd w:val="clear"/>
        <w:spacing w:after="0" w:line="440" w:lineRule="exact"/>
        <w:ind w:firstLine="482" w:firstLineChars="200"/>
        <w:outlineLvl w:val="9"/>
        <w:rPr>
          <w:rFonts w:hint="default" w:ascii="宋体" w:hAnsi="宋体" w:eastAsia="宋体" w:cs="Times New Roman"/>
          <w:b/>
          <w:bCs/>
          <w:color w:val="auto"/>
          <w:kern w:val="2"/>
          <w:sz w:val="24"/>
          <w:szCs w:val="20"/>
          <w:highlight w:val="none"/>
          <w:lang w:val="en-US" w:eastAsia="zh-CN" w:bidi="ar-SA"/>
        </w:rPr>
      </w:pPr>
      <w:r>
        <w:rPr>
          <w:rFonts w:hint="default" w:ascii="宋体" w:hAnsi="宋体" w:eastAsia="宋体" w:cs="Times New Roman"/>
          <w:b/>
          <w:bCs/>
          <w:color w:val="auto"/>
          <w:kern w:val="2"/>
          <w:sz w:val="24"/>
          <w:szCs w:val="20"/>
          <w:highlight w:val="none"/>
          <w:lang w:val="en-US" w:eastAsia="zh-CN" w:bidi="ar-SA"/>
        </w:rPr>
        <w:t>（2）应急排查及抢修费（按实结算部分）：</w:t>
      </w:r>
    </w:p>
    <w:p>
      <w:pPr>
        <w:shd w:val="clear"/>
        <w:spacing w:after="0" w:line="440" w:lineRule="exact"/>
        <w:ind w:firstLine="482" w:firstLineChars="200"/>
        <w:outlineLvl w:val="9"/>
        <w:rPr>
          <w:rFonts w:hint="default" w:ascii="宋体" w:hAnsi="宋体" w:eastAsia="宋体" w:cs="Times New Roman"/>
          <w:b/>
          <w:bCs/>
          <w:color w:val="auto"/>
          <w:kern w:val="2"/>
          <w:sz w:val="24"/>
          <w:szCs w:val="20"/>
          <w:highlight w:val="none"/>
          <w:lang w:val="en-US" w:eastAsia="zh-CN" w:bidi="ar-SA"/>
        </w:rPr>
      </w:pPr>
      <w:r>
        <w:rPr>
          <w:rFonts w:hint="default" w:ascii="宋体" w:hAnsi="宋体" w:eastAsia="宋体" w:cs="Times New Roman"/>
          <w:b/>
          <w:bCs/>
          <w:color w:val="auto"/>
          <w:kern w:val="2"/>
          <w:sz w:val="24"/>
          <w:szCs w:val="20"/>
          <w:highlight w:val="none"/>
          <w:lang w:val="en-US" w:eastAsia="zh-CN" w:bidi="ar-SA"/>
        </w:rPr>
        <w:t>养护期内发生的应急排查、管网突发翻水抢修、临时封堵及修复等工作，由采购人现场代表确认工程量并签署签证单。</w:t>
      </w:r>
    </w:p>
    <w:p>
      <w:pPr>
        <w:shd w:val="clear"/>
        <w:spacing w:after="0" w:line="440" w:lineRule="exact"/>
        <w:ind w:firstLine="482" w:firstLineChars="200"/>
        <w:outlineLvl w:val="9"/>
        <w:rPr>
          <w:rFonts w:hint="default" w:ascii="宋体" w:hAnsi="宋体" w:eastAsia="宋体" w:cs="Times New Roman"/>
          <w:b/>
          <w:bCs/>
          <w:color w:val="auto"/>
          <w:kern w:val="2"/>
          <w:sz w:val="24"/>
          <w:szCs w:val="20"/>
          <w:highlight w:val="none"/>
          <w:lang w:val="en-US" w:eastAsia="zh-CN" w:bidi="ar-SA"/>
        </w:rPr>
      </w:pPr>
      <w:r>
        <w:rPr>
          <w:rFonts w:hint="default" w:ascii="宋体" w:hAnsi="宋体" w:eastAsia="宋体" w:cs="Times New Roman"/>
          <w:b/>
          <w:bCs/>
          <w:color w:val="auto"/>
          <w:kern w:val="2"/>
          <w:sz w:val="24"/>
          <w:szCs w:val="20"/>
          <w:highlight w:val="none"/>
          <w:lang w:val="en-US" w:eastAsia="zh-CN" w:bidi="ar-SA"/>
        </w:rPr>
        <w:t>该部分费用按实结算，结算总额不得超出该项限额。</w:t>
      </w:r>
    </w:p>
    <w:p>
      <w:pPr>
        <w:shd w:val="clear"/>
        <w:spacing w:after="0" w:line="440" w:lineRule="exact"/>
        <w:ind w:firstLine="482" w:firstLineChars="200"/>
        <w:outlineLvl w:val="9"/>
        <w:rPr>
          <w:rFonts w:hint="default" w:ascii="宋体" w:hAnsi="宋体" w:eastAsia="宋体" w:cs="Times New Roman"/>
          <w:b/>
          <w:bCs/>
          <w:color w:val="auto"/>
          <w:kern w:val="2"/>
          <w:sz w:val="24"/>
          <w:szCs w:val="20"/>
          <w:highlight w:val="none"/>
          <w:lang w:val="en-US" w:eastAsia="zh-CN" w:bidi="ar-SA"/>
        </w:rPr>
      </w:pPr>
      <w:r>
        <w:rPr>
          <w:rFonts w:hint="default" w:ascii="宋体" w:hAnsi="宋体" w:eastAsia="宋体" w:cs="Times New Roman"/>
          <w:b/>
          <w:bCs/>
          <w:color w:val="auto"/>
          <w:kern w:val="2"/>
          <w:sz w:val="24"/>
          <w:szCs w:val="20"/>
          <w:highlight w:val="none"/>
          <w:lang w:val="en-US" w:eastAsia="zh-CN" w:bidi="ar-SA"/>
        </w:rPr>
        <w:t>经采购人（或委托的第三方审计机构）审核确认后</w:t>
      </w:r>
      <w:r>
        <w:rPr>
          <w:rFonts w:hint="eastAsia" w:ascii="宋体" w:hAnsi="宋体" w:eastAsia="宋体" w:cs="Times New Roman"/>
          <w:b/>
          <w:bCs/>
          <w:color w:val="auto"/>
          <w:kern w:val="2"/>
          <w:sz w:val="24"/>
          <w:szCs w:val="20"/>
          <w:highlight w:val="none"/>
          <w:lang w:val="en-US" w:eastAsia="zh-CN" w:bidi="ar-SA"/>
        </w:rPr>
        <w:t>，</w:t>
      </w:r>
      <w:r>
        <w:rPr>
          <w:rFonts w:hint="default" w:ascii="宋体" w:hAnsi="宋体" w:eastAsia="宋体" w:cs="Times New Roman"/>
          <w:b/>
          <w:bCs/>
          <w:color w:val="auto"/>
          <w:kern w:val="2"/>
          <w:sz w:val="24"/>
          <w:szCs w:val="20"/>
          <w:highlight w:val="none"/>
          <w:lang w:val="en-US" w:eastAsia="zh-CN" w:bidi="ar-SA"/>
        </w:rPr>
        <w:t>应急费用</w:t>
      </w:r>
      <w:r>
        <w:rPr>
          <w:rFonts w:hint="eastAsia" w:ascii="宋体" w:hAnsi="宋体" w:eastAsia="宋体" w:cs="Times New Roman"/>
          <w:b/>
          <w:bCs/>
          <w:color w:val="auto"/>
          <w:kern w:val="2"/>
          <w:sz w:val="24"/>
          <w:szCs w:val="20"/>
          <w:highlight w:val="none"/>
          <w:lang w:val="en-US" w:eastAsia="zh-CN" w:bidi="ar-SA"/>
        </w:rPr>
        <w:t>养护期结束后一次性结清</w:t>
      </w:r>
      <w:r>
        <w:rPr>
          <w:rFonts w:hint="default" w:ascii="宋体" w:hAnsi="宋体" w:eastAsia="宋体" w:cs="Times New Roman"/>
          <w:b/>
          <w:bCs/>
          <w:color w:val="auto"/>
          <w:kern w:val="2"/>
          <w:sz w:val="24"/>
          <w:szCs w:val="20"/>
          <w:highlight w:val="none"/>
          <w:lang w:val="en-US" w:eastAsia="zh-CN" w:bidi="ar-SA"/>
        </w:rPr>
        <w:t>。</w:t>
      </w:r>
    </w:p>
    <w:p>
      <w:pPr>
        <w:shd w:val="clear"/>
        <w:spacing w:after="0" w:line="440" w:lineRule="exact"/>
        <w:ind w:firstLine="482" w:firstLineChars="200"/>
        <w:outlineLvl w:val="9"/>
        <w:rPr>
          <w:rFonts w:hint="default" w:ascii="宋体" w:hAnsi="宋体" w:eastAsia="宋体" w:cs="Times New Roman"/>
          <w:b/>
          <w:bCs/>
          <w:color w:val="auto"/>
          <w:kern w:val="2"/>
          <w:sz w:val="24"/>
          <w:szCs w:val="20"/>
          <w:highlight w:val="none"/>
          <w:lang w:val="en-US" w:bidi="ar-SA"/>
        </w:rPr>
      </w:pPr>
      <w:r>
        <w:rPr>
          <w:rFonts w:hint="default" w:ascii="宋体" w:hAnsi="宋体" w:eastAsia="宋体" w:cs="Times New Roman"/>
          <w:b/>
          <w:bCs/>
          <w:color w:val="auto"/>
          <w:kern w:val="2"/>
          <w:sz w:val="24"/>
          <w:szCs w:val="20"/>
          <w:highlight w:val="none"/>
          <w:lang w:val="en-US" w:eastAsia="zh-CN" w:bidi="ar-SA"/>
        </w:rPr>
        <w:t>（3）开票要求：每次付款前，成交供应商须向采购人提供相应金额的正规增值税专用发票。</w:t>
      </w:r>
    </w:p>
    <w:p>
      <w:pPr>
        <w:shd w:val="clear"/>
        <w:spacing w:after="0" w:line="440" w:lineRule="exact"/>
        <w:ind w:firstLine="482" w:firstLineChars="200"/>
        <w:outlineLvl w:val="9"/>
        <w:rPr>
          <w:rFonts w:hint="default" w:ascii="宋体" w:hAnsi="宋体" w:eastAsia="宋体" w:cs="Times New Roman"/>
          <w:b/>
          <w:bCs/>
          <w:color w:val="auto"/>
          <w:kern w:val="2"/>
          <w:sz w:val="24"/>
          <w:szCs w:val="20"/>
          <w:highlight w:val="none"/>
          <w:lang w:val="en-US" w:bidi="ar-SA"/>
        </w:rPr>
      </w:pPr>
      <w:r>
        <w:rPr>
          <w:rFonts w:hint="default" w:ascii="宋体" w:hAnsi="宋体" w:eastAsia="宋体" w:cs="Times New Roman"/>
          <w:b/>
          <w:bCs/>
          <w:color w:val="auto"/>
          <w:kern w:val="2"/>
          <w:sz w:val="24"/>
          <w:szCs w:val="20"/>
          <w:highlight w:val="none"/>
          <w:lang w:val="en-US" w:bidi="ar-SA"/>
        </w:rPr>
        <w:t>6.项目实施地点：太湖街道</w:t>
      </w:r>
    </w:p>
    <w:bookmarkEnd w:id="6"/>
    <w:p>
      <w:pPr>
        <w:shd w:val="clear" w:color="auto"/>
        <w:adjustRightInd w:val="0"/>
        <w:snapToGrid w:val="0"/>
        <w:spacing w:after="0" w:line="440" w:lineRule="exact"/>
        <w:ind w:firstLine="482" w:firstLineChars="200"/>
        <w:outlineLvl w:val="9"/>
        <w:rPr>
          <w:rFonts w:hint="default" w:ascii="宋体" w:hAnsi="宋体" w:eastAsia="宋体" w:cs="Times New Roman"/>
          <w:b/>
          <w:color w:val="auto"/>
          <w:kern w:val="2"/>
          <w:sz w:val="24"/>
          <w:szCs w:val="20"/>
          <w:highlight w:val="none"/>
          <w:lang w:val="en-US" w:bidi="ar-SA"/>
        </w:rPr>
      </w:pPr>
      <w:r>
        <w:rPr>
          <w:rFonts w:hint="default" w:ascii="宋体" w:hAnsi="宋体" w:eastAsia="宋体" w:cs="Times New Roman"/>
          <w:b/>
          <w:color w:val="auto"/>
          <w:kern w:val="2"/>
          <w:sz w:val="24"/>
          <w:szCs w:val="20"/>
          <w:highlight w:val="none"/>
          <w:lang w:val="en-US" w:bidi="ar-SA"/>
        </w:rPr>
        <w:t>三、具体服务内容及要求</w:t>
      </w:r>
    </w:p>
    <w:bookmarkEnd w:id="7"/>
    <w:p>
      <w:pPr>
        <w:shd w:val="clear"/>
        <w:adjustRightInd w:val="0"/>
        <w:snapToGrid w:val="0"/>
        <w:spacing w:after="0" w:line="440" w:lineRule="exact"/>
        <w:ind w:firstLine="482" w:firstLineChars="200"/>
        <w:outlineLvl w:val="9"/>
        <w:rPr>
          <w:rFonts w:hint="default" w:ascii="宋体" w:hAnsi="宋体" w:eastAsia="宋体" w:cs="Times New Roman"/>
          <w:b/>
          <w:bCs/>
          <w:color w:val="auto"/>
          <w:kern w:val="2"/>
          <w:sz w:val="24"/>
          <w:szCs w:val="20"/>
          <w:highlight w:val="none"/>
          <w:lang w:val="en-US" w:bidi="ar-SA"/>
        </w:rPr>
      </w:pPr>
      <w:bookmarkStart w:id="8" w:name="_Hlk127481321"/>
      <w:bookmarkStart w:id="9" w:name="_Hlk127474689"/>
      <w:r>
        <w:rPr>
          <w:rFonts w:hint="default" w:ascii="宋体" w:hAnsi="宋体" w:eastAsia="宋体" w:cs="Times New Roman"/>
          <w:b/>
          <w:bCs/>
          <w:color w:val="auto"/>
          <w:kern w:val="2"/>
          <w:sz w:val="24"/>
          <w:szCs w:val="20"/>
          <w:highlight w:val="none"/>
          <w:lang w:val="en-US" w:bidi="ar-SA"/>
        </w:rPr>
        <w:t>1.</w:t>
      </w:r>
      <w:r>
        <w:rPr>
          <w:rFonts w:hint="eastAsia" w:ascii="宋体" w:hAnsi="宋体" w:eastAsia="宋体" w:cs="Times New Roman"/>
          <w:b/>
          <w:bCs/>
          <w:color w:val="auto"/>
          <w:kern w:val="2"/>
          <w:sz w:val="24"/>
          <w:szCs w:val="20"/>
          <w:highlight w:val="none"/>
          <w:lang w:val="en-US" w:bidi="ar-SA"/>
        </w:rPr>
        <w:t>管道及其附属设施的检查与养护要求</w:t>
      </w:r>
    </w:p>
    <w:p>
      <w:pPr>
        <w:shd w:val="clear"/>
        <w:adjustRightInd w:val="0"/>
        <w:snapToGrid w:val="0"/>
        <w:spacing w:after="0" w:line="440" w:lineRule="exact"/>
        <w:ind w:firstLine="480" w:firstLineChars="200"/>
        <w:outlineLvl w:val="9"/>
        <w:rPr>
          <w:rFonts w:hint="eastAsia" w:ascii="宋体" w:hAnsi="宋体" w:eastAsia="宋体" w:cs="Times New Roman"/>
          <w:color w:val="auto"/>
          <w:kern w:val="2"/>
          <w:sz w:val="24"/>
          <w:szCs w:val="20"/>
          <w:highlight w:val="none"/>
          <w:lang w:val="en-US" w:eastAsia="zh-CN" w:bidi="ar-SA"/>
        </w:rPr>
      </w:pPr>
      <w:r>
        <w:rPr>
          <w:rFonts w:hint="eastAsia" w:ascii="宋体" w:hAnsi="宋体" w:eastAsia="宋体" w:cs="Times New Roman"/>
          <w:color w:val="auto"/>
          <w:kern w:val="2"/>
          <w:sz w:val="24"/>
          <w:szCs w:val="20"/>
          <w:highlight w:val="none"/>
          <w:lang w:val="en-US" w:bidi="ar-SA"/>
        </w:rPr>
        <w:t>（1）管道及其附属设施的检查与养护要求：要求成交供应商定期对污水管道及其附属设施进行检查、维护，确保污水管道始终保持良好的通水功能和结构状态。巡查内容主要包括污水冒溢、井盖缺损、管道塌陷、违章占压、违章排放、私自接管、雨污混接等；污水管网巡查过程中，如发现地块内雨水口情况异常以及影响管道排水的工程施工等情况，成交供应商应立即书面报告甲方，同时配合甲方进行排查分析，如需进行整改，另行安排。</w:t>
      </w:r>
    </w:p>
    <w:p>
      <w:pPr>
        <w:shd w:val="clear"/>
        <w:adjustRightInd w:val="0"/>
        <w:snapToGrid w:val="0"/>
        <w:spacing w:after="0" w:line="440" w:lineRule="exact"/>
        <w:ind w:firstLine="480" w:firstLineChars="200"/>
        <w:outlineLvl w:val="9"/>
        <w:rPr>
          <w:rFonts w:hint="eastAsia" w:ascii="宋体" w:hAnsi="宋体" w:eastAsia="宋体" w:cs="Times New Roman"/>
          <w:color w:val="auto"/>
          <w:kern w:val="2"/>
          <w:sz w:val="24"/>
          <w:szCs w:val="20"/>
          <w:highlight w:val="none"/>
          <w:lang w:val="en-US" w:bidi="ar-SA"/>
        </w:rPr>
      </w:pPr>
      <w:r>
        <w:rPr>
          <w:rFonts w:hint="eastAsia" w:ascii="宋体" w:hAnsi="宋体" w:eastAsia="宋体" w:cs="Times New Roman"/>
          <w:color w:val="auto"/>
          <w:kern w:val="2"/>
          <w:sz w:val="24"/>
          <w:szCs w:val="20"/>
          <w:highlight w:val="none"/>
          <w:lang w:val="en-US" w:bidi="ar-SA"/>
        </w:rPr>
        <w:t>污水管网养护需严格执行《无锡市排水管网设计、施工、验收及运维管理技术指南（2026版）》频率：</w:t>
      </w:r>
    </w:p>
    <w:p>
      <w:pPr>
        <w:shd w:val="clear"/>
        <w:adjustRightInd w:val="0"/>
        <w:snapToGrid w:val="0"/>
        <w:spacing w:after="0" w:line="440" w:lineRule="exact"/>
        <w:ind w:firstLine="480" w:firstLineChars="200"/>
        <w:outlineLvl w:val="9"/>
        <w:rPr>
          <w:rFonts w:hint="eastAsia" w:ascii="宋体" w:hAnsi="宋体" w:eastAsia="宋体" w:cs="Times New Roman"/>
          <w:color w:val="auto"/>
          <w:kern w:val="2"/>
          <w:sz w:val="24"/>
          <w:szCs w:val="20"/>
          <w:highlight w:val="none"/>
          <w:lang w:val="en-US" w:bidi="ar-SA"/>
        </w:rPr>
      </w:pPr>
      <w:r>
        <w:rPr>
          <w:rFonts w:hint="eastAsia" w:ascii="宋体" w:hAnsi="宋体" w:eastAsia="宋体" w:cs="Times New Roman"/>
          <w:color w:val="auto"/>
          <w:kern w:val="2"/>
          <w:sz w:val="24"/>
          <w:szCs w:val="20"/>
          <w:highlight w:val="none"/>
          <w:lang w:val="en-US" w:bidi="ar-SA"/>
        </w:rPr>
        <w:t>污水管道：小型管（D&lt;600）每年疏通不少于 2 次；中型管（600≤D≤1000）每年疏通不少于 1 次；大型管（1000&lt;D≤1500）每年疏通不少于 0.3 次；特大型管（D&gt;1500）每年疏通不少于 0.2 次。</w:t>
      </w:r>
    </w:p>
    <w:p>
      <w:pPr>
        <w:shd w:val="clear"/>
        <w:adjustRightInd w:val="0"/>
        <w:snapToGrid w:val="0"/>
        <w:spacing w:after="0" w:line="440" w:lineRule="exact"/>
        <w:ind w:firstLine="480" w:firstLineChars="200"/>
        <w:outlineLvl w:val="9"/>
        <w:rPr>
          <w:rFonts w:hint="default" w:ascii="宋体" w:hAnsi="宋体" w:eastAsia="宋体" w:cs="Times New Roman"/>
          <w:color w:val="auto"/>
          <w:kern w:val="2"/>
          <w:sz w:val="24"/>
          <w:szCs w:val="20"/>
          <w:highlight w:val="none"/>
          <w:lang w:val="en-US" w:bidi="ar-SA"/>
        </w:rPr>
      </w:pPr>
      <w:r>
        <w:rPr>
          <w:rFonts w:hint="eastAsia" w:ascii="宋体" w:hAnsi="宋体" w:eastAsia="宋体" w:cs="Times New Roman"/>
          <w:color w:val="auto"/>
          <w:kern w:val="2"/>
          <w:sz w:val="24"/>
          <w:szCs w:val="20"/>
          <w:highlight w:val="none"/>
          <w:lang w:val="en-US" w:bidi="ar-SA"/>
        </w:rPr>
        <w:t>（2）成交供应商应在事故发生或接到报障、保修、投诉后</w:t>
      </w:r>
      <w:r>
        <w:rPr>
          <w:rFonts w:hint="eastAsia" w:ascii="宋体" w:hAnsi="宋体" w:eastAsia="宋体" w:cs="Times New Roman"/>
          <w:color w:val="auto"/>
          <w:kern w:val="2"/>
          <w:sz w:val="24"/>
          <w:szCs w:val="20"/>
          <w:highlight w:val="none"/>
          <w:lang w:val="en-US" w:eastAsia="zh-CN" w:bidi="ar-SA"/>
        </w:rPr>
        <w:t>1</w:t>
      </w:r>
      <w:r>
        <w:rPr>
          <w:rFonts w:hint="eastAsia" w:ascii="宋体" w:hAnsi="宋体" w:eastAsia="宋体" w:cs="Times New Roman"/>
          <w:color w:val="auto"/>
          <w:kern w:val="2"/>
          <w:sz w:val="24"/>
          <w:szCs w:val="20"/>
          <w:highlight w:val="none"/>
          <w:lang w:val="en-US" w:bidi="ar-SA"/>
        </w:rPr>
        <w:t>小时内到达现场，组织调查、抢修。重大事故应立即向太湖街道排水主管部门报告。</w:t>
      </w:r>
    </w:p>
    <w:p>
      <w:pPr>
        <w:shd w:val="clear"/>
        <w:adjustRightInd w:val="0"/>
        <w:snapToGrid w:val="0"/>
        <w:spacing w:after="0" w:line="440" w:lineRule="exact"/>
        <w:ind w:firstLine="480" w:firstLineChars="200"/>
        <w:outlineLvl w:val="9"/>
        <w:rPr>
          <w:rFonts w:hint="default" w:ascii="宋体" w:hAnsi="宋体" w:eastAsia="宋体" w:cs="Times New Roman"/>
          <w:color w:val="auto"/>
          <w:kern w:val="2"/>
          <w:sz w:val="24"/>
          <w:szCs w:val="20"/>
          <w:highlight w:val="none"/>
          <w:lang w:val="en-US" w:bidi="ar-SA"/>
        </w:rPr>
      </w:pPr>
      <w:r>
        <w:rPr>
          <w:rFonts w:hint="eastAsia" w:ascii="宋体" w:hAnsi="宋体" w:eastAsia="宋体" w:cs="Times New Roman"/>
          <w:color w:val="auto"/>
          <w:kern w:val="2"/>
          <w:sz w:val="24"/>
          <w:szCs w:val="20"/>
          <w:highlight w:val="none"/>
          <w:lang w:val="en-US" w:bidi="ar-SA"/>
        </w:rPr>
        <w:t>（3）养护方式可采用机械作业与人工作业相结合，具体应根据管径、管材、施工工艺等不同区别对待。</w:t>
      </w:r>
    </w:p>
    <w:p>
      <w:pPr>
        <w:shd w:val="clear"/>
        <w:adjustRightInd w:val="0"/>
        <w:snapToGrid w:val="0"/>
        <w:spacing w:after="0" w:line="440" w:lineRule="exact"/>
        <w:ind w:firstLine="480" w:firstLineChars="200"/>
        <w:outlineLvl w:val="9"/>
        <w:rPr>
          <w:rFonts w:hint="default" w:ascii="宋体" w:hAnsi="宋体" w:eastAsia="宋体" w:cs="Times New Roman"/>
          <w:color w:val="auto"/>
          <w:kern w:val="2"/>
          <w:sz w:val="24"/>
          <w:szCs w:val="20"/>
          <w:highlight w:val="none"/>
          <w:lang w:val="en-US" w:bidi="ar-SA"/>
        </w:rPr>
      </w:pPr>
      <w:r>
        <w:rPr>
          <w:rFonts w:hint="eastAsia" w:ascii="宋体" w:hAnsi="宋体" w:eastAsia="宋体" w:cs="Times New Roman"/>
          <w:color w:val="auto"/>
          <w:kern w:val="2"/>
          <w:sz w:val="24"/>
          <w:szCs w:val="20"/>
          <w:highlight w:val="none"/>
          <w:lang w:val="en-US" w:bidi="ar-SA"/>
        </w:rPr>
        <w:t>（4）成交供应商应严格按照下表规定对检查井、排放口、管道、倒虹管等进行检查，并建立相应的检查记录以备核查。</w:t>
      </w:r>
    </w:p>
    <w:p>
      <w:pPr>
        <w:shd w:val="clear"/>
        <w:spacing w:after="0" w:line="520" w:lineRule="exact"/>
        <w:ind w:firstLine="480" w:firstLineChars="200"/>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管道及附属设施的检查要求表</w:t>
      </w:r>
    </w:p>
    <w:tbl>
      <w:tblPr>
        <w:tblStyle w:val="82"/>
        <w:tblpPr w:leftFromText="180" w:rightFromText="180" w:vertAnchor="text" w:horzAnchor="page" w:tblpX="1035" w:tblpY="566"/>
        <w:tblOverlap w:val="never"/>
        <w:tblW w:w="4999" w:type="pct"/>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2136"/>
        <w:gridCol w:w="2180"/>
        <w:gridCol w:w="3365"/>
        <w:gridCol w:w="24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Header/>
          <w:tblCellSpacing w:w="15" w:type="dxa"/>
        </w:trPr>
        <w:tc>
          <w:tcPr>
            <w:tcW w:w="1030" w:type="pct"/>
            <w:shd w:val="clear" w:color="auto" w:fill="auto"/>
            <w:tcMar>
              <w:top w:w="105" w:type="dxa"/>
              <w:left w:w="158" w:type="dxa"/>
              <w:bottom w:w="105" w:type="dxa"/>
              <w:right w:w="158" w:type="dxa"/>
            </w:tcMar>
            <w:vAlign w:val="center"/>
          </w:tcPr>
          <w:p>
            <w:pPr>
              <w:keepNext w:val="0"/>
              <w:keepLines w:val="0"/>
              <w:pageBreakBefore w:val="0"/>
              <w:widowControl w:val="0"/>
              <w:shd w:val="clear"/>
              <w:kinsoku/>
              <w:wordWrap/>
              <w:overflowPunct/>
              <w:topLinePunct w:val="0"/>
              <w:autoSpaceDE/>
              <w:autoSpaceDN/>
              <w:bidi w:val="0"/>
              <w:adjustRightInd/>
              <w:snapToGrid/>
              <w:spacing w:after="0" w:line="240" w:lineRule="auto"/>
              <w:ind w:firstLine="0" w:firstLineChars="0"/>
              <w:jc w:val="center"/>
              <w:textAlignment w:val="auto"/>
              <w:outlineLvl w:val="9"/>
              <w:rPr>
                <w:rFonts w:hint="eastAsia"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eastAsia="zh-CN" w:bidi="ar-SA"/>
              </w:rPr>
              <w:t>设施种类</w:t>
            </w:r>
          </w:p>
        </w:tc>
        <w:tc>
          <w:tcPr>
            <w:tcW w:w="1059" w:type="pct"/>
            <w:shd w:val="clear" w:color="auto" w:fill="auto"/>
            <w:tcMar>
              <w:top w:w="105" w:type="dxa"/>
              <w:left w:w="158" w:type="dxa"/>
              <w:bottom w:w="105" w:type="dxa"/>
              <w:right w:w="158" w:type="dxa"/>
            </w:tcMar>
            <w:vAlign w:val="center"/>
          </w:tcPr>
          <w:p>
            <w:pPr>
              <w:keepNext w:val="0"/>
              <w:keepLines w:val="0"/>
              <w:pageBreakBefore w:val="0"/>
              <w:widowControl w:val="0"/>
              <w:shd w:val="clear"/>
              <w:kinsoku/>
              <w:wordWrap/>
              <w:overflowPunct/>
              <w:topLinePunct w:val="0"/>
              <w:autoSpaceDE/>
              <w:autoSpaceDN/>
              <w:bidi w:val="0"/>
              <w:adjustRightInd/>
              <w:snapToGrid/>
              <w:spacing w:after="0" w:line="240" w:lineRule="auto"/>
              <w:ind w:firstLine="0" w:firstLineChars="0"/>
              <w:jc w:val="center"/>
              <w:textAlignment w:val="auto"/>
              <w:outlineLvl w:val="9"/>
              <w:rPr>
                <w:rFonts w:hint="eastAsia"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eastAsia="zh-CN" w:bidi="ar-SA"/>
              </w:rPr>
              <w:t>检查方法</w:t>
            </w:r>
          </w:p>
        </w:tc>
        <w:tc>
          <w:tcPr>
            <w:tcW w:w="1643" w:type="pct"/>
            <w:shd w:val="clear" w:color="auto" w:fill="auto"/>
            <w:tcMar>
              <w:top w:w="105" w:type="dxa"/>
              <w:left w:w="158" w:type="dxa"/>
              <w:bottom w:w="105" w:type="dxa"/>
              <w:right w:w="158" w:type="dxa"/>
            </w:tcMar>
            <w:vAlign w:val="center"/>
          </w:tcPr>
          <w:p>
            <w:pPr>
              <w:keepNext w:val="0"/>
              <w:keepLines w:val="0"/>
              <w:pageBreakBefore w:val="0"/>
              <w:widowControl w:val="0"/>
              <w:shd w:val="clear"/>
              <w:kinsoku/>
              <w:wordWrap/>
              <w:overflowPunct/>
              <w:topLinePunct w:val="0"/>
              <w:autoSpaceDE/>
              <w:autoSpaceDN/>
              <w:bidi w:val="0"/>
              <w:adjustRightInd/>
              <w:snapToGrid/>
              <w:spacing w:after="0" w:line="240" w:lineRule="auto"/>
              <w:ind w:firstLine="0" w:firstLineChars="0"/>
              <w:jc w:val="center"/>
              <w:textAlignment w:val="auto"/>
              <w:outlineLvl w:val="9"/>
              <w:rPr>
                <w:rFonts w:hint="eastAsia"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eastAsia="zh-CN" w:bidi="ar-SA"/>
              </w:rPr>
              <w:t>检查内容</w:t>
            </w:r>
          </w:p>
        </w:tc>
        <w:tc>
          <w:tcPr>
            <w:tcW w:w="1192" w:type="pct"/>
            <w:shd w:val="clear" w:color="auto" w:fill="auto"/>
            <w:tcMar>
              <w:top w:w="105" w:type="dxa"/>
              <w:left w:w="158" w:type="dxa"/>
              <w:bottom w:w="105" w:type="dxa"/>
              <w:right w:w="158" w:type="dxa"/>
            </w:tcMar>
            <w:vAlign w:val="center"/>
          </w:tcPr>
          <w:p>
            <w:pPr>
              <w:keepNext w:val="0"/>
              <w:keepLines w:val="0"/>
              <w:pageBreakBefore w:val="0"/>
              <w:widowControl w:val="0"/>
              <w:shd w:val="clear"/>
              <w:kinsoku/>
              <w:wordWrap/>
              <w:overflowPunct/>
              <w:topLinePunct w:val="0"/>
              <w:autoSpaceDE/>
              <w:autoSpaceDN/>
              <w:bidi w:val="0"/>
              <w:adjustRightInd/>
              <w:snapToGrid/>
              <w:spacing w:after="0" w:line="240" w:lineRule="auto"/>
              <w:ind w:firstLine="0" w:firstLineChars="0"/>
              <w:jc w:val="center"/>
              <w:textAlignment w:val="auto"/>
              <w:outlineLvl w:val="9"/>
              <w:rPr>
                <w:rFonts w:hint="eastAsia"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eastAsia="zh-CN" w:bidi="ar-SA"/>
              </w:rPr>
              <w:t>检查周期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1030" w:type="pct"/>
            <w:shd w:val="clear" w:color="auto" w:fill="auto"/>
            <w:tcMar>
              <w:top w:w="105" w:type="dxa"/>
              <w:left w:w="158" w:type="dxa"/>
              <w:bottom w:w="105" w:type="dxa"/>
              <w:right w:w="158" w:type="dxa"/>
            </w:tcMar>
            <w:vAlign w:val="center"/>
          </w:tcPr>
          <w:p>
            <w:pPr>
              <w:keepNext w:val="0"/>
              <w:keepLines w:val="0"/>
              <w:pageBreakBefore w:val="0"/>
              <w:widowControl w:val="0"/>
              <w:shd w:val="clear"/>
              <w:kinsoku/>
              <w:wordWrap/>
              <w:overflowPunct/>
              <w:topLinePunct w:val="0"/>
              <w:autoSpaceDE/>
              <w:autoSpaceDN/>
              <w:bidi w:val="0"/>
              <w:adjustRightInd/>
              <w:snapToGrid/>
              <w:spacing w:after="0" w:line="240" w:lineRule="auto"/>
              <w:ind w:firstLine="0" w:firstLineChars="0"/>
              <w:jc w:val="center"/>
              <w:textAlignment w:val="auto"/>
              <w:outlineLvl w:val="9"/>
              <w:rPr>
                <w:rFonts w:hint="eastAsia"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eastAsia="zh-CN" w:bidi="ar-SA"/>
              </w:rPr>
              <w:t>检查井</w:t>
            </w:r>
          </w:p>
        </w:tc>
        <w:tc>
          <w:tcPr>
            <w:tcW w:w="1059" w:type="pct"/>
            <w:shd w:val="clear" w:color="auto" w:fill="auto"/>
            <w:tcMar>
              <w:top w:w="105" w:type="dxa"/>
              <w:left w:w="158" w:type="dxa"/>
              <w:bottom w:w="105" w:type="dxa"/>
              <w:right w:w="158" w:type="dxa"/>
            </w:tcMar>
            <w:vAlign w:val="center"/>
          </w:tcPr>
          <w:p>
            <w:pPr>
              <w:keepNext w:val="0"/>
              <w:keepLines w:val="0"/>
              <w:pageBreakBefore w:val="0"/>
              <w:widowControl w:val="0"/>
              <w:shd w:val="clear"/>
              <w:kinsoku/>
              <w:wordWrap/>
              <w:overflowPunct/>
              <w:topLinePunct w:val="0"/>
              <w:autoSpaceDE/>
              <w:autoSpaceDN/>
              <w:bidi w:val="0"/>
              <w:adjustRightInd/>
              <w:snapToGrid/>
              <w:spacing w:after="0" w:line="240" w:lineRule="auto"/>
              <w:ind w:firstLine="0" w:firstLineChars="0"/>
              <w:jc w:val="center"/>
              <w:textAlignment w:val="auto"/>
              <w:outlineLvl w:val="9"/>
              <w:rPr>
                <w:rFonts w:hint="eastAsia"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eastAsia="zh-CN" w:bidi="ar-SA"/>
              </w:rPr>
              <w:t>目测/外部巡视</w:t>
            </w:r>
          </w:p>
        </w:tc>
        <w:tc>
          <w:tcPr>
            <w:tcW w:w="1643" w:type="pct"/>
            <w:shd w:val="clear" w:color="auto" w:fill="auto"/>
            <w:tcMar>
              <w:top w:w="105" w:type="dxa"/>
              <w:left w:w="158" w:type="dxa"/>
              <w:bottom w:w="105" w:type="dxa"/>
              <w:right w:w="158" w:type="dxa"/>
            </w:tcMar>
            <w:vAlign w:val="center"/>
          </w:tcPr>
          <w:p>
            <w:pPr>
              <w:keepNext w:val="0"/>
              <w:keepLines w:val="0"/>
              <w:pageBreakBefore w:val="0"/>
              <w:widowControl w:val="0"/>
              <w:shd w:val="clear"/>
              <w:kinsoku/>
              <w:wordWrap/>
              <w:overflowPunct/>
              <w:topLinePunct w:val="0"/>
              <w:autoSpaceDE/>
              <w:autoSpaceDN/>
              <w:bidi w:val="0"/>
              <w:adjustRightInd/>
              <w:snapToGrid/>
              <w:spacing w:after="0" w:line="240" w:lineRule="auto"/>
              <w:ind w:firstLine="0" w:firstLineChars="0"/>
              <w:jc w:val="center"/>
              <w:textAlignment w:val="auto"/>
              <w:outlineLvl w:val="9"/>
              <w:rPr>
                <w:rFonts w:hint="eastAsia"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eastAsia="zh-CN" w:bidi="ar-SA"/>
              </w:rPr>
              <w:t>违章占压、违章接管、井盖井座、梯蹬、井壁结垢、井底积泥、井身结构等</w:t>
            </w:r>
          </w:p>
        </w:tc>
        <w:tc>
          <w:tcPr>
            <w:tcW w:w="1192" w:type="pct"/>
            <w:shd w:val="clear" w:color="auto" w:fill="auto"/>
            <w:tcMar>
              <w:top w:w="105" w:type="dxa"/>
              <w:left w:w="158" w:type="dxa"/>
              <w:bottom w:w="105" w:type="dxa"/>
              <w:right w:w="158" w:type="dxa"/>
            </w:tcMar>
            <w:vAlign w:val="center"/>
          </w:tcPr>
          <w:p>
            <w:pPr>
              <w:keepNext w:val="0"/>
              <w:keepLines w:val="0"/>
              <w:pageBreakBefore w:val="0"/>
              <w:widowControl w:val="0"/>
              <w:shd w:val="clear"/>
              <w:kinsoku/>
              <w:wordWrap/>
              <w:overflowPunct/>
              <w:topLinePunct w:val="0"/>
              <w:autoSpaceDE/>
              <w:autoSpaceDN/>
              <w:bidi w:val="0"/>
              <w:adjustRightInd/>
              <w:snapToGrid/>
              <w:spacing w:after="0" w:line="240" w:lineRule="auto"/>
              <w:ind w:firstLine="0" w:firstLineChars="0"/>
              <w:jc w:val="center"/>
              <w:textAlignment w:val="auto"/>
              <w:outlineLvl w:val="9"/>
              <w:rPr>
                <w:rFonts w:hint="eastAsia"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eastAsia="zh-CN" w:bidi="ar-SA"/>
              </w:rPr>
              <w:t>外部巡视每周不少于1次；内部检查每年不少于2次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1030" w:type="pct"/>
            <w:vMerge w:val="restart"/>
            <w:shd w:val="clear" w:color="auto" w:fill="auto"/>
            <w:tcMar>
              <w:top w:w="105" w:type="dxa"/>
              <w:left w:w="158" w:type="dxa"/>
              <w:bottom w:w="105" w:type="dxa"/>
              <w:right w:w="158" w:type="dxa"/>
            </w:tcMar>
            <w:vAlign w:val="center"/>
          </w:tcPr>
          <w:p>
            <w:pPr>
              <w:keepNext w:val="0"/>
              <w:keepLines w:val="0"/>
              <w:pageBreakBefore w:val="0"/>
              <w:widowControl w:val="0"/>
              <w:shd w:val="clear"/>
              <w:kinsoku/>
              <w:wordWrap/>
              <w:overflowPunct/>
              <w:topLinePunct w:val="0"/>
              <w:autoSpaceDE/>
              <w:autoSpaceDN/>
              <w:bidi w:val="0"/>
              <w:adjustRightInd/>
              <w:snapToGrid/>
              <w:spacing w:after="0" w:line="240" w:lineRule="auto"/>
              <w:ind w:firstLine="0" w:firstLineChars="0"/>
              <w:jc w:val="center"/>
              <w:textAlignment w:val="auto"/>
              <w:outlineLvl w:val="9"/>
              <w:rPr>
                <w:rFonts w:hint="eastAsia"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eastAsia="zh-CN" w:bidi="ar-SA"/>
              </w:rPr>
              <w:t>管道</w:t>
            </w:r>
          </w:p>
        </w:tc>
        <w:tc>
          <w:tcPr>
            <w:tcW w:w="1059" w:type="pct"/>
            <w:shd w:val="clear" w:color="auto" w:fill="auto"/>
            <w:tcMar>
              <w:top w:w="105" w:type="dxa"/>
              <w:left w:w="158" w:type="dxa"/>
              <w:bottom w:w="105" w:type="dxa"/>
              <w:right w:w="158" w:type="dxa"/>
            </w:tcMar>
            <w:vAlign w:val="center"/>
          </w:tcPr>
          <w:p>
            <w:pPr>
              <w:keepNext w:val="0"/>
              <w:keepLines w:val="0"/>
              <w:pageBreakBefore w:val="0"/>
              <w:widowControl w:val="0"/>
              <w:shd w:val="clear"/>
              <w:kinsoku/>
              <w:wordWrap/>
              <w:overflowPunct/>
              <w:topLinePunct w:val="0"/>
              <w:autoSpaceDE/>
              <w:autoSpaceDN/>
              <w:bidi w:val="0"/>
              <w:adjustRightInd/>
              <w:snapToGrid/>
              <w:spacing w:after="0" w:line="240" w:lineRule="auto"/>
              <w:ind w:firstLine="0" w:firstLineChars="0"/>
              <w:jc w:val="center"/>
              <w:textAlignment w:val="auto"/>
              <w:outlineLvl w:val="9"/>
              <w:rPr>
                <w:rFonts w:hint="eastAsia"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eastAsia="zh-CN" w:bidi="ar-SA"/>
              </w:rPr>
              <w:t>目测/巡视</w:t>
            </w:r>
          </w:p>
        </w:tc>
        <w:tc>
          <w:tcPr>
            <w:tcW w:w="1643" w:type="pct"/>
            <w:shd w:val="clear" w:color="auto" w:fill="auto"/>
            <w:tcMar>
              <w:top w:w="105" w:type="dxa"/>
              <w:left w:w="158" w:type="dxa"/>
              <w:bottom w:w="105" w:type="dxa"/>
              <w:right w:w="158" w:type="dxa"/>
            </w:tcMar>
            <w:vAlign w:val="center"/>
          </w:tcPr>
          <w:p>
            <w:pPr>
              <w:keepNext w:val="0"/>
              <w:keepLines w:val="0"/>
              <w:pageBreakBefore w:val="0"/>
              <w:widowControl w:val="0"/>
              <w:shd w:val="clear"/>
              <w:kinsoku/>
              <w:wordWrap/>
              <w:overflowPunct/>
              <w:topLinePunct w:val="0"/>
              <w:autoSpaceDE/>
              <w:autoSpaceDN/>
              <w:bidi w:val="0"/>
              <w:adjustRightInd/>
              <w:snapToGrid/>
              <w:spacing w:after="0" w:line="240" w:lineRule="auto"/>
              <w:ind w:firstLine="0" w:firstLineChars="0"/>
              <w:jc w:val="center"/>
              <w:textAlignment w:val="auto"/>
              <w:outlineLvl w:val="9"/>
              <w:rPr>
                <w:rFonts w:hint="eastAsia"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eastAsia="zh-CN" w:bidi="ar-SA"/>
              </w:rPr>
              <w:t>违章占压、地面塌陷、水位、水流、淤积情况等</w:t>
            </w:r>
          </w:p>
        </w:tc>
        <w:tc>
          <w:tcPr>
            <w:tcW w:w="1192" w:type="pct"/>
            <w:shd w:val="clear" w:color="auto" w:fill="auto"/>
            <w:tcMar>
              <w:top w:w="105" w:type="dxa"/>
              <w:left w:w="158" w:type="dxa"/>
              <w:bottom w:w="105" w:type="dxa"/>
              <w:right w:w="158" w:type="dxa"/>
            </w:tcMar>
            <w:vAlign w:val="center"/>
          </w:tcPr>
          <w:p>
            <w:pPr>
              <w:keepNext w:val="0"/>
              <w:keepLines w:val="0"/>
              <w:pageBreakBefore w:val="0"/>
              <w:widowControl w:val="0"/>
              <w:shd w:val="clear"/>
              <w:kinsoku/>
              <w:wordWrap/>
              <w:overflowPunct/>
              <w:topLinePunct w:val="0"/>
              <w:autoSpaceDE/>
              <w:autoSpaceDN/>
              <w:bidi w:val="0"/>
              <w:adjustRightInd/>
              <w:snapToGrid/>
              <w:spacing w:after="0" w:line="240" w:lineRule="auto"/>
              <w:ind w:firstLine="0" w:firstLineChars="0"/>
              <w:jc w:val="center"/>
              <w:textAlignment w:val="auto"/>
              <w:outlineLvl w:val="9"/>
              <w:rPr>
                <w:rFonts w:hint="eastAsia"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eastAsia="zh-CN" w:bidi="ar-SA"/>
              </w:rPr>
              <w:t>每周不少于1次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1030" w:type="pct"/>
            <w:vMerge w:val="continue"/>
            <w:shd w:val="clear" w:color="auto" w:fill="auto"/>
            <w:tcMar>
              <w:top w:w="105" w:type="dxa"/>
              <w:left w:w="158" w:type="dxa"/>
              <w:bottom w:w="105" w:type="dxa"/>
              <w:right w:w="158" w:type="dxa"/>
            </w:tcMar>
            <w:vAlign w:val="center"/>
          </w:tcPr>
          <w:p>
            <w:pPr>
              <w:keepNext w:val="0"/>
              <w:keepLines w:val="0"/>
              <w:pageBreakBefore w:val="0"/>
              <w:widowControl w:val="0"/>
              <w:shd w:val="clear"/>
              <w:kinsoku/>
              <w:wordWrap/>
              <w:overflowPunct/>
              <w:topLinePunct w:val="0"/>
              <w:autoSpaceDE/>
              <w:autoSpaceDN/>
              <w:bidi w:val="0"/>
              <w:adjustRightInd/>
              <w:snapToGrid/>
              <w:spacing w:after="0" w:line="240" w:lineRule="auto"/>
              <w:ind w:firstLine="0" w:firstLineChars="0"/>
              <w:jc w:val="center"/>
              <w:textAlignment w:val="auto"/>
              <w:outlineLvl w:val="9"/>
              <w:rPr>
                <w:rFonts w:hint="eastAsia" w:ascii="宋体" w:hAnsi="宋体" w:eastAsia="宋体" w:cs="Times New Roman"/>
                <w:color w:val="auto"/>
                <w:kern w:val="2"/>
                <w:sz w:val="24"/>
                <w:szCs w:val="24"/>
                <w:highlight w:val="none"/>
                <w:lang w:val="en-US" w:bidi="ar-SA"/>
              </w:rPr>
            </w:pPr>
          </w:p>
        </w:tc>
        <w:tc>
          <w:tcPr>
            <w:tcW w:w="1059" w:type="pct"/>
            <w:shd w:val="clear" w:color="auto" w:fill="auto"/>
            <w:tcMar>
              <w:top w:w="105" w:type="dxa"/>
              <w:left w:w="158" w:type="dxa"/>
              <w:bottom w:w="105" w:type="dxa"/>
              <w:right w:w="158" w:type="dxa"/>
            </w:tcMar>
            <w:vAlign w:val="center"/>
          </w:tcPr>
          <w:p>
            <w:pPr>
              <w:keepNext w:val="0"/>
              <w:keepLines w:val="0"/>
              <w:pageBreakBefore w:val="0"/>
              <w:widowControl w:val="0"/>
              <w:shd w:val="clear"/>
              <w:kinsoku/>
              <w:wordWrap/>
              <w:overflowPunct/>
              <w:topLinePunct w:val="0"/>
              <w:autoSpaceDE/>
              <w:autoSpaceDN/>
              <w:bidi w:val="0"/>
              <w:adjustRightInd/>
              <w:snapToGrid/>
              <w:spacing w:after="0" w:line="240" w:lineRule="auto"/>
              <w:ind w:firstLine="0" w:firstLineChars="0"/>
              <w:jc w:val="center"/>
              <w:textAlignment w:val="auto"/>
              <w:outlineLvl w:val="9"/>
              <w:rPr>
                <w:rFonts w:hint="eastAsia"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eastAsia="zh-CN" w:bidi="ar-SA"/>
              </w:rPr>
              <w:t>管道反光镜或电视检测（CCTV）</w:t>
            </w:r>
          </w:p>
        </w:tc>
        <w:tc>
          <w:tcPr>
            <w:tcW w:w="1643" w:type="pct"/>
            <w:shd w:val="clear" w:color="auto" w:fill="auto"/>
            <w:tcMar>
              <w:top w:w="105" w:type="dxa"/>
              <w:left w:w="158" w:type="dxa"/>
              <w:bottom w:w="105" w:type="dxa"/>
              <w:right w:w="158" w:type="dxa"/>
            </w:tcMar>
            <w:vAlign w:val="center"/>
          </w:tcPr>
          <w:p>
            <w:pPr>
              <w:keepNext w:val="0"/>
              <w:keepLines w:val="0"/>
              <w:pageBreakBefore w:val="0"/>
              <w:widowControl w:val="0"/>
              <w:shd w:val="clear"/>
              <w:kinsoku/>
              <w:wordWrap/>
              <w:overflowPunct/>
              <w:topLinePunct w:val="0"/>
              <w:autoSpaceDE/>
              <w:autoSpaceDN/>
              <w:bidi w:val="0"/>
              <w:adjustRightInd/>
              <w:snapToGrid/>
              <w:spacing w:after="0" w:line="240" w:lineRule="auto"/>
              <w:ind w:firstLine="0" w:firstLineChars="0"/>
              <w:jc w:val="center"/>
              <w:textAlignment w:val="auto"/>
              <w:outlineLvl w:val="9"/>
              <w:rPr>
                <w:rFonts w:hint="eastAsia"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eastAsia="zh-CN" w:bidi="ar-SA"/>
              </w:rPr>
              <w:t>变形、腐蚀、渗漏、接口、结垢、错接等</w:t>
            </w:r>
          </w:p>
        </w:tc>
        <w:tc>
          <w:tcPr>
            <w:tcW w:w="1192" w:type="pct"/>
            <w:shd w:val="clear" w:color="auto" w:fill="auto"/>
            <w:tcMar>
              <w:top w:w="105" w:type="dxa"/>
              <w:left w:w="158" w:type="dxa"/>
              <w:bottom w:w="105" w:type="dxa"/>
              <w:right w:w="158" w:type="dxa"/>
            </w:tcMar>
            <w:vAlign w:val="center"/>
          </w:tcPr>
          <w:p>
            <w:pPr>
              <w:keepNext w:val="0"/>
              <w:keepLines w:val="0"/>
              <w:pageBreakBefore w:val="0"/>
              <w:widowControl w:val="0"/>
              <w:shd w:val="clear"/>
              <w:kinsoku/>
              <w:wordWrap/>
              <w:overflowPunct/>
              <w:topLinePunct w:val="0"/>
              <w:autoSpaceDE/>
              <w:autoSpaceDN/>
              <w:bidi w:val="0"/>
              <w:adjustRightInd/>
              <w:snapToGrid/>
              <w:spacing w:after="0" w:line="240" w:lineRule="auto"/>
              <w:ind w:firstLine="0" w:firstLineChars="0"/>
              <w:jc w:val="center"/>
              <w:textAlignment w:val="auto"/>
              <w:outlineLvl w:val="9"/>
              <w:rPr>
                <w:rFonts w:hint="eastAsia"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eastAsia="zh-CN" w:bidi="ar-SA"/>
              </w:rPr>
              <w:t>功能状况1~2年1次；结构状况5~10年1次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1030" w:type="pct"/>
            <w:vMerge w:val="restart"/>
            <w:shd w:val="clear" w:color="auto" w:fill="auto"/>
            <w:tcMar>
              <w:top w:w="105" w:type="dxa"/>
              <w:left w:w="158" w:type="dxa"/>
              <w:bottom w:w="105" w:type="dxa"/>
              <w:right w:w="158" w:type="dxa"/>
            </w:tcMar>
            <w:vAlign w:val="center"/>
          </w:tcPr>
          <w:p>
            <w:pPr>
              <w:keepNext w:val="0"/>
              <w:keepLines w:val="0"/>
              <w:pageBreakBefore w:val="0"/>
              <w:widowControl w:val="0"/>
              <w:shd w:val="clear"/>
              <w:kinsoku/>
              <w:wordWrap/>
              <w:overflowPunct/>
              <w:topLinePunct w:val="0"/>
              <w:autoSpaceDE/>
              <w:autoSpaceDN/>
              <w:bidi w:val="0"/>
              <w:adjustRightInd/>
              <w:snapToGrid/>
              <w:spacing w:after="0" w:line="240" w:lineRule="auto"/>
              <w:ind w:firstLine="0" w:firstLineChars="0"/>
              <w:jc w:val="center"/>
              <w:textAlignment w:val="auto"/>
              <w:outlineLvl w:val="9"/>
              <w:rPr>
                <w:rFonts w:hint="eastAsia"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eastAsia="zh-CN" w:bidi="ar-SA"/>
              </w:rPr>
              <w:t>倒虹管</w:t>
            </w:r>
          </w:p>
          <w:p>
            <w:pPr>
              <w:keepNext w:val="0"/>
              <w:keepLines w:val="0"/>
              <w:pageBreakBefore w:val="0"/>
              <w:widowControl w:val="0"/>
              <w:shd w:val="clear"/>
              <w:kinsoku/>
              <w:wordWrap/>
              <w:overflowPunct/>
              <w:topLinePunct w:val="0"/>
              <w:autoSpaceDE/>
              <w:autoSpaceDN/>
              <w:bidi w:val="0"/>
              <w:adjustRightInd/>
              <w:snapToGrid/>
              <w:spacing w:after="0" w:line="240" w:lineRule="auto"/>
              <w:ind w:firstLine="0" w:firstLineChars="0"/>
              <w:jc w:val="center"/>
              <w:textAlignment w:val="auto"/>
              <w:outlineLvl w:val="9"/>
              <w:rPr>
                <w:rFonts w:hint="eastAsia"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eastAsia="zh-CN" w:bidi="ar-SA"/>
              </w:rPr>
              <w:t>（一般是满水管，无法检查必须定期清掏）</w:t>
            </w:r>
          </w:p>
        </w:tc>
        <w:tc>
          <w:tcPr>
            <w:tcW w:w="1059" w:type="pct"/>
            <w:shd w:val="clear" w:color="auto" w:fill="auto"/>
            <w:tcMar>
              <w:top w:w="105" w:type="dxa"/>
              <w:left w:w="158" w:type="dxa"/>
              <w:bottom w:w="105" w:type="dxa"/>
              <w:right w:w="158" w:type="dxa"/>
            </w:tcMar>
            <w:vAlign w:val="center"/>
          </w:tcPr>
          <w:p>
            <w:pPr>
              <w:keepNext w:val="0"/>
              <w:keepLines w:val="0"/>
              <w:pageBreakBefore w:val="0"/>
              <w:widowControl w:val="0"/>
              <w:shd w:val="clear"/>
              <w:kinsoku/>
              <w:wordWrap/>
              <w:overflowPunct/>
              <w:topLinePunct w:val="0"/>
              <w:autoSpaceDE/>
              <w:autoSpaceDN/>
              <w:bidi w:val="0"/>
              <w:adjustRightInd/>
              <w:snapToGrid/>
              <w:spacing w:after="0" w:line="240" w:lineRule="auto"/>
              <w:ind w:firstLine="0" w:firstLineChars="0"/>
              <w:jc w:val="center"/>
              <w:textAlignment w:val="auto"/>
              <w:outlineLvl w:val="9"/>
              <w:rPr>
                <w:rFonts w:hint="eastAsia"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eastAsia="zh-CN" w:bidi="ar-SA"/>
              </w:rPr>
              <w:t>目测</w:t>
            </w:r>
          </w:p>
        </w:tc>
        <w:tc>
          <w:tcPr>
            <w:tcW w:w="1643" w:type="pct"/>
            <w:shd w:val="clear" w:color="auto" w:fill="auto"/>
            <w:tcMar>
              <w:top w:w="105" w:type="dxa"/>
              <w:left w:w="158" w:type="dxa"/>
              <w:bottom w:w="105" w:type="dxa"/>
              <w:right w:w="158" w:type="dxa"/>
            </w:tcMar>
            <w:vAlign w:val="center"/>
          </w:tcPr>
          <w:p>
            <w:pPr>
              <w:keepNext w:val="0"/>
              <w:keepLines w:val="0"/>
              <w:pageBreakBefore w:val="0"/>
              <w:widowControl w:val="0"/>
              <w:shd w:val="clear"/>
              <w:kinsoku/>
              <w:wordWrap/>
              <w:overflowPunct/>
              <w:topLinePunct w:val="0"/>
              <w:autoSpaceDE/>
              <w:autoSpaceDN/>
              <w:bidi w:val="0"/>
              <w:adjustRightInd/>
              <w:snapToGrid/>
              <w:spacing w:after="0" w:line="240" w:lineRule="auto"/>
              <w:ind w:firstLine="0" w:firstLineChars="0"/>
              <w:jc w:val="center"/>
              <w:textAlignment w:val="auto"/>
              <w:outlineLvl w:val="9"/>
              <w:rPr>
                <w:rFonts w:hint="eastAsia"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eastAsia="zh-CN" w:bidi="ar-SA"/>
              </w:rPr>
              <w:t>标志牌、两端水位差、闸门等</w:t>
            </w:r>
          </w:p>
        </w:tc>
        <w:tc>
          <w:tcPr>
            <w:tcW w:w="1192" w:type="pct"/>
            <w:shd w:val="clear" w:color="auto" w:fill="auto"/>
            <w:tcMar>
              <w:top w:w="105" w:type="dxa"/>
              <w:left w:w="158" w:type="dxa"/>
              <w:bottom w:w="105" w:type="dxa"/>
              <w:right w:w="158" w:type="dxa"/>
            </w:tcMar>
            <w:vAlign w:val="center"/>
          </w:tcPr>
          <w:p>
            <w:pPr>
              <w:keepNext w:val="0"/>
              <w:keepLines w:val="0"/>
              <w:pageBreakBefore w:val="0"/>
              <w:widowControl w:val="0"/>
              <w:shd w:val="clear"/>
              <w:kinsoku/>
              <w:wordWrap/>
              <w:overflowPunct/>
              <w:topLinePunct w:val="0"/>
              <w:autoSpaceDE/>
              <w:autoSpaceDN/>
              <w:bidi w:val="0"/>
              <w:adjustRightInd/>
              <w:snapToGrid/>
              <w:spacing w:after="0" w:line="240" w:lineRule="auto"/>
              <w:ind w:firstLine="0" w:firstLineChars="0"/>
              <w:jc w:val="center"/>
              <w:textAlignment w:val="auto"/>
              <w:outlineLvl w:val="9"/>
              <w:rPr>
                <w:rFonts w:hint="eastAsia"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eastAsia="zh-CN" w:bidi="ar-SA"/>
              </w:rPr>
              <w:t>3个月（每季度1次）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1030" w:type="pct"/>
            <w:vMerge w:val="continue"/>
            <w:shd w:val="clear" w:color="auto" w:fill="auto"/>
            <w:tcMar>
              <w:top w:w="105" w:type="dxa"/>
              <w:left w:w="158" w:type="dxa"/>
              <w:bottom w:w="105" w:type="dxa"/>
              <w:right w:w="158" w:type="dxa"/>
            </w:tcMar>
            <w:vAlign w:val="center"/>
          </w:tcPr>
          <w:p>
            <w:pPr>
              <w:keepNext w:val="0"/>
              <w:keepLines w:val="0"/>
              <w:pageBreakBefore w:val="0"/>
              <w:widowControl w:val="0"/>
              <w:shd w:val="clear"/>
              <w:kinsoku/>
              <w:wordWrap/>
              <w:overflowPunct/>
              <w:topLinePunct w:val="0"/>
              <w:autoSpaceDE/>
              <w:autoSpaceDN/>
              <w:bidi w:val="0"/>
              <w:adjustRightInd/>
              <w:snapToGrid/>
              <w:spacing w:after="0" w:line="240" w:lineRule="auto"/>
              <w:ind w:firstLine="0" w:firstLineChars="0"/>
              <w:jc w:val="center"/>
              <w:textAlignment w:val="auto"/>
              <w:outlineLvl w:val="9"/>
              <w:rPr>
                <w:rFonts w:hint="eastAsia" w:ascii="宋体" w:hAnsi="宋体" w:eastAsia="宋体" w:cs="Times New Roman"/>
                <w:color w:val="auto"/>
                <w:kern w:val="2"/>
                <w:sz w:val="24"/>
                <w:szCs w:val="24"/>
                <w:highlight w:val="none"/>
                <w:lang w:val="en-US" w:bidi="ar-SA"/>
              </w:rPr>
            </w:pPr>
          </w:p>
        </w:tc>
        <w:tc>
          <w:tcPr>
            <w:tcW w:w="1059" w:type="pct"/>
            <w:shd w:val="clear" w:color="auto" w:fill="auto"/>
            <w:tcMar>
              <w:top w:w="105" w:type="dxa"/>
              <w:left w:w="158" w:type="dxa"/>
              <w:bottom w:w="105" w:type="dxa"/>
              <w:right w:w="158" w:type="dxa"/>
            </w:tcMar>
            <w:vAlign w:val="center"/>
          </w:tcPr>
          <w:p>
            <w:pPr>
              <w:keepNext w:val="0"/>
              <w:keepLines w:val="0"/>
              <w:pageBreakBefore w:val="0"/>
              <w:widowControl w:val="0"/>
              <w:shd w:val="clear"/>
              <w:kinsoku/>
              <w:wordWrap/>
              <w:overflowPunct/>
              <w:topLinePunct w:val="0"/>
              <w:autoSpaceDE/>
              <w:autoSpaceDN/>
              <w:bidi w:val="0"/>
              <w:adjustRightInd/>
              <w:snapToGrid/>
              <w:spacing w:after="0" w:line="240" w:lineRule="auto"/>
              <w:ind w:firstLine="0" w:firstLineChars="0"/>
              <w:jc w:val="center"/>
              <w:textAlignment w:val="auto"/>
              <w:outlineLvl w:val="9"/>
              <w:rPr>
                <w:rFonts w:hint="eastAsia"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eastAsia="zh-CN" w:bidi="ar-SA"/>
              </w:rPr>
              <w:t>电视检测/冲洗</w:t>
            </w:r>
          </w:p>
        </w:tc>
        <w:tc>
          <w:tcPr>
            <w:tcW w:w="1643" w:type="pct"/>
            <w:shd w:val="clear" w:color="auto" w:fill="auto"/>
            <w:tcMar>
              <w:top w:w="105" w:type="dxa"/>
              <w:left w:w="158" w:type="dxa"/>
              <w:bottom w:w="105" w:type="dxa"/>
              <w:right w:w="158" w:type="dxa"/>
            </w:tcMar>
            <w:vAlign w:val="center"/>
          </w:tcPr>
          <w:p>
            <w:pPr>
              <w:keepNext w:val="0"/>
              <w:keepLines w:val="0"/>
              <w:pageBreakBefore w:val="0"/>
              <w:widowControl w:val="0"/>
              <w:shd w:val="clear"/>
              <w:kinsoku/>
              <w:wordWrap/>
              <w:overflowPunct/>
              <w:topLinePunct w:val="0"/>
              <w:autoSpaceDE/>
              <w:autoSpaceDN/>
              <w:bidi w:val="0"/>
              <w:adjustRightInd/>
              <w:snapToGrid/>
              <w:spacing w:after="0" w:line="240" w:lineRule="auto"/>
              <w:ind w:firstLine="0" w:firstLineChars="0"/>
              <w:jc w:val="center"/>
              <w:textAlignment w:val="auto"/>
              <w:outlineLvl w:val="9"/>
              <w:rPr>
                <w:rFonts w:hint="eastAsia"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eastAsia="zh-CN" w:bidi="ar-SA"/>
              </w:rPr>
              <w:t>淤积、腐蚀、接口渗漏、河床冲刷、管顶覆土等</w:t>
            </w:r>
          </w:p>
        </w:tc>
        <w:tc>
          <w:tcPr>
            <w:tcW w:w="1192" w:type="pct"/>
            <w:shd w:val="clear" w:color="auto" w:fill="auto"/>
            <w:tcMar>
              <w:top w:w="105" w:type="dxa"/>
              <w:left w:w="158" w:type="dxa"/>
              <w:bottom w:w="105" w:type="dxa"/>
              <w:right w:w="158" w:type="dxa"/>
            </w:tcMar>
            <w:vAlign w:val="center"/>
          </w:tcPr>
          <w:p>
            <w:pPr>
              <w:keepNext w:val="0"/>
              <w:keepLines w:val="0"/>
              <w:pageBreakBefore w:val="0"/>
              <w:widowControl w:val="0"/>
              <w:shd w:val="clear"/>
              <w:kinsoku/>
              <w:wordWrap/>
              <w:overflowPunct/>
              <w:topLinePunct w:val="0"/>
              <w:autoSpaceDE/>
              <w:autoSpaceDN/>
              <w:bidi w:val="0"/>
              <w:adjustRightInd/>
              <w:snapToGrid/>
              <w:spacing w:after="0" w:line="240" w:lineRule="auto"/>
              <w:ind w:firstLine="0" w:firstLineChars="0"/>
              <w:jc w:val="center"/>
              <w:textAlignment w:val="auto"/>
              <w:outlineLvl w:val="9"/>
              <w:rPr>
                <w:rFonts w:hint="eastAsia"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eastAsia="zh-CN" w:bidi="ar-SA"/>
              </w:rPr>
              <w:t>3个月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1030" w:type="pct"/>
            <w:vMerge w:val="continue"/>
            <w:shd w:val="clear" w:color="auto" w:fill="auto"/>
            <w:tcMar>
              <w:top w:w="105" w:type="dxa"/>
              <w:left w:w="158" w:type="dxa"/>
              <w:bottom w:w="105" w:type="dxa"/>
              <w:right w:w="158" w:type="dxa"/>
            </w:tcMar>
            <w:vAlign w:val="center"/>
          </w:tcPr>
          <w:p>
            <w:pPr>
              <w:keepNext w:val="0"/>
              <w:keepLines w:val="0"/>
              <w:pageBreakBefore w:val="0"/>
              <w:widowControl w:val="0"/>
              <w:shd w:val="clear"/>
              <w:kinsoku/>
              <w:wordWrap/>
              <w:overflowPunct/>
              <w:topLinePunct w:val="0"/>
              <w:autoSpaceDE/>
              <w:autoSpaceDN/>
              <w:bidi w:val="0"/>
              <w:adjustRightInd/>
              <w:snapToGrid/>
              <w:spacing w:after="0" w:line="240" w:lineRule="auto"/>
              <w:ind w:firstLine="0" w:firstLineChars="0"/>
              <w:jc w:val="center"/>
              <w:textAlignment w:val="auto"/>
              <w:outlineLvl w:val="9"/>
              <w:rPr>
                <w:rFonts w:hint="eastAsia" w:ascii="宋体" w:hAnsi="宋体" w:eastAsia="宋体" w:cs="Times New Roman"/>
                <w:color w:val="auto"/>
                <w:kern w:val="2"/>
                <w:sz w:val="24"/>
                <w:szCs w:val="24"/>
                <w:highlight w:val="none"/>
                <w:lang w:val="en-US" w:bidi="ar-SA"/>
              </w:rPr>
            </w:pPr>
          </w:p>
        </w:tc>
        <w:tc>
          <w:tcPr>
            <w:tcW w:w="1059" w:type="pct"/>
            <w:shd w:val="clear" w:color="auto" w:fill="auto"/>
            <w:tcMar>
              <w:top w:w="105" w:type="dxa"/>
              <w:left w:w="158" w:type="dxa"/>
              <w:bottom w:w="105" w:type="dxa"/>
              <w:right w:w="158" w:type="dxa"/>
            </w:tcMar>
            <w:vAlign w:val="center"/>
          </w:tcPr>
          <w:p>
            <w:pPr>
              <w:keepNext w:val="0"/>
              <w:keepLines w:val="0"/>
              <w:pageBreakBefore w:val="0"/>
              <w:widowControl w:val="0"/>
              <w:shd w:val="clear"/>
              <w:kinsoku/>
              <w:wordWrap/>
              <w:overflowPunct/>
              <w:topLinePunct w:val="0"/>
              <w:autoSpaceDE/>
              <w:autoSpaceDN/>
              <w:bidi w:val="0"/>
              <w:adjustRightInd/>
              <w:snapToGrid/>
              <w:spacing w:after="0" w:line="240" w:lineRule="auto"/>
              <w:ind w:firstLine="0" w:firstLineChars="0"/>
              <w:jc w:val="center"/>
              <w:textAlignment w:val="auto"/>
              <w:outlineLvl w:val="9"/>
              <w:rPr>
                <w:rFonts w:hint="eastAsia"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eastAsia="zh-CN" w:bidi="ar-SA"/>
              </w:rPr>
              <w:t>采用水力冲洗时，冲洗流速不宜小于 1.2m/s</w:t>
            </w:r>
          </w:p>
        </w:tc>
        <w:tc>
          <w:tcPr>
            <w:tcW w:w="1643" w:type="pct"/>
            <w:shd w:val="clear" w:color="auto" w:fill="auto"/>
            <w:tcMar>
              <w:top w:w="105" w:type="dxa"/>
              <w:left w:w="158" w:type="dxa"/>
              <w:bottom w:w="105" w:type="dxa"/>
              <w:right w:w="158" w:type="dxa"/>
            </w:tcMar>
            <w:vAlign w:val="center"/>
          </w:tcPr>
          <w:p>
            <w:pPr>
              <w:keepNext w:val="0"/>
              <w:keepLines w:val="0"/>
              <w:pageBreakBefore w:val="0"/>
              <w:widowControl w:val="0"/>
              <w:shd w:val="clear"/>
              <w:kinsoku/>
              <w:wordWrap/>
              <w:overflowPunct/>
              <w:topLinePunct w:val="0"/>
              <w:autoSpaceDE/>
              <w:autoSpaceDN/>
              <w:bidi w:val="0"/>
              <w:adjustRightInd/>
              <w:snapToGrid/>
              <w:spacing w:after="0" w:line="240" w:lineRule="auto"/>
              <w:ind w:firstLine="0" w:firstLineChars="0"/>
              <w:jc w:val="center"/>
              <w:textAlignment w:val="auto"/>
              <w:outlineLvl w:val="9"/>
              <w:rPr>
                <w:rFonts w:hint="eastAsia" w:ascii="宋体" w:hAnsi="宋体" w:eastAsia="宋体" w:cs="Times New Roman"/>
                <w:color w:val="auto"/>
                <w:kern w:val="2"/>
                <w:sz w:val="24"/>
                <w:szCs w:val="24"/>
                <w:highlight w:val="none"/>
                <w:lang w:val="en-US" w:bidi="ar-SA"/>
              </w:rPr>
            </w:pPr>
          </w:p>
        </w:tc>
        <w:tc>
          <w:tcPr>
            <w:tcW w:w="1192" w:type="pct"/>
            <w:shd w:val="clear" w:color="auto" w:fill="auto"/>
            <w:tcMar>
              <w:top w:w="105" w:type="dxa"/>
              <w:left w:w="158" w:type="dxa"/>
              <w:bottom w:w="105" w:type="dxa"/>
              <w:right w:w="158" w:type="dxa"/>
            </w:tcMar>
            <w:vAlign w:val="center"/>
          </w:tcPr>
          <w:p>
            <w:pPr>
              <w:keepNext w:val="0"/>
              <w:keepLines w:val="0"/>
              <w:pageBreakBefore w:val="0"/>
              <w:widowControl w:val="0"/>
              <w:shd w:val="clear"/>
              <w:kinsoku/>
              <w:wordWrap/>
              <w:overflowPunct/>
              <w:topLinePunct w:val="0"/>
              <w:autoSpaceDE/>
              <w:autoSpaceDN/>
              <w:bidi w:val="0"/>
              <w:adjustRightInd/>
              <w:snapToGrid/>
              <w:spacing w:after="0" w:line="240" w:lineRule="auto"/>
              <w:ind w:firstLine="0" w:firstLineChars="0"/>
              <w:jc w:val="center"/>
              <w:textAlignment w:val="auto"/>
              <w:outlineLvl w:val="9"/>
              <w:rPr>
                <w:rFonts w:hint="eastAsia" w:ascii="宋体" w:hAnsi="宋体" w:eastAsia="宋体" w:cs="Times New Roman"/>
                <w:color w:val="auto"/>
                <w:kern w:val="2"/>
                <w:sz w:val="24"/>
                <w:szCs w:val="24"/>
                <w:highlight w:val="none"/>
                <w:lang w:val="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1030" w:type="pct"/>
            <w:shd w:val="clear" w:color="auto" w:fill="auto"/>
            <w:tcMar>
              <w:top w:w="105" w:type="dxa"/>
              <w:left w:w="158" w:type="dxa"/>
              <w:bottom w:w="105" w:type="dxa"/>
              <w:right w:w="158" w:type="dxa"/>
            </w:tcMar>
            <w:vAlign w:val="center"/>
          </w:tcPr>
          <w:p>
            <w:pPr>
              <w:keepNext w:val="0"/>
              <w:keepLines w:val="0"/>
              <w:pageBreakBefore w:val="0"/>
              <w:widowControl w:val="0"/>
              <w:shd w:val="clear"/>
              <w:kinsoku/>
              <w:wordWrap/>
              <w:overflowPunct/>
              <w:topLinePunct w:val="0"/>
              <w:autoSpaceDE/>
              <w:autoSpaceDN/>
              <w:bidi w:val="0"/>
              <w:adjustRightInd/>
              <w:snapToGrid/>
              <w:spacing w:after="0" w:line="240" w:lineRule="auto"/>
              <w:ind w:firstLine="0" w:firstLineChars="0"/>
              <w:jc w:val="center"/>
              <w:textAlignment w:val="auto"/>
              <w:outlineLvl w:val="9"/>
              <w:rPr>
                <w:rFonts w:hint="eastAsia"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eastAsia="zh-CN" w:bidi="ar-SA"/>
              </w:rPr>
              <w:t>三格式化粪池</w:t>
            </w:r>
          </w:p>
        </w:tc>
        <w:tc>
          <w:tcPr>
            <w:tcW w:w="1059" w:type="pct"/>
            <w:shd w:val="clear" w:color="auto" w:fill="auto"/>
            <w:tcMar>
              <w:top w:w="105" w:type="dxa"/>
              <w:left w:w="158" w:type="dxa"/>
              <w:bottom w:w="105" w:type="dxa"/>
              <w:right w:w="158" w:type="dxa"/>
            </w:tcMar>
            <w:vAlign w:val="center"/>
          </w:tcPr>
          <w:p>
            <w:pPr>
              <w:keepNext w:val="0"/>
              <w:keepLines w:val="0"/>
              <w:pageBreakBefore w:val="0"/>
              <w:widowControl w:val="0"/>
              <w:shd w:val="clear"/>
              <w:kinsoku/>
              <w:wordWrap/>
              <w:overflowPunct/>
              <w:topLinePunct w:val="0"/>
              <w:autoSpaceDE/>
              <w:autoSpaceDN/>
              <w:bidi w:val="0"/>
              <w:adjustRightInd/>
              <w:snapToGrid/>
              <w:spacing w:after="0" w:line="240" w:lineRule="auto"/>
              <w:ind w:firstLine="0" w:firstLineChars="0"/>
              <w:jc w:val="center"/>
              <w:textAlignment w:val="auto"/>
              <w:outlineLvl w:val="9"/>
              <w:rPr>
                <w:rFonts w:hint="eastAsia"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eastAsia="zh-CN" w:bidi="ar-SA"/>
              </w:rPr>
              <w:t>目测</w:t>
            </w:r>
          </w:p>
        </w:tc>
        <w:tc>
          <w:tcPr>
            <w:tcW w:w="1643" w:type="pct"/>
            <w:shd w:val="clear" w:color="auto" w:fill="auto"/>
            <w:tcMar>
              <w:top w:w="105" w:type="dxa"/>
              <w:left w:w="158" w:type="dxa"/>
              <w:bottom w:w="105" w:type="dxa"/>
              <w:right w:w="158" w:type="dxa"/>
            </w:tcMar>
            <w:vAlign w:val="center"/>
          </w:tcPr>
          <w:p>
            <w:pPr>
              <w:keepNext w:val="0"/>
              <w:keepLines w:val="0"/>
              <w:pageBreakBefore w:val="0"/>
              <w:widowControl w:val="0"/>
              <w:shd w:val="clear"/>
              <w:kinsoku/>
              <w:wordWrap/>
              <w:overflowPunct/>
              <w:topLinePunct w:val="0"/>
              <w:autoSpaceDE/>
              <w:autoSpaceDN/>
              <w:bidi w:val="0"/>
              <w:adjustRightInd/>
              <w:snapToGrid/>
              <w:spacing w:after="0" w:line="240" w:lineRule="auto"/>
              <w:ind w:firstLine="0" w:firstLineChars="0"/>
              <w:jc w:val="center"/>
              <w:textAlignment w:val="auto"/>
              <w:outlineLvl w:val="9"/>
              <w:rPr>
                <w:rFonts w:hint="eastAsia"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eastAsia="zh-CN" w:bidi="ar-SA"/>
              </w:rPr>
              <w:t>违章占压、变形、结垢、渗漏、淤积情况等</w:t>
            </w:r>
          </w:p>
        </w:tc>
        <w:tc>
          <w:tcPr>
            <w:tcW w:w="1192" w:type="pct"/>
            <w:shd w:val="clear" w:color="auto" w:fill="auto"/>
            <w:tcMar>
              <w:top w:w="105" w:type="dxa"/>
              <w:left w:w="158" w:type="dxa"/>
              <w:bottom w:w="105" w:type="dxa"/>
              <w:right w:w="158" w:type="dxa"/>
            </w:tcMar>
            <w:vAlign w:val="center"/>
          </w:tcPr>
          <w:p>
            <w:pPr>
              <w:keepNext w:val="0"/>
              <w:keepLines w:val="0"/>
              <w:pageBreakBefore w:val="0"/>
              <w:widowControl w:val="0"/>
              <w:shd w:val="clear"/>
              <w:kinsoku/>
              <w:wordWrap/>
              <w:overflowPunct/>
              <w:topLinePunct w:val="0"/>
              <w:autoSpaceDE/>
              <w:autoSpaceDN/>
              <w:bidi w:val="0"/>
              <w:adjustRightInd/>
              <w:snapToGrid/>
              <w:spacing w:after="0" w:line="240" w:lineRule="auto"/>
              <w:ind w:firstLine="0" w:firstLineChars="0"/>
              <w:jc w:val="center"/>
              <w:textAlignment w:val="auto"/>
              <w:outlineLvl w:val="9"/>
              <w:rPr>
                <w:rFonts w:hint="eastAsia"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eastAsia="zh-CN" w:bidi="ar-SA"/>
              </w:rPr>
              <w:t>3 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1030" w:type="pct"/>
            <w:shd w:val="clear" w:color="auto" w:fill="auto"/>
            <w:tcMar>
              <w:top w:w="105" w:type="dxa"/>
              <w:left w:w="158" w:type="dxa"/>
              <w:bottom w:w="105" w:type="dxa"/>
              <w:right w:w="158" w:type="dxa"/>
            </w:tcMar>
            <w:vAlign w:val="center"/>
          </w:tcPr>
          <w:p>
            <w:pPr>
              <w:keepNext w:val="0"/>
              <w:keepLines w:val="0"/>
              <w:pageBreakBefore w:val="0"/>
              <w:widowControl w:val="0"/>
              <w:shd w:val="clear"/>
              <w:kinsoku/>
              <w:wordWrap/>
              <w:overflowPunct/>
              <w:topLinePunct w:val="0"/>
              <w:autoSpaceDE/>
              <w:autoSpaceDN/>
              <w:bidi w:val="0"/>
              <w:adjustRightInd/>
              <w:snapToGrid/>
              <w:spacing w:after="0" w:line="240" w:lineRule="auto"/>
              <w:ind w:firstLine="0" w:firstLineChars="0"/>
              <w:jc w:val="center"/>
              <w:textAlignment w:val="auto"/>
              <w:outlineLvl w:val="9"/>
              <w:rPr>
                <w:rFonts w:hint="eastAsia"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eastAsia="zh-CN" w:bidi="ar-SA"/>
              </w:rPr>
              <w:t>隔油池和捞毛设施</w:t>
            </w:r>
          </w:p>
        </w:tc>
        <w:tc>
          <w:tcPr>
            <w:tcW w:w="1059" w:type="pct"/>
            <w:shd w:val="clear" w:color="auto" w:fill="auto"/>
            <w:tcMar>
              <w:top w:w="105" w:type="dxa"/>
              <w:left w:w="158" w:type="dxa"/>
              <w:bottom w:w="105" w:type="dxa"/>
              <w:right w:w="158" w:type="dxa"/>
            </w:tcMar>
            <w:vAlign w:val="center"/>
          </w:tcPr>
          <w:p>
            <w:pPr>
              <w:keepNext w:val="0"/>
              <w:keepLines w:val="0"/>
              <w:pageBreakBefore w:val="0"/>
              <w:widowControl w:val="0"/>
              <w:shd w:val="clear"/>
              <w:kinsoku/>
              <w:wordWrap/>
              <w:overflowPunct/>
              <w:topLinePunct w:val="0"/>
              <w:autoSpaceDE/>
              <w:autoSpaceDN/>
              <w:bidi w:val="0"/>
              <w:adjustRightInd/>
              <w:snapToGrid/>
              <w:spacing w:after="0" w:line="240" w:lineRule="auto"/>
              <w:ind w:firstLine="0" w:firstLineChars="0"/>
              <w:jc w:val="center"/>
              <w:textAlignment w:val="auto"/>
              <w:outlineLvl w:val="9"/>
              <w:rPr>
                <w:rFonts w:hint="eastAsia"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eastAsia="zh-CN" w:bidi="ar-SA"/>
              </w:rPr>
              <w:t>目测</w:t>
            </w:r>
          </w:p>
        </w:tc>
        <w:tc>
          <w:tcPr>
            <w:tcW w:w="1643" w:type="pct"/>
            <w:shd w:val="clear" w:color="auto" w:fill="auto"/>
            <w:tcMar>
              <w:top w:w="105" w:type="dxa"/>
              <w:left w:w="158" w:type="dxa"/>
              <w:bottom w:w="105" w:type="dxa"/>
              <w:right w:w="158" w:type="dxa"/>
            </w:tcMar>
            <w:vAlign w:val="center"/>
          </w:tcPr>
          <w:p>
            <w:pPr>
              <w:keepNext w:val="0"/>
              <w:keepLines w:val="0"/>
              <w:pageBreakBefore w:val="0"/>
              <w:widowControl w:val="0"/>
              <w:shd w:val="clear"/>
              <w:kinsoku/>
              <w:wordWrap/>
              <w:overflowPunct/>
              <w:topLinePunct w:val="0"/>
              <w:autoSpaceDE/>
              <w:autoSpaceDN/>
              <w:bidi w:val="0"/>
              <w:adjustRightInd/>
              <w:snapToGrid/>
              <w:spacing w:after="0" w:line="240" w:lineRule="auto"/>
              <w:ind w:firstLine="0" w:firstLineChars="0"/>
              <w:jc w:val="center"/>
              <w:textAlignment w:val="auto"/>
              <w:outlineLvl w:val="9"/>
              <w:rPr>
                <w:rFonts w:hint="eastAsia"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eastAsia="zh-CN" w:bidi="ar-SA"/>
              </w:rPr>
              <w:t>违章占压、变形、结垢、渗漏、淤积情况等</w:t>
            </w:r>
          </w:p>
        </w:tc>
        <w:tc>
          <w:tcPr>
            <w:tcW w:w="1192" w:type="pct"/>
            <w:shd w:val="clear" w:color="auto" w:fill="auto"/>
            <w:tcMar>
              <w:top w:w="105" w:type="dxa"/>
              <w:left w:w="158" w:type="dxa"/>
              <w:bottom w:w="105" w:type="dxa"/>
              <w:right w:w="158" w:type="dxa"/>
            </w:tcMar>
            <w:vAlign w:val="center"/>
          </w:tcPr>
          <w:p>
            <w:pPr>
              <w:keepNext w:val="0"/>
              <w:keepLines w:val="0"/>
              <w:pageBreakBefore w:val="0"/>
              <w:widowControl w:val="0"/>
              <w:shd w:val="clear"/>
              <w:kinsoku/>
              <w:wordWrap/>
              <w:overflowPunct/>
              <w:topLinePunct w:val="0"/>
              <w:autoSpaceDE/>
              <w:autoSpaceDN/>
              <w:bidi w:val="0"/>
              <w:adjustRightInd/>
              <w:snapToGrid/>
              <w:spacing w:after="0" w:line="240" w:lineRule="auto"/>
              <w:ind w:firstLine="0" w:firstLineChars="0"/>
              <w:jc w:val="center"/>
              <w:textAlignment w:val="auto"/>
              <w:outlineLvl w:val="9"/>
              <w:rPr>
                <w:rFonts w:hint="eastAsia"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eastAsia="zh-CN" w:bidi="ar-SA"/>
              </w:rPr>
              <w:t>及时清疏/2个月</w:t>
            </w:r>
          </w:p>
        </w:tc>
      </w:tr>
    </w:tbl>
    <w:p>
      <w:pPr>
        <w:shd w:val="clear"/>
        <w:spacing w:after="0" w:line="520" w:lineRule="exact"/>
        <w:ind w:firstLine="480" w:firstLineChars="200"/>
        <w:outlineLvl w:val="9"/>
        <w:rPr>
          <w:rFonts w:hint="eastAsia" w:ascii="宋体" w:hAnsi="宋体" w:eastAsia="宋体" w:cs="Times New Roman"/>
          <w:color w:val="auto"/>
          <w:kern w:val="2"/>
          <w:sz w:val="24"/>
          <w:szCs w:val="24"/>
          <w:highlight w:val="none"/>
          <w:lang w:val="en-US" w:bidi="ar-SA"/>
        </w:rPr>
      </w:pPr>
    </w:p>
    <w:p>
      <w:pPr>
        <w:shd w:val="clear"/>
        <w:spacing w:after="0" w:line="520" w:lineRule="exact"/>
        <w:ind w:firstLine="480" w:firstLineChars="200"/>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（5）检查井日常巡查检查的内容应符合下表规定</w:t>
      </w:r>
    </w:p>
    <w:tbl>
      <w:tblPr>
        <w:tblStyle w:val="8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3"/>
        <w:gridCol w:w="1872"/>
        <w:gridCol w:w="1701"/>
        <w:gridCol w:w="2358"/>
        <w:gridCol w:w="17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5"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部位</w:t>
            </w:r>
          </w:p>
        </w:tc>
        <w:tc>
          <w:tcPr>
            <w:tcW w:w="1792" w:type="pct"/>
            <w:gridSpan w:val="2"/>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外部巡查</w:t>
            </w:r>
          </w:p>
        </w:tc>
        <w:tc>
          <w:tcPr>
            <w:tcW w:w="2043" w:type="pct"/>
            <w:gridSpan w:val="2"/>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内部检查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5" w:type="pct"/>
            <w:vMerge w:val="restar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内容</w:t>
            </w:r>
          </w:p>
        </w:tc>
        <w:tc>
          <w:tcPr>
            <w:tcW w:w="939"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井的位置标识</w:t>
            </w:r>
          </w:p>
        </w:tc>
        <w:tc>
          <w:tcPr>
            <w:tcW w:w="853"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盖、框高差</w:t>
            </w:r>
          </w:p>
        </w:tc>
        <w:tc>
          <w:tcPr>
            <w:tcW w:w="1183"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井位标高、井深的标识</w:t>
            </w:r>
          </w:p>
        </w:tc>
        <w:tc>
          <w:tcPr>
            <w:tcW w:w="860"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管口孔洞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5" w:type="pct"/>
            <w:vMerge w:val="continue"/>
            <w:tcBorders>
              <w:top w:val="single" w:color="auto" w:sz="4" w:space="0"/>
              <w:left w:val="single" w:color="auto" w:sz="4" w:space="0"/>
              <w:bottom w:val="single" w:color="auto" w:sz="4" w:space="0"/>
              <w:right w:val="single" w:color="auto" w:sz="4" w:space="0"/>
            </w:tcBorders>
            <w:vAlign w:val="center"/>
          </w:tcPr>
          <w:p>
            <w:pPr>
              <w:widowControl/>
              <w:shd w:val="clear"/>
              <w:spacing w:after="0" w:line="240" w:lineRule="auto"/>
              <w:jc w:val="left"/>
              <w:outlineLvl w:val="9"/>
              <w:rPr>
                <w:rFonts w:hint="default" w:ascii="宋体" w:hAnsi="宋体" w:eastAsia="宋体" w:cs="Times New Roman"/>
                <w:color w:val="auto"/>
                <w:kern w:val="2"/>
                <w:sz w:val="24"/>
                <w:szCs w:val="24"/>
                <w:highlight w:val="none"/>
                <w:lang w:val="en-US" w:bidi="ar-SA"/>
              </w:rPr>
            </w:pPr>
          </w:p>
        </w:tc>
        <w:tc>
          <w:tcPr>
            <w:tcW w:w="939"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井盖埋没</w:t>
            </w:r>
          </w:p>
        </w:tc>
        <w:tc>
          <w:tcPr>
            <w:tcW w:w="853"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盖框突出或凹陷</w:t>
            </w:r>
          </w:p>
        </w:tc>
        <w:tc>
          <w:tcPr>
            <w:tcW w:w="1183"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爬梯松动、锈蚀或缺损</w:t>
            </w:r>
          </w:p>
        </w:tc>
        <w:tc>
          <w:tcPr>
            <w:tcW w:w="860"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流槽破损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5" w:type="pct"/>
            <w:vMerge w:val="continue"/>
            <w:tcBorders>
              <w:top w:val="single" w:color="auto" w:sz="4" w:space="0"/>
              <w:left w:val="single" w:color="auto" w:sz="4" w:space="0"/>
              <w:bottom w:val="single" w:color="auto" w:sz="4" w:space="0"/>
              <w:right w:val="single" w:color="auto" w:sz="4" w:space="0"/>
            </w:tcBorders>
            <w:vAlign w:val="center"/>
          </w:tcPr>
          <w:p>
            <w:pPr>
              <w:widowControl/>
              <w:shd w:val="clear"/>
              <w:spacing w:after="0" w:line="240" w:lineRule="auto"/>
              <w:jc w:val="left"/>
              <w:outlineLvl w:val="9"/>
              <w:rPr>
                <w:rFonts w:hint="default" w:ascii="宋体" w:hAnsi="宋体" w:eastAsia="宋体" w:cs="Times New Roman"/>
                <w:color w:val="auto"/>
                <w:kern w:val="2"/>
                <w:sz w:val="24"/>
                <w:szCs w:val="24"/>
                <w:highlight w:val="none"/>
                <w:lang w:val="en-US" w:bidi="ar-SA"/>
              </w:rPr>
            </w:pPr>
          </w:p>
        </w:tc>
        <w:tc>
          <w:tcPr>
            <w:tcW w:w="939"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井盖丢失</w:t>
            </w:r>
          </w:p>
        </w:tc>
        <w:tc>
          <w:tcPr>
            <w:tcW w:w="853"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跳动和声响</w:t>
            </w:r>
          </w:p>
        </w:tc>
        <w:tc>
          <w:tcPr>
            <w:tcW w:w="1183"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井壁泥垢</w:t>
            </w:r>
          </w:p>
        </w:tc>
        <w:tc>
          <w:tcPr>
            <w:tcW w:w="860"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井底积泥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5" w:type="pct"/>
            <w:vMerge w:val="continue"/>
            <w:tcBorders>
              <w:top w:val="single" w:color="auto" w:sz="4" w:space="0"/>
              <w:left w:val="single" w:color="auto" w:sz="4" w:space="0"/>
              <w:bottom w:val="single" w:color="auto" w:sz="4" w:space="0"/>
              <w:right w:val="single" w:color="auto" w:sz="4" w:space="0"/>
            </w:tcBorders>
            <w:vAlign w:val="center"/>
          </w:tcPr>
          <w:p>
            <w:pPr>
              <w:widowControl/>
              <w:shd w:val="clear"/>
              <w:spacing w:after="0" w:line="240" w:lineRule="auto"/>
              <w:jc w:val="left"/>
              <w:outlineLvl w:val="9"/>
              <w:rPr>
                <w:rFonts w:hint="default" w:ascii="宋体" w:hAnsi="宋体" w:eastAsia="宋体" w:cs="Times New Roman"/>
                <w:color w:val="auto"/>
                <w:kern w:val="2"/>
                <w:sz w:val="24"/>
                <w:szCs w:val="24"/>
                <w:highlight w:val="none"/>
                <w:lang w:val="en-US" w:bidi="ar-SA"/>
              </w:rPr>
            </w:pPr>
          </w:p>
        </w:tc>
        <w:tc>
          <w:tcPr>
            <w:tcW w:w="939"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井盖破损</w:t>
            </w:r>
          </w:p>
        </w:tc>
        <w:tc>
          <w:tcPr>
            <w:tcW w:w="853"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周边路面破损</w:t>
            </w:r>
          </w:p>
        </w:tc>
        <w:tc>
          <w:tcPr>
            <w:tcW w:w="1183"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井壁裂缝</w:t>
            </w:r>
          </w:p>
        </w:tc>
        <w:tc>
          <w:tcPr>
            <w:tcW w:w="860"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水流不畅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5" w:type="pct"/>
            <w:vMerge w:val="continue"/>
            <w:tcBorders>
              <w:top w:val="single" w:color="auto" w:sz="4" w:space="0"/>
              <w:left w:val="single" w:color="auto" w:sz="4" w:space="0"/>
              <w:bottom w:val="single" w:color="auto" w:sz="4" w:space="0"/>
              <w:right w:val="single" w:color="auto" w:sz="4" w:space="0"/>
            </w:tcBorders>
            <w:vAlign w:val="center"/>
          </w:tcPr>
          <w:p>
            <w:pPr>
              <w:widowControl/>
              <w:shd w:val="clear"/>
              <w:spacing w:after="0" w:line="240" w:lineRule="auto"/>
              <w:jc w:val="left"/>
              <w:outlineLvl w:val="9"/>
              <w:rPr>
                <w:rFonts w:hint="default" w:ascii="宋体" w:hAnsi="宋体" w:eastAsia="宋体" w:cs="Times New Roman"/>
                <w:color w:val="auto"/>
                <w:kern w:val="2"/>
                <w:sz w:val="24"/>
                <w:szCs w:val="24"/>
                <w:highlight w:val="none"/>
                <w:lang w:val="en-US" w:bidi="ar-SA"/>
              </w:rPr>
            </w:pPr>
          </w:p>
        </w:tc>
        <w:tc>
          <w:tcPr>
            <w:tcW w:w="939"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井框破损</w:t>
            </w:r>
          </w:p>
        </w:tc>
        <w:tc>
          <w:tcPr>
            <w:tcW w:w="853"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井盖标识错误</w:t>
            </w:r>
          </w:p>
        </w:tc>
        <w:tc>
          <w:tcPr>
            <w:tcW w:w="1183"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井壁渗漏</w:t>
            </w:r>
          </w:p>
        </w:tc>
        <w:tc>
          <w:tcPr>
            <w:tcW w:w="860"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浮渣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5" w:type="pct"/>
            <w:vMerge w:val="continue"/>
            <w:tcBorders>
              <w:top w:val="single" w:color="auto" w:sz="4" w:space="0"/>
              <w:left w:val="single" w:color="auto" w:sz="4" w:space="0"/>
              <w:bottom w:val="single" w:color="auto" w:sz="4" w:space="0"/>
              <w:right w:val="single" w:color="auto" w:sz="4" w:space="0"/>
            </w:tcBorders>
            <w:vAlign w:val="center"/>
          </w:tcPr>
          <w:p>
            <w:pPr>
              <w:widowControl/>
              <w:shd w:val="clear"/>
              <w:spacing w:after="0" w:line="240" w:lineRule="auto"/>
              <w:jc w:val="left"/>
              <w:outlineLvl w:val="9"/>
              <w:rPr>
                <w:rFonts w:hint="default" w:ascii="宋体" w:hAnsi="宋体" w:eastAsia="宋体" w:cs="Times New Roman"/>
                <w:color w:val="auto"/>
                <w:kern w:val="2"/>
                <w:sz w:val="24"/>
                <w:szCs w:val="24"/>
                <w:highlight w:val="none"/>
                <w:lang w:val="en-US" w:bidi="ar-SA"/>
              </w:rPr>
            </w:pPr>
          </w:p>
        </w:tc>
        <w:tc>
          <w:tcPr>
            <w:tcW w:w="939"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盖、框间隙</w:t>
            </w:r>
          </w:p>
        </w:tc>
        <w:tc>
          <w:tcPr>
            <w:tcW w:w="853"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p>
        </w:tc>
        <w:tc>
          <w:tcPr>
            <w:tcW w:w="1183"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抹面脱落</w:t>
            </w:r>
          </w:p>
        </w:tc>
        <w:tc>
          <w:tcPr>
            <w:tcW w:w="860"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p>
        </w:tc>
      </w:tr>
    </w:tbl>
    <w:p>
      <w:pPr>
        <w:shd w:val="clear"/>
        <w:spacing w:after="0" w:line="520" w:lineRule="exact"/>
        <w:ind w:firstLine="480" w:firstLineChars="200"/>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（6）井盖的选用应符合下表规定</w:t>
      </w:r>
    </w:p>
    <w:tbl>
      <w:tblPr>
        <w:tblStyle w:val="8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57"/>
        <w:gridCol w:w="3776"/>
        <w:gridCol w:w="35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3"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井盖种类</w:t>
            </w:r>
          </w:p>
        </w:tc>
        <w:tc>
          <w:tcPr>
            <w:tcW w:w="1894"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标准名称</w:t>
            </w:r>
          </w:p>
        </w:tc>
        <w:tc>
          <w:tcPr>
            <w:tcW w:w="1773"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标准标号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3"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铸铁井盖</w:t>
            </w:r>
          </w:p>
        </w:tc>
        <w:tc>
          <w:tcPr>
            <w:tcW w:w="1894"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《铸铁检查井盖》</w:t>
            </w:r>
          </w:p>
        </w:tc>
        <w:tc>
          <w:tcPr>
            <w:tcW w:w="1773"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eastAsia"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eastAsia="zh-CN" w:bidi="ar-SA"/>
              </w:rPr>
              <w:t>CJ/T 511</w:t>
            </w:r>
          </w:p>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eastAsia="zh-CN" w:bidi="ar-SA"/>
              </w:rPr>
              <w:t>（或 GB/T 23858）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3"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混凝土井盖</w:t>
            </w:r>
          </w:p>
        </w:tc>
        <w:tc>
          <w:tcPr>
            <w:tcW w:w="1894"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《钢纤维混凝土检查井盖》</w:t>
            </w:r>
          </w:p>
        </w:tc>
        <w:tc>
          <w:tcPr>
            <w:tcW w:w="1773"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JC889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3"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塑料树脂类井盖</w:t>
            </w:r>
          </w:p>
        </w:tc>
        <w:tc>
          <w:tcPr>
            <w:tcW w:w="1894"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《再生树脂复合材料检查井盖》</w:t>
            </w:r>
          </w:p>
        </w:tc>
        <w:tc>
          <w:tcPr>
            <w:tcW w:w="1773"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CJ/T 121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3"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塑料树脂类井箅</w:t>
            </w:r>
          </w:p>
        </w:tc>
        <w:tc>
          <w:tcPr>
            <w:tcW w:w="1894"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《再生树脂复合材料检查井箅》</w:t>
            </w:r>
          </w:p>
        </w:tc>
        <w:tc>
          <w:tcPr>
            <w:tcW w:w="1773"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CJ/T 130</w:t>
            </w:r>
          </w:p>
        </w:tc>
      </w:tr>
    </w:tbl>
    <w:p>
      <w:pPr>
        <w:shd w:val="clear"/>
        <w:spacing w:after="0" w:line="520" w:lineRule="exact"/>
        <w:ind w:firstLine="480" w:firstLineChars="200"/>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（7）在车辆经过时，井盖不应出现跳动和声响。井盖与井框间允许误差应符合下表规定。</w:t>
      </w:r>
    </w:p>
    <w:p>
      <w:pPr>
        <w:shd w:val="clear"/>
        <w:spacing w:after="0" w:line="520" w:lineRule="exact"/>
        <w:ind w:firstLine="480" w:firstLineChars="200"/>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井盖与井框间允许误差（mm）</w:t>
      </w:r>
    </w:p>
    <w:tbl>
      <w:tblPr>
        <w:tblStyle w:val="8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70"/>
        <w:gridCol w:w="2035"/>
        <w:gridCol w:w="2646"/>
        <w:gridCol w:w="27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7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wordWrap/>
              <w:jc w:val="left"/>
              <w:rPr>
                <w:rFonts w:hint="default" w:ascii="宋体" w:hAnsi="宋体" w:eastAsia="宋体" w:cs="Times New Roman"/>
                <w:color w:val="auto"/>
                <w:kern w:val="2"/>
                <w:sz w:val="24"/>
                <w:szCs w:val="24"/>
                <w:highlight w:val="none"/>
                <w:lang w:val="en-US" w:bidi="ar-SA"/>
              </w:rPr>
            </w:pPr>
            <w:r>
              <w:rPr>
                <w:rFonts w:hint="default" w:ascii="Segoe UI" w:hAnsi="Segoe UI" w:eastAsia="Segoe UI" w:cs="Segoe UI"/>
                <w:b/>
                <w:i w:val="0"/>
                <w:caps w:val="0"/>
                <w:color w:val="auto"/>
                <w:spacing w:val="0"/>
                <w:kern w:val="0"/>
                <w:sz w:val="21"/>
                <w:szCs w:val="21"/>
                <w:highlight w:val="none"/>
                <w:vertAlign w:val="baseline"/>
                <w:lang w:val="en-US" w:eastAsia="zh-CN" w:bidi="ar"/>
              </w:rPr>
              <w:t>设施种类</w:t>
            </w:r>
          </w:p>
        </w:tc>
        <w:tc>
          <w:tcPr>
            <w:tcW w:w="203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jc w:val="center"/>
              <w:rPr>
                <w:rFonts w:hint="default" w:ascii="宋体" w:hAnsi="宋体" w:eastAsia="宋体" w:cs="Times New Roman"/>
                <w:color w:val="auto"/>
                <w:kern w:val="2"/>
                <w:sz w:val="24"/>
                <w:szCs w:val="24"/>
                <w:highlight w:val="none"/>
                <w:lang w:val="en-US" w:bidi="ar-SA"/>
              </w:rPr>
            </w:pPr>
            <w:r>
              <w:rPr>
                <w:rFonts w:hint="default" w:ascii="Segoe UI" w:hAnsi="Segoe UI" w:eastAsia="Segoe UI" w:cs="Segoe UI"/>
                <w:b/>
                <w:i w:val="0"/>
                <w:caps w:val="0"/>
                <w:color w:val="auto"/>
                <w:spacing w:val="0"/>
                <w:kern w:val="0"/>
                <w:sz w:val="21"/>
                <w:szCs w:val="21"/>
                <w:highlight w:val="none"/>
                <w:vertAlign w:val="baseline"/>
                <w:lang w:val="en-US" w:eastAsia="zh-CN" w:bidi="ar"/>
              </w:rPr>
              <w:t>盖框间隙</w:t>
            </w:r>
          </w:p>
        </w:tc>
        <w:tc>
          <w:tcPr>
            <w:tcW w:w="264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jc w:val="center"/>
              <w:rPr>
                <w:rFonts w:hint="default" w:ascii="宋体" w:hAnsi="宋体" w:eastAsia="宋体" w:cs="Times New Roman"/>
                <w:color w:val="auto"/>
                <w:kern w:val="2"/>
                <w:sz w:val="24"/>
                <w:szCs w:val="24"/>
                <w:highlight w:val="none"/>
                <w:lang w:val="en-US" w:bidi="ar-SA"/>
              </w:rPr>
            </w:pPr>
            <w:r>
              <w:rPr>
                <w:rFonts w:hint="default" w:ascii="Segoe UI" w:hAnsi="Segoe UI" w:eastAsia="Segoe UI" w:cs="Segoe UI"/>
                <w:b/>
                <w:i w:val="0"/>
                <w:caps w:val="0"/>
                <w:color w:val="auto"/>
                <w:spacing w:val="0"/>
                <w:kern w:val="0"/>
                <w:sz w:val="21"/>
                <w:szCs w:val="21"/>
                <w:highlight w:val="none"/>
                <w:vertAlign w:val="baseline"/>
                <w:lang w:val="en-US" w:eastAsia="zh-CN" w:bidi="ar"/>
              </w:rPr>
              <w:t>井盖与井框高低差</w:t>
            </w:r>
          </w:p>
        </w:tc>
        <w:tc>
          <w:tcPr>
            <w:tcW w:w="271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jc w:val="center"/>
              <w:rPr>
                <w:rFonts w:hint="default" w:ascii="宋体" w:hAnsi="宋体" w:eastAsia="宋体" w:cs="Times New Roman"/>
                <w:color w:val="auto"/>
                <w:kern w:val="2"/>
                <w:sz w:val="24"/>
                <w:szCs w:val="24"/>
                <w:highlight w:val="none"/>
                <w:lang w:val="en-US" w:bidi="ar-SA"/>
              </w:rPr>
            </w:pPr>
            <w:r>
              <w:rPr>
                <w:rFonts w:hint="default" w:ascii="Segoe UI" w:hAnsi="Segoe UI" w:eastAsia="Segoe UI" w:cs="Segoe UI"/>
                <w:b/>
                <w:i w:val="0"/>
                <w:caps w:val="0"/>
                <w:color w:val="auto"/>
                <w:spacing w:val="0"/>
                <w:kern w:val="0"/>
                <w:sz w:val="21"/>
                <w:szCs w:val="21"/>
                <w:highlight w:val="none"/>
                <w:vertAlign w:val="baseline"/>
                <w:lang w:val="en-US" w:eastAsia="zh-CN" w:bidi="ar"/>
              </w:rPr>
              <w:t>井框与路面高低差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7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jc w:val="left"/>
              <w:rPr>
                <w:rFonts w:hint="default" w:ascii="宋体" w:hAnsi="宋体" w:eastAsia="宋体" w:cs="Times New Roman"/>
                <w:color w:val="auto"/>
                <w:kern w:val="2"/>
                <w:sz w:val="24"/>
                <w:szCs w:val="24"/>
                <w:highlight w:val="none"/>
                <w:lang w:val="en-US" w:bidi="ar-SA"/>
              </w:rPr>
            </w:pPr>
            <w:r>
              <w:rPr>
                <w:rFonts w:hint="default" w:ascii="Segoe UI" w:hAnsi="Segoe UI" w:eastAsia="Segoe UI" w:cs="Segoe UI"/>
                <w:b/>
                <w:i w:val="0"/>
                <w:caps w:val="0"/>
                <w:color w:val="auto"/>
                <w:spacing w:val="0"/>
                <w:kern w:val="0"/>
                <w:sz w:val="21"/>
                <w:szCs w:val="21"/>
                <w:highlight w:val="none"/>
                <w:vertAlign w:val="baseline"/>
                <w:lang w:val="en-US" w:eastAsia="zh-CN" w:bidi="ar"/>
              </w:rPr>
              <w:t>检查井</w:t>
            </w:r>
          </w:p>
        </w:tc>
        <w:tc>
          <w:tcPr>
            <w:tcW w:w="203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jc w:val="center"/>
              <w:rPr>
                <w:rFonts w:hint="default" w:ascii="宋体" w:hAnsi="宋体" w:eastAsia="宋体" w:cs="Times New Roman"/>
                <w:color w:val="auto"/>
                <w:kern w:val="2"/>
                <w:sz w:val="24"/>
                <w:szCs w:val="24"/>
                <w:highlight w:val="none"/>
                <w:lang w:val="en-US" w:bidi="ar-SA"/>
              </w:rPr>
            </w:pPr>
            <w:r>
              <w:rPr>
                <w:rFonts w:hint="default" w:ascii="Times New Roman" w:hAnsi="Times New Roman" w:eastAsia="Times New Roman" w:cs="Times New Roman"/>
                <w:i w:val="0"/>
                <w:caps w:val="0"/>
                <w:color w:val="auto"/>
                <w:spacing w:val="0"/>
                <w:kern w:val="0"/>
                <w:sz w:val="25"/>
                <w:szCs w:val="25"/>
                <w:highlight w:val="none"/>
                <w:lang w:val="en-US" w:eastAsia="zh-CN" w:bidi="ar"/>
              </w:rPr>
              <w:t>&lt;8</w:t>
            </w:r>
          </w:p>
        </w:tc>
        <w:tc>
          <w:tcPr>
            <w:tcW w:w="264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jc w:val="center"/>
              <w:rPr>
                <w:rFonts w:hint="default" w:ascii="宋体" w:hAnsi="宋体" w:eastAsia="宋体" w:cs="Times New Roman"/>
                <w:color w:val="auto"/>
                <w:kern w:val="2"/>
                <w:sz w:val="24"/>
                <w:szCs w:val="24"/>
                <w:highlight w:val="none"/>
                <w:lang w:val="en-US" w:bidi="ar-SA"/>
              </w:rPr>
            </w:pPr>
            <w:r>
              <w:rPr>
                <w:rFonts w:hint="default" w:ascii="Times New Roman" w:hAnsi="Times New Roman" w:eastAsia="Times New Roman" w:cs="Times New Roman"/>
                <w:i w:val="0"/>
                <w:caps w:val="0"/>
                <w:color w:val="auto"/>
                <w:spacing w:val="0"/>
                <w:kern w:val="0"/>
                <w:sz w:val="25"/>
                <w:szCs w:val="25"/>
                <w:highlight w:val="none"/>
                <w:lang w:val="en-US" w:eastAsia="zh-CN" w:bidi="ar"/>
              </w:rPr>
              <w:t>≥−5,≤+5</w:t>
            </w:r>
          </w:p>
        </w:tc>
        <w:tc>
          <w:tcPr>
            <w:tcW w:w="271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jc w:val="center"/>
              <w:rPr>
                <w:rFonts w:hint="default" w:ascii="宋体" w:hAnsi="宋体" w:eastAsia="宋体" w:cs="Times New Roman"/>
                <w:color w:val="auto"/>
                <w:kern w:val="2"/>
                <w:sz w:val="24"/>
                <w:szCs w:val="24"/>
                <w:highlight w:val="none"/>
                <w:lang w:val="en-US" w:bidi="ar-SA"/>
              </w:rPr>
            </w:pPr>
            <w:r>
              <w:rPr>
                <w:rFonts w:hint="default" w:ascii="Times New Roman" w:hAnsi="Times New Roman" w:eastAsia="Times New Roman" w:cs="Times New Roman"/>
                <w:i w:val="0"/>
                <w:caps w:val="0"/>
                <w:color w:val="auto"/>
                <w:spacing w:val="0"/>
                <w:kern w:val="0"/>
                <w:sz w:val="25"/>
                <w:szCs w:val="25"/>
                <w:highlight w:val="none"/>
                <w:lang w:val="en-US" w:eastAsia="zh-CN" w:bidi="ar"/>
              </w:rPr>
              <w:t>≥−5,≤+5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7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jc w:val="left"/>
              <w:rPr>
                <w:rFonts w:hint="default" w:ascii="Segoe UI" w:hAnsi="Segoe UI" w:eastAsia="Segoe UI" w:cs="Segoe UI"/>
                <w:b/>
                <w:i w:val="0"/>
                <w:caps w:val="0"/>
                <w:color w:val="auto"/>
                <w:spacing w:val="0"/>
                <w:kern w:val="0"/>
                <w:sz w:val="21"/>
                <w:szCs w:val="21"/>
                <w:highlight w:val="none"/>
                <w:vertAlign w:val="baseline"/>
                <w:lang w:val="en-US" w:eastAsia="zh-CN" w:bidi="ar"/>
              </w:rPr>
            </w:pPr>
            <w:r>
              <w:rPr>
                <w:rFonts w:hint="default" w:ascii="Segoe UI" w:hAnsi="Segoe UI" w:eastAsia="Segoe UI" w:cs="Segoe UI"/>
                <w:b/>
                <w:i w:val="0"/>
                <w:caps w:val="0"/>
                <w:color w:val="auto"/>
                <w:spacing w:val="0"/>
                <w:kern w:val="0"/>
                <w:sz w:val="21"/>
                <w:szCs w:val="21"/>
                <w:highlight w:val="none"/>
                <w:vertAlign w:val="baseline"/>
                <w:lang w:val="en-US" w:eastAsia="zh-CN" w:bidi="ar"/>
              </w:rPr>
              <w:t>雨水口</w:t>
            </w:r>
          </w:p>
        </w:tc>
        <w:tc>
          <w:tcPr>
            <w:tcW w:w="203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jc w:val="center"/>
              <w:rPr>
                <w:rFonts w:hint="default" w:ascii="Times New Roman" w:hAnsi="Times New Roman" w:eastAsia="Times New Roman" w:cs="Times New Roman"/>
                <w:i w:val="0"/>
                <w:caps w:val="0"/>
                <w:color w:val="auto"/>
                <w:spacing w:val="0"/>
                <w:kern w:val="0"/>
                <w:sz w:val="25"/>
                <w:szCs w:val="25"/>
                <w:highlight w:val="none"/>
                <w:lang w:val="en-US" w:eastAsia="zh-CN" w:bidi="ar"/>
              </w:rPr>
            </w:pPr>
            <w:r>
              <w:rPr>
                <w:rFonts w:hint="default" w:ascii="Times New Roman" w:hAnsi="Times New Roman" w:eastAsia="Times New Roman" w:cs="Times New Roman"/>
                <w:i w:val="0"/>
                <w:caps w:val="0"/>
                <w:color w:val="auto"/>
                <w:spacing w:val="0"/>
                <w:kern w:val="0"/>
                <w:sz w:val="25"/>
                <w:szCs w:val="25"/>
                <w:highlight w:val="none"/>
                <w:lang w:val="en-US" w:eastAsia="zh-CN" w:bidi="ar"/>
              </w:rPr>
              <w:t>&lt;8</w:t>
            </w:r>
          </w:p>
        </w:tc>
        <w:tc>
          <w:tcPr>
            <w:tcW w:w="264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jc w:val="center"/>
              <w:rPr>
                <w:rFonts w:hint="default" w:ascii="Times New Roman" w:hAnsi="Times New Roman" w:eastAsia="Times New Roman" w:cs="Times New Roman"/>
                <w:i w:val="0"/>
                <w:caps w:val="0"/>
                <w:color w:val="auto"/>
                <w:spacing w:val="0"/>
                <w:kern w:val="0"/>
                <w:sz w:val="25"/>
                <w:szCs w:val="25"/>
                <w:highlight w:val="none"/>
                <w:lang w:val="en-US" w:eastAsia="zh-CN" w:bidi="ar"/>
              </w:rPr>
            </w:pPr>
            <w:r>
              <w:rPr>
                <w:rFonts w:hint="default" w:ascii="Times New Roman" w:hAnsi="Times New Roman" w:eastAsia="Times New Roman" w:cs="Times New Roman"/>
                <w:i w:val="0"/>
                <w:caps w:val="0"/>
                <w:color w:val="auto"/>
                <w:spacing w:val="0"/>
                <w:kern w:val="0"/>
                <w:sz w:val="25"/>
                <w:szCs w:val="25"/>
                <w:highlight w:val="none"/>
                <w:lang w:val="en-US" w:eastAsia="zh-CN" w:bidi="ar"/>
              </w:rPr>
              <w:t>≥−10,≤0</w:t>
            </w:r>
          </w:p>
        </w:tc>
        <w:tc>
          <w:tcPr>
            <w:tcW w:w="271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jc w:val="center"/>
              <w:rPr>
                <w:rFonts w:hint="default" w:ascii="Times New Roman" w:hAnsi="Times New Roman" w:eastAsia="Times New Roman" w:cs="Times New Roman"/>
                <w:i w:val="0"/>
                <w:caps w:val="0"/>
                <w:color w:val="auto"/>
                <w:spacing w:val="0"/>
                <w:kern w:val="0"/>
                <w:sz w:val="25"/>
                <w:szCs w:val="25"/>
                <w:highlight w:val="none"/>
                <w:lang w:val="en-US" w:eastAsia="zh-CN" w:bidi="ar"/>
              </w:rPr>
            </w:pPr>
            <w:r>
              <w:rPr>
                <w:rFonts w:hint="default" w:ascii="Times New Roman" w:hAnsi="Times New Roman" w:eastAsia="Times New Roman" w:cs="Times New Roman"/>
                <w:i w:val="0"/>
                <w:caps w:val="0"/>
                <w:color w:val="auto"/>
                <w:spacing w:val="0"/>
                <w:kern w:val="0"/>
                <w:sz w:val="25"/>
                <w:szCs w:val="25"/>
                <w:highlight w:val="none"/>
                <w:lang w:val="en-US" w:eastAsia="zh-CN" w:bidi="ar"/>
              </w:rPr>
              <w:t>≥−15,≤0</w:t>
            </w:r>
          </w:p>
        </w:tc>
      </w:tr>
    </w:tbl>
    <w:p>
      <w:pPr>
        <w:shd w:val="clear"/>
        <w:spacing w:after="0" w:line="520" w:lineRule="exact"/>
        <w:ind w:firstLine="480" w:firstLineChars="200"/>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（8）发现井盖缺失或损坏后，须及时安放护栏和警示标志，并在6小时内</w:t>
      </w:r>
      <w:r>
        <w:rPr>
          <w:rFonts w:hint="eastAsia" w:ascii="宋体" w:hAnsi="宋体" w:eastAsia="宋体" w:cs="Times New Roman"/>
          <w:color w:val="auto"/>
          <w:kern w:val="2"/>
          <w:sz w:val="24"/>
          <w:szCs w:val="24"/>
          <w:highlight w:val="none"/>
          <w:lang w:val="en-US" w:eastAsia="zh-CN" w:bidi="ar-SA"/>
        </w:rPr>
        <w:t>对其及涉及的路面进行恢复</w:t>
      </w:r>
      <w:r>
        <w:rPr>
          <w:rFonts w:hint="eastAsia" w:ascii="宋体" w:hAnsi="宋体" w:eastAsia="宋体" w:cs="Times New Roman"/>
          <w:color w:val="auto"/>
          <w:kern w:val="2"/>
          <w:sz w:val="24"/>
          <w:szCs w:val="24"/>
          <w:highlight w:val="none"/>
          <w:lang w:val="en-US" w:bidi="ar-SA"/>
        </w:rPr>
        <w:t>。</w:t>
      </w:r>
    </w:p>
    <w:p>
      <w:pPr>
        <w:shd w:val="clear"/>
        <w:spacing w:after="0" w:line="520" w:lineRule="exact"/>
        <w:ind w:firstLine="480" w:firstLineChars="200"/>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（9）检查井的清掏宜采用吸泥车、抓泥车等机械设备。</w:t>
      </w:r>
    </w:p>
    <w:p>
      <w:pPr>
        <w:shd w:val="clear"/>
        <w:spacing w:after="0" w:line="520" w:lineRule="exact"/>
        <w:ind w:firstLine="480" w:firstLineChars="200"/>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（1</w:t>
      </w:r>
      <w:r>
        <w:rPr>
          <w:rFonts w:hint="default" w:ascii="宋体" w:hAnsi="宋体" w:eastAsia="宋体" w:cs="Times New Roman"/>
          <w:color w:val="auto"/>
          <w:kern w:val="2"/>
          <w:sz w:val="24"/>
          <w:szCs w:val="24"/>
          <w:highlight w:val="none"/>
          <w:lang w:val="en-US" w:bidi="ar-SA"/>
        </w:rPr>
        <w:t>0</w:t>
      </w:r>
      <w:r>
        <w:rPr>
          <w:rFonts w:hint="eastAsia" w:ascii="宋体" w:hAnsi="宋体" w:eastAsia="宋体" w:cs="Times New Roman"/>
          <w:color w:val="auto"/>
          <w:kern w:val="2"/>
          <w:sz w:val="24"/>
          <w:szCs w:val="24"/>
          <w:highlight w:val="none"/>
          <w:lang w:val="en-US" w:bidi="ar-SA"/>
        </w:rPr>
        <w:t>）管道检查项目可分为功能状况和结构状况两类，主要检查项目包括下表内容。</w:t>
      </w:r>
    </w:p>
    <w:p>
      <w:pPr>
        <w:shd w:val="clear"/>
        <w:spacing w:after="0" w:line="520" w:lineRule="exact"/>
        <w:ind w:firstLine="480" w:firstLineChars="200"/>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管道状况主要检查项目</w:t>
      </w:r>
    </w:p>
    <w:tbl>
      <w:tblPr>
        <w:tblStyle w:val="8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01"/>
        <w:gridCol w:w="3236"/>
        <w:gridCol w:w="39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jc w:val="center"/>
        </w:trPr>
        <w:tc>
          <w:tcPr>
            <w:tcW w:w="1405"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检查类别</w:t>
            </w:r>
          </w:p>
        </w:tc>
        <w:tc>
          <w:tcPr>
            <w:tcW w:w="1623"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功能状况</w:t>
            </w:r>
          </w:p>
        </w:tc>
        <w:tc>
          <w:tcPr>
            <w:tcW w:w="1972"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结构状况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05" w:type="pct"/>
            <w:vMerge w:val="restar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检查项目</w:t>
            </w:r>
          </w:p>
        </w:tc>
        <w:tc>
          <w:tcPr>
            <w:tcW w:w="1623"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管道积泥</w:t>
            </w:r>
          </w:p>
        </w:tc>
        <w:tc>
          <w:tcPr>
            <w:tcW w:w="1972"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裂缝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05" w:type="pct"/>
            <w:vMerge w:val="continue"/>
            <w:tcBorders>
              <w:top w:val="single" w:color="auto" w:sz="4" w:space="0"/>
              <w:left w:val="single" w:color="auto" w:sz="4" w:space="0"/>
              <w:bottom w:val="single" w:color="auto" w:sz="4" w:space="0"/>
              <w:right w:val="single" w:color="auto" w:sz="4" w:space="0"/>
            </w:tcBorders>
            <w:vAlign w:val="center"/>
          </w:tcPr>
          <w:p>
            <w:pPr>
              <w:widowControl/>
              <w:shd w:val="clear"/>
              <w:spacing w:after="0" w:line="240" w:lineRule="auto"/>
              <w:jc w:val="left"/>
              <w:outlineLvl w:val="9"/>
              <w:rPr>
                <w:rFonts w:hint="default" w:ascii="宋体" w:hAnsi="宋体" w:eastAsia="宋体" w:cs="Times New Roman"/>
                <w:color w:val="auto"/>
                <w:kern w:val="2"/>
                <w:sz w:val="24"/>
                <w:szCs w:val="24"/>
                <w:highlight w:val="none"/>
                <w:lang w:val="en-US" w:bidi="ar-SA"/>
              </w:rPr>
            </w:pPr>
          </w:p>
        </w:tc>
        <w:tc>
          <w:tcPr>
            <w:tcW w:w="1623"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检查井积泥</w:t>
            </w:r>
          </w:p>
        </w:tc>
        <w:tc>
          <w:tcPr>
            <w:tcW w:w="1972"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变形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05" w:type="pct"/>
            <w:vMerge w:val="continue"/>
            <w:tcBorders>
              <w:top w:val="single" w:color="auto" w:sz="4" w:space="0"/>
              <w:left w:val="single" w:color="auto" w:sz="4" w:space="0"/>
              <w:bottom w:val="single" w:color="auto" w:sz="4" w:space="0"/>
              <w:right w:val="single" w:color="auto" w:sz="4" w:space="0"/>
            </w:tcBorders>
            <w:vAlign w:val="center"/>
          </w:tcPr>
          <w:p>
            <w:pPr>
              <w:widowControl/>
              <w:shd w:val="clear"/>
              <w:spacing w:after="0" w:line="240" w:lineRule="auto"/>
              <w:jc w:val="left"/>
              <w:outlineLvl w:val="9"/>
              <w:rPr>
                <w:rFonts w:hint="default" w:ascii="宋体" w:hAnsi="宋体" w:eastAsia="宋体" w:cs="Times New Roman"/>
                <w:color w:val="auto"/>
                <w:kern w:val="2"/>
                <w:sz w:val="24"/>
                <w:szCs w:val="24"/>
                <w:highlight w:val="none"/>
                <w:lang w:val="en-US" w:bidi="ar-SA"/>
              </w:rPr>
            </w:pPr>
          </w:p>
        </w:tc>
        <w:tc>
          <w:tcPr>
            <w:tcW w:w="1623"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排放口积泥</w:t>
            </w:r>
          </w:p>
        </w:tc>
        <w:tc>
          <w:tcPr>
            <w:tcW w:w="1972"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错口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05" w:type="pct"/>
            <w:vMerge w:val="continue"/>
            <w:tcBorders>
              <w:top w:val="single" w:color="auto" w:sz="4" w:space="0"/>
              <w:left w:val="single" w:color="auto" w:sz="4" w:space="0"/>
              <w:bottom w:val="single" w:color="auto" w:sz="4" w:space="0"/>
              <w:right w:val="single" w:color="auto" w:sz="4" w:space="0"/>
            </w:tcBorders>
            <w:vAlign w:val="center"/>
          </w:tcPr>
          <w:p>
            <w:pPr>
              <w:widowControl/>
              <w:shd w:val="clear"/>
              <w:spacing w:after="0" w:line="240" w:lineRule="auto"/>
              <w:jc w:val="left"/>
              <w:outlineLvl w:val="9"/>
              <w:rPr>
                <w:rFonts w:hint="default" w:ascii="宋体" w:hAnsi="宋体" w:eastAsia="宋体" w:cs="Times New Roman"/>
                <w:color w:val="auto"/>
                <w:kern w:val="2"/>
                <w:sz w:val="24"/>
                <w:szCs w:val="24"/>
                <w:highlight w:val="none"/>
                <w:lang w:val="en-US" w:bidi="ar-SA"/>
              </w:rPr>
            </w:pPr>
          </w:p>
        </w:tc>
        <w:tc>
          <w:tcPr>
            <w:tcW w:w="1623"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泥垢和油脂</w:t>
            </w:r>
          </w:p>
        </w:tc>
        <w:tc>
          <w:tcPr>
            <w:tcW w:w="1972"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脱节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05" w:type="pct"/>
            <w:vMerge w:val="continue"/>
            <w:tcBorders>
              <w:top w:val="single" w:color="auto" w:sz="4" w:space="0"/>
              <w:left w:val="single" w:color="auto" w:sz="4" w:space="0"/>
              <w:bottom w:val="single" w:color="auto" w:sz="4" w:space="0"/>
              <w:right w:val="single" w:color="auto" w:sz="4" w:space="0"/>
            </w:tcBorders>
            <w:vAlign w:val="center"/>
          </w:tcPr>
          <w:p>
            <w:pPr>
              <w:widowControl/>
              <w:shd w:val="clear"/>
              <w:spacing w:after="0" w:line="240" w:lineRule="auto"/>
              <w:jc w:val="left"/>
              <w:outlineLvl w:val="9"/>
              <w:rPr>
                <w:rFonts w:hint="default" w:ascii="宋体" w:hAnsi="宋体" w:eastAsia="宋体" w:cs="Times New Roman"/>
                <w:color w:val="auto"/>
                <w:kern w:val="2"/>
                <w:sz w:val="24"/>
                <w:szCs w:val="24"/>
                <w:highlight w:val="none"/>
                <w:lang w:val="en-US" w:bidi="ar-SA"/>
              </w:rPr>
            </w:pPr>
          </w:p>
        </w:tc>
        <w:tc>
          <w:tcPr>
            <w:tcW w:w="1623"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树根</w:t>
            </w:r>
          </w:p>
        </w:tc>
        <w:tc>
          <w:tcPr>
            <w:tcW w:w="1972"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破损与孔洞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05" w:type="pct"/>
            <w:vMerge w:val="continue"/>
            <w:tcBorders>
              <w:top w:val="single" w:color="auto" w:sz="4" w:space="0"/>
              <w:left w:val="single" w:color="auto" w:sz="4" w:space="0"/>
              <w:bottom w:val="single" w:color="auto" w:sz="4" w:space="0"/>
              <w:right w:val="single" w:color="auto" w:sz="4" w:space="0"/>
            </w:tcBorders>
            <w:vAlign w:val="center"/>
          </w:tcPr>
          <w:p>
            <w:pPr>
              <w:widowControl/>
              <w:shd w:val="clear"/>
              <w:spacing w:after="0" w:line="240" w:lineRule="auto"/>
              <w:jc w:val="left"/>
              <w:outlineLvl w:val="9"/>
              <w:rPr>
                <w:rFonts w:hint="default" w:ascii="宋体" w:hAnsi="宋体" w:eastAsia="宋体" w:cs="Times New Roman"/>
                <w:color w:val="auto"/>
                <w:kern w:val="2"/>
                <w:sz w:val="24"/>
                <w:szCs w:val="24"/>
                <w:highlight w:val="none"/>
                <w:lang w:val="en-US" w:bidi="ar-SA"/>
              </w:rPr>
            </w:pPr>
          </w:p>
        </w:tc>
        <w:tc>
          <w:tcPr>
            <w:tcW w:w="1623"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水位和水流</w:t>
            </w:r>
          </w:p>
        </w:tc>
        <w:tc>
          <w:tcPr>
            <w:tcW w:w="1972"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渗漏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05" w:type="pct"/>
            <w:vMerge w:val="continue"/>
            <w:tcBorders>
              <w:top w:val="single" w:color="auto" w:sz="4" w:space="0"/>
              <w:left w:val="single" w:color="auto" w:sz="4" w:space="0"/>
              <w:bottom w:val="single" w:color="auto" w:sz="4" w:space="0"/>
              <w:right w:val="single" w:color="auto" w:sz="4" w:space="0"/>
            </w:tcBorders>
            <w:vAlign w:val="center"/>
          </w:tcPr>
          <w:p>
            <w:pPr>
              <w:widowControl/>
              <w:shd w:val="clear"/>
              <w:spacing w:after="0" w:line="240" w:lineRule="auto"/>
              <w:jc w:val="left"/>
              <w:outlineLvl w:val="9"/>
              <w:rPr>
                <w:rFonts w:hint="default" w:ascii="宋体" w:hAnsi="宋体" w:eastAsia="宋体" w:cs="Times New Roman"/>
                <w:color w:val="auto"/>
                <w:kern w:val="2"/>
                <w:sz w:val="24"/>
                <w:szCs w:val="24"/>
                <w:highlight w:val="none"/>
                <w:lang w:val="en-US" w:bidi="ar-SA"/>
              </w:rPr>
            </w:pPr>
          </w:p>
        </w:tc>
        <w:tc>
          <w:tcPr>
            <w:tcW w:w="1623"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残墙、坝根</w:t>
            </w:r>
          </w:p>
        </w:tc>
        <w:tc>
          <w:tcPr>
            <w:tcW w:w="1972"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异管穿入</w:t>
            </w:r>
          </w:p>
        </w:tc>
      </w:tr>
    </w:tbl>
    <w:p>
      <w:pPr>
        <w:shd w:val="clear"/>
        <w:spacing w:after="0" w:line="520" w:lineRule="exact"/>
        <w:ind w:firstLine="480" w:firstLineChars="200"/>
        <w:outlineLvl w:val="9"/>
        <w:rPr>
          <w:rFonts w:hint="default" w:ascii="宋体" w:hAnsi="宋体" w:eastAsia="宋体" w:cs="Times New Roman"/>
          <w:color w:val="auto"/>
          <w:kern w:val="2"/>
          <w:sz w:val="24"/>
          <w:szCs w:val="20"/>
          <w:highlight w:val="none"/>
          <w:lang w:val="en-US" w:bidi="ar-SA"/>
        </w:rPr>
      </w:pPr>
      <w:r>
        <w:rPr>
          <w:rFonts w:hint="eastAsia" w:ascii="宋体" w:hAnsi="宋体" w:eastAsia="宋体" w:cs="Times New Roman"/>
          <w:color w:val="auto"/>
          <w:kern w:val="2"/>
          <w:sz w:val="24"/>
          <w:szCs w:val="20"/>
          <w:highlight w:val="none"/>
          <w:lang w:val="en-US" w:bidi="ar-SA"/>
        </w:rPr>
        <w:t>（1</w:t>
      </w:r>
      <w:r>
        <w:rPr>
          <w:rFonts w:hint="default" w:ascii="宋体" w:hAnsi="宋体" w:eastAsia="宋体" w:cs="Times New Roman"/>
          <w:color w:val="auto"/>
          <w:kern w:val="2"/>
          <w:sz w:val="24"/>
          <w:szCs w:val="20"/>
          <w:highlight w:val="none"/>
          <w:lang w:val="en-US" w:bidi="ar-SA"/>
        </w:rPr>
        <w:t>1</w:t>
      </w:r>
      <w:r>
        <w:rPr>
          <w:rFonts w:hint="eastAsia" w:ascii="宋体" w:hAnsi="宋体" w:eastAsia="宋体" w:cs="Times New Roman"/>
          <w:color w:val="auto"/>
          <w:kern w:val="2"/>
          <w:sz w:val="24"/>
          <w:szCs w:val="20"/>
          <w:highlight w:val="none"/>
          <w:lang w:val="en-US" w:bidi="ar-SA"/>
        </w:rPr>
        <w:t>）管道养护应符合下列规定：</w:t>
      </w:r>
    </w:p>
    <w:p>
      <w:pPr>
        <w:shd w:val="clear"/>
        <w:spacing w:after="0" w:line="520" w:lineRule="exact"/>
        <w:ind w:firstLine="480" w:firstLineChars="200"/>
        <w:outlineLvl w:val="9"/>
        <w:rPr>
          <w:rFonts w:hint="default" w:ascii="宋体" w:hAnsi="宋体" w:eastAsia="宋体" w:cs="Times New Roman"/>
          <w:color w:val="auto"/>
          <w:kern w:val="2"/>
          <w:sz w:val="24"/>
          <w:szCs w:val="20"/>
          <w:highlight w:val="none"/>
          <w:lang w:val="en-US" w:bidi="ar-SA"/>
        </w:rPr>
      </w:pPr>
      <w:r>
        <w:rPr>
          <w:rFonts w:hint="eastAsia" w:ascii="宋体" w:hAnsi="宋体" w:eastAsia="宋体" w:cs="Times New Roman"/>
          <w:color w:val="auto"/>
          <w:kern w:val="2"/>
          <w:sz w:val="24"/>
          <w:szCs w:val="20"/>
          <w:highlight w:val="none"/>
          <w:lang w:val="en-US" w:bidi="ar-SA"/>
        </w:rPr>
        <w:t>1）定期巡视、及时发现和修理管道裂缝、腐蚀、沉降、变形、错口、脱节、破损、孔洞、异管穿入、渗漏、冒溢等情况。</w:t>
      </w:r>
    </w:p>
    <w:p>
      <w:pPr>
        <w:shd w:val="clear"/>
        <w:spacing w:after="0" w:line="520" w:lineRule="exact"/>
        <w:ind w:firstLine="480" w:firstLineChars="200"/>
        <w:outlineLvl w:val="9"/>
        <w:rPr>
          <w:rFonts w:hint="default" w:ascii="宋体" w:hAnsi="宋体" w:eastAsia="宋体" w:cs="Times New Roman"/>
          <w:color w:val="auto"/>
          <w:kern w:val="2"/>
          <w:sz w:val="24"/>
          <w:szCs w:val="20"/>
          <w:highlight w:val="none"/>
          <w:lang w:val="en-US" w:bidi="ar-SA"/>
        </w:rPr>
      </w:pPr>
      <w:r>
        <w:rPr>
          <w:rFonts w:hint="eastAsia" w:ascii="宋体" w:hAnsi="宋体" w:eastAsia="宋体" w:cs="Times New Roman"/>
          <w:color w:val="auto"/>
          <w:kern w:val="2"/>
          <w:sz w:val="24"/>
          <w:szCs w:val="20"/>
          <w:highlight w:val="none"/>
          <w:lang w:val="en-US" w:bidi="ar-SA"/>
        </w:rPr>
        <w:t>2）压力管养护应采用满负荷开泵的方式进行水力冲洗，至少每3个月1次。</w:t>
      </w:r>
    </w:p>
    <w:p>
      <w:pPr>
        <w:shd w:val="clear"/>
        <w:spacing w:after="0" w:line="520" w:lineRule="exact"/>
        <w:ind w:firstLine="480" w:firstLineChars="200"/>
        <w:outlineLvl w:val="9"/>
        <w:rPr>
          <w:rFonts w:hint="default" w:ascii="宋体" w:hAnsi="宋体" w:eastAsia="宋体" w:cs="Times New Roman"/>
          <w:color w:val="auto"/>
          <w:kern w:val="2"/>
          <w:sz w:val="24"/>
          <w:szCs w:val="20"/>
          <w:highlight w:val="none"/>
          <w:lang w:val="en-US" w:bidi="ar-SA"/>
        </w:rPr>
      </w:pPr>
      <w:r>
        <w:rPr>
          <w:rFonts w:hint="eastAsia" w:ascii="宋体" w:hAnsi="宋体" w:eastAsia="宋体" w:cs="Times New Roman"/>
          <w:color w:val="auto"/>
          <w:kern w:val="2"/>
          <w:sz w:val="24"/>
          <w:szCs w:val="20"/>
          <w:highlight w:val="none"/>
          <w:lang w:val="en-US" w:bidi="ar-SA"/>
        </w:rPr>
        <w:t>3）定期开盖检查压力井盖板，发现盖板锈蚀、密封垫老化、井体裂缝、管内积泥等情况应及时维修和保养。</w:t>
      </w:r>
    </w:p>
    <w:p>
      <w:pPr>
        <w:shd w:val="clear"/>
        <w:spacing w:after="0" w:line="520" w:lineRule="exact"/>
        <w:ind w:firstLine="480" w:firstLineChars="200"/>
        <w:outlineLvl w:val="9"/>
        <w:rPr>
          <w:rFonts w:hint="default" w:ascii="宋体" w:hAnsi="宋体" w:eastAsia="宋体" w:cs="Times New Roman"/>
          <w:color w:val="auto"/>
          <w:kern w:val="2"/>
          <w:sz w:val="24"/>
          <w:szCs w:val="20"/>
          <w:highlight w:val="none"/>
          <w:lang w:val="en-US" w:bidi="ar-SA"/>
        </w:rPr>
      </w:pPr>
      <w:r>
        <w:rPr>
          <w:rFonts w:hint="eastAsia" w:ascii="宋体" w:hAnsi="宋体" w:eastAsia="宋体" w:cs="Times New Roman"/>
          <w:color w:val="auto"/>
          <w:kern w:val="2"/>
          <w:sz w:val="24"/>
          <w:szCs w:val="20"/>
          <w:highlight w:val="none"/>
          <w:lang w:val="en-US" w:bidi="ar-SA"/>
        </w:rPr>
        <w:t>4）管道和检查井内不得留有石块等阻碍排水的杂物。管道和检查井的最大积泥深度符合下表规定。</w:t>
      </w:r>
    </w:p>
    <w:p>
      <w:pPr>
        <w:shd w:val="clear"/>
        <w:spacing w:after="0" w:line="520" w:lineRule="exact"/>
        <w:ind w:firstLine="480" w:firstLineChars="200"/>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管道和检查井的允许积泥深度</w:t>
      </w:r>
    </w:p>
    <w:tbl>
      <w:tblPr>
        <w:tblStyle w:val="8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2655"/>
        <w:gridCol w:w="50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474" w:type="pct"/>
            <w:gridSpan w:val="2"/>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设施类别</w:t>
            </w:r>
          </w:p>
        </w:tc>
        <w:tc>
          <w:tcPr>
            <w:tcW w:w="2526"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允许积泥深度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74" w:type="pct"/>
            <w:gridSpan w:val="2"/>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管道</w:t>
            </w:r>
          </w:p>
        </w:tc>
        <w:tc>
          <w:tcPr>
            <w:tcW w:w="2526"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管径的1/5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2" w:type="pct"/>
            <w:vMerge w:val="restar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检查井</w:t>
            </w:r>
          </w:p>
        </w:tc>
        <w:tc>
          <w:tcPr>
            <w:tcW w:w="1332"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有沉泥槽</w:t>
            </w:r>
          </w:p>
        </w:tc>
        <w:tc>
          <w:tcPr>
            <w:tcW w:w="2526"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管底以下50mm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2" w:type="pct"/>
            <w:vMerge w:val="continue"/>
            <w:tcBorders>
              <w:top w:val="single" w:color="auto" w:sz="4" w:space="0"/>
              <w:left w:val="single" w:color="auto" w:sz="4" w:space="0"/>
              <w:bottom w:val="single" w:color="auto" w:sz="4" w:space="0"/>
              <w:right w:val="single" w:color="auto" w:sz="4" w:space="0"/>
            </w:tcBorders>
            <w:vAlign w:val="center"/>
          </w:tcPr>
          <w:p>
            <w:pPr>
              <w:widowControl/>
              <w:shd w:val="clear"/>
              <w:spacing w:after="0" w:line="240" w:lineRule="auto"/>
              <w:jc w:val="left"/>
              <w:outlineLvl w:val="9"/>
              <w:rPr>
                <w:rFonts w:hint="default" w:ascii="宋体" w:hAnsi="宋体" w:eastAsia="宋体" w:cs="Times New Roman"/>
                <w:color w:val="auto"/>
                <w:kern w:val="2"/>
                <w:sz w:val="24"/>
                <w:szCs w:val="24"/>
                <w:highlight w:val="none"/>
                <w:lang w:val="en-US" w:bidi="ar-SA"/>
              </w:rPr>
            </w:pPr>
          </w:p>
        </w:tc>
        <w:tc>
          <w:tcPr>
            <w:tcW w:w="1332"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无沉泥槽</w:t>
            </w:r>
          </w:p>
        </w:tc>
        <w:tc>
          <w:tcPr>
            <w:tcW w:w="2526" w:type="pct"/>
            <w:tcBorders>
              <w:top w:val="single" w:color="auto" w:sz="4" w:space="0"/>
              <w:left w:val="single" w:color="auto" w:sz="4" w:space="0"/>
              <w:bottom w:val="single" w:color="auto" w:sz="4" w:space="0"/>
              <w:right w:val="single" w:color="auto" w:sz="4" w:space="0"/>
            </w:tcBorders>
            <w:vAlign w:val="center"/>
          </w:tcPr>
          <w:p>
            <w:pPr>
              <w:shd w:val="clear"/>
              <w:spacing w:after="0" w:line="240" w:lineRule="auto"/>
              <w:jc w:val="center"/>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主管径的1/5</w:t>
            </w:r>
          </w:p>
        </w:tc>
      </w:tr>
    </w:tbl>
    <w:p>
      <w:pPr>
        <w:shd w:val="clear"/>
        <w:spacing w:after="0" w:line="520" w:lineRule="exact"/>
        <w:ind w:firstLine="480" w:firstLineChars="200"/>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（1</w:t>
      </w:r>
      <w:r>
        <w:rPr>
          <w:rFonts w:hint="default" w:ascii="宋体" w:hAnsi="宋体" w:eastAsia="宋体" w:cs="Times New Roman"/>
          <w:color w:val="auto"/>
          <w:kern w:val="2"/>
          <w:sz w:val="24"/>
          <w:szCs w:val="24"/>
          <w:highlight w:val="none"/>
          <w:lang w:val="en-US" w:bidi="ar-SA"/>
        </w:rPr>
        <w:t>2</w:t>
      </w:r>
      <w:r>
        <w:rPr>
          <w:rFonts w:hint="eastAsia" w:ascii="宋体" w:hAnsi="宋体" w:eastAsia="宋体" w:cs="Times New Roman"/>
          <w:color w:val="auto"/>
          <w:kern w:val="2"/>
          <w:sz w:val="24"/>
          <w:szCs w:val="24"/>
          <w:highlight w:val="none"/>
          <w:lang w:val="en-US" w:bidi="ar-SA"/>
        </w:rPr>
        <w:t>）倒虹管的养护应符合下列规定：</w:t>
      </w:r>
    </w:p>
    <w:p>
      <w:pPr>
        <w:shd w:val="clear"/>
        <w:spacing w:after="0" w:line="520" w:lineRule="exact"/>
        <w:ind w:firstLine="480" w:firstLineChars="200"/>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1）倒虹管养护宜采用水力冲洗的方法，冲洗流速不宜小于1.2M/S。在建有双排倒虹管的地方，可采用关闭其中一条、集中水量冲洗另一条的方法。</w:t>
      </w:r>
    </w:p>
    <w:p>
      <w:pPr>
        <w:shd w:val="clear"/>
        <w:spacing w:after="0" w:line="520" w:lineRule="exact"/>
        <w:ind w:firstLine="480" w:firstLineChars="200"/>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2）过河倒虹管的河床覆土不应小于</w:t>
      </w:r>
      <w:r>
        <w:rPr>
          <w:rFonts w:hint="eastAsia" w:ascii="宋体" w:hAnsi="宋体" w:eastAsia="宋体" w:cs="Times New Roman"/>
          <w:color w:val="auto"/>
          <w:kern w:val="2"/>
          <w:sz w:val="24"/>
          <w:szCs w:val="24"/>
          <w:highlight w:val="none"/>
          <w:lang w:val="en-US" w:eastAsia="zh-CN" w:bidi="ar-SA"/>
        </w:rPr>
        <w:t>1</w:t>
      </w:r>
      <w:r>
        <w:rPr>
          <w:rFonts w:hint="eastAsia" w:ascii="宋体" w:hAnsi="宋体" w:eastAsia="宋体" w:cs="Times New Roman"/>
          <w:color w:val="auto"/>
          <w:kern w:val="2"/>
          <w:sz w:val="24"/>
          <w:szCs w:val="24"/>
          <w:highlight w:val="none"/>
          <w:lang w:val="en-US" w:bidi="ar-SA"/>
        </w:rPr>
        <w:t>M。在河床受冲刷的地方，应每年检查1次倒虹管的覆土状况。</w:t>
      </w:r>
    </w:p>
    <w:p>
      <w:pPr>
        <w:shd w:val="clear"/>
        <w:spacing w:after="0" w:line="520" w:lineRule="exact"/>
        <w:ind w:firstLine="480" w:firstLineChars="200"/>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3）在通航河道上设置的倒虹管保护标志应定期检查和油漆，保持结构完好和字迹清晰。</w:t>
      </w:r>
    </w:p>
    <w:p>
      <w:pPr>
        <w:shd w:val="clear"/>
        <w:spacing w:after="0" w:line="520" w:lineRule="exact"/>
        <w:ind w:firstLine="480" w:firstLineChars="200"/>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4）对过河倒虹管进行检修前，当需要抽空管道时，必须先进行抗浮验算。</w:t>
      </w:r>
    </w:p>
    <w:p>
      <w:pPr>
        <w:shd w:val="clear"/>
        <w:adjustRightInd w:val="0"/>
        <w:snapToGrid w:val="0"/>
        <w:spacing w:after="0" w:line="440" w:lineRule="exact"/>
        <w:ind w:firstLine="482" w:firstLineChars="200"/>
        <w:outlineLvl w:val="9"/>
        <w:rPr>
          <w:rFonts w:hint="default" w:ascii="宋体" w:hAnsi="宋体" w:eastAsia="宋体" w:cs="Times New Roman"/>
          <w:b/>
          <w:bCs/>
          <w:color w:val="auto"/>
          <w:kern w:val="2"/>
          <w:sz w:val="24"/>
          <w:szCs w:val="20"/>
          <w:highlight w:val="none"/>
          <w:lang w:val="en-US" w:bidi="ar-SA"/>
        </w:rPr>
      </w:pPr>
      <w:r>
        <w:rPr>
          <w:rFonts w:hint="default" w:ascii="宋体" w:hAnsi="宋体" w:eastAsia="宋体" w:cs="Times New Roman"/>
          <w:b/>
          <w:bCs/>
          <w:color w:val="auto"/>
          <w:kern w:val="2"/>
          <w:sz w:val="24"/>
          <w:szCs w:val="20"/>
          <w:highlight w:val="none"/>
          <w:lang w:val="en-US" w:bidi="ar-SA"/>
        </w:rPr>
        <w:t>2.</w:t>
      </w:r>
      <w:r>
        <w:rPr>
          <w:rFonts w:hint="eastAsia" w:ascii="宋体" w:hAnsi="宋体" w:eastAsia="宋体" w:cs="Times New Roman"/>
          <w:b/>
          <w:bCs/>
          <w:color w:val="auto"/>
          <w:kern w:val="2"/>
          <w:sz w:val="24"/>
          <w:szCs w:val="20"/>
          <w:highlight w:val="none"/>
          <w:lang w:val="en-US" w:bidi="ar-SA"/>
        </w:rPr>
        <w:t>污泥运输与处置</w:t>
      </w:r>
    </w:p>
    <w:p>
      <w:pPr>
        <w:shd w:val="clear"/>
        <w:adjustRightInd w:val="0"/>
        <w:snapToGrid w:val="0"/>
        <w:spacing w:after="0" w:line="440" w:lineRule="exact"/>
        <w:ind w:firstLine="480" w:firstLineChars="200"/>
        <w:outlineLvl w:val="9"/>
        <w:rPr>
          <w:rFonts w:hint="default" w:ascii="宋体" w:hAnsi="宋体" w:eastAsia="宋体" w:cs="Times New Roman"/>
          <w:bCs/>
          <w:color w:val="auto"/>
          <w:kern w:val="2"/>
          <w:sz w:val="24"/>
          <w:szCs w:val="20"/>
          <w:highlight w:val="none"/>
          <w:lang w:val="en-US" w:bidi="ar-SA"/>
        </w:rPr>
      </w:pPr>
      <w:r>
        <w:rPr>
          <w:rFonts w:hint="eastAsia" w:ascii="宋体" w:hAnsi="宋体" w:eastAsia="宋体" w:cs="Times New Roman"/>
          <w:bCs/>
          <w:color w:val="auto"/>
          <w:kern w:val="2"/>
          <w:sz w:val="24"/>
          <w:szCs w:val="20"/>
          <w:highlight w:val="none"/>
          <w:lang w:val="en-US" w:bidi="ar-SA"/>
        </w:rPr>
        <w:t>（1）污泥盛器和车辆在街道上停放应设置安全标志，夜间应悬挂警示灯。疏通作业完毕后，应及时撤离现场。</w:t>
      </w:r>
    </w:p>
    <w:p>
      <w:pPr>
        <w:shd w:val="clear"/>
        <w:adjustRightInd w:val="0"/>
        <w:snapToGrid w:val="0"/>
        <w:spacing w:after="0" w:line="440" w:lineRule="exact"/>
        <w:ind w:firstLine="480" w:firstLineChars="200"/>
        <w:outlineLvl w:val="9"/>
        <w:rPr>
          <w:rFonts w:hint="default" w:ascii="宋体" w:hAnsi="宋体" w:eastAsia="宋体" w:cs="Times New Roman"/>
          <w:bCs/>
          <w:color w:val="auto"/>
          <w:kern w:val="2"/>
          <w:sz w:val="24"/>
          <w:szCs w:val="20"/>
          <w:highlight w:val="none"/>
          <w:lang w:val="en-US" w:bidi="ar-SA"/>
        </w:rPr>
      </w:pPr>
      <w:r>
        <w:rPr>
          <w:rFonts w:hint="eastAsia" w:ascii="宋体" w:hAnsi="宋体" w:eastAsia="宋体" w:cs="Times New Roman"/>
          <w:bCs/>
          <w:color w:val="auto"/>
          <w:kern w:val="2"/>
          <w:sz w:val="24"/>
          <w:szCs w:val="20"/>
          <w:highlight w:val="none"/>
          <w:lang w:val="en-US" w:bidi="ar-SA"/>
        </w:rPr>
        <w:t>（2）污泥运输应符合下列规定：</w:t>
      </w:r>
    </w:p>
    <w:p>
      <w:pPr>
        <w:shd w:val="clear"/>
        <w:adjustRightInd w:val="0"/>
        <w:snapToGrid w:val="0"/>
        <w:spacing w:after="0" w:line="440" w:lineRule="exact"/>
        <w:ind w:firstLine="480" w:firstLineChars="200"/>
        <w:outlineLvl w:val="9"/>
        <w:rPr>
          <w:rFonts w:hint="default" w:ascii="宋体" w:hAnsi="宋体" w:eastAsia="宋体" w:cs="Times New Roman"/>
          <w:bCs/>
          <w:color w:val="auto"/>
          <w:kern w:val="2"/>
          <w:sz w:val="24"/>
          <w:szCs w:val="20"/>
          <w:highlight w:val="none"/>
          <w:lang w:val="en-US" w:bidi="ar-SA"/>
        </w:rPr>
      </w:pPr>
      <w:r>
        <w:rPr>
          <w:rFonts w:hint="eastAsia" w:ascii="宋体" w:hAnsi="宋体" w:eastAsia="宋体" w:cs="Times New Roman"/>
          <w:bCs/>
          <w:color w:val="auto"/>
          <w:kern w:val="2"/>
          <w:sz w:val="24"/>
          <w:szCs w:val="20"/>
          <w:highlight w:val="none"/>
          <w:lang w:val="en-US" w:bidi="ar-SA"/>
        </w:rPr>
        <w:t>1）通沟污泥可采用罐车、自卸卡车或污泥拖斗运输，也可采用水陆联运。</w:t>
      </w:r>
    </w:p>
    <w:p>
      <w:pPr>
        <w:shd w:val="clear"/>
        <w:adjustRightInd w:val="0"/>
        <w:snapToGrid w:val="0"/>
        <w:spacing w:after="0" w:line="440" w:lineRule="exact"/>
        <w:ind w:firstLine="480" w:firstLineChars="200"/>
        <w:outlineLvl w:val="9"/>
        <w:rPr>
          <w:rFonts w:hint="default" w:ascii="宋体" w:hAnsi="宋体" w:eastAsia="宋体" w:cs="Times New Roman"/>
          <w:bCs/>
          <w:color w:val="auto"/>
          <w:kern w:val="2"/>
          <w:sz w:val="24"/>
          <w:szCs w:val="20"/>
          <w:highlight w:val="none"/>
          <w:lang w:val="en-US" w:bidi="ar-SA"/>
        </w:rPr>
      </w:pPr>
      <w:r>
        <w:rPr>
          <w:rFonts w:hint="eastAsia" w:ascii="宋体" w:hAnsi="宋体" w:eastAsia="宋体" w:cs="Times New Roman"/>
          <w:bCs/>
          <w:color w:val="auto"/>
          <w:kern w:val="2"/>
          <w:sz w:val="24"/>
          <w:szCs w:val="20"/>
          <w:highlight w:val="none"/>
          <w:lang w:val="en-US" w:bidi="ar-SA"/>
        </w:rPr>
        <w:t>2）在运输过程中，应做到污泥不落地、沿途无洒落。</w:t>
      </w:r>
    </w:p>
    <w:p>
      <w:pPr>
        <w:shd w:val="clear"/>
        <w:adjustRightInd w:val="0"/>
        <w:snapToGrid w:val="0"/>
        <w:spacing w:after="0" w:line="440" w:lineRule="exact"/>
        <w:ind w:firstLine="480" w:firstLineChars="200"/>
        <w:outlineLvl w:val="9"/>
        <w:rPr>
          <w:rFonts w:hint="default" w:ascii="宋体" w:hAnsi="宋体" w:eastAsia="宋体" w:cs="Times New Roman"/>
          <w:bCs/>
          <w:color w:val="auto"/>
          <w:kern w:val="2"/>
          <w:sz w:val="24"/>
          <w:szCs w:val="20"/>
          <w:highlight w:val="none"/>
          <w:lang w:val="en-US" w:bidi="ar-SA"/>
        </w:rPr>
      </w:pPr>
      <w:r>
        <w:rPr>
          <w:rFonts w:hint="eastAsia" w:ascii="宋体" w:hAnsi="宋体" w:eastAsia="宋体" w:cs="Times New Roman"/>
          <w:bCs/>
          <w:color w:val="auto"/>
          <w:kern w:val="2"/>
          <w:sz w:val="24"/>
          <w:szCs w:val="20"/>
          <w:highlight w:val="none"/>
          <w:lang w:val="en-US" w:bidi="ar-SA"/>
        </w:rPr>
        <w:t>3）污泥运输车辆应加盖，并定期清洗保持整洁。</w:t>
      </w:r>
    </w:p>
    <w:p>
      <w:pPr>
        <w:shd w:val="clear"/>
        <w:adjustRightInd w:val="0"/>
        <w:snapToGrid w:val="0"/>
        <w:spacing w:after="0" w:line="440" w:lineRule="exact"/>
        <w:ind w:firstLine="480" w:firstLineChars="200"/>
        <w:outlineLvl w:val="9"/>
        <w:rPr>
          <w:rFonts w:hint="default" w:ascii="宋体" w:hAnsi="宋体" w:eastAsia="宋体" w:cs="Times New Roman"/>
          <w:bCs/>
          <w:color w:val="auto"/>
          <w:kern w:val="2"/>
          <w:sz w:val="24"/>
          <w:szCs w:val="20"/>
          <w:highlight w:val="none"/>
          <w:lang w:val="en-US" w:bidi="ar-SA"/>
        </w:rPr>
      </w:pPr>
      <w:r>
        <w:rPr>
          <w:rFonts w:hint="eastAsia" w:ascii="宋体" w:hAnsi="宋体" w:eastAsia="宋体" w:cs="Times New Roman"/>
          <w:bCs/>
          <w:color w:val="auto"/>
          <w:kern w:val="2"/>
          <w:sz w:val="24"/>
          <w:szCs w:val="20"/>
          <w:highlight w:val="none"/>
          <w:lang w:val="en-US" w:bidi="ar-SA"/>
        </w:rPr>
        <w:t>4）污泥在长运输距离前宜进行脱水处理，脱水过程可在中转站进行或送污水处理厂处理。</w:t>
      </w:r>
    </w:p>
    <w:p>
      <w:pPr>
        <w:shd w:val="clear"/>
        <w:adjustRightInd w:val="0"/>
        <w:snapToGrid w:val="0"/>
        <w:spacing w:after="0" w:line="440" w:lineRule="exact"/>
        <w:ind w:firstLine="480" w:firstLineChars="200"/>
        <w:outlineLvl w:val="9"/>
        <w:rPr>
          <w:rFonts w:hint="default" w:ascii="宋体" w:hAnsi="宋体" w:eastAsia="宋体" w:cs="Times New Roman"/>
          <w:bCs/>
          <w:color w:val="auto"/>
          <w:kern w:val="2"/>
          <w:sz w:val="24"/>
          <w:szCs w:val="20"/>
          <w:highlight w:val="none"/>
          <w:lang w:val="en-US" w:bidi="ar-SA"/>
        </w:rPr>
      </w:pPr>
      <w:r>
        <w:rPr>
          <w:rFonts w:hint="eastAsia" w:ascii="宋体" w:hAnsi="宋体" w:eastAsia="宋体" w:cs="Times New Roman"/>
          <w:bCs/>
          <w:color w:val="auto"/>
          <w:kern w:val="2"/>
          <w:sz w:val="24"/>
          <w:szCs w:val="20"/>
          <w:highlight w:val="none"/>
          <w:lang w:val="en-US" w:bidi="ar-SA"/>
        </w:rPr>
        <w:t>（3）污泥处置应符合下列规定：</w:t>
      </w:r>
    </w:p>
    <w:p>
      <w:pPr>
        <w:shd w:val="clear"/>
        <w:adjustRightInd w:val="0"/>
        <w:snapToGrid w:val="0"/>
        <w:spacing w:after="0" w:line="440" w:lineRule="exact"/>
        <w:ind w:firstLine="480" w:firstLineChars="200"/>
        <w:outlineLvl w:val="9"/>
        <w:rPr>
          <w:rFonts w:hint="default" w:ascii="宋体" w:hAnsi="宋体" w:eastAsia="宋体" w:cs="Times New Roman"/>
          <w:bCs/>
          <w:color w:val="auto"/>
          <w:kern w:val="2"/>
          <w:sz w:val="24"/>
          <w:szCs w:val="20"/>
          <w:highlight w:val="none"/>
          <w:lang w:val="en-US" w:bidi="ar-SA"/>
        </w:rPr>
      </w:pPr>
      <w:r>
        <w:rPr>
          <w:rFonts w:hint="eastAsia" w:ascii="宋体" w:hAnsi="宋体" w:eastAsia="宋体" w:cs="Times New Roman"/>
          <w:bCs/>
          <w:color w:val="auto"/>
          <w:kern w:val="2"/>
          <w:sz w:val="24"/>
          <w:szCs w:val="20"/>
          <w:highlight w:val="none"/>
          <w:lang w:val="en-US" w:bidi="ar-SA"/>
        </w:rPr>
        <w:t>1）污泥在送处置场前，宜进行脱水处理。</w:t>
      </w:r>
    </w:p>
    <w:p>
      <w:pPr>
        <w:shd w:val="clear"/>
        <w:adjustRightInd w:val="0"/>
        <w:snapToGrid w:val="0"/>
        <w:spacing w:after="0" w:line="440" w:lineRule="exact"/>
        <w:ind w:firstLine="480" w:firstLineChars="200"/>
        <w:outlineLvl w:val="9"/>
        <w:rPr>
          <w:rFonts w:hint="default" w:ascii="宋体" w:hAnsi="宋体" w:eastAsia="宋体" w:cs="Times New Roman"/>
          <w:bCs/>
          <w:color w:val="auto"/>
          <w:kern w:val="2"/>
          <w:sz w:val="24"/>
          <w:szCs w:val="20"/>
          <w:highlight w:val="none"/>
          <w:lang w:val="en-US" w:bidi="ar-SA"/>
        </w:rPr>
      </w:pPr>
      <w:r>
        <w:rPr>
          <w:rFonts w:hint="eastAsia" w:ascii="宋体" w:hAnsi="宋体" w:eastAsia="宋体" w:cs="Times New Roman"/>
          <w:bCs/>
          <w:color w:val="auto"/>
          <w:kern w:val="2"/>
          <w:sz w:val="24"/>
          <w:szCs w:val="20"/>
          <w:highlight w:val="none"/>
          <w:lang w:val="en-US" w:bidi="ar-SA"/>
        </w:rPr>
        <w:t>2）污泥处置不得对环境造成污染，处置需符合现行环保处置等相关要求。</w:t>
      </w:r>
    </w:p>
    <w:p>
      <w:pPr>
        <w:shd w:val="clear"/>
        <w:adjustRightInd w:val="0"/>
        <w:snapToGrid w:val="0"/>
        <w:spacing w:after="0" w:line="440" w:lineRule="exact"/>
        <w:ind w:firstLine="482" w:firstLineChars="200"/>
        <w:outlineLvl w:val="9"/>
        <w:rPr>
          <w:rFonts w:hint="default" w:ascii="宋体" w:hAnsi="宋体" w:eastAsia="宋体" w:cs="Times New Roman"/>
          <w:b/>
          <w:bCs/>
          <w:color w:val="auto"/>
          <w:kern w:val="2"/>
          <w:sz w:val="24"/>
          <w:szCs w:val="20"/>
          <w:highlight w:val="none"/>
          <w:lang w:val="en-US" w:bidi="ar-SA"/>
        </w:rPr>
      </w:pPr>
      <w:r>
        <w:rPr>
          <w:rFonts w:hint="eastAsia" w:ascii="宋体" w:hAnsi="宋体" w:eastAsia="宋体" w:cs="Times New Roman"/>
          <w:b/>
          <w:bCs/>
          <w:color w:val="auto"/>
          <w:kern w:val="2"/>
          <w:sz w:val="24"/>
          <w:szCs w:val="20"/>
          <w:highlight w:val="none"/>
          <w:lang w:val="en-US" w:bidi="ar-SA"/>
        </w:rPr>
        <w:t>3.泵站</w:t>
      </w:r>
      <w:r>
        <w:rPr>
          <w:rFonts w:hint="eastAsia" w:ascii="宋体" w:hAnsi="宋体" w:eastAsia="宋体" w:cs="Times New Roman"/>
          <w:b/>
          <w:bCs/>
          <w:color w:val="auto"/>
          <w:kern w:val="2"/>
          <w:sz w:val="24"/>
          <w:szCs w:val="20"/>
          <w:highlight w:val="none"/>
          <w:lang w:val="en-US" w:eastAsia="zh-CN" w:bidi="ar-SA"/>
        </w:rPr>
        <w:t>、提升井</w:t>
      </w:r>
      <w:r>
        <w:rPr>
          <w:rFonts w:hint="eastAsia" w:ascii="宋体" w:hAnsi="宋体" w:eastAsia="宋体" w:cs="Times New Roman"/>
          <w:b/>
          <w:bCs/>
          <w:color w:val="auto"/>
          <w:kern w:val="2"/>
          <w:sz w:val="24"/>
          <w:szCs w:val="20"/>
          <w:highlight w:val="none"/>
          <w:lang w:val="en-US" w:bidi="ar-SA"/>
        </w:rPr>
        <w:t>运行和维护</w:t>
      </w:r>
    </w:p>
    <w:p>
      <w:pPr>
        <w:shd w:val="clear"/>
        <w:adjustRightInd w:val="0"/>
        <w:snapToGrid w:val="0"/>
        <w:spacing w:after="0" w:line="440" w:lineRule="exact"/>
        <w:ind w:firstLine="480" w:firstLineChars="200"/>
        <w:outlineLvl w:val="9"/>
        <w:rPr>
          <w:rFonts w:hint="default" w:ascii="宋体" w:hAnsi="宋体" w:eastAsia="宋体" w:cs="Times New Roman"/>
          <w:bCs/>
          <w:color w:val="auto"/>
          <w:kern w:val="2"/>
          <w:sz w:val="24"/>
          <w:szCs w:val="20"/>
          <w:highlight w:val="none"/>
          <w:lang w:val="en-US" w:bidi="ar-SA"/>
        </w:rPr>
      </w:pPr>
      <w:r>
        <w:rPr>
          <w:rFonts w:hint="eastAsia" w:ascii="宋体" w:hAnsi="宋体" w:eastAsia="宋体" w:cs="Times New Roman"/>
          <w:bCs/>
          <w:color w:val="auto"/>
          <w:kern w:val="2"/>
          <w:sz w:val="24"/>
          <w:szCs w:val="20"/>
          <w:highlight w:val="none"/>
          <w:lang w:val="en-US" w:bidi="ar-SA"/>
        </w:rPr>
        <w:t>（1）检查维护水泵、闸阀门、管道、集水池、压力井等泵站设备设施时，须采取防硫化氢等有毒有害气体的安全措施。</w:t>
      </w:r>
    </w:p>
    <w:p>
      <w:pPr>
        <w:shd w:val="clear"/>
        <w:adjustRightInd w:val="0"/>
        <w:snapToGrid w:val="0"/>
        <w:spacing w:after="0" w:line="440" w:lineRule="exact"/>
        <w:ind w:firstLine="480" w:firstLineChars="200"/>
        <w:outlineLvl w:val="9"/>
        <w:rPr>
          <w:rFonts w:hint="default" w:ascii="宋体" w:hAnsi="宋体" w:eastAsia="宋体" w:cs="Times New Roman"/>
          <w:bCs/>
          <w:color w:val="auto"/>
          <w:kern w:val="2"/>
          <w:sz w:val="24"/>
          <w:szCs w:val="20"/>
          <w:highlight w:val="none"/>
          <w:lang w:val="en-US" w:bidi="ar-SA"/>
        </w:rPr>
      </w:pPr>
      <w:r>
        <w:rPr>
          <w:rFonts w:hint="eastAsia" w:ascii="宋体" w:hAnsi="宋体" w:eastAsia="宋体" w:cs="Times New Roman"/>
          <w:bCs/>
          <w:color w:val="auto"/>
          <w:kern w:val="2"/>
          <w:sz w:val="24"/>
          <w:szCs w:val="20"/>
          <w:highlight w:val="none"/>
          <w:lang w:val="en-US" w:bidi="ar-SA"/>
        </w:rPr>
        <w:t>（2）水泵维修后，其流量不应低于原设计流量的90％；机组效率不应低于原机组效率的90％。</w:t>
      </w:r>
    </w:p>
    <w:p>
      <w:pPr>
        <w:shd w:val="clear"/>
        <w:adjustRightInd w:val="0"/>
        <w:snapToGrid w:val="0"/>
        <w:spacing w:after="0" w:line="440" w:lineRule="exact"/>
        <w:ind w:firstLine="480" w:firstLineChars="200"/>
        <w:outlineLvl w:val="9"/>
        <w:rPr>
          <w:rFonts w:hint="default" w:ascii="宋体" w:hAnsi="宋体" w:eastAsia="宋体" w:cs="Times New Roman"/>
          <w:bCs/>
          <w:color w:val="auto"/>
          <w:kern w:val="2"/>
          <w:sz w:val="24"/>
          <w:szCs w:val="20"/>
          <w:highlight w:val="none"/>
          <w:lang w:val="en-US" w:bidi="ar-SA"/>
        </w:rPr>
      </w:pPr>
      <w:r>
        <w:rPr>
          <w:rFonts w:hint="eastAsia" w:ascii="宋体" w:hAnsi="宋体" w:eastAsia="宋体" w:cs="Times New Roman"/>
          <w:bCs/>
          <w:color w:val="auto"/>
          <w:kern w:val="2"/>
          <w:sz w:val="24"/>
          <w:szCs w:val="20"/>
          <w:highlight w:val="none"/>
          <w:lang w:val="en-US" w:bidi="ar-SA"/>
        </w:rPr>
        <w:t>（3）泵站设施、机电设备和管配件外表除锈、防腐蚀处理宜1年一次。</w:t>
      </w:r>
    </w:p>
    <w:p>
      <w:pPr>
        <w:shd w:val="clear"/>
        <w:adjustRightInd w:val="0"/>
        <w:snapToGrid w:val="0"/>
        <w:spacing w:after="0" w:line="440" w:lineRule="exact"/>
        <w:ind w:firstLine="480" w:firstLineChars="200"/>
        <w:outlineLvl w:val="9"/>
        <w:rPr>
          <w:rFonts w:hint="default" w:ascii="宋体" w:hAnsi="宋体" w:eastAsia="宋体" w:cs="Times New Roman"/>
          <w:bCs/>
          <w:color w:val="auto"/>
          <w:kern w:val="2"/>
          <w:sz w:val="24"/>
          <w:szCs w:val="20"/>
          <w:highlight w:val="none"/>
          <w:lang w:val="en-US" w:bidi="ar-SA"/>
        </w:rPr>
      </w:pPr>
      <w:r>
        <w:rPr>
          <w:rFonts w:hint="eastAsia" w:ascii="宋体" w:hAnsi="宋体" w:eastAsia="宋体" w:cs="Times New Roman"/>
          <w:bCs/>
          <w:color w:val="auto"/>
          <w:kern w:val="2"/>
          <w:sz w:val="24"/>
          <w:szCs w:val="20"/>
          <w:highlight w:val="none"/>
          <w:lang w:val="en-US" w:bidi="ar-SA"/>
        </w:rPr>
        <w:t>（4）泵站内设置的起重设备、压力容器、安全阀及易燃、易爆、有毒气体监测装置必须根据相关规定定期检测，合格后方可使用。</w:t>
      </w:r>
    </w:p>
    <w:p>
      <w:pPr>
        <w:shd w:val="clear"/>
        <w:adjustRightInd w:val="0"/>
        <w:snapToGrid w:val="0"/>
        <w:spacing w:after="0" w:line="440" w:lineRule="exact"/>
        <w:ind w:firstLine="480" w:firstLineChars="200"/>
        <w:outlineLvl w:val="9"/>
        <w:rPr>
          <w:rFonts w:hint="default" w:ascii="宋体" w:hAnsi="宋体" w:eastAsia="宋体" w:cs="Times New Roman"/>
          <w:bCs/>
          <w:color w:val="auto"/>
          <w:kern w:val="2"/>
          <w:sz w:val="24"/>
          <w:szCs w:val="20"/>
          <w:highlight w:val="none"/>
          <w:lang w:val="en-US" w:bidi="ar-SA"/>
        </w:rPr>
      </w:pPr>
      <w:r>
        <w:rPr>
          <w:rFonts w:hint="eastAsia" w:ascii="宋体" w:hAnsi="宋体" w:eastAsia="宋体" w:cs="Times New Roman"/>
          <w:bCs/>
          <w:color w:val="auto"/>
          <w:kern w:val="2"/>
          <w:sz w:val="24"/>
          <w:szCs w:val="20"/>
          <w:highlight w:val="none"/>
          <w:lang w:val="en-US" w:bidi="ar-SA"/>
        </w:rPr>
        <w:t>（5）泵站附属设施应保持完好。</w:t>
      </w:r>
    </w:p>
    <w:p>
      <w:pPr>
        <w:shd w:val="clear"/>
        <w:adjustRightInd w:val="0"/>
        <w:snapToGrid w:val="0"/>
        <w:spacing w:after="0" w:line="440" w:lineRule="exact"/>
        <w:ind w:firstLine="480" w:firstLineChars="200"/>
        <w:outlineLvl w:val="9"/>
        <w:rPr>
          <w:rFonts w:hint="eastAsia" w:ascii="宋体" w:hAnsi="宋体" w:eastAsia="宋体" w:cs="Times New Roman"/>
          <w:bCs/>
          <w:color w:val="auto"/>
          <w:kern w:val="2"/>
          <w:sz w:val="24"/>
          <w:szCs w:val="20"/>
          <w:highlight w:val="none"/>
          <w:lang w:val="en-US" w:bidi="ar-SA"/>
        </w:rPr>
      </w:pPr>
      <w:r>
        <w:rPr>
          <w:rFonts w:hint="eastAsia" w:ascii="宋体" w:hAnsi="宋体" w:eastAsia="宋体" w:cs="Times New Roman"/>
          <w:bCs/>
          <w:color w:val="auto"/>
          <w:kern w:val="2"/>
          <w:sz w:val="24"/>
          <w:szCs w:val="20"/>
          <w:highlight w:val="none"/>
          <w:lang w:val="en-US" w:bidi="ar-SA"/>
        </w:rPr>
        <w:t>（6）如发生因养护不到位导致设备损坏（如垃圾清理不到位，导致水泵堵塞损坏、污水外溢）等情况，由成交供应商负责设备维修等费用；造成污水入河等情况，负责相关处置费用。</w:t>
      </w:r>
    </w:p>
    <w:p>
      <w:pPr>
        <w:shd w:val="clear"/>
        <w:adjustRightInd w:val="0"/>
        <w:snapToGrid w:val="0"/>
        <w:spacing w:after="0" w:line="440" w:lineRule="exact"/>
        <w:ind w:firstLine="480" w:firstLineChars="200"/>
        <w:outlineLvl w:val="9"/>
        <w:rPr>
          <w:rFonts w:hint="eastAsia" w:ascii="宋体" w:hAnsi="宋体" w:eastAsia="宋体" w:cs="Times New Roman"/>
          <w:bCs/>
          <w:color w:val="auto"/>
          <w:kern w:val="2"/>
          <w:sz w:val="24"/>
          <w:szCs w:val="20"/>
          <w:highlight w:val="none"/>
          <w:lang w:val="en-US" w:eastAsia="zh-CN" w:bidi="ar-SA"/>
        </w:rPr>
      </w:pPr>
      <w:r>
        <w:rPr>
          <w:rFonts w:hint="eastAsia" w:ascii="宋体" w:hAnsi="宋体" w:eastAsia="宋体" w:cs="Times New Roman"/>
          <w:bCs/>
          <w:color w:val="auto"/>
          <w:kern w:val="2"/>
          <w:sz w:val="24"/>
          <w:szCs w:val="20"/>
          <w:highlight w:val="none"/>
          <w:lang w:val="en-US" w:bidi="ar-SA"/>
        </w:rPr>
        <w:t>（</w:t>
      </w:r>
      <w:r>
        <w:rPr>
          <w:rFonts w:hint="eastAsia" w:ascii="宋体" w:hAnsi="宋体" w:eastAsia="宋体" w:cs="Times New Roman"/>
          <w:bCs/>
          <w:color w:val="auto"/>
          <w:kern w:val="2"/>
          <w:sz w:val="24"/>
          <w:szCs w:val="20"/>
          <w:highlight w:val="none"/>
          <w:lang w:val="en-US" w:eastAsia="zh-CN" w:bidi="ar-SA"/>
        </w:rPr>
        <w:t>7</w:t>
      </w:r>
      <w:r>
        <w:rPr>
          <w:rFonts w:hint="eastAsia" w:ascii="宋体" w:hAnsi="宋体" w:eastAsia="宋体" w:cs="Times New Roman"/>
          <w:bCs/>
          <w:color w:val="auto"/>
          <w:kern w:val="2"/>
          <w:sz w:val="24"/>
          <w:szCs w:val="20"/>
          <w:highlight w:val="none"/>
          <w:lang w:val="en-US" w:bidi="ar-SA"/>
        </w:rPr>
        <w:t>）潜水员井下作业及气囊封堵，水泵降水排水</w:t>
      </w:r>
      <w:r>
        <w:rPr>
          <w:rFonts w:hint="eastAsia" w:ascii="宋体" w:hAnsi="宋体" w:eastAsia="宋体" w:cs="Times New Roman"/>
          <w:bCs/>
          <w:color w:val="auto"/>
          <w:kern w:val="2"/>
          <w:sz w:val="24"/>
          <w:szCs w:val="20"/>
          <w:highlight w:val="none"/>
          <w:lang w:val="en-US" w:eastAsia="zh-CN" w:bidi="ar-SA"/>
        </w:rPr>
        <w:t>。</w:t>
      </w:r>
    </w:p>
    <w:p>
      <w:pPr>
        <w:shd w:val="clear"/>
        <w:adjustRightInd w:val="0"/>
        <w:snapToGrid w:val="0"/>
        <w:spacing w:after="0" w:line="440" w:lineRule="exact"/>
        <w:ind w:firstLine="482" w:firstLineChars="200"/>
        <w:outlineLvl w:val="9"/>
        <w:rPr>
          <w:rFonts w:hint="eastAsia" w:ascii="宋体" w:hAnsi="宋体" w:eastAsia="宋体" w:cs="Times New Roman"/>
          <w:b/>
          <w:bCs/>
          <w:color w:val="auto"/>
          <w:kern w:val="2"/>
          <w:sz w:val="24"/>
          <w:szCs w:val="20"/>
          <w:highlight w:val="none"/>
          <w:lang w:val="en-US" w:eastAsia="zh-CN" w:bidi="ar-SA"/>
        </w:rPr>
      </w:pPr>
      <w:r>
        <w:rPr>
          <w:rFonts w:hint="eastAsia" w:ascii="宋体" w:hAnsi="宋体" w:eastAsia="宋体" w:cs="Times New Roman"/>
          <w:b/>
          <w:bCs/>
          <w:color w:val="auto"/>
          <w:kern w:val="2"/>
          <w:sz w:val="24"/>
          <w:szCs w:val="20"/>
          <w:highlight w:val="none"/>
          <w:lang w:val="en-US" w:eastAsia="zh-CN" w:bidi="ar-SA"/>
        </w:rPr>
        <w:t>4. 防汛工作要求</w:t>
      </w:r>
    </w:p>
    <w:p>
      <w:pPr>
        <w:shd w:val="clear"/>
        <w:adjustRightInd w:val="0"/>
        <w:snapToGrid w:val="0"/>
        <w:spacing w:after="0" w:line="440" w:lineRule="exact"/>
        <w:ind w:firstLine="480" w:firstLineChars="200"/>
        <w:outlineLvl w:val="9"/>
        <w:rPr>
          <w:rFonts w:hint="eastAsia" w:ascii="宋体" w:hAnsi="宋体" w:eastAsia="宋体" w:cs="Times New Roman"/>
          <w:bCs/>
          <w:color w:val="auto"/>
          <w:kern w:val="2"/>
          <w:sz w:val="24"/>
          <w:szCs w:val="20"/>
          <w:highlight w:val="none"/>
          <w:lang w:val="en-US" w:eastAsia="zh-CN" w:bidi="ar-SA"/>
        </w:rPr>
      </w:pPr>
      <w:r>
        <w:rPr>
          <w:rFonts w:hint="eastAsia" w:ascii="宋体" w:hAnsi="宋体" w:eastAsia="宋体" w:cs="Times New Roman"/>
          <w:bCs/>
          <w:color w:val="auto"/>
          <w:kern w:val="2"/>
          <w:sz w:val="24"/>
          <w:szCs w:val="20"/>
          <w:highlight w:val="none"/>
          <w:lang w:val="en-US" w:eastAsia="zh-CN" w:bidi="ar-SA"/>
        </w:rPr>
        <w:t>（1）汛前准备与隐患排查：</w:t>
      </w:r>
    </w:p>
    <w:p>
      <w:pPr>
        <w:shd w:val="clear"/>
        <w:adjustRightInd w:val="0"/>
        <w:snapToGrid w:val="0"/>
        <w:spacing w:after="0" w:line="440" w:lineRule="exact"/>
        <w:ind w:firstLine="480" w:firstLineChars="200"/>
        <w:outlineLvl w:val="9"/>
        <w:rPr>
          <w:rFonts w:hint="eastAsia" w:ascii="宋体" w:hAnsi="宋体" w:eastAsia="宋体" w:cs="Times New Roman"/>
          <w:bCs/>
          <w:color w:val="auto"/>
          <w:kern w:val="2"/>
          <w:sz w:val="24"/>
          <w:szCs w:val="20"/>
          <w:highlight w:val="none"/>
          <w:lang w:val="en-US" w:eastAsia="zh-CN" w:bidi="ar-SA"/>
        </w:rPr>
      </w:pPr>
      <w:r>
        <w:rPr>
          <w:rFonts w:hint="eastAsia" w:ascii="宋体" w:hAnsi="宋体" w:eastAsia="宋体" w:cs="Times New Roman"/>
          <w:bCs/>
          <w:color w:val="auto"/>
          <w:kern w:val="2"/>
          <w:sz w:val="24"/>
          <w:szCs w:val="20"/>
          <w:highlight w:val="none"/>
          <w:lang w:val="en-US" w:eastAsia="zh-CN" w:bidi="ar-SA"/>
        </w:rPr>
        <w:t>每年汛期前，中标单位须制定详细的《太湖街道防汛工作计划》，并报采购人备案。</w:t>
      </w:r>
    </w:p>
    <w:p>
      <w:pPr>
        <w:shd w:val="clear"/>
        <w:adjustRightInd w:val="0"/>
        <w:snapToGrid w:val="0"/>
        <w:spacing w:after="0" w:line="440" w:lineRule="exact"/>
        <w:ind w:firstLine="480" w:firstLineChars="200"/>
        <w:outlineLvl w:val="9"/>
        <w:rPr>
          <w:rFonts w:hint="eastAsia" w:ascii="宋体" w:hAnsi="宋体" w:eastAsia="宋体" w:cs="Times New Roman"/>
          <w:bCs/>
          <w:color w:val="auto"/>
          <w:kern w:val="2"/>
          <w:sz w:val="24"/>
          <w:szCs w:val="20"/>
          <w:highlight w:val="none"/>
          <w:lang w:val="en-US" w:eastAsia="zh-CN" w:bidi="ar-SA"/>
        </w:rPr>
      </w:pPr>
      <w:r>
        <w:rPr>
          <w:rFonts w:hint="eastAsia" w:ascii="宋体" w:hAnsi="宋体" w:eastAsia="宋体" w:cs="Times New Roman"/>
          <w:bCs/>
          <w:color w:val="auto"/>
          <w:kern w:val="2"/>
          <w:sz w:val="24"/>
          <w:szCs w:val="20"/>
          <w:highlight w:val="none"/>
          <w:lang w:val="en-US" w:eastAsia="zh-CN" w:bidi="ar-SA"/>
        </w:rPr>
        <w:t>全面开展汛前管网、泵站、提升井、闸阀及雨水连通口的清淤疏通与功能检测，确保汛期排水畅通，各类强排机泵、备用电源完好率达到 100%。</w:t>
      </w:r>
    </w:p>
    <w:p>
      <w:pPr>
        <w:shd w:val="clear"/>
        <w:adjustRightInd w:val="0"/>
        <w:snapToGrid w:val="0"/>
        <w:spacing w:after="0" w:line="440" w:lineRule="exact"/>
        <w:ind w:firstLine="480" w:firstLineChars="200"/>
        <w:outlineLvl w:val="9"/>
        <w:rPr>
          <w:rFonts w:hint="eastAsia" w:ascii="宋体" w:hAnsi="宋体" w:eastAsia="宋体" w:cs="Times New Roman"/>
          <w:bCs/>
          <w:color w:val="auto"/>
          <w:kern w:val="2"/>
          <w:sz w:val="24"/>
          <w:szCs w:val="20"/>
          <w:highlight w:val="none"/>
          <w:lang w:val="en-US" w:eastAsia="zh-CN" w:bidi="ar-SA"/>
        </w:rPr>
      </w:pPr>
      <w:r>
        <w:rPr>
          <w:rFonts w:hint="eastAsia" w:ascii="宋体" w:hAnsi="宋体" w:eastAsia="宋体" w:cs="Times New Roman"/>
          <w:bCs/>
          <w:color w:val="auto"/>
          <w:kern w:val="2"/>
          <w:sz w:val="24"/>
          <w:szCs w:val="20"/>
          <w:highlight w:val="none"/>
          <w:lang w:val="en-US" w:eastAsia="zh-CN" w:bidi="ar-SA"/>
        </w:rPr>
        <w:t>（2）汛期值守与巡查联动：</w:t>
      </w:r>
    </w:p>
    <w:p>
      <w:pPr>
        <w:shd w:val="clear"/>
        <w:adjustRightInd w:val="0"/>
        <w:snapToGrid w:val="0"/>
        <w:spacing w:after="0" w:line="440" w:lineRule="exact"/>
        <w:ind w:firstLine="480" w:firstLineChars="200"/>
        <w:outlineLvl w:val="9"/>
        <w:rPr>
          <w:rFonts w:hint="eastAsia" w:ascii="宋体" w:hAnsi="宋体" w:eastAsia="宋体" w:cs="Times New Roman"/>
          <w:bCs/>
          <w:color w:val="auto"/>
          <w:kern w:val="2"/>
          <w:sz w:val="24"/>
          <w:szCs w:val="20"/>
          <w:highlight w:val="none"/>
          <w:lang w:val="en-US" w:eastAsia="zh-CN" w:bidi="ar-SA"/>
        </w:rPr>
      </w:pPr>
      <w:r>
        <w:rPr>
          <w:rFonts w:hint="eastAsia" w:ascii="宋体" w:hAnsi="宋体" w:eastAsia="宋体" w:cs="Times New Roman"/>
          <w:bCs/>
          <w:color w:val="auto"/>
          <w:kern w:val="2"/>
          <w:sz w:val="24"/>
          <w:szCs w:val="20"/>
          <w:highlight w:val="none"/>
          <w:lang w:val="en-US" w:eastAsia="zh-CN" w:bidi="ar-SA"/>
        </w:rPr>
        <w:t>汛期及暴雨、台风等极端天气预警期间，中标单位须实行 24小时专人值班和领导带班制度，保持通讯24小时畅通。</w:t>
      </w:r>
    </w:p>
    <w:p>
      <w:pPr>
        <w:shd w:val="clear"/>
        <w:adjustRightInd w:val="0"/>
        <w:snapToGrid w:val="0"/>
        <w:spacing w:after="0" w:line="440" w:lineRule="exact"/>
        <w:ind w:firstLine="480" w:firstLineChars="200"/>
        <w:outlineLvl w:val="9"/>
        <w:rPr>
          <w:rFonts w:hint="eastAsia" w:ascii="宋体" w:hAnsi="宋体" w:eastAsia="宋体" w:cs="Times New Roman"/>
          <w:bCs/>
          <w:color w:val="auto"/>
          <w:kern w:val="2"/>
          <w:sz w:val="24"/>
          <w:szCs w:val="20"/>
          <w:highlight w:val="none"/>
          <w:lang w:val="en-US" w:eastAsia="zh-CN" w:bidi="ar-SA"/>
        </w:rPr>
      </w:pPr>
      <w:r>
        <w:rPr>
          <w:rFonts w:hint="eastAsia" w:ascii="宋体" w:hAnsi="宋体" w:eastAsia="宋体" w:cs="Times New Roman"/>
          <w:bCs/>
          <w:color w:val="auto"/>
          <w:kern w:val="2"/>
          <w:sz w:val="24"/>
          <w:szCs w:val="20"/>
          <w:highlight w:val="none"/>
          <w:lang w:val="en-US" w:eastAsia="zh-CN" w:bidi="ar-SA"/>
        </w:rPr>
        <w:t>设立固定防汛应急抢险队伍，雨前、雨中对易积水路段、重点泵站、低洼地块管网加密巡查频次，发现积水或冒溢立即处置并向街道主管部门报告。</w:t>
      </w:r>
    </w:p>
    <w:p>
      <w:pPr>
        <w:shd w:val="clear"/>
        <w:adjustRightInd w:val="0"/>
        <w:snapToGrid w:val="0"/>
        <w:spacing w:after="0" w:line="440" w:lineRule="exact"/>
        <w:ind w:firstLine="480" w:firstLineChars="200"/>
        <w:outlineLvl w:val="9"/>
        <w:rPr>
          <w:rFonts w:hint="eastAsia" w:ascii="宋体" w:hAnsi="宋体" w:eastAsia="宋体" w:cs="Times New Roman"/>
          <w:bCs/>
          <w:color w:val="auto"/>
          <w:kern w:val="2"/>
          <w:sz w:val="24"/>
          <w:szCs w:val="20"/>
          <w:highlight w:val="none"/>
          <w:lang w:val="en-US" w:eastAsia="zh-CN" w:bidi="ar-SA"/>
        </w:rPr>
      </w:pPr>
      <w:r>
        <w:rPr>
          <w:rFonts w:hint="eastAsia" w:ascii="宋体" w:hAnsi="宋体" w:eastAsia="宋体" w:cs="Times New Roman"/>
          <w:bCs/>
          <w:color w:val="auto"/>
          <w:kern w:val="2"/>
          <w:sz w:val="24"/>
          <w:szCs w:val="20"/>
          <w:highlight w:val="none"/>
          <w:lang w:val="en-US" w:eastAsia="zh-CN" w:bidi="ar-SA"/>
        </w:rPr>
        <w:t>（3）应急响应与强排抢险：</w:t>
      </w:r>
    </w:p>
    <w:p>
      <w:pPr>
        <w:shd w:val="clear"/>
        <w:adjustRightInd w:val="0"/>
        <w:snapToGrid w:val="0"/>
        <w:spacing w:after="0" w:line="440" w:lineRule="exact"/>
        <w:ind w:firstLine="480" w:firstLineChars="200"/>
        <w:outlineLvl w:val="9"/>
        <w:rPr>
          <w:rFonts w:hint="eastAsia" w:ascii="宋体" w:hAnsi="宋体" w:eastAsia="宋体" w:cs="Times New Roman"/>
          <w:bCs/>
          <w:color w:val="auto"/>
          <w:kern w:val="2"/>
          <w:sz w:val="24"/>
          <w:szCs w:val="20"/>
          <w:highlight w:val="none"/>
          <w:lang w:val="en-US" w:eastAsia="zh-CN" w:bidi="ar-SA"/>
        </w:rPr>
      </w:pPr>
      <w:r>
        <w:rPr>
          <w:rFonts w:hint="eastAsia" w:ascii="宋体" w:hAnsi="宋体" w:eastAsia="宋体" w:cs="Times New Roman"/>
          <w:bCs/>
          <w:color w:val="auto"/>
          <w:kern w:val="2"/>
          <w:sz w:val="24"/>
          <w:szCs w:val="20"/>
          <w:highlight w:val="none"/>
          <w:lang w:val="en-US" w:eastAsia="zh-CN" w:bidi="ar-SA"/>
        </w:rPr>
        <w:t>启动防汛应急响应后，抢险人员、抢险车辆（吸污车、抢险车等）及移动强排设备须在 1小时内 到达指定积水或险情现场开展应急抽排、抢险及管道疏通。</w:t>
      </w:r>
    </w:p>
    <w:p>
      <w:pPr>
        <w:shd w:val="clear"/>
        <w:adjustRightInd w:val="0"/>
        <w:snapToGrid w:val="0"/>
        <w:spacing w:after="0" w:line="440" w:lineRule="exact"/>
        <w:ind w:firstLine="480" w:firstLineChars="200"/>
        <w:outlineLvl w:val="9"/>
        <w:rPr>
          <w:rFonts w:hint="eastAsia" w:ascii="宋体" w:hAnsi="宋体" w:eastAsia="宋体" w:cs="Times New Roman"/>
          <w:bCs/>
          <w:color w:val="auto"/>
          <w:kern w:val="2"/>
          <w:sz w:val="24"/>
          <w:szCs w:val="20"/>
          <w:highlight w:val="none"/>
          <w:lang w:val="en-US" w:eastAsia="zh-CN" w:bidi="ar-SA"/>
        </w:rPr>
      </w:pPr>
      <w:r>
        <w:rPr>
          <w:rFonts w:hint="eastAsia" w:ascii="宋体" w:hAnsi="宋体" w:eastAsia="宋体" w:cs="Times New Roman"/>
          <w:bCs/>
          <w:color w:val="auto"/>
          <w:kern w:val="2"/>
          <w:sz w:val="24"/>
          <w:szCs w:val="20"/>
          <w:highlight w:val="none"/>
          <w:lang w:val="en-US" w:eastAsia="zh-CN" w:bidi="ar-SA"/>
        </w:rPr>
        <w:t>服从采购人的统一调配与调度指令。</w:t>
      </w:r>
    </w:p>
    <w:p>
      <w:pPr>
        <w:shd w:val="clear"/>
        <w:adjustRightInd w:val="0"/>
        <w:snapToGrid w:val="0"/>
        <w:spacing w:after="0" w:line="440" w:lineRule="exact"/>
        <w:ind w:firstLine="480" w:firstLineChars="200"/>
        <w:outlineLvl w:val="9"/>
        <w:rPr>
          <w:rFonts w:hint="eastAsia" w:ascii="宋体" w:hAnsi="宋体" w:eastAsia="宋体" w:cs="Times New Roman"/>
          <w:bCs/>
          <w:color w:val="auto"/>
          <w:kern w:val="2"/>
          <w:sz w:val="24"/>
          <w:szCs w:val="20"/>
          <w:highlight w:val="none"/>
          <w:lang w:val="en-US" w:eastAsia="zh-CN" w:bidi="ar-SA"/>
        </w:rPr>
      </w:pPr>
      <w:r>
        <w:rPr>
          <w:rFonts w:hint="eastAsia" w:ascii="宋体" w:hAnsi="宋体" w:eastAsia="宋体" w:cs="Times New Roman"/>
          <w:bCs/>
          <w:color w:val="auto"/>
          <w:kern w:val="2"/>
          <w:sz w:val="24"/>
          <w:szCs w:val="20"/>
          <w:highlight w:val="none"/>
          <w:lang w:val="en-US" w:eastAsia="zh-CN" w:bidi="ar-SA"/>
        </w:rPr>
        <w:t>（4）防汛物资与设备配备：</w:t>
      </w:r>
    </w:p>
    <w:p>
      <w:pPr>
        <w:shd w:val="clear"/>
        <w:adjustRightInd w:val="0"/>
        <w:snapToGrid w:val="0"/>
        <w:spacing w:after="0" w:line="440" w:lineRule="exact"/>
        <w:ind w:firstLine="480" w:firstLineChars="200"/>
        <w:outlineLvl w:val="9"/>
        <w:rPr>
          <w:rFonts w:hint="eastAsia" w:ascii="宋体" w:hAnsi="宋体" w:eastAsia="宋体" w:cs="Times New Roman"/>
          <w:bCs/>
          <w:color w:val="auto"/>
          <w:kern w:val="2"/>
          <w:sz w:val="24"/>
          <w:szCs w:val="20"/>
          <w:highlight w:val="none"/>
          <w:lang w:val="en-US" w:eastAsia="zh-CN" w:bidi="ar-SA"/>
        </w:rPr>
      </w:pPr>
      <w:r>
        <w:rPr>
          <w:rFonts w:hint="eastAsia" w:ascii="宋体" w:hAnsi="宋体" w:eastAsia="宋体" w:cs="Times New Roman"/>
          <w:bCs/>
          <w:color w:val="auto"/>
          <w:kern w:val="2"/>
          <w:sz w:val="24"/>
          <w:szCs w:val="20"/>
          <w:highlight w:val="none"/>
          <w:lang w:val="en-US" w:eastAsia="zh-CN" w:bidi="ar-SA"/>
        </w:rPr>
        <w:t>中标单位须在本地常态化配备充足的防汛应急抢险物资及设备，包括但不限于：大功率移动潜污泵或柴油抽水泵、移动发电机组、防汛沙袋、警示标志标牌、救生衣、应急照明灯具、管道封堵气囊等，并定期维保试运行。</w:t>
      </w:r>
    </w:p>
    <w:p>
      <w:pPr>
        <w:shd w:val="clear"/>
        <w:adjustRightInd w:val="0"/>
        <w:snapToGrid w:val="0"/>
        <w:spacing w:after="0" w:line="440" w:lineRule="exact"/>
        <w:ind w:firstLine="480" w:firstLineChars="200"/>
        <w:outlineLvl w:val="9"/>
        <w:rPr>
          <w:rFonts w:hint="eastAsia" w:ascii="宋体" w:hAnsi="宋体" w:eastAsia="宋体" w:cs="Times New Roman"/>
          <w:bCs/>
          <w:color w:val="auto"/>
          <w:kern w:val="2"/>
          <w:sz w:val="24"/>
          <w:szCs w:val="20"/>
          <w:highlight w:val="none"/>
          <w:lang w:val="en-US" w:eastAsia="zh-CN" w:bidi="ar-SA"/>
        </w:rPr>
      </w:pPr>
      <w:r>
        <w:rPr>
          <w:rFonts w:hint="eastAsia" w:ascii="宋体" w:hAnsi="宋体" w:eastAsia="宋体" w:cs="Times New Roman"/>
          <w:bCs/>
          <w:color w:val="auto"/>
          <w:kern w:val="2"/>
          <w:sz w:val="24"/>
          <w:szCs w:val="20"/>
          <w:highlight w:val="none"/>
          <w:lang w:val="en-US" w:eastAsia="zh-CN" w:bidi="ar-SA"/>
        </w:rPr>
        <w:t>（5）汛后复盘与设施恢复：</w:t>
      </w:r>
    </w:p>
    <w:p>
      <w:pPr>
        <w:shd w:val="clear"/>
        <w:adjustRightInd w:val="0"/>
        <w:snapToGrid w:val="0"/>
        <w:spacing w:after="0" w:line="440" w:lineRule="exact"/>
        <w:ind w:firstLine="480" w:firstLineChars="200"/>
        <w:outlineLvl w:val="9"/>
        <w:rPr>
          <w:rFonts w:hint="eastAsia" w:ascii="宋体" w:hAnsi="宋体" w:eastAsia="宋体" w:cs="Times New Roman"/>
          <w:bCs/>
          <w:color w:val="auto"/>
          <w:kern w:val="2"/>
          <w:sz w:val="24"/>
          <w:szCs w:val="20"/>
          <w:highlight w:val="none"/>
          <w:lang w:val="en-US" w:eastAsia="zh-CN" w:bidi="ar-SA"/>
        </w:rPr>
      </w:pPr>
      <w:r>
        <w:rPr>
          <w:rFonts w:hint="eastAsia" w:ascii="宋体" w:hAnsi="宋体" w:eastAsia="宋体" w:cs="Times New Roman"/>
          <w:bCs/>
          <w:color w:val="auto"/>
          <w:kern w:val="2"/>
          <w:sz w:val="24"/>
          <w:szCs w:val="20"/>
          <w:highlight w:val="none"/>
          <w:lang w:val="en-US" w:eastAsia="zh-CN" w:bidi="ar-SA"/>
        </w:rPr>
        <w:t>汛期降雨结束后，须在 24 小时内对管网及泵池进行清淤复检，清理随雨水冲入的垃圾杂物，及时复位井盖并检修受损设备，向采购人提交汛后排查与处置报告。</w:t>
      </w:r>
    </w:p>
    <w:p>
      <w:pPr>
        <w:widowControl w:val="0"/>
        <w:spacing w:after="120" w:afterAutospacing="0"/>
        <w:jc w:val="both"/>
        <w:rPr>
          <w:rFonts w:hint="eastAsia" w:ascii="Calibri" w:hAnsi="Calibri" w:eastAsia="Arial" w:cs="Arial"/>
          <w:color w:val="auto"/>
          <w:kern w:val="2"/>
          <w:sz w:val="21"/>
          <w:szCs w:val="24"/>
          <w:highlight w:val="none"/>
          <w:lang w:val="en-US" w:eastAsia="zh-CN" w:bidi="ar-SA"/>
        </w:rPr>
      </w:pPr>
    </w:p>
    <w:p>
      <w:pPr>
        <w:shd w:val="clear"/>
        <w:adjustRightInd w:val="0"/>
        <w:snapToGrid w:val="0"/>
        <w:spacing w:after="0" w:line="440" w:lineRule="exact"/>
        <w:ind w:firstLine="482" w:firstLineChars="200"/>
        <w:outlineLvl w:val="9"/>
        <w:rPr>
          <w:rFonts w:hint="default" w:ascii="宋体" w:hAnsi="宋体" w:eastAsia="宋体" w:cs="Times New Roman"/>
          <w:b/>
          <w:bCs/>
          <w:color w:val="auto"/>
          <w:kern w:val="2"/>
          <w:sz w:val="24"/>
          <w:szCs w:val="20"/>
          <w:highlight w:val="none"/>
          <w:lang w:val="en-US" w:bidi="ar-SA"/>
        </w:rPr>
      </w:pPr>
      <w:r>
        <w:rPr>
          <w:rFonts w:hint="eastAsia" w:ascii="宋体" w:hAnsi="宋体" w:eastAsia="宋体" w:cs="Times New Roman"/>
          <w:b/>
          <w:bCs/>
          <w:color w:val="auto"/>
          <w:kern w:val="2"/>
          <w:sz w:val="24"/>
          <w:szCs w:val="20"/>
          <w:highlight w:val="none"/>
          <w:lang w:val="en-US" w:eastAsia="zh-CN" w:bidi="ar-SA"/>
        </w:rPr>
        <w:t>5</w:t>
      </w:r>
      <w:r>
        <w:rPr>
          <w:rFonts w:hint="default" w:ascii="宋体" w:hAnsi="宋体" w:eastAsia="宋体" w:cs="Times New Roman"/>
          <w:b/>
          <w:bCs/>
          <w:color w:val="auto"/>
          <w:kern w:val="2"/>
          <w:sz w:val="24"/>
          <w:szCs w:val="20"/>
          <w:highlight w:val="none"/>
          <w:lang w:val="en-US" w:bidi="ar-SA"/>
        </w:rPr>
        <w:t>.</w:t>
      </w:r>
      <w:r>
        <w:rPr>
          <w:rFonts w:hint="eastAsia" w:ascii="宋体" w:hAnsi="宋体" w:eastAsia="宋体" w:cs="Times New Roman"/>
          <w:b/>
          <w:bCs/>
          <w:color w:val="auto"/>
          <w:kern w:val="2"/>
          <w:sz w:val="24"/>
          <w:szCs w:val="20"/>
          <w:highlight w:val="none"/>
          <w:lang w:val="en-US" w:bidi="ar-SA"/>
        </w:rPr>
        <w:t>安全文明作业</w:t>
      </w:r>
    </w:p>
    <w:p>
      <w:pPr>
        <w:shd w:val="clear"/>
        <w:spacing w:after="0" w:line="520" w:lineRule="exact"/>
        <w:ind w:firstLine="480" w:firstLineChars="200"/>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（1）养护作业人员上岗前须接受必要的安全作业技术培训，掌握人工急救、防护用具、照明、通讯设备的是用方法及相关安全知识、经考核合格后持证上岗。</w:t>
      </w:r>
    </w:p>
    <w:p>
      <w:pPr>
        <w:shd w:val="clear"/>
        <w:spacing w:after="0" w:line="520" w:lineRule="exact"/>
        <w:ind w:firstLine="480" w:firstLineChars="200"/>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（2）检查井井盖开启后，须立即采取相应安全措施，如加盖安全网盖或设置安全护栏，白天加挂三角红旗，夜间加挂安全红灯或设置反光锥。</w:t>
      </w:r>
    </w:p>
    <w:p>
      <w:pPr>
        <w:shd w:val="clear"/>
        <w:spacing w:after="0" w:line="520" w:lineRule="exact"/>
        <w:ind w:firstLine="480" w:firstLineChars="200"/>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3）作业现场、检查井及管道内严禁明火，车辆、行人不得进入作业区；作业人员下井后，井上应有2人监护；如需人员进入管道作业（管径小于0.8M的管道严禁进人作业），还需在井内增加监护人员做中间联络；监护人员不得擅离职守。</w:t>
      </w:r>
    </w:p>
    <w:p>
      <w:pPr>
        <w:shd w:val="clear"/>
        <w:spacing w:after="0" w:line="520" w:lineRule="exact"/>
        <w:ind w:firstLine="480" w:firstLineChars="200"/>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（4）在征得交管部门同意中断交通后，应在道路两端设置断绝交通的警示标志；在繁华地区作业时，应指派专人指挥交通、维护现场秩序。</w:t>
      </w:r>
    </w:p>
    <w:p>
      <w:pPr>
        <w:shd w:val="clear"/>
        <w:spacing w:after="0" w:line="520" w:lineRule="exact"/>
        <w:ind w:firstLine="480" w:firstLineChars="200"/>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（5）下井作业应经过严格的审批手续，管道维护和检查严格执行现行相关行业标准。</w:t>
      </w:r>
    </w:p>
    <w:p>
      <w:pPr>
        <w:shd w:val="clear"/>
        <w:spacing w:after="0" w:line="520" w:lineRule="exact"/>
        <w:ind w:firstLine="480" w:firstLineChars="200"/>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（6）防毒面具应定期校验，下井作业前须再次校验，合格后方可使用。</w:t>
      </w:r>
    </w:p>
    <w:p>
      <w:pPr>
        <w:shd w:val="clear"/>
        <w:spacing w:after="0" w:line="520" w:lineRule="exact"/>
        <w:ind w:firstLine="480" w:firstLineChars="200"/>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（7）养护人员应统一着装，作业时应按要求设置警示标志和安全护栏，无抛洒滴漏，工完场清，文明作业。</w:t>
      </w:r>
    </w:p>
    <w:p>
      <w:pPr>
        <w:shd w:val="clear"/>
        <w:spacing w:after="0" w:line="520" w:lineRule="exact"/>
        <w:ind w:firstLine="480" w:firstLineChars="200"/>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8）疏通作业完毕后，污泥盛器和运输车辆应及时撤离现场；确需在街道上暂时停放的，须经主管部门同意，停放时间不宜超过一昼夜；污泥盛器和运输车辆在街道上停放过夜时，应悬挂安全红灯或设置反光锥。</w:t>
      </w:r>
    </w:p>
    <w:p>
      <w:pPr>
        <w:shd w:val="clear"/>
        <w:spacing w:after="0" w:line="520" w:lineRule="exact"/>
        <w:ind w:firstLine="480" w:firstLineChars="200"/>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（9）巡查、养护、抢修车辆车况应经常保持良好状态，车容整洁，标志明显。</w:t>
      </w:r>
    </w:p>
    <w:p>
      <w:pPr>
        <w:shd w:val="clear"/>
        <w:spacing w:after="0" w:line="520" w:lineRule="exact"/>
        <w:ind w:firstLine="480" w:firstLineChars="200"/>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（1</w:t>
      </w:r>
      <w:r>
        <w:rPr>
          <w:rFonts w:hint="default" w:ascii="宋体" w:hAnsi="宋体" w:eastAsia="宋体" w:cs="Times New Roman"/>
          <w:color w:val="auto"/>
          <w:kern w:val="2"/>
          <w:sz w:val="24"/>
          <w:szCs w:val="24"/>
          <w:highlight w:val="none"/>
          <w:lang w:val="en-US" w:bidi="ar-SA"/>
        </w:rPr>
        <w:t>0</w:t>
      </w:r>
      <w:r>
        <w:rPr>
          <w:rFonts w:hint="eastAsia" w:ascii="宋体" w:hAnsi="宋体" w:eastAsia="宋体" w:cs="Times New Roman"/>
          <w:color w:val="auto"/>
          <w:kern w:val="2"/>
          <w:sz w:val="24"/>
          <w:szCs w:val="24"/>
          <w:highlight w:val="none"/>
          <w:lang w:val="en-US" w:bidi="ar-SA"/>
        </w:rPr>
        <w:t>）成交供应商应建立健全污水管道及其附属设施档案资料管理制度，配备专职档案资料管理人员。各项管网、设施维护台账健全，记录详细，装订规范。运营档案、资料实行计算机自动化管理。</w:t>
      </w:r>
    </w:p>
    <w:p>
      <w:pPr>
        <w:shd w:val="clear"/>
        <w:spacing w:after="0" w:line="520" w:lineRule="exact"/>
        <w:ind w:firstLine="480" w:firstLineChars="200"/>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（1</w:t>
      </w:r>
      <w:r>
        <w:rPr>
          <w:rFonts w:hint="default" w:ascii="宋体" w:hAnsi="宋体" w:eastAsia="宋体" w:cs="Times New Roman"/>
          <w:color w:val="auto"/>
          <w:kern w:val="2"/>
          <w:sz w:val="24"/>
          <w:szCs w:val="24"/>
          <w:highlight w:val="none"/>
          <w:lang w:val="en-US" w:bidi="ar-SA"/>
        </w:rPr>
        <w:t>1</w:t>
      </w:r>
      <w:r>
        <w:rPr>
          <w:rFonts w:hint="eastAsia" w:ascii="宋体" w:hAnsi="宋体" w:eastAsia="宋体" w:cs="Times New Roman"/>
          <w:color w:val="auto"/>
          <w:kern w:val="2"/>
          <w:sz w:val="24"/>
          <w:szCs w:val="24"/>
          <w:highlight w:val="none"/>
          <w:lang w:val="en-US" w:bidi="ar-SA"/>
        </w:rPr>
        <w:t>）成交供应商应向社会公布服务承诺、投诉电话和电子信箱。</w:t>
      </w:r>
    </w:p>
    <w:p>
      <w:pPr>
        <w:shd w:val="clear"/>
        <w:spacing w:after="0" w:line="520" w:lineRule="exact"/>
        <w:ind w:firstLine="480" w:firstLineChars="200"/>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（1</w:t>
      </w:r>
      <w:r>
        <w:rPr>
          <w:rFonts w:hint="default" w:ascii="宋体" w:hAnsi="宋体" w:eastAsia="宋体" w:cs="Times New Roman"/>
          <w:color w:val="auto"/>
          <w:kern w:val="2"/>
          <w:sz w:val="24"/>
          <w:szCs w:val="24"/>
          <w:highlight w:val="none"/>
          <w:lang w:val="en-US" w:bidi="ar-SA"/>
        </w:rPr>
        <w:t>2</w:t>
      </w:r>
      <w:r>
        <w:rPr>
          <w:rFonts w:hint="eastAsia" w:ascii="宋体" w:hAnsi="宋体" w:eastAsia="宋体" w:cs="Times New Roman"/>
          <w:color w:val="auto"/>
          <w:kern w:val="2"/>
          <w:sz w:val="24"/>
          <w:szCs w:val="24"/>
          <w:highlight w:val="none"/>
          <w:lang w:val="en-US" w:bidi="ar-SA"/>
        </w:rPr>
        <w:t>）每个成交供应商养护范围内每年被政府部门行政处罚、被社会有效行政投诉或公众媒体有负面报道次数应少于3次。</w:t>
      </w:r>
    </w:p>
    <w:p>
      <w:pPr>
        <w:shd w:val="clear"/>
        <w:adjustRightInd w:val="0"/>
        <w:snapToGrid w:val="0"/>
        <w:spacing w:after="0" w:line="440" w:lineRule="exact"/>
        <w:ind w:firstLine="482" w:firstLineChars="200"/>
        <w:outlineLvl w:val="9"/>
        <w:rPr>
          <w:rFonts w:hint="eastAsia" w:ascii="宋体" w:hAnsi="宋体" w:eastAsia="宋体" w:cs="Times New Roman"/>
          <w:b/>
          <w:bCs/>
          <w:color w:val="auto"/>
          <w:kern w:val="2"/>
          <w:sz w:val="24"/>
          <w:szCs w:val="20"/>
          <w:highlight w:val="none"/>
          <w:lang w:val="en-US" w:eastAsia="zh-CN" w:bidi="ar-SA"/>
        </w:rPr>
      </w:pPr>
      <w:r>
        <w:rPr>
          <w:rFonts w:hint="eastAsia" w:ascii="宋体" w:hAnsi="宋体" w:eastAsia="宋体" w:cs="Times New Roman"/>
          <w:b/>
          <w:bCs/>
          <w:color w:val="auto"/>
          <w:kern w:val="2"/>
          <w:sz w:val="24"/>
          <w:szCs w:val="20"/>
          <w:highlight w:val="none"/>
          <w:lang w:val="en-US" w:eastAsia="zh-CN" w:bidi="ar-SA"/>
        </w:rPr>
        <w:t>6</w:t>
      </w:r>
      <w:r>
        <w:rPr>
          <w:rFonts w:hint="default" w:ascii="宋体" w:hAnsi="宋体" w:eastAsia="宋体" w:cs="Times New Roman"/>
          <w:b/>
          <w:bCs/>
          <w:color w:val="auto"/>
          <w:kern w:val="2"/>
          <w:sz w:val="24"/>
          <w:szCs w:val="20"/>
          <w:highlight w:val="none"/>
          <w:lang w:val="en-US" w:bidi="ar-SA"/>
        </w:rPr>
        <w:t>.工作量清单</w:t>
      </w:r>
      <w:r>
        <w:rPr>
          <w:rFonts w:hint="eastAsia" w:ascii="宋体" w:hAnsi="宋体" w:eastAsia="宋体" w:cs="Times New Roman"/>
          <w:b/>
          <w:bCs/>
          <w:color w:val="auto"/>
          <w:kern w:val="2"/>
          <w:sz w:val="24"/>
          <w:szCs w:val="20"/>
          <w:highlight w:val="none"/>
          <w:lang w:val="en-US" w:eastAsia="zh-CN" w:bidi="ar-SA"/>
        </w:rPr>
        <w:t>（日常运行维护费和应急排查及抢修费，其中日常运行维护费由本表中“泵站”费用、“提升井”费用、“管网”费用组成）</w:t>
      </w:r>
    </w:p>
    <w:bookmarkEnd w:id="8"/>
    <w:bookmarkEnd w:id="9"/>
    <w:tbl>
      <w:tblPr>
        <w:tblStyle w:val="82"/>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
      <w:tblGrid>
        <w:gridCol w:w="522"/>
        <w:gridCol w:w="1324"/>
        <w:gridCol w:w="2918"/>
        <w:gridCol w:w="771"/>
        <w:gridCol w:w="522"/>
        <w:gridCol w:w="37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1120" w:hRule="atLeast"/>
        </w:trPr>
        <w:tc>
          <w:tcPr>
            <w:tcW w:w="267" w:type="pct"/>
            <w:shd w:val="clear" w:color="auto" w:fill="auto"/>
            <w:noWrap/>
            <w:tcMar>
              <w:top w:w="15" w:type="dxa"/>
              <w:left w:w="15" w:type="dxa"/>
              <w:right w:w="15" w:type="dxa"/>
            </w:tcMar>
            <w:vAlign w:val="center"/>
          </w:tcPr>
          <w:p>
            <w:pPr>
              <w:shd w:val="clear"/>
              <w:bidi w:val="0"/>
              <w:outlineLvl w:val="9"/>
              <w:rPr>
                <w:rFonts w:hint="eastAsia" w:ascii="Calibri" w:hAnsi="Calibri" w:eastAsia="宋体" w:cs="Times New Roman"/>
                <w:color w:val="auto"/>
                <w:kern w:val="2"/>
                <w:highlight w:val="none"/>
                <w:lang w:val="en-US" w:bidi="ar-SA"/>
              </w:rPr>
            </w:pPr>
            <w:r>
              <w:rPr>
                <w:rFonts w:hint="eastAsia" w:ascii="Calibri" w:hAnsi="Calibri" w:eastAsia="宋体" w:cs="Times New Roman"/>
                <w:color w:val="auto"/>
                <w:kern w:val="2"/>
                <w:highlight w:val="none"/>
                <w:lang w:val="en-US" w:eastAsia="zh-CN" w:bidi="ar-SA"/>
              </w:rPr>
              <w:t>序号</w:t>
            </w:r>
          </w:p>
        </w:tc>
        <w:tc>
          <w:tcPr>
            <w:tcW w:w="677" w:type="pct"/>
            <w:shd w:val="clear" w:color="auto" w:fill="auto"/>
            <w:noWrap/>
            <w:tcMar>
              <w:top w:w="15" w:type="dxa"/>
              <w:left w:w="15" w:type="dxa"/>
              <w:right w:w="15" w:type="dxa"/>
            </w:tcMar>
            <w:vAlign w:val="center"/>
          </w:tcPr>
          <w:p>
            <w:pPr>
              <w:shd w:val="clear"/>
              <w:bidi w:val="0"/>
              <w:outlineLvl w:val="9"/>
              <w:rPr>
                <w:rFonts w:hint="eastAsia" w:ascii="Calibri" w:hAnsi="Calibri" w:eastAsia="宋体" w:cs="Times New Roman"/>
                <w:color w:val="auto"/>
                <w:kern w:val="2"/>
                <w:highlight w:val="none"/>
                <w:lang w:val="en-US" w:bidi="ar-SA"/>
              </w:rPr>
            </w:pPr>
            <w:r>
              <w:rPr>
                <w:rFonts w:hint="eastAsia" w:ascii="Calibri" w:hAnsi="Calibri" w:eastAsia="宋体" w:cs="Times New Roman"/>
                <w:color w:val="auto"/>
                <w:kern w:val="2"/>
                <w:highlight w:val="none"/>
                <w:lang w:val="en-US" w:eastAsia="zh-CN" w:bidi="ar-SA"/>
              </w:rPr>
              <w:t>项目名称</w:t>
            </w:r>
          </w:p>
        </w:tc>
        <w:tc>
          <w:tcPr>
            <w:tcW w:w="1493" w:type="pct"/>
            <w:shd w:val="clear" w:color="auto" w:fill="auto"/>
            <w:noWrap/>
            <w:tcMar>
              <w:top w:w="15" w:type="dxa"/>
              <w:left w:w="15" w:type="dxa"/>
              <w:right w:w="15" w:type="dxa"/>
            </w:tcMar>
            <w:vAlign w:val="center"/>
          </w:tcPr>
          <w:p>
            <w:pPr>
              <w:shd w:val="clear"/>
              <w:bidi w:val="0"/>
              <w:outlineLvl w:val="9"/>
              <w:rPr>
                <w:rFonts w:hint="eastAsia" w:ascii="Calibri" w:hAnsi="Calibri" w:eastAsia="宋体" w:cs="Times New Roman"/>
                <w:color w:val="auto"/>
                <w:kern w:val="2"/>
                <w:highlight w:val="none"/>
                <w:lang w:val="en-US" w:bidi="ar-SA"/>
              </w:rPr>
            </w:pPr>
            <w:r>
              <w:rPr>
                <w:rFonts w:hint="eastAsia" w:ascii="Calibri" w:hAnsi="Calibri" w:eastAsia="宋体" w:cs="Times New Roman"/>
                <w:color w:val="auto"/>
                <w:kern w:val="2"/>
                <w:highlight w:val="none"/>
                <w:lang w:val="en-US" w:eastAsia="zh-CN" w:bidi="ar-SA"/>
              </w:rPr>
              <w:t>参数、规格、工作内容</w:t>
            </w:r>
          </w:p>
        </w:tc>
        <w:tc>
          <w:tcPr>
            <w:tcW w:w="394" w:type="pct"/>
            <w:shd w:val="clear" w:color="auto" w:fill="auto"/>
            <w:noWrap/>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en-US" w:bidi="ar-SA"/>
              </w:rPr>
            </w:pPr>
            <w:r>
              <w:rPr>
                <w:rFonts w:hint="eastAsia" w:ascii="Calibri" w:hAnsi="Calibri" w:eastAsia="宋体" w:cs="Times New Roman"/>
                <w:color w:val="auto"/>
                <w:kern w:val="2"/>
                <w:highlight w:val="none"/>
                <w:lang w:val="en-US" w:eastAsia="zh-CN" w:bidi="ar-SA"/>
              </w:rPr>
              <w:t>工程量</w:t>
            </w:r>
          </w:p>
        </w:tc>
        <w:tc>
          <w:tcPr>
            <w:tcW w:w="267" w:type="pct"/>
            <w:shd w:val="clear" w:color="auto" w:fill="auto"/>
            <w:noWrap/>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en-US" w:bidi="ar-SA"/>
              </w:rPr>
            </w:pPr>
            <w:r>
              <w:rPr>
                <w:rFonts w:hint="eastAsia" w:ascii="Calibri" w:hAnsi="Calibri" w:eastAsia="宋体" w:cs="Times New Roman"/>
                <w:color w:val="auto"/>
                <w:kern w:val="2"/>
                <w:highlight w:val="none"/>
                <w:lang w:val="en-US" w:eastAsia="zh-CN" w:bidi="ar-SA"/>
              </w:rPr>
              <w:t>单位</w:t>
            </w:r>
          </w:p>
        </w:tc>
        <w:tc>
          <w:tcPr>
            <w:tcW w:w="1900" w:type="pct"/>
            <w:shd w:val="clear" w:color="auto" w:fill="auto"/>
            <w:noWrap/>
            <w:tcMar>
              <w:top w:w="15" w:type="dxa"/>
              <w:left w:w="15" w:type="dxa"/>
              <w:right w:w="15" w:type="dxa"/>
            </w:tcMar>
            <w:vAlign w:val="center"/>
          </w:tcPr>
          <w:p>
            <w:pPr>
              <w:shd w:val="clear"/>
              <w:bidi w:val="0"/>
              <w:outlineLvl w:val="9"/>
              <w:rPr>
                <w:rFonts w:hint="eastAsia" w:ascii="Calibri" w:hAnsi="Calibri" w:eastAsia="宋体" w:cs="Times New Roman"/>
                <w:color w:val="auto"/>
                <w:kern w:val="2"/>
                <w:highlight w:val="none"/>
                <w:lang w:val="en-US" w:bidi="ar-SA"/>
              </w:rPr>
            </w:pPr>
            <w:r>
              <w:rPr>
                <w:rFonts w:hint="eastAsia" w:ascii="Calibri" w:hAnsi="Calibri" w:eastAsia="宋体" w:cs="Times New Roman"/>
                <w:color w:val="auto"/>
                <w:kern w:val="2"/>
                <w:highlight w:val="none"/>
                <w:lang w:val="en-US"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0" w:hRule="atLeast"/>
        </w:trPr>
        <w:tc>
          <w:tcPr>
            <w:tcW w:w="267" w:type="pct"/>
            <w:shd w:val="clear" w:color="auto" w:fill="auto"/>
            <w:noWrap/>
            <w:tcMar>
              <w:top w:w="15" w:type="dxa"/>
              <w:left w:w="15" w:type="dxa"/>
              <w:right w:w="15" w:type="dxa"/>
            </w:tcMar>
            <w:vAlign w:val="center"/>
          </w:tcPr>
          <w:p>
            <w:pPr>
              <w:shd w:val="clear"/>
              <w:bidi w:val="0"/>
              <w:outlineLvl w:val="9"/>
              <w:rPr>
                <w:rFonts w:hint="eastAsia" w:ascii="Calibri" w:hAnsi="Calibri" w:eastAsia="宋体" w:cs="Times New Roman"/>
                <w:color w:val="auto"/>
                <w:kern w:val="2"/>
                <w:highlight w:val="none"/>
                <w:lang w:val="en-US" w:bidi="ar-SA"/>
              </w:rPr>
            </w:pPr>
            <w:r>
              <w:rPr>
                <w:rFonts w:hint="eastAsia" w:ascii="Calibri" w:hAnsi="Calibri" w:eastAsia="宋体" w:cs="Times New Roman"/>
                <w:color w:val="auto"/>
                <w:kern w:val="2"/>
                <w:highlight w:val="none"/>
                <w:lang w:val="en-US" w:eastAsia="zh-CN" w:bidi="ar-SA"/>
              </w:rPr>
              <w:t>一</w:t>
            </w:r>
          </w:p>
        </w:tc>
        <w:tc>
          <w:tcPr>
            <w:tcW w:w="677" w:type="pct"/>
            <w:shd w:val="clear" w:color="auto" w:fill="auto"/>
            <w:noWrap/>
            <w:tcMar>
              <w:top w:w="15" w:type="dxa"/>
              <w:left w:w="15" w:type="dxa"/>
              <w:right w:w="15" w:type="dxa"/>
            </w:tcMar>
            <w:vAlign w:val="center"/>
          </w:tcPr>
          <w:p>
            <w:pPr>
              <w:shd w:val="clear"/>
              <w:bidi w:val="0"/>
              <w:outlineLvl w:val="9"/>
              <w:rPr>
                <w:rFonts w:hint="eastAsia" w:ascii="Calibri" w:hAnsi="Calibri" w:eastAsia="宋体" w:cs="Times New Roman"/>
                <w:color w:val="auto"/>
                <w:kern w:val="2"/>
                <w:highlight w:val="none"/>
                <w:lang w:val="en-US" w:bidi="ar-SA"/>
              </w:rPr>
            </w:pPr>
            <w:r>
              <w:rPr>
                <w:rFonts w:hint="eastAsia" w:ascii="Calibri" w:hAnsi="Calibri" w:eastAsia="宋体" w:cs="Times New Roman"/>
                <w:color w:val="auto"/>
                <w:kern w:val="2"/>
                <w:highlight w:val="none"/>
                <w:lang w:val="en-US" w:eastAsia="zh-CN" w:bidi="ar-SA"/>
              </w:rPr>
              <w:t>泵站</w:t>
            </w:r>
          </w:p>
        </w:tc>
        <w:tc>
          <w:tcPr>
            <w:tcW w:w="1493" w:type="pct"/>
            <w:shd w:val="clear" w:color="auto" w:fill="auto"/>
            <w:noWrap/>
            <w:tcMar>
              <w:top w:w="15" w:type="dxa"/>
              <w:left w:w="15" w:type="dxa"/>
              <w:right w:w="15" w:type="dxa"/>
            </w:tcMar>
            <w:vAlign w:val="center"/>
          </w:tcPr>
          <w:p>
            <w:pPr>
              <w:shd w:val="clear"/>
              <w:bidi w:val="0"/>
              <w:outlineLvl w:val="9"/>
              <w:rPr>
                <w:rFonts w:hint="eastAsia" w:ascii="Calibri" w:hAnsi="Calibri" w:eastAsia="宋体" w:cs="Times New Roman"/>
                <w:color w:val="auto"/>
                <w:kern w:val="2"/>
                <w:highlight w:val="none"/>
                <w:lang w:val="en-US" w:bidi="ar-SA"/>
              </w:rPr>
            </w:pPr>
          </w:p>
        </w:tc>
        <w:tc>
          <w:tcPr>
            <w:tcW w:w="394" w:type="pct"/>
            <w:shd w:val="clear" w:color="auto" w:fill="auto"/>
            <w:noWrap/>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en-US" w:bidi="ar-SA"/>
              </w:rPr>
            </w:pPr>
          </w:p>
        </w:tc>
        <w:tc>
          <w:tcPr>
            <w:tcW w:w="267" w:type="pct"/>
            <w:shd w:val="clear" w:color="auto" w:fill="auto"/>
            <w:noWrap/>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en-US" w:bidi="ar-SA"/>
              </w:rPr>
            </w:pPr>
          </w:p>
        </w:tc>
        <w:tc>
          <w:tcPr>
            <w:tcW w:w="1900" w:type="pct"/>
            <w:shd w:val="clear" w:color="auto" w:fill="auto"/>
            <w:noWrap/>
            <w:tcMar>
              <w:top w:w="15" w:type="dxa"/>
              <w:left w:w="15" w:type="dxa"/>
              <w:right w:w="15" w:type="dxa"/>
            </w:tcMar>
            <w:vAlign w:val="center"/>
          </w:tcPr>
          <w:p>
            <w:pPr>
              <w:shd w:val="clear"/>
              <w:bidi w:val="0"/>
              <w:outlineLvl w:val="9"/>
              <w:rPr>
                <w:rFonts w:hint="eastAsia" w:ascii="Calibri" w:hAnsi="Calibri" w:eastAsia="宋体" w:cs="Times New Roman"/>
                <w:color w:val="auto"/>
                <w:kern w:val="2"/>
                <w:highlight w:val="none"/>
                <w:lang w:val="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1760" w:hRule="atLeast"/>
        </w:trPr>
        <w:tc>
          <w:tcPr>
            <w:tcW w:w="267" w:type="pct"/>
            <w:shd w:val="clear" w:color="auto" w:fill="auto"/>
            <w:noWrap/>
            <w:tcMar>
              <w:top w:w="15" w:type="dxa"/>
              <w:left w:w="15" w:type="dxa"/>
              <w:right w:w="15" w:type="dxa"/>
            </w:tcMar>
            <w:vAlign w:val="center"/>
          </w:tcPr>
          <w:p>
            <w:pPr>
              <w:shd w:val="clear"/>
              <w:bidi w:val="0"/>
              <w:outlineLvl w:val="9"/>
              <w:rPr>
                <w:rFonts w:hint="eastAsia" w:ascii="Calibri" w:hAnsi="Calibri" w:eastAsia="宋体" w:cs="Times New Roman"/>
                <w:color w:val="auto"/>
                <w:kern w:val="2"/>
                <w:highlight w:val="none"/>
                <w:lang w:val="en-US" w:bidi="ar-SA"/>
              </w:rPr>
            </w:pPr>
            <w:r>
              <w:rPr>
                <w:rFonts w:hint="eastAsia" w:ascii="Calibri" w:hAnsi="Calibri" w:eastAsia="宋体" w:cs="Times New Roman"/>
                <w:color w:val="auto"/>
                <w:kern w:val="2"/>
                <w:highlight w:val="none"/>
                <w:lang w:val="en-US" w:eastAsia="zh-CN" w:bidi="ar-SA"/>
              </w:rPr>
              <w:t>1</w:t>
            </w:r>
          </w:p>
        </w:tc>
        <w:tc>
          <w:tcPr>
            <w:tcW w:w="677" w:type="pct"/>
            <w:shd w:val="clear" w:color="auto" w:fill="auto"/>
            <w:noWrap/>
            <w:tcMar>
              <w:top w:w="15" w:type="dxa"/>
              <w:left w:w="15" w:type="dxa"/>
              <w:right w:w="15" w:type="dxa"/>
            </w:tcMar>
            <w:vAlign w:val="center"/>
          </w:tcPr>
          <w:p>
            <w:pPr>
              <w:shd w:val="clear"/>
              <w:bidi w:val="0"/>
              <w:outlineLvl w:val="9"/>
              <w:rPr>
                <w:rFonts w:hint="eastAsia" w:ascii="Calibri" w:hAnsi="Calibri" w:eastAsia="宋体" w:cs="Times New Roman"/>
                <w:color w:val="auto"/>
                <w:kern w:val="2"/>
                <w:highlight w:val="none"/>
                <w:lang w:val="en-US" w:bidi="ar-SA"/>
              </w:rPr>
            </w:pPr>
            <w:r>
              <w:rPr>
                <w:rFonts w:hint="eastAsia" w:ascii="Calibri" w:hAnsi="Calibri" w:eastAsia="宋体" w:cs="Times New Roman"/>
                <w:color w:val="auto"/>
                <w:kern w:val="2"/>
                <w:highlight w:val="none"/>
                <w:lang w:val="en-US" w:eastAsia="zh-CN" w:bidi="ar-SA"/>
              </w:rPr>
              <w:t>水泵更换</w:t>
            </w:r>
          </w:p>
        </w:tc>
        <w:tc>
          <w:tcPr>
            <w:tcW w:w="1493" w:type="pct"/>
            <w:shd w:val="clear" w:color="auto" w:fill="auto"/>
            <w:tcMar>
              <w:top w:w="15" w:type="dxa"/>
              <w:left w:w="15" w:type="dxa"/>
              <w:right w:w="15" w:type="dxa"/>
            </w:tcMar>
            <w:vAlign w:val="center"/>
          </w:tcPr>
          <w:p>
            <w:pPr>
              <w:shd w:val="clear"/>
              <w:bidi w:val="0"/>
              <w:outlineLvl w:val="9"/>
              <w:rPr>
                <w:rFonts w:hint="eastAsia" w:ascii="Calibri" w:hAnsi="Calibri" w:eastAsia="宋体" w:cs="Times New Roman"/>
                <w:color w:val="auto"/>
                <w:kern w:val="2"/>
                <w:highlight w:val="none"/>
                <w:lang w:val="en-US" w:bidi="ar-SA"/>
              </w:rPr>
            </w:pPr>
            <w:r>
              <w:rPr>
                <w:rFonts w:hint="eastAsia" w:ascii="Calibri" w:hAnsi="Calibri" w:eastAsia="宋体" w:cs="Times New Roman"/>
                <w:color w:val="auto"/>
                <w:kern w:val="2"/>
                <w:highlight w:val="none"/>
                <w:lang w:val="en-US" w:eastAsia="zh-CN" w:bidi="ar-SA"/>
              </w:rPr>
              <w:t>1、为了确保水泵正常运转和提高设备的效率，需要对老旧或故障的水泵进行拆除更换。</w:t>
            </w:r>
          </w:p>
        </w:tc>
        <w:tc>
          <w:tcPr>
            <w:tcW w:w="394" w:type="pct"/>
            <w:vMerge w:val="restart"/>
            <w:shd w:val="clear" w:color="auto" w:fill="auto"/>
            <w:noWrap/>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en-US" w:bidi="ar-SA"/>
              </w:rPr>
            </w:pPr>
            <w:r>
              <w:rPr>
                <w:rFonts w:hint="eastAsia" w:ascii="Calibri" w:hAnsi="Calibri" w:eastAsia="宋体" w:cs="Times New Roman"/>
                <w:color w:val="auto"/>
                <w:kern w:val="2"/>
                <w:highlight w:val="none"/>
                <w:lang w:val="en-US" w:eastAsia="zh-CN" w:bidi="ar-SA"/>
              </w:rPr>
              <w:t>34</w:t>
            </w:r>
          </w:p>
        </w:tc>
        <w:tc>
          <w:tcPr>
            <w:tcW w:w="267" w:type="pct"/>
            <w:vMerge w:val="restart"/>
            <w:shd w:val="clear" w:color="auto" w:fill="auto"/>
            <w:noWrap/>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en-US" w:bidi="ar-SA"/>
              </w:rPr>
            </w:pPr>
            <w:r>
              <w:rPr>
                <w:rFonts w:hint="eastAsia" w:ascii="Calibri" w:hAnsi="Calibri" w:eastAsia="宋体" w:cs="Times New Roman"/>
                <w:color w:val="auto"/>
                <w:kern w:val="2"/>
                <w:highlight w:val="none"/>
                <w:lang w:val="en-US" w:eastAsia="zh-CN" w:bidi="ar-SA"/>
              </w:rPr>
              <w:t>台</w:t>
            </w:r>
          </w:p>
        </w:tc>
        <w:tc>
          <w:tcPr>
            <w:tcW w:w="1900" w:type="pct"/>
            <w:vMerge w:val="restart"/>
            <w:shd w:val="clear" w:color="auto" w:fill="auto"/>
            <w:tcMar>
              <w:top w:w="15" w:type="dxa"/>
              <w:left w:w="15" w:type="dxa"/>
              <w:right w:w="15" w:type="dxa"/>
            </w:tcMar>
            <w:vAlign w:val="center"/>
          </w:tcPr>
          <w:p>
            <w:pPr>
              <w:shd w:val="clear"/>
              <w:bidi w:val="0"/>
              <w:outlineLvl w:val="9"/>
              <w:rPr>
                <w:rFonts w:hint="eastAsia" w:ascii="Calibri" w:hAnsi="Calibri" w:eastAsia="宋体" w:cs="Times New Roman"/>
                <w:color w:val="auto"/>
                <w:kern w:val="2"/>
                <w:highlight w:val="none"/>
                <w:lang w:val="en-US" w:bidi="ar-SA"/>
              </w:rPr>
            </w:pPr>
            <w:r>
              <w:rPr>
                <w:rFonts w:hint="eastAsia" w:ascii="Calibri" w:hAnsi="Calibri" w:eastAsia="宋体" w:cs="Times New Roman"/>
                <w:color w:val="auto"/>
                <w:kern w:val="2"/>
                <w:highlight w:val="none"/>
                <w:lang w:val="en-US" w:eastAsia="zh-CN" w:bidi="ar-SA"/>
              </w:rPr>
              <w:t>1、含泵站日常维护、日常巡检，加强汛期维护、巡检次数，包含泵池清淤、清杂、进、出水管道疏通、清洗、淤泥及垃圾外运、机电设备保养、配合安装更新设备、重要配件更换；</w:t>
            </w:r>
            <w:r>
              <w:rPr>
                <w:rFonts w:hint="eastAsia" w:ascii="Calibri" w:hAnsi="Calibri" w:eastAsia="宋体" w:cs="Times New Roman"/>
                <w:color w:val="auto"/>
                <w:kern w:val="2"/>
                <w:highlight w:val="none"/>
                <w:lang w:val="en-US" w:eastAsia="zh-CN" w:bidi="ar-SA"/>
              </w:rPr>
              <w:br w:type="textWrapping"/>
            </w:r>
            <w:r>
              <w:rPr>
                <w:rFonts w:hint="eastAsia" w:ascii="Calibri" w:hAnsi="Calibri" w:eastAsia="宋体" w:cs="Times New Roman"/>
                <w:color w:val="auto"/>
                <w:kern w:val="2"/>
                <w:highlight w:val="none"/>
                <w:lang w:val="en-US" w:eastAsia="zh-CN" w:bidi="ar-SA"/>
              </w:rPr>
              <w:t>2、含小型泵站、提升井内设施设备小额维修(如开关、螺栓、螺母、配件等）更换配件,设施设备正常运行至养护期结束。</w:t>
            </w:r>
            <w:r>
              <w:rPr>
                <w:rFonts w:hint="eastAsia" w:ascii="Calibri" w:hAnsi="Calibri" w:eastAsia="宋体" w:cs="Times New Roman"/>
                <w:color w:val="auto"/>
                <w:kern w:val="2"/>
                <w:highlight w:val="none"/>
                <w:lang w:val="en-US" w:eastAsia="zh-CN" w:bidi="ar-SA"/>
              </w:rPr>
              <w:br w:type="textWrapping"/>
            </w:r>
            <w:r>
              <w:rPr>
                <w:rFonts w:hint="eastAsia" w:ascii="Calibri" w:hAnsi="Calibri" w:eastAsia="宋体" w:cs="Times New Roman"/>
                <w:color w:val="auto"/>
                <w:kern w:val="2"/>
                <w:highlight w:val="none"/>
                <w:lang w:val="en-US" w:eastAsia="zh-CN" w:bidi="ar-SA"/>
              </w:rPr>
              <w:t>3、详见附件二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3980" w:hRule="atLeast"/>
        </w:trPr>
        <w:tc>
          <w:tcPr>
            <w:tcW w:w="267" w:type="pct"/>
            <w:shd w:val="clear" w:color="auto" w:fill="auto"/>
            <w:noWrap/>
            <w:tcMar>
              <w:top w:w="15" w:type="dxa"/>
              <w:left w:w="15" w:type="dxa"/>
              <w:right w:w="15" w:type="dxa"/>
            </w:tcMar>
            <w:vAlign w:val="center"/>
          </w:tcPr>
          <w:p>
            <w:pPr>
              <w:shd w:val="clear"/>
              <w:bidi w:val="0"/>
              <w:outlineLvl w:val="9"/>
              <w:rPr>
                <w:rFonts w:hint="eastAsia" w:ascii="Calibri" w:hAnsi="Calibri" w:eastAsia="宋体" w:cs="Times New Roman"/>
                <w:color w:val="auto"/>
                <w:kern w:val="2"/>
                <w:highlight w:val="none"/>
                <w:lang w:val="en-US" w:bidi="ar-SA"/>
              </w:rPr>
            </w:pPr>
            <w:r>
              <w:rPr>
                <w:rFonts w:hint="eastAsia" w:ascii="Calibri" w:hAnsi="Calibri" w:eastAsia="宋体" w:cs="Times New Roman"/>
                <w:color w:val="auto"/>
                <w:kern w:val="2"/>
                <w:highlight w:val="none"/>
                <w:lang w:val="en-US" w:eastAsia="zh-CN" w:bidi="ar-SA"/>
              </w:rPr>
              <w:t>2</w:t>
            </w:r>
          </w:p>
        </w:tc>
        <w:tc>
          <w:tcPr>
            <w:tcW w:w="677" w:type="pct"/>
            <w:shd w:val="clear" w:color="auto" w:fill="auto"/>
            <w:tcMar>
              <w:top w:w="15" w:type="dxa"/>
              <w:left w:w="15" w:type="dxa"/>
              <w:right w:w="15" w:type="dxa"/>
            </w:tcMar>
            <w:vAlign w:val="center"/>
          </w:tcPr>
          <w:p>
            <w:pPr>
              <w:shd w:val="clear"/>
              <w:bidi w:val="0"/>
              <w:outlineLvl w:val="9"/>
              <w:rPr>
                <w:rFonts w:hint="eastAsia" w:ascii="Calibri" w:hAnsi="Calibri" w:eastAsia="宋体" w:cs="Times New Roman"/>
                <w:color w:val="auto"/>
                <w:kern w:val="2"/>
                <w:highlight w:val="none"/>
                <w:lang w:val="en-US" w:bidi="ar-SA"/>
              </w:rPr>
            </w:pPr>
            <w:r>
              <w:rPr>
                <w:rFonts w:hint="eastAsia" w:ascii="Calibri" w:hAnsi="Calibri" w:eastAsia="宋体" w:cs="Times New Roman"/>
                <w:color w:val="auto"/>
                <w:kern w:val="2"/>
                <w:highlight w:val="none"/>
                <w:lang w:val="en-US" w:eastAsia="zh-CN" w:bidi="ar-SA"/>
              </w:rPr>
              <w:t>泵池、水泵、闸门、液压站养护等</w:t>
            </w:r>
          </w:p>
        </w:tc>
        <w:tc>
          <w:tcPr>
            <w:tcW w:w="1493" w:type="pct"/>
            <w:shd w:val="clear" w:color="auto" w:fill="auto"/>
            <w:tcMar>
              <w:top w:w="15" w:type="dxa"/>
              <w:left w:w="15" w:type="dxa"/>
              <w:right w:w="15" w:type="dxa"/>
            </w:tcMar>
            <w:vAlign w:val="center"/>
          </w:tcPr>
          <w:p>
            <w:pPr>
              <w:shd w:val="clear"/>
              <w:bidi w:val="0"/>
              <w:outlineLvl w:val="9"/>
              <w:rPr>
                <w:rFonts w:hint="eastAsia" w:ascii="Calibri" w:hAnsi="Calibri" w:eastAsia="宋体" w:cs="Times New Roman"/>
                <w:color w:val="auto"/>
                <w:kern w:val="2"/>
                <w:highlight w:val="none"/>
                <w:lang w:val="en-US" w:bidi="ar-SA"/>
              </w:rPr>
            </w:pPr>
            <w:r>
              <w:rPr>
                <w:rFonts w:hint="eastAsia" w:ascii="Calibri" w:hAnsi="Calibri" w:eastAsia="宋体" w:cs="Times New Roman"/>
                <w:color w:val="auto"/>
                <w:kern w:val="2"/>
                <w:highlight w:val="none"/>
                <w:lang w:val="en-US" w:eastAsia="zh-CN" w:bidi="ar-SA"/>
              </w:rPr>
              <w:t>一、水泵检查周期为15天，检查内容:</w:t>
            </w:r>
            <w:r>
              <w:rPr>
                <w:rFonts w:hint="eastAsia" w:ascii="Calibri" w:hAnsi="Calibri" w:eastAsia="宋体" w:cs="Times New Roman"/>
                <w:color w:val="auto"/>
                <w:kern w:val="2"/>
                <w:highlight w:val="none"/>
                <w:lang w:val="en-US" w:eastAsia="zh-CN" w:bidi="ar-SA"/>
              </w:rPr>
              <w:br w:type="textWrapping"/>
            </w:r>
            <w:r>
              <w:rPr>
                <w:rFonts w:hint="eastAsia" w:ascii="Calibri" w:hAnsi="Calibri" w:eastAsia="宋体" w:cs="Times New Roman"/>
                <w:color w:val="auto"/>
                <w:kern w:val="2"/>
                <w:highlight w:val="none"/>
                <w:lang w:val="en-US" w:eastAsia="zh-CN" w:bidi="ar-SA"/>
              </w:rPr>
              <w:t>1、检查水泵是否堵塞；</w:t>
            </w:r>
            <w:r>
              <w:rPr>
                <w:rFonts w:hint="eastAsia" w:ascii="Calibri" w:hAnsi="Calibri" w:eastAsia="宋体" w:cs="Times New Roman"/>
                <w:color w:val="auto"/>
                <w:kern w:val="2"/>
                <w:highlight w:val="none"/>
                <w:lang w:val="en-US" w:eastAsia="zh-CN" w:bidi="ar-SA"/>
              </w:rPr>
              <w:br w:type="textWrapping"/>
            </w:r>
            <w:r>
              <w:rPr>
                <w:rFonts w:hint="eastAsia" w:ascii="Calibri" w:hAnsi="Calibri" w:eastAsia="宋体" w:cs="Times New Roman"/>
                <w:color w:val="auto"/>
                <w:kern w:val="2"/>
                <w:highlight w:val="none"/>
                <w:lang w:val="en-US" w:eastAsia="zh-CN" w:bidi="ar-SA"/>
              </w:rPr>
              <w:t>2、检查水泵电气线路；</w:t>
            </w:r>
            <w:r>
              <w:rPr>
                <w:rFonts w:hint="eastAsia" w:ascii="Calibri" w:hAnsi="Calibri" w:eastAsia="宋体" w:cs="Times New Roman"/>
                <w:color w:val="auto"/>
                <w:kern w:val="2"/>
                <w:highlight w:val="none"/>
                <w:lang w:val="en-US" w:eastAsia="zh-CN" w:bidi="ar-SA"/>
              </w:rPr>
              <w:br w:type="textWrapping"/>
            </w:r>
            <w:r>
              <w:rPr>
                <w:rFonts w:hint="eastAsia" w:ascii="Calibri" w:hAnsi="Calibri" w:eastAsia="宋体" w:cs="Times New Roman"/>
                <w:color w:val="auto"/>
                <w:kern w:val="2"/>
                <w:highlight w:val="none"/>
                <w:lang w:val="en-US" w:eastAsia="zh-CN" w:bidi="ar-SA"/>
              </w:rPr>
              <w:t>3、检查水泵耦合装置是否牢固；</w:t>
            </w:r>
            <w:r>
              <w:rPr>
                <w:rFonts w:hint="eastAsia" w:ascii="Calibri" w:hAnsi="Calibri" w:eastAsia="宋体" w:cs="Times New Roman"/>
                <w:color w:val="auto"/>
                <w:kern w:val="2"/>
                <w:highlight w:val="none"/>
                <w:lang w:val="en-US" w:eastAsia="zh-CN" w:bidi="ar-SA"/>
              </w:rPr>
              <w:br w:type="textWrapping"/>
            </w:r>
            <w:r>
              <w:rPr>
                <w:rFonts w:hint="eastAsia" w:ascii="Calibri" w:hAnsi="Calibri" w:eastAsia="宋体" w:cs="Times New Roman"/>
                <w:color w:val="auto"/>
                <w:kern w:val="2"/>
                <w:highlight w:val="none"/>
                <w:lang w:val="en-US" w:eastAsia="zh-CN" w:bidi="ar-SA"/>
              </w:rPr>
              <w:t>4、检查水泵管道是否漏水；</w:t>
            </w:r>
            <w:r>
              <w:rPr>
                <w:rFonts w:hint="eastAsia" w:ascii="Calibri" w:hAnsi="Calibri" w:eastAsia="宋体" w:cs="Times New Roman"/>
                <w:color w:val="auto"/>
                <w:kern w:val="2"/>
                <w:highlight w:val="none"/>
                <w:lang w:val="en-US" w:eastAsia="zh-CN" w:bidi="ar-SA"/>
              </w:rPr>
              <w:br w:type="textWrapping"/>
            </w:r>
            <w:r>
              <w:rPr>
                <w:rFonts w:hint="eastAsia" w:ascii="Calibri" w:hAnsi="Calibri" w:eastAsia="宋体" w:cs="Times New Roman"/>
                <w:color w:val="auto"/>
                <w:kern w:val="2"/>
                <w:highlight w:val="none"/>
                <w:lang w:val="en-US" w:eastAsia="zh-CN" w:bidi="ar-SA"/>
              </w:rPr>
              <w:t>5、检查保护水泵的浮球液位计是否损坏；</w:t>
            </w:r>
            <w:r>
              <w:rPr>
                <w:rFonts w:hint="eastAsia" w:ascii="Calibri" w:hAnsi="Calibri" w:eastAsia="宋体" w:cs="Times New Roman"/>
                <w:color w:val="auto"/>
                <w:kern w:val="2"/>
                <w:highlight w:val="none"/>
                <w:lang w:val="en-US" w:eastAsia="zh-CN" w:bidi="ar-SA"/>
              </w:rPr>
              <w:br w:type="textWrapping"/>
            </w:r>
            <w:r>
              <w:rPr>
                <w:rFonts w:hint="eastAsia" w:ascii="Calibri" w:hAnsi="Calibri" w:eastAsia="宋体" w:cs="Times New Roman"/>
                <w:color w:val="auto"/>
                <w:kern w:val="2"/>
                <w:highlight w:val="none"/>
                <w:lang w:val="en-US" w:eastAsia="zh-CN" w:bidi="ar-SA"/>
              </w:rPr>
              <w:t>6、检查水泵运行状态，是否正常或者有异响；</w:t>
            </w:r>
            <w:r>
              <w:rPr>
                <w:rFonts w:hint="eastAsia" w:ascii="Calibri" w:hAnsi="Calibri" w:eastAsia="宋体" w:cs="Times New Roman"/>
                <w:color w:val="auto"/>
                <w:kern w:val="2"/>
                <w:highlight w:val="none"/>
                <w:lang w:val="en-US" w:eastAsia="zh-CN" w:bidi="ar-SA"/>
              </w:rPr>
              <w:br w:type="textWrapping"/>
            </w:r>
            <w:r>
              <w:rPr>
                <w:rFonts w:hint="eastAsia" w:ascii="Calibri" w:hAnsi="Calibri" w:eastAsia="宋体" w:cs="Times New Roman"/>
                <w:color w:val="auto"/>
                <w:kern w:val="2"/>
                <w:highlight w:val="none"/>
                <w:lang w:val="en-US" w:eastAsia="zh-CN" w:bidi="ar-SA"/>
              </w:rPr>
              <w:t>二、泵池每2个月整池清理垃圾和淤泥，平时清理漂浮、格栅(滤网)等。</w:t>
            </w:r>
          </w:p>
        </w:tc>
        <w:tc>
          <w:tcPr>
            <w:tcW w:w="394" w:type="pct"/>
            <w:vMerge w:val="continue"/>
            <w:shd w:val="clear" w:color="auto" w:fill="auto"/>
            <w:noWrap/>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en-US" w:bidi="ar-SA"/>
              </w:rPr>
            </w:pPr>
          </w:p>
        </w:tc>
        <w:tc>
          <w:tcPr>
            <w:tcW w:w="267" w:type="pct"/>
            <w:vMerge w:val="continue"/>
            <w:shd w:val="clear" w:color="auto" w:fill="auto"/>
            <w:noWrap/>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en-US" w:bidi="ar-SA"/>
              </w:rPr>
            </w:pPr>
          </w:p>
        </w:tc>
        <w:tc>
          <w:tcPr>
            <w:tcW w:w="1900" w:type="pct"/>
            <w:vMerge w:val="continue"/>
            <w:shd w:val="clear" w:color="auto" w:fill="auto"/>
            <w:tcMar>
              <w:top w:w="15" w:type="dxa"/>
              <w:left w:w="15" w:type="dxa"/>
              <w:right w:w="15" w:type="dxa"/>
            </w:tcMar>
            <w:vAlign w:val="center"/>
          </w:tcPr>
          <w:p>
            <w:pPr>
              <w:shd w:val="clear"/>
              <w:bidi w:val="0"/>
              <w:outlineLvl w:val="9"/>
              <w:rPr>
                <w:rFonts w:hint="eastAsia" w:ascii="Calibri" w:hAnsi="Calibri" w:eastAsia="宋体" w:cs="Times New Roman"/>
                <w:color w:val="auto"/>
                <w:kern w:val="2"/>
                <w:highlight w:val="none"/>
                <w:lang w:val="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3360" w:hRule="atLeast"/>
        </w:trPr>
        <w:tc>
          <w:tcPr>
            <w:tcW w:w="267" w:type="pct"/>
            <w:shd w:val="clear" w:color="auto" w:fill="auto"/>
            <w:noWrap/>
            <w:tcMar>
              <w:top w:w="15" w:type="dxa"/>
              <w:left w:w="15" w:type="dxa"/>
              <w:right w:w="15" w:type="dxa"/>
            </w:tcMar>
            <w:vAlign w:val="center"/>
          </w:tcPr>
          <w:p>
            <w:pPr>
              <w:shd w:val="clear"/>
              <w:bidi w:val="0"/>
              <w:outlineLvl w:val="9"/>
              <w:rPr>
                <w:rFonts w:hint="eastAsia" w:ascii="Calibri" w:hAnsi="Calibri" w:eastAsia="宋体" w:cs="Times New Roman"/>
                <w:color w:val="auto"/>
                <w:kern w:val="2"/>
                <w:highlight w:val="none"/>
                <w:lang w:val="en-US" w:bidi="ar-SA"/>
              </w:rPr>
            </w:pPr>
            <w:r>
              <w:rPr>
                <w:rFonts w:hint="eastAsia" w:ascii="Calibri" w:hAnsi="Calibri" w:eastAsia="宋体" w:cs="Times New Roman"/>
                <w:color w:val="auto"/>
                <w:kern w:val="2"/>
                <w:highlight w:val="none"/>
                <w:lang w:val="en-US" w:eastAsia="zh-CN" w:bidi="ar-SA"/>
              </w:rPr>
              <w:t>3</w:t>
            </w:r>
          </w:p>
        </w:tc>
        <w:tc>
          <w:tcPr>
            <w:tcW w:w="677" w:type="pct"/>
            <w:shd w:val="clear" w:color="auto" w:fill="auto"/>
            <w:tcMar>
              <w:top w:w="15" w:type="dxa"/>
              <w:left w:w="15" w:type="dxa"/>
              <w:right w:w="15" w:type="dxa"/>
            </w:tcMar>
            <w:vAlign w:val="center"/>
          </w:tcPr>
          <w:p>
            <w:pPr>
              <w:shd w:val="clear"/>
              <w:bidi w:val="0"/>
              <w:outlineLvl w:val="9"/>
              <w:rPr>
                <w:rFonts w:hint="eastAsia" w:ascii="Calibri" w:hAnsi="Calibri" w:eastAsia="宋体" w:cs="Times New Roman"/>
                <w:color w:val="auto"/>
                <w:kern w:val="2"/>
                <w:highlight w:val="none"/>
                <w:lang w:val="en-US" w:bidi="ar-SA"/>
              </w:rPr>
            </w:pPr>
            <w:r>
              <w:rPr>
                <w:rFonts w:hint="eastAsia" w:ascii="Calibri" w:hAnsi="Calibri" w:eastAsia="宋体" w:cs="Times New Roman"/>
                <w:color w:val="auto"/>
                <w:kern w:val="2"/>
                <w:highlight w:val="none"/>
                <w:lang w:val="en-US" w:eastAsia="zh-CN" w:bidi="ar-SA"/>
              </w:rPr>
              <w:t>控制柜养护等</w:t>
            </w:r>
          </w:p>
        </w:tc>
        <w:tc>
          <w:tcPr>
            <w:tcW w:w="1493" w:type="pct"/>
            <w:shd w:val="clear" w:color="auto" w:fill="auto"/>
            <w:tcMar>
              <w:top w:w="15" w:type="dxa"/>
              <w:left w:w="15" w:type="dxa"/>
              <w:right w:w="15" w:type="dxa"/>
            </w:tcMar>
            <w:vAlign w:val="center"/>
          </w:tcPr>
          <w:p>
            <w:pPr>
              <w:shd w:val="clear"/>
              <w:bidi w:val="0"/>
              <w:outlineLvl w:val="9"/>
              <w:rPr>
                <w:rFonts w:hint="eastAsia" w:ascii="Calibri" w:hAnsi="Calibri" w:eastAsia="宋体" w:cs="Times New Roman"/>
                <w:color w:val="auto"/>
                <w:kern w:val="2"/>
                <w:highlight w:val="none"/>
                <w:lang w:val="en-US" w:bidi="ar-SA"/>
              </w:rPr>
            </w:pPr>
            <w:r>
              <w:rPr>
                <w:rFonts w:hint="eastAsia" w:ascii="Calibri" w:hAnsi="Calibri" w:eastAsia="宋体" w:cs="Times New Roman"/>
                <w:color w:val="auto"/>
                <w:kern w:val="2"/>
                <w:highlight w:val="none"/>
                <w:lang w:val="en-US" w:eastAsia="zh-CN" w:bidi="ar-SA"/>
              </w:rPr>
              <w:t>控制柜养护检查周期为15天，检查内容:</w:t>
            </w:r>
            <w:r>
              <w:rPr>
                <w:rFonts w:hint="eastAsia" w:ascii="Calibri" w:hAnsi="Calibri" w:eastAsia="宋体" w:cs="Times New Roman"/>
                <w:color w:val="auto"/>
                <w:kern w:val="2"/>
                <w:highlight w:val="none"/>
                <w:lang w:val="en-US" w:eastAsia="zh-CN" w:bidi="ar-SA"/>
              </w:rPr>
              <w:br w:type="textWrapping"/>
            </w:r>
            <w:r>
              <w:rPr>
                <w:rFonts w:hint="eastAsia" w:ascii="Calibri" w:hAnsi="Calibri" w:eastAsia="宋体" w:cs="Times New Roman"/>
                <w:color w:val="auto"/>
                <w:kern w:val="2"/>
                <w:highlight w:val="none"/>
                <w:lang w:val="en-US" w:eastAsia="zh-CN" w:bidi="ar-SA"/>
              </w:rPr>
              <w:t>1、检查柜内电气元器件是否有损坏；</w:t>
            </w:r>
            <w:r>
              <w:rPr>
                <w:rFonts w:hint="eastAsia" w:ascii="Calibri" w:hAnsi="Calibri" w:eastAsia="宋体" w:cs="Times New Roman"/>
                <w:color w:val="auto"/>
                <w:kern w:val="2"/>
                <w:highlight w:val="none"/>
                <w:lang w:val="en-US" w:eastAsia="zh-CN" w:bidi="ar-SA"/>
              </w:rPr>
              <w:br w:type="textWrapping"/>
            </w:r>
            <w:r>
              <w:rPr>
                <w:rFonts w:hint="eastAsia" w:ascii="Calibri" w:hAnsi="Calibri" w:eastAsia="宋体" w:cs="Times New Roman"/>
                <w:color w:val="auto"/>
                <w:kern w:val="2"/>
                <w:highlight w:val="none"/>
                <w:lang w:val="en-US" w:eastAsia="zh-CN" w:bidi="ar-SA"/>
              </w:rPr>
              <w:t>2、检查柜内接线是否有老化或者</w:t>
            </w:r>
            <w:r>
              <w:rPr>
                <w:rFonts w:hint="eastAsia" w:ascii="Calibri" w:hAnsi="Calibri" w:eastAsia="宋体" w:cs="Times New Roman"/>
                <w:color w:val="auto"/>
                <w:kern w:val="2"/>
                <w:highlight w:val="none"/>
                <w:lang w:val="en-US" w:eastAsia="zh-CN" w:bidi="ar-SA"/>
              </w:rPr>
              <w:br w:type="textWrapping"/>
            </w:r>
            <w:r>
              <w:rPr>
                <w:rFonts w:hint="eastAsia" w:ascii="Calibri" w:hAnsi="Calibri" w:eastAsia="宋体" w:cs="Times New Roman"/>
                <w:color w:val="auto"/>
                <w:kern w:val="2"/>
                <w:highlight w:val="none"/>
                <w:lang w:val="en-US" w:eastAsia="zh-CN" w:bidi="ar-SA"/>
              </w:rPr>
              <w:t>松动，接地是否正常；</w:t>
            </w:r>
            <w:r>
              <w:rPr>
                <w:rFonts w:hint="eastAsia" w:ascii="Calibri" w:hAnsi="Calibri" w:eastAsia="宋体" w:cs="Times New Roman"/>
                <w:color w:val="auto"/>
                <w:kern w:val="2"/>
                <w:highlight w:val="none"/>
                <w:lang w:val="en-US" w:eastAsia="zh-CN" w:bidi="ar-SA"/>
              </w:rPr>
              <w:br w:type="textWrapping"/>
            </w:r>
            <w:r>
              <w:rPr>
                <w:rFonts w:hint="eastAsia" w:ascii="Calibri" w:hAnsi="Calibri" w:eastAsia="宋体" w:cs="Times New Roman"/>
                <w:color w:val="auto"/>
                <w:kern w:val="2"/>
                <w:highlight w:val="none"/>
                <w:lang w:val="en-US" w:eastAsia="zh-CN" w:bidi="ar-SA"/>
              </w:rPr>
              <w:t>3、检查控制柜内潮气是否严重，如果水气严重需重新密封进线孔；</w:t>
            </w:r>
            <w:r>
              <w:rPr>
                <w:rFonts w:hint="eastAsia" w:ascii="Calibri" w:hAnsi="Calibri" w:eastAsia="宋体" w:cs="Times New Roman"/>
                <w:color w:val="auto"/>
                <w:kern w:val="2"/>
                <w:highlight w:val="none"/>
                <w:lang w:val="en-US" w:eastAsia="zh-CN" w:bidi="ar-SA"/>
              </w:rPr>
              <w:br w:type="textWrapping"/>
            </w:r>
            <w:r>
              <w:rPr>
                <w:rFonts w:hint="eastAsia" w:ascii="Calibri" w:hAnsi="Calibri" w:eastAsia="宋体" w:cs="Times New Roman"/>
                <w:color w:val="auto"/>
                <w:kern w:val="2"/>
                <w:highlight w:val="none"/>
                <w:lang w:val="en-US" w:eastAsia="zh-CN" w:bidi="ar-SA"/>
              </w:rPr>
              <w:t>4、检查各设备是否能在控制柜正常操作；</w:t>
            </w:r>
            <w:r>
              <w:rPr>
                <w:rFonts w:hint="eastAsia" w:ascii="Calibri" w:hAnsi="Calibri" w:eastAsia="宋体" w:cs="Times New Roman"/>
                <w:color w:val="auto"/>
                <w:kern w:val="2"/>
                <w:highlight w:val="none"/>
                <w:lang w:val="en-US" w:eastAsia="zh-CN" w:bidi="ar-SA"/>
              </w:rPr>
              <w:br w:type="textWrapping"/>
            </w:r>
            <w:r>
              <w:rPr>
                <w:rFonts w:hint="eastAsia" w:ascii="Calibri" w:hAnsi="Calibri" w:eastAsia="宋体" w:cs="Times New Roman"/>
                <w:color w:val="auto"/>
                <w:kern w:val="2"/>
                <w:highlight w:val="none"/>
                <w:lang w:val="en-US" w:eastAsia="zh-CN" w:bidi="ar-SA"/>
              </w:rPr>
              <w:t>5、检查控制柜供电是否正常。</w:t>
            </w:r>
          </w:p>
        </w:tc>
        <w:tc>
          <w:tcPr>
            <w:tcW w:w="394" w:type="pct"/>
            <w:vMerge w:val="continue"/>
            <w:shd w:val="clear" w:color="auto" w:fill="auto"/>
            <w:noWrap/>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en-US" w:bidi="ar-SA"/>
              </w:rPr>
            </w:pPr>
          </w:p>
        </w:tc>
        <w:tc>
          <w:tcPr>
            <w:tcW w:w="267" w:type="pct"/>
            <w:vMerge w:val="continue"/>
            <w:shd w:val="clear" w:color="auto" w:fill="auto"/>
            <w:noWrap/>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en-US" w:bidi="ar-SA"/>
              </w:rPr>
            </w:pPr>
          </w:p>
        </w:tc>
        <w:tc>
          <w:tcPr>
            <w:tcW w:w="1900" w:type="pct"/>
            <w:vMerge w:val="continue"/>
            <w:shd w:val="clear" w:color="auto" w:fill="auto"/>
            <w:tcMar>
              <w:top w:w="15" w:type="dxa"/>
              <w:left w:w="15" w:type="dxa"/>
              <w:right w:w="15" w:type="dxa"/>
            </w:tcMar>
            <w:vAlign w:val="center"/>
          </w:tcPr>
          <w:p>
            <w:pPr>
              <w:shd w:val="clear"/>
              <w:bidi w:val="0"/>
              <w:outlineLvl w:val="9"/>
              <w:rPr>
                <w:rFonts w:hint="eastAsia" w:ascii="Calibri" w:hAnsi="Calibri" w:eastAsia="宋体" w:cs="Times New Roman"/>
                <w:color w:val="auto"/>
                <w:kern w:val="2"/>
                <w:highlight w:val="none"/>
                <w:lang w:val="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08" w:hRule="atLeast"/>
        </w:trPr>
        <w:tc>
          <w:tcPr>
            <w:tcW w:w="267" w:type="pct"/>
            <w:shd w:val="clear" w:color="auto" w:fill="auto"/>
            <w:noWrap/>
            <w:tcMar>
              <w:top w:w="15" w:type="dxa"/>
              <w:left w:w="15" w:type="dxa"/>
              <w:right w:w="15" w:type="dxa"/>
            </w:tcMar>
            <w:vAlign w:val="center"/>
          </w:tcPr>
          <w:p>
            <w:pPr>
              <w:shd w:val="clear"/>
              <w:bidi w:val="0"/>
              <w:outlineLvl w:val="9"/>
              <w:rPr>
                <w:rFonts w:hint="eastAsia" w:ascii="Calibri" w:hAnsi="Calibri" w:eastAsia="宋体" w:cs="Times New Roman"/>
                <w:color w:val="auto"/>
                <w:kern w:val="2"/>
                <w:highlight w:val="none"/>
                <w:lang w:val="en-US" w:bidi="ar-SA"/>
              </w:rPr>
            </w:pPr>
            <w:r>
              <w:rPr>
                <w:rFonts w:hint="eastAsia" w:ascii="Calibri" w:hAnsi="Calibri" w:eastAsia="宋体" w:cs="Times New Roman"/>
                <w:color w:val="auto"/>
                <w:kern w:val="2"/>
                <w:highlight w:val="none"/>
                <w:lang w:val="en-US" w:eastAsia="zh-CN" w:bidi="ar-SA"/>
              </w:rPr>
              <w:t>二</w:t>
            </w:r>
          </w:p>
        </w:tc>
        <w:tc>
          <w:tcPr>
            <w:tcW w:w="677" w:type="pct"/>
            <w:shd w:val="clear" w:color="auto" w:fill="auto"/>
            <w:noWrap/>
            <w:tcMar>
              <w:top w:w="15" w:type="dxa"/>
              <w:left w:w="15" w:type="dxa"/>
              <w:right w:w="15" w:type="dxa"/>
            </w:tcMar>
            <w:vAlign w:val="center"/>
          </w:tcPr>
          <w:p>
            <w:pPr>
              <w:shd w:val="clear"/>
              <w:bidi w:val="0"/>
              <w:outlineLvl w:val="9"/>
              <w:rPr>
                <w:rFonts w:hint="eastAsia" w:ascii="Calibri" w:hAnsi="Calibri" w:eastAsia="宋体" w:cs="Times New Roman"/>
                <w:color w:val="auto"/>
                <w:kern w:val="2"/>
                <w:highlight w:val="none"/>
                <w:lang w:val="en-US" w:bidi="ar-SA"/>
              </w:rPr>
            </w:pPr>
            <w:r>
              <w:rPr>
                <w:rFonts w:hint="eastAsia" w:ascii="Calibri" w:hAnsi="Calibri" w:eastAsia="宋体" w:cs="Times New Roman"/>
                <w:color w:val="auto"/>
                <w:kern w:val="2"/>
                <w:highlight w:val="none"/>
                <w:lang w:val="en-US" w:eastAsia="zh-CN" w:bidi="ar-SA"/>
              </w:rPr>
              <w:t>提升井</w:t>
            </w:r>
          </w:p>
        </w:tc>
        <w:tc>
          <w:tcPr>
            <w:tcW w:w="1493" w:type="pct"/>
            <w:shd w:val="clear" w:color="auto" w:fill="auto"/>
            <w:noWrap/>
            <w:tcMar>
              <w:top w:w="15" w:type="dxa"/>
              <w:left w:w="15" w:type="dxa"/>
              <w:right w:w="15" w:type="dxa"/>
            </w:tcMar>
            <w:vAlign w:val="center"/>
          </w:tcPr>
          <w:p>
            <w:pPr>
              <w:shd w:val="clear"/>
              <w:bidi w:val="0"/>
              <w:outlineLvl w:val="9"/>
              <w:rPr>
                <w:rFonts w:hint="eastAsia" w:ascii="Calibri" w:hAnsi="Calibri" w:eastAsia="宋体" w:cs="Times New Roman"/>
                <w:color w:val="auto"/>
                <w:kern w:val="2"/>
                <w:highlight w:val="none"/>
                <w:lang w:val="en-US" w:bidi="ar-SA"/>
              </w:rPr>
            </w:pPr>
          </w:p>
        </w:tc>
        <w:tc>
          <w:tcPr>
            <w:tcW w:w="394" w:type="pct"/>
            <w:shd w:val="clear" w:color="auto" w:fill="auto"/>
            <w:noWrap/>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en-US" w:bidi="ar-SA"/>
              </w:rPr>
            </w:pPr>
          </w:p>
        </w:tc>
        <w:tc>
          <w:tcPr>
            <w:tcW w:w="267" w:type="pct"/>
            <w:shd w:val="clear" w:color="auto" w:fill="auto"/>
            <w:noWrap/>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en-US" w:bidi="ar-SA"/>
              </w:rPr>
            </w:pPr>
          </w:p>
        </w:tc>
        <w:tc>
          <w:tcPr>
            <w:tcW w:w="1900" w:type="pct"/>
            <w:vMerge w:val="continue"/>
            <w:shd w:val="clear" w:color="auto" w:fill="auto"/>
            <w:noWrap/>
            <w:tcMar>
              <w:top w:w="15" w:type="dxa"/>
              <w:left w:w="15" w:type="dxa"/>
              <w:right w:w="15" w:type="dxa"/>
            </w:tcMar>
            <w:vAlign w:val="center"/>
          </w:tcPr>
          <w:p>
            <w:pPr>
              <w:shd w:val="clear"/>
              <w:bidi w:val="0"/>
              <w:outlineLvl w:val="9"/>
              <w:rPr>
                <w:rFonts w:hint="eastAsia" w:ascii="Calibri" w:hAnsi="Calibri" w:eastAsia="宋体" w:cs="Times New Roman"/>
                <w:color w:val="auto"/>
                <w:kern w:val="2"/>
                <w:highlight w:val="none"/>
                <w:lang w:val="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940" w:hRule="atLeast"/>
        </w:trPr>
        <w:tc>
          <w:tcPr>
            <w:tcW w:w="267" w:type="pct"/>
            <w:shd w:val="clear" w:color="auto" w:fill="auto"/>
            <w:noWrap/>
            <w:tcMar>
              <w:top w:w="15" w:type="dxa"/>
              <w:left w:w="15" w:type="dxa"/>
              <w:right w:w="15" w:type="dxa"/>
            </w:tcMar>
            <w:vAlign w:val="center"/>
          </w:tcPr>
          <w:p>
            <w:pPr>
              <w:shd w:val="clear"/>
              <w:bidi w:val="0"/>
              <w:outlineLvl w:val="9"/>
              <w:rPr>
                <w:rFonts w:hint="eastAsia" w:ascii="Calibri" w:hAnsi="Calibri" w:eastAsia="宋体" w:cs="Times New Roman"/>
                <w:color w:val="auto"/>
                <w:kern w:val="2"/>
                <w:highlight w:val="none"/>
                <w:lang w:val="en-US" w:bidi="ar-SA"/>
              </w:rPr>
            </w:pPr>
            <w:r>
              <w:rPr>
                <w:rFonts w:hint="eastAsia" w:ascii="Calibri" w:hAnsi="Calibri" w:eastAsia="宋体" w:cs="Times New Roman"/>
                <w:color w:val="auto"/>
                <w:kern w:val="2"/>
                <w:highlight w:val="none"/>
                <w:lang w:val="en-US" w:eastAsia="zh-CN" w:bidi="ar-SA"/>
              </w:rPr>
              <w:t>4</w:t>
            </w:r>
          </w:p>
        </w:tc>
        <w:tc>
          <w:tcPr>
            <w:tcW w:w="677" w:type="pct"/>
            <w:shd w:val="clear" w:color="auto" w:fill="auto"/>
            <w:tcMar>
              <w:top w:w="15" w:type="dxa"/>
              <w:left w:w="15" w:type="dxa"/>
              <w:right w:w="15" w:type="dxa"/>
            </w:tcMar>
            <w:vAlign w:val="center"/>
          </w:tcPr>
          <w:p>
            <w:pPr>
              <w:shd w:val="clear"/>
              <w:bidi w:val="0"/>
              <w:outlineLvl w:val="9"/>
              <w:rPr>
                <w:rFonts w:hint="eastAsia" w:ascii="Calibri" w:hAnsi="Calibri" w:eastAsia="宋体" w:cs="Times New Roman"/>
                <w:color w:val="auto"/>
                <w:kern w:val="2"/>
                <w:highlight w:val="none"/>
                <w:lang w:val="en-US" w:bidi="ar-SA"/>
              </w:rPr>
            </w:pPr>
            <w:r>
              <w:rPr>
                <w:rFonts w:hint="eastAsia" w:ascii="Calibri" w:hAnsi="Calibri" w:eastAsia="宋体" w:cs="Times New Roman"/>
                <w:color w:val="auto"/>
                <w:kern w:val="2"/>
                <w:highlight w:val="none"/>
                <w:lang w:val="en-US" w:eastAsia="zh-CN" w:bidi="ar-SA"/>
              </w:rPr>
              <w:t>提升井内水泵、控制柜养护</w:t>
            </w:r>
          </w:p>
        </w:tc>
        <w:tc>
          <w:tcPr>
            <w:tcW w:w="1493" w:type="pct"/>
            <w:shd w:val="clear" w:color="auto" w:fill="auto"/>
            <w:tcMar>
              <w:top w:w="15" w:type="dxa"/>
              <w:left w:w="15" w:type="dxa"/>
              <w:right w:w="15" w:type="dxa"/>
            </w:tcMar>
            <w:vAlign w:val="center"/>
          </w:tcPr>
          <w:p>
            <w:pPr>
              <w:shd w:val="clear"/>
              <w:bidi w:val="0"/>
              <w:outlineLvl w:val="9"/>
              <w:rPr>
                <w:rFonts w:hint="eastAsia" w:ascii="Calibri" w:hAnsi="Calibri" w:eastAsia="宋体" w:cs="Times New Roman"/>
                <w:color w:val="auto"/>
                <w:kern w:val="2"/>
                <w:highlight w:val="none"/>
                <w:lang w:val="en-US" w:bidi="ar-SA"/>
              </w:rPr>
            </w:pPr>
            <w:r>
              <w:rPr>
                <w:rFonts w:hint="eastAsia" w:ascii="Calibri" w:hAnsi="Calibri" w:eastAsia="宋体" w:cs="Times New Roman"/>
                <w:color w:val="auto"/>
                <w:kern w:val="2"/>
                <w:highlight w:val="none"/>
                <w:lang w:val="en-US" w:eastAsia="zh-CN" w:bidi="ar-SA"/>
              </w:rPr>
              <w:t>一、检查周期为15天，检查内容:</w:t>
            </w:r>
            <w:r>
              <w:rPr>
                <w:rFonts w:hint="eastAsia" w:ascii="Calibri" w:hAnsi="Calibri" w:eastAsia="宋体" w:cs="Times New Roman"/>
                <w:color w:val="auto"/>
                <w:kern w:val="2"/>
                <w:highlight w:val="none"/>
                <w:lang w:val="en-US" w:eastAsia="zh-CN" w:bidi="ar-SA"/>
              </w:rPr>
              <w:br w:type="textWrapping"/>
            </w:r>
            <w:r>
              <w:rPr>
                <w:rFonts w:hint="eastAsia" w:ascii="Calibri" w:hAnsi="Calibri" w:eastAsia="宋体" w:cs="Times New Roman"/>
                <w:color w:val="auto"/>
                <w:kern w:val="2"/>
                <w:highlight w:val="none"/>
                <w:lang w:val="en-US" w:eastAsia="zh-CN" w:bidi="ar-SA"/>
              </w:rPr>
              <w:t>1、检查水泵是否堵塞；</w:t>
            </w:r>
            <w:r>
              <w:rPr>
                <w:rFonts w:hint="eastAsia" w:ascii="Calibri" w:hAnsi="Calibri" w:eastAsia="宋体" w:cs="Times New Roman"/>
                <w:color w:val="auto"/>
                <w:kern w:val="2"/>
                <w:highlight w:val="none"/>
                <w:lang w:val="en-US" w:eastAsia="zh-CN" w:bidi="ar-SA"/>
              </w:rPr>
              <w:br w:type="textWrapping"/>
            </w:r>
            <w:r>
              <w:rPr>
                <w:rFonts w:hint="eastAsia" w:ascii="Calibri" w:hAnsi="Calibri" w:eastAsia="宋体" w:cs="Times New Roman"/>
                <w:color w:val="auto"/>
                <w:kern w:val="2"/>
                <w:highlight w:val="none"/>
                <w:lang w:val="en-US" w:eastAsia="zh-CN" w:bidi="ar-SA"/>
              </w:rPr>
              <w:t>2、检查水泵、控制柜电气线路；</w:t>
            </w:r>
            <w:r>
              <w:rPr>
                <w:rFonts w:hint="eastAsia" w:ascii="Calibri" w:hAnsi="Calibri" w:eastAsia="宋体" w:cs="Times New Roman"/>
                <w:color w:val="auto"/>
                <w:kern w:val="2"/>
                <w:highlight w:val="none"/>
                <w:lang w:val="en-US" w:eastAsia="zh-CN" w:bidi="ar-SA"/>
              </w:rPr>
              <w:br w:type="textWrapping"/>
            </w:r>
            <w:r>
              <w:rPr>
                <w:rFonts w:hint="eastAsia" w:ascii="Calibri" w:hAnsi="Calibri" w:eastAsia="宋体" w:cs="Times New Roman"/>
                <w:color w:val="auto"/>
                <w:kern w:val="2"/>
                <w:highlight w:val="none"/>
                <w:lang w:val="en-US" w:eastAsia="zh-CN" w:bidi="ar-SA"/>
              </w:rPr>
              <w:t>3、检查浮球液位计是否损坏；</w:t>
            </w:r>
            <w:r>
              <w:rPr>
                <w:rFonts w:hint="eastAsia" w:ascii="Calibri" w:hAnsi="Calibri" w:eastAsia="宋体" w:cs="Times New Roman"/>
                <w:color w:val="auto"/>
                <w:kern w:val="2"/>
                <w:highlight w:val="none"/>
                <w:lang w:val="en-US" w:eastAsia="zh-CN" w:bidi="ar-SA"/>
              </w:rPr>
              <w:br w:type="textWrapping"/>
            </w:r>
            <w:r>
              <w:rPr>
                <w:rFonts w:hint="eastAsia" w:ascii="Calibri" w:hAnsi="Calibri" w:eastAsia="宋体" w:cs="Times New Roman"/>
                <w:color w:val="auto"/>
                <w:kern w:val="2"/>
                <w:highlight w:val="none"/>
                <w:lang w:val="en-US" w:eastAsia="zh-CN" w:bidi="ar-SA"/>
              </w:rPr>
              <w:t>4、及时清理、外运、处理井内垃圾及淤泥，确保提升井工作正常；</w:t>
            </w:r>
            <w:r>
              <w:rPr>
                <w:rFonts w:hint="eastAsia" w:ascii="Calibri" w:hAnsi="Calibri" w:eastAsia="宋体" w:cs="Times New Roman"/>
                <w:color w:val="auto"/>
                <w:kern w:val="2"/>
                <w:highlight w:val="none"/>
                <w:lang w:val="en-US" w:eastAsia="zh-CN" w:bidi="ar-SA"/>
              </w:rPr>
              <w:br w:type="textWrapping"/>
            </w:r>
            <w:r>
              <w:rPr>
                <w:rFonts w:hint="eastAsia" w:ascii="Calibri" w:hAnsi="Calibri" w:eastAsia="宋体" w:cs="Times New Roman"/>
                <w:color w:val="auto"/>
                <w:kern w:val="2"/>
                <w:highlight w:val="none"/>
                <w:lang w:val="en-US" w:eastAsia="zh-CN" w:bidi="ar-SA"/>
              </w:rPr>
              <w:t>5、潜水员井下作业及气囊封堵，水泵降水排水。</w:t>
            </w:r>
          </w:p>
        </w:tc>
        <w:tc>
          <w:tcPr>
            <w:tcW w:w="394" w:type="pct"/>
            <w:shd w:val="clear" w:color="auto" w:fill="auto"/>
            <w:noWrap/>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en-US" w:bidi="ar-SA"/>
              </w:rPr>
            </w:pPr>
            <w:r>
              <w:rPr>
                <w:rFonts w:hint="eastAsia" w:ascii="Calibri" w:hAnsi="Calibri" w:eastAsia="宋体" w:cs="Times New Roman"/>
                <w:color w:val="auto"/>
                <w:kern w:val="2"/>
                <w:highlight w:val="none"/>
                <w:lang w:val="en-US" w:eastAsia="zh-CN" w:bidi="ar-SA"/>
              </w:rPr>
              <w:t>69</w:t>
            </w:r>
          </w:p>
        </w:tc>
        <w:tc>
          <w:tcPr>
            <w:tcW w:w="267" w:type="pct"/>
            <w:shd w:val="clear" w:color="auto" w:fill="auto"/>
            <w:noWrap/>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en-US" w:bidi="ar-SA"/>
              </w:rPr>
            </w:pPr>
            <w:r>
              <w:rPr>
                <w:rFonts w:hint="eastAsia" w:ascii="Calibri" w:hAnsi="Calibri" w:eastAsia="宋体" w:cs="Times New Roman"/>
                <w:color w:val="auto"/>
                <w:kern w:val="2"/>
                <w:highlight w:val="none"/>
                <w:lang w:val="en-US" w:eastAsia="zh-CN" w:bidi="ar-SA"/>
              </w:rPr>
              <w:t>台</w:t>
            </w:r>
          </w:p>
        </w:tc>
        <w:tc>
          <w:tcPr>
            <w:tcW w:w="1900" w:type="pct"/>
            <w:vMerge w:val="continue"/>
            <w:shd w:val="clear" w:color="auto" w:fill="auto"/>
            <w:noWrap/>
            <w:tcMar>
              <w:top w:w="15" w:type="dxa"/>
              <w:left w:w="15" w:type="dxa"/>
              <w:right w:w="15" w:type="dxa"/>
            </w:tcMar>
            <w:vAlign w:val="center"/>
          </w:tcPr>
          <w:p>
            <w:pPr>
              <w:shd w:val="clear"/>
              <w:bidi w:val="0"/>
              <w:outlineLvl w:val="9"/>
              <w:rPr>
                <w:rFonts w:hint="eastAsia" w:ascii="Calibri" w:hAnsi="Calibri" w:eastAsia="宋体" w:cs="Times New Roman"/>
                <w:color w:val="auto"/>
                <w:kern w:val="2"/>
                <w:highlight w:val="none"/>
                <w:lang w:val="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435" w:hRule="atLeast"/>
        </w:trPr>
        <w:tc>
          <w:tcPr>
            <w:tcW w:w="267" w:type="pct"/>
            <w:shd w:val="clear" w:color="auto" w:fill="auto"/>
            <w:noWrap/>
            <w:tcMar>
              <w:top w:w="15" w:type="dxa"/>
              <w:left w:w="15" w:type="dxa"/>
              <w:right w:w="15" w:type="dxa"/>
            </w:tcMar>
            <w:vAlign w:val="center"/>
          </w:tcPr>
          <w:p>
            <w:pPr>
              <w:shd w:val="clear"/>
              <w:bidi w:val="0"/>
              <w:outlineLvl w:val="9"/>
              <w:rPr>
                <w:rFonts w:hint="eastAsia" w:ascii="Calibri" w:hAnsi="Calibri" w:eastAsia="宋体" w:cs="Times New Roman"/>
                <w:color w:val="auto"/>
                <w:kern w:val="2"/>
                <w:highlight w:val="none"/>
                <w:lang w:val="en-US" w:bidi="ar-SA"/>
              </w:rPr>
            </w:pPr>
            <w:r>
              <w:rPr>
                <w:rFonts w:hint="eastAsia" w:ascii="Calibri" w:hAnsi="Calibri" w:eastAsia="宋体" w:cs="Times New Roman"/>
                <w:color w:val="auto"/>
                <w:kern w:val="2"/>
                <w:highlight w:val="none"/>
                <w:lang w:val="en-US" w:eastAsia="zh-CN" w:bidi="ar-SA"/>
              </w:rPr>
              <w:t>三</w:t>
            </w:r>
          </w:p>
        </w:tc>
        <w:tc>
          <w:tcPr>
            <w:tcW w:w="677" w:type="pct"/>
            <w:shd w:val="clear" w:color="auto" w:fill="auto"/>
            <w:noWrap/>
            <w:tcMar>
              <w:top w:w="15" w:type="dxa"/>
              <w:left w:w="15" w:type="dxa"/>
              <w:right w:w="15" w:type="dxa"/>
            </w:tcMar>
            <w:vAlign w:val="center"/>
          </w:tcPr>
          <w:p>
            <w:pPr>
              <w:shd w:val="clear"/>
              <w:bidi w:val="0"/>
              <w:outlineLvl w:val="9"/>
              <w:rPr>
                <w:rFonts w:hint="eastAsia" w:ascii="Calibri" w:hAnsi="Calibri" w:eastAsia="宋体" w:cs="Times New Roman"/>
                <w:color w:val="auto"/>
                <w:kern w:val="2"/>
                <w:highlight w:val="none"/>
                <w:lang w:val="en-US" w:bidi="ar-SA"/>
              </w:rPr>
            </w:pPr>
            <w:r>
              <w:rPr>
                <w:rFonts w:hint="eastAsia" w:ascii="Calibri" w:hAnsi="Calibri" w:eastAsia="宋体" w:cs="Times New Roman"/>
                <w:color w:val="auto"/>
                <w:kern w:val="2"/>
                <w:highlight w:val="none"/>
                <w:lang w:val="en-US" w:eastAsia="zh-CN" w:bidi="ar-SA"/>
              </w:rPr>
              <w:t>管网</w:t>
            </w:r>
          </w:p>
        </w:tc>
        <w:tc>
          <w:tcPr>
            <w:tcW w:w="1493" w:type="pct"/>
            <w:shd w:val="clear" w:color="auto" w:fill="auto"/>
            <w:noWrap/>
            <w:tcMar>
              <w:top w:w="15" w:type="dxa"/>
              <w:left w:w="15" w:type="dxa"/>
              <w:right w:w="15" w:type="dxa"/>
            </w:tcMar>
            <w:vAlign w:val="center"/>
          </w:tcPr>
          <w:p>
            <w:pPr>
              <w:shd w:val="clear"/>
              <w:bidi w:val="0"/>
              <w:outlineLvl w:val="9"/>
              <w:rPr>
                <w:rFonts w:hint="eastAsia" w:ascii="Calibri" w:hAnsi="Calibri" w:eastAsia="宋体" w:cs="Times New Roman"/>
                <w:color w:val="auto"/>
                <w:kern w:val="2"/>
                <w:highlight w:val="none"/>
                <w:lang w:val="en-US" w:bidi="ar-SA"/>
              </w:rPr>
            </w:pPr>
          </w:p>
        </w:tc>
        <w:tc>
          <w:tcPr>
            <w:tcW w:w="394" w:type="pct"/>
            <w:shd w:val="clear" w:color="auto" w:fill="auto"/>
            <w:noWrap/>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en-US" w:bidi="ar-SA"/>
              </w:rPr>
            </w:pPr>
          </w:p>
        </w:tc>
        <w:tc>
          <w:tcPr>
            <w:tcW w:w="267" w:type="pct"/>
            <w:shd w:val="clear" w:color="auto" w:fill="auto"/>
            <w:noWrap/>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en-US" w:bidi="ar-SA"/>
              </w:rPr>
            </w:pPr>
          </w:p>
        </w:tc>
        <w:tc>
          <w:tcPr>
            <w:tcW w:w="1900" w:type="pct"/>
            <w:shd w:val="clear" w:color="auto" w:fill="auto"/>
            <w:noWrap/>
            <w:tcMar>
              <w:top w:w="15" w:type="dxa"/>
              <w:left w:w="15" w:type="dxa"/>
              <w:right w:w="15" w:type="dxa"/>
            </w:tcMar>
            <w:vAlign w:val="center"/>
          </w:tcPr>
          <w:p>
            <w:pPr>
              <w:shd w:val="clear"/>
              <w:bidi w:val="0"/>
              <w:outlineLvl w:val="9"/>
              <w:rPr>
                <w:rFonts w:hint="eastAsia" w:ascii="Calibri" w:hAnsi="Calibri" w:eastAsia="宋体" w:cs="Times New Roman"/>
                <w:color w:val="auto"/>
                <w:kern w:val="2"/>
                <w:highlight w:val="none"/>
                <w:lang w:val="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4700" w:hRule="atLeast"/>
        </w:trPr>
        <w:tc>
          <w:tcPr>
            <w:tcW w:w="267" w:type="pct"/>
            <w:shd w:val="clear" w:color="auto" w:fill="auto"/>
            <w:noWrap/>
            <w:tcMar>
              <w:top w:w="15" w:type="dxa"/>
              <w:left w:w="15" w:type="dxa"/>
              <w:right w:w="15" w:type="dxa"/>
            </w:tcMar>
            <w:vAlign w:val="center"/>
          </w:tcPr>
          <w:p>
            <w:pPr>
              <w:shd w:val="clear"/>
              <w:bidi w:val="0"/>
              <w:outlineLvl w:val="9"/>
              <w:rPr>
                <w:rFonts w:hint="eastAsia" w:ascii="Calibri" w:hAnsi="Calibri" w:eastAsia="宋体" w:cs="Times New Roman"/>
                <w:color w:val="auto"/>
                <w:kern w:val="2"/>
                <w:highlight w:val="none"/>
                <w:lang w:val="en-US" w:bidi="ar-SA"/>
              </w:rPr>
            </w:pPr>
            <w:r>
              <w:rPr>
                <w:rFonts w:hint="eastAsia" w:ascii="Calibri" w:hAnsi="Calibri" w:eastAsia="宋体" w:cs="Times New Roman"/>
                <w:color w:val="auto"/>
                <w:kern w:val="2"/>
                <w:highlight w:val="none"/>
                <w:lang w:val="en-US" w:eastAsia="zh-CN" w:bidi="ar-SA"/>
              </w:rPr>
              <w:t>5</w:t>
            </w:r>
          </w:p>
        </w:tc>
        <w:tc>
          <w:tcPr>
            <w:tcW w:w="677" w:type="pct"/>
            <w:shd w:val="clear" w:color="auto" w:fill="auto"/>
            <w:noWrap/>
            <w:tcMar>
              <w:top w:w="15" w:type="dxa"/>
              <w:left w:w="15" w:type="dxa"/>
              <w:right w:w="15" w:type="dxa"/>
            </w:tcMar>
            <w:vAlign w:val="center"/>
          </w:tcPr>
          <w:p>
            <w:pPr>
              <w:shd w:val="clear"/>
              <w:bidi w:val="0"/>
              <w:outlineLvl w:val="9"/>
              <w:rPr>
                <w:rFonts w:hint="eastAsia" w:ascii="Calibri" w:hAnsi="Calibri" w:eastAsia="宋体" w:cs="Times New Roman"/>
                <w:color w:val="auto"/>
                <w:kern w:val="2"/>
                <w:highlight w:val="none"/>
                <w:lang w:val="en-US" w:bidi="ar-SA"/>
              </w:rPr>
            </w:pPr>
            <w:r>
              <w:rPr>
                <w:rFonts w:hint="eastAsia" w:ascii="Calibri" w:hAnsi="Calibri" w:eastAsia="宋体" w:cs="Times New Roman"/>
                <w:color w:val="auto"/>
                <w:kern w:val="2"/>
                <w:highlight w:val="none"/>
                <w:lang w:val="en-US" w:eastAsia="zh-CN" w:bidi="ar-SA"/>
              </w:rPr>
              <w:t>管网清通养护</w:t>
            </w:r>
          </w:p>
        </w:tc>
        <w:tc>
          <w:tcPr>
            <w:tcW w:w="1493" w:type="pct"/>
            <w:shd w:val="clear" w:color="auto" w:fill="auto"/>
            <w:tcMar>
              <w:top w:w="15" w:type="dxa"/>
              <w:left w:w="15" w:type="dxa"/>
              <w:right w:w="15" w:type="dxa"/>
            </w:tcMar>
            <w:vAlign w:val="center"/>
          </w:tcPr>
          <w:p>
            <w:pPr>
              <w:shd w:val="clear"/>
              <w:bidi w:val="0"/>
              <w:outlineLvl w:val="9"/>
              <w:rPr>
                <w:rFonts w:hint="eastAsia" w:ascii="Calibri" w:hAnsi="Calibri" w:eastAsia="宋体" w:cs="Times New Roman"/>
                <w:color w:val="auto"/>
                <w:kern w:val="2"/>
                <w:highlight w:val="none"/>
                <w:lang w:val="en-US" w:bidi="ar-SA"/>
              </w:rPr>
            </w:pPr>
            <w:r>
              <w:rPr>
                <w:rFonts w:hint="eastAsia" w:ascii="Calibri" w:hAnsi="Calibri" w:eastAsia="宋体" w:cs="Times New Roman"/>
                <w:color w:val="auto"/>
                <w:kern w:val="2"/>
                <w:highlight w:val="none"/>
                <w:lang w:val="en-US" w:eastAsia="zh-CN" w:bidi="ar-SA"/>
              </w:rPr>
              <w:t>1、管道保养率100%，每年对污水管网全线疏通二次及零星清通，清通方式自行考虑;人工清运污泥及外运，运距自定，处置费用自行考虑，管道局部点位不能清通，采用反光镜或视频检查；</w:t>
            </w:r>
            <w:r>
              <w:rPr>
                <w:rFonts w:hint="eastAsia" w:ascii="Calibri" w:hAnsi="Calibri" w:eastAsia="宋体" w:cs="Times New Roman"/>
                <w:color w:val="auto"/>
                <w:kern w:val="2"/>
                <w:highlight w:val="none"/>
                <w:lang w:val="en-US" w:eastAsia="zh-CN" w:bidi="ar-SA"/>
              </w:rPr>
              <w:br w:type="textWrapping"/>
            </w:r>
            <w:r>
              <w:rPr>
                <w:rFonts w:hint="eastAsia" w:ascii="Calibri" w:hAnsi="Calibri" w:eastAsia="宋体" w:cs="Times New Roman"/>
                <w:color w:val="auto"/>
                <w:kern w:val="2"/>
                <w:highlight w:val="none"/>
                <w:lang w:val="en-US" w:eastAsia="zh-CN" w:bidi="ar-SA"/>
              </w:rPr>
              <w:t>2、检查井保养率100%，人工清掏检查井，机械配合作业；</w:t>
            </w:r>
            <w:r>
              <w:rPr>
                <w:rFonts w:hint="eastAsia" w:ascii="Calibri" w:hAnsi="Calibri" w:eastAsia="宋体" w:cs="Times New Roman"/>
                <w:color w:val="auto"/>
                <w:kern w:val="2"/>
                <w:highlight w:val="none"/>
                <w:lang w:val="en-US" w:eastAsia="zh-CN" w:bidi="ar-SA"/>
              </w:rPr>
              <w:br w:type="textWrapping"/>
            </w:r>
            <w:r>
              <w:rPr>
                <w:rFonts w:hint="eastAsia" w:ascii="Calibri" w:hAnsi="Calibri" w:eastAsia="宋体" w:cs="Times New Roman"/>
                <w:color w:val="auto"/>
                <w:kern w:val="2"/>
                <w:highlight w:val="none"/>
                <w:lang w:val="en-US" w:eastAsia="zh-CN" w:bidi="ar-SA"/>
              </w:rPr>
              <w:t>3、检查井的井圈盖的破损更换、丢失补充、养护及所涉及的路面恢复；</w:t>
            </w:r>
            <w:r>
              <w:rPr>
                <w:rFonts w:hint="eastAsia" w:ascii="Calibri" w:hAnsi="Calibri" w:eastAsia="宋体" w:cs="Times New Roman"/>
                <w:color w:val="auto"/>
                <w:kern w:val="2"/>
                <w:highlight w:val="none"/>
                <w:lang w:val="en-US" w:eastAsia="zh-CN" w:bidi="ar-SA"/>
              </w:rPr>
              <w:br w:type="textWrapping"/>
            </w:r>
            <w:r>
              <w:rPr>
                <w:rFonts w:hint="eastAsia" w:ascii="Calibri" w:hAnsi="Calibri" w:eastAsia="宋体" w:cs="Times New Roman"/>
                <w:color w:val="auto"/>
                <w:kern w:val="2"/>
                <w:highlight w:val="none"/>
                <w:lang w:val="en-US" w:eastAsia="zh-CN" w:bidi="ar-SA"/>
              </w:rPr>
              <w:t>4、管道日常巡视率100%，地块雨水口巡查，保证每月一次，汛期根据雨情水情动态加密频次。</w:t>
            </w:r>
          </w:p>
        </w:tc>
        <w:tc>
          <w:tcPr>
            <w:tcW w:w="394" w:type="pct"/>
            <w:shd w:val="clear" w:color="auto" w:fill="auto"/>
            <w:noWrap/>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en-US" w:bidi="ar-SA"/>
              </w:rPr>
            </w:pPr>
            <w:r>
              <w:rPr>
                <w:rFonts w:hint="eastAsia" w:ascii="Calibri" w:hAnsi="Calibri" w:eastAsia="宋体" w:cs="Times New Roman"/>
                <w:color w:val="auto"/>
                <w:kern w:val="2"/>
                <w:highlight w:val="none"/>
                <w:lang w:val="en-US" w:eastAsia="zh-CN" w:bidi="ar-SA"/>
              </w:rPr>
              <w:t>83004</w:t>
            </w:r>
          </w:p>
        </w:tc>
        <w:tc>
          <w:tcPr>
            <w:tcW w:w="267" w:type="pct"/>
            <w:shd w:val="clear" w:color="auto" w:fill="auto"/>
            <w:noWrap/>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en-US" w:bidi="ar-SA"/>
              </w:rPr>
            </w:pPr>
            <w:r>
              <w:rPr>
                <w:rFonts w:hint="eastAsia" w:ascii="Calibri" w:hAnsi="Calibri" w:eastAsia="宋体" w:cs="Times New Roman"/>
                <w:color w:val="auto"/>
                <w:kern w:val="2"/>
                <w:highlight w:val="none"/>
                <w:lang w:val="en-US" w:eastAsia="zh-CN" w:bidi="ar-SA"/>
              </w:rPr>
              <w:t>米</w:t>
            </w:r>
          </w:p>
        </w:tc>
        <w:tc>
          <w:tcPr>
            <w:tcW w:w="1900" w:type="pct"/>
            <w:shd w:val="clear" w:color="auto" w:fill="auto"/>
            <w:tcMar>
              <w:top w:w="15" w:type="dxa"/>
              <w:left w:w="15" w:type="dxa"/>
              <w:right w:w="15" w:type="dxa"/>
            </w:tcMar>
            <w:vAlign w:val="center"/>
          </w:tcPr>
          <w:p>
            <w:pPr>
              <w:shd w:val="clear"/>
              <w:bidi w:val="0"/>
              <w:outlineLvl w:val="9"/>
              <w:rPr>
                <w:rFonts w:hint="eastAsia" w:ascii="Calibri" w:hAnsi="Calibri" w:eastAsia="宋体" w:cs="Times New Roman"/>
                <w:color w:val="auto"/>
                <w:kern w:val="2"/>
                <w:highlight w:val="none"/>
                <w:lang w:val="en-US" w:bidi="ar-SA"/>
              </w:rPr>
            </w:pPr>
            <w:r>
              <w:rPr>
                <w:rFonts w:hint="eastAsia" w:ascii="Calibri" w:hAnsi="Calibri" w:eastAsia="宋体" w:cs="Times New Roman"/>
                <w:color w:val="auto"/>
                <w:kern w:val="2"/>
                <w:highlight w:val="none"/>
                <w:lang w:val="en-US" w:eastAsia="zh-CN" w:bidi="ar-SA"/>
              </w:rPr>
              <w:t>1、含养护范围所有污水管网及配套检查井，不同管径费用综合考虑。含管网疏通清淤、清理垃圾，检查井淤泥清掏、垃圾清理等，确保管道畅通，不溢水。含淤泥及垃圾外运、管线日常巡视、人工局部井下或管内清掏作业及保护措施、临时橡胶气囊封堵、临时排水、临时局部检查检测等。</w:t>
            </w:r>
            <w:r>
              <w:rPr>
                <w:rFonts w:hint="eastAsia" w:ascii="Calibri" w:hAnsi="Calibri" w:eastAsia="宋体" w:cs="Times New Roman"/>
                <w:color w:val="auto"/>
                <w:kern w:val="2"/>
                <w:highlight w:val="none"/>
                <w:lang w:val="en-US" w:eastAsia="zh-CN" w:bidi="ar-SA"/>
              </w:rPr>
              <w:br w:type="textWrapping"/>
            </w:r>
            <w:r>
              <w:rPr>
                <w:rFonts w:hint="eastAsia" w:ascii="Calibri" w:hAnsi="Calibri" w:eastAsia="宋体" w:cs="Times New Roman"/>
                <w:color w:val="auto"/>
                <w:kern w:val="2"/>
                <w:highlight w:val="none"/>
                <w:lang w:val="en-US" w:eastAsia="zh-CN" w:bidi="ar-SA"/>
              </w:rPr>
              <w:t>2、详见附件一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333" w:hRule="atLeast"/>
        </w:trPr>
        <w:tc>
          <w:tcPr>
            <w:tcW w:w="267" w:type="pct"/>
            <w:shd w:val="clear" w:color="auto" w:fill="auto"/>
            <w:noWrap/>
            <w:tcMar>
              <w:top w:w="15" w:type="dxa"/>
              <w:left w:w="15" w:type="dxa"/>
              <w:right w:w="15" w:type="dxa"/>
            </w:tcMar>
            <w:vAlign w:val="center"/>
          </w:tcPr>
          <w:p>
            <w:pPr>
              <w:shd w:val="clear"/>
              <w:bidi w:val="0"/>
              <w:outlineLvl w:val="9"/>
              <w:rPr>
                <w:rFonts w:hint="eastAsia" w:ascii="Calibri" w:hAnsi="Calibri" w:eastAsia="宋体" w:cs="Times New Roman"/>
                <w:color w:val="auto"/>
                <w:kern w:val="2"/>
                <w:highlight w:val="none"/>
                <w:lang w:val="en-US" w:bidi="ar-SA"/>
              </w:rPr>
            </w:pPr>
            <w:r>
              <w:rPr>
                <w:rFonts w:hint="eastAsia" w:ascii="Calibri" w:hAnsi="Calibri" w:eastAsia="宋体" w:cs="Times New Roman"/>
                <w:color w:val="auto"/>
                <w:kern w:val="2"/>
                <w:highlight w:val="none"/>
                <w:lang w:val="en-US" w:eastAsia="zh-CN" w:bidi="ar-SA"/>
              </w:rPr>
              <w:t>四</w:t>
            </w:r>
          </w:p>
        </w:tc>
        <w:tc>
          <w:tcPr>
            <w:tcW w:w="677" w:type="pct"/>
            <w:shd w:val="clear" w:color="auto" w:fill="auto"/>
            <w:noWrap/>
            <w:tcMar>
              <w:top w:w="15" w:type="dxa"/>
              <w:left w:w="15" w:type="dxa"/>
              <w:right w:w="15" w:type="dxa"/>
            </w:tcMar>
            <w:vAlign w:val="center"/>
          </w:tcPr>
          <w:p>
            <w:pPr>
              <w:shd w:val="clear"/>
              <w:bidi w:val="0"/>
              <w:outlineLvl w:val="9"/>
              <w:rPr>
                <w:rFonts w:hint="eastAsia" w:ascii="Calibri" w:hAnsi="Calibri" w:eastAsia="宋体" w:cs="Times New Roman"/>
                <w:color w:val="auto"/>
                <w:kern w:val="2"/>
                <w:highlight w:val="none"/>
                <w:lang w:val="en-US" w:bidi="ar-SA"/>
              </w:rPr>
            </w:pPr>
            <w:r>
              <w:rPr>
                <w:rFonts w:hint="eastAsia" w:ascii="Calibri" w:hAnsi="Calibri" w:eastAsia="宋体" w:cs="Times New Roman"/>
                <w:color w:val="auto"/>
                <w:kern w:val="2"/>
                <w:highlight w:val="none"/>
                <w:lang w:val="en-US" w:eastAsia="zh-CN" w:bidi="ar-SA"/>
              </w:rPr>
              <w:t>其他</w:t>
            </w:r>
          </w:p>
        </w:tc>
        <w:tc>
          <w:tcPr>
            <w:tcW w:w="1493" w:type="pct"/>
            <w:shd w:val="clear" w:color="auto" w:fill="auto"/>
            <w:noWrap/>
            <w:tcMar>
              <w:top w:w="15" w:type="dxa"/>
              <w:left w:w="15" w:type="dxa"/>
              <w:right w:w="15" w:type="dxa"/>
            </w:tcMar>
            <w:vAlign w:val="center"/>
          </w:tcPr>
          <w:p>
            <w:pPr>
              <w:shd w:val="clear"/>
              <w:bidi w:val="0"/>
              <w:outlineLvl w:val="9"/>
              <w:rPr>
                <w:rFonts w:hint="eastAsia" w:ascii="Calibri" w:hAnsi="Calibri" w:eastAsia="宋体" w:cs="Times New Roman"/>
                <w:color w:val="auto"/>
                <w:kern w:val="2"/>
                <w:highlight w:val="none"/>
                <w:lang w:val="en-US" w:bidi="ar-SA"/>
              </w:rPr>
            </w:pPr>
          </w:p>
        </w:tc>
        <w:tc>
          <w:tcPr>
            <w:tcW w:w="394" w:type="pct"/>
            <w:shd w:val="clear" w:color="auto" w:fill="auto"/>
            <w:noWrap/>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en-US" w:bidi="ar-SA"/>
              </w:rPr>
            </w:pPr>
          </w:p>
        </w:tc>
        <w:tc>
          <w:tcPr>
            <w:tcW w:w="267" w:type="pct"/>
            <w:shd w:val="clear" w:color="auto" w:fill="auto"/>
            <w:noWrap/>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en-US" w:bidi="ar-SA"/>
              </w:rPr>
            </w:pPr>
          </w:p>
        </w:tc>
        <w:tc>
          <w:tcPr>
            <w:tcW w:w="1900" w:type="pct"/>
            <w:shd w:val="clear" w:color="auto" w:fill="auto"/>
            <w:noWrap/>
            <w:tcMar>
              <w:top w:w="15" w:type="dxa"/>
              <w:left w:w="15" w:type="dxa"/>
              <w:right w:w="15" w:type="dxa"/>
            </w:tcMar>
            <w:vAlign w:val="center"/>
          </w:tcPr>
          <w:p>
            <w:pPr>
              <w:shd w:val="clear"/>
              <w:bidi w:val="0"/>
              <w:outlineLvl w:val="9"/>
              <w:rPr>
                <w:rFonts w:hint="eastAsia" w:ascii="Calibri" w:hAnsi="Calibri" w:eastAsia="宋体" w:cs="Times New Roman"/>
                <w:color w:val="auto"/>
                <w:kern w:val="2"/>
                <w:highlight w:val="none"/>
                <w:lang w:val="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020" w:hRule="atLeast"/>
        </w:trPr>
        <w:tc>
          <w:tcPr>
            <w:tcW w:w="267" w:type="pct"/>
            <w:shd w:val="clear" w:color="auto" w:fill="auto"/>
            <w:noWrap/>
            <w:tcMar>
              <w:top w:w="15" w:type="dxa"/>
              <w:left w:w="15" w:type="dxa"/>
              <w:right w:w="15" w:type="dxa"/>
            </w:tcMar>
            <w:vAlign w:val="center"/>
          </w:tcPr>
          <w:p>
            <w:pPr>
              <w:shd w:val="clear"/>
              <w:bidi w:val="0"/>
              <w:outlineLvl w:val="9"/>
              <w:rPr>
                <w:rFonts w:hint="eastAsia" w:ascii="Calibri" w:hAnsi="Calibri" w:eastAsia="宋体" w:cs="Times New Roman"/>
                <w:color w:val="auto"/>
                <w:kern w:val="2"/>
                <w:highlight w:val="none"/>
                <w:lang w:val="en-US" w:bidi="ar-SA"/>
              </w:rPr>
            </w:pPr>
            <w:r>
              <w:rPr>
                <w:rFonts w:hint="eastAsia" w:ascii="Calibri" w:hAnsi="Calibri" w:eastAsia="宋体" w:cs="Times New Roman"/>
                <w:color w:val="auto"/>
                <w:kern w:val="2"/>
                <w:highlight w:val="none"/>
                <w:lang w:val="en-US" w:eastAsia="zh-CN" w:bidi="ar-SA"/>
              </w:rPr>
              <w:t>6</w:t>
            </w:r>
          </w:p>
        </w:tc>
        <w:tc>
          <w:tcPr>
            <w:tcW w:w="677" w:type="pct"/>
            <w:shd w:val="clear" w:color="auto" w:fill="auto"/>
            <w:noWrap/>
            <w:tcMar>
              <w:top w:w="15" w:type="dxa"/>
              <w:left w:w="15" w:type="dxa"/>
              <w:right w:w="15" w:type="dxa"/>
            </w:tcMar>
            <w:vAlign w:val="center"/>
          </w:tcPr>
          <w:p>
            <w:pPr>
              <w:shd w:val="clear"/>
              <w:bidi w:val="0"/>
              <w:outlineLvl w:val="9"/>
              <w:rPr>
                <w:rFonts w:hint="eastAsia" w:ascii="Calibri" w:hAnsi="Calibri" w:eastAsia="宋体" w:cs="Times New Roman"/>
                <w:color w:val="auto"/>
                <w:kern w:val="2"/>
                <w:highlight w:val="none"/>
                <w:lang w:val="en-US" w:bidi="ar-SA"/>
              </w:rPr>
            </w:pPr>
            <w:r>
              <w:rPr>
                <w:rFonts w:hint="eastAsia" w:ascii="Calibri" w:hAnsi="Calibri" w:eastAsia="宋体" w:cs="Times New Roman"/>
                <w:color w:val="auto"/>
                <w:kern w:val="2"/>
                <w:highlight w:val="none"/>
                <w:lang w:val="en-US" w:eastAsia="zh-CN" w:bidi="ar-SA"/>
              </w:rPr>
              <w:t>应急排查及抢修</w:t>
            </w:r>
          </w:p>
        </w:tc>
        <w:tc>
          <w:tcPr>
            <w:tcW w:w="1493" w:type="pct"/>
            <w:shd w:val="clear" w:color="auto" w:fill="auto"/>
            <w:tcMar>
              <w:top w:w="15" w:type="dxa"/>
              <w:left w:w="15" w:type="dxa"/>
              <w:right w:w="15" w:type="dxa"/>
            </w:tcMar>
            <w:vAlign w:val="center"/>
          </w:tcPr>
          <w:p>
            <w:pPr>
              <w:shd w:val="clear"/>
              <w:bidi w:val="0"/>
              <w:outlineLvl w:val="9"/>
              <w:rPr>
                <w:rFonts w:hint="eastAsia" w:ascii="Calibri" w:hAnsi="Calibri" w:eastAsia="宋体" w:cs="Times New Roman"/>
                <w:color w:val="auto"/>
                <w:kern w:val="2"/>
                <w:highlight w:val="none"/>
                <w:lang w:val="en-US" w:bidi="ar-SA"/>
              </w:rPr>
            </w:pPr>
            <w:r>
              <w:rPr>
                <w:rFonts w:hint="eastAsia" w:ascii="Calibri" w:hAnsi="Calibri" w:eastAsia="宋体" w:cs="Times New Roman"/>
                <w:color w:val="auto"/>
                <w:kern w:val="2"/>
                <w:highlight w:val="none"/>
                <w:lang w:val="en-US" w:eastAsia="zh-CN" w:bidi="ar-SA"/>
              </w:rPr>
              <w:t>1、包含管网临时封堵、翻水、应急排查、检测，疏通及小范围应急管网修复等</w:t>
            </w:r>
          </w:p>
        </w:tc>
        <w:tc>
          <w:tcPr>
            <w:tcW w:w="394" w:type="pct"/>
            <w:shd w:val="clear" w:color="auto" w:fill="auto"/>
            <w:noWrap/>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en-US" w:bidi="ar-SA"/>
              </w:rPr>
            </w:pPr>
            <w:r>
              <w:rPr>
                <w:rFonts w:hint="eastAsia" w:ascii="Calibri" w:hAnsi="Calibri" w:eastAsia="宋体" w:cs="Times New Roman"/>
                <w:color w:val="auto"/>
                <w:kern w:val="2"/>
                <w:highlight w:val="none"/>
                <w:lang w:val="en-US" w:eastAsia="zh-CN" w:bidi="ar-SA"/>
              </w:rPr>
              <w:t>1</w:t>
            </w:r>
          </w:p>
        </w:tc>
        <w:tc>
          <w:tcPr>
            <w:tcW w:w="267" w:type="pct"/>
            <w:shd w:val="clear" w:color="auto" w:fill="auto"/>
            <w:noWrap/>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en-US" w:bidi="ar-SA"/>
              </w:rPr>
            </w:pPr>
            <w:r>
              <w:rPr>
                <w:rFonts w:hint="eastAsia" w:ascii="Calibri" w:hAnsi="Calibri" w:eastAsia="宋体" w:cs="Times New Roman"/>
                <w:color w:val="auto"/>
                <w:kern w:val="2"/>
                <w:highlight w:val="none"/>
                <w:lang w:val="en-US" w:eastAsia="zh-CN" w:bidi="ar-SA"/>
              </w:rPr>
              <w:t>项</w:t>
            </w:r>
          </w:p>
        </w:tc>
        <w:tc>
          <w:tcPr>
            <w:tcW w:w="1900" w:type="pct"/>
            <w:shd w:val="clear" w:color="auto" w:fill="auto"/>
            <w:noWrap/>
            <w:tcMar>
              <w:top w:w="15" w:type="dxa"/>
              <w:left w:w="15" w:type="dxa"/>
              <w:right w:w="15" w:type="dxa"/>
            </w:tcMar>
            <w:vAlign w:val="center"/>
          </w:tcPr>
          <w:p>
            <w:pPr>
              <w:shd w:val="clear"/>
              <w:bidi w:val="0"/>
              <w:outlineLvl w:val="9"/>
              <w:rPr>
                <w:rFonts w:hint="eastAsia" w:ascii="Calibri" w:hAnsi="Calibri" w:eastAsia="宋体" w:cs="Times New Roman"/>
                <w:color w:val="auto"/>
                <w:kern w:val="2"/>
                <w:highlight w:val="none"/>
                <w:lang w:val="en-US" w:bidi="ar-SA"/>
              </w:rPr>
            </w:pPr>
            <w:r>
              <w:rPr>
                <w:rFonts w:hint="eastAsia" w:ascii="Calibri" w:hAnsi="Calibri" w:eastAsia="宋体" w:cs="Times New Roman"/>
                <w:color w:val="auto"/>
                <w:kern w:val="2"/>
                <w:highlight w:val="none"/>
                <w:lang w:val="en-US" w:eastAsia="zh-CN" w:bidi="ar-SA"/>
              </w:rPr>
              <w:t>应急排查抢修，此部分按实结算。</w:t>
            </w:r>
          </w:p>
        </w:tc>
      </w:tr>
    </w:tbl>
    <w:p>
      <w:pPr>
        <w:shd w:val="clear"/>
        <w:bidi w:val="0"/>
        <w:outlineLvl w:val="9"/>
        <w:rPr>
          <w:rFonts w:hint="eastAsia" w:ascii="Calibri" w:hAnsi="Calibri" w:eastAsia="宋体" w:cs="Times New Roman"/>
          <w:color w:val="auto"/>
          <w:kern w:val="2"/>
          <w:highlight w:val="none"/>
          <w:lang w:val="en-US" w:bidi="ar-SA"/>
        </w:rPr>
      </w:pPr>
    </w:p>
    <w:p>
      <w:pPr>
        <w:shd w:val="clear"/>
        <w:tabs>
          <w:tab w:val="left" w:pos="945"/>
        </w:tabs>
        <w:adjustRightInd w:val="0"/>
        <w:snapToGrid w:val="0"/>
        <w:spacing w:after="0" w:line="360" w:lineRule="auto"/>
        <w:ind w:firstLine="480" w:firstLineChars="200"/>
        <w:outlineLvl w:val="9"/>
        <w:rPr>
          <w:rFonts w:hint="eastAsia" w:ascii="宋体" w:hAnsi="宋体" w:eastAsia="宋体" w:cs="宋体"/>
          <w:color w:val="auto"/>
          <w:kern w:val="2"/>
          <w:sz w:val="24"/>
          <w:szCs w:val="24"/>
          <w:highlight w:val="none"/>
          <w:lang w:val="en-US" w:bidi="ar-SA"/>
        </w:rPr>
      </w:pPr>
      <w:r>
        <w:rPr>
          <w:rFonts w:hint="eastAsia" w:ascii="宋体" w:hAnsi="宋体" w:eastAsia="宋体" w:cs="宋体"/>
          <w:color w:val="auto"/>
          <w:kern w:val="2"/>
          <w:sz w:val="24"/>
          <w:szCs w:val="24"/>
          <w:highlight w:val="none"/>
          <w:lang w:val="en-US" w:bidi="ar-SA"/>
        </w:rPr>
        <w:t>注：（1）养护期结束，需确保设施、设备正常工作。</w:t>
      </w:r>
    </w:p>
    <w:p>
      <w:pPr>
        <w:pStyle w:val="2"/>
        <w:rPr>
          <w:rFonts w:hint="default" w:eastAsia="宋体"/>
          <w:color w:val="auto"/>
          <w:highlight w:val="none"/>
          <w:lang w:val="en-US" w:eastAsia="zh-CN"/>
        </w:rPr>
      </w:pPr>
      <w:r>
        <w:rPr>
          <w:rFonts w:hint="eastAsia" w:ascii="宋体" w:hAnsi="宋体" w:eastAsia="宋体" w:cs="宋体"/>
          <w:color w:val="auto"/>
          <w:kern w:val="2"/>
          <w:sz w:val="24"/>
          <w:szCs w:val="24"/>
          <w:highlight w:val="none"/>
          <w:lang w:val="en-US" w:eastAsia="zh-CN" w:bidi="ar-SA"/>
        </w:rPr>
        <w:t>（2）应急排查及抢修暂列金额为25000元，结算时以实际发生费用为准(仅用于应急排查及抢修)。</w:t>
      </w:r>
    </w:p>
    <w:p>
      <w:pPr>
        <w:shd w:val="clear"/>
        <w:adjustRightInd w:val="0"/>
        <w:snapToGrid w:val="0"/>
        <w:spacing w:after="0" w:line="360" w:lineRule="auto"/>
        <w:ind w:firstLine="482" w:firstLineChars="200"/>
        <w:outlineLvl w:val="9"/>
        <w:rPr>
          <w:rFonts w:hint="default" w:ascii="宋体" w:hAnsi="宋体" w:eastAsia="宋体" w:cs="Times New Roman"/>
          <w:b/>
          <w:bCs/>
          <w:color w:val="auto"/>
          <w:kern w:val="2"/>
          <w:sz w:val="24"/>
          <w:szCs w:val="20"/>
          <w:highlight w:val="none"/>
          <w:lang w:val="en-US" w:eastAsia="zh-CN" w:bidi="ar-SA"/>
        </w:rPr>
      </w:pPr>
      <w:r>
        <w:rPr>
          <w:rFonts w:hint="eastAsia" w:ascii="宋体" w:hAnsi="宋体" w:eastAsia="宋体" w:cs="Times New Roman"/>
          <w:b/>
          <w:bCs/>
          <w:color w:val="auto"/>
          <w:kern w:val="2"/>
          <w:sz w:val="24"/>
          <w:szCs w:val="20"/>
          <w:highlight w:val="none"/>
          <w:lang w:val="en-US" w:eastAsia="zh-CN" w:bidi="ar-SA"/>
        </w:rPr>
        <w:t>7</w:t>
      </w:r>
      <w:r>
        <w:rPr>
          <w:rFonts w:hint="eastAsia" w:ascii="宋体" w:hAnsi="宋体" w:eastAsia="宋体" w:cs="Times New Roman"/>
          <w:b/>
          <w:bCs/>
          <w:color w:val="auto"/>
          <w:kern w:val="2"/>
          <w:sz w:val="24"/>
          <w:szCs w:val="20"/>
          <w:highlight w:val="none"/>
          <w:lang w:val="en-US" w:bidi="ar-SA"/>
        </w:rPr>
        <w:t>、考核</w:t>
      </w:r>
    </w:p>
    <w:p>
      <w:pPr>
        <w:shd w:val="clear"/>
        <w:adjustRightInd w:val="0"/>
        <w:snapToGrid w:val="0"/>
        <w:spacing w:after="0" w:line="360" w:lineRule="auto"/>
        <w:ind w:firstLine="480" w:firstLineChars="200"/>
        <w:outlineLvl w:val="9"/>
        <w:rPr>
          <w:rFonts w:hint="default" w:ascii="宋体" w:hAnsi="宋体" w:eastAsia="宋体" w:cs="Times New Roman"/>
          <w:bCs/>
          <w:color w:val="auto"/>
          <w:kern w:val="2"/>
          <w:sz w:val="24"/>
          <w:szCs w:val="24"/>
          <w:highlight w:val="none"/>
          <w:lang w:val="en-US" w:bidi="ar-SA"/>
        </w:rPr>
      </w:pPr>
      <w:r>
        <w:rPr>
          <w:rFonts w:hint="default" w:ascii="宋体" w:hAnsi="宋体" w:eastAsia="宋体" w:cs="Times New Roman"/>
          <w:bCs/>
          <w:color w:val="auto"/>
          <w:kern w:val="2"/>
          <w:sz w:val="24"/>
          <w:szCs w:val="24"/>
          <w:highlight w:val="none"/>
          <w:lang w:val="en-US" w:bidi="ar-SA"/>
        </w:rPr>
        <w:t xml:space="preserve">（1）按照《无锡市排水达标区运行维护考核细则》（试行）（锡政园用【2011】16 号文）执行，具体考核内容见附表一至附表六。 </w:t>
      </w:r>
    </w:p>
    <w:p>
      <w:pPr>
        <w:shd w:val="clear"/>
        <w:adjustRightInd w:val="0"/>
        <w:snapToGrid w:val="0"/>
        <w:spacing w:after="0" w:line="360" w:lineRule="auto"/>
        <w:ind w:firstLine="480" w:firstLineChars="200"/>
        <w:outlineLvl w:val="9"/>
        <w:rPr>
          <w:rFonts w:hint="default" w:ascii="宋体" w:hAnsi="宋体" w:eastAsia="宋体" w:cs="Times New Roman"/>
          <w:bCs/>
          <w:color w:val="auto"/>
          <w:kern w:val="2"/>
          <w:sz w:val="24"/>
          <w:szCs w:val="24"/>
          <w:highlight w:val="none"/>
          <w:lang w:val="en-US" w:eastAsia="zh-CN" w:bidi="ar-SA"/>
        </w:rPr>
      </w:pPr>
      <w:r>
        <w:rPr>
          <w:rFonts w:hint="default" w:ascii="宋体" w:hAnsi="宋体" w:eastAsia="宋体" w:cs="Times New Roman"/>
          <w:bCs/>
          <w:color w:val="auto"/>
          <w:kern w:val="2"/>
          <w:sz w:val="24"/>
          <w:szCs w:val="24"/>
          <w:highlight w:val="none"/>
          <w:lang w:val="en-US" w:bidi="ar-SA"/>
        </w:rPr>
        <w:t>（2）考核与费用挂钩标准：</w:t>
      </w:r>
    </w:p>
    <w:p>
      <w:pPr>
        <w:shd w:val="clear"/>
        <w:adjustRightInd w:val="0"/>
        <w:snapToGrid w:val="0"/>
        <w:spacing w:after="0" w:line="360" w:lineRule="auto"/>
        <w:ind w:firstLine="480" w:firstLineChars="200"/>
        <w:outlineLvl w:val="9"/>
        <w:rPr>
          <w:rFonts w:hint="default" w:ascii="宋体" w:hAnsi="宋体" w:eastAsia="宋体" w:cs="Times New Roman"/>
          <w:bCs/>
          <w:color w:val="auto"/>
          <w:kern w:val="2"/>
          <w:sz w:val="24"/>
          <w:szCs w:val="24"/>
          <w:highlight w:val="none"/>
          <w:lang w:val="en-US" w:bidi="ar-SA"/>
        </w:rPr>
      </w:pPr>
      <w:r>
        <w:rPr>
          <w:rFonts w:hint="default" w:ascii="宋体" w:hAnsi="宋体" w:eastAsia="宋体" w:cs="Times New Roman"/>
          <w:bCs/>
          <w:color w:val="auto"/>
          <w:kern w:val="2"/>
          <w:sz w:val="24"/>
          <w:szCs w:val="24"/>
          <w:highlight w:val="none"/>
          <w:lang w:val="en-US" w:bidi="ar-SA"/>
        </w:rPr>
        <w:t>得分在 90 分（含）以上：全额支付当期养护费用；</w:t>
      </w:r>
    </w:p>
    <w:p>
      <w:pPr>
        <w:shd w:val="clear"/>
        <w:adjustRightInd w:val="0"/>
        <w:snapToGrid w:val="0"/>
        <w:spacing w:after="0" w:line="360" w:lineRule="auto"/>
        <w:ind w:firstLine="480" w:firstLineChars="200"/>
        <w:outlineLvl w:val="9"/>
        <w:rPr>
          <w:rFonts w:hint="default" w:ascii="宋体" w:hAnsi="宋体" w:eastAsia="宋体" w:cs="Times New Roman"/>
          <w:bCs/>
          <w:color w:val="auto"/>
          <w:kern w:val="2"/>
          <w:sz w:val="24"/>
          <w:szCs w:val="24"/>
          <w:highlight w:val="none"/>
          <w:lang w:val="en-US" w:bidi="ar-SA"/>
        </w:rPr>
      </w:pPr>
      <w:r>
        <w:rPr>
          <w:rFonts w:hint="default" w:ascii="宋体" w:hAnsi="宋体" w:eastAsia="宋体" w:cs="Times New Roman"/>
          <w:bCs/>
          <w:color w:val="auto"/>
          <w:kern w:val="2"/>
          <w:sz w:val="24"/>
          <w:szCs w:val="24"/>
          <w:highlight w:val="none"/>
          <w:lang w:val="en-US" w:bidi="ar-SA"/>
        </w:rPr>
        <w:t xml:space="preserve">得分在 85～90 分（含 85 分）：扣除当期养护费用的 </w:t>
      </w:r>
      <w:r>
        <w:rPr>
          <w:rFonts w:hint="eastAsia" w:ascii="宋体" w:hAnsi="宋体" w:eastAsia="宋体" w:cs="Times New Roman"/>
          <w:bCs/>
          <w:color w:val="auto"/>
          <w:kern w:val="2"/>
          <w:sz w:val="24"/>
          <w:szCs w:val="24"/>
          <w:highlight w:val="none"/>
          <w:lang w:val="en-US" w:eastAsia="zh-CN" w:bidi="ar-SA"/>
        </w:rPr>
        <w:t>10</w:t>
      </w:r>
      <w:r>
        <w:rPr>
          <w:rFonts w:hint="default" w:ascii="宋体" w:hAnsi="宋体" w:eastAsia="宋体" w:cs="Times New Roman"/>
          <w:bCs/>
          <w:color w:val="auto"/>
          <w:kern w:val="2"/>
          <w:sz w:val="24"/>
          <w:szCs w:val="24"/>
          <w:highlight w:val="none"/>
          <w:lang w:val="en-US" w:bidi="ar-SA"/>
        </w:rPr>
        <w:t>%；</w:t>
      </w:r>
    </w:p>
    <w:p>
      <w:pPr>
        <w:shd w:val="clear"/>
        <w:adjustRightInd w:val="0"/>
        <w:snapToGrid w:val="0"/>
        <w:spacing w:after="0" w:line="360" w:lineRule="auto"/>
        <w:ind w:firstLine="480" w:firstLineChars="200"/>
        <w:outlineLvl w:val="9"/>
        <w:rPr>
          <w:rFonts w:hint="default" w:ascii="宋体" w:hAnsi="宋体" w:eastAsia="宋体" w:cs="Times New Roman"/>
          <w:bCs/>
          <w:color w:val="auto"/>
          <w:kern w:val="2"/>
          <w:sz w:val="24"/>
          <w:szCs w:val="24"/>
          <w:highlight w:val="none"/>
          <w:lang w:val="en-US" w:bidi="ar-SA"/>
        </w:rPr>
      </w:pPr>
      <w:r>
        <w:rPr>
          <w:rFonts w:hint="default" w:ascii="宋体" w:hAnsi="宋体" w:eastAsia="宋体" w:cs="Times New Roman"/>
          <w:bCs/>
          <w:color w:val="auto"/>
          <w:kern w:val="2"/>
          <w:sz w:val="24"/>
          <w:szCs w:val="24"/>
          <w:highlight w:val="none"/>
          <w:lang w:val="en-US" w:bidi="ar-SA"/>
        </w:rPr>
        <w:t xml:space="preserve">得分在 80～85 分（含 80 分）：扣除当期养护费用的 </w:t>
      </w:r>
      <w:r>
        <w:rPr>
          <w:rFonts w:hint="eastAsia" w:ascii="宋体" w:hAnsi="宋体" w:eastAsia="宋体" w:cs="Times New Roman"/>
          <w:bCs/>
          <w:color w:val="auto"/>
          <w:kern w:val="2"/>
          <w:sz w:val="24"/>
          <w:szCs w:val="24"/>
          <w:highlight w:val="none"/>
          <w:lang w:val="en-US" w:eastAsia="zh-CN" w:bidi="ar-SA"/>
        </w:rPr>
        <w:t>20</w:t>
      </w:r>
      <w:r>
        <w:rPr>
          <w:rFonts w:hint="default" w:ascii="宋体" w:hAnsi="宋体" w:eastAsia="宋体" w:cs="Times New Roman"/>
          <w:bCs/>
          <w:color w:val="auto"/>
          <w:kern w:val="2"/>
          <w:sz w:val="24"/>
          <w:szCs w:val="24"/>
          <w:highlight w:val="none"/>
          <w:lang w:val="en-US" w:bidi="ar-SA"/>
        </w:rPr>
        <w:t>%；</w:t>
      </w:r>
    </w:p>
    <w:p>
      <w:pPr>
        <w:shd w:val="clear"/>
        <w:adjustRightInd w:val="0"/>
        <w:snapToGrid w:val="0"/>
        <w:spacing w:after="0" w:line="360" w:lineRule="auto"/>
        <w:ind w:firstLine="480" w:firstLineChars="200"/>
        <w:outlineLvl w:val="9"/>
        <w:rPr>
          <w:rFonts w:hint="default" w:ascii="Calibri" w:hAnsi="Calibri" w:eastAsia="Arial" w:cs="Arial"/>
          <w:color w:val="auto"/>
          <w:kern w:val="2"/>
          <w:sz w:val="21"/>
          <w:szCs w:val="24"/>
          <w:highlight w:val="none"/>
          <w:lang w:val="en-US" w:eastAsia="zh-CN" w:bidi="ar-SA"/>
        </w:rPr>
      </w:pPr>
      <w:r>
        <w:rPr>
          <w:rFonts w:hint="default" w:ascii="宋体" w:hAnsi="宋体" w:eastAsia="宋体" w:cs="Times New Roman"/>
          <w:bCs/>
          <w:color w:val="auto"/>
          <w:kern w:val="2"/>
          <w:sz w:val="24"/>
          <w:szCs w:val="24"/>
          <w:highlight w:val="none"/>
          <w:lang w:val="en-US" w:bidi="ar-SA"/>
        </w:rPr>
        <w:t xml:space="preserve">得分在 80 分以下：认定为当期考核不合格，扣除当期养护费用的 </w:t>
      </w:r>
      <w:r>
        <w:rPr>
          <w:rFonts w:hint="eastAsia" w:ascii="宋体" w:hAnsi="宋体" w:eastAsia="宋体" w:cs="Times New Roman"/>
          <w:bCs/>
          <w:color w:val="auto"/>
          <w:kern w:val="2"/>
          <w:sz w:val="24"/>
          <w:szCs w:val="24"/>
          <w:highlight w:val="none"/>
          <w:lang w:val="en-US" w:eastAsia="zh-CN" w:bidi="ar-SA"/>
        </w:rPr>
        <w:t>40</w:t>
      </w:r>
      <w:r>
        <w:rPr>
          <w:rFonts w:hint="default" w:ascii="宋体" w:hAnsi="宋体" w:eastAsia="宋体" w:cs="Times New Roman"/>
          <w:bCs/>
          <w:color w:val="auto"/>
          <w:kern w:val="2"/>
          <w:sz w:val="24"/>
          <w:szCs w:val="24"/>
          <w:highlight w:val="none"/>
          <w:lang w:val="en-US" w:bidi="ar-SA"/>
        </w:rPr>
        <w:t>%，</w:t>
      </w:r>
      <w:r>
        <w:rPr>
          <w:rFonts w:hint="default" w:ascii="宋体" w:hAnsi="宋体" w:eastAsia="宋体" w:cs="Times New Roman"/>
          <w:bCs/>
          <w:color w:val="auto"/>
          <w:kern w:val="2"/>
          <w:sz w:val="24"/>
          <w:szCs w:val="24"/>
          <w:highlight w:val="none"/>
          <w:lang w:val="en-US" w:eastAsia="zh-CN" w:bidi="ar-SA"/>
        </w:rPr>
        <w:t>或者暂缓支付养护经费，待整改到位后支付</w:t>
      </w:r>
      <w:r>
        <w:rPr>
          <w:rFonts w:hint="default" w:ascii="宋体" w:hAnsi="宋体" w:eastAsia="宋体" w:cs="Times New Roman"/>
          <w:bCs/>
          <w:color w:val="auto"/>
          <w:kern w:val="2"/>
          <w:sz w:val="24"/>
          <w:szCs w:val="24"/>
          <w:highlight w:val="none"/>
          <w:lang w:val="en-US" w:bidi="ar-SA"/>
        </w:rPr>
        <w:t>。</w:t>
      </w:r>
    </w:p>
    <w:p>
      <w:pPr>
        <w:shd w:val="clear"/>
        <w:tabs>
          <w:tab w:val="left" w:pos="945"/>
        </w:tabs>
        <w:adjustRightInd w:val="0"/>
        <w:snapToGrid w:val="0"/>
        <w:spacing w:after="0" w:line="360" w:lineRule="auto"/>
        <w:ind w:firstLine="482" w:firstLineChars="200"/>
        <w:outlineLvl w:val="9"/>
        <w:rPr>
          <w:rFonts w:hint="default" w:ascii="宋体" w:hAnsi="宋体" w:eastAsia="宋体" w:cs="宋体"/>
          <w:b/>
          <w:color w:val="auto"/>
          <w:kern w:val="2"/>
          <w:sz w:val="24"/>
          <w:szCs w:val="24"/>
          <w:highlight w:val="none"/>
          <w:lang w:val="en-US" w:bidi="ar-SA"/>
        </w:rPr>
      </w:pPr>
      <w:r>
        <w:rPr>
          <w:rFonts w:hint="eastAsia" w:ascii="宋体" w:hAnsi="宋体" w:eastAsia="宋体" w:cs="宋体"/>
          <w:b/>
          <w:color w:val="auto"/>
          <w:kern w:val="2"/>
          <w:sz w:val="24"/>
          <w:szCs w:val="24"/>
          <w:highlight w:val="none"/>
          <w:lang w:val="en-US" w:bidi="ar-SA"/>
        </w:rPr>
        <w:t>四、其他说明</w:t>
      </w:r>
    </w:p>
    <w:p>
      <w:pPr>
        <w:shd w:val="clear"/>
        <w:tabs>
          <w:tab w:val="left" w:pos="945"/>
        </w:tabs>
        <w:adjustRightInd w:val="0"/>
        <w:snapToGrid w:val="0"/>
        <w:spacing w:after="0" w:line="360" w:lineRule="auto"/>
        <w:ind w:firstLine="480" w:firstLineChars="200"/>
        <w:outlineLvl w:val="9"/>
        <w:rPr>
          <w:rFonts w:hint="default" w:ascii="宋体" w:hAnsi="宋体" w:eastAsia="宋体" w:cs="宋体"/>
          <w:bCs/>
          <w:color w:val="auto"/>
          <w:kern w:val="2"/>
          <w:sz w:val="24"/>
          <w:szCs w:val="24"/>
          <w:highlight w:val="none"/>
          <w:lang w:val="en-US" w:bidi="ar-SA"/>
        </w:rPr>
      </w:pPr>
      <w:r>
        <w:rPr>
          <w:rFonts w:hint="eastAsia" w:ascii="宋体" w:hAnsi="宋体" w:eastAsia="宋体" w:cs="宋体"/>
          <w:bCs/>
          <w:color w:val="auto"/>
          <w:kern w:val="2"/>
          <w:sz w:val="24"/>
          <w:szCs w:val="24"/>
          <w:highlight w:val="none"/>
          <w:lang w:val="en-US" w:bidi="ar-SA"/>
        </w:rPr>
        <w:t>成交供应商中标后有下列情形之一的，采购人有权取消其中标资格，并由第二成交候选人顺序替补为成交供应商，并与采购人签订合同。采购人也可以重新招标。给采购人造成的损失，原成交供应商还应当予以赔偿：</w:t>
      </w:r>
    </w:p>
    <w:p>
      <w:pPr>
        <w:shd w:val="clear"/>
        <w:tabs>
          <w:tab w:val="left" w:pos="945"/>
        </w:tabs>
        <w:adjustRightInd w:val="0"/>
        <w:snapToGrid w:val="0"/>
        <w:spacing w:after="0" w:line="360" w:lineRule="auto"/>
        <w:ind w:firstLine="480" w:firstLineChars="200"/>
        <w:outlineLvl w:val="9"/>
        <w:rPr>
          <w:rFonts w:hint="default" w:ascii="宋体" w:hAnsi="宋体" w:eastAsia="宋体" w:cs="宋体"/>
          <w:bCs/>
          <w:color w:val="auto"/>
          <w:kern w:val="2"/>
          <w:sz w:val="24"/>
          <w:szCs w:val="24"/>
          <w:highlight w:val="none"/>
          <w:lang w:val="en-US" w:bidi="ar-SA"/>
        </w:rPr>
      </w:pPr>
      <w:r>
        <w:rPr>
          <w:rFonts w:hint="eastAsia" w:ascii="宋体" w:hAnsi="宋体" w:eastAsia="宋体" w:cs="宋体"/>
          <w:bCs/>
          <w:color w:val="auto"/>
          <w:kern w:val="2"/>
          <w:sz w:val="24"/>
          <w:szCs w:val="24"/>
          <w:highlight w:val="none"/>
          <w:lang w:val="en-US" w:bidi="ar-SA"/>
        </w:rPr>
        <w:t>（1）放弃中标项目；</w:t>
      </w:r>
    </w:p>
    <w:p>
      <w:pPr>
        <w:shd w:val="clear"/>
        <w:tabs>
          <w:tab w:val="left" w:pos="945"/>
        </w:tabs>
        <w:adjustRightInd w:val="0"/>
        <w:snapToGrid w:val="0"/>
        <w:spacing w:after="0" w:line="360" w:lineRule="auto"/>
        <w:ind w:firstLine="480" w:firstLineChars="200"/>
        <w:outlineLvl w:val="9"/>
        <w:rPr>
          <w:rFonts w:hint="default" w:ascii="宋体" w:hAnsi="宋体" w:eastAsia="宋体" w:cs="宋体"/>
          <w:bCs/>
          <w:color w:val="auto"/>
          <w:kern w:val="2"/>
          <w:sz w:val="24"/>
          <w:szCs w:val="24"/>
          <w:highlight w:val="none"/>
          <w:lang w:val="en-US" w:bidi="ar-SA"/>
        </w:rPr>
      </w:pPr>
      <w:r>
        <w:rPr>
          <w:rFonts w:hint="eastAsia" w:ascii="宋体" w:hAnsi="宋体" w:eastAsia="宋体" w:cs="宋体"/>
          <w:bCs/>
          <w:color w:val="auto"/>
          <w:kern w:val="2"/>
          <w:sz w:val="24"/>
          <w:szCs w:val="24"/>
          <w:highlight w:val="none"/>
          <w:lang w:val="en-US" w:bidi="ar-SA"/>
        </w:rPr>
        <w:t>（2）无正当理由不与采购人签订合同；</w:t>
      </w:r>
    </w:p>
    <w:p>
      <w:pPr>
        <w:shd w:val="clear"/>
        <w:tabs>
          <w:tab w:val="left" w:pos="945"/>
        </w:tabs>
        <w:adjustRightInd w:val="0"/>
        <w:snapToGrid w:val="0"/>
        <w:spacing w:after="0" w:line="360" w:lineRule="auto"/>
        <w:ind w:firstLine="480" w:firstLineChars="200"/>
        <w:outlineLvl w:val="9"/>
        <w:rPr>
          <w:rFonts w:hint="default" w:ascii="宋体" w:hAnsi="宋体" w:eastAsia="宋体" w:cs="宋体"/>
          <w:bCs/>
          <w:color w:val="auto"/>
          <w:kern w:val="2"/>
          <w:sz w:val="24"/>
          <w:szCs w:val="24"/>
          <w:highlight w:val="none"/>
          <w:lang w:val="en-US" w:bidi="ar-SA"/>
        </w:rPr>
      </w:pPr>
      <w:r>
        <w:rPr>
          <w:rFonts w:hint="eastAsia" w:ascii="宋体" w:hAnsi="宋体" w:eastAsia="宋体" w:cs="宋体"/>
          <w:bCs/>
          <w:color w:val="auto"/>
          <w:kern w:val="2"/>
          <w:sz w:val="24"/>
          <w:szCs w:val="24"/>
          <w:highlight w:val="none"/>
          <w:lang w:val="en-US" w:bidi="ar-SA"/>
        </w:rPr>
        <w:t>（3）在签订合同时向采购人提出附加条件或者更改合同实质性内容的。</w:t>
      </w:r>
    </w:p>
    <w:p>
      <w:pPr>
        <w:shd w:val="clear"/>
        <w:tabs>
          <w:tab w:val="left" w:pos="945"/>
        </w:tabs>
        <w:adjustRightInd w:val="0"/>
        <w:snapToGrid w:val="0"/>
        <w:spacing w:after="0" w:line="360" w:lineRule="auto"/>
        <w:ind w:firstLine="482" w:firstLineChars="200"/>
        <w:outlineLvl w:val="9"/>
        <w:rPr>
          <w:rFonts w:hint="default" w:ascii="宋体" w:hAnsi="宋体" w:eastAsia="宋体" w:cs="宋体"/>
          <w:b/>
          <w:color w:val="auto"/>
          <w:kern w:val="2"/>
          <w:sz w:val="24"/>
          <w:szCs w:val="24"/>
          <w:highlight w:val="none"/>
          <w:lang w:val="en-US" w:bidi="ar-SA"/>
        </w:rPr>
      </w:pPr>
      <w:r>
        <w:rPr>
          <w:rFonts w:hint="eastAsia" w:ascii="宋体" w:hAnsi="宋体" w:eastAsia="宋体" w:cs="宋体"/>
          <w:b/>
          <w:color w:val="auto"/>
          <w:kern w:val="2"/>
          <w:sz w:val="24"/>
          <w:szCs w:val="24"/>
          <w:highlight w:val="none"/>
          <w:lang w:val="en-US" w:bidi="ar-SA"/>
        </w:rPr>
        <w:t>五、报价要求</w:t>
      </w:r>
    </w:p>
    <w:p>
      <w:pPr>
        <w:shd w:val="clear"/>
        <w:adjustRightInd w:val="0"/>
        <w:snapToGrid w:val="0"/>
        <w:spacing w:after="0" w:line="360" w:lineRule="auto"/>
        <w:ind w:firstLine="480" w:firstLineChars="200"/>
        <w:outlineLvl w:val="9"/>
        <w:rPr>
          <w:rFonts w:hint="default" w:ascii="宋体" w:hAnsi="宋体" w:eastAsia="宋体" w:cs="宋体"/>
          <w:bCs/>
          <w:color w:val="auto"/>
          <w:kern w:val="2"/>
          <w:sz w:val="24"/>
          <w:szCs w:val="24"/>
          <w:highlight w:val="none"/>
          <w:lang w:val="en-US" w:bidi="ar-SA"/>
        </w:rPr>
      </w:pPr>
      <w:r>
        <w:rPr>
          <w:rFonts w:hint="eastAsia" w:ascii="宋体" w:hAnsi="宋体" w:eastAsia="宋体" w:cs="宋体"/>
          <w:bCs/>
          <w:color w:val="auto"/>
          <w:kern w:val="2"/>
          <w:sz w:val="24"/>
          <w:szCs w:val="24"/>
          <w:highlight w:val="none"/>
          <w:lang w:val="en-US" w:bidi="ar-SA"/>
        </w:rPr>
        <w:t>最终报价</w:t>
      </w:r>
      <w:bookmarkStart w:id="10" w:name="_Hlk98885075"/>
      <w:r>
        <w:rPr>
          <w:rFonts w:hint="eastAsia" w:ascii="宋体" w:hAnsi="宋体" w:eastAsia="宋体" w:cs="宋体"/>
          <w:bCs/>
          <w:color w:val="auto"/>
          <w:kern w:val="2"/>
          <w:sz w:val="24"/>
          <w:szCs w:val="20"/>
          <w:highlight w:val="none"/>
          <w:lang w:val="en-US" w:bidi="ar-SA"/>
        </w:rPr>
        <w:t>包括但不限于人工费、材料费、机械使用费、管理费和利润、税费、专家论证费、政策性文件规定的各项规费等费用，实际实施时不再以任何理由计取与合同范围内相关的其他费用</w:t>
      </w:r>
      <w:r>
        <w:rPr>
          <w:rFonts w:hint="eastAsia" w:ascii="宋体" w:hAnsi="宋体" w:eastAsia="宋体" w:cs="宋体"/>
          <w:bCs/>
          <w:color w:val="auto"/>
          <w:kern w:val="2"/>
          <w:sz w:val="24"/>
          <w:szCs w:val="24"/>
          <w:highlight w:val="none"/>
          <w:lang w:val="en-US" w:bidi="ar-SA"/>
        </w:rPr>
        <w:t>。</w:t>
      </w:r>
    </w:p>
    <w:p>
      <w:pPr>
        <w:shd w:val="clear"/>
        <w:adjustRightInd w:val="0"/>
        <w:snapToGrid w:val="0"/>
        <w:spacing w:after="0" w:line="360" w:lineRule="auto"/>
        <w:ind w:firstLine="482" w:firstLineChars="200"/>
        <w:outlineLvl w:val="9"/>
        <w:rPr>
          <w:rFonts w:hint="default" w:ascii="宋体" w:hAnsi="宋体" w:eastAsia="宋体" w:cs="宋体"/>
          <w:b/>
          <w:color w:val="auto"/>
          <w:kern w:val="0"/>
          <w:sz w:val="24"/>
          <w:szCs w:val="20"/>
          <w:highlight w:val="none"/>
          <w:lang w:val="en-US" w:bidi="ar-SA"/>
        </w:rPr>
      </w:pPr>
      <w:r>
        <w:rPr>
          <w:rFonts w:hint="eastAsia" w:ascii="宋体" w:hAnsi="宋体" w:eastAsia="宋体" w:cs="宋体"/>
          <w:b/>
          <w:color w:val="auto"/>
          <w:kern w:val="0"/>
          <w:sz w:val="24"/>
          <w:szCs w:val="20"/>
          <w:highlight w:val="none"/>
          <w:lang w:val="en-US" w:bidi="ar-SA"/>
        </w:rPr>
        <w:t>六、综合说明及其他要求</w:t>
      </w:r>
    </w:p>
    <w:p>
      <w:pPr>
        <w:numPr>
          <w:ilvl w:val="0"/>
          <w:numId w:val="19"/>
        </w:numPr>
        <w:shd w:val="clear"/>
        <w:tabs>
          <w:tab w:val="left" w:pos="709"/>
        </w:tabs>
        <w:adjustRightInd w:val="0"/>
        <w:snapToGrid w:val="0"/>
        <w:spacing w:after="0" w:line="360" w:lineRule="auto"/>
        <w:ind w:left="0" w:firstLine="424" w:firstLineChars="177"/>
        <w:outlineLvl w:val="9"/>
        <w:rPr>
          <w:rFonts w:hint="default" w:ascii="宋体" w:hAnsi="宋体" w:eastAsia="宋体" w:cs="宋体"/>
          <w:color w:val="auto"/>
          <w:kern w:val="2"/>
          <w:sz w:val="24"/>
          <w:szCs w:val="24"/>
          <w:highlight w:val="none"/>
          <w:lang w:val="en-US" w:bidi="ar-SA"/>
        </w:rPr>
      </w:pPr>
      <w:r>
        <w:rPr>
          <w:rFonts w:hint="eastAsia" w:ascii="宋体" w:hAnsi="宋体" w:eastAsia="宋体" w:cs="宋体"/>
          <w:color w:val="auto"/>
          <w:kern w:val="2"/>
          <w:sz w:val="24"/>
          <w:szCs w:val="20"/>
          <w:highlight w:val="none"/>
          <w:lang w:val="en-US" w:bidi="ar-SA"/>
        </w:rPr>
        <w:t>本次采购项目的服务质量及与此相关的所有安全问题均由成交供应商负责，如因上述原因造成的一切后果均由成交供应商自行承担，与他人无涉。</w:t>
      </w:r>
    </w:p>
    <w:p>
      <w:pPr>
        <w:numPr>
          <w:ilvl w:val="0"/>
          <w:numId w:val="19"/>
        </w:numPr>
        <w:shd w:val="clear"/>
        <w:tabs>
          <w:tab w:val="left" w:pos="709"/>
        </w:tabs>
        <w:adjustRightInd w:val="0"/>
        <w:snapToGrid w:val="0"/>
        <w:spacing w:after="0" w:line="360" w:lineRule="auto"/>
        <w:ind w:left="0" w:firstLine="424" w:firstLineChars="177"/>
        <w:outlineLvl w:val="9"/>
        <w:rPr>
          <w:rFonts w:hint="default" w:ascii="宋体" w:hAnsi="宋体" w:eastAsia="宋体" w:cs="宋体"/>
          <w:color w:val="auto"/>
          <w:kern w:val="2"/>
          <w:sz w:val="24"/>
          <w:szCs w:val="24"/>
          <w:highlight w:val="none"/>
          <w:lang w:val="en-US" w:bidi="ar-SA"/>
        </w:rPr>
      </w:pPr>
      <w:r>
        <w:rPr>
          <w:rFonts w:hint="eastAsia" w:ascii="宋体" w:hAnsi="宋体" w:eastAsia="宋体" w:cs="宋体"/>
          <w:color w:val="auto"/>
          <w:kern w:val="2"/>
          <w:sz w:val="24"/>
          <w:szCs w:val="20"/>
          <w:highlight w:val="none"/>
          <w:lang w:val="en-US" w:bidi="ar-SA"/>
        </w:rPr>
        <w:t>成交供应商提供的相关服务应达到或优于采购要求，并提供详细说明。如与</w:t>
      </w:r>
      <w:r>
        <w:rPr>
          <w:rFonts w:hint="eastAsia" w:ascii="宋体" w:hAnsi="宋体" w:eastAsia="宋体" w:cs="宋体"/>
          <w:color w:val="auto"/>
          <w:kern w:val="2"/>
          <w:sz w:val="24"/>
          <w:szCs w:val="20"/>
          <w:highlight w:val="none"/>
          <w:lang w:val="en-US" w:eastAsia="zh-CN" w:bidi="ar-SA"/>
        </w:rPr>
        <w:t>招标文件</w:t>
      </w:r>
      <w:r>
        <w:rPr>
          <w:rFonts w:hint="eastAsia" w:ascii="宋体" w:hAnsi="宋体" w:eastAsia="宋体" w:cs="宋体"/>
          <w:color w:val="auto"/>
          <w:kern w:val="2"/>
          <w:sz w:val="24"/>
          <w:szCs w:val="20"/>
          <w:highlight w:val="none"/>
          <w:lang w:val="en-US" w:bidi="ar-SA"/>
        </w:rPr>
        <w:t>中的某些其他条款不能完全满足时，应在响应文件中逐条列出。</w:t>
      </w:r>
    </w:p>
    <w:p>
      <w:pPr>
        <w:numPr>
          <w:ilvl w:val="0"/>
          <w:numId w:val="19"/>
        </w:numPr>
        <w:shd w:val="clear"/>
        <w:tabs>
          <w:tab w:val="left" w:pos="709"/>
        </w:tabs>
        <w:adjustRightInd w:val="0"/>
        <w:snapToGrid w:val="0"/>
        <w:spacing w:after="0" w:line="360" w:lineRule="auto"/>
        <w:ind w:left="0" w:firstLine="424" w:firstLineChars="177"/>
        <w:outlineLvl w:val="9"/>
        <w:rPr>
          <w:rFonts w:hint="default" w:ascii="宋体" w:hAnsi="宋体" w:eastAsia="宋体" w:cs="宋体"/>
          <w:color w:val="auto"/>
          <w:kern w:val="2"/>
          <w:sz w:val="24"/>
          <w:szCs w:val="20"/>
          <w:highlight w:val="none"/>
          <w:lang w:val="en-US" w:bidi="ar-SA"/>
        </w:rPr>
      </w:pPr>
      <w:r>
        <w:rPr>
          <w:rFonts w:hint="eastAsia" w:ascii="宋体" w:hAnsi="宋体" w:eastAsia="宋体" w:cs="宋体"/>
          <w:color w:val="auto"/>
          <w:kern w:val="2"/>
          <w:sz w:val="24"/>
          <w:szCs w:val="20"/>
          <w:highlight w:val="none"/>
          <w:lang w:val="en-US" w:bidi="ar-SA"/>
        </w:rPr>
        <w:t>成交供应商应建立人员职业道德规范与行为准则、人员岗位责任制度、人员聘用、培训、管理、考核与奖惩制度、技术服务规范与工作制度、服务质量管理制度等相关制度。落实文明管理、清理服务的措施，提供文明优质的服务。因成交供应商原因或工作人员工作失职或故意行为或违法犯罪行为造成采购人声誉影响或经济损失的，成交供应商应根据公安机关的立案调查结果或法院判决，承担相应的赔偿责任；因成交供应商自身原因所引发的一切纠纷，由成交供应商负完全责任；工作人员在非工作时间内发生的人身意外或其他纠纷，由成交供应商负责处理。如成交供应商拖欠本项目作业人员工资和其他薪酬、社会保险和商业保险投保费用，除承担由此引发的一切法律责任外，采购人有权解除服务合同。</w:t>
      </w:r>
    </w:p>
    <w:p>
      <w:pPr>
        <w:numPr>
          <w:ilvl w:val="0"/>
          <w:numId w:val="19"/>
        </w:numPr>
        <w:shd w:val="clear"/>
        <w:tabs>
          <w:tab w:val="left" w:pos="709"/>
        </w:tabs>
        <w:adjustRightInd w:val="0"/>
        <w:snapToGrid w:val="0"/>
        <w:spacing w:after="0" w:line="360" w:lineRule="auto"/>
        <w:ind w:left="0" w:firstLine="424" w:firstLineChars="177"/>
        <w:outlineLvl w:val="9"/>
        <w:rPr>
          <w:rFonts w:hint="default" w:ascii="宋体" w:hAnsi="宋体" w:eastAsia="宋体" w:cs="宋体"/>
          <w:color w:val="auto"/>
          <w:kern w:val="2"/>
          <w:sz w:val="24"/>
          <w:szCs w:val="20"/>
          <w:highlight w:val="none"/>
          <w:lang w:val="en-US" w:bidi="ar-SA"/>
        </w:rPr>
      </w:pPr>
      <w:r>
        <w:rPr>
          <w:rFonts w:hint="eastAsia" w:ascii="宋体" w:hAnsi="宋体" w:eastAsia="宋体" w:cs="宋体"/>
          <w:color w:val="auto"/>
          <w:kern w:val="2"/>
          <w:sz w:val="24"/>
          <w:szCs w:val="20"/>
          <w:highlight w:val="none"/>
          <w:lang w:val="en-US" w:bidi="ar-SA"/>
        </w:rPr>
        <w:t>成交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养护期内所有劳资纠纷和调解管理纠纷。</w:t>
      </w:r>
    </w:p>
    <w:p>
      <w:pPr>
        <w:numPr>
          <w:ilvl w:val="0"/>
          <w:numId w:val="19"/>
        </w:numPr>
        <w:shd w:val="clear"/>
        <w:tabs>
          <w:tab w:val="left" w:pos="709"/>
        </w:tabs>
        <w:adjustRightInd w:val="0"/>
        <w:snapToGrid w:val="0"/>
        <w:spacing w:after="0" w:line="360" w:lineRule="auto"/>
        <w:ind w:left="0" w:firstLine="424" w:firstLineChars="177"/>
        <w:outlineLvl w:val="9"/>
        <w:rPr>
          <w:rFonts w:hint="default" w:ascii="宋体" w:hAnsi="宋体" w:eastAsia="宋体" w:cs="宋体"/>
          <w:color w:val="auto"/>
          <w:kern w:val="2"/>
          <w:sz w:val="24"/>
          <w:szCs w:val="20"/>
          <w:highlight w:val="none"/>
          <w:lang w:val="en-US" w:bidi="ar-SA"/>
        </w:rPr>
      </w:pPr>
      <w:r>
        <w:rPr>
          <w:rFonts w:hint="eastAsia" w:ascii="宋体" w:hAnsi="宋体" w:eastAsia="宋体" w:cs="宋体"/>
          <w:color w:val="auto"/>
          <w:kern w:val="2"/>
          <w:sz w:val="24"/>
          <w:szCs w:val="20"/>
          <w:highlight w:val="none"/>
          <w:lang w:val="en-US" w:bidi="ar-SA"/>
        </w:rPr>
        <w:t>成交供应商必须无条件的接受采购人的监督，监督情况作为支付服务费用的依据。</w:t>
      </w:r>
    </w:p>
    <w:p>
      <w:pPr>
        <w:numPr>
          <w:ilvl w:val="0"/>
          <w:numId w:val="19"/>
        </w:numPr>
        <w:shd w:val="clear"/>
        <w:tabs>
          <w:tab w:val="left" w:pos="709"/>
        </w:tabs>
        <w:adjustRightInd w:val="0"/>
        <w:snapToGrid w:val="0"/>
        <w:spacing w:after="0" w:line="360" w:lineRule="auto"/>
        <w:ind w:left="0" w:firstLine="424" w:firstLineChars="177"/>
        <w:outlineLvl w:val="9"/>
        <w:rPr>
          <w:rFonts w:hint="default" w:ascii="宋体" w:hAnsi="宋体" w:eastAsia="宋体" w:cs="宋体"/>
          <w:color w:val="auto"/>
          <w:kern w:val="2"/>
          <w:sz w:val="24"/>
          <w:szCs w:val="24"/>
          <w:highlight w:val="none"/>
          <w:lang w:val="en-US" w:bidi="ar-SA"/>
        </w:rPr>
      </w:pPr>
      <w:r>
        <w:rPr>
          <w:rFonts w:hint="eastAsia" w:ascii="宋体" w:hAnsi="宋体" w:eastAsia="宋体" w:cs="宋体"/>
          <w:color w:val="auto"/>
          <w:kern w:val="2"/>
          <w:sz w:val="24"/>
          <w:szCs w:val="20"/>
          <w:highlight w:val="none"/>
          <w:lang w:val="en-US" w:bidi="ar-SA"/>
        </w:rPr>
        <w:t>响应文件必须如实进行实质性响应，量化指标必须列明具体数值，同时供应商必须根据提供的货物及服务，明确其必须说明的相关情况。供应商提供的响应文件内容必须真实、准确、有效，如提供虚假材料或对磋商文件所要求说明的情况故意隐瞒或虚报，视为不实质性响应采购要求，其响应文件将被拒绝。已成交的将取消成交资格，并按《中华人民共和国政府采购法》第七十七条的相关办法处理。</w:t>
      </w:r>
    </w:p>
    <w:p>
      <w:pPr>
        <w:numPr>
          <w:ilvl w:val="0"/>
          <w:numId w:val="19"/>
        </w:numPr>
        <w:shd w:val="clear"/>
        <w:tabs>
          <w:tab w:val="left" w:pos="709"/>
        </w:tabs>
        <w:adjustRightInd w:val="0"/>
        <w:snapToGrid w:val="0"/>
        <w:spacing w:after="0" w:line="360" w:lineRule="auto"/>
        <w:ind w:left="0" w:firstLine="424" w:firstLineChars="177"/>
        <w:outlineLvl w:val="9"/>
        <w:rPr>
          <w:rFonts w:hint="default" w:ascii="宋体" w:hAnsi="宋体" w:eastAsia="宋体" w:cs="宋体"/>
          <w:color w:val="auto"/>
          <w:kern w:val="2"/>
          <w:sz w:val="24"/>
          <w:szCs w:val="24"/>
          <w:highlight w:val="none"/>
          <w:lang w:val="en-US" w:bidi="ar-SA"/>
        </w:rPr>
      </w:pPr>
      <w:r>
        <w:rPr>
          <w:rFonts w:hint="eastAsia" w:ascii="宋体" w:hAnsi="宋体" w:eastAsia="宋体" w:cs="宋体"/>
          <w:color w:val="auto"/>
          <w:kern w:val="2"/>
          <w:sz w:val="24"/>
          <w:szCs w:val="20"/>
          <w:highlight w:val="none"/>
          <w:lang w:val="en-US" w:bidi="ar-SA"/>
        </w:rPr>
        <w:t>验收标准：采购人根据国家有关规定、磋商文件、成交供应商的响应文件以及合同约定的内容和标准进行验收。</w:t>
      </w:r>
    </w:p>
    <w:p>
      <w:pPr>
        <w:numPr>
          <w:ilvl w:val="0"/>
          <w:numId w:val="19"/>
        </w:numPr>
        <w:shd w:val="clear"/>
        <w:tabs>
          <w:tab w:val="left" w:pos="709"/>
        </w:tabs>
        <w:adjustRightInd w:val="0"/>
        <w:snapToGrid w:val="0"/>
        <w:spacing w:after="0" w:line="360" w:lineRule="auto"/>
        <w:ind w:left="0" w:firstLine="424" w:firstLineChars="177"/>
        <w:outlineLvl w:val="9"/>
        <w:rPr>
          <w:rFonts w:hint="default" w:ascii="宋体" w:hAnsi="宋体" w:eastAsia="宋体" w:cs="宋体"/>
          <w:color w:val="auto"/>
          <w:kern w:val="2"/>
          <w:sz w:val="24"/>
          <w:szCs w:val="24"/>
          <w:highlight w:val="none"/>
          <w:lang w:val="en-US" w:bidi="ar-SA"/>
        </w:rPr>
      </w:pPr>
      <w:r>
        <w:rPr>
          <w:rFonts w:hint="eastAsia" w:ascii="宋体" w:hAnsi="宋体" w:eastAsia="宋体" w:cs="宋体"/>
          <w:color w:val="auto"/>
          <w:kern w:val="2"/>
          <w:sz w:val="24"/>
          <w:szCs w:val="20"/>
          <w:highlight w:val="none"/>
          <w:lang w:val="en-US" w:bidi="ar-SA"/>
        </w:rPr>
        <w:t>知识产权：</w:t>
      </w:r>
      <w:r>
        <w:rPr>
          <w:rFonts w:hint="eastAsia" w:ascii="宋体" w:hAnsi="宋体" w:eastAsia="宋体" w:cs="宋体"/>
          <w:bCs/>
          <w:color w:val="auto"/>
          <w:kern w:val="2"/>
          <w:sz w:val="24"/>
          <w:szCs w:val="20"/>
          <w:highlight w:val="none"/>
          <w:lang w:val="en-US" w:bidi="ar-SA"/>
        </w:rPr>
        <w:t>成交供应商保证采购人在使用过程中不受到第三方关于侵犯专利权等知识产权的指控。任何第三方如果提出指控，成交供应商须与第三方交涉并承担可能发生的一切法律责任和费用</w:t>
      </w:r>
      <w:r>
        <w:rPr>
          <w:rFonts w:hint="eastAsia" w:ascii="宋体" w:hAnsi="宋体" w:eastAsia="宋体" w:cs="宋体"/>
          <w:color w:val="auto"/>
          <w:kern w:val="2"/>
          <w:sz w:val="24"/>
          <w:szCs w:val="20"/>
          <w:highlight w:val="none"/>
          <w:lang w:val="en-US" w:bidi="ar-SA"/>
        </w:rPr>
        <w:t>。</w:t>
      </w:r>
    </w:p>
    <w:p>
      <w:pPr>
        <w:numPr>
          <w:ilvl w:val="0"/>
          <w:numId w:val="19"/>
        </w:numPr>
        <w:shd w:val="clear"/>
        <w:tabs>
          <w:tab w:val="left" w:pos="709"/>
        </w:tabs>
        <w:adjustRightInd w:val="0"/>
        <w:snapToGrid w:val="0"/>
        <w:spacing w:after="0" w:line="360" w:lineRule="auto"/>
        <w:ind w:left="0" w:firstLine="424" w:firstLineChars="177"/>
        <w:outlineLvl w:val="9"/>
        <w:rPr>
          <w:rFonts w:hint="default" w:ascii="宋体" w:hAnsi="宋体" w:eastAsia="宋体" w:cs="宋体"/>
          <w:color w:val="auto"/>
          <w:kern w:val="2"/>
          <w:sz w:val="24"/>
          <w:szCs w:val="24"/>
          <w:highlight w:val="none"/>
          <w:lang w:val="en-US" w:bidi="ar-SA"/>
        </w:rPr>
      </w:pPr>
      <w:r>
        <w:rPr>
          <w:rFonts w:hint="eastAsia" w:ascii="宋体" w:hAnsi="宋体" w:eastAsia="宋体" w:cs="宋体"/>
          <w:color w:val="auto"/>
          <w:kern w:val="2"/>
          <w:sz w:val="24"/>
          <w:szCs w:val="24"/>
          <w:highlight w:val="none"/>
          <w:lang w:val="en-US" w:bidi="ar-SA"/>
        </w:rPr>
        <w:t>成交供应商为残疾人福利性单位的，其《残疾人福利性单位声明函》将随成交公告同时发布，接受社会监督。供应商提供的《残疾人福利性单位声明函》与事实不符的，依照《政府采购法》第七十七条第一款的规定追究法律责任。</w:t>
      </w:r>
    </w:p>
    <w:p>
      <w:pPr>
        <w:numPr>
          <w:ilvl w:val="0"/>
          <w:numId w:val="19"/>
        </w:numPr>
        <w:shd w:val="clear"/>
        <w:tabs>
          <w:tab w:val="left" w:pos="709"/>
        </w:tabs>
        <w:adjustRightInd w:val="0"/>
        <w:snapToGrid w:val="0"/>
        <w:spacing w:after="0" w:line="360" w:lineRule="auto"/>
        <w:ind w:left="0" w:firstLine="424" w:firstLineChars="177"/>
        <w:outlineLvl w:val="9"/>
        <w:rPr>
          <w:rFonts w:hint="default" w:ascii="宋体" w:hAnsi="宋体" w:eastAsia="宋体" w:cs="宋体"/>
          <w:color w:val="auto"/>
          <w:kern w:val="2"/>
          <w:sz w:val="24"/>
          <w:szCs w:val="20"/>
          <w:highlight w:val="none"/>
          <w:lang w:val="en-US" w:bidi="ar-SA"/>
        </w:rPr>
      </w:pPr>
      <w:r>
        <w:rPr>
          <w:rFonts w:hint="eastAsia" w:ascii="宋体" w:hAnsi="宋体" w:eastAsia="宋体" w:cs="宋体"/>
          <w:color w:val="auto"/>
          <w:kern w:val="2"/>
          <w:sz w:val="24"/>
          <w:szCs w:val="20"/>
          <w:highlight w:val="none"/>
          <w:lang w:val="en-US" w:bidi="ar-SA"/>
        </w:rPr>
        <w:t>依据《政府采购促进中小企业发展管理办法》规定享受扶持政策获得政府采购合同的，小微企业不得将合同分包给大中型企业，中型企业不得将合同分包给大型企业。</w:t>
      </w:r>
    </w:p>
    <w:p>
      <w:pPr>
        <w:numPr>
          <w:ilvl w:val="0"/>
          <w:numId w:val="19"/>
        </w:numPr>
        <w:shd w:val="clear"/>
        <w:tabs>
          <w:tab w:val="left" w:pos="709"/>
        </w:tabs>
        <w:adjustRightInd w:val="0"/>
        <w:snapToGrid w:val="0"/>
        <w:spacing w:after="0" w:line="360" w:lineRule="auto"/>
        <w:ind w:left="0" w:firstLine="424" w:firstLineChars="177"/>
        <w:outlineLvl w:val="9"/>
        <w:rPr>
          <w:rFonts w:hint="default" w:ascii="宋体" w:hAnsi="宋体" w:eastAsia="宋体" w:cs="宋体"/>
          <w:color w:val="auto"/>
          <w:kern w:val="2"/>
          <w:sz w:val="24"/>
          <w:szCs w:val="24"/>
          <w:highlight w:val="none"/>
          <w:lang w:val="en-US" w:bidi="ar-SA"/>
        </w:rPr>
      </w:pPr>
      <w:r>
        <w:rPr>
          <w:rFonts w:hint="eastAsia" w:ascii="宋体" w:hAnsi="宋体" w:eastAsia="宋体" w:cs="宋体"/>
          <w:color w:val="auto"/>
          <w:kern w:val="2"/>
          <w:sz w:val="24"/>
          <w:szCs w:val="20"/>
          <w:highlight w:val="none"/>
          <w:lang w:val="en-US" w:bidi="ar-SA"/>
        </w:rPr>
        <w:t>凡涉及</w:t>
      </w:r>
      <w:r>
        <w:rPr>
          <w:rFonts w:hint="eastAsia" w:ascii="宋体" w:hAnsi="宋体" w:eastAsia="宋体" w:cs="宋体"/>
          <w:color w:val="auto"/>
          <w:kern w:val="2"/>
          <w:sz w:val="24"/>
          <w:szCs w:val="20"/>
          <w:highlight w:val="none"/>
          <w:lang w:val="en-US" w:eastAsia="zh-CN" w:bidi="ar-SA"/>
        </w:rPr>
        <w:t>招标文件</w:t>
      </w:r>
      <w:r>
        <w:rPr>
          <w:rFonts w:hint="eastAsia" w:ascii="宋体" w:hAnsi="宋体" w:eastAsia="宋体" w:cs="宋体"/>
          <w:color w:val="auto"/>
          <w:kern w:val="2"/>
          <w:sz w:val="24"/>
          <w:szCs w:val="20"/>
          <w:highlight w:val="none"/>
          <w:lang w:val="en-US" w:bidi="ar-SA"/>
        </w:rPr>
        <w:t>的补充说明和修改，均以</w:t>
      </w:r>
      <w:r>
        <w:rPr>
          <w:rFonts w:hint="eastAsia" w:ascii="宋体" w:hAnsi="宋体" w:eastAsia="宋体" w:cs="宋体"/>
          <w:color w:val="auto"/>
          <w:kern w:val="2"/>
          <w:sz w:val="24"/>
          <w:szCs w:val="20"/>
          <w:highlight w:val="none"/>
          <w:lang w:val="en-US" w:eastAsia="zh-CN" w:bidi="ar-SA"/>
        </w:rPr>
        <w:t>北京中昌工程咨询有限公司</w:t>
      </w:r>
      <w:r>
        <w:rPr>
          <w:rFonts w:hint="eastAsia" w:ascii="宋体" w:hAnsi="宋体" w:eastAsia="宋体" w:cs="宋体"/>
          <w:color w:val="auto"/>
          <w:kern w:val="2"/>
          <w:sz w:val="24"/>
          <w:szCs w:val="20"/>
          <w:highlight w:val="none"/>
          <w:lang w:val="en-US" w:bidi="ar-SA"/>
        </w:rPr>
        <w:t>书面通知为准</w:t>
      </w:r>
      <w:r>
        <w:rPr>
          <w:rFonts w:hint="eastAsia" w:ascii="宋体" w:hAnsi="宋体" w:eastAsia="宋体" w:cs="宋体"/>
          <w:bCs/>
          <w:color w:val="auto"/>
          <w:kern w:val="2"/>
          <w:sz w:val="24"/>
          <w:szCs w:val="20"/>
          <w:highlight w:val="none"/>
          <w:lang w:val="en-US" w:bidi="ar-SA"/>
        </w:rPr>
        <w:t>。</w:t>
      </w:r>
      <w:bookmarkEnd w:id="10"/>
    </w:p>
    <w:p>
      <w:pPr>
        <w:widowControl/>
        <w:shd w:val="clear"/>
        <w:spacing w:after="0" w:line="240" w:lineRule="auto"/>
        <w:jc w:val="left"/>
        <w:outlineLvl w:val="9"/>
        <w:rPr>
          <w:rFonts w:hint="default" w:ascii="宋体" w:hAnsi="宋体" w:eastAsia="宋体" w:cs="宋体"/>
          <w:color w:val="auto"/>
          <w:kern w:val="2"/>
          <w:sz w:val="24"/>
          <w:szCs w:val="24"/>
          <w:highlight w:val="none"/>
          <w:lang w:val="en-US" w:bidi="ar-SA"/>
        </w:rPr>
      </w:pPr>
      <w:r>
        <w:rPr>
          <w:rFonts w:hint="default" w:ascii="宋体" w:hAnsi="宋体" w:eastAsia="宋体" w:cs="宋体"/>
          <w:color w:val="auto"/>
          <w:kern w:val="2"/>
          <w:sz w:val="24"/>
          <w:szCs w:val="24"/>
          <w:highlight w:val="none"/>
          <w:lang w:val="en-US" w:bidi="ar-SA"/>
        </w:rPr>
        <w:br w:type="page"/>
      </w:r>
    </w:p>
    <w:p>
      <w:pPr>
        <w:shd w:val="clear"/>
        <w:tabs>
          <w:tab w:val="left" w:pos="709"/>
        </w:tabs>
        <w:adjustRightInd w:val="0"/>
        <w:snapToGrid w:val="0"/>
        <w:spacing w:after="0" w:line="360" w:lineRule="auto"/>
        <w:ind w:left="425"/>
        <w:outlineLvl w:val="9"/>
        <w:rPr>
          <w:rFonts w:hint="default" w:ascii="宋体" w:hAnsi="宋体" w:eastAsia="宋体" w:cs="宋体"/>
          <w:color w:val="auto"/>
          <w:kern w:val="2"/>
          <w:sz w:val="24"/>
          <w:szCs w:val="24"/>
          <w:highlight w:val="none"/>
          <w:lang w:val="en-US" w:eastAsia="zh-CN" w:bidi="ar-SA"/>
        </w:rPr>
      </w:pPr>
      <w:r>
        <w:rPr>
          <w:rFonts w:hint="eastAsia" w:ascii="宋体" w:hAnsi="宋体" w:eastAsia="宋体" w:cs="Times New Roman"/>
          <w:color w:val="auto"/>
          <w:kern w:val="2"/>
          <w:sz w:val="24"/>
          <w:szCs w:val="20"/>
          <w:highlight w:val="none"/>
          <w:lang w:val="en-US" w:bidi="ar-SA"/>
        </w:rPr>
        <w:t>附件1</w:t>
      </w:r>
    </w:p>
    <w:tbl>
      <w:tblPr>
        <w:tblStyle w:val="82"/>
        <w:tblW w:w="101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0" w:type="dxa"/>
          <w:bottom w:w="0" w:type="dxa"/>
          <w:right w:w="0" w:type="dxa"/>
        </w:tblCellMar>
      </w:tblPr>
      <w:tblGrid>
        <w:gridCol w:w="700"/>
        <w:gridCol w:w="3500"/>
        <w:gridCol w:w="1750"/>
        <w:gridCol w:w="1570"/>
        <w:gridCol w:w="1420"/>
        <w:gridCol w:w="12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740" w:hRule="atLeast"/>
        </w:trPr>
        <w:tc>
          <w:tcPr>
            <w:tcW w:w="10180" w:type="dxa"/>
            <w:gridSpan w:val="6"/>
            <w:shd w:val="clear" w:color="auto" w:fill="auto"/>
            <w:noWrap/>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排放用户类型及管网底数工程量清单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860" w:hRule="atLeast"/>
        </w:trPr>
        <w:tc>
          <w:tcPr>
            <w:tcW w:w="7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序号</w:t>
            </w:r>
          </w:p>
        </w:tc>
        <w:tc>
          <w:tcPr>
            <w:tcW w:w="35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地块名称</w:t>
            </w:r>
          </w:p>
        </w:tc>
        <w:tc>
          <w:tcPr>
            <w:tcW w:w="175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单位</w:t>
            </w:r>
          </w:p>
        </w:tc>
        <w:tc>
          <w:tcPr>
            <w:tcW w:w="157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自然村、道路长度</w:t>
            </w:r>
          </w:p>
        </w:tc>
        <w:tc>
          <w:tcPr>
            <w:tcW w:w="142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安置房长度</w:t>
            </w:r>
          </w:p>
        </w:tc>
        <w:tc>
          <w:tcPr>
            <w:tcW w:w="124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0" w:hRule="atLeast"/>
        </w:trPr>
        <w:tc>
          <w:tcPr>
            <w:tcW w:w="7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1</w:t>
            </w:r>
          </w:p>
        </w:tc>
        <w:tc>
          <w:tcPr>
            <w:tcW w:w="35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TH-06（周新苑一二期）</w:t>
            </w:r>
          </w:p>
        </w:tc>
        <w:tc>
          <w:tcPr>
            <w:tcW w:w="175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米</w:t>
            </w:r>
          </w:p>
        </w:tc>
        <w:tc>
          <w:tcPr>
            <w:tcW w:w="157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p>
        </w:tc>
        <w:tc>
          <w:tcPr>
            <w:tcW w:w="142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7250</w:t>
            </w:r>
          </w:p>
        </w:tc>
        <w:tc>
          <w:tcPr>
            <w:tcW w:w="124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7250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820" w:hRule="atLeast"/>
        </w:trPr>
        <w:tc>
          <w:tcPr>
            <w:tcW w:w="7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2</w:t>
            </w:r>
          </w:p>
        </w:tc>
        <w:tc>
          <w:tcPr>
            <w:tcW w:w="35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TH-07（街道办派出所）</w:t>
            </w:r>
          </w:p>
        </w:tc>
        <w:tc>
          <w:tcPr>
            <w:tcW w:w="175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米</w:t>
            </w:r>
          </w:p>
        </w:tc>
        <w:tc>
          <w:tcPr>
            <w:tcW w:w="157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863</w:t>
            </w:r>
          </w:p>
        </w:tc>
        <w:tc>
          <w:tcPr>
            <w:tcW w:w="142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p>
        </w:tc>
        <w:tc>
          <w:tcPr>
            <w:tcW w:w="124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863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0" w:hRule="atLeast"/>
        </w:trPr>
        <w:tc>
          <w:tcPr>
            <w:tcW w:w="7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3</w:t>
            </w:r>
          </w:p>
        </w:tc>
        <w:tc>
          <w:tcPr>
            <w:tcW w:w="35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TH-08（东联新村）</w:t>
            </w:r>
          </w:p>
        </w:tc>
        <w:tc>
          <w:tcPr>
            <w:tcW w:w="175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米</w:t>
            </w:r>
          </w:p>
        </w:tc>
        <w:tc>
          <w:tcPr>
            <w:tcW w:w="157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968</w:t>
            </w:r>
          </w:p>
        </w:tc>
        <w:tc>
          <w:tcPr>
            <w:tcW w:w="142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p>
        </w:tc>
        <w:tc>
          <w:tcPr>
            <w:tcW w:w="124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968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0" w:hRule="atLeast"/>
        </w:trPr>
        <w:tc>
          <w:tcPr>
            <w:tcW w:w="7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4</w:t>
            </w:r>
          </w:p>
        </w:tc>
        <w:tc>
          <w:tcPr>
            <w:tcW w:w="35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TH-09（黄金湾工业园）</w:t>
            </w:r>
          </w:p>
        </w:tc>
        <w:tc>
          <w:tcPr>
            <w:tcW w:w="175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米</w:t>
            </w:r>
          </w:p>
        </w:tc>
        <w:tc>
          <w:tcPr>
            <w:tcW w:w="157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1200</w:t>
            </w:r>
          </w:p>
        </w:tc>
        <w:tc>
          <w:tcPr>
            <w:tcW w:w="142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p>
        </w:tc>
        <w:tc>
          <w:tcPr>
            <w:tcW w:w="124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1200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820" w:hRule="atLeast"/>
        </w:trPr>
        <w:tc>
          <w:tcPr>
            <w:tcW w:w="7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5</w:t>
            </w:r>
          </w:p>
        </w:tc>
        <w:tc>
          <w:tcPr>
            <w:tcW w:w="35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TH-12（丰裕苑二期）</w:t>
            </w:r>
          </w:p>
        </w:tc>
        <w:tc>
          <w:tcPr>
            <w:tcW w:w="175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米</w:t>
            </w:r>
          </w:p>
        </w:tc>
        <w:tc>
          <w:tcPr>
            <w:tcW w:w="157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p>
        </w:tc>
        <w:tc>
          <w:tcPr>
            <w:tcW w:w="142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2556</w:t>
            </w:r>
          </w:p>
        </w:tc>
        <w:tc>
          <w:tcPr>
            <w:tcW w:w="124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2556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820" w:hRule="atLeast"/>
        </w:trPr>
        <w:tc>
          <w:tcPr>
            <w:tcW w:w="7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6</w:t>
            </w:r>
          </w:p>
        </w:tc>
        <w:tc>
          <w:tcPr>
            <w:tcW w:w="35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TH-16（周新苑四期）</w:t>
            </w:r>
          </w:p>
        </w:tc>
        <w:tc>
          <w:tcPr>
            <w:tcW w:w="175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米</w:t>
            </w:r>
          </w:p>
        </w:tc>
        <w:tc>
          <w:tcPr>
            <w:tcW w:w="157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p>
        </w:tc>
        <w:tc>
          <w:tcPr>
            <w:tcW w:w="142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9695</w:t>
            </w:r>
          </w:p>
        </w:tc>
        <w:tc>
          <w:tcPr>
            <w:tcW w:w="124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9695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0" w:hRule="atLeast"/>
        </w:trPr>
        <w:tc>
          <w:tcPr>
            <w:tcW w:w="7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7</w:t>
            </w:r>
          </w:p>
        </w:tc>
        <w:tc>
          <w:tcPr>
            <w:tcW w:w="35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TH-18（周新苑三期）</w:t>
            </w:r>
          </w:p>
        </w:tc>
        <w:tc>
          <w:tcPr>
            <w:tcW w:w="175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米</w:t>
            </w:r>
          </w:p>
        </w:tc>
        <w:tc>
          <w:tcPr>
            <w:tcW w:w="157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p>
        </w:tc>
        <w:tc>
          <w:tcPr>
            <w:tcW w:w="142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12722</w:t>
            </w:r>
          </w:p>
        </w:tc>
        <w:tc>
          <w:tcPr>
            <w:tcW w:w="124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12722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0" w:hRule="atLeast"/>
        </w:trPr>
        <w:tc>
          <w:tcPr>
            <w:tcW w:w="7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8</w:t>
            </w:r>
          </w:p>
        </w:tc>
        <w:tc>
          <w:tcPr>
            <w:tcW w:w="35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TH-29（周新苑三期二批）</w:t>
            </w:r>
          </w:p>
        </w:tc>
        <w:tc>
          <w:tcPr>
            <w:tcW w:w="175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米</w:t>
            </w:r>
          </w:p>
        </w:tc>
        <w:tc>
          <w:tcPr>
            <w:tcW w:w="157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p>
        </w:tc>
        <w:tc>
          <w:tcPr>
            <w:tcW w:w="142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7176</w:t>
            </w:r>
          </w:p>
        </w:tc>
        <w:tc>
          <w:tcPr>
            <w:tcW w:w="124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7176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820" w:hRule="atLeast"/>
        </w:trPr>
        <w:tc>
          <w:tcPr>
            <w:tcW w:w="7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9</w:t>
            </w:r>
          </w:p>
        </w:tc>
        <w:tc>
          <w:tcPr>
            <w:tcW w:w="35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TH-30（周新苑五期）</w:t>
            </w:r>
          </w:p>
        </w:tc>
        <w:tc>
          <w:tcPr>
            <w:tcW w:w="175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米</w:t>
            </w:r>
          </w:p>
        </w:tc>
        <w:tc>
          <w:tcPr>
            <w:tcW w:w="157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p>
        </w:tc>
        <w:tc>
          <w:tcPr>
            <w:tcW w:w="142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4672</w:t>
            </w:r>
          </w:p>
        </w:tc>
        <w:tc>
          <w:tcPr>
            <w:tcW w:w="124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4672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0" w:hRule="atLeast"/>
        </w:trPr>
        <w:tc>
          <w:tcPr>
            <w:tcW w:w="7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10</w:t>
            </w:r>
          </w:p>
        </w:tc>
        <w:tc>
          <w:tcPr>
            <w:tcW w:w="35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TH-31（丰裕苑一期）</w:t>
            </w:r>
          </w:p>
        </w:tc>
        <w:tc>
          <w:tcPr>
            <w:tcW w:w="175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米</w:t>
            </w:r>
          </w:p>
        </w:tc>
        <w:tc>
          <w:tcPr>
            <w:tcW w:w="157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p>
        </w:tc>
        <w:tc>
          <w:tcPr>
            <w:tcW w:w="142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1971</w:t>
            </w:r>
          </w:p>
        </w:tc>
        <w:tc>
          <w:tcPr>
            <w:tcW w:w="124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1971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0" w:hRule="atLeast"/>
        </w:trPr>
        <w:tc>
          <w:tcPr>
            <w:tcW w:w="7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11</w:t>
            </w:r>
          </w:p>
        </w:tc>
        <w:tc>
          <w:tcPr>
            <w:tcW w:w="35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Z37（南桥蒋巷戈巷 ）</w:t>
            </w:r>
          </w:p>
        </w:tc>
        <w:tc>
          <w:tcPr>
            <w:tcW w:w="175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米</w:t>
            </w:r>
          </w:p>
        </w:tc>
        <w:tc>
          <w:tcPr>
            <w:tcW w:w="157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1580</w:t>
            </w:r>
          </w:p>
        </w:tc>
        <w:tc>
          <w:tcPr>
            <w:tcW w:w="142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p>
        </w:tc>
        <w:tc>
          <w:tcPr>
            <w:tcW w:w="124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1580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820" w:hRule="atLeast"/>
        </w:trPr>
        <w:tc>
          <w:tcPr>
            <w:tcW w:w="7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12</w:t>
            </w:r>
          </w:p>
        </w:tc>
        <w:tc>
          <w:tcPr>
            <w:tcW w:w="35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Z36（南桥于湾里 女人街）</w:t>
            </w:r>
          </w:p>
        </w:tc>
        <w:tc>
          <w:tcPr>
            <w:tcW w:w="175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米</w:t>
            </w:r>
          </w:p>
        </w:tc>
        <w:tc>
          <w:tcPr>
            <w:tcW w:w="157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3900</w:t>
            </w:r>
          </w:p>
        </w:tc>
        <w:tc>
          <w:tcPr>
            <w:tcW w:w="142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p>
        </w:tc>
        <w:tc>
          <w:tcPr>
            <w:tcW w:w="124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3900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0" w:hRule="atLeast"/>
        </w:trPr>
        <w:tc>
          <w:tcPr>
            <w:tcW w:w="7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13</w:t>
            </w:r>
          </w:p>
        </w:tc>
        <w:tc>
          <w:tcPr>
            <w:tcW w:w="35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Z42（大桥瓦屑坝）</w:t>
            </w:r>
          </w:p>
        </w:tc>
        <w:tc>
          <w:tcPr>
            <w:tcW w:w="175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米</w:t>
            </w:r>
          </w:p>
        </w:tc>
        <w:tc>
          <w:tcPr>
            <w:tcW w:w="157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2355</w:t>
            </w:r>
          </w:p>
        </w:tc>
        <w:tc>
          <w:tcPr>
            <w:tcW w:w="142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p>
        </w:tc>
        <w:tc>
          <w:tcPr>
            <w:tcW w:w="124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2355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820" w:hRule="atLeast"/>
        </w:trPr>
        <w:tc>
          <w:tcPr>
            <w:tcW w:w="7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14</w:t>
            </w:r>
          </w:p>
        </w:tc>
        <w:tc>
          <w:tcPr>
            <w:tcW w:w="35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Z43（大桥吴巷）</w:t>
            </w:r>
          </w:p>
        </w:tc>
        <w:tc>
          <w:tcPr>
            <w:tcW w:w="175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米</w:t>
            </w:r>
          </w:p>
        </w:tc>
        <w:tc>
          <w:tcPr>
            <w:tcW w:w="157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413</w:t>
            </w:r>
          </w:p>
        </w:tc>
        <w:tc>
          <w:tcPr>
            <w:tcW w:w="142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p>
        </w:tc>
        <w:tc>
          <w:tcPr>
            <w:tcW w:w="124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413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820" w:hRule="atLeast"/>
        </w:trPr>
        <w:tc>
          <w:tcPr>
            <w:tcW w:w="7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15</w:t>
            </w:r>
          </w:p>
        </w:tc>
        <w:tc>
          <w:tcPr>
            <w:tcW w:w="35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Z44（圩田里屠巷）</w:t>
            </w:r>
          </w:p>
        </w:tc>
        <w:tc>
          <w:tcPr>
            <w:tcW w:w="175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米</w:t>
            </w:r>
          </w:p>
        </w:tc>
        <w:tc>
          <w:tcPr>
            <w:tcW w:w="157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400</w:t>
            </w:r>
          </w:p>
        </w:tc>
        <w:tc>
          <w:tcPr>
            <w:tcW w:w="142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p>
        </w:tc>
        <w:tc>
          <w:tcPr>
            <w:tcW w:w="124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0" w:hRule="atLeast"/>
        </w:trPr>
        <w:tc>
          <w:tcPr>
            <w:tcW w:w="7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16</w:t>
            </w:r>
          </w:p>
        </w:tc>
        <w:tc>
          <w:tcPr>
            <w:tcW w:w="35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Z49（上风渚）</w:t>
            </w:r>
          </w:p>
        </w:tc>
        <w:tc>
          <w:tcPr>
            <w:tcW w:w="175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米</w:t>
            </w:r>
          </w:p>
        </w:tc>
        <w:tc>
          <w:tcPr>
            <w:tcW w:w="157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1585</w:t>
            </w:r>
          </w:p>
        </w:tc>
        <w:tc>
          <w:tcPr>
            <w:tcW w:w="142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p>
        </w:tc>
        <w:tc>
          <w:tcPr>
            <w:tcW w:w="124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1585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820" w:hRule="atLeast"/>
        </w:trPr>
        <w:tc>
          <w:tcPr>
            <w:tcW w:w="7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17</w:t>
            </w:r>
          </w:p>
        </w:tc>
        <w:tc>
          <w:tcPr>
            <w:tcW w:w="35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Z51（中学预留地白水塘）</w:t>
            </w:r>
          </w:p>
        </w:tc>
        <w:tc>
          <w:tcPr>
            <w:tcW w:w="175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米</w:t>
            </w:r>
          </w:p>
        </w:tc>
        <w:tc>
          <w:tcPr>
            <w:tcW w:w="157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2891</w:t>
            </w:r>
          </w:p>
        </w:tc>
        <w:tc>
          <w:tcPr>
            <w:tcW w:w="142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p>
        </w:tc>
        <w:tc>
          <w:tcPr>
            <w:tcW w:w="124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2891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820" w:hRule="atLeast"/>
        </w:trPr>
        <w:tc>
          <w:tcPr>
            <w:tcW w:w="7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18</w:t>
            </w:r>
          </w:p>
        </w:tc>
        <w:tc>
          <w:tcPr>
            <w:tcW w:w="35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Z53（绿岛家园）</w:t>
            </w:r>
          </w:p>
        </w:tc>
        <w:tc>
          <w:tcPr>
            <w:tcW w:w="175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米</w:t>
            </w:r>
          </w:p>
        </w:tc>
        <w:tc>
          <w:tcPr>
            <w:tcW w:w="157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1000</w:t>
            </w:r>
          </w:p>
        </w:tc>
        <w:tc>
          <w:tcPr>
            <w:tcW w:w="142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p>
        </w:tc>
        <w:tc>
          <w:tcPr>
            <w:tcW w:w="124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1000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0" w:hRule="atLeast"/>
        </w:trPr>
        <w:tc>
          <w:tcPr>
            <w:tcW w:w="7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19</w:t>
            </w:r>
          </w:p>
        </w:tc>
        <w:tc>
          <w:tcPr>
            <w:tcW w:w="35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Z54（地税局）</w:t>
            </w:r>
          </w:p>
        </w:tc>
        <w:tc>
          <w:tcPr>
            <w:tcW w:w="175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米</w:t>
            </w:r>
          </w:p>
        </w:tc>
        <w:tc>
          <w:tcPr>
            <w:tcW w:w="157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840</w:t>
            </w:r>
          </w:p>
        </w:tc>
        <w:tc>
          <w:tcPr>
            <w:tcW w:w="142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p>
        </w:tc>
        <w:tc>
          <w:tcPr>
            <w:tcW w:w="124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840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820" w:hRule="atLeast"/>
        </w:trPr>
        <w:tc>
          <w:tcPr>
            <w:tcW w:w="7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20</w:t>
            </w:r>
          </w:p>
        </w:tc>
        <w:tc>
          <w:tcPr>
            <w:tcW w:w="35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Z56（金城湾 张巷、戴巷）</w:t>
            </w:r>
          </w:p>
        </w:tc>
        <w:tc>
          <w:tcPr>
            <w:tcW w:w="175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米</w:t>
            </w:r>
          </w:p>
        </w:tc>
        <w:tc>
          <w:tcPr>
            <w:tcW w:w="157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2009</w:t>
            </w:r>
          </w:p>
        </w:tc>
        <w:tc>
          <w:tcPr>
            <w:tcW w:w="142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p>
        </w:tc>
        <w:tc>
          <w:tcPr>
            <w:tcW w:w="124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2009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820" w:hRule="atLeast"/>
        </w:trPr>
        <w:tc>
          <w:tcPr>
            <w:tcW w:w="7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21</w:t>
            </w:r>
          </w:p>
        </w:tc>
        <w:tc>
          <w:tcPr>
            <w:tcW w:w="35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Z61（周新老街）</w:t>
            </w:r>
          </w:p>
        </w:tc>
        <w:tc>
          <w:tcPr>
            <w:tcW w:w="175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米</w:t>
            </w:r>
          </w:p>
        </w:tc>
        <w:tc>
          <w:tcPr>
            <w:tcW w:w="157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240</w:t>
            </w:r>
          </w:p>
        </w:tc>
        <w:tc>
          <w:tcPr>
            <w:tcW w:w="142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p>
        </w:tc>
        <w:tc>
          <w:tcPr>
            <w:tcW w:w="124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240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820" w:hRule="atLeast"/>
        </w:trPr>
        <w:tc>
          <w:tcPr>
            <w:tcW w:w="7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22</w:t>
            </w:r>
          </w:p>
        </w:tc>
        <w:tc>
          <w:tcPr>
            <w:tcW w:w="35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Z62（周新菜场、蠡江新村）</w:t>
            </w:r>
          </w:p>
        </w:tc>
        <w:tc>
          <w:tcPr>
            <w:tcW w:w="175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米</w:t>
            </w:r>
          </w:p>
        </w:tc>
        <w:tc>
          <w:tcPr>
            <w:tcW w:w="157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3322</w:t>
            </w:r>
          </w:p>
        </w:tc>
        <w:tc>
          <w:tcPr>
            <w:tcW w:w="142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p>
        </w:tc>
        <w:tc>
          <w:tcPr>
            <w:tcW w:w="124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3322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820" w:hRule="atLeast"/>
        </w:trPr>
        <w:tc>
          <w:tcPr>
            <w:tcW w:w="7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23</w:t>
            </w:r>
          </w:p>
        </w:tc>
        <w:tc>
          <w:tcPr>
            <w:tcW w:w="35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Z63（周新老街）</w:t>
            </w:r>
          </w:p>
        </w:tc>
        <w:tc>
          <w:tcPr>
            <w:tcW w:w="175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米</w:t>
            </w:r>
          </w:p>
        </w:tc>
        <w:tc>
          <w:tcPr>
            <w:tcW w:w="157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160</w:t>
            </w:r>
          </w:p>
        </w:tc>
        <w:tc>
          <w:tcPr>
            <w:tcW w:w="142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p>
        </w:tc>
        <w:tc>
          <w:tcPr>
            <w:tcW w:w="124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160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0" w:hRule="atLeast"/>
        </w:trPr>
        <w:tc>
          <w:tcPr>
            <w:tcW w:w="7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24</w:t>
            </w:r>
          </w:p>
        </w:tc>
        <w:tc>
          <w:tcPr>
            <w:tcW w:w="35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Z64（周新老街）</w:t>
            </w:r>
          </w:p>
        </w:tc>
        <w:tc>
          <w:tcPr>
            <w:tcW w:w="175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米</w:t>
            </w:r>
          </w:p>
        </w:tc>
        <w:tc>
          <w:tcPr>
            <w:tcW w:w="157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230</w:t>
            </w:r>
          </w:p>
        </w:tc>
        <w:tc>
          <w:tcPr>
            <w:tcW w:w="142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p>
        </w:tc>
        <w:tc>
          <w:tcPr>
            <w:tcW w:w="124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230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820" w:hRule="atLeast"/>
        </w:trPr>
        <w:tc>
          <w:tcPr>
            <w:tcW w:w="7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25</w:t>
            </w:r>
          </w:p>
        </w:tc>
        <w:tc>
          <w:tcPr>
            <w:tcW w:w="35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Z66（梁南村）</w:t>
            </w:r>
          </w:p>
        </w:tc>
        <w:tc>
          <w:tcPr>
            <w:tcW w:w="175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米</w:t>
            </w:r>
          </w:p>
        </w:tc>
        <w:tc>
          <w:tcPr>
            <w:tcW w:w="157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500</w:t>
            </w:r>
          </w:p>
        </w:tc>
        <w:tc>
          <w:tcPr>
            <w:tcW w:w="142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p>
        </w:tc>
        <w:tc>
          <w:tcPr>
            <w:tcW w:w="124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0" w:hRule="atLeast"/>
        </w:trPr>
        <w:tc>
          <w:tcPr>
            <w:tcW w:w="7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26</w:t>
            </w:r>
          </w:p>
        </w:tc>
        <w:tc>
          <w:tcPr>
            <w:tcW w:w="35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Z69（湖东村民居）</w:t>
            </w:r>
          </w:p>
        </w:tc>
        <w:tc>
          <w:tcPr>
            <w:tcW w:w="175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米</w:t>
            </w:r>
          </w:p>
        </w:tc>
        <w:tc>
          <w:tcPr>
            <w:tcW w:w="157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327</w:t>
            </w:r>
          </w:p>
        </w:tc>
        <w:tc>
          <w:tcPr>
            <w:tcW w:w="142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p>
        </w:tc>
        <w:tc>
          <w:tcPr>
            <w:tcW w:w="124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327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820" w:hRule="atLeast"/>
        </w:trPr>
        <w:tc>
          <w:tcPr>
            <w:tcW w:w="7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27</w:t>
            </w:r>
          </w:p>
        </w:tc>
        <w:tc>
          <w:tcPr>
            <w:tcW w:w="35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Z85（格致、方桥老街）</w:t>
            </w:r>
          </w:p>
        </w:tc>
        <w:tc>
          <w:tcPr>
            <w:tcW w:w="175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米</w:t>
            </w:r>
          </w:p>
        </w:tc>
        <w:tc>
          <w:tcPr>
            <w:tcW w:w="157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1056</w:t>
            </w:r>
          </w:p>
        </w:tc>
        <w:tc>
          <w:tcPr>
            <w:tcW w:w="142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p>
        </w:tc>
        <w:tc>
          <w:tcPr>
            <w:tcW w:w="124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1056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820" w:hRule="atLeast"/>
        </w:trPr>
        <w:tc>
          <w:tcPr>
            <w:tcW w:w="7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28</w:t>
            </w:r>
          </w:p>
        </w:tc>
        <w:tc>
          <w:tcPr>
            <w:tcW w:w="35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Z90（双新园区雪浪商住楼）</w:t>
            </w:r>
          </w:p>
        </w:tc>
        <w:tc>
          <w:tcPr>
            <w:tcW w:w="175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米</w:t>
            </w:r>
          </w:p>
        </w:tc>
        <w:tc>
          <w:tcPr>
            <w:tcW w:w="157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1450</w:t>
            </w:r>
          </w:p>
        </w:tc>
        <w:tc>
          <w:tcPr>
            <w:tcW w:w="142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p>
        </w:tc>
        <w:tc>
          <w:tcPr>
            <w:tcW w:w="124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1450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820" w:hRule="atLeast"/>
        </w:trPr>
        <w:tc>
          <w:tcPr>
            <w:tcW w:w="7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29</w:t>
            </w:r>
          </w:p>
        </w:tc>
        <w:tc>
          <w:tcPr>
            <w:tcW w:w="35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Z96（雪浪老师家舍）</w:t>
            </w:r>
          </w:p>
        </w:tc>
        <w:tc>
          <w:tcPr>
            <w:tcW w:w="175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米</w:t>
            </w:r>
          </w:p>
        </w:tc>
        <w:tc>
          <w:tcPr>
            <w:tcW w:w="157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1135</w:t>
            </w:r>
          </w:p>
        </w:tc>
        <w:tc>
          <w:tcPr>
            <w:tcW w:w="142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p>
        </w:tc>
        <w:tc>
          <w:tcPr>
            <w:tcW w:w="124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1135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0" w:hRule="atLeast"/>
        </w:trPr>
        <w:tc>
          <w:tcPr>
            <w:tcW w:w="7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30</w:t>
            </w:r>
          </w:p>
        </w:tc>
        <w:tc>
          <w:tcPr>
            <w:tcW w:w="35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Z97（双新园区中）</w:t>
            </w:r>
          </w:p>
        </w:tc>
        <w:tc>
          <w:tcPr>
            <w:tcW w:w="175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米</w:t>
            </w:r>
          </w:p>
        </w:tc>
        <w:tc>
          <w:tcPr>
            <w:tcW w:w="157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500</w:t>
            </w:r>
          </w:p>
        </w:tc>
        <w:tc>
          <w:tcPr>
            <w:tcW w:w="142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p>
        </w:tc>
        <w:tc>
          <w:tcPr>
            <w:tcW w:w="124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0" w:hRule="atLeast"/>
        </w:trPr>
        <w:tc>
          <w:tcPr>
            <w:tcW w:w="7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31</w:t>
            </w:r>
          </w:p>
        </w:tc>
        <w:tc>
          <w:tcPr>
            <w:tcW w:w="35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Z98（双新园区南）</w:t>
            </w:r>
          </w:p>
        </w:tc>
        <w:tc>
          <w:tcPr>
            <w:tcW w:w="175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米</w:t>
            </w:r>
          </w:p>
        </w:tc>
        <w:tc>
          <w:tcPr>
            <w:tcW w:w="157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700</w:t>
            </w:r>
          </w:p>
        </w:tc>
        <w:tc>
          <w:tcPr>
            <w:tcW w:w="142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p>
        </w:tc>
        <w:tc>
          <w:tcPr>
            <w:tcW w:w="124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700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0" w:hRule="atLeast"/>
        </w:trPr>
        <w:tc>
          <w:tcPr>
            <w:tcW w:w="7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32</w:t>
            </w:r>
          </w:p>
        </w:tc>
        <w:tc>
          <w:tcPr>
            <w:tcW w:w="35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宪园道(新园路至大通路)</w:t>
            </w:r>
          </w:p>
        </w:tc>
        <w:tc>
          <w:tcPr>
            <w:tcW w:w="175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米</w:t>
            </w:r>
          </w:p>
        </w:tc>
        <w:tc>
          <w:tcPr>
            <w:tcW w:w="157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450</w:t>
            </w:r>
          </w:p>
        </w:tc>
        <w:tc>
          <w:tcPr>
            <w:tcW w:w="142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p>
        </w:tc>
        <w:tc>
          <w:tcPr>
            <w:tcW w:w="124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450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820" w:hRule="atLeast"/>
        </w:trPr>
        <w:tc>
          <w:tcPr>
            <w:tcW w:w="7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33</w:t>
            </w:r>
          </w:p>
        </w:tc>
        <w:tc>
          <w:tcPr>
            <w:tcW w:w="35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观园路（北园路至蠡江新村）</w:t>
            </w:r>
          </w:p>
        </w:tc>
        <w:tc>
          <w:tcPr>
            <w:tcW w:w="175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米</w:t>
            </w:r>
          </w:p>
        </w:tc>
        <w:tc>
          <w:tcPr>
            <w:tcW w:w="157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300</w:t>
            </w:r>
          </w:p>
        </w:tc>
        <w:tc>
          <w:tcPr>
            <w:tcW w:w="142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p>
        </w:tc>
        <w:tc>
          <w:tcPr>
            <w:tcW w:w="124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820" w:hRule="atLeast"/>
        </w:trPr>
        <w:tc>
          <w:tcPr>
            <w:tcW w:w="7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34</w:t>
            </w:r>
          </w:p>
        </w:tc>
        <w:tc>
          <w:tcPr>
            <w:tcW w:w="35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立信路（周新路至贡湖大道）</w:t>
            </w:r>
          </w:p>
        </w:tc>
        <w:tc>
          <w:tcPr>
            <w:tcW w:w="175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米</w:t>
            </w:r>
          </w:p>
        </w:tc>
        <w:tc>
          <w:tcPr>
            <w:tcW w:w="157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590</w:t>
            </w:r>
          </w:p>
        </w:tc>
        <w:tc>
          <w:tcPr>
            <w:tcW w:w="142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p>
        </w:tc>
        <w:tc>
          <w:tcPr>
            <w:tcW w:w="124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590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0" w:hRule="atLeast"/>
        </w:trPr>
        <w:tc>
          <w:tcPr>
            <w:tcW w:w="7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35</w:t>
            </w:r>
          </w:p>
        </w:tc>
        <w:tc>
          <w:tcPr>
            <w:tcW w:w="35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周新路（金城电缆厂至五湖大道）</w:t>
            </w:r>
          </w:p>
        </w:tc>
        <w:tc>
          <w:tcPr>
            <w:tcW w:w="175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米</w:t>
            </w:r>
          </w:p>
        </w:tc>
        <w:tc>
          <w:tcPr>
            <w:tcW w:w="157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2400</w:t>
            </w:r>
          </w:p>
        </w:tc>
        <w:tc>
          <w:tcPr>
            <w:tcW w:w="142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p>
        </w:tc>
        <w:tc>
          <w:tcPr>
            <w:tcW w:w="124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2400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820" w:hRule="atLeast"/>
        </w:trPr>
        <w:tc>
          <w:tcPr>
            <w:tcW w:w="7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36</w:t>
            </w:r>
          </w:p>
        </w:tc>
        <w:tc>
          <w:tcPr>
            <w:tcW w:w="35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衡源路（贡湖大道至宪园道）</w:t>
            </w:r>
          </w:p>
        </w:tc>
        <w:tc>
          <w:tcPr>
            <w:tcW w:w="175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米</w:t>
            </w:r>
          </w:p>
        </w:tc>
        <w:tc>
          <w:tcPr>
            <w:tcW w:w="157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532</w:t>
            </w:r>
          </w:p>
        </w:tc>
        <w:tc>
          <w:tcPr>
            <w:tcW w:w="142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p>
        </w:tc>
        <w:tc>
          <w:tcPr>
            <w:tcW w:w="124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532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820" w:hRule="atLeast"/>
        </w:trPr>
        <w:tc>
          <w:tcPr>
            <w:tcW w:w="7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37</w:t>
            </w:r>
          </w:p>
        </w:tc>
        <w:tc>
          <w:tcPr>
            <w:tcW w:w="35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东兴路（贡湖大道至兴梁道）</w:t>
            </w:r>
          </w:p>
        </w:tc>
        <w:tc>
          <w:tcPr>
            <w:tcW w:w="175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米</w:t>
            </w:r>
          </w:p>
        </w:tc>
        <w:tc>
          <w:tcPr>
            <w:tcW w:w="157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540</w:t>
            </w:r>
          </w:p>
        </w:tc>
        <w:tc>
          <w:tcPr>
            <w:tcW w:w="142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p>
        </w:tc>
        <w:tc>
          <w:tcPr>
            <w:tcW w:w="124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540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820" w:hRule="atLeast"/>
        </w:trPr>
        <w:tc>
          <w:tcPr>
            <w:tcW w:w="7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38</w:t>
            </w:r>
          </w:p>
        </w:tc>
        <w:tc>
          <w:tcPr>
            <w:tcW w:w="35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新园路（立信路至信成道）</w:t>
            </w:r>
          </w:p>
        </w:tc>
        <w:tc>
          <w:tcPr>
            <w:tcW w:w="175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米</w:t>
            </w:r>
          </w:p>
        </w:tc>
        <w:tc>
          <w:tcPr>
            <w:tcW w:w="157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626</w:t>
            </w:r>
          </w:p>
        </w:tc>
        <w:tc>
          <w:tcPr>
            <w:tcW w:w="142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p>
        </w:tc>
        <w:tc>
          <w:tcPr>
            <w:tcW w:w="124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626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0" w:hRule="atLeast"/>
        </w:trPr>
        <w:tc>
          <w:tcPr>
            <w:tcW w:w="7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39</w:t>
            </w:r>
          </w:p>
        </w:tc>
        <w:tc>
          <w:tcPr>
            <w:tcW w:w="35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雪丰路（观顺道至锡南路）</w:t>
            </w:r>
          </w:p>
        </w:tc>
        <w:tc>
          <w:tcPr>
            <w:tcW w:w="175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米</w:t>
            </w:r>
          </w:p>
        </w:tc>
        <w:tc>
          <w:tcPr>
            <w:tcW w:w="157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1300</w:t>
            </w:r>
          </w:p>
        </w:tc>
        <w:tc>
          <w:tcPr>
            <w:tcW w:w="142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p>
        </w:tc>
        <w:tc>
          <w:tcPr>
            <w:tcW w:w="124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1300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820" w:hRule="atLeast"/>
        </w:trPr>
        <w:tc>
          <w:tcPr>
            <w:tcW w:w="7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40</w:t>
            </w:r>
          </w:p>
        </w:tc>
        <w:tc>
          <w:tcPr>
            <w:tcW w:w="35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梁旺路（兴梁道至周新路）</w:t>
            </w:r>
          </w:p>
        </w:tc>
        <w:tc>
          <w:tcPr>
            <w:tcW w:w="175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米</w:t>
            </w:r>
          </w:p>
        </w:tc>
        <w:tc>
          <w:tcPr>
            <w:tcW w:w="157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600</w:t>
            </w:r>
          </w:p>
        </w:tc>
        <w:tc>
          <w:tcPr>
            <w:tcW w:w="142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p>
        </w:tc>
        <w:tc>
          <w:tcPr>
            <w:tcW w:w="124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600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820" w:hRule="atLeast"/>
        </w:trPr>
        <w:tc>
          <w:tcPr>
            <w:tcW w:w="7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41</w:t>
            </w:r>
          </w:p>
        </w:tc>
        <w:tc>
          <w:tcPr>
            <w:tcW w:w="350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合计</w:t>
            </w:r>
          </w:p>
        </w:tc>
        <w:tc>
          <w:tcPr>
            <w:tcW w:w="175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p>
        </w:tc>
        <w:tc>
          <w:tcPr>
            <w:tcW w:w="157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36962</w:t>
            </w:r>
          </w:p>
        </w:tc>
        <w:tc>
          <w:tcPr>
            <w:tcW w:w="142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46042</w:t>
            </w:r>
          </w:p>
        </w:tc>
        <w:tc>
          <w:tcPr>
            <w:tcW w:w="1240" w:type="dxa"/>
            <w:shd w:val="clear" w:color="auto" w:fill="auto"/>
            <w:tcMar>
              <w:top w:w="15" w:type="dxa"/>
              <w:left w:w="15" w:type="dxa"/>
              <w:right w:w="15" w:type="dxa"/>
            </w:tcMar>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color w:val="auto"/>
                <w:kern w:val="2"/>
                <w:szCs w:val="20"/>
                <w:highlight w:val="none"/>
                <w:lang w:val="en-US" w:bidi="ar-SA"/>
              </w:rPr>
            </w:pPr>
            <w:r>
              <w:rPr>
                <w:rFonts w:hint="eastAsia" w:ascii="宋体" w:hAnsi="宋体" w:eastAsia="宋体" w:cs="宋体"/>
                <w:color w:val="auto"/>
                <w:kern w:val="2"/>
                <w:szCs w:val="20"/>
                <w:highlight w:val="none"/>
                <w:lang w:val="en-US" w:eastAsia="zh-CN" w:bidi="ar-SA"/>
              </w:rPr>
              <w:t>83004</w:t>
            </w:r>
          </w:p>
        </w:tc>
      </w:tr>
    </w:tbl>
    <w:p>
      <w:pPr>
        <w:shd w:val="clear"/>
        <w:spacing w:after="160" w:line="440" w:lineRule="exact"/>
        <w:ind w:firstLine="420" w:firstLineChars="200"/>
        <w:outlineLvl w:val="9"/>
        <w:rPr>
          <w:rFonts w:hint="default" w:ascii="Times New Roman" w:hAnsi="Times New Roman" w:eastAsia="宋体" w:cs="Times New Roman"/>
          <w:color w:val="auto"/>
          <w:kern w:val="2"/>
          <w:szCs w:val="24"/>
          <w:highlight w:val="none"/>
          <w:lang w:val="en-US" w:bidi="ar-SA"/>
        </w:rPr>
      </w:pPr>
      <w:r>
        <w:rPr>
          <w:rFonts w:hint="eastAsia" w:ascii="宋体" w:hAnsi="宋体" w:eastAsia="宋体" w:cs="宋体"/>
          <w:color w:val="auto"/>
          <w:kern w:val="2"/>
          <w:szCs w:val="20"/>
          <w:highlight w:val="none"/>
          <w:lang w:val="en-US" w:bidi="ar-SA"/>
        </w:rPr>
        <w:br w:type="page"/>
      </w:r>
      <w:r>
        <w:rPr>
          <w:rFonts w:hint="eastAsia" w:ascii="宋体" w:hAnsi="宋体" w:eastAsia="宋体" w:cs="Times New Roman"/>
          <w:color w:val="auto"/>
          <w:kern w:val="2"/>
          <w:sz w:val="24"/>
          <w:szCs w:val="24"/>
          <w:highlight w:val="none"/>
          <w:lang w:val="en-US" w:bidi="ar-SA"/>
        </w:rPr>
        <w:t>附件2</w:t>
      </w:r>
    </w:p>
    <w:tbl>
      <w:tblPr>
        <w:tblStyle w:val="8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0" w:type="dxa"/>
          <w:bottom w:w="0" w:type="dxa"/>
          <w:right w:w="0" w:type="dxa"/>
        </w:tblCellMar>
      </w:tblPr>
      <w:tblGrid>
        <w:gridCol w:w="688"/>
        <w:gridCol w:w="2035"/>
        <w:gridCol w:w="3177"/>
        <w:gridCol w:w="1051"/>
        <w:gridCol w:w="1231"/>
        <w:gridCol w:w="16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40" w:hRule="atLeast"/>
        </w:trPr>
        <w:tc>
          <w:tcPr>
            <w:tcW w:w="5000" w:type="pct"/>
            <w:gridSpan w:val="6"/>
            <w:shd w:val="clear" w:color="auto" w:fill="auto"/>
            <w:noWrap/>
            <w:tcMar>
              <w:top w:w="15" w:type="dxa"/>
              <w:left w:w="15" w:type="dxa"/>
              <w:right w:w="15" w:type="dxa"/>
            </w:tcMar>
            <w:vAlign w:val="center"/>
          </w:tcPr>
          <w:p>
            <w:pPr>
              <w:shd w:val="clear"/>
              <w:bidi w:val="0"/>
              <w:jc w:val="center"/>
              <w:outlineLvl w:val="9"/>
              <w:rPr>
                <w:rFonts w:hint="default"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污水泵站、提升井工程量清单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4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序号</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地块名称</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具体位置</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单位</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数量</w:t>
            </w:r>
          </w:p>
        </w:tc>
        <w:tc>
          <w:tcPr>
            <w:tcW w:w="816"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1</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Z36（于湾里、女人街）</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女人街原123号东</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2</w:t>
            </w:r>
          </w:p>
        </w:tc>
        <w:tc>
          <w:tcPr>
            <w:tcW w:w="816" w:type="pct"/>
            <w:vMerge w:val="restar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泵站、一体化提升井电动闸门、液压闸门、一体化提升井电动闸门、液压闸门等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2</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Z36（于湾里、女人街）</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圩湾里河边</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2</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3</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Z37（蒋巷、戈巷）</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隐秀路与贡湖大道东侧戈巷绿化带内</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2</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4</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Z42 (瓦屑坝)</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瓦屑坝39号南</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2</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5</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Z44 (圩田里、屠巷)</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圩田里17号桥边</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2</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6</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Z55小园三村</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华盛苑南门河道边</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3</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7</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Z56（张巷、戴巷）</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张巷51号西</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2</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8</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Z85 (方桥老街)</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方桥老街北侧桥边</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2</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9</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TH53 (绿岛家苑)</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饭店东侧电动车停车棚旁</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2</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10</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梁南村王巷浜</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原梁南社区东北侧河边</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2</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78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11</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五湖大道</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五湖大道与高浪路交叉口东北角</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1</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78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12</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万思桥浜（谈旺道）</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瑷颐湾B区北</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4</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62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13</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方桥浜</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树园里南侧</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2</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14</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东泉花苑西南</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东泉花园西南菜地旁</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2</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15</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谈巷浜1</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小园里52</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2</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16</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谈巷浜2</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近桥梁西南岸边私房</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2</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17</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张巷戴巷</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张巷戴巷北测公厕西</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2</w:t>
            </w:r>
          </w:p>
        </w:tc>
        <w:tc>
          <w:tcPr>
            <w:tcW w:w="816" w:type="pct"/>
            <w:vMerge w:val="restar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提升井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18</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方桥老街</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老街桥东侧截流堰</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2</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19</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谈旺道2</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玖玖城69号东</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1</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20</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东降实验学校小学</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东降实验学校小学正门口</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1</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21</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东降实验学校小学</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东降实验学校小学正门东侧</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1</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22</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无锡市东降第二实验学校</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无锡市东降第二实验学校南侧河道旁</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1</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23</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无锡金桥双语实验学校</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无锡金桥双语实验学校内</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1</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24</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观山路</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观山路和畅桥桥南侧河西</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2</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25</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观山路</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观山路和畅桥桥北侧河西</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2</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26</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观山路</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观山路和畅桥桥北侧河东</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2</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27</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周新桥西1</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周新路周新桥西侧路南</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1</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28</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周新桥西2</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周新路周新桥西侧路北</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1</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29</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周新苑一期</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周新苑一期格林豪泰门口</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1</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30</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周新苑一期</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周新苑一期17号楼东面</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1</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31</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周新苑三期二批</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五湖大道东侧仪桥头桥北</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2</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32</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周新苑三期二批</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五湖大道王祥巷桥北</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2</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33</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周新苑三期二批</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大通路邢墅桥东南侧</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2</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34</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周新苑三期</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周新苑西三期靠近大通路公交站台</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1</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35</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南湖家园</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南湖家园南区北门</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1</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36</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南湖家园</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南湖家园南区北门西侧</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1</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37</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南湖家园</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南湖家园北区南面商铺西侧</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1</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38</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瑞星家园（大桥路西）</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东绛第二实验小学东门（大桥路西章村浜）</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1</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39</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绿岛家园北</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绿岛家园北侧河对面</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1</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40</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华盛苑东</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汪甲里22号北侧河道东南角</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1</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41</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俞甲里</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俞家里39号北侧衡源路南</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1</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42</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吴巷</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雨水总排口旁</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1</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43</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天鹅湖一期</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正南门内部路中央</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1</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44</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山水湖滨花园二期</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山水湖滨花园二期内337号楼东侧</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1</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45</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万科海上传奇1</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万科海上传奇东门北侧衡源路旁</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1</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46</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万科海上传奇2</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万科海上传奇南门西侧大通路边</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1</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47</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万科尊鹏云著1</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西绛道路西桥北侧16号楼东侧</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1</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48</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万科尊鹏云著2</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西绛道路西桥北侧</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1</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49</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万科尊鹏云著3</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西绛道路西桥南侧</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1</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50</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世家名门</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世家名门小区西南角</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1</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51</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中锐琅石名筑</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中锐琅石名筑东门通道旁</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1</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52</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富力十号B区1</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富力十号B区2号楼南侧</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1</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53</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富力十号B区2</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富力十号B区东侧新园路桥旁</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1</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54</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融创璦颐湾B区</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融创璦颐湾B区57号楼北侧河道旁</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1</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55</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融创璦颐湾D区1</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融创璦颐湾D区59-7号商铺门前</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1</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56</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融创璦颐湾D区2</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融创璦颐湾D区71-13号商铺门前</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1</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57</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无锡海岸城郦园1</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机关幼儿园西门北侧河道旁</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1</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58</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无锡海岸城郦园2</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海岸城郦园西门河道旁</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1</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59</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玉兰花园东1区1</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玉兰花园东区东北角河道旁90号楼北侧</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1</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60</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玉兰花园东1区2</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玉兰花园东区西北角河道旁96号楼北侧</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1</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61</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玉兰花园西1区1</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玉兰花园西区东北角河道旁95号楼北侧</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1</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62</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玉兰花园西1区2</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玉兰花园西区西北角河道旁99号楼北侧</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1</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63</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玉兰西花园</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立信大道与南蒋路交叉口西南角</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1</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64</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万科信城道3期1</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万科信城道3期观顺道路西侧梦洁家纺门口</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1</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65</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万科信城道3期2</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万科信城道3期林溪主持表演艺术中心门口绿化带</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1</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66</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万科信城道3期3</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万科信城道3期超柠柠檬茶门口绿化带内</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1</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67</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信成道1</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近新东广场</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2</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68</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信成道2</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近蠡江新村</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2</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69</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信成道3</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近周新菜场</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2</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70</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谈巷浜3</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小园里55</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2</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71</w:t>
            </w:r>
          </w:p>
        </w:tc>
        <w:tc>
          <w:tcPr>
            <w:tcW w:w="1040" w:type="pct"/>
            <w:shd w:val="clear" w:color="auto" w:fill="auto"/>
            <w:noWrap/>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五湖大道</w:t>
            </w:r>
          </w:p>
        </w:tc>
        <w:tc>
          <w:tcPr>
            <w:tcW w:w="1624" w:type="pct"/>
            <w:shd w:val="clear" w:color="auto" w:fill="auto"/>
            <w:noWrap/>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尚水桥东</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2</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trPr>
        <w:tc>
          <w:tcPr>
            <w:tcW w:w="352"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72</w:t>
            </w:r>
          </w:p>
        </w:tc>
        <w:tc>
          <w:tcPr>
            <w:tcW w:w="1040"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万科信成道1期</w:t>
            </w:r>
          </w:p>
        </w:tc>
        <w:tc>
          <w:tcPr>
            <w:tcW w:w="1624"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万科信成道1期7号楼西靠近万思桥浜</w:t>
            </w:r>
          </w:p>
        </w:tc>
        <w:tc>
          <w:tcPr>
            <w:tcW w:w="537"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台</w:t>
            </w:r>
          </w:p>
        </w:tc>
        <w:tc>
          <w:tcPr>
            <w:tcW w:w="629" w:type="pct"/>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r>
              <w:rPr>
                <w:rFonts w:hint="eastAsia" w:ascii="Calibri" w:hAnsi="Calibri" w:eastAsia="宋体" w:cs="Times New Roman"/>
                <w:color w:val="auto"/>
                <w:kern w:val="2"/>
                <w:highlight w:val="none"/>
                <w:lang w:val="zh-CN" w:eastAsia="zh-CN" w:bidi="ar-SA"/>
              </w:rPr>
              <w:t>1</w:t>
            </w:r>
          </w:p>
        </w:tc>
        <w:tc>
          <w:tcPr>
            <w:tcW w:w="816" w:type="pct"/>
            <w:vMerge w:val="continue"/>
            <w:shd w:val="clear" w:color="auto" w:fill="auto"/>
            <w:tcMar>
              <w:top w:w="15" w:type="dxa"/>
              <w:left w:w="15" w:type="dxa"/>
              <w:right w:w="15" w:type="dxa"/>
            </w:tcMar>
            <w:vAlign w:val="center"/>
          </w:tcPr>
          <w:p>
            <w:pPr>
              <w:shd w:val="clear"/>
              <w:bidi w:val="0"/>
              <w:jc w:val="center"/>
              <w:outlineLvl w:val="9"/>
              <w:rPr>
                <w:rFonts w:hint="eastAsia" w:ascii="Calibri" w:hAnsi="Calibri" w:eastAsia="宋体" w:cs="Times New Roman"/>
                <w:color w:val="auto"/>
                <w:kern w:val="2"/>
                <w:highlight w:val="none"/>
                <w:lang w:val="zh-CN" w:bidi="ar-SA"/>
              </w:rPr>
            </w:pPr>
          </w:p>
        </w:tc>
      </w:tr>
    </w:tbl>
    <w:p>
      <w:pPr>
        <w:shd w:val="clear"/>
        <w:bidi w:val="0"/>
        <w:outlineLvl w:val="9"/>
        <w:rPr>
          <w:rFonts w:hint="default" w:ascii="Calibri" w:hAnsi="Calibri" w:eastAsia="宋体" w:cs="Times New Roman"/>
          <w:color w:val="auto"/>
          <w:kern w:val="2"/>
          <w:highlight w:val="none"/>
          <w:lang w:val="zh-CN" w:bidi="ar-SA"/>
        </w:rPr>
      </w:pPr>
    </w:p>
    <w:p>
      <w:pPr>
        <w:widowControl w:val="0"/>
        <w:shd w:val="clear"/>
        <w:spacing w:after="160" w:line="278" w:lineRule="auto"/>
        <w:jc w:val="both"/>
        <w:outlineLvl w:val="9"/>
        <w:rPr>
          <w:rFonts w:hint="default" w:ascii="华文中宋" w:hAnsi="Times New Roman" w:eastAsia="华文中宋" w:cs="Times New Roman"/>
          <w:bCs/>
          <w:color w:val="auto"/>
          <w:kern w:val="2"/>
          <w:sz w:val="28"/>
          <w:highlight w:val="none"/>
          <w:lang w:val="zh-CN" w:eastAsia="zh-CN" w:bidi="ar-SA"/>
        </w:rPr>
      </w:pPr>
      <w:r>
        <w:rPr>
          <w:rFonts w:hint="default" w:ascii="华文中宋" w:hAnsi="Times New Roman" w:eastAsia="华文中宋" w:cs="Times New Roman"/>
          <w:bCs/>
          <w:color w:val="auto"/>
          <w:kern w:val="2"/>
          <w:sz w:val="28"/>
          <w:highlight w:val="none"/>
          <w:lang w:val="zh-CN" w:eastAsia="zh-CN" w:bidi="ar-SA"/>
        </w:rPr>
        <w:br w:type="page"/>
      </w:r>
    </w:p>
    <w:tbl>
      <w:tblPr>
        <w:tblStyle w:val="82"/>
        <w:tblW w:w="5001" w:type="pct"/>
        <w:tblInd w:w="0" w:type="dxa"/>
        <w:tblLayout w:type="autofit"/>
        <w:tblCellMar>
          <w:top w:w="0" w:type="dxa"/>
          <w:left w:w="108" w:type="dxa"/>
          <w:bottom w:w="0" w:type="dxa"/>
          <w:right w:w="108" w:type="dxa"/>
        </w:tblCellMar>
      </w:tblPr>
      <w:tblGrid>
        <w:gridCol w:w="1384"/>
        <w:gridCol w:w="1687"/>
        <w:gridCol w:w="4931"/>
        <w:gridCol w:w="594"/>
        <w:gridCol w:w="612"/>
        <w:gridCol w:w="762"/>
      </w:tblGrid>
      <w:tr>
        <w:tblPrEx>
          <w:tblCellMar>
            <w:top w:w="0" w:type="dxa"/>
            <w:left w:w="108" w:type="dxa"/>
            <w:bottom w:w="0" w:type="dxa"/>
            <w:right w:w="108" w:type="dxa"/>
          </w:tblCellMar>
        </w:tblPrEx>
        <w:trPr>
          <w:trHeight w:val="253" w:hRule="atLeast"/>
        </w:trPr>
        <w:tc>
          <w:tcPr>
            <w:tcW w:w="1540" w:type="pct"/>
            <w:gridSpan w:val="2"/>
            <w:tcBorders>
              <w:top w:val="nil"/>
              <w:left w:val="nil"/>
              <w:bottom w:val="nil"/>
              <w:right w:val="nil"/>
            </w:tcBorders>
            <w:shd w:val="clear" w:color="auto" w:fill="auto"/>
            <w:noWrap/>
            <w:vAlign w:val="bottom"/>
          </w:tcPr>
          <w:p>
            <w:pPr>
              <w:widowControl/>
              <w:shd w:val="clear"/>
              <w:spacing w:after="0" w:line="240" w:lineRule="auto"/>
              <w:jc w:val="left"/>
              <w:outlineLvl w:val="9"/>
              <w:rPr>
                <w:rFonts w:hint="default"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附表一</w:t>
            </w:r>
          </w:p>
        </w:tc>
        <w:tc>
          <w:tcPr>
            <w:tcW w:w="2473" w:type="pct"/>
            <w:tcBorders>
              <w:top w:val="nil"/>
              <w:left w:val="nil"/>
              <w:bottom w:val="nil"/>
              <w:right w:val="nil"/>
            </w:tcBorders>
            <w:shd w:val="clear" w:color="auto" w:fill="auto"/>
            <w:noWrap/>
            <w:vAlign w:val="bottom"/>
          </w:tcPr>
          <w:p>
            <w:pPr>
              <w:widowControl/>
              <w:shd w:val="clear"/>
              <w:spacing w:after="0" w:line="240" w:lineRule="auto"/>
              <w:jc w:val="left"/>
              <w:outlineLvl w:val="9"/>
              <w:rPr>
                <w:rFonts w:hint="eastAsia" w:ascii="宋体" w:hAnsi="宋体" w:eastAsia="宋体" w:cs="宋体"/>
                <w:color w:val="auto"/>
                <w:kern w:val="0"/>
                <w:sz w:val="24"/>
                <w:szCs w:val="24"/>
                <w:highlight w:val="none"/>
                <w:lang w:val="en-US" w:bidi="ar-SA"/>
              </w:rPr>
            </w:pPr>
          </w:p>
        </w:tc>
        <w:tc>
          <w:tcPr>
            <w:tcW w:w="298" w:type="pct"/>
            <w:tcBorders>
              <w:top w:val="nil"/>
              <w:left w:val="nil"/>
              <w:bottom w:val="nil"/>
              <w:right w:val="nil"/>
            </w:tcBorders>
            <w:shd w:val="clear" w:color="auto" w:fill="auto"/>
            <w:noWrap/>
            <w:vAlign w:val="bottom"/>
          </w:tcPr>
          <w:p>
            <w:pPr>
              <w:widowControl/>
              <w:shd w:val="clear"/>
              <w:spacing w:after="0" w:line="240" w:lineRule="auto"/>
              <w:jc w:val="left"/>
              <w:outlineLvl w:val="9"/>
              <w:rPr>
                <w:rFonts w:hint="default" w:ascii="Times New Roman" w:hAnsi="Times New Roman" w:eastAsia="Times New Roman" w:cs="Times New Roman"/>
                <w:color w:val="auto"/>
                <w:kern w:val="0"/>
                <w:sz w:val="20"/>
                <w:szCs w:val="20"/>
                <w:highlight w:val="none"/>
                <w:lang w:val="en-US" w:bidi="ar-SA"/>
              </w:rPr>
            </w:pPr>
          </w:p>
        </w:tc>
        <w:tc>
          <w:tcPr>
            <w:tcW w:w="307" w:type="pct"/>
            <w:tcBorders>
              <w:top w:val="nil"/>
              <w:left w:val="nil"/>
              <w:bottom w:val="nil"/>
              <w:right w:val="nil"/>
            </w:tcBorders>
            <w:shd w:val="clear" w:color="auto" w:fill="auto"/>
            <w:noWrap/>
            <w:vAlign w:val="bottom"/>
          </w:tcPr>
          <w:p>
            <w:pPr>
              <w:widowControl/>
              <w:shd w:val="clear"/>
              <w:spacing w:after="0" w:line="240" w:lineRule="auto"/>
              <w:jc w:val="left"/>
              <w:outlineLvl w:val="9"/>
              <w:rPr>
                <w:rFonts w:hint="default" w:ascii="Times New Roman" w:hAnsi="Times New Roman" w:eastAsia="Times New Roman" w:cs="Times New Roman"/>
                <w:color w:val="auto"/>
                <w:kern w:val="0"/>
                <w:sz w:val="20"/>
                <w:szCs w:val="20"/>
                <w:highlight w:val="none"/>
                <w:lang w:val="en-US" w:bidi="ar-SA"/>
              </w:rPr>
            </w:pPr>
          </w:p>
        </w:tc>
        <w:tc>
          <w:tcPr>
            <w:tcW w:w="382" w:type="pct"/>
            <w:tcBorders>
              <w:top w:val="nil"/>
              <w:left w:val="nil"/>
              <w:bottom w:val="nil"/>
              <w:right w:val="nil"/>
            </w:tcBorders>
            <w:shd w:val="clear" w:color="auto" w:fill="auto"/>
            <w:noWrap/>
            <w:vAlign w:val="bottom"/>
          </w:tcPr>
          <w:p>
            <w:pPr>
              <w:widowControl/>
              <w:shd w:val="clear"/>
              <w:spacing w:after="0" w:line="240" w:lineRule="auto"/>
              <w:jc w:val="left"/>
              <w:outlineLvl w:val="9"/>
              <w:rPr>
                <w:rFonts w:hint="default" w:ascii="Times New Roman" w:hAnsi="Times New Roman" w:eastAsia="Times New Roman" w:cs="Times New Roman"/>
                <w:color w:val="auto"/>
                <w:kern w:val="0"/>
                <w:sz w:val="20"/>
                <w:szCs w:val="20"/>
                <w:highlight w:val="none"/>
                <w:lang w:val="en-US" w:bidi="ar-SA"/>
              </w:rPr>
            </w:pPr>
          </w:p>
        </w:tc>
      </w:tr>
      <w:tr>
        <w:tblPrEx>
          <w:tblCellMar>
            <w:top w:w="0" w:type="dxa"/>
            <w:left w:w="108" w:type="dxa"/>
            <w:bottom w:w="0" w:type="dxa"/>
            <w:right w:w="108" w:type="dxa"/>
          </w:tblCellMar>
        </w:tblPrEx>
        <w:trPr>
          <w:trHeight w:val="479" w:hRule="atLeast"/>
        </w:trPr>
        <w:tc>
          <w:tcPr>
            <w:tcW w:w="5000" w:type="pct"/>
            <w:gridSpan w:val="6"/>
            <w:tcBorders>
              <w:top w:val="nil"/>
              <w:left w:val="nil"/>
              <w:bottom w:val="nil"/>
              <w:right w:val="nil"/>
            </w:tcBorders>
            <w:shd w:val="clear" w:color="auto" w:fill="auto"/>
            <w:noWrap/>
            <w:vAlign w:val="center"/>
          </w:tcPr>
          <w:p>
            <w:pPr>
              <w:widowControl/>
              <w:shd w:val="clear"/>
              <w:spacing w:after="0" w:line="240" w:lineRule="auto"/>
              <w:jc w:val="center"/>
              <w:outlineLvl w:val="9"/>
              <w:rPr>
                <w:rFonts w:hint="default" w:ascii="宋体" w:hAnsi="宋体" w:eastAsia="宋体" w:cs="宋体"/>
                <w:color w:val="auto"/>
                <w:kern w:val="0"/>
                <w:sz w:val="28"/>
                <w:szCs w:val="28"/>
                <w:highlight w:val="none"/>
                <w:lang w:val="en-US" w:bidi="ar-SA"/>
              </w:rPr>
            </w:pPr>
            <w:r>
              <w:rPr>
                <w:rFonts w:hint="eastAsia" w:ascii="宋体" w:hAnsi="宋体" w:eastAsia="宋体" w:cs="宋体"/>
                <w:color w:val="auto"/>
                <w:kern w:val="0"/>
                <w:sz w:val="28"/>
                <w:szCs w:val="28"/>
                <w:highlight w:val="none"/>
                <w:lang w:val="en-US" w:bidi="ar-SA"/>
              </w:rPr>
              <w:t>无锡市排水运行维护片区</w:t>
            </w:r>
            <w:r>
              <w:rPr>
                <w:rFonts w:hint="eastAsia" w:ascii="黑体" w:hAnsi="黑体" w:eastAsia="黑体" w:cs="宋体"/>
                <w:b/>
                <w:bCs/>
                <w:color w:val="auto"/>
                <w:kern w:val="0"/>
                <w:sz w:val="28"/>
                <w:szCs w:val="28"/>
                <w:highlight w:val="none"/>
                <w:lang w:val="en-US" w:bidi="ar-SA"/>
              </w:rPr>
              <w:t>月度</w:t>
            </w:r>
            <w:r>
              <w:rPr>
                <w:rFonts w:hint="eastAsia" w:ascii="宋体" w:hAnsi="宋体" w:eastAsia="宋体" w:cs="宋体"/>
                <w:color w:val="auto"/>
                <w:kern w:val="0"/>
                <w:sz w:val="28"/>
                <w:szCs w:val="28"/>
                <w:highlight w:val="none"/>
                <w:lang w:val="en-US" w:bidi="ar-SA"/>
              </w:rPr>
              <w:t>考核评分细则</w:t>
            </w:r>
          </w:p>
        </w:tc>
      </w:tr>
      <w:tr>
        <w:tblPrEx>
          <w:tblCellMar>
            <w:top w:w="0" w:type="dxa"/>
            <w:left w:w="108" w:type="dxa"/>
            <w:bottom w:w="0" w:type="dxa"/>
            <w:right w:w="108" w:type="dxa"/>
          </w:tblCellMar>
        </w:tblPrEx>
        <w:trPr>
          <w:trHeight w:val="479" w:hRule="atLeast"/>
        </w:trPr>
        <w:tc>
          <w:tcPr>
            <w:tcW w:w="5000" w:type="pct"/>
            <w:gridSpan w:val="6"/>
            <w:tcBorders>
              <w:top w:val="nil"/>
              <w:left w:val="nil"/>
              <w:bottom w:val="single" w:color="auto" w:sz="4" w:space="0"/>
              <w:right w:val="nil"/>
            </w:tcBorders>
            <w:shd w:val="clear" w:color="auto" w:fill="auto"/>
            <w:noWrap/>
            <w:vAlign w:val="center"/>
          </w:tcPr>
          <w:p>
            <w:pPr>
              <w:widowControl/>
              <w:shd w:val="clear"/>
              <w:spacing w:after="0" w:line="240" w:lineRule="auto"/>
              <w:jc w:val="left"/>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受检单位（运行维护单位）：</w:t>
            </w:r>
          </w:p>
        </w:tc>
      </w:tr>
      <w:tr>
        <w:tblPrEx>
          <w:tblCellMar>
            <w:top w:w="0" w:type="dxa"/>
            <w:left w:w="108" w:type="dxa"/>
            <w:bottom w:w="0" w:type="dxa"/>
            <w:right w:w="108" w:type="dxa"/>
          </w:tblCellMar>
        </w:tblPrEx>
        <w:trPr>
          <w:trHeight w:val="585" w:hRule="atLeast"/>
        </w:trPr>
        <w:tc>
          <w:tcPr>
            <w:tcW w:w="694" w:type="pct"/>
            <w:tcBorders>
              <w:top w:val="nil"/>
              <w:left w:val="single" w:color="auto" w:sz="4" w:space="0"/>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序号</w:t>
            </w:r>
          </w:p>
        </w:tc>
        <w:tc>
          <w:tcPr>
            <w:tcW w:w="846"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考核内容</w:t>
            </w:r>
          </w:p>
        </w:tc>
        <w:tc>
          <w:tcPr>
            <w:tcW w:w="2473"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评分标准</w:t>
            </w:r>
          </w:p>
        </w:tc>
        <w:tc>
          <w:tcPr>
            <w:tcW w:w="298"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分值</w:t>
            </w:r>
          </w:p>
        </w:tc>
        <w:tc>
          <w:tcPr>
            <w:tcW w:w="307"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得分</w:t>
            </w:r>
          </w:p>
        </w:tc>
        <w:tc>
          <w:tcPr>
            <w:tcW w:w="382"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备注</w:t>
            </w:r>
          </w:p>
        </w:tc>
      </w:tr>
      <w:tr>
        <w:tblPrEx>
          <w:tblCellMar>
            <w:top w:w="0" w:type="dxa"/>
            <w:left w:w="108" w:type="dxa"/>
            <w:bottom w:w="0" w:type="dxa"/>
            <w:right w:w="108" w:type="dxa"/>
          </w:tblCellMar>
        </w:tblPrEx>
        <w:trPr>
          <w:trHeight w:val="1944" w:hRule="atLeast"/>
        </w:trPr>
        <w:tc>
          <w:tcPr>
            <w:tcW w:w="694" w:type="pct"/>
            <w:vMerge w:val="restart"/>
            <w:tcBorders>
              <w:top w:val="nil"/>
              <w:left w:val="single" w:color="auto" w:sz="4" w:space="0"/>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　1</w:t>
            </w:r>
          </w:p>
        </w:tc>
        <w:tc>
          <w:tcPr>
            <w:tcW w:w="846" w:type="pct"/>
            <w:vMerge w:val="restart"/>
            <w:tcBorders>
              <w:top w:val="nil"/>
              <w:left w:val="single" w:color="auto" w:sz="4" w:space="0"/>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基础台帐统计资料情况     (20分）</w:t>
            </w:r>
          </w:p>
        </w:tc>
        <w:tc>
          <w:tcPr>
            <w:tcW w:w="2473"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left"/>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单位管理制度齐全得1分，管理制度基本具备得0.5分。无管理制度扣1分。内业统计资料表式统一规范，上报月报表及时正确得3分。表式不统一扣1分，上报月报表不及时扣1分，上报统计报表不正确扣1分，未上报月报表扣3分。各项基础设施资料完整齐全，分类归档，整理成册得1分（①排水户情况登记表 ②管网系统登记表 ③阳台排水情况登记表 ④控源截污信息基础资料以及竣工图）。少一项扣0.5分，少两项以上，扣1分。</w:t>
            </w:r>
          </w:p>
        </w:tc>
        <w:tc>
          <w:tcPr>
            <w:tcW w:w="298" w:type="pct"/>
            <w:tcBorders>
              <w:top w:val="nil"/>
              <w:left w:val="nil"/>
              <w:bottom w:val="single" w:color="auto" w:sz="4" w:space="0"/>
              <w:right w:val="single" w:color="auto" w:sz="4" w:space="0"/>
            </w:tcBorders>
            <w:shd w:val="clear" w:color="auto" w:fill="auto"/>
            <w:noWrap/>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5</w:t>
            </w:r>
          </w:p>
        </w:tc>
        <w:tc>
          <w:tcPr>
            <w:tcW w:w="307"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　</w:t>
            </w:r>
          </w:p>
        </w:tc>
        <w:tc>
          <w:tcPr>
            <w:tcW w:w="382"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　</w:t>
            </w:r>
          </w:p>
        </w:tc>
      </w:tr>
      <w:tr>
        <w:tblPrEx>
          <w:tblCellMar>
            <w:top w:w="0" w:type="dxa"/>
            <w:left w:w="108" w:type="dxa"/>
            <w:bottom w:w="0" w:type="dxa"/>
            <w:right w:w="108" w:type="dxa"/>
          </w:tblCellMar>
        </w:tblPrEx>
        <w:trPr>
          <w:trHeight w:val="825" w:hRule="atLeast"/>
        </w:trPr>
        <w:tc>
          <w:tcPr>
            <w:tcW w:w="694" w:type="pct"/>
            <w:vMerge w:val="continue"/>
            <w:tcBorders>
              <w:top w:val="nil"/>
              <w:left w:val="single" w:color="auto" w:sz="4" w:space="0"/>
              <w:bottom w:val="single" w:color="auto" w:sz="4" w:space="0"/>
              <w:right w:val="single" w:color="auto" w:sz="4" w:space="0"/>
            </w:tcBorders>
            <w:vAlign w:val="center"/>
          </w:tcPr>
          <w:p>
            <w:pPr>
              <w:widowControl/>
              <w:shd w:val="clear"/>
              <w:spacing w:after="0" w:line="240" w:lineRule="auto"/>
              <w:jc w:val="left"/>
              <w:outlineLvl w:val="9"/>
              <w:rPr>
                <w:rFonts w:hint="default" w:ascii="仿宋_GB2312" w:hAnsi="宋体" w:eastAsia="仿宋_GB2312" w:cs="宋体"/>
                <w:color w:val="auto"/>
                <w:kern w:val="0"/>
                <w:sz w:val="20"/>
                <w:szCs w:val="20"/>
                <w:highlight w:val="none"/>
                <w:lang w:val="en-US" w:bidi="ar-SA"/>
              </w:rPr>
            </w:pPr>
          </w:p>
        </w:tc>
        <w:tc>
          <w:tcPr>
            <w:tcW w:w="846" w:type="pct"/>
            <w:vMerge w:val="continue"/>
            <w:tcBorders>
              <w:top w:val="nil"/>
              <w:left w:val="single" w:color="auto" w:sz="4" w:space="0"/>
              <w:bottom w:val="single" w:color="auto" w:sz="4" w:space="0"/>
              <w:right w:val="single" w:color="auto" w:sz="4" w:space="0"/>
            </w:tcBorders>
            <w:vAlign w:val="center"/>
          </w:tcPr>
          <w:p>
            <w:pPr>
              <w:widowControl/>
              <w:shd w:val="clear"/>
              <w:spacing w:after="0" w:line="240" w:lineRule="auto"/>
              <w:jc w:val="left"/>
              <w:outlineLvl w:val="9"/>
              <w:rPr>
                <w:rFonts w:hint="default" w:ascii="仿宋_GB2312" w:hAnsi="宋体" w:eastAsia="仿宋_GB2312" w:cs="宋体"/>
                <w:color w:val="auto"/>
                <w:kern w:val="0"/>
                <w:sz w:val="20"/>
                <w:szCs w:val="20"/>
                <w:highlight w:val="none"/>
                <w:lang w:val="en-US" w:bidi="ar-SA"/>
              </w:rPr>
            </w:pPr>
          </w:p>
        </w:tc>
        <w:tc>
          <w:tcPr>
            <w:tcW w:w="2473"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left"/>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按《规范》要求频率巡查，有日常巡查记录，记录齐全，装订成册得10分。缺项扣3分，基本齐全得5分，未装订成册扣3分，无记录扣10分。</w:t>
            </w:r>
          </w:p>
        </w:tc>
        <w:tc>
          <w:tcPr>
            <w:tcW w:w="298" w:type="pct"/>
            <w:tcBorders>
              <w:top w:val="nil"/>
              <w:left w:val="nil"/>
              <w:bottom w:val="single" w:color="auto" w:sz="4" w:space="0"/>
              <w:right w:val="single" w:color="auto" w:sz="4" w:space="0"/>
            </w:tcBorders>
            <w:shd w:val="clear" w:color="auto" w:fill="auto"/>
            <w:noWrap/>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10</w:t>
            </w:r>
          </w:p>
        </w:tc>
        <w:tc>
          <w:tcPr>
            <w:tcW w:w="307"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　</w:t>
            </w:r>
          </w:p>
        </w:tc>
        <w:tc>
          <w:tcPr>
            <w:tcW w:w="382"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　</w:t>
            </w:r>
          </w:p>
        </w:tc>
      </w:tr>
      <w:tr>
        <w:tblPrEx>
          <w:tblCellMar>
            <w:top w:w="0" w:type="dxa"/>
            <w:left w:w="108" w:type="dxa"/>
            <w:bottom w:w="0" w:type="dxa"/>
            <w:right w:w="108" w:type="dxa"/>
          </w:tblCellMar>
        </w:tblPrEx>
        <w:trPr>
          <w:trHeight w:val="639" w:hRule="atLeast"/>
        </w:trPr>
        <w:tc>
          <w:tcPr>
            <w:tcW w:w="694" w:type="pct"/>
            <w:vMerge w:val="continue"/>
            <w:tcBorders>
              <w:top w:val="nil"/>
              <w:left w:val="single" w:color="auto" w:sz="4" w:space="0"/>
              <w:bottom w:val="single" w:color="auto" w:sz="4" w:space="0"/>
              <w:right w:val="single" w:color="auto" w:sz="4" w:space="0"/>
            </w:tcBorders>
            <w:vAlign w:val="center"/>
          </w:tcPr>
          <w:p>
            <w:pPr>
              <w:widowControl/>
              <w:shd w:val="clear"/>
              <w:spacing w:after="0" w:line="240" w:lineRule="auto"/>
              <w:jc w:val="left"/>
              <w:outlineLvl w:val="9"/>
              <w:rPr>
                <w:rFonts w:hint="default" w:ascii="仿宋_GB2312" w:hAnsi="宋体" w:eastAsia="仿宋_GB2312" w:cs="宋体"/>
                <w:color w:val="auto"/>
                <w:kern w:val="0"/>
                <w:sz w:val="20"/>
                <w:szCs w:val="20"/>
                <w:highlight w:val="none"/>
                <w:lang w:val="en-US" w:bidi="ar-SA"/>
              </w:rPr>
            </w:pPr>
          </w:p>
        </w:tc>
        <w:tc>
          <w:tcPr>
            <w:tcW w:w="846" w:type="pct"/>
            <w:vMerge w:val="continue"/>
            <w:tcBorders>
              <w:top w:val="nil"/>
              <w:left w:val="single" w:color="auto" w:sz="4" w:space="0"/>
              <w:bottom w:val="single" w:color="auto" w:sz="4" w:space="0"/>
              <w:right w:val="single" w:color="auto" w:sz="4" w:space="0"/>
            </w:tcBorders>
            <w:vAlign w:val="center"/>
          </w:tcPr>
          <w:p>
            <w:pPr>
              <w:widowControl/>
              <w:shd w:val="clear"/>
              <w:spacing w:after="0" w:line="240" w:lineRule="auto"/>
              <w:jc w:val="left"/>
              <w:outlineLvl w:val="9"/>
              <w:rPr>
                <w:rFonts w:hint="default" w:ascii="仿宋_GB2312" w:hAnsi="宋体" w:eastAsia="仿宋_GB2312" w:cs="宋体"/>
                <w:color w:val="auto"/>
                <w:kern w:val="0"/>
                <w:sz w:val="20"/>
                <w:szCs w:val="20"/>
                <w:highlight w:val="none"/>
                <w:lang w:val="en-US" w:bidi="ar-SA"/>
              </w:rPr>
            </w:pPr>
          </w:p>
        </w:tc>
        <w:tc>
          <w:tcPr>
            <w:tcW w:w="2473"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left"/>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养护作业有计划，有养护维修记录，记录齐全装订成册得5分。缺项扣1分，基本齐全得3分，无记录扣3分。</w:t>
            </w:r>
          </w:p>
        </w:tc>
        <w:tc>
          <w:tcPr>
            <w:tcW w:w="298" w:type="pct"/>
            <w:tcBorders>
              <w:top w:val="nil"/>
              <w:left w:val="nil"/>
              <w:bottom w:val="single" w:color="auto" w:sz="4" w:space="0"/>
              <w:right w:val="single" w:color="auto" w:sz="4" w:space="0"/>
            </w:tcBorders>
            <w:shd w:val="clear" w:color="auto" w:fill="auto"/>
            <w:noWrap/>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5</w:t>
            </w:r>
          </w:p>
        </w:tc>
        <w:tc>
          <w:tcPr>
            <w:tcW w:w="307"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　</w:t>
            </w:r>
          </w:p>
        </w:tc>
        <w:tc>
          <w:tcPr>
            <w:tcW w:w="382"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　</w:t>
            </w:r>
          </w:p>
        </w:tc>
      </w:tr>
      <w:tr>
        <w:tblPrEx>
          <w:tblCellMar>
            <w:top w:w="0" w:type="dxa"/>
            <w:left w:w="108" w:type="dxa"/>
            <w:bottom w:w="0" w:type="dxa"/>
            <w:right w:w="108" w:type="dxa"/>
          </w:tblCellMar>
        </w:tblPrEx>
        <w:trPr>
          <w:trHeight w:val="679" w:hRule="atLeast"/>
        </w:trPr>
        <w:tc>
          <w:tcPr>
            <w:tcW w:w="694" w:type="pct"/>
            <w:tcBorders>
              <w:top w:val="nil"/>
              <w:left w:val="single" w:color="auto" w:sz="4" w:space="0"/>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2</w:t>
            </w:r>
          </w:p>
        </w:tc>
        <w:tc>
          <w:tcPr>
            <w:tcW w:w="846"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排水设施养护质量执行情况（60分）</w:t>
            </w:r>
          </w:p>
        </w:tc>
        <w:tc>
          <w:tcPr>
            <w:tcW w:w="2473"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left"/>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具体评分表格采用《无锡市排水达标区排水设施运行维护外业考核评分表》( 附表四)×60%。</w:t>
            </w:r>
          </w:p>
        </w:tc>
        <w:tc>
          <w:tcPr>
            <w:tcW w:w="298"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60</w:t>
            </w:r>
          </w:p>
        </w:tc>
        <w:tc>
          <w:tcPr>
            <w:tcW w:w="307"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　</w:t>
            </w:r>
          </w:p>
        </w:tc>
        <w:tc>
          <w:tcPr>
            <w:tcW w:w="382"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附表四</w:t>
            </w:r>
          </w:p>
        </w:tc>
      </w:tr>
      <w:tr>
        <w:tblPrEx>
          <w:tblCellMar>
            <w:top w:w="0" w:type="dxa"/>
            <w:left w:w="108" w:type="dxa"/>
            <w:bottom w:w="0" w:type="dxa"/>
            <w:right w:w="108" w:type="dxa"/>
          </w:tblCellMar>
        </w:tblPrEx>
        <w:trPr>
          <w:trHeight w:val="772" w:hRule="atLeast"/>
        </w:trPr>
        <w:tc>
          <w:tcPr>
            <w:tcW w:w="694" w:type="pct"/>
            <w:vMerge w:val="restart"/>
            <w:tcBorders>
              <w:top w:val="nil"/>
              <w:left w:val="single" w:color="auto" w:sz="4" w:space="0"/>
              <w:bottom w:val="single" w:color="000000"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3</w:t>
            </w:r>
          </w:p>
        </w:tc>
        <w:tc>
          <w:tcPr>
            <w:tcW w:w="846" w:type="pct"/>
            <w:vMerge w:val="restart"/>
            <w:tcBorders>
              <w:top w:val="nil"/>
              <w:left w:val="single" w:color="auto" w:sz="4" w:space="0"/>
              <w:bottom w:val="single" w:color="000000"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社会服务承诺情况                     （10分）</w:t>
            </w:r>
          </w:p>
        </w:tc>
        <w:tc>
          <w:tcPr>
            <w:tcW w:w="2473"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left"/>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认真履行社会服务承诺，完成政协、人大提案、接受人民群众来电、来信、来访事项得</w:t>
            </w:r>
            <w:r>
              <w:rPr>
                <w:rFonts w:hint="default" w:ascii="Times New Roman" w:hAnsi="Times New Roman" w:eastAsia="仿宋_GB2312" w:cs="Times New Roman"/>
                <w:color w:val="auto"/>
                <w:kern w:val="0"/>
                <w:sz w:val="20"/>
                <w:szCs w:val="20"/>
                <w:highlight w:val="none"/>
                <w:lang w:val="en-US" w:bidi="ar-SA"/>
              </w:rPr>
              <w:t>3</w:t>
            </w:r>
            <w:r>
              <w:rPr>
                <w:rFonts w:hint="eastAsia" w:ascii="仿宋_GB2312" w:hAnsi="宋体" w:eastAsia="仿宋_GB2312" w:cs="宋体"/>
                <w:color w:val="auto"/>
                <w:kern w:val="0"/>
                <w:sz w:val="20"/>
                <w:szCs w:val="20"/>
                <w:highlight w:val="none"/>
                <w:lang w:val="en-US" w:bidi="ar-SA"/>
              </w:rPr>
              <w:t>分。未完成一项扣</w:t>
            </w:r>
            <w:r>
              <w:rPr>
                <w:rFonts w:hint="default" w:ascii="Times New Roman" w:hAnsi="Times New Roman" w:eastAsia="仿宋_GB2312" w:cs="Times New Roman"/>
                <w:color w:val="auto"/>
                <w:kern w:val="0"/>
                <w:sz w:val="20"/>
                <w:szCs w:val="20"/>
                <w:highlight w:val="none"/>
                <w:lang w:val="en-US" w:bidi="ar-SA"/>
              </w:rPr>
              <w:t>1</w:t>
            </w:r>
            <w:r>
              <w:rPr>
                <w:rFonts w:hint="eastAsia" w:ascii="仿宋_GB2312" w:hAnsi="宋体" w:eastAsia="仿宋_GB2312" w:cs="宋体"/>
                <w:color w:val="auto"/>
                <w:kern w:val="0"/>
                <w:sz w:val="20"/>
                <w:szCs w:val="20"/>
                <w:highlight w:val="none"/>
                <w:lang w:val="en-US" w:bidi="ar-SA"/>
              </w:rPr>
              <w:t>分，扣完</w:t>
            </w:r>
            <w:r>
              <w:rPr>
                <w:rFonts w:hint="default" w:ascii="Times New Roman" w:hAnsi="Times New Roman" w:eastAsia="仿宋_GB2312" w:cs="Times New Roman"/>
                <w:color w:val="auto"/>
                <w:kern w:val="0"/>
                <w:sz w:val="20"/>
                <w:szCs w:val="20"/>
                <w:highlight w:val="none"/>
                <w:lang w:val="en-US" w:bidi="ar-SA"/>
              </w:rPr>
              <w:t>3</w:t>
            </w:r>
            <w:r>
              <w:rPr>
                <w:rFonts w:hint="eastAsia" w:ascii="仿宋_GB2312" w:hAnsi="宋体" w:eastAsia="仿宋_GB2312" w:cs="宋体"/>
                <w:color w:val="auto"/>
                <w:kern w:val="0"/>
                <w:sz w:val="20"/>
                <w:szCs w:val="20"/>
                <w:highlight w:val="none"/>
                <w:lang w:val="en-US" w:bidi="ar-SA"/>
              </w:rPr>
              <w:t>分为止。</w:t>
            </w:r>
          </w:p>
        </w:tc>
        <w:tc>
          <w:tcPr>
            <w:tcW w:w="298"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3</w:t>
            </w:r>
          </w:p>
        </w:tc>
        <w:tc>
          <w:tcPr>
            <w:tcW w:w="307"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　</w:t>
            </w:r>
          </w:p>
        </w:tc>
        <w:tc>
          <w:tcPr>
            <w:tcW w:w="382"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　</w:t>
            </w:r>
          </w:p>
        </w:tc>
      </w:tr>
      <w:tr>
        <w:tblPrEx>
          <w:tblCellMar>
            <w:top w:w="0" w:type="dxa"/>
            <w:left w:w="108" w:type="dxa"/>
            <w:bottom w:w="0" w:type="dxa"/>
            <w:right w:w="108" w:type="dxa"/>
          </w:tblCellMar>
        </w:tblPrEx>
        <w:trPr>
          <w:trHeight w:val="825" w:hRule="atLeast"/>
        </w:trPr>
        <w:tc>
          <w:tcPr>
            <w:tcW w:w="694" w:type="pct"/>
            <w:vMerge w:val="continue"/>
            <w:tcBorders>
              <w:top w:val="nil"/>
              <w:left w:val="single" w:color="auto" w:sz="4" w:space="0"/>
              <w:bottom w:val="single" w:color="000000" w:sz="4" w:space="0"/>
              <w:right w:val="single" w:color="auto" w:sz="4" w:space="0"/>
            </w:tcBorders>
            <w:vAlign w:val="center"/>
          </w:tcPr>
          <w:p>
            <w:pPr>
              <w:widowControl/>
              <w:shd w:val="clear"/>
              <w:spacing w:after="0" w:line="240" w:lineRule="auto"/>
              <w:jc w:val="left"/>
              <w:outlineLvl w:val="9"/>
              <w:rPr>
                <w:rFonts w:hint="default" w:ascii="仿宋_GB2312" w:hAnsi="宋体" w:eastAsia="仿宋_GB2312" w:cs="宋体"/>
                <w:color w:val="auto"/>
                <w:kern w:val="0"/>
                <w:sz w:val="20"/>
                <w:szCs w:val="20"/>
                <w:highlight w:val="none"/>
                <w:lang w:val="en-US" w:bidi="ar-SA"/>
              </w:rPr>
            </w:pPr>
          </w:p>
        </w:tc>
        <w:tc>
          <w:tcPr>
            <w:tcW w:w="846" w:type="pct"/>
            <w:vMerge w:val="continue"/>
            <w:tcBorders>
              <w:top w:val="nil"/>
              <w:left w:val="single" w:color="auto" w:sz="4" w:space="0"/>
              <w:bottom w:val="single" w:color="000000" w:sz="4" w:space="0"/>
              <w:right w:val="single" w:color="auto" w:sz="4" w:space="0"/>
            </w:tcBorders>
            <w:vAlign w:val="center"/>
          </w:tcPr>
          <w:p>
            <w:pPr>
              <w:widowControl/>
              <w:shd w:val="clear"/>
              <w:spacing w:after="0" w:line="240" w:lineRule="auto"/>
              <w:jc w:val="left"/>
              <w:outlineLvl w:val="9"/>
              <w:rPr>
                <w:rFonts w:hint="default" w:ascii="仿宋_GB2312" w:hAnsi="宋体" w:eastAsia="仿宋_GB2312" w:cs="宋体"/>
                <w:color w:val="auto"/>
                <w:kern w:val="0"/>
                <w:sz w:val="20"/>
                <w:szCs w:val="20"/>
                <w:highlight w:val="none"/>
                <w:lang w:val="en-US" w:bidi="ar-SA"/>
              </w:rPr>
            </w:pPr>
          </w:p>
        </w:tc>
        <w:tc>
          <w:tcPr>
            <w:tcW w:w="2473"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left"/>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按时完成上级指令性、突击性任务及重点养护项目得</w:t>
            </w:r>
            <w:r>
              <w:rPr>
                <w:rFonts w:hint="default" w:ascii="Times New Roman" w:hAnsi="Times New Roman" w:eastAsia="仿宋_GB2312" w:cs="Times New Roman"/>
                <w:color w:val="auto"/>
                <w:kern w:val="0"/>
                <w:sz w:val="20"/>
                <w:szCs w:val="20"/>
                <w:highlight w:val="none"/>
                <w:lang w:val="en-US" w:bidi="ar-SA"/>
              </w:rPr>
              <w:t>2</w:t>
            </w:r>
            <w:r>
              <w:rPr>
                <w:rFonts w:hint="eastAsia" w:ascii="仿宋_GB2312" w:hAnsi="宋体" w:eastAsia="仿宋_GB2312" w:cs="宋体"/>
                <w:color w:val="auto"/>
                <w:kern w:val="0"/>
                <w:sz w:val="20"/>
                <w:szCs w:val="20"/>
                <w:highlight w:val="none"/>
                <w:lang w:val="en-US" w:bidi="ar-SA"/>
              </w:rPr>
              <w:t>分。完成得</w:t>
            </w:r>
            <w:r>
              <w:rPr>
                <w:rFonts w:hint="default" w:ascii="Times New Roman" w:hAnsi="Times New Roman" w:eastAsia="仿宋_GB2312" w:cs="Times New Roman"/>
                <w:color w:val="auto"/>
                <w:kern w:val="0"/>
                <w:sz w:val="20"/>
                <w:szCs w:val="20"/>
                <w:highlight w:val="none"/>
                <w:lang w:val="en-US" w:bidi="ar-SA"/>
              </w:rPr>
              <w:t>2</w:t>
            </w:r>
            <w:r>
              <w:rPr>
                <w:rFonts w:hint="eastAsia" w:ascii="仿宋_GB2312" w:hAnsi="宋体" w:eastAsia="仿宋_GB2312" w:cs="宋体"/>
                <w:color w:val="auto"/>
                <w:kern w:val="0"/>
                <w:sz w:val="20"/>
                <w:szCs w:val="20"/>
                <w:highlight w:val="none"/>
                <w:lang w:val="en-US" w:bidi="ar-SA"/>
              </w:rPr>
              <w:t>分，基本完成得</w:t>
            </w:r>
            <w:r>
              <w:rPr>
                <w:rFonts w:hint="default" w:ascii="Times New Roman" w:hAnsi="Times New Roman" w:eastAsia="仿宋_GB2312" w:cs="Times New Roman"/>
                <w:color w:val="auto"/>
                <w:kern w:val="0"/>
                <w:sz w:val="20"/>
                <w:szCs w:val="20"/>
                <w:highlight w:val="none"/>
                <w:lang w:val="en-US" w:bidi="ar-SA"/>
              </w:rPr>
              <w:t>1</w:t>
            </w:r>
            <w:r>
              <w:rPr>
                <w:rFonts w:hint="eastAsia" w:ascii="仿宋_GB2312" w:hAnsi="宋体" w:eastAsia="仿宋_GB2312" w:cs="宋体"/>
                <w:color w:val="auto"/>
                <w:kern w:val="0"/>
                <w:sz w:val="20"/>
                <w:szCs w:val="20"/>
                <w:highlight w:val="none"/>
                <w:lang w:val="en-US" w:bidi="ar-SA"/>
              </w:rPr>
              <w:t>分，未完成扣</w:t>
            </w:r>
            <w:r>
              <w:rPr>
                <w:rFonts w:hint="default" w:ascii="Times New Roman" w:hAnsi="Times New Roman" w:eastAsia="仿宋_GB2312" w:cs="Times New Roman"/>
                <w:color w:val="auto"/>
                <w:kern w:val="0"/>
                <w:sz w:val="20"/>
                <w:szCs w:val="20"/>
                <w:highlight w:val="none"/>
                <w:lang w:val="en-US" w:bidi="ar-SA"/>
              </w:rPr>
              <w:t>2</w:t>
            </w:r>
            <w:r>
              <w:rPr>
                <w:rFonts w:hint="eastAsia" w:ascii="仿宋_GB2312" w:hAnsi="宋体" w:eastAsia="仿宋_GB2312" w:cs="宋体"/>
                <w:color w:val="auto"/>
                <w:kern w:val="0"/>
                <w:sz w:val="20"/>
                <w:szCs w:val="20"/>
                <w:highlight w:val="none"/>
                <w:lang w:val="en-US" w:bidi="ar-SA"/>
              </w:rPr>
              <w:t>分。</w:t>
            </w:r>
          </w:p>
        </w:tc>
        <w:tc>
          <w:tcPr>
            <w:tcW w:w="298"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2</w:t>
            </w:r>
          </w:p>
        </w:tc>
        <w:tc>
          <w:tcPr>
            <w:tcW w:w="307"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　</w:t>
            </w:r>
          </w:p>
        </w:tc>
        <w:tc>
          <w:tcPr>
            <w:tcW w:w="382"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　</w:t>
            </w:r>
          </w:p>
        </w:tc>
      </w:tr>
      <w:tr>
        <w:tblPrEx>
          <w:tblCellMar>
            <w:top w:w="0" w:type="dxa"/>
            <w:left w:w="108" w:type="dxa"/>
            <w:bottom w:w="0" w:type="dxa"/>
            <w:right w:w="108" w:type="dxa"/>
          </w:tblCellMar>
        </w:tblPrEx>
        <w:trPr>
          <w:trHeight w:val="1251" w:hRule="atLeast"/>
        </w:trPr>
        <w:tc>
          <w:tcPr>
            <w:tcW w:w="694" w:type="pct"/>
            <w:vMerge w:val="continue"/>
            <w:tcBorders>
              <w:top w:val="nil"/>
              <w:left w:val="single" w:color="auto" w:sz="4" w:space="0"/>
              <w:bottom w:val="single" w:color="000000" w:sz="4" w:space="0"/>
              <w:right w:val="single" w:color="auto" w:sz="4" w:space="0"/>
            </w:tcBorders>
            <w:vAlign w:val="center"/>
          </w:tcPr>
          <w:p>
            <w:pPr>
              <w:widowControl/>
              <w:shd w:val="clear"/>
              <w:spacing w:after="0" w:line="240" w:lineRule="auto"/>
              <w:jc w:val="left"/>
              <w:outlineLvl w:val="9"/>
              <w:rPr>
                <w:rFonts w:hint="default" w:ascii="仿宋_GB2312" w:hAnsi="宋体" w:eastAsia="仿宋_GB2312" w:cs="宋体"/>
                <w:color w:val="auto"/>
                <w:kern w:val="0"/>
                <w:sz w:val="20"/>
                <w:szCs w:val="20"/>
                <w:highlight w:val="none"/>
                <w:lang w:val="en-US" w:bidi="ar-SA"/>
              </w:rPr>
            </w:pPr>
          </w:p>
        </w:tc>
        <w:tc>
          <w:tcPr>
            <w:tcW w:w="846" w:type="pct"/>
            <w:vMerge w:val="continue"/>
            <w:tcBorders>
              <w:top w:val="nil"/>
              <w:left w:val="single" w:color="auto" w:sz="4" w:space="0"/>
              <w:bottom w:val="single" w:color="000000" w:sz="4" w:space="0"/>
              <w:right w:val="single" w:color="auto" w:sz="4" w:space="0"/>
            </w:tcBorders>
            <w:vAlign w:val="center"/>
          </w:tcPr>
          <w:p>
            <w:pPr>
              <w:widowControl/>
              <w:shd w:val="clear"/>
              <w:spacing w:after="0" w:line="240" w:lineRule="auto"/>
              <w:jc w:val="left"/>
              <w:outlineLvl w:val="9"/>
              <w:rPr>
                <w:rFonts w:hint="default" w:ascii="仿宋_GB2312" w:hAnsi="宋体" w:eastAsia="仿宋_GB2312" w:cs="宋体"/>
                <w:color w:val="auto"/>
                <w:kern w:val="0"/>
                <w:sz w:val="20"/>
                <w:szCs w:val="20"/>
                <w:highlight w:val="none"/>
                <w:lang w:val="en-US" w:bidi="ar-SA"/>
              </w:rPr>
            </w:pPr>
          </w:p>
        </w:tc>
        <w:tc>
          <w:tcPr>
            <w:tcW w:w="2473"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left"/>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在规定限期内整改修复，排水管道检查井、收水井框盖完好吻合，井圈和井盖开裂、丢失应在</w:t>
            </w:r>
            <w:r>
              <w:rPr>
                <w:rFonts w:hint="eastAsia" w:ascii="Times New Roman" w:hAnsi="Times New Roman" w:eastAsia="仿宋_GB2312" w:cs="Times New Roman"/>
                <w:color w:val="auto"/>
                <w:kern w:val="0"/>
                <w:sz w:val="20"/>
                <w:szCs w:val="20"/>
                <w:highlight w:val="none"/>
                <w:lang w:val="en-US" w:eastAsia="zh-CN" w:bidi="ar-SA"/>
              </w:rPr>
              <w:t>6</w:t>
            </w:r>
            <w:r>
              <w:rPr>
                <w:rFonts w:hint="eastAsia" w:ascii="仿宋_GB2312" w:hAnsi="宋体" w:eastAsia="仿宋_GB2312" w:cs="宋体"/>
                <w:color w:val="auto"/>
                <w:kern w:val="0"/>
                <w:sz w:val="20"/>
                <w:szCs w:val="20"/>
                <w:highlight w:val="none"/>
                <w:lang w:val="en-US" w:bidi="ar-SA"/>
              </w:rPr>
              <w:t>小时之内补装完整，并做好安全保护警示措施，以防发生意外事故。对达到规定限期内整改修复得</w:t>
            </w:r>
            <w:r>
              <w:rPr>
                <w:rFonts w:hint="default" w:ascii="Times New Roman" w:hAnsi="Times New Roman" w:eastAsia="仿宋_GB2312" w:cs="Times New Roman"/>
                <w:color w:val="auto"/>
                <w:kern w:val="0"/>
                <w:sz w:val="20"/>
                <w:szCs w:val="20"/>
                <w:highlight w:val="none"/>
                <w:lang w:val="en-US" w:bidi="ar-SA"/>
              </w:rPr>
              <w:t>5</w:t>
            </w:r>
            <w:r>
              <w:rPr>
                <w:rFonts w:hint="eastAsia" w:ascii="仿宋_GB2312" w:hAnsi="宋体" w:eastAsia="仿宋_GB2312" w:cs="宋体"/>
                <w:color w:val="auto"/>
                <w:kern w:val="0"/>
                <w:sz w:val="20"/>
                <w:szCs w:val="20"/>
                <w:highlight w:val="none"/>
                <w:lang w:val="en-US" w:bidi="ar-SA"/>
              </w:rPr>
              <w:t>分。信息及时反馈率100%得1分。每一处修补滞后，扣1分，扣完5分为止。</w:t>
            </w:r>
          </w:p>
        </w:tc>
        <w:tc>
          <w:tcPr>
            <w:tcW w:w="298"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5</w:t>
            </w:r>
          </w:p>
        </w:tc>
        <w:tc>
          <w:tcPr>
            <w:tcW w:w="307"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　</w:t>
            </w:r>
          </w:p>
        </w:tc>
        <w:tc>
          <w:tcPr>
            <w:tcW w:w="382"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　</w:t>
            </w:r>
          </w:p>
        </w:tc>
      </w:tr>
      <w:tr>
        <w:tblPrEx>
          <w:tblCellMar>
            <w:top w:w="0" w:type="dxa"/>
            <w:left w:w="108" w:type="dxa"/>
            <w:bottom w:w="0" w:type="dxa"/>
            <w:right w:w="108" w:type="dxa"/>
          </w:tblCellMar>
        </w:tblPrEx>
        <w:trPr>
          <w:trHeight w:val="572" w:hRule="atLeast"/>
        </w:trPr>
        <w:tc>
          <w:tcPr>
            <w:tcW w:w="694" w:type="pct"/>
            <w:vMerge w:val="restart"/>
            <w:tcBorders>
              <w:top w:val="nil"/>
              <w:left w:val="single" w:color="auto" w:sz="4" w:space="0"/>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4</w:t>
            </w:r>
          </w:p>
        </w:tc>
        <w:tc>
          <w:tcPr>
            <w:tcW w:w="846" w:type="pct"/>
            <w:vMerge w:val="restart"/>
            <w:tcBorders>
              <w:top w:val="nil"/>
              <w:left w:val="single" w:color="auto" w:sz="4" w:space="0"/>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安全文明作业情况             （10分）</w:t>
            </w:r>
          </w:p>
        </w:tc>
        <w:tc>
          <w:tcPr>
            <w:tcW w:w="2473"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left"/>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养护作业前依法办理相关手续得</w:t>
            </w:r>
            <w:r>
              <w:rPr>
                <w:rFonts w:hint="default" w:ascii="Times New Roman" w:hAnsi="Times New Roman" w:eastAsia="仿宋_GB2312" w:cs="Times New Roman"/>
                <w:color w:val="auto"/>
                <w:kern w:val="0"/>
                <w:sz w:val="20"/>
                <w:szCs w:val="20"/>
                <w:highlight w:val="none"/>
                <w:lang w:val="en-US" w:bidi="ar-SA"/>
              </w:rPr>
              <w:t>2</w:t>
            </w:r>
            <w:r>
              <w:rPr>
                <w:rFonts w:hint="eastAsia" w:ascii="仿宋_GB2312" w:hAnsi="宋体" w:eastAsia="仿宋_GB2312" w:cs="宋体"/>
                <w:color w:val="auto"/>
                <w:kern w:val="0"/>
                <w:sz w:val="20"/>
                <w:szCs w:val="20"/>
                <w:highlight w:val="none"/>
                <w:lang w:val="en-US" w:bidi="ar-SA"/>
              </w:rPr>
              <w:t>分，未办理相关手续扣</w:t>
            </w:r>
            <w:r>
              <w:rPr>
                <w:rFonts w:hint="default" w:ascii="Times New Roman" w:hAnsi="Times New Roman" w:eastAsia="仿宋_GB2312" w:cs="Times New Roman"/>
                <w:color w:val="auto"/>
                <w:kern w:val="0"/>
                <w:sz w:val="20"/>
                <w:szCs w:val="20"/>
                <w:highlight w:val="none"/>
                <w:lang w:val="en-US" w:bidi="ar-SA"/>
              </w:rPr>
              <w:t>2</w:t>
            </w:r>
            <w:r>
              <w:rPr>
                <w:rFonts w:hint="eastAsia" w:ascii="仿宋_GB2312" w:hAnsi="宋体" w:eastAsia="仿宋_GB2312" w:cs="宋体"/>
                <w:color w:val="auto"/>
                <w:kern w:val="0"/>
                <w:sz w:val="20"/>
                <w:szCs w:val="20"/>
                <w:highlight w:val="none"/>
                <w:lang w:val="en-US" w:bidi="ar-SA"/>
              </w:rPr>
              <w:t>分。</w:t>
            </w:r>
          </w:p>
        </w:tc>
        <w:tc>
          <w:tcPr>
            <w:tcW w:w="298"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2</w:t>
            </w:r>
          </w:p>
        </w:tc>
        <w:tc>
          <w:tcPr>
            <w:tcW w:w="307"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　</w:t>
            </w:r>
          </w:p>
        </w:tc>
        <w:tc>
          <w:tcPr>
            <w:tcW w:w="382"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　</w:t>
            </w:r>
          </w:p>
        </w:tc>
      </w:tr>
      <w:tr>
        <w:tblPrEx>
          <w:tblCellMar>
            <w:top w:w="0" w:type="dxa"/>
            <w:left w:w="108" w:type="dxa"/>
            <w:bottom w:w="0" w:type="dxa"/>
            <w:right w:w="108" w:type="dxa"/>
          </w:tblCellMar>
        </w:tblPrEx>
        <w:trPr>
          <w:trHeight w:val="785" w:hRule="atLeast"/>
        </w:trPr>
        <w:tc>
          <w:tcPr>
            <w:tcW w:w="694" w:type="pct"/>
            <w:vMerge w:val="continue"/>
            <w:tcBorders>
              <w:top w:val="nil"/>
              <w:left w:val="single" w:color="auto" w:sz="4" w:space="0"/>
              <w:bottom w:val="single" w:color="auto" w:sz="4" w:space="0"/>
              <w:right w:val="single" w:color="auto" w:sz="4" w:space="0"/>
            </w:tcBorders>
            <w:vAlign w:val="center"/>
          </w:tcPr>
          <w:p>
            <w:pPr>
              <w:widowControl/>
              <w:shd w:val="clear"/>
              <w:spacing w:after="0" w:line="240" w:lineRule="auto"/>
              <w:jc w:val="left"/>
              <w:outlineLvl w:val="9"/>
              <w:rPr>
                <w:rFonts w:hint="default" w:ascii="仿宋_GB2312" w:hAnsi="宋体" w:eastAsia="仿宋_GB2312" w:cs="宋体"/>
                <w:color w:val="auto"/>
                <w:kern w:val="0"/>
                <w:sz w:val="20"/>
                <w:szCs w:val="20"/>
                <w:highlight w:val="none"/>
                <w:lang w:val="en-US" w:bidi="ar-SA"/>
              </w:rPr>
            </w:pPr>
          </w:p>
        </w:tc>
        <w:tc>
          <w:tcPr>
            <w:tcW w:w="846" w:type="pct"/>
            <w:vMerge w:val="continue"/>
            <w:tcBorders>
              <w:top w:val="nil"/>
              <w:left w:val="single" w:color="auto" w:sz="4" w:space="0"/>
              <w:bottom w:val="single" w:color="auto" w:sz="4" w:space="0"/>
              <w:right w:val="single" w:color="auto" w:sz="4" w:space="0"/>
            </w:tcBorders>
            <w:vAlign w:val="center"/>
          </w:tcPr>
          <w:p>
            <w:pPr>
              <w:widowControl/>
              <w:shd w:val="clear"/>
              <w:spacing w:after="0" w:line="240" w:lineRule="auto"/>
              <w:jc w:val="left"/>
              <w:outlineLvl w:val="9"/>
              <w:rPr>
                <w:rFonts w:hint="default" w:ascii="仿宋_GB2312" w:hAnsi="宋体" w:eastAsia="仿宋_GB2312" w:cs="宋体"/>
                <w:color w:val="auto"/>
                <w:kern w:val="0"/>
                <w:sz w:val="20"/>
                <w:szCs w:val="20"/>
                <w:highlight w:val="none"/>
                <w:lang w:val="en-US" w:bidi="ar-SA"/>
              </w:rPr>
            </w:pPr>
          </w:p>
        </w:tc>
        <w:tc>
          <w:tcPr>
            <w:tcW w:w="2473"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left"/>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职工须接受安全教育和上岗培训，按操作规程穿戴防护用具，严格执行操作规程进行作业得</w:t>
            </w:r>
            <w:r>
              <w:rPr>
                <w:rFonts w:hint="default" w:ascii="Times New Roman" w:hAnsi="Times New Roman" w:eastAsia="仿宋_GB2312" w:cs="Times New Roman"/>
                <w:color w:val="auto"/>
                <w:kern w:val="0"/>
                <w:sz w:val="20"/>
                <w:szCs w:val="20"/>
                <w:highlight w:val="none"/>
                <w:lang w:val="en-US" w:bidi="ar-SA"/>
              </w:rPr>
              <w:t>3</w:t>
            </w:r>
            <w:r>
              <w:rPr>
                <w:rFonts w:hint="eastAsia" w:ascii="仿宋_GB2312" w:hAnsi="宋体" w:eastAsia="仿宋_GB2312" w:cs="宋体"/>
                <w:color w:val="auto"/>
                <w:kern w:val="0"/>
                <w:sz w:val="20"/>
                <w:szCs w:val="20"/>
                <w:highlight w:val="none"/>
                <w:lang w:val="en-US" w:bidi="ar-SA"/>
              </w:rPr>
              <w:t>分。职工未接受安全教育或上岗培训扣</w:t>
            </w:r>
            <w:r>
              <w:rPr>
                <w:rFonts w:hint="default" w:ascii="Times New Roman" w:hAnsi="Times New Roman" w:eastAsia="仿宋_GB2312" w:cs="Times New Roman"/>
                <w:color w:val="auto"/>
                <w:kern w:val="0"/>
                <w:sz w:val="20"/>
                <w:szCs w:val="20"/>
                <w:highlight w:val="none"/>
                <w:lang w:val="en-US" w:bidi="ar-SA"/>
              </w:rPr>
              <w:t>2</w:t>
            </w:r>
            <w:r>
              <w:rPr>
                <w:rFonts w:hint="eastAsia" w:ascii="仿宋_GB2312" w:hAnsi="宋体" w:eastAsia="仿宋_GB2312" w:cs="宋体"/>
                <w:color w:val="auto"/>
                <w:kern w:val="0"/>
                <w:sz w:val="20"/>
                <w:szCs w:val="20"/>
                <w:highlight w:val="none"/>
                <w:lang w:val="en-US" w:bidi="ar-SA"/>
              </w:rPr>
              <w:t>分，未执行操作规程作业扣</w:t>
            </w:r>
            <w:r>
              <w:rPr>
                <w:rFonts w:hint="default" w:ascii="Times New Roman" w:hAnsi="Times New Roman" w:eastAsia="仿宋_GB2312" w:cs="Times New Roman"/>
                <w:color w:val="auto"/>
                <w:kern w:val="0"/>
                <w:sz w:val="20"/>
                <w:szCs w:val="20"/>
                <w:highlight w:val="none"/>
                <w:lang w:val="en-US" w:bidi="ar-SA"/>
              </w:rPr>
              <w:t>3</w:t>
            </w:r>
            <w:r>
              <w:rPr>
                <w:rFonts w:hint="eastAsia" w:ascii="宋体" w:hAnsi="宋体" w:eastAsia="宋体" w:cs="宋体"/>
                <w:color w:val="auto"/>
                <w:kern w:val="0"/>
                <w:sz w:val="20"/>
                <w:szCs w:val="20"/>
                <w:highlight w:val="none"/>
                <w:lang w:val="en-US" w:bidi="ar-SA"/>
              </w:rPr>
              <w:t>分。</w:t>
            </w:r>
          </w:p>
        </w:tc>
        <w:tc>
          <w:tcPr>
            <w:tcW w:w="298"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3</w:t>
            </w:r>
          </w:p>
        </w:tc>
        <w:tc>
          <w:tcPr>
            <w:tcW w:w="307"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　</w:t>
            </w:r>
          </w:p>
        </w:tc>
        <w:tc>
          <w:tcPr>
            <w:tcW w:w="382"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　</w:t>
            </w:r>
          </w:p>
        </w:tc>
      </w:tr>
      <w:tr>
        <w:tblPrEx>
          <w:tblCellMar>
            <w:top w:w="0" w:type="dxa"/>
            <w:left w:w="108" w:type="dxa"/>
            <w:bottom w:w="0" w:type="dxa"/>
            <w:right w:w="108" w:type="dxa"/>
          </w:tblCellMar>
        </w:tblPrEx>
        <w:trPr>
          <w:trHeight w:val="1385" w:hRule="atLeast"/>
        </w:trPr>
        <w:tc>
          <w:tcPr>
            <w:tcW w:w="694" w:type="pct"/>
            <w:vMerge w:val="continue"/>
            <w:tcBorders>
              <w:top w:val="nil"/>
              <w:left w:val="single" w:color="auto" w:sz="4" w:space="0"/>
              <w:bottom w:val="single" w:color="auto" w:sz="4" w:space="0"/>
              <w:right w:val="single" w:color="auto" w:sz="4" w:space="0"/>
            </w:tcBorders>
            <w:vAlign w:val="center"/>
          </w:tcPr>
          <w:p>
            <w:pPr>
              <w:widowControl/>
              <w:shd w:val="clear"/>
              <w:spacing w:after="0" w:line="240" w:lineRule="auto"/>
              <w:jc w:val="left"/>
              <w:outlineLvl w:val="9"/>
              <w:rPr>
                <w:rFonts w:hint="default" w:ascii="仿宋_GB2312" w:hAnsi="宋体" w:eastAsia="仿宋_GB2312" w:cs="宋体"/>
                <w:color w:val="auto"/>
                <w:kern w:val="0"/>
                <w:sz w:val="20"/>
                <w:szCs w:val="20"/>
                <w:highlight w:val="none"/>
                <w:lang w:val="en-US" w:bidi="ar-SA"/>
              </w:rPr>
            </w:pPr>
          </w:p>
        </w:tc>
        <w:tc>
          <w:tcPr>
            <w:tcW w:w="846" w:type="pct"/>
            <w:vMerge w:val="continue"/>
            <w:tcBorders>
              <w:top w:val="nil"/>
              <w:left w:val="single" w:color="auto" w:sz="4" w:space="0"/>
              <w:bottom w:val="single" w:color="auto" w:sz="4" w:space="0"/>
              <w:right w:val="single" w:color="auto" w:sz="4" w:space="0"/>
            </w:tcBorders>
            <w:vAlign w:val="center"/>
          </w:tcPr>
          <w:p>
            <w:pPr>
              <w:widowControl/>
              <w:shd w:val="clear"/>
              <w:spacing w:after="0" w:line="240" w:lineRule="auto"/>
              <w:jc w:val="left"/>
              <w:outlineLvl w:val="9"/>
              <w:rPr>
                <w:rFonts w:hint="default" w:ascii="仿宋_GB2312" w:hAnsi="宋体" w:eastAsia="仿宋_GB2312" w:cs="宋体"/>
                <w:color w:val="auto"/>
                <w:kern w:val="0"/>
                <w:sz w:val="20"/>
                <w:szCs w:val="20"/>
                <w:highlight w:val="none"/>
                <w:lang w:val="en-US" w:bidi="ar-SA"/>
              </w:rPr>
            </w:pPr>
          </w:p>
        </w:tc>
        <w:tc>
          <w:tcPr>
            <w:tcW w:w="2473"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left"/>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养护作业现场须围护作业，设安全警示标志，夜间有照明灯和警示灯，养护作业施工棚及其他临时设施规范、整齐、清洁，清理物应按指定地点堆放，不超范围，做到工完场清，养护材料按指定地点对方整齐，松散材料需打围堆放，夜间养护作业噪音不超标。酌情扣分</w:t>
            </w:r>
          </w:p>
        </w:tc>
        <w:tc>
          <w:tcPr>
            <w:tcW w:w="298"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5</w:t>
            </w:r>
          </w:p>
        </w:tc>
        <w:tc>
          <w:tcPr>
            <w:tcW w:w="307"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　</w:t>
            </w:r>
          </w:p>
        </w:tc>
        <w:tc>
          <w:tcPr>
            <w:tcW w:w="382"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　</w:t>
            </w:r>
          </w:p>
        </w:tc>
      </w:tr>
      <w:tr>
        <w:tblPrEx>
          <w:tblCellMar>
            <w:top w:w="0" w:type="dxa"/>
            <w:left w:w="108" w:type="dxa"/>
            <w:bottom w:w="0" w:type="dxa"/>
            <w:right w:w="108" w:type="dxa"/>
          </w:tblCellMar>
        </w:tblPrEx>
        <w:trPr>
          <w:trHeight w:val="372" w:hRule="atLeast"/>
        </w:trPr>
        <w:tc>
          <w:tcPr>
            <w:tcW w:w="154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合计</w:t>
            </w:r>
          </w:p>
        </w:tc>
        <w:tc>
          <w:tcPr>
            <w:tcW w:w="2473"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left"/>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　</w:t>
            </w:r>
          </w:p>
        </w:tc>
        <w:tc>
          <w:tcPr>
            <w:tcW w:w="298"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100</w:t>
            </w:r>
          </w:p>
        </w:tc>
        <w:tc>
          <w:tcPr>
            <w:tcW w:w="307"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　</w:t>
            </w:r>
          </w:p>
        </w:tc>
        <w:tc>
          <w:tcPr>
            <w:tcW w:w="382"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　</w:t>
            </w:r>
          </w:p>
        </w:tc>
      </w:tr>
      <w:tr>
        <w:tblPrEx>
          <w:tblCellMar>
            <w:top w:w="0" w:type="dxa"/>
            <w:left w:w="108" w:type="dxa"/>
            <w:bottom w:w="0" w:type="dxa"/>
            <w:right w:w="108" w:type="dxa"/>
          </w:tblCellMar>
        </w:tblPrEx>
        <w:trPr>
          <w:trHeight w:val="426" w:hRule="atLeast"/>
        </w:trPr>
        <w:tc>
          <w:tcPr>
            <w:tcW w:w="4013" w:type="pct"/>
            <w:gridSpan w:val="3"/>
            <w:tcBorders>
              <w:top w:val="single" w:color="auto" w:sz="4" w:space="0"/>
              <w:left w:val="nil"/>
              <w:bottom w:val="nil"/>
              <w:right w:val="nil"/>
            </w:tcBorders>
            <w:shd w:val="clear" w:color="auto" w:fill="auto"/>
            <w:noWrap/>
            <w:vAlign w:val="center"/>
          </w:tcPr>
          <w:p>
            <w:pPr>
              <w:widowControl/>
              <w:shd w:val="clear"/>
              <w:spacing w:after="0" w:line="240" w:lineRule="auto"/>
              <w:jc w:val="left"/>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评分记录人：</w:t>
            </w:r>
          </w:p>
        </w:tc>
        <w:tc>
          <w:tcPr>
            <w:tcW w:w="987" w:type="pct"/>
            <w:gridSpan w:val="3"/>
            <w:tcBorders>
              <w:top w:val="single" w:color="auto" w:sz="4" w:space="0"/>
              <w:left w:val="nil"/>
              <w:bottom w:val="nil"/>
              <w:right w:val="nil"/>
            </w:tcBorders>
            <w:shd w:val="clear" w:color="auto" w:fill="auto"/>
            <w:noWrap/>
            <w:vAlign w:val="center"/>
          </w:tcPr>
          <w:p>
            <w:pPr>
              <w:widowControl/>
              <w:shd w:val="clear"/>
              <w:spacing w:after="0" w:line="240" w:lineRule="auto"/>
              <w:jc w:val="left"/>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考核时间：</w:t>
            </w:r>
          </w:p>
        </w:tc>
      </w:tr>
    </w:tbl>
    <w:p>
      <w:pPr>
        <w:shd w:val="clear"/>
        <w:spacing w:after="160" w:line="278" w:lineRule="auto"/>
        <w:outlineLvl w:val="9"/>
        <w:rPr>
          <w:rFonts w:hint="default" w:ascii="Times New Roman" w:hAnsi="Times New Roman" w:eastAsia="宋体" w:cs="Times New Roman"/>
          <w:color w:val="auto"/>
          <w:kern w:val="2"/>
          <w:szCs w:val="20"/>
          <w:highlight w:val="none"/>
          <w:lang w:val="en-US" w:bidi="ar-SA"/>
        </w:rPr>
      </w:pPr>
      <w:r>
        <w:rPr>
          <w:rFonts w:hint="default" w:ascii="Times New Roman" w:hAnsi="Times New Roman" w:eastAsia="宋体" w:cs="Times New Roman"/>
          <w:color w:val="auto"/>
          <w:kern w:val="2"/>
          <w:szCs w:val="20"/>
          <w:highlight w:val="none"/>
          <w:lang w:val="en-US" w:bidi="ar-SA"/>
        </w:rPr>
        <w:br w:type="page"/>
      </w:r>
    </w:p>
    <w:tbl>
      <w:tblPr>
        <w:tblStyle w:val="82"/>
        <w:tblW w:w="5000" w:type="pct"/>
        <w:tblInd w:w="0" w:type="dxa"/>
        <w:tblLayout w:type="autofit"/>
        <w:tblCellMar>
          <w:top w:w="0" w:type="dxa"/>
          <w:left w:w="108" w:type="dxa"/>
          <w:bottom w:w="0" w:type="dxa"/>
          <w:right w:w="108" w:type="dxa"/>
        </w:tblCellMar>
      </w:tblPr>
      <w:tblGrid>
        <w:gridCol w:w="1845"/>
        <w:gridCol w:w="1294"/>
        <w:gridCol w:w="4302"/>
        <w:gridCol w:w="738"/>
        <w:gridCol w:w="740"/>
        <w:gridCol w:w="1049"/>
      </w:tblGrid>
      <w:tr>
        <w:tblPrEx>
          <w:tblCellMar>
            <w:top w:w="0" w:type="dxa"/>
            <w:left w:w="108" w:type="dxa"/>
            <w:bottom w:w="0" w:type="dxa"/>
            <w:right w:w="108" w:type="dxa"/>
          </w:tblCellMar>
        </w:tblPrEx>
        <w:trPr>
          <w:trHeight w:val="285" w:hRule="atLeast"/>
        </w:trPr>
        <w:tc>
          <w:tcPr>
            <w:tcW w:w="1575" w:type="pct"/>
            <w:gridSpan w:val="2"/>
            <w:tcBorders>
              <w:top w:val="nil"/>
              <w:left w:val="nil"/>
              <w:bottom w:val="nil"/>
              <w:right w:val="nil"/>
            </w:tcBorders>
            <w:shd w:val="clear" w:color="auto" w:fill="auto"/>
            <w:noWrap/>
            <w:vAlign w:val="bottom"/>
          </w:tcPr>
          <w:p>
            <w:pPr>
              <w:widowControl/>
              <w:shd w:val="clear"/>
              <w:spacing w:after="0" w:line="240" w:lineRule="auto"/>
              <w:jc w:val="left"/>
              <w:outlineLvl w:val="9"/>
              <w:rPr>
                <w:rFonts w:hint="default"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附表二</w:t>
            </w:r>
          </w:p>
        </w:tc>
        <w:tc>
          <w:tcPr>
            <w:tcW w:w="2158" w:type="pct"/>
            <w:tcBorders>
              <w:top w:val="nil"/>
              <w:left w:val="nil"/>
              <w:bottom w:val="nil"/>
              <w:right w:val="nil"/>
            </w:tcBorders>
            <w:shd w:val="clear" w:color="auto" w:fill="auto"/>
            <w:noWrap/>
            <w:vAlign w:val="bottom"/>
          </w:tcPr>
          <w:p>
            <w:pPr>
              <w:widowControl/>
              <w:shd w:val="clear"/>
              <w:spacing w:after="0" w:line="240" w:lineRule="auto"/>
              <w:jc w:val="left"/>
              <w:outlineLvl w:val="9"/>
              <w:rPr>
                <w:rFonts w:hint="eastAsia" w:ascii="宋体" w:hAnsi="宋体" w:eastAsia="宋体" w:cs="宋体"/>
                <w:color w:val="auto"/>
                <w:kern w:val="0"/>
                <w:sz w:val="24"/>
                <w:szCs w:val="24"/>
                <w:highlight w:val="none"/>
                <w:lang w:val="en-US" w:bidi="ar-SA"/>
              </w:rPr>
            </w:pPr>
          </w:p>
        </w:tc>
        <w:tc>
          <w:tcPr>
            <w:tcW w:w="370" w:type="pct"/>
            <w:tcBorders>
              <w:top w:val="nil"/>
              <w:left w:val="nil"/>
              <w:bottom w:val="nil"/>
              <w:right w:val="nil"/>
            </w:tcBorders>
            <w:shd w:val="clear" w:color="auto" w:fill="auto"/>
            <w:noWrap/>
            <w:vAlign w:val="bottom"/>
          </w:tcPr>
          <w:p>
            <w:pPr>
              <w:widowControl/>
              <w:shd w:val="clear"/>
              <w:spacing w:after="0" w:line="240" w:lineRule="auto"/>
              <w:jc w:val="left"/>
              <w:outlineLvl w:val="9"/>
              <w:rPr>
                <w:rFonts w:hint="default" w:ascii="Times New Roman" w:hAnsi="Times New Roman" w:eastAsia="Times New Roman" w:cs="Times New Roman"/>
                <w:color w:val="auto"/>
                <w:kern w:val="0"/>
                <w:sz w:val="20"/>
                <w:szCs w:val="20"/>
                <w:highlight w:val="none"/>
                <w:lang w:val="en-US" w:bidi="ar-SA"/>
              </w:rPr>
            </w:pPr>
          </w:p>
        </w:tc>
        <w:tc>
          <w:tcPr>
            <w:tcW w:w="371" w:type="pct"/>
            <w:tcBorders>
              <w:top w:val="nil"/>
              <w:left w:val="nil"/>
              <w:bottom w:val="nil"/>
              <w:right w:val="nil"/>
            </w:tcBorders>
            <w:shd w:val="clear" w:color="auto" w:fill="auto"/>
            <w:noWrap/>
            <w:vAlign w:val="bottom"/>
          </w:tcPr>
          <w:p>
            <w:pPr>
              <w:widowControl/>
              <w:shd w:val="clear"/>
              <w:spacing w:after="0" w:line="240" w:lineRule="auto"/>
              <w:jc w:val="left"/>
              <w:outlineLvl w:val="9"/>
              <w:rPr>
                <w:rFonts w:hint="default" w:ascii="Times New Roman" w:hAnsi="Times New Roman" w:eastAsia="Times New Roman" w:cs="Times New Roman"/>
                <w:color w:val="auto"/>
                <w:kern w:val="0"/>
                <w:sz w:val="20"/>
                <w:szCs w:val="20"/>
                <w:highlight w:val="none"/>
                <w:lang w:val="en-US" w:bidi="ar-SA"/>
              </w:rPr>
            </w:pPr>
          </w:p>
        </w:tc>
        <w:tc>
          <w:tcPr>
            <w:tcW w:w="526" w:type="pct"/>
            <w:tcBorders>
              <w:top w:val="nil"/>
              <w:left w:val="nil"/>
              <w:bottom w:val="nil"/>
              <w:right w:val="nil"/>
            </w:tcBorders>
            <w:shd w:val="clear" w:color="auto" w:fill="auto"/>
            <w:noWrap/>
            <w:vAlign w:val="bottom"/>
          </w:tcPr>
          <w:p>
            <w:pPr>
              <w:widowControl/>
              <w:shd w:val="clear"/>
              <w:spacing w:after="0" w:line="240" w:lineRule="auto"/>
              <w:jc w:val="left"/>
              <w:outlineLvl w:val="9"/>
              <w:rPr>
                <w:rFonts w:hint="default" w:ascii="Times New Roman" w:hAnsi="Times New Roman" w:eastAsia="Times New Roman" w:cs="Times New Roman"/>
                <w:color w:val="auto"/>
                <w:kern w:val="0"/>
                <w:sz w:val="20"/>
                <w:szCs w:val="20"/>
                <w:highlight w:val="none"/>
                <w:lang w:val="en-US" w:bidi="ar-SA"/>
              </w:rPr>
            </w:pPr>
          </w:p>
        </w:tc>
      </w:tr>
      <w:tr>
        <w:tblPrEx>
          <w:tblCellMar>
            <w:top w:w="0" w:type="dxa"/>
            <w:left w:w="108" w:type="dxa"/>
            <w:bottom w:w="0" w:type="dxa"/>
            <w:right w:w="108" w:type="dxa"/>
          </w:tblCellMar>
        </w:tblPrEx>
        <w:trPr>
          <w:trHeight w:val="540" w:hRule="atLeast"/>
        </w:trPr>
        <w:tc>
          <w:tcPr>
            <w:tcW w:w="5000" w:type="pct"/>
            <w:gridSpan w:val="6"/>
            <w:tcBorders>
              <w:top w:val="nil"/>
              <w:left w:val="nil"/>
              <w:bottom w:val="nil"/>
              <w:right w:val="nil"/>
            </w:tcBorders>
            <w:shd w:val="clear" w:color="auto" w:fill="auto"/>
            <w:noWrap/>
            <w:vAlign w:val="center"/>
          </w:tcPr>
          <w:p>
            <w:pPr>
              <w:widowControl/>
              <w:shd w:val="clear"/>
              <w:spacing w:after="0" w:line="240" w:lineRule="auto"/>
              <w:jc w:val="center"/>
              <w:outlineLvl w:val="9"/>
              <w:rPr>
                <w:rFonts w:hint="default" w:ascii="宋体" w:hAnsi="宋体" w:eastAsia="宋体" w:cs="宋体"/>
                <w:color w:val="auto"/>
                <w:kern w:val="0"/>
                <w:sz w:val="28"/>
                <w:szCs w:val="28"/>
                <w:highlight w:val="none"/>
                <w:lang w:val="en-US" w:bidi="ar-SA"/>
              </w:rPr>
            </w:pPr>
            <w:r>
              <w:rPr>
                <w:rFonts w:hint="eastAsia" w:ascii="宋体" w:hAnsi="宋体" w:eastAsia="宋体" w:cs="宋体"/>
                <w:color w:val="auto"/>
                <w:kern w:val="0"/>
                <w:sz w:val="28"/>
                <w:szCs w:val="28"/>
                <w:highlight w:val="none"/>
                <w:lang w:val="en-US" w:bidi="ar-SA"/>
              </w:rPr>
              <w:t>无锡市排水运行维护片区</w:t>
            </w:r>
            <w:r>
              <w:rPr>
                <w:rFonts w:hint="eastAsia" w:ascii="黑体" w:hAnsi="黑体" w:eastAsia="黑体" w:cs="宋体"/>
                <w:b/>
                <w:bCs/>
                <w:color w:val="auto"/>
                <w:kern w:val="0"/>
                <w:sz w:val="28"/>
                <w:szCs w:val="28"/>
                <w:highlight w:val="none"/>
                <w:lang w:val="en-US" w:bidi="ar-SA"/>
              </w:rPr>
              <w:t>季度</w:t>
            </w:r>
            <w:r>
              <w:rPr>
                <w:rFonts w:hint="eastAsia" w:ascii="宋体" w:hAnsi="宋体" w:eastAsia="宋体" w:cs="宋体"/>
                <w:color w:val="auto"/>
                <w:kern w:val="0"/>
                <w:sz w:val="28"/>
                <w:szCs w:val="28"/>
                <w:highlight w:val="none"/>
                <w:lang w:val="en-US" w:bidi="ar-SA"/>
              </w:rPr>
              <w:t>考核评分细则</w:t>
            </w:r>
          </w:p>
        </w:tc>
      </w:tr>
      <w:tr>
        <w:tblPrEx>
          <w:tblCellMar>
            <w:top w:w="0" w:type="dxa"/>
            <w:left w:w="108" w:type="dxa"/>
            <w:bottom w:w="0" w:type="dxa"/>
            <w:right w:w="108" w:type="dxa"/>
          </w:tblCellMar>
        </w:tblPrEx>
        <w:trPr>
          <w:trHeight w:val="540" w:hRule="atLeast"/>
        </w:trPr>
        <w:tc>
          <w:tcPr>
            <w:tcW w:w="3733" w:type="pct"/>
            <w:gridSpan w:val="3"/>
            <w:tcBorders>
              <w:top w:val="nil"/>
              <w:left w:val="nil"/>
              <w:bottom w:val="single" w:color="auto" w:sz="4" w:space="0"/>
              <w:right w:val="nil"/>
            </w:tcBorders>
            <w:shd w:val="clear" w:color="auto" w:fill="auto"/>
            <w:noWrap/>
            <w:vAlign w:val="center"/>
          </w:tcPr>
          <w:p>
            <w:pPr>
              <w:widowControl/>
              <w:shd w:val="clear"/>
              <w:spacing w:after="0" w:line="240" w:lineRule="auto"/>
              <w:jc w:val="left"/>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 xml:space="preserve">受检单位：                      </w:t>
            </w:r>
          </w:p>
        </w:tc>
        <w:tc>
          <w:tcPr>
            <w:tcW w:w="370" w:type="pct"/>
            <w:tcBorders>
              <w:top w:val="nil"/>
              <w:left w:val="nil"/>
              <w:bottom w:val="single" w:color="auto" w:sz="4" w:space="0"/>
              <w:right w:val="nil"/>
            </w:tcBorders>
            <w:shd w:val="clear" w:color="auto" w:fill="auto"/>
            <w:noWrap/>
            <w:vAlign w:val="center"/>
          </w:tcPr>
          <w:p>
            <w:pPr>
              <w:widowControl/>
              <w:shd w:val="clear"/>
              <w:spacing w:after="0" w:line="240" w:lineRule="auto"/>
              <w:jc w:val="left"/>
              <w:outlineLvl w:val="9"/>
              <w:rPr>
                <w:rFonts w:hint="eastAsia" w:ascii="宋体" w:hAnsi="宋体" w:eastAsia="宋体" w:cs="宋体"/>
                <w:color w:val="auto"/>
                <w:kern w:val="0"/>
                <w:sz w:val="28"/>
                <w:szCs w:val="28"/>
                <w:highlight w:val="none"/>
                <w:lang w:val="en-US" w:bidi="ar-SA"/>
              </w:rPr>
            </w:pPr>
            <w:r>
              <w:rPr>
                <w:rFonts w:hint="eastAsia" w:ascii="宋体" w:hAnsi="宋体" w:eastAsia="宋体" w:cs="宋体"/>
                <w:color w:val="auto"/>
                <w:kern w:val="0"/>
                <w:sz w:val="28"/>
                <w:szCs w:val="28"/>
                <w:highlight w:val="none"/>
                <w:lang w:val="en-US" w:bidi="ar-SA"/>
              </w:rPr>
              <w:t>　</w:t>
            </w:r>
          </w:p>
        </w:tc>
        <w:tc>
          <w:tcPr>
            <w:tcW w:w="371" w:type="pct"/>
            <w:tcBorders>
              <w:top w:val="nil"/>
              <w:left w:val="nil"/>
              <w:bottom w:val="single" w:color="auto" w:sz="4" w:space="0"/>
              <w:right w:val="nil"/>
            </w:tcBorders>
            <w:shd w:val="clear" w:color="auto" w:fill="auto"/>
            <w:noWrap/>
            <w:vAlign w:val="center"/>
          </w:tcPr>
          <w:p>
            <w:pPr>
              <w:widowControl/>
              <w:shd w:val="clear"/>
              <w:spacing w:after="0" w:line="240" w:lineRule="auto"/>
              <w:jc w:val="left"/>
              <w:outlineLvl w:val="9"/>
              <w:rPr>
                <w:rFonts w:hint="eastAsia" w:ascii="宋体" w:hAnsi="宋体" w:eastAsia="宋体" w:cs="宋体"/>
                <w:color w:val="auto"/>
                <w:kern w:val="0"/>
                <w:sz w:val="28"/>
                <w:szCs w:val="28"/>
                <w:highlight w:val="none"/>
                <w:lang w:val="en-US" w:bidi="ar-SA"/>
              </w:rPr>
            </w:pPr>
            <w:r>
              <w:rPr>
                <w:rFonts w:hint="eastAsia" w:ascii="宋体" w:hAnsi="宋体" w:eastAsia="宋体" w:cs="宋体"/>
                <w:color w:val="auto"/>
                <w:kern w:val="0"/>
                <w:sz w:val="28"/>
                <w:szCs w:val="28"/>
                <w:highlight w:val="none"/>
                <w:lang w:val="en-US" w:bidi="ar-SA"/>
              </w:rPr>
              <w:t>　</w:t>
            </w:r>
          </w:p>
        </w:tc>
        <w:tc>
          <w:tcPr>
            <w:tcW w:w="526" w:type="pct"/>
            <w:tcBorders>
              <w:top w:val="nil"/>
              <w:left w:val="nil"/>
              <w:bottom w:val="single" w:color="auto" w:sz="4" w:space="0"/>
              <w:right w:val="nil"/>
            </w:tcBorders>
            <w:shd w:val="clear" w:color="auto" w:fill="auto"/>
            <w:noWrap/>
            <w:vAlign w:val="center"/>
          </w:tcPr>
          <w:p>
            <w:pPr>
              <w:widowControl/>
              <w:shd w:val="clear"/>
              <w:spacing w:after="0" w:line="240" w:lineRule="auto"/>
              <w:jc w:val="left"/>
              <w:outlineLvl w:val="9"/>
              <w:rPr>
                <w:rFonts w:hint="eastAsia" w:ascii="宋体" w:hAnsi="宋体" w:eastAsia="宋体" w:cs="宋体"/>
                <w:color w:val="auto"/>
                <w:kern w:val="0"/>
                <w:sz w:val="28"/>
                <w:szCs w:val="28"/>
                <w:highlight w:val="none"/>
                <w:lang w:val="en-US" w:bidi="ar-SA"/>
              </w:rPr>
            </w:pPr>
            <w:r>
              <w:rPr>
                <w:rFonts w:hint="eastAsia" w:ascii="宋体" w:hAnsi="宋体" w:eastAsia="宋体" w:cs="宋体"/>
                <w:color w:val="auto"/>
                <w:kern w:val="0"/>
                <w:sz w:val="28"/>
                <w:szCs w:val="28"/>
                <w:highlight w:val="none"/>
                <w:lang w:val="en-US" w:bidi="ar-SA"/>
              </w:rPr>
              <w:t>　</w:t>
            </w:r>
          </w:p>
        </w:tc>
      </w:tr>
      <w:tr>
        <w:tblPrEx>
          <w:tblCellMar>
            <w:top w:w="0" w:type="dxa"/>
            <w:left w:w="108" w:type="dxa"/>
            <w:bottom w:w="0" w:type="dxa"/>
            <w:right w:w="108" w:type="dxa"/>
          </w:tblCellMar>
        </w:tblPrEx>
        <w:trPr>
          <w:trHeight w:val="660" w:hRule="atLeast"/>
        </w:trPr>
        <w:tc>
          <w:tcPr>
            <w:tcW w:w="926" w:type="pct"/>
            <w:tcBorders>
              <w:top w:val="nil"/>
              <w:left w:val="single" w:color="auto" w:sz="4" w:space="0"/>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序号</w:t>
            </w:r>
          </w:p>
        </w:tc>
        <w:tc>
          <w:tcPr>
            <w:tcW w:w="649"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考核内容</w:t>
            </w:r>
          </w:p>
        </w:tc>
        <w:tc>
          <w:tcPr>
            <w:tcW w:w="2158"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评分标准</w:t>
            </w:r>
          </w:p>
        </w:tc>
        <w:tc>
          <w:tcPr>
            <w:tcW w:w="370"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分值</w:t>
            </w:r>
          </w:p>
        </w:tc>
        <w:tc>
          <w:tcPr>
            <w:tcW w:w="371"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得分</w:t>
            </w:r>
          </w:p>
        </w:tc>
        <w:tc>
          <w:tcPr>
            <w:tcW w:w="526"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备注</w:t>
            </w:r>
          </w:p>
        </w:tc>
      </w:tr>
      <w:tr>
        <w:tblPrEx>
          <w:tblCellMar>
            <w:top w:w="0" w:type="dxa"/>
            <w:left w:w="108" w:type="dxa"/>
            <w:bottom w:w="0" w:type="dxa"/>
            <w:right w:w="108" w:type="dxa"/>
          </w:tblCellMar>
        </w:tblPrEx>
        <w:trPr>
          <w:trHeight w:val="945" w:hRule="atLeast"/>
        </w:trPr>
        <w:tc>
          <w:tcPr>
            <w:tcW w:w="926" w:type="pct"/>
            <w:vMerge w:val="restart"/>
            <w:tcBorders>
              <w:top w:val="nil"/>
              <w:left w:val="single" w:color="auto" w:sz="4" w:space="0"/>
              <w:bottom w:val="single" w:color="000000"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1</w:t>
            </w:r>
          </w:p>
        </w:tc>
        <w:tc>
          <w:tcPr>
            <w:tcW w:w="649" w:type="pct"/>
            <w:vMerge w:val="restart"/>
            <w:tcBorders>
              <w:top w:val="nil"/>
              <w:left w:val="single" w:color="auto" w:sz="4" w:space="0"/>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基础台帐统计资料情况        （25分）</w:t>
            </w:r>
          </w:p>
        </w:tc>
        <w:tc>
          <w:tcPr>
            <w:tcW w:w="2158"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left"/>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上报统计报表及时正确得5分。上报统计报表不及时扣2分，上报统计报表不正确扣2分，无统计资料扣5分。</w:t>
            </w:r>
          </w:p>
        </w:tc>
        <w:tc>
          <w:tcPr>
            <w:tcW w:w="370" w:type="pct"/>
            <w:tcBorders>
              <w:top w:val="nil"/>
              <w:left w:val="nil"/>
              <w:bottom w:val="single" w:color="auto" w:sz="4" w:space="0"/>
              <w:right w:val="single" w:color="auto" w:sz="4" w:space="0"/>
            </w:tcBorders>
            <w:shd w:val="clear" w:color="auto" w:fill="auto"/>
            <w:noWrap/>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10</w:t>
            </w:r>
          </w:p>
        </w:tc>
        <w:tc>
          <w:tcPr>
            <w:tcW w:w="371"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　</w:t>
            </w:r>
          </w:p>
        </w:tc>
        <w:tc>
          <w:tcPr>
            <w:tcW w:w="526"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　</w:t>
            </w:r>
          </w:p>
        </w:tc>
      </w:tr>
      <w:tr>
        <w:tblPrEx>
          <w:tblCellMar>
            <w:top w:w="0" w:type="dxa"/>
            <w:left w:w="108" w:type="dxa"/>
            <w:bottom w:w="0" w:type="dxa"/>
            <w:right w:w="108" w:type="dxa"/>
          </w:tblCellMar>
        </w:tblPrEx>
        <w:trPr>
          <w:trHeight w:val="525" w:hRule="atLeast"/>
        </w:trPr>
        <w:tc>
          <w:tcPr>
            <w:tcW w:w="926" w:type="pct"/>
            <w:vMerge w:val="continue"/>
            <w:tcBorders>
              <w:top w:val="nil"/>
              <w:left w:val="single" w:color="auto" w:sz="4" w:space="0"/>
              <w:bottom w:val="single" w:color="000000" w:sz="4" w:space="0"/>
              <w:right w:val="single" w:color="auto" w:sz="4" w:space="0"/>
            </w:tcBorders>
            <w:vAlign w:val="center"/>
          </w:tcPr>
          <w:p>
            <w:pPr>
              <w:widowControl/>
              <w:shd w:val="clear"/>
              <w:spacing w:after="0" w:line="240" w:lineRule="auto"/>
              <w:jc w:val="left"/>
              <w:outlineLvl w:val="9"/>
              <w:rPr>
                <w:rFonts w:hint="default" w:ascii="仿宋_GB2312" w:hAnsi="宋体" w:eastAsia="仿宋_GB2312" w:cs="宋体"/>
                <w:color w:val="auto"/>
                <w:kern w:val="0"/>
                <w:sz w:val="20"/>
                <w:szCs w:val="20"/>
                <w:highlight w:val="none"/>
                <w:lang w:val="en-US" w:bidi="ar-SA"/>
              </w:rPr>
            </w:pPr>
          </w:p>
        </w:tc>
        <w:tc>
          <w:tcPr>
            <w:tcW w:w="649" w:type="pct"/>
            <w:vMerge w:val="continue"/>
            <w:tcBorders>
              <w:top w:val="nil"/>
              <w:left w:val="single" w:color="auto" w:sz="4" w:space="0"/>
              <w:bottom w:val="single" w:color="auto" w:sz="4" w:space="0"/>
              <w:right w:val="single" w:color="auto" w:sz="4" w:space="0"/>
            </w:tcBorders>
            <w:vAlign w:val="center"/>
          </w:tcPr>
          <w:p>
            <w:pPr>
              <w:widowControl/>
              <w:shd w:val="clear"/>
              <w:spacing w:after="0" w:line="240" w:lineRule="auto"/>
              <w:jc w:val="left"/>
              <w:outlineLvl w:val="9"/>
              <w:rPr>
                <w:rFonts w:hint="default" w:ascii="仿宋_GB2312" w:hAnsi="宋体" w:eastAsia="仿宋_GB2312" w:cs="宋体"/>
                <w:color w:val="auto"/>
                <w:kern w:val="0"/>
                <w:sz w:val="20"/>
                <w:szCs w:val="20"/>
                <w:highlight w:val="none"/>
                <w:lang w:val="en-US" w:bidi="ar-SA"/>
              </w:rPr>
            </w:pPr>
          </w:p>
        </w:tc>
        <w:tc>
          <w:tcPr>
            <w:tcW w:w="2158"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left"/>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考核计划、月考核记录</w:t>
            </w:r>
          </w:p>
        </w:tc>
        <w:tc>
          <w:tcPr>
            <w:tcW w:w="370" w:type="pct"/>
            <w:tcBorders>
              <w:top w:val="nil"/>
              <w:left w:val="nil"/>
              <w:bottom w:val="single" w:color="auto" w:sz="4" w:space="0"/>
              <w:right w:val="single" w:color="auto" w:sz="4" w:space="0"/>
            </w:tcBorders>
            <w:shd w:val="clear" w:color="auto" w:fill="auto"/>
            <w:noWrap/>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15</w:t>
            </w:r>
          </w:p>
        </w:tc>
        <w:tc>
          <w:tcPr>
            <w:tcW w:w="371"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　</w:t>
            </w:r>
          </w:p>
        </w:tc>
        <w:tc>
          <w:tcPr>
            <w:tcW w:w="526"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　</w:t>
            </w:r>
          </w:p>
        </w:tc>
      </w:tr>
      <w:tr>
        <w:tblPrEx>
          <w:tblCellMar>
            <w:top w:w="0" w:type="dxa"/>
            <w:left w:w="108" w:type="dxa"/>
            <w:bottom w:w="0" w:type="dxa"/>
            <w:right w:w="108" w:type="dxa"/>
          </w:tblCellMar>
        </w:tblPrEx>
        <w:trPr>
          <w:trHeight w:val="705" w:hRule="atLeast"/>
        </w:trPr>
        <w:tc>
          <w:tcPr>
            <w:tcW w:w="926" w:type="pct"/>
            <w:tcBorders>
              <w:top w:val="nil"/>
              <w:left w:val="single" w:color="auto" w:sz="4" w:space="0"/>
              <w:bottom w:val="nil"/>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2</w:t>
            </w:r>
          </w:p>
        </w:tc>
        <w:tc>
          <w:tcPr>
            <w:tcW w:w="649" w:type="pct"/>
            <w:tcBorders>
              <w:top w:val="nil"/>
              <w:left w:val="nil"/>
              <w:bottom w:val="nil"/>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现场抽查   （40分）</w:t>
            </w:r>
          </w:p>
        </w:tc>
        <w:tc>
          <w:tcPr>
            <w:tcW w:w="2158"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left"/>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以月考标准进行抽查，填《无锡市排水运行维护片区月度考核评分细则》，得分×40%</w:t>
            </w:r>
          </w:p>
        </w:tc>
        <w:tc>
          <w:tcPr>
            <w:tcW w:w="370"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40</w:t>
            </w:r>
          </w:p>
        </w:tc>
        <w:tc>
          <w:tcPr>
            <w:tcW w:w="371"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　</w:t>
            </w:r>
          </w:p>
        </w:tc>
        <w:tc>
          <w:tcPr>
            <w:tcW w:w="526" w:type="pct"/>
            <w:tcBorders>
              <w:top w:val="nil"/>
              <w:left w:val="nil"/>
              <w:bottom w:val="nil"/>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附表一</w:t>
            </w:r>
          </w:p>
        </w:tc>
      </w:tr>
      <w:tr>
        <w:tblPrEx>
          <w:tblCellMar>
            <w:top w:w="0" w:type="dxa"/>
            <w:left w:w="108" w:type="dxa"/>
            <w:bottom w:w="0" w:type="dxa"/>
            <w:right w:w="108" w:type="dxa"/>
          </w:tblCellMar>
        </w:tblPrEx>
        <w:trPr>
          <w:trHeight w:val="975" w:hRule="atLeast"/>
        </w:trPr>
        <w:tc>
          <w:tcPr>
            <w:tcW w:w="926" w:type="pct"/>
            <w:tcBorders>
              <w:top w:val="single" w:color="auto" w:sz="4" w:space="0"/>
              <w:left w:val="single" w:color="auto" w:sz="4" w:space="0"/>
              <w:bottom w:val="nil"/>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3</w:t>
            </w:r>
          </w:p>
        </w:tc>
        <w:tc>
          <w:tcPr>
            <w:tcW w:w="649" w:type="pct"/>
            <w:tcBorders>
              <w:top w:val="single" w:color="auto" w:sz="4" w:space="0"/>
              <w:left w:val="nil"/>
              <w:bottom w:val="nil"/>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社会满意度（20分）</w:t>
            </w:r>
          </w:p>
        </w:tc>
        <w:tc>
          <w:tcPr>
            <w:tcW w:w="2158"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left"/>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20位街道社居委负责人及公益热心人按实打分，填写《无锡市排水运行维护片区社会满意度评分表》，平均得分×20%</w:t>
            </w:r>
          </w:p>
        </w:tc>
        <w:tc>
          <w:tcPr>
            <w:tcW w:w="370"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20</w:t>
            </w:r>
          </w:p>
        </w:tc>
        <w:tc>
          <w:tcPr>
            <w:tcW w:w="371"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　</w:t>
            </w:r>
          </w:p>
        </w:tc>
        <w:tc>
          <w:tcPr>
            <w:tcW w:w="526" w:type="pct"/>
            <w:tcBorders>
              <w:top w:val="single" w:color="auto" w:sz="4" w:space="0"/>
              <w:left w:val="nil"/>
              <w:bottom w:val="nil"/>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附表六</w:t>
            </w:r>
          </w:p>
        </w:tc>
      </w:tr>
      <w:tr>
        <w:tblPrEx>
          <w:tblCellMar>
            <w:top w:w="0" w:type="dxa"/>
            <w:left w:w="108" w:type="dxa"/>
            <w:bottom w:w="0" w:type="dxa"/>
            <w:right w:w="108" w:type="dxa"/>
          </w:tblCellMar>
        </w:tblPrEx>
        <w:trPr>
          <w:trHeight w:val="1005" w:hRule="atLeast"/>
        </w:trPr>
        <w:tc>
          <w:tcPr>
            <w:tcW w:w="92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4</w:t>
            </w:r>
          </w:p>
        </w:tc>
        <w:tc>
          <w:tcPr>
            <w:tcW w:w="64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社会服务承诺情况             （15分）</w:t>
            </w:r>
          </w:p>
        </w:tc>
        <w:tc>
          <w:tcPr>
            <w:tcW w:w="2158"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left"/>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认真履行社会服务承诺，完成政协、人大提案，接受人民群众来电、来信、来访，处理网络投诉等，得</w:t>
            </w:r>
            <w:r>
              <w:rPr>
                <w:rFonts w:hint="default" w:ascii="Times New Roman" w:hAnsi="Times New Roman" w:eastAsia="仿宋_GB2312" w:cs="Times New Roman"/>
                <w:color w:val="auto"/>
                <w:kern w:val="0"/>
                <w:sz w:val="20"/>
                <w:szCs w:val="20"/>
                <w:highlight w:val="none"/>
                <w:lang w:val="en-US" w:bidi="ar-SA"/>
              </w:rPr>
              <w:t>10</w:t>
            </w:r>
            <w:r>
              <w:rPr>
                <w:rFonts w:hint="eastAsia" w:ascii="仿宋_GB2312" w:hAnsi="宋体" w:eastAsia="仿宋_GB2312" w:cs="宋体"/>
                <w:color w:val="auto"/>
                <w:kern w:val="0"/>
                <w:sz w:val="20"/>
                <w:szCs w:val="20"/>
                <w:highlight w:val="none"/>
                <w:lang w:val="en-US" w:bidi="ar-SA"/>
              </w:rPr>
              <w:t>分。未完成一项扣</w:t>
            </w:r>
            <w:r>
              <w:rPr>
                <w:rFonts w:hint="default" w:ascii="Times New Roman" w:hAnsi="Times New Roman" w:eastAsia="仿宋_GB2312" w:cs="Times New Roman"/>
                <w:color w:val="auto"/>
                <w:kern w:val="0"/>
                <w:sz w:val="20"/>
                <w:szCs w:val="20"/>
                <w:highlight w:val="none"/>
                <w:lang w:val="en-US" w:bidi="ar-SA"/>
              </w:rPr>
              <w:t>1</w:t>
            </w:r>
            <w:r>
              <w:rPr>
                <w:rFonts w:hint="eastAsia" w:ascii="仿宋_GB2312" w:hAnsi="宋体" w:eastAsia="仿宋_GB2312" w:cs="宋体"/>
                <w:color w:val="auto"/>
                <w:kern w:val="0"/>
                <w:sz w:val="20"/>
                <w:szCs w:val="20"/>
                <w:highlight w:val="none"/>
                <w:lang w:val="en-US" w:bidi="ar-SA"/>
              </w:rPr>
              <w:t>分，扣完</w:t>
            </w:r>
            <w:r>
              <w:rPr>
                <w:rFonts w:hint="default" w:ascii="Times New Roman" w:hAnsi="Times New Roman" w:eastAsia="仿宋_GB2312" w:cs="Times New Roman"/>
                <w:color w:val="auto"/>
                <w:kern w:val="0"/>
                <w:sz w:val="20"/>
                <w:szCs w:val="20"/>
                <w:highlight w:val="none"/>
                <w:lang w:val="en-US" w:bidi="ar-SA"/>
              </w:rPr>
              <w:t>10</w:t>
            </w:r>
            <w:r>
              <w:rPr>
                <w:rFonts w:hint="eastAsia" w:ascii="仿宋_GB2312" w:hAnsi="宋体" w:eastAsia="仿宋_GB2312" w:cs="宋体"/>
                <w:color w:val="auto"/>
                <w:kern w:val="0"/>
                <w:sz w:val="20"/>
                <w:szCs w:val="20"/>
                <w:highlight w:val="none"/>
                <w:lang w:val="en-US" w:bidi="ar-SA"/>
              </w:rPr>
              <w:t>分为止。</w:t>
            </w:r>
          </w:p>
        </w:tc>
        <w:tc>
          <w:tcPr>
            <w:tcW w:w="370"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10</w:t>
            </w:r>
          </w:p>
        </w:tc>
        <w:tc>
          <w:tcPr>
            <w:tcW w:w="371"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　</w:t>
            </w:r>
          </w:p>
        </w:tc>
        <w:tc>
          <w:tcPr>
            <w:tcW w:w="526" w:type="pct"/>
            <w:tcBorders>
              <w:top w:val="single" w:color="auto" w:sz="4" w:space="0"/>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　</w:t>
            </w:r>
          </w:p>
        </w:tc>
      </w:tr>
      <w:tr>
        <w:tblPrEx>
          <w:tblCellMar>
            <w:top w:w="0" w:type="dxa"/>
            <w:left w:w="108" w:type="dxa"/>
            <w:bottom w:w="0" w:type="dxa"/>
            <w:right w:w="108" w:type="dxa"/>
          </w:tblCellMar>
        </w:tblPrEx>
        <w:trPr>
          <w:trHeight w:val="1035" w:hRule="atLeast"/>
        </w:trPr>
        <w:tc>
          <w:tcPr>
            <w:tcW w:w="926" w:type="pct"/>
            <w:vMerge w:val="continue"/>
            <w:tcBorders>
              <w:top w:val="single" w:color="auto" w:sz="4" w:space="0"/>
              <w:left w:val="single" w:color="auto" w:sz="4" w:space="0"/>
              <w:bottom w:val="single" w:color="auto" w:sz="4" w:space="0"/>
              <w:right w:val="single" w:color="auto" w:sz="4" w:space="0"/>
            </w:tcBorders>
            <w:vAlign w:val="center"/>
          </w:tcPr>
          <w:p>
            <w:pPr>
              <w:widowControl/>
              <w:shd w:val="clear"/>
              <w:spacing w:after="0" w:line="240" w:lineRule="auto"/>
              <w:jc w:val="left"/>
              <w:outlineLvl w:val="9"/>
              <w:rPr>
                <w:rFonts w:hint="default" w:ascii="仿宋_GB2312" w:hAnsi="宋体" w:eastAsia="仿宋_GB2312" w:cs="宋体"/>
                <w:color w:val="auto"/>
                <w:kern w:val="0"/>
                <w:sz w:val="20"/>
                <w:szCs w:val="20"/>
                <w:highlight w:val="none"/>
                <w:lang w:val="en-US" w:bidi="ar-SA"/>
              </w:rPr>
            </w:pPr>
          </w:p>
        </w:tc>
        <w:tc>
          <w:tcPr>
            <w:tcW w:w="649" w:type="pct"/>
            <w:vMerge w:val="continue"/>
            <w:tcBorders>
              <w:top w:val="single" w:color="auto" w:sz="4" w:space="0"/>
              <w:left w:val="single" w:color="auto" w:sz="4" w:space="0"/>
              <w:bottom w:val="single" w:color="auto" w:sz="4" w:space="0"/>
              <w:right w:val="single" w:color="auto" w:sz="4" w:space="0"/>
            </w:tcBorders>
            <w:vAlign w:val="center"/>
          </w:tcPr>
          <w:p>
            <w:pPr>
              <w:widowControl/>
              <w:shd w:val="clear"/>
              <w:spacing w:after="0" w:line="240" w:lineRule="auto"/>
              <w:jc w:val="left"/>
              <w:outlineLvl w:val="9"/>
              <w:rPr>
                <w:rFonts w:hint="default" w:ascii="仿宋_GB2312" w:hAnsi="宋体" w:eastAsia="仿宋_GB2312" w:cs="宋体"/>
                <w:color w:val="auto"/>
                <w:kern w:val="0"/>
                <w:sz w:val="20"/>
                <w:szCs w:val="20"/>
                <w:highlight w:val="none"/>
                <w:lang w:val="en-US" w:bidi="ar-SA"/>
              </w:rPr>
            </w:pPr>
          </w:p>
        </w:tc>
        <w:tc>
          <w:tcPr>
            <w:tcW w:w="2158"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left"/>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按时完成上级指令性、突击性任务得</w:t>
            </w:r>
            <w:r>
              <w:rPr>
                <w:rFonts w:hint="default" w:ascii="Times New Roman" w:hAnsi="Times New Roman" w:eastAsia="仿宋_GB2312" w:cs="Times New Roman"/>
                <w:color w:val="auto"/>
                <w:kern w:val="0"/>
                <w:sz w:val="20"/>
                <w:szCs w:val="20"/>
                <w:highlight w:val="none"/>
                <w:lang w:val="en-US" w:bidi="ar-SA"/>
              </w:rPr>
              <w:t>5</w:t>
            </w:r>
            <w:r>
              <w:rPr>
                <w:rFonts w:hint="eastAsia" w:ascii="仿宋_GB2312" w:hAnsi="宋体" w:eastAsia="仿宋_GB2312" w:cs="宋体"/>
                <w:color w:val="auto"/>
                <w:kern w:val="0"/>
                <w:sz w:val="20"/>
                <w:szCs w:val="20"/>
                <w:highlight w:val="none"/>
                <w:lang w:val="en-US" w:bidi="ar-SA"/>
              </w:rPr>
              <w:t>分。完成得</w:t>
            </w:r>
            <w:r>
              <w:rPr>
                <w:rFonts w:hint="default" w:ascii="Times New Roman" w:hAnsi="Times New Roman" w:eastAsia="仿宋_GB2312" w:cs="Times New Roman"/>
                <w:color w:val="auto"/>
                <w:kern w:val="0"/>
                <w:sz w:val="20"/>
                <w:szCs w:val="20"/>
                <w:highlight w:val="none"/>
                <w:lang w:val="en-US" w:bidi="ar-SA"/>
              </w:rPr>
              <w:t>5</w:t>
            </w:r>
            <w:r>
              <w:rPr>
                <w:rFonts w:hint="eastAsia" w:ascii="仿宋_GB2312" w:hAnsi="宋体" w:eastAsia="仿宋_GB2312" w:cs="宋体"/>
                <w:color w:val="auto"/>
                <w:kern w:val="0"/>
                <w:sz w:val="20"/>
                <w:szCs w:val="20"/>
                <w:highlight w:val="none"/>
                <w:lang w:val="en-US" w:bidi="ar-SA"/>
              </w:rPr>
              <w:t>分，基本完成得</w:t>
            </w:r>
            <w:r>
              <w:rPr>
                <w:rFonts w:hint="default" w:ascii="Times New Roman" w:hAnsi="Times New Roman" w:eastAsia="仿宋_GB2312" w:cs="Times New Roman"/>
                <w:color w:val="auto"/>
                <w:kern w:val="0"/>
                <w:sz w:val="20"/>
                <w:szCs w:val="20"/>
                <w:highlight w:val="none"/>
                <w:lang w:val="en-US" w:bidi="ar-SA"/>
              </w:rPr>
              <w:t>3</w:t>
            </w:r>
            <w:r>
              <w:rPr>
                <w:rFonts w:hint="eastAsia" w:ascii="仿宋_GB2312" w:hAnsi="宋体" w:eastAsia="仿宋_GB2312" w:cs="宋体"/>
                <w:color w:val="auto"/>
                <w:kern w:val="0"/>
                <w:sz w:val="20"/>
                <w:szCs w:val="20"/>
                <w:highlight w:val="none"/>
                <w:lang w:val="en-US" w:bidi="ar-SA"/>
              </w:rPr>
              <w:t>分，未完成一项扣</w:t>
            </w:r>
            <w:r>
              <w:rPr>
                <w:rFonts w:hint="default" w:ascii="Times New Roman" w:hAnsi="Times New Roman" w:eastAsia="仿宋_GB2312" w:cs="Times New Roman"/>
                <w:color w:val="auto"/>
                <w:kern w:val="0"/>
                <w:sz w:val="20"/>
                <w:szCs w:val="20"/>
                <w:highlight w:val="none"/>
                <w:lang w:val="en-US" w:bidi="ar-SA"/>
              </w:rPr>
              <w:t>1</w:t>
            </w:r>
            <w:r>
              <w:rPr>
                <w:rFonts w:hint="eastAsia" w:ascii="仿宋_GB2312" w:hAnsi="宋体" w:eastAsia="仿宋_GB2312" w:cs="宋体"/>
                <w:color w:val="auto"/>
                <w:kern w:val="0"/>
                <w:sz w:val="20"/>
                <w:szCs w:val="20"/>
                <w:highlight w:val="none"/>
                <w:lang w:val="en-US" w:bidi="ar-SA"/>
              </w:rPr>
              <w:t>分，扣完</w:t>
            </w:r>
            <w:r>
              <w:rPr>
                <w:rFonts w:hint="default" w:ascii="Times New Roman" w:hAnsi="Times New Roman" w:eastAsia="仿宋_GB2312" w:cs="Times New Roman"/>
                <w:color w:val="auto"/>
                <w:kern w:val="0"/>
                <w:sz w:val="20"/>
                <w:szCs w:val="20"/>
                <w:highlight w:val="none"/>
                <w:lang w:val="en-US" w:bidi="ar-SA"/>
              </w:rPr>
              <w:t>5</w:t>
            </w:r>
            <w:r>
              <w:rPr>
                <w:rFonts w:hint="eastAsia" w:ascii="仿宋_GB2312" w:hAnsi="宋体" w:eastAsia="仿宋_GB2312" w:cs="宋体"/>
                <w:color w:val="auto"/>
                <w:kern w:val="0"/>
                <w:sz w:val="20"/>
                <w:szCs w:val="20"/>
                <w:highlight w:val="none"/>
                <w:lang w:val="en-US" w:bidi="ar-SA"/>
              </w:rPr>
              <w:t>分为止。</w:t>
            </w:r>
          </w:p>
        </w:tc>
        <w:tc>
          <w:tcPr>
            <w:tcW w:w="370"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5</w:t>
            </w:r>
          </w:p>
        </w:tc>
        <w:tc>
          <w:tcPr>
            <w:tcW w:w="371"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　</w:t>
            </w:r>
          </w:p>
        </w:tc>
        <w:tc>
          <w:tcPr>
            <w:tcW w:w="526"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　</w:t>
            </w:r>
          </w:p>
        </w:tc>
      </w:tr>
      <w:tr>
        <w:tblPrEx>
          <w:tblCellMar>
            <w:top w:w="0" w:type="dxa"/>
            <w:left w:w="108" w:type="dxa"/>
            <w:bottom w:w="0" w:type="dxa"/>
            <w:right w:w="108" w:type="dxa"/>
          </w:tblCellMar>
        </w:tblPrEx>
        <w:trPr>
          <w:trHeight w:val="540" w:hRule="atLeast"/>
        </w:trPr>
        <w:tc>
          <w:tcPr>
            <w:tcW w:w="926" w:type="pct"/>
            <w:tcBorders>
              <w:top w:val="nil"/>
              <w:left w:val="single" w:color="auto" w:sz="4" w:space="0"/>
              <w:bottom w:val="single" w:color="auto" w:sz="4" w:space="0"/>
              <w:right w:val="nil"/>
            </w:tcBorders>
            <w:shd w:val="clear" w:color="auto" w:fill="auto"/>
            <w:vAlign w:val="center"/>
          </w:tcPr>
          <w:p>
            <w:pPr>
              <w:widowControl/>
              <w:shd w:val="clear"/>
              <w:spacing w:after="0" w:line="240" w:lineRule="auto"/>
              <w:jc w:val="left"/>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　</w:t>
            </w:r>
          </w:p>
        </w:tc>
        <w:tc>
          <w:tcPr>
            <w:tcW w:w="649" w:type="pct"/>
            <w:tcBorders>
              <w:top w:val="nil"/>
              <w:left w:val="single" w:color="auto" w:sz="4" w:space="0"/>
              <w:bottom w:val="single" w:color="auto" w:sz="4" w:space="0"/>
              <w:right w:val="nil"/>
            </w:tcBorders>
            <w:shd w:val="clear" w:color="auto" w:fill="auto"/>
            <w:vAlign w:val="center"/>
          </w:tcPr>
          <w:p>
            <w:pPr>
              <w:widowControl/>
              <w:shd w:val="clear"/>
              <w:spacing w:after="0" w:line="240" w:lineRule="auto"/>
              <w:jc w:val="left"/>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合计</w:t>
            </w:r>
          </w:p>
        </w:tc>
        <w:tc>
          <w:tcPr>
            <w:tcW w:w="2158" w:type="pct"/>
            <w:tcBorders>
              <w:top w:val="nil"/>
              <w:left w:val="single" w:color="auto" w:sz="4" w:space="0"/>
              <w:bottom w:val="single" w:color="auto" w:sz="4" w:space="0"/>
              <w:right w:val="single" w:color="auto" w:sz="4" w:space="0"/>
            </w:tcBorders>
            <w:shd w:val="clear" w:color="auto" w:fill="auto"/>
            <w:vAlign w:val="center"/>
          </w:tcPr>
          <w:p>
            <w:pPr>
              <w:widowControl/>
              <w:shd w:val="clear"/>
              <w:spacing w:after="0" w:line="240" w:lineRule="auto"/>
              <w:jc w:val="left"/>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　</w:t>
            </w:r>
          </w:p>
        </w:tc>
        <w:tc>
          <w:tcPr>
            <w:tcW w:w="370"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100</w:t>
            </w:r>
          </w:p>
        </w:tc>
        <w:tc>
          <w:tcPr>
            <w:tcW w:w="371"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　</w:t>
            </w:r>
          </w:p>
        </w:tc>
        <w:tc>
          <w:tcPr>
            <w:tcW w:w="526"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　</w:t>
            </w:r>
          </w:p>
        </w:tc>
      </w:tr>
      <w:tr>
        <w:tblPrEx>
          <w:tblCellMar>
            <w:top w:w="0" w:type="dxa"/>
            <w:left w:w="108" w:type="dxa"/>
            <w:bottom w:w="0" w:type="dxa"/>
            <w:right w:w="108" w:type="dxa"/>
          </w:tblCellMar>
        </w:tblPrEx>
        <w:trPr>
          <w:trHeight w:val="480" w:hRule="atLeast"/>
        </w:trPr>
        <w:tc>
          <w:tcPr>
            <w:tcW w:w="3733" w:type="pct"/>
            <w:gridSpan w:val="3"/>
            <w:tcBorders>
              <w:top w:val="single" w:color="auto" w:sz="4" w:space="0"/>
              <w:left w:val="nil"/>
              <w:bottom w:val="nil"/>
              <w:right w:val="nil"/>
            </w:tcBorders>
            <w:shd w:val="clear" w:color="auto" w:fill="auto"/>
            <w:noWrap/>
            <w:vAlign w:val="center"/>
          </w:tcPr>
          <w:p>
            <w:pPr>
              <w:widowControl/>
              <w:shd w:val="clear"/>
              <w:spacing w:after="0" w:line="240" w:lineRule="auto"/>
              <w:jc w:val="left"/>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评分记录人：</w:t>
            </w:r>
          </w:p>
        </w:tc>
        <w:tc>
          <w:tcPr>
            <w:tcW w:w="1267" w:type="pct"/>
            <w:gridSpan w:val="3"/>
            <w:tcBorders>
              <w:top w:val="single" w:color="auto" w:sz="4" w:space="0"/>
              <w:left w:val="nil"/>
              <w:bottom w:val="nil"/>
              <w:right w:val="nil"/>
            </w:tcBorders>
            <w:shd w:val="clear" w:color="auto" w:fill="auto"/>
            <w:noWrap/>
            <w:vAlign w:val="center"/>
          </w:tcPr>
          <w:p>
            <w:pPr>
              <w:widowControl/>
              <w:shd w:val="clear"/>
              <w:spacing w:after="0" w:line="240" w:lineRule="auto"/>
              <w:jc w:val="left"/>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考核时间：</w:t>
            </w:r>
          </w:p>
        </w:tc>
      </w:tr>
    </w:tbl>
    <w:p>
      <w:pPr>
        <w:widowControl w:val="0"/>
        <w:shd w:val="clear"/>
        <w:spacing w:after="160" w:line="278" w:lineRule="auto"/>
        <w:jc w:val="both"/>
        <w:outlineLvl w:val="9"/>
        <w:rPr>
          <w:rFonts w:hint="default" w:ascii="华文中宋" w:hAnsi="Times New Roman" w:eastAsia="华文中宋" w:cs="Times New Roman"/>
          <w:bCs/>
          <w:color w:val="auto"/>
          <w:kern w:val="2"/>
          <w:sz w:val="28"/>
          <w:highlight w:val="none"/>
          <w:lang w:val="zh-CN" w:eastAsia="zh-CN" w:bidi="ar-SA"/>
        </w:rPr>
      </w:pPr>
    </w:p>
    <w:p>
      <w:pPr>
        <w:widowControl w:val="0"/>
        <w:shd w:val="clear"/>
        <w:spacing w:after="160" w:line="278" w:lineRule="auto"/>
        <w:jc w:val="both"/>
        <w:outlineLvl w:val="9"/>
        <w:rPr>
          <w:rFonts w:hint="default" w:ascii="华文中宋" w:hAnsi="Times New Roman" w:eastAsia="华文中宋" w:cs="Times New Roman"/>
          <w:bCs/>
          <w:color w:val="auto"/>
          <w:kern w:val="2"/>
          <w:sz w:val="28"/>
          <w:highlight w:val="none"/>
          <w:lang w:val="zh-CN" w:eastAsia="zh-CN" w:bidi="ar-SA"/>
        </w:rPr>
      </w:pPr>
      <w:r>
        <w:rPr>
          <w:rFonts w:hint="default" w:ascii="华文中宋" w:hAnsi="Times New Roman" w:eastAsia="华文中宋" w:cs="Times New Roman"/>
          <w:bCs/>
          <w:color w:val="auto"/>
          <w:kern w:val="2"/>
          <w:sz w:val="28"/>
          <w:highlight w:val="none"/>
          <w:lang w:val="zh-CN" w:eastAsia="zh-CN" w:bidi="ar-SA"/>
        </w:rPr>
        <w:br w:type="page"/>
      </w:r>
    </w:p>
    <w:tbl>
      <w:tblPr>
        <w:tblStyle w:val="82"/>
        <w:tblW w:w="5000" w:type="pct"/>
        <w:tblInd w:w="0" w:type="dxa"/>
        <w:tblLayout w:type="autofit"/>
        <w:tblCellMar>
          <w:top w:w="0" w:type="dxa"/>
          <w:left w:w="108" w:type="dxa"/>
          <w:bottom w:w="0" w:type="dxa"/>
          <w:right w:w="108" w:type="dxa"/>
        </w:tblCellMar>
      </w:tblPr>
      <w:tblGrid>
        <w:gridCol w:w="1822"/>
        <w:gridCol w:w="1276"/>
        <w:gridCol w:w="3955"/>
        <w:gridCol w:w="837"/>
        <w:gridCol w:w="837"/>
        <w:gridCol w:w="1241"/>
      </w:tblGrid>
      <w:tr>
        <w:tblPrEx>
          <w:tblCellMar>
            <w:top w:w="0" w:type="dxa"/>
            <w:left w:w="108" w:type="dxa"/>
            <w:bottom w:w="0" w:type="dxa"/>
            <w:right w:w="108" w:type="dxa"/>
          </w:tblCellMar>
        </w:tblPrEx>
        <w:trPr>
          <w:trHeight w:val="285" w:hRule="atLeast"/>
        </w:trPr>
        <w:tc>
          <w:tcPr>
            <w:tcW w:w="1554" w:type="pct"/>
            <w:gridSpan w:val="2"/>
            <w:tcBorders>
              <w:top w:val="nil"/>
              <w:left w:val="nil"/>
              <w:bottom w:val="nil"/>
              <w:right w:val="nil"/>
            </w:tcBorders>
            <w:shd w:val="clear" w:color="auto" w:fill="auto"/>
            <w:noWrap/>
            <w:vAlign w:val="bottom"/>
          </w:tcPr>
          <w:p>
            <w:pPr>
              <w:widowControl/>
              <w:shd w:val="clear"/>
              <w:spacing w:after="0" w:line="240" w:lineRule="auto"/>
              <w:jc w:val="left"/>
              <w:outlineLvl w:val="9"/>
              <w:rPr>
                <w:rFonts w:hint="default"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附表三</w:t>
            </w:r>
          </w:p>
        </w:tc>
        <w:tc>
          <w:tcPr>
            <w:tcW w:w="1984" w:type="pct"/>
            <w:tcBorders>
              <w:top w:val="nil"/>
              <w:left w:val="nil"/>
              <w:bottom w:val="nil"/>
              <w:right w:val="nil"/>
            </w:tcBorders>
            <w:shd w:val="clear" w:color="auto" w:fill="auto"/>
            <w:noWrap/>
            <w:vAlign w:val="bottom"/>
          </w:tcPr>
          <w:p>
            <w:pPr>
              <w:widowControl/>
              <w:shd w:val="clear"/>
              <w:spacing w:after="0" w:line="240" w:lineRule="auto"/>
              <w:jc w:val="left"/>
              <w:outlineLvl w:val="9"/>
              <w:rPr>
                <w:rFonts w:hint="eastAsia" w:ascii="宋体" w:hAnsi="宋体" w:eastAsia="宋体" w:cs="宋体"/>
                <w:color w:val="auto"/>
                <w:kern w:val="0"/>
                <w:sz w:val="24"/>
                <w:szCs w:val="24"/>
                <w:highlight w:val="none"/>
                <w:lang w:val="en-US" w:bidi="ar-SA"/>
              </w:rPr>
            </w:pPr>
          </w:p>
        </w:tc>
        <w:tc>
          <w:tcPr>
            <w:tcW w:w="420" w:type="pct"/>
            <w:tcBorders>
              <w:top w:val="nil"/>
              <w:left w:val="nil"/>
              <w:bottom w:val="nil"/>
              <w:right w:val="nil"/>
            </w:tcBorders>
            <w:shd w:val="clear" w:color="auto" w:fill="auto"/>
            <w:noWrap/>
            <w:vAlign w:val="bottom"/>
          </w:tcPr>
          <w:p>
            <w:pPr>
              <w:widowControl/>
              <w:shd w:val="clear"/>
              <w:spacing w:after="0" w:line="240" w:lineRule="auto"/>
              <w:jc w:val="left"/>
              <w:outlineLvl w:val="9"/>
              <w:rPr>
                <w:rFonts w:hint="default" w:ascii="Times New Roman" w:hAnsi="Times New Roman" w:eastAsia="Times New Roman" w:cs="Times New Roman"/>
                <w:color w:val="auto"/>
                <w:kern w:val="0"/>
                <w:sz w:val="20"/>
                <w:szCs w:val="20"/>
                <w:highlight w:val="none"/>
                <w:lang w:val="en-US" w:bidi="ar-SA"/>
              </w:rPr>
            </w:pPr>
          </w:p>
        </w:tc>
        <w:tc>
          <w:tcPr>
            <w:tcW w:w="420" w:type="pct"/>
            <w:tcBorders>
              <w:top w:val="nil"/>
              <w:left w:val="nil"/>
              <w:bottom w:val="nil"/>
              <w:right w:val="nil"/>
            </w:tcBorders>
            <w:shd w:val="clear" w:color="auto" w:fill="auto"/>
            <w:noWrap/>
            <w:vAlign w:val="bottom"/>
          </w:tcPr>
          <w:p>
            <w:pPr>
              <w:widowControl/>
              <w:shd w:val="clear"/>
              <w:spacing w:after="0" w:line="240" w:lineRule="auto"/>
              <w:jc w:val="left"/>
              <w:outlineLvl w:val="9"/>
              <w:rPr>
                <w:rFonts w:hint="default" w:ascii="Times New Roman" w:hAnsi="Times New Roman" w:eastAsia="Times New Roman" w:cs="Times New Roman"/>
                <w:color w:val="auto"/>
                <w:kern w:val="0"/>
                <w:sz w:val="20"/>
                <w:szCs w:val="20"/>
                <w:highlight w:val="none"/>
                <w:lang w:val="en-US" w:bidi="ar-SA"/>
              </w:rPr>
            </w:pPr>
          </w:p>
        </w:tc>
        <w:tc>
          <w:tcPr>
            <w:tcW w:w="622" w:type="pct"/>
            <w:tcBorders>
              <w:top w:val="nil"/>
              <w:left w:val="nil"/>
              <w:bottom w:val="nil"/>
              <w:right w:val="nil"/>
            </w:tcBorders>
            <w:shd w:val="clear" w:color="auto" w:fill="auto"/>
            <w:noWrap/>
            <w:vAlign w:val="bottom"/>
          </w:tcPr>
          <w:p>
            <w:pPr>
              <w:widowControl/>
              <w:shd w:val="clear"/>
              <w:spacing w:after="0" w:line="240" w:lineRule="auto"/>
              <w:jc w:val="left"/>
              <w:outlineLvl w:val="9"/>
              <w:rPr>
                <w:rFonts w:hint="default" w:ascii="Times New Roman" w:hAnsi="Times New Roman" w:eastAsia="Times New Roman" w:cs="Times New Roman"/>
                <w:color w:val="auto"/>
                <w:kern w:val="0"/>
                <w:sz w:val="20"/>
                <w:szCs w:val="20"/>
                <w:highlight w:val="none"/>
                <w:lang w:val="en-US" w:bidi="ar-SA"/>
              </w:rPr>
            </w:pPr>
          </w:p>
        </w:tc>
      </w:tr>
      <w:tr>
        <w:tblPrEx>
          <w:tblCellMar>
            <w:top w:w="0" w:type="dxa"/>
            <w:left w:w="108" w:type="dxa"/>
            <w:bottom w:w="0" w:type="dxa"/>
            <w:right w:w="108" w:type="dxa"/>
          </w:tblCellMar>
        </w:tblPrEx>
        <w:trPr>
          <w:trHeight w:val="540" w:hRule="atLeast"/>
        </w:trPr>
        <w:tc>
          <w:tcPr>
            <w:tcW w:w="5000" w:type="pct"/>
            <w:gridSpan w:val="6"/>
            <w:tcBorders>
              <w:top w:val="nil"/>
              <w:left w:val="nil"/>
              <w:bottom w:val="nil"/>
              <w:right w:val="nil"/>
            </w:tcBorders>
            <w:shd w:val="clear" w:color="auto" w:fill="auto"/>
            <w:noWrap/>
            <w:vAlign w:val="center"/>
          </w:tcPr>
          <w:p>
            <w:pPr>
              <w:widowControl/>
              <w:shd w:val="clear"/>
              <w:spacing w:after="0" w:line="240" w:lineRule="auto"/>
              <w:jc w:val="center"/>
              <w:outlineLvl w:val="9"/>
              <w:rPr>
                <w:rFonts w:hint="default" w:ascii="宋体" w:hAnsi="宋体" w:eastAsia="宋体" w:cs="宋体"/>
                <w:color w:val="auto"/>
                <w:kern w:val="0"/>
                <w:sz w:val="28"/>
                <w:szCs w:val="28"/>
                <w:highlight w:val="none"/>
                <w:lang w:val="en-US" w:bidi="ar-SA"/>
              </w:rPr>
            </w:pPr>
            <w:r>
              <w:rPr>
                <w:rFonts w:hint="eastAsia" w:ascii="宋体" w:hAnsi="宋体" w:eastAsia="宋体" w:cs="宋体"/>
                <w:color w:val="auto"/>
                <w:kern w:val="0"/>
                <w:sz w:val="28"/>
                <w:szCs w:val="28"/>
                <w:highlight w:val="none"/>
                <w:lang w:val="en-US" w:bidi="ar-SA"/>
              </w:rPr>
              <w:t>无锡市排水运行维护片区</w:t>
            </w:r>
            <w:r>
              <w:rPr>
                <w:rFonts w:hint="eastAsia" w:ascii="黑体" w:hAnsi="黑体" w:eastAsia="黑体" w:cs="宋体"/>
                <w:b/>
                <w:bCs/>
                <w:color w:val="auto"/>
                <w:kern w:val="0"/>
                <w:sz w:val="28"/>
                <w:szCs w:val="28"/>
                <w:highlight w:val="none"/>
                <w:lang w:val="en-US" w:bidi="ar-SA"/>
              </w:rPr>
              <w:t>年度</w:t>
            </w:r>
            <w:r>
              <w:rPr>
                <w:rFonts w:hint="eastAsia" w:ascii="宋体" w:hAnsi="宋体" w:eastAsia="宋体" w:cs="宋体"/>
                <w:color w:val="auto"/>
                <w:kern w:val="0"/>
                <w:sz w:val="28"/>
                <w:szCs w:val="28"/>
                <w:highlight w:val="none"/>
                <w:lang w:val="en-US" w:bidi="ar-SA"/>
              </w:rPr>
              <w:t>考核评分细则</w:t>
            </w:r>
          </w:p>
        </w:tc>
      </w:tr>
      <w:tr>
        <w:tblPrEx>
          <w:tblCellMar>
            <w:top w:w="0" w:type="dxa"/>
            <w:left w:w="108" w:type="dxa"/>
            <w:bottom w:w="0" w:type="dxa"/>
            <w:right w:w="108" w:type="dxa"/>
          </w:tblCellMar>
        </w:tblPrEx>
        <w:trPr>
          <w:trHeight w:val="540" w:hRule="atLeast"/>
        </w:trPr>
        <w:tc>
          <w:tcPr>
            <w:tcW w:w="3537" w:type="pct"/>
            <w:gridSpan w:val="3"/>
            <w:tcBorders>
              <w:top w:val="nil"/>
              <w:left w:val="nil"/>
              <w:bottom w:val="single" w:color="auto" w:sz="4" w:space="0"/>
              <w:right w:val="nil"/>
            </w:tcBorders>
            <w:shd w:val="clear" w:color="auto" w:fill="auto"/>
            <w:noWrap/>
            <w:vAlign w:val="center"/>
          </w:tcPr>
          <w:p>
            <w:pPr>
              <w:widowControl/>
              <w:shd w:val="clear"/>
              <w:spacing w:after="0" w:line="240" w:lineRule="auto"/>
              <w:jc w:val="left"/>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 xml:space="preserve">受检单位：                      </w:t>
            </w:r>
          </w:p>
        </w:tc>
        <w:tc>
          <w:tcPr>
            <w:tcW w:w="420" w:type="pct"/>
            <w:tcBorders>
              <w:top w:val="nil"/>
              <w:left w:val="nil"/>
              <w:bottom w:val="single" w:color="auto" w:sz="4" w:space="0"/>
              <w:right w:val="nil"/>
            </w:tcBorders>
            <w:shd w:val="clear" w:color="auto" w:fill="auto"/>
            <w:noWrap/>
            <w:vAlign w:val="center"/>
          </w:tcPr>
          <w:p>
            <w:pPr>
              <w:widowControl/>
              <w:shd w:val="clear"/>
              <w:spacing w:after="0" w:line="240" w:lineRule="auto"/>
              <w:jc w:val="left"/>
              <w:outlineLvl w:val="9"/>
              <w:rPr>
                <w:rFonts w:hint="eastAsia" w:ascii="宋体" w:hAnsi="宋体" w:eastAsia="宋体" w:cs="宋体"/>
                <w:color w:val="auto"/>
                <w:kern w:val="0"/>
                <w:sz w:val="28"/>
                <w:szCs w:val="28"/>
                <w:highlight w:val="none"/>
                <w:lang w:val="en-US" w:bidi="ar-SA"/>
              </w:rPr>
            </w:pPr>
            <w:r>
              <w:rPr>
                <w:rFonts w:hint="eastAsia" w:ascii="宋体" w:hAnsi="宋体" w:eastAsia="宋体" w:cs="宋体"/>
                <w:color w:val="auto"/>
                <w:kern w:val="0"/>
                <w:sz w:val="28"/>
                <w:szCs w:val="28"/>
                <w:highlight w:val="none"/>
                <w:lang w:val="en-US" w:bidi="ar-SA"/>
              </w:rPr>
              <w:t>　</w:t>
            </w:r>
          </w:p>
        </w:tc>
        <w:tc>
          <w:tcPr>
            <w:tcW w:w="420" w:type="pct"/>
            <w:tcBorders>
              <w:top w:val="nil"/>
              <w:left w:val="nil"/>
              <w:bottom w:val="single" w:color="auto" w:sz="4" w:space="0"/>
              <w:right w:val="nil"/>
            </w:tcBorders>
            <w:shd w:val="clear" w:color="auto" w:fill="auto"/>
            <w:noWrap/>
            <w:vAlign w:val="center"/>
          </w:tcPr>
          <w:p>
            <w:pPr>
              <w:widowControl/>
              <w:shd w:val="clear"/>
              <w:spacing w:after="0" w:line="240" w:lineRule="auto"/>
              <w:jc w:val="left"/>
              <w:outlineLvl w:val="9"/>
              <w:rPr>
                <w:rFonts w:hint="eastAsia" w:ascii="宋体" w:hAnsi="宋体" w:eastAsia="宋体" w:cs="宋体"/>
                <w:color w:val="auto"/>
                <w:kern w:val="0"/>
                <w:sz w:val="28"/>
                <w:szCs w:val="28"/>
                <w:highlight w:val="none"/>
                <w:lang w:val="en-US" w:bidi="ar-SA"/>
              </w:rPr>
            </w:pPr>
            <w:r>
              <w:rPr>
                <w:rFonts w:hint="eastAsia" w:ascii="宋体" w:hAnsi="宋体" w:eastAsia="宋体" w:cs="宋体"/>
                <w:color w:val="auto"/>
                <w:kern w:val="0"/>
                <w:sz w:val="28"/>
                <w:szCs w:val="28"/>
                <w:highlight w:val="none"/>
                <w:lang w:val="en-US" w:bidi="ar-SA"/>
              </w:rPr>
              <w:t>　</w:t>
            </w:r>
          </w:p>
        </w:tc>
        <w:tc>
          <w:tcPr>
            <w:tcW w:w="622" w:type="pct"/>
            <w:tcBorders>
              <w:top w:val="nil"/>
              <w:left w:val="nil"/>
              <w:bottom w:val="single" w:color="auto" w:sz="4" w:space="0"/>
              <w:right w:val="nil"/>
            </w:tcBorders>
            <w:shd w:val="clear" w:color="auto" w:fill="auto"/>
            <w:noWrap/>
            <w:vAlign w:val="center"/>
          </w:tcPr>
          <w:p>
            <w:pPr>
              <w:widowControl/>
              <w:shd w:val="clear"/>
              <w:spacing w:after="0" w:line="240" w:lineRule="auto"/>
              <w:jc w:val="left"/>
              <w:outlineLvl w:val="9"/>
              <w:rPr>
                <w:rFonts w:hint="eastAsia" w:ascii="宋体" w:hAnsi="宋体" w:eastAsia="宋体" w:cs="宋体"/>
                <w:color w:val="auto"/>
                <w:kern w:val="0"/>
                <w:sz w:val="28"/>
                <w:szCs w:val="28"/>
                <w:highlight w:val="none"/>
                <w:lang w:val="en-US" w:bidi="ar-SA"/>
              </w:rPr>
            </w:pPr>
            <w:r>
              <w:rPr>
                <w:rFonts w:hint="eastAsia" w:ascii="宋体" w:hAnsi="宋体" w:eastAsia="宋体" w:cs="宋体"/>
                <w:color w:val="auto"/>
                <w:kern w:val="0"/>
                <w:sz w:val="28"/>
                <w:szCs w:val="28"/>
                <w:highlight w:val="none"/>
                <w:lang w:val="en-US" w:bidi="ar-SA"/>
              </w:rPr>
              <w:t>　</w:t>
            </w:r>
          </w:p>
        </w:tc>
      </w:tr>
      <w:tr>
        <w:tblPrEx>
          <w:tblCellMar>
            <w:top w:w="0" w:type="dxa"/>
            <w:left w:w="108" w:type="dxa"/>
            <w:bottom w:w="0" w:type="dxa"/>
            <w:right w:w="108" w:type="dxa"/>
          </w:tblCellMar>
        </w:tblPrEx>
        <w:trPr>
          <w:trHeight w:val="660" w:hRule="atLeast"/>
        </w:trPr>
        <w:tc>
          <w:tcPr>
            <w:tcW w:w="914" w:type="pct"/>
            <w:tcBorders>
              <w:top w:val="nil"/>
              <w:left w:val="single" w:color="auto" w:sz="4" w:space="0"/>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序号</w:t>
            </w:r>
          </w:p>
        </w:tc>
        <w:tc>
          <w:tcPr>
            <w:tcW w:w="640"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考核内容</w:t>
            </w:r>
          </w:p>
        </w:tc>
        <w:tc>
          <w:tcPr>
            <w:tcW w:w="1984"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评分标准</w:t>
            </w:r>
          </w:p>
        </w:tc>
        <w:tc>
          <w:tcPr>
            <w:tcW w:w="420"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分值</w:t>
            </w:r>
          </w:p>
        </w:tc>
        <w:tc>
          <w:tcPr>
            <w:tcW w:w="420"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得分</w:t>
            </w:r>
          </w:p>
        </w:tc>
        <w:tc>
          <w:tcPr>
            <w:tcW w:w="622"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备注</w:t>
            </w:r>
          </w:p>
        </w:tc>
      </w:tr>
      <w:tr>
        <w:tblPrEx>
          <w:tblCellMar>
            <w:top w:w="0" w:type="dxa"/>
            <w:left w:w="108" w:type="dxa"/>
            <w:bottom w:w="0" w:type="dxa"/>
            <w:right w:w="108" w:type="dxa"/>
          </w:tblCellMar>
        </w:tblPrEx>
        <w:trPr>
          <w:trHeight w:val="660" w:hRule="atLeast"/>
        </w:trPr>
        <w:tc>
          <w:tcPr>
            <w:tcW w:w="914" w:type="pct"/>
            <w:vMerge w:val="restart"/>
            <w:tcBorders>
              <w:top w:val="nil"/>
              <w:left w:val="single" w:color="auto" w:sz="4" w:space="0"/>
              <w:bottom w:val="nil"/>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1</w:t>
            </w:r>
          </w:p>
        </w:tc>
        <w:tc>
          <w:tcPr>
            <w:tcW w:w="640" w:type="pct"/>
            <w:vMerge w:val="restart"/>
            <w:tcBorders>
              <w:top w:val="nil"/>
              <w:left w:val="single" w:color="auto" w:sz="4" w:space="0"/>
              <w:bottom w:val="nil"/>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组织网络管理制度         （25分）</w:t>
            </w:r>
          </w:p>
        </w:tc>
        <w:tc>
          <w:tcPr>
            <w:tcW w:w="1984"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left"/>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有组织领导，管理组织网络，管理、技术人员配备到位，办公设施配备齐全。</w:t>
            </w:r>
          </w:p>
        </w:tc>
        <w:tc>
          <w:tcPr>
            <w:tcW w:w="420"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10</w:t>
            </w:r>
          </w:p>
        </w:tc>
        <w:tc>
          <w:tcPr>
            <w:tcW w:w="420"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　</w:t>
            </w:r>
          </w:p>
        </w:tc>
        <w:tc>
          <w:tcPr>
            <w:tcW w:w="622"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　</w:t>
            </w:r>
          </w:p>
        </w:tc>
      </w:tr>
      <w:tr>
        <w:tblPrEx>
          <w:tblCellMar>
            <w:top w:w="0" w:type="dxa"/>
            <w:left w:w="108" w:type="dxa"/>
            <w:bottom w:w="0" w:type="dxa"/>
            <w:right w:w="108" w:type="dxa"/>
          </w:tblCellMar>
        </w:tblPrEx>
        <w:trPr>
          <w:trHeight w:val="660" w:hRule="atLeast"/>
        </w:trPr>
        <w:tc>
          <w:tcPr>
            <w:tcW w:w="914" w:type="pct"/>
            <w:vMerge w:val="continue"/>
            <w:tcBorders>
              <w:top w:val="nil"/>
              <w:left w:val="single" w:color="auto" w:sz="4" w:space="0"/>
              <w:bottom w:val="nil"/>
              <w:right w:val="single" w:color="auto" w:sz="4" w:space="0"/>
            </w:tcBorders>
            <w:vAlign w:val="center"/>
          </w:tcPr>
          <w:p>
            <w:pPr>
              <w:widowControl/>
              <w:shd w:val="clear"/>
              <w:spacing w:after="0" w:line="240" w:lineRule="auto"/>
              <w:jc w:val="left"/>
              <w:outlineLvl w:val="9"/>
              <w:rPr>
                <w:rFonts w:hint="default" w:ascii="仿宋_GB2312" w:hAnsi="宋体" w:eastAsia="仿宋_GB2312" w:cs="宋体"/>
                <w:color w:val="auto"/>
                <w:kern w:val="0"/>
                <w:sz w:val="24"/>
                <w:szCs w:val="24"/>
                <w:highlight w:val="none"/>
                <w:lang w:val="en-US" w:bidi="ar-SA"/>
              </w:rPr>
            </w:pPr>
          </w:p>
        </w:tc>
        <w:tc>
          <w:tcPr>
            <w:tcW w:w="640" w:type="pct"/>
            <w:vMerge w:val="continue"/>
            <w:tcBorders>
              <w:top w:val="nil"/>
              <w:left w:val="single" w:color="auto" w:sz="4" w:space="0"/>
              <w:bottom w:val="nil"/>
              <w:right w:val="single" w:color="auto" w:sz="4" w:space="0"/>
            </w:tcBorders>
            <w:vAlign w:val="center"/>
          </w:tcPr>
          <w:p>
            <w:pPr>
              <w:widowControl/>
              <w:shd w:val="clear"/>
              <w:spacing w:after="0" w:line="240" w:lineRule="auto"/>
              <w:jc w:val="left"/>
              <w:outlineLvl w:val="9"/>
              <w:rPr>
                <w:rFonts w:hint="default" w:ascii="仿宋_GB2312" w:hAnsi="宋体" w:eastAsia="仿宋_GB2312" w:cs="宋体"/>
                <w:color w:val="auto"/>
                <w:kern w:val="0"/>
                <w:sz w:val="20"/>
                <w:szCs w:val="20"/>
                <w:highlight w:val="none"/>
                <w:lang w:val="en-US" w:bidi="ar-SA"/>
              </w:rPr>
            </w:pPr>
          </w:p>
        </w:tc>
        <w:tc>
          <w:tcPr>
            <w:tcW w:w="1984"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left"/>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各项工作有管理制度，有明确职责分工得5分。少一项扣1分。</w:t>
            </w:r>
          </w:p>
        </w:tc>
        <w:tc>
          <w:tcPr>
            <w:tcW w:w="420"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5</w:t>
            </w:r>
          </w:p>
        </w:tc>
        <w:tc>
          <w:tcPr>
            <w:tcW w:w="420"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　</w:t>
            </w:r>
          </w:p>
        </w:tc>
        <w:tc>
          <w:tcPr>
            <w:tcW w:w="622"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　</w:t>
            </w:r>
          </w:p>
        </w:tc>
      </w:tr>
      <w:tr>
        <w:tblPrEx>
          <w:tblCellMar>
            <w:top w:w="0" w:type="dxa"/>
            <w:left w:w="108" w:type="dxa"/>
            <w:bottom w:w="0" w:type="dxa"/>
            <w:right w:w="108" w:type="dxa"/>
          </w:tblCellMar>
        </w:tblPrEx>
        <w:trPr>
          <w:trHeight w:val="660" w:hRule="atLeast"/>
        </w:trPr>
        <w:tc>
          <w:tcPr>
            <w:tcW w:w="914" w:type="pct"/>
            <w:vMerge w:val="continue"/>
            <w:tcBorders>
              <w:top w:val="nil"/>
              <w:left w:val="single" w:color="auto" w:sz="4" w:space="0"/>
              <w:bottom w:val="nil"/>
              <w:right w:val="single" w:color="auto" w:sz="4" w:space="0"/>
            </w:tcBorders>
            <w:vAlign w:val="center"/>
          </w:tcPr>
          <w:p>
            <w:pPr>
              <w:widowControl/>
              <w:shd w:val="clear"/>
              <w:spacing w:after="0" w:line="240" w:lineRule="auto"/>
              <w:jc w:val="left"/>
              <w:outlineLvl w:val="9"/>
              <w:rPr>
                <w:rFonts w:hint="default" w:ascii="仿宋_GB2312" w:hAnsi="宋体" w:eastAsia="仿宋_GB2312" w:cs="宋体"/>
                <w:color w:val="auto"/>
                <w:kern w:val="0"/>
                <w:sz w:val="24"/>
                <w:szCs w:val="24"/>
                <w:highlight w:val="none"/>
                <w:lang w:val="en-US" w:bidi="ar-SA"/>
              </w:rPr>
            </w:pPr>
          </w:p>
        </w:tc>
        <w:tc>
          <w:tcPr>
            <w:tcW w:w="640" w:type="pct"/>
            <w:vMerge w:val="continue"/>
            <w:tcBorders>
              <w:top w:val="nil"/>
              <w:left w:val="single" w:color="auto" w:sz="4" w:space="0"/>
              <w:bottom w:val="nil"/>
              <w:right w:val="single" w:color="auto" w:sz="4" w:space="0"/>
            </w:tcBorders>
            <w:vAlign w:val="center"/>
          </w:tcPr>
          <w:p>
            <w:pPr>
              <w:widowControl/>
              <w:shd w:val="clear"/>
              <w:spacing w:after="0" w:line="240" w:lineRule="auto"/>
              <w:jc w:val="left"/>
              <w:outlineLvl w:val="9"/>
              <w:rPr>
                <w:rFonts w:hint="default" w:ascii="仿宋_GB2312" w:hAnsi="宋体" w:eastAsia="仿宋_GB2312" w:cs="宋体"/>
                <w:color w:val="auto"/>
                <w:kern w:val="0"/>
                <w:sz w:val="20"/>
                <w:szCs w:val="20"/>
                <w:highlight w:val="none"/>
                <w:lang w:val="en-US" w:bidi="ar-SA"/>
              </w:rPr>
            </w:pPr>
          </w:p>
        </w:tc>
        <w:tc>
          <w:tcPr>
            <w:tcW w:w="1984"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left"/>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养护作业单位招标是否公开、公平、公正,招投标手续是否齐全</w:t>
            </w:r>
          </w:p>
        </w:tc>
        <w:tc>
          <w:tcPr>
            <w:tcW w:w="420"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5</w:t>
            </w:r>
          </w:p>
        </w:tc>
        <w:tc>
          <w:tcPr>
            <w:tcW w:w="420"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　</w:t>
            </w:r>
          </w:p>
        </w:tc>
        <w:tc>
          <w:tcPr>
            <w:tcW w:w="622"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　</w:t>
            </w:r>
          </w:p>
        </w:tc>
      </w:tr>
      <w:tr>
        <w:tblPrEx>
          <w:tblCellMar>
            <w:top w:w="0" w:type="dxa"/>
            <w:left w:w="108" w:type="dxa"/>
            <w:bottom w:w="0" w:type="dxa"/>
            <w:right w:w="108" w:type="dxa"/>
          </w:tblCellMar>
        </w:tblPrEx>
        <w:trPr>
          <w:trHeight w:val="795" w:hRule="atLeast"/>
        </w:trPr>
        <w:tc>
          <w:tcPr>
            <w:tcW w:w="914" w:type="pct"/>
            <w:vMerge w:val="continue"/>
            <w:tcBorders>
              <w:top w:val="nil"/>
              <w:left w:val="single" w:color="auto" w:sz="4" w:space="0"/>
              <w:bottom w:val="nil"/>
              <w:right w:val="single" w:color="auto" w:sz="4" w:space="0"/>
            </w:tcBorders>
            <w:vAlign w:val="center"/>
          </w:tcPr>
          <w:p>
            <w:pPr>
              <w:widowControl/>
              <w:shd w:val="clear"/>
              <w:spacing w:after="0" w:line="240" w:lineRule="auto"/>
              <w:jc w:val="left"/>
              <w:outlineLvl w:val="9"/>
              <w:rPr>
                <w:rFonts w:hint="default" w:ascii="仿宋_GB2312" w:hAnsi="宋体" w:eastAsia="仿宋_GB2312" w:cs="宋体"/>
                <w:color w:val="auto"/>
                <w:kern w:val="0"/>
                <w:sz w:val="24"/>
                <w:szCs w:val="24"/>
                <w:highlight w:val="none"/>
                <w:lang w:val="en-US" w:bidi="ar-SA"/>
              </w:rPr>
            </w:pPr>
          </w:p>
        </w:tc>
        <w:tc>
          <w:tcPr>
            <w:tcW w:w="640" w:type="pct"/>
            <w:vMerge w:val="continue"/>
            <w:tcBorders>
              <w:top w:val="nil"/>
              <w:left w:val="single" w:color="auto" w:sz="4" w:space="0"/>
              <w:bottom w:val="nil"/>
              <w:right w:val="single" w:color="auto" w:sz="4" w:space="0"/>
            </w:tcBorders>
            <w:vAlign w:val="center"/>
          </w:tcPr>
          <w:p>
            <w:pPr>
              <w:widowControl/>
              <w:shd w:val="clear"/>
              <w:spacing w:after="0" w:line="240" w:lineRule="auto"/>
              <w:jc w:val="left"/>
              <w:outlineLvl w:val="9"/>
              <w:rPr>
                <w:rFonts w:hint="default" w:ascii="仿宋_GB2312" w:hAnsi="宋体" w:eastAsia="仿宋_GB2312" w:cs="宋体"/>
                <w:color w:val="auto"/>
                <w:kern w:val="0"/>
                <w:sz w:val="20"/>
                <w:szCs w:val="20"/>
                <w:highlight w:val="none"/>
                <w:lang w:val="en-US" w:bidi="ar-SA"/>
              </w:rPr>
            </w:pPr>
          </w:p>
        </w:tc>
        <w:tc>
          <w:tcPr>
            <w:tcW w:w="1984"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left"/>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对养护作业单位有明确的考核机构，月考资料装订成册得5分。基本符合得3分。无考核机构扣5分。</w:t>
            </w:r>
          </w:p>
        </w:tc>
        <w:tc>
          <w:tcPr>
            <w:tcW w:w="420" w:type="pct"/>
            <w:tcBorders>
              <w:top w:val="nil"/>
              <w:left w:val="nil"/>
              <w:bottom w:val="single" w:color="auto" w:sz="4" w:space="0"/>
              <w:right w:val="single" w:color="auto" w:sz="4" w:space="0"/>
            </w:tcBorders>
            <w:shd w:val="clear" w:color="auto" w:fill="auto"/>
            <w:noWrap/>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5</w:t>
            </w:r>
          </w:p>
        </w:tc>
        <w:tc>
          <w:tcPr>
            <w:tcW w:w="420"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　</w:t>
            </w:r>
          </w:p>
        </w:tc>
        <w:tc>
          <w:tcPr>
            <w:tcW w:w="622"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　</w:t>
            </w:r>
          </w:p>
        </w:tc>
      </w:tr>
      <w:tr>
        <w:tblPrEx>
          <w:tblCellMar>
            <w:top w:w="0" w:type="dxa"/>
            <w:left w:w="108" w:type="dxa"/>
            <w:bottom w:w="0" w:type="dxa"/>
            <w:right w:w="108" w:type="dxa"/>
          </w:tblCellMar>
        </w:tblPrEx>
        <w:trPr>
          <w:trHeight w:val="585" w:hRule="atLeast"/>
        </w:trPr>
        <w:tc>
          <w:tcPr>
            <w:tcW w:w="914" w:type="pct"/>
            <w:vMerge w:val="restart"/>
            <w:tcBorders>
              <w:top w:val="single" w:color="auto" w:sz="4" w:space="0"/>
              <w:left w:val="single" w:color="auto" w:sz="4" w:space="0"/>
              <w:bottom w:val="single" w:color="000000"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2</w:t>
            </w:r>
          </w:p>
        </w:tc>
        <w:tc>
          <w:tcPr>
            <w:tcW w:w="640" w:type="pct"/>
            <w:vMerge w:val="restart"/>
            <w:tcBorders>
              <w:top w:val="single" w:color="auto" w:sz="4" w:space="0"/>
              <w:left w:val="single" w:color="auto" w:sz="4" w:space="0"/>
              <w:bottom w:val="single" w:color="000000"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资金到位情况（25分）</w:t>
            </w:r>
          </w:p>
        </w:tc>
        <w:tc>
          <w:tcPr>
            <w:tcW w:w="1984"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left"/>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区排水达标区维护保养经费落实情况</w:t>
            </w:r>
          </w:p>
        </w:tc>
        <w:tc>
          <w:tcPr>
            <w:tcW w:w="420"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20</w:t>
            </w:r>
          </w:p>
        </w:tc>
        <w:tc>
          <w:tcPr>
            <w:tcW w:w="420"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　</w:t>
            </w:r>
          </w:p>
        </w:tc>
        <w:tc>
          <w:tcPr>
            <w:tcW w:w="622"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　</w:t>
            </w:r>
          </w:p>
        </w:tc>
      </w:tr>
      <w:tr>
        <w:tblPrEx>
          <w:tblCellMar>
            <w:top w:w="0" w:type="dxa"/>
            <w:left w:w="108" w:type="dxa"/>
            <w:bottom w:w="0" w:type="dxa"/>
            <w:right w:w="108" w:type="dxa"/>
          </w:tblCellMar>
        </w:tblPrEx>
        <w:trPr>
          <w:trHeight w:val="675" w:hRule="atLeast"/>
        </w:trPr>
        <w:tc>
          <w:tcPr>
            <w:tcW w:w="914" w:type="pct"/>
            <w:vMerge w:val="continue"/>
            <w:tcBorders>
              <w:top w:val="single" w:color="auto" w:sz="4" w:space="0"/>
              <w:left w:val="single" w:color="auto" w:sz="4" w:space="0"/>
              <w:bottom w:val="single" w:color="000000" w:sz="4" w:space="0"/>
              <w:right w:val="single" w:color="auto" w:sz="4" w:space="0"/>
            </w:tcBorders>
            <w:vAlign w:val="center"/>
          </w:tcPr>
          <w:p>
            <w:pPr>
              <w:widowControl/>
              <w:shd w:val="clear"/>
              <w:spacing w:after="0" w:line="240" w:lineRule="auto"/>
              <w:jc w:val="left"/>
              <w:outlineLvl w:val="9"/>
              <w:rPr>
                <w:rFonts w:hint="default" w:ascii="仿宋_GB2312" w:hAnsi="宋体" w:eastAsia="仿宋_GB2312" w:cs="宋体"/>
                <w:color w:val="auto"/>
                <w:kern w:val="0"/>
                <w:sz w:val="20"/>
                <w:szCs w:val="20"/>
                <w:highlight w:val="none"/>
                <w:lang w:val="en-US" w:bidi="ar-SA"/>
              </w:rPr>
            </w:pPr>
          </w:p>
        </w:tc>
        <w:tc>
          <w:tcPr>
            <w:tcW w:w="640" w:type="pct"/>
            <w:vMerge w:val="continue"/>
            <w:tcBorders>
              <w:top w:val="single" w:color="auto" w:sz="4" w:space="0"/>
              <w:left w:val="single" w:color="auto" w:sz="4" w:space="0"/>
              <w:bottom w:val="single" w:color="000000" w:sz="4" w:space="0"/>
              <w:right w:val="single" w:color="auto" w:sz="4" w:space="0"/>
            </w:tcBorders>
            <w:vAlign w:val="center"/>
          </w:tcPr>
          <w:p>
            <w:pPr>
              <w:widowControl/>
              <w:shd w:val="clear"/>
              <w:spacing w:after="0" w:line="240" w:lineRule="auto"/>
              <w:jc w:val="left"/>
              <w:outlineLvl w:val="9"/>
              <w:rPr>
                <w:rFonts w:hint="default" w:ascii="仿宋_GB2312" w:hAnsi="宋体" w:eastAsia="仿宋_GB2312" w:cs="宋体"/>
                <w:color w:val="auto"/>
                <w:kern w:val="0"/>
                <w:sz w:val="20"/>
                <w:szCs w:val="20"/>
                <w:highlight w:val="none"/>
                <w:lang w:val="en-US" w:bidi="ar-SA"/>
              </w:rPr>
            </w:pPr>
          </w:p>
        </w:tc>
        <w:tc>
          <w:tcPr>
            <w:tcW w:w="1984"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left"/>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养护作业有计划安排，经费拨款有资金计划，经费支付计划有效落实情况</w:t>
            </w:r>
          </w:p>
        </w:tc>
        <w:tc>
          <w:tcPr>
            <w:tcW w:w="420"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5</w:t>
            </w:r>
          </w:p>
        </w:tc>
        <w:tc>
          <w:tcPr>
            <w:tcW w:w="420"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　</w:t>
            </w:r>
          </w:p>
        </w:tc>
        <w:tc>
          <w:tcPr>
            <w:tcW w:w="622"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　</w:t>
            </w:r>
          </w:p>
        </w:tc>
      </w:tr>
      <w:tr>
        <w:tblPrEx>
          <w:tblCellMar>
            <w:top w:w="0" w:type="dxa"/>
            <w:left w:w="108" w:type="dxa"/>
            <w:bottom w:w="0" w:type="dxa"/>
            <w:right w:w="108" w:type="dxa"/>
          </w:tblCellMar>
        </w:tblPrEx>
        <w:trPr>
          <w:trHeight w:val="885" w:hRule="atLeast"/>
        </w:trPr>
        <w:tc>
          <w:tcPr>
            <w:tcW w:w="914" w:type="pct"/>
            <w:tcBorders>
              <w:top w:val="nil"/>
              <w:left w:val="single" w:color="auto" w:sz="4" w:space="0"/>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3</w:t>
            </w:r>
          </w:p>
        </w:tc>
        <w:tc>
          <w:tcPr>
            <w:tcW w:w="640"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季度考核情况（50分）</w:t>
            </w:r>
          </w:p>
        </w:tc>
        <w:tc>
          <w:tcPr>
            <w:tcW w:w="1984"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left"/>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4个季度考核平均分（附表二）×50%</w:t>
            </w:r>
          </w:p>
        </w:tc>
        <w:tc>
          <w:tcPr>
            <w:tcW w:w="420" w:type="pct"/>
            <w:tcBorders>
              <w:top w:val="nil"/>
              <w:left w:val="nil"/>
              <w:bottom w:val="single" w:color="auto" w:sz="4" w:space="0"/>
              <w:right w:val="single" w:color="auto" w:sz="4" w:space="0"/>
            </w:tcBorders>
            <w:shd w:val="clear" w:color="auto" w:fill="auto"/>
            <w:noWrap/>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50</w:t>
            </w:r>
          </w:p>
        </w:tc>
        <w:tc>
          <w:tcPr>
            <w:tcW w:w="420"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　</w:t>
            </w:r>
          </w:p>
        </w:tc>
        <w:tc>
          <w:tcPr>
            <w:tcW w:w="622"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附表二</w:t>
            </w:r>
          </w:p>
        </w:tc>
      </w:tr>
      <w:tr>
        <w:tblPrEx>
          <w:tblCellMar>
            <w:top w:w="0" w:type="dxa"/>
            <w:left w:w="108" w:type="dxa"/>
            <w:bottom w:w="0" w:type="dxa"/>
            <w:right w:w="108" w:type="dxa"/>
          </w:tblCellMar>
        </w:tblPrEx>
        <w:trPr>
          <w:trHeight w:val="540" w:hRule="atLeast"/>
        </w:trPr>
        <w:tc>
          <w:tcPr>
            <w:tcW w:w="155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合计</w:t>
            </w:r>
          </w:p>
        </w:tc>
        <w:tc>
          <w:tcPr>
            <w:tcW w:w="1984"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left"/>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　</w:t>
            </w:r>
          </w:p>
        </w:tc>
        <w:tc>
          <w:tcPr>
            <w:tcW w:w="420"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100</w:t>
            </w:r>
          </w:p>
        </w:tc>
        <w:tc>
          <w:tcPr>
            <w:tcW w:w="420"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　</w:t>
            </w:r>
          </w:p>
        </w:tc>
        <w:tc>
          <w:tcPr>
            <w:tcW w:w="622"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　</w:t>
            </w:r>
          </w:p>
        </w:tc>
      </w:tr>
      <w:tr>
        <w:tblPrEx>
          <w:tblCellMar>
            <w:top w:w="0" w:type="dxa"/>
            <w:left w:w="108" w:type="dxa"/>
            <w:bottom w:w="0" w:type="dxa"/>
            <w:right w:w="108" w:type="dxa"/>
          </w:tblCellMar>
        </w:tblPrEx>
        <w:trPr>
          <w:trHeight w:val="480" w:hRule="atLeast"/>
        </w:trPr>
        <w:tc>
          <w:tcPr>
            <w:tcW w:w="3537" w:type="pct"/>
            <w:gridSpan w:val="3"/>
            <w:tcBorders>
              <w:top w:val="single" w:color="auto" w:sz="4" w:space="0"/>
              <w:left w:val="nil"/>
              <w:bottom w:val="nil"/>
              <w:right w:val="nil"/>
            </w:tcBorders>
            <w:shd w:val="clear" w:color="auto" w:fill="auto"/>
            <w:noWrap/>
            <w:vAlign w:val="center"/>
          </w:tcPr>
          <w:p>
            <w:pPr>
              <w:widowControl/>
              <w:shd w:val="clear"/>
              <w:spacing w:after="0" w:line="240" w:lineRule="auto"/>
              <w:jc w:val="left"/>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评分记录人：</w:t>
            </w:r>
          </w:p>
        </w:tc>
        <w:tc>
          <w:tcPr>
            <w:tcW w:w="1463" w:type="pct"/>
            <w:gridSpan w:val="3"/>
            <w:tcBorders>
              <w:top w:val="single" w:color="auto" w:sz="4" w:space="0"/>
              <w:left w:val="nil"/>
              <w:bottom w:val="nil"/>
              <w:right w:val="nil"/>
            </w:tcBorders>
            <w:shd w:val="clear" w:color="auto" w:fill="auto"/>
            <w:noWrap/>
            <w:vAlign w:val="center"/>
          </w:tcPr>
          <w:p>
            <w:pPr>
              <w:widowControl/>
              <w:shd w:val="clear"/>
              <w:spacing w:after="0" w:line="240" w:lineRule="auto"/>
              <w:jc w:val="left"/>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考核时间：</w:t>
            </w:r>
          </w:p>
        </w:tc>
      </w:tr>
    </w:tbl>
    <w:p>
      <w:pPr>
        <w:widowControl w:val="0"/>
        <w:shd w:val="clear"/>
        <w:spacing w:after="160" w:line="278" w:lineRule="auto"/>
        <w:jc w:val="both"/>
        <w:outlineLvl w:val="9"/>
        <w:rPr>
          <w:rFonts w:hint="default" w:ascii="华文中宋" w:hAnsi="Times New Roman" w:eastAsia="华文中宋" w:cs="Times New Roman"/>
          <w:bCs/>
          <w:color w:val="auto"/>
          <w:kern w:val="2"/>
          <w:sz w:val="28"/>
          <w:highlight w:val="none"/>
          <w:lang w:val="zh-CN" w:eastAsia="zh-CN" w:bidi="ar-SA"/>
        </w:rPr>
      </w:pPr>
    </w:p>
    <w:p>
      <w:pPr>
        <w:widowControl w:val="0"/>
        <w:shd w:val="clear"/>
        <w:spacing w:after="160" w:line="278" w:lineRule="auto"/>
        <w:jc w:val="both"/>
        <w:outlineLvl w:val="9"/>
        <w:rPr>
          <w:rFonts w:hint="default" w:ascii="华文中宋" w:hAnsi="Times New Roman" w:eastAsia="华文中宋" w:cs="Times New Roman"/>
          <w:bCs/>
          <w:color w:val="auto"/>
          <w:kern w:val="2"/>
          <w:sz w:val="28"/>
          <w:highlight w:val="none"/>
          <w:lang w:val="zh-CN" w:eastAsia="zh-CN" w:bidi="ar-SA"/>
        </w:rPr>
      </w:pPr>
      <w:r>
        <w:rPr>
          <w:rFonts w:hint="default" w:ascii="华文中宋" w:hAnsi="Times New Roman" w:eastAsia="华文中宋" w:cs="Times New Roman"/>
          <w:bCs/>
          <w:color w:val="auto"/>
          <w:kern w:val="2"/>
          <w:sz w:val="28"/>
          <w:highlight w:val="none"/>
          <w:lang w:val="zh-CN" w:eastAsia="zh-CN" w:bidi="ar-SA"/>
        </w:rPr>
        <w:br w:type="page"/>
      </w:r>
    </w:p>
    <w:tbl>
      <w:tblPr>
        <w:tblStyle w:val="82"/>
        <w:tblW w:w="5000" w:type="pct"/>
        <w:tblInd w:w="0" w:type="dxa"/>
        <w:tblLayout w:type="autofit"/>
        <w:tblCellMar>
          <w:top w:w="0" w:type="dxa"/>
          <w:left w:w="108" w:type="dxa"/>
          <w:bottom w:w="0" w:type="dxa"/>
          <w:right w:w="108" w:type="dxa"/>
        </w:tblCellMar>
      </w:tblPr>
      <w:tblGrid>
        <w:gridCol w:w="1952"/>
        <w:gridCol w:w="1134"/>
        <w:gridCol w:w="2735"/>
        <w:gridCol w:w="807"/>
        <w:gridCol w:w="710"/>
        <w:gridCol w:w="1210"/>
        <w:gridCol w:w="1023"/>
        <w:gridCol w:w="397"/>
      </w:tblGrid>
      <w:tr>
        <w:tblPrEx>
          <w:tblCellMar>
            <w:top w:w="0" w:type="dxa"/>
            <w:left w:w="108" w:type="dxa"/>
            <w:bottom w:w="0" w:type="dxa"/>
            <w:right w:w="108" w:type="dxa"/>
          </w:tblCellMar>
        </w:tblPrEx>
        <w:trPr>
          <w:trHeight w:val="285" w:hRule="atLeast"/>
        </w:trPr>
        <w:tc>
          <w:tcPr>
            <w:tcW w:w="979" w:type="pct"/>
            <w:tcBorders>
              <w:top w:val="nil"/>
              <w:left w:val="nil"/>
              <w:bottom w:val="nil"/>
              <w:right w:val="nil"/>
            </w:tcBorders>
            <w:shd w:val="clear" w:color="auto" w:fill="auto"/>
            <w:noWrap/>
            <w:vAlign w:val="bottom"/>
          </w:tcPr>
          <w:p>
            <w:pPr>
              <w:widowControl/>
              <w:shd w:val="clear"/>
              <w:spacing w:after="0" w:line="240" w:lineRule="auto"/>
              <w:jc w:val="left"/>
              <w:outlineLvl w:val="9"/>
              <w:rPr>
                <w:rFonts w:hint="default"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附表四</w:t>
            </w:r>
          </w:p>
        </w:tc>
        <w:tc>
          <w:tcPr>
            <w:tcW w:w="569" w:type="pct"/>
            <w:tcBorders>
              <w:top w:val="nil"/>
              <w:left w:val="nil"/>
              <w:bottom w:val="nil"/>
              <w:right w:val="nil"/>
            </w:tcBorders>
            <w:shd w:val="clear" w:color="auto" w:fill="auto"/>
            <w:noWrap/>
            <w:vAlign w:val="bottom"/>
          </w:tcPr>
          <w:p>
            <w:pPr>
              <w:widowControl/>
              <w:shd w:val="clear"/>
              <w:spacing w:after="0" w:line="240" w:lineRule="auto"/>
              <w:jc w:val="left"/>
              <w:outlineLvl w:val="9"/>
              <w:rPr>
                <w:rFonts w:hint="eastAsia" w:ascii="宋体" w:hAnsi="宋体" w:eastAsia="宋体" w:cs="宋体"/>
                <w:color w:val="auto"/>
                <w:kern w:val="0"/>
                <w:sz w:val="24"/>
                <w:szCs w:val="24"/>
                <w:highlight w:val="none"/>
                <w:lang w:val="en-US" w:bidi="ar-SA"/>
              </w:rPr>
            </w:pPr>
          </w:p>
        </w:tc>
        <w:tc>
          <w:tcPr>
            <w:tcW w:w="1372" w:type="pct"/>
            <w:tcBorders>
              <w:top w:val="nil"/>
              <w:left w:val="nil"/>
              <w:bottom w:val="nil"/>
              <w:right w:val="nil"/>
            </w:tcBorders>
            <w:shd w:val="clear" w:color="auto" w:fill="auto"/>
            <w:noWrap/>
            <w:vAlign w:val="bottom"/>
          </w:tcPr>
          <w:p>
            <w:pPr>
              <w:widowControl/>
              <w:shd w:val="clear"/>
              <w:spacing w:after="0" w:line="240" w:lineRule="auto"/>
              <w:jc w:val="left"/>
              <w:outlineLvl w:val="9"/>
              <w:rPr>
                <w:rFonts w:hint="default" w:ascii="Times New Roman" w:hAnsi="Times New Roman" w:eastAsia="Times New Roman" w:cs="Times New Roman"/>
                <w:color w:val="auto"/>
                <w:kern w:val="0"/>
                <w:sz w:val="20"/>
                <w:szCs w:val="20"/>
                <w:highlight w:val="none"/>
                <w:lang w:val="en-US" w:bidi="ar-SA"/>
              </w:rPr>
            </w:pPr>
          </w:p>
        </w:tc>
        <w:tc>
          <w:tcPr>
            <w:tcW w:w="405" w:type="pct"/>
            <w:tcBorders>
              <w:top w:val="nil"/>
              <w:left w:val="nil"/>
              <w:bottom w:val="nil"/>
              <w:right w:val="nil"/>
            </w:tcBorders>
            <w:shd w:val="clear" w:color="auto" w:fill="auto"/>
            <w:noWrap/>
            <w:vAlign w:val="bottom"/>
          </w:tcPr>
          <w:p>
            <w:pPr>
              <w:widowControl/>
              <w:shd w:val="clear"/>
              <w:spacing w:after="0" w:line="240" w:lineRule="auto"/>
              <w:jc w:val="left"/>
              <w:outlineLvl w:val="9"/>
              <w:rPr>
                <w:rFonts w:hint="default" w:ascii="Times New Roman" w:hAnsi="Times New Roman" w:eastAsia="Times New Roman" w:cs="Times New Roman"/>
                <w:color w:val="auto"/>
                <w:kern w:val="0"/>
                <w:sz w:val="20"/>
                <w:szCs w:val="20"/>
                <w:highlight w:val="none"/>
                <w:lang w:val="en-US" w:bidi="ar-SA"/>
              </w:rPr>
            </w:pPr>
          </w:p>
        </w:tc>
        <w:tc>
          <w:tcPr>
            <w:tcW w:w="356" w:type="pct"/>
            <w:tcBorders>
              <w:top w:val="nil"/>
              <w:left w:val="nil"/>
              <w:bottom w:val="nil"/>
              <w:right w:val="nil"/>
            </w:tcBorders>
            <w:shd w:val="clear" w:color="auto" w:fill="auto"/>
            <w:noWrap/>
            <w:vAlign w:val="bottom"/>
          </w:tcPr>
          <w:p>
            <w:pPr>
              <w:widowControl/>
              <w:shd w:val="clear"/>
              <w:spacing w:after="0" w:line="240" w:lineRule="auto"/>
              <w:jc w:val="left"/>
              <w:outlineLvl w:val="9"/>
              <w:rPr>
                <w:rFonts w:hint="default" w:ascii="Times New Roman" w:hAnsi="Times New Roman" w:eastAsia="Times New Roman" w:cs="Times New Roman"/>
                <w:color w:val="auto"/>
                <w:kern w:val="0"/>
                <w:sz w:val="20"/>
                <w:szCs w:val="20"/>
                <w:highlight w:val="none"/>
                <w:lang w:val="en-US" w:bidi="ar-SA"/>
              </w:rPr>
            </w:pPr>
          </w:p>
        </w:tc>
        <w:tc>
          <w:tcPr>
            <w:tcW w:w="607" w:type="pct"/>
            <w:tcBorders>
              <w:top w:val="nil"/>
              <w:left w:val="nil"/>
              <w:bottom w:val="nil"/>
              <w:right w:val="nil"/>
            </w:tcBorders>
            <w:shd w:val="clear" w:color="auto" w:fill="auto"/>
            <w:noWrap/>
            <w:vAlign w:val="bottom"/>
          </w:tcPr>
          <w:p>
            <w:pPr>
              <w:widowControl/>
              <w:shd w:val="clear"/>
              <w:spacing w:after="0" w:line="240" w:lineRule="auto"/>
              <w:jc w:val="left"/>
              <w:outlineLvl w:val="9"/>
              <w:rPr>
                <w:rFonts w:hint="default" w:ascii="Times New Roman" w:hAnsi="Times New Roman" w:eastAsia="Times New Roman" w:cs="Times New Roman"/>
                <w:color w:val="auto"/>
                <w:kern w:val="0"/>
                <w:sz w:val="20"/>
                <w:szCs w:val="20"/>
                <w:highlight w:val="none"/>
                <w:lang w:val="en-US" w:bidi="ar-SA"/>
              </w:rPr>
            </w:pPr>
          </w:p>
        </w:tc>
        <w:tc>
          <w:tcPr>
            <w:tcW w:w="513" w:type="pct"/>
            <w:tcBorders>
              <w:top w:val="nil"/>
              <w:left w:val="nil"/>
              <w:bottom w:val="nil"/>
              <w:right w:val="nil"/>
            </w:tcBorders>
            <w:shd w:val="clear" w:color="auto" w:fill="auto"/>
            <w:noWrap/>
            <w:vAlign w:val="bottom"/>
          </w:tcPr>
          <w:p>
            <w:pPr>
              <w:widowControl/>
              <w:shd w:val="clear"/>
              <w:spacing w:after="0" w:line="240" w:lineRule="auto"/>
              <w:jc w:val="left"/>
              <w:outlineLvl w:val="9"/>
              <w:rPr>
                <w:rFonts w:hint="default" w:ascii="Times New Roman" w:hAnsi="Times New Roman" w:eastAsia="Times New Roman" w:cs="Times New Roman"/>
                <w:color w:val="auto"/>
                <w:kern w:val="0"/>
                <w:sz w:val="20"/>
                <w:szCs w:val="20"/>
                <w:highlight w:val="none"/>
                <w:lang w:val="en-US" w:bidi="ar-SA"/>
              </w:rPr>
            </w:pPr>
          </w:p>
        </w:tc>
        <w:tc>
          <w:tcPr>
            <w:tcW w:w="199" w:type="pct"/>
            <w:tcBorders>
              <w:top w:val="nil"/>
              <w:left w:val="nil"/>
              <w:bottom w:val="nil"/>
              <w:right w:val="nil"/>
            </w:tcBorders>
            <w:shd w:val="clear" w:color="auto" w:fill="auto"/>
            <w:noWrap/>
            <w:vAlign w:val="bottom"/>
          </w:tcPr>
          <w:p>
            <w:pPr>
              <w:widowControl/>
              <w:shd w:val="clear"/>
              <w:spacing w:after="0" w:line="240" w:lineRule="auto"/>
              <w:jc w:val="left"/>
              <w:outlineLvl w:val="9"/>
              <w:rPr>
                <w:rFonts w:hint="default" w:ascii="Times New Roman" w:hAnsi="Times New Roman" w:eastAsia="Times New Roman" w:cs="Times New Roman"/>
                <w:color w:val="auto"/>
                <w:kern w:val="0"/>
                <w:sz w:val="20"/>
                <w:szCs w:val="20"/>
                <w:highlight w:val="none"/>
                <w:lang w:val="en-US" w:bidi="ar-SA"/>
              </w:rPr>
            </w:pPr>
          </w:p>
        </w:tc>
      </w:tr>
      <w:tr>
        <w:tblPrEx>
          <w:tblCellMar>
            <w:top w:w="0" w:type="dxa"/>
            <w:left w:w="108" w:type="dxa"/>
            <w:bottom w:w="0" w:type="dxa"/>
            <w:right w:w="108" w:type="dxa"/>
          </w:tblCellMar>
        </w:tblPrEx>
        <w:trPr>
          <w:trHeight w:val="435" w:hRule="atLeast"/>
        </w:trPr>
        <w:tc>
          <w:tcPr>
            <w:tcW w:w="5000" w:type="pct"/>
            <w:gridSpan w:val="8"/>
            <w:tcBorders>
              <w:top w:val="nil"/>
              <w:left w:val="nil"/>
              <w:bottom w:val="nil"/>
              <w:right w:val="nil"/>
            </w:tcBorders>
            <w:shd w:val="clear" w:color="auto" w:fill="auto"/>
            <w:noWrap/>
            <w:vAlign w:val="center"/>
          </w:tcPr>
          <w:p>
            <w:pPr>
              <w:widowControl/>
              <w:shd w:val="clear"/>
              <w:spacing w:after="0" w:line="240" w:lineRule="auto"/>
              <w:jc w:val="center"/>
              <w:outlineLvl w:val="9"/>
              <w:rPr>
                <w:rFonts w:hint="default" w:ascii="宋体" w:hAnsi="宋体" w:eastAsia="宋体" w:cs="宋体"/>
                <w:color w:val="auto"/>
                <w:kern w:val="0"/>
                <w:sz w:val="32"/>
                <w:szCs w:val="32"/>
                <w:highlight w:val="none"/>
                <w:lang w:val="en-US" w:bidi="ar-SA"/>
              </w:rPr>
            </w:pPr>
            <w:r>
              <w:rPr>
                <w:rFonts w:hint="eastAsia" w:ascii="宋体" w:hAnsi="宋体" w:eastAsia="宋体" w:cs="宋体"/>
                <w:color w:val="auto"/>
                <w:kern w:val="0"/>
                <w:sz w:val="32"/>
                <w:szCs w:val="32"/>
                <w:highlight w:val="none"/>
                <w:lang w:val="en-US" w:bidi="ar-SA"/>
              </w:rPr>
              <w:t>无锡市排水运行维护片区运行维护外业考核评分表</w:t>
            </w:r>
          </w:p>
        </w:tc>
      </w:tr>
      <w:tr>
        <w:tblPrEx>
          <w:tblCellMar>
            <w:top w:w="0" w:type="dxa"/>
            <w:left w:w="108" w:type="dxa"/>
            <w:bottom w:w="0" w:type="dxa"/>
            <w:right w:w="108" w:type="dxa"/>
          </w:tblCellMar>
        </w:tblPrEx>
        <w:trPr>
          <w:trHeight w:val="405" w:hRule="atLeast"/>
        </w:trPr>
        <w:tc>
          <w:tcPr>
            <w:tcW w:w="3325" w:type="pct"/>
            <w:gridSpan w:val="4"/>
            <w:tcBorders>
              <w:top w:val="nil"/>
              <w:left w:val="nil"/>
              <w:bottom w:val="nil"/>
              <w:right w:val="nil"/>
            </w:tcBorders>
            <w:shd w:val="clear" w:color="auto" w:fill="auto"/>
            <w:noWrap/>
            <w:vAlign w:val="bottom"/>
          </w:tcPr>
          <w:p>
            <w:pPr>
              <w:widowControl/>
              <w:shd w:val="clear"/>
              <w:spacing w:after="0" w:line="240" w:lineRule="auto"/>
              <w:jc w:val="left"/>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区：</w:t>
            </w:r>
            <w:r>
              <w:rPr>
                <w:rFonts w:hint="eastAsia" w:ascii="仿宋_GB2312" w:hAnsi="宋体" w:eastAsia="仿宋_GB2312" w:cs="宋体"/>
                <w:color w:val="auto"/>
                <w:kern w:val="0"/>
                <w:szCs w:val="21"/>
                <w:highlight w:val="none"/>
                <w:lang w:val="en-US" w:eastAsia="zh-CN" w:bidi="ar-SA"/>
              </w:rPr>
              <w:t xml:space="preserve"> </w:t>
            </w:r>
            <w:r>
              <w:rPr>
                <w:rFonts w:hint="eastAsia" w:ascii="仿宋_GB2312" w:hAnsi="宋体" w:eastAsia="仿宋_GB2312" w:cs="宋体"/>
                <w:color w:val="auto"/>
                <w:kern w:val="0"/>
                <w:szCs w:val="21"/>
                <w:highlight w:val="none"/>
                <w:u w:val="single"/>
                <w:lang w:val="en-US" w:eastAsia="zh-CN" w:bidi="ar-SA"/>
              </w:rPr>
              <w:t xml:space="preserve">    </w:t>
            </w:r>
            <w:r>
              <w:rPr>
                <w:rFonts w:hint="eastAsia" w:ascii="仿宋_GB2312" w:hAnsi="宋体" w:eastAsia="仿宋_GB2312" w:cs="宋体"/>
                <w:color w:val="auto"/>
                <w:kern w:val="0"/>
                <w:szCs w:val="21"/>
                <w:highlight w:val="none"/>
                <w:u w:val="single"/>
                <w:lang w:val="en-US" w:bidi="ar-SA"/>
              </w:rPr>
              <w:t xml:space="preserve"> </w:t>
            </w:r>
            <w:r>
              <w:rPr>
                <w:rFonts w:hint="eastAsia" w:ascii="仿宋_GB2312" w:hAnsi="宋体" w:eastAsia="仿宋_GB2312" w:cs="宋体"/>
                <w:color w:val="auto"/>
                <w:kern w:val="0"/>
                <w:szCs w:val="21"/>
                <w:highlight w:val="none"/>
                <w:lang w:val="en-US" w:bidi="ar-SA"/>
              </w:rPr>
              <w:t>街道：</w:t>
            </w:r>
            <w:r>
              <w:rPr>
                <w:rFonts w:hint="eastAsia" w:ascii="仿宋_GB2312" w:hAnsi="宋体" w:eastAsia="仿宋_GB2312" w:cs="宋体"/>
                <w:color w:val="auto"/>
                <w:kern w:val="0"/>
                <w:szCs w:val="21"/>
                <w:highlight w:val="none"/>
                <w:u w:val="single"/>
                <w:lang w:val="en-US" w:bidi="ar-SA"/>
              </w:rPr>
              <w:t xml:space="preserve">太湖街道 </w:t>
            </w:r>
            <w:r>
              <w:rPr>
                <w:rFonts w:hint="eastAsia" w:ascii="仿宋_GB2312" w:hAnsi="宋体" w:eastAsia="仿宋_GB2312" w:cs="宋体"/>
                <w:color w:val="auto"/>
                <w:kern w:val="0"/>
                <w:szCs w:val="21"/>
                <w:highlight w:val="none"/>
                <w:lang w:val="en-US" w:bidi="ar-SA"/>
              </w:rPr>
              <w:t xml:space="preserve">排水区（编号及名称）：                               </w:t>
            </w:r>
          </w:p>
        </w:tc>
        <w:tc>
          <w:tcPr>
            <w:tcW w:w="356" w:type="pct"/>
            <w:tcBorders>
              <w:top w:val="nil"/>
              <w:left w:val="nil"/>
              <w:bottom w:val="nil"/>
              <w:right w:val="nil"/>
            </w:tcBorders>
            <w:shd w:val="clear" w:color="auto" w:fill="auto"/>
            <w:noWrap/>
            <w:vAlign w:val="bottom"/>
          </w:tcPr>
          <w:p>
            <w:pPr>
              <w:widowControl/>
              <w:shd w:val="clear"/>
              <w:spacing w:after="0" w:line="240" w:lineRule="auto"/>
              <w:jc w:val="left"/>
              <w:outlineLvl w:val="9"/>
              <w:rPr>
                <w:rFonts w:hint="eastAsia" w:ascii="仿宋_GB2312" w:hAnsi="宋体" w:eastAsia="仿宋_GB2312" w:cs="宋体"/>
                <w:color w:val="auto"/>
                <w:kern w:val="0"/>
                <w:szCs w:val="21"/>
                <w:highlight w:val="none"/>
                <w:lang w:val="en-US" w:bidi="ar-SA"/>
              </w:rPr>
            </w:pPr>
          </w:p>
        </w:tc>
        <w:tc>
          <w:tcPr>
            <w:tcW w:w="1319" w:type="pct"/>
            <w:gridSpan w:val="3"/>
            <w:tcBorders>
              <w:top w:val="nil"/>
              <w:left w:val="nil"/>
              <w:bottom w:val="single" w:color="auto" w:sz="4" w:space="0"/>
              <w:right w:val="nil"/>
            </w:tcBorders>
            <w:shd w:val="clear" w:color="auto" w:fill="auto"/>
            <w:noWrap/>
            <w:vAlign w:val="bottom"/>
          </w:tcPr>
          <w:p>
            <w:pPr>
              <w:widowControl/>
              <w:shd w:val="clear"/>
              <w:spacing w:after="0" w:line="240" w:lineRule="auto"/>
              <w:jc w:val="center"/>
              <w:outlineLvl w:val="9"/>
              <w:rPr>
                <w:rFonts w:hint="default"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日期：   年  月  日</w:t>
            </w:r>
          </w:p>
        </w:tc>
      </w:tr>
      <w:tr>
        <w:tblPrEx>
          <w:tblCellMar>
            <w:top w:w="0" w:type="dxa"/>
            <w:left w:w="108" w:type="dxa"/>
            <w:bottom w:w="0" w:type="dxa"/>
            <w:right w:w="108" w:type="dxa"/>
          </w:tblCellMar>
        </w:tblPrEx>
        <w:trPr>
          <w:trHeight w:val="390" w:hRule="atLeast"/>
        </w:trPr>
        <w:tc>
          <w:tcPr>
            <w:tcW w:w="979"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考核项目</w:t>
            </w:r>
          </w:p>
        </w:tc>
        <w:tc>
          <w:tcPr>
            <w:tcW w:w="569" w:type="pct"/>
            <w:tcBorders>
              <w:top w:val="single" w:color="auto" w:sz="4" w:space="0"/>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考核内容</w:t>
            </w:r>
          </w:p>
        </w:tc>
        <w:tc>
          <w:tcPr>
            <w:tcW w:w="1372" w:type="pct"/>
            <w:tcBorders>
              <w:top w:val="single" w:color="auto" w:sz="4" w:space="0"/>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考核标准</w:t>
            </w:r>
          </w:p>
        </w:tc>
        <w:tc>
          <w:tcPr>
            <w:tcW w:w="405" w:type="pct"/>
            <w:tcBorders>
              <w:top w:val="single" w:color="auto" w:sz="4" w:space="0"/>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分值</w:t>
            </w:r>
          </w:p>
        </w:tc>
        <w:tc>
          <w:tcPr>
            <w:tcW w:w="356" w:type="pct"/>
            <w:tcBorders>
              <w:top w:val="single" w:color="auto" w:sz="4" w:space="0"/>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评分</w:t>
            </w:r>
          </w:p>
        </w:tc>
        <w:tc>
          <w:tcPr>
            <w:tcW w:w="1319" w:type="pct"/>
            <w:gridSpan w:val="3"/>
            <w:tcBorders>
              <w:top w:val="single" w:color="auto" w:sz="4" w:space="0"/>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考核情况</w:t>
            </w:r>
          </w:p>
        </w:tc>
      </w:tr>
      <w:tr>
        <w:tblPrEx>
          <w:tblCellMar>
            <w:top w:w="0" w:type="dxa"/>
            <w:left w:w="108" w:type="dxa"/>
            <w:bottom w:w="0" w:type="dxa"/>
            <w:right w:w="108" w:type="dxa"/>
          </w:tblCellMar>
        </w:tblPrEx>
        <w:trPr>
          <w:trHeight w:val="585" w:hRule="atLeast"/>
        </w:trPr>
        <w:tc>
          <w:tcPr>
            <w:tcW w:w="979" w:type="pct"/>
            <w:vMerge w:val="restart"/>
            <w:tcBorders>
              <w:top w:val="nil"/>
              <w:left w:val="single" w:color="auto" w:sz="4" w:space="0"/>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雨污分流（10分）</w:t>
            </w:r>
          </w:p>
        </w:tc>
        <w:tc>
          <w:tcPr>
            <w:tcW w:w="569"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雨污分流</w:t>
            </w:r>
          </w:p>
        </w:tc>
        <w:tc>
          <w:tcPr>
            <w:tcW w:w="1372"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雨污水完全分流，雨污检查井之间水位有高低，从水质能分辩出污水和雨水</w:t>
            </w:r>
          </w:p>
        </w:tc>
        <w:tc>
          <w:tcPr>
            <w:tcW w:w="405"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5</w:t>
            </w:r>
          </w:p>
        </w:tc>
        <w:tc>
          <w:tcPr>
            <w:tcW w:w="356"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　</w:t>
            </w:r>
          </w:p>
        </w:tc>
        <w:tc>
          <w:tcPr>
            <w:tcW w:w="1319" w:type="pct"/>
            <w:gridSpan w:val="3"/>
            <w:tcBorders>
              <w:top w:val="single" w:color="auto" w:sz="4" w:space="0"/>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　</w:t>
            </w:r>
          </w:p>
        </w:tc>
      </w:tr>
      <w:tr>
        <w:tblPrEx>
          <w:tblCellMar>
            <w:top w:w="0" w:type="dxa"/>
            <w:left w:w="108" w:type="dxa"/>
            <w:bottom w:w="0" w:type="dxa"/>
            <w:right w:w="108" w:type="dxa"/>
          </w:tblCellMar>
        </w:tblPrEx>
        <w:trPr>
          <w:trHeight w:val="360" w:hRule="atLeast"/>
        </w:trPr>
        <w:tc>
          <w:tcPr>
            <w:tcW w:w="979" w:type="pct"/>
            <w:vMerge w:val="continue"/>
            <w:tcBorders>
              <w:top w:val="nil"/>
              <w:left w:val="single" w:color="auto" w:sz="4" w:space="0"/>
              <w:bottom w:val="single" w:color="auto" w:sz="4" w:space="0"/>
              <w:right w:val="single" w:color="auto" w:sz="4" w:space="0"/>
            </w:tcBorders>
            <w:vAlign w:val="center"/>
          </w:tcPr>
          <w:p>
            <w:pPr>
              <w:widowControl/>
              <w:shd w:val="clear"/>
              <w:spacing w:after="0" w:line="240" w:lineRule="auto"/>
              <w:jc w:val="left"/>
              <w:outlineLvl w:val="9"/>
              <w:rPr>
                <w:rFonts w:hint="default" w:ascii="仿宋_GB2312" w:hAnsi="宋体" w:eastAsia="仿宋_GB2312" w:cs="宋体"/>
                <w:color w:val="auto"/>
                <w:kern w:val="0"/>
                <w:sz w:val="24"/>
                <w:szCs w:val="24"/>
                <w:highlight w:val="none"/>
                <w:lang w:val="en-US" w:bidi="ar-SA"/>
              </w:rPr>
            </w:pPr>
          </w:p>
        </w:tc>
        <w:tc>
          <w:tcPr>
            <w:tcW w:w="569"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污水不私接</w:t>
            </w:r>
          </w:p>
        </w:tc>
        <w:tc>
          <w:tcPr>
            <w:tcW w:w="1372"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污水不私接、新增阳台污水及时上报</w:t>
            </w:r>
          </w:p>
        </w:tc>
        <w:tc>
          <w:tcPr>
            <w:tcW w:w="405"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5</w:t>
            </w:r>
          </w:p>
        </w:tc>
        <w:tc>
          <w:tcPr>
            <w:tcW w:w="356"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　</w:t>
            </w:r>
          </w:p>
        </w:tc>
        <w:tc>
          <w:tcPr>
            <w:tcW w:w="1319" w:type="pct"/>
            <w:gridSpan w:val="3"/>
            <w:tcBorders>
              <w:top w:val="single" w:color="auto" w:sz="4" w:space="0"/>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　</w:t>
            </w:r>
          </w:p>
        </w:tc>
      </w:tr>
      <w:tr>
        <w:tblPrEx>
          <w:tblCellMar>
            <w:top w:w="0" w:type="dxa"/>
            <w:left w:w="108" w:type="dxa"/>
            <w:bottom w:w="0" w:type="dxa"/>
            <w:right w:w="108" w:type="dxa"/>
          </w:tblCellMar>
        </w:tblPrEx>
        <w:trPr>
          <w:trHeight w:val="390" w:hRule="atLeast"/>
        </w:trPr>
        <w:tc>
          <w:tcPr>
            <w:tcW w:w="979" w:type="pct"/>
            <w:vMerge w:val="restart"/>
            <w:tcBorders>
              <w:top w:val="nil"/>
              <w:left w:val="single" w:color="auto" w:sz="4" w:space="0"/>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检查井（50分）</w:t>
            </w:r>
          </w:p>
        </w:tc>
        <w:tc>
          <w:tcPr>
            <w:tcW w:w="569"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违章占压</w:t>
            </w:r>
          </w:p>
        </w:tc>
        <w:tc>
          <w:tcPr>
            <w:tcW w:w="1372"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无违章物品占压，不被移作他用</w:t>
            </w:r>
          </w:p>
        </w:tc>
        <w:tc>
          <w:tcPr>
            <w:tcW w:w="405"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5</w:t>
            </w:r>
          </w:p>
        </w:tc>
        <w:tc>
          <w:tcPr>
            <w:tcW w:w="356"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　</w:t>
            </w:r>
          </w:p>
        </w:tc>
        <w:tc>
          <w:tcPr>
            <w:tcW w:w="1319" w:type="pct"/>
            <w:gridSpan w:val="3"/>
            <w:tcBorders>
              <w:top w:val="single" w:color="auto" w:sz="4" w:space="0"/>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　</w:t>
            </w:r>
          </w:p>
        </w:tc>
      </w:tr>
      <w:tr>
        <w:tblPrEx>
          <w:tblCellMar>
            <w:top w:w="0" w:type="dxa"/>
            <w:left w:w="108" w:type="dxa"/>
            <w:bottom w:w="0" w:type="dxa"/>
            <w:right w:w="108" w:type="dxa"/>
          </w:tblCellMar>
        </w:tblPrEx>
        <w:trPr>
          <w:trHeight w:val="570" w:hRule="atLeast"/>
        </w:trPr>
        <w:tc>
          <w:tcPr>
            <w:tcW w:w="979" w:type="pct"/>
            <w:vMerge w:val="continue"/>
            <w:tcBorders>
              <w:top w:val="nil"/>
              <w:left w:val="single" w:color="auto" w:sz="4" w:space="0"/>
              <w:bottom w:val="single" w:color="auto" w:sz="4" w:space="0"/>
              <w:right w:val="single" w:color="auto" w:sz="4" w:space="0"/>
            </w:tcBorders>
            <w:vAlign w:val="center"/>
          </w:tcPr>
          <w:p>
            <w:pPr>
              <w:widowControl/>
              <w:shd w:val="clear"/>
              <w:spacing w:after="0" w:line="240" w:lineRule="auto"/>
              <w:jc w:val="left"/>
              <w:outlineLvl w:val="9"/>
              <w:rPr>
                <w:rFonts w:hint="default" w:ascii="仿宋_GB2312" w:hAnsi="宋体" w:eastAsia="仿宋_GB2312" w:cs="宋体"/>
                <w:color w:val="auto"/>
                <w:kern w:val="0"/>
                <w:sz w:val="24"/>
                <w:szCs w:val="24"/>
                <w:highlight w:val="none"/>
                <w:lang w:val="en-US" w:bidi="ar-SA"/>
              </w:rPr>
            </w:pPr>
          </w:p>
        </w:tc>
        <w:tc>
          <w:tcPr>
            <w:tcW w:w="569"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积泥深度</w:t>
            </w:r>
          </w:p>
        </w:tc>
        <w:tc>
          <w:tcPr>
            <w:tcW w:w="1372"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无硬块杂物，落底井不超过下游管底以下50mm；流槽井不超过1/6管径</w:t>
            </w:r>
          </w:p>
        </w:tc>
        <w:tc>
          <w:tcPr>
            <w:tcW w:w="405"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10</w:t>
            </w:r>
          </w:p>
        </w:tc>
        <w:tc>
          <w:tcPr>
            <w:tcW w:w="356"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　</w:t>
            </w:r>
          </w:p>
        </w:tc>
        <w:tc>
          <w:tcPr>
            <w:tcW w:w="1319" w:type="pct"/>
            <w:gridSpan w:val="3"/>
            <w:tcBorders>
              <w:top w:val="single" w:color="auto" w:sz="4" w:space="0"/>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　</w:t>
            </w:r>
          </w:p>
        </w:tc>
      </w:tr>
      <w:tr>
        <w:tblPrEx>
          <w:tblCellMar>
            <w:top w:w="0" w:type="dxa"/>
            <w:left w:w="108" w:type="dxa"/>
            <w:bottom w:w="0" w:type="dxa"/>
            <w:right w:w="108" w:type="dxa"/>
          </w:tblCellMar>
        </w:tblPrEx>
        <w:trPr>
          <w:trHeight w:val="390" w:hRule="atLeast"/>
        </w:trPr>
        <w:tc>
          <w:tcPr>
            <w:tcW w:w="979" w:type="pct"/>
            <w:vMerge w:val="continue"/>
            <w:tcBorders>
              <w:top w:val="nil"/>
              <w:left w:val="single" w:color="auto" w:sz="4" w:space="0"/>
              <w:bottom w:val="single" w:color="auto" w:sz="4" w:space="0"/>
              <w:right w:val="single" w:color="auto" w:sz="4" w:space="0"/>
            </w:tcBorders>
            <w:vAlign w:val="center"/>
          </w:tcPr>
          <w:p>
            <w:pPr>
              <w:widowControl/>
              <w:shd w:val="clear"/>
              <w:spacing w:after="0" w:line="240" w:lineRule="auto"/>
              <w:jc w:val="left"/>
              <w:outlineLvl w:val="9"/>
              <w:rPr>
                <w:rFonts w:hint="default" w:ascii="仿宋_GB2312" w:hAnsi="宋体" w:eastAsia="仿宋_GB2312" w:cs="宋体"/>
                <w:color w:val="auto"/>
                <w:kern w:val="0"/>
                <w:sz w:val="24"/>
                <w:szCs w:val="24"/>
                <w:highlight w:val="none"/>
                <w:lang w:val="en-US" w:bidi="ar-SA"/>
              </w:rPr>
            </w:pPr>
          </w:p>
        </w:tc>
        <w:tc>
          <w:tcPr>
            <w:tcW w:w="569"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井壁</w:t>
            </w:r>
          </w:p>
        </w:tc>
        <w:tc>
          <w:tcPr>
            <w:tcW w:w="1372"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无裂缝、剥落；四壁老膏平均厚度不大于20mm</w:t>
            </w:r>
          </w:p>
        </w:tc>
        <w:tc>
          <w:tcPr>
            <w:tcW w:w="405"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6</w:t>
            </w:r>
          </w:p>
        </w:tc>
        <w:tc>
          <w:tcPr>
            <w:tcW w:w="356"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　</w:t>
            </w:r>
          </w:p>
        </w:tc>
        <w:tc>
          <w:tcPr>
            <w:tcW w:w="1319" w:type="pct"/>
            <w:gridSpan w:val="3"/>
            <w:tcBorders>
              <w:top w:val="single" w:color="auto" w:sz="4" w:space="0"/>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　</w:t>
            </w:r>
          </w:p>
        </w:tc>
      </w:tr>
      <w:tr>
        <w:tblPrEx>
          <w:tblCellMar>
            <w:top w:w="0" w:type="dxa"/>
            <w:left w:w="108" w:type="dxa"/>
            <w:bottom w:w="0" w:type="dxa"/>
            <w:right w:w="108" w:type="dxa"/>
          </w:tblCellMar>
        </w:tblPrEx>
        <w:trPr>
          <w:trHeight w:val="375" w:hRule="atLeast"/>
        </w:trPr>
        <w:tc>
          <w:tcPr>
            <w:tcW w:w="979" w:type="pct"/>
            <w:vMerge w:val="continue"/>
            <w:tcBorders>
              <w:top w:val="nil"/>
              <w:left w:val="single" w:color="auto" w:sz="4" w:space="0"/>
              <w:bottom w:val="single" w:color="auto" w:sz="4" w:space="0"/>
              <w:right w:val="single" w:color="auto" w:sz="4" w:space="0"/>
            </w:tcBorders>
            <w:vAlign w:val="center"/>
          </w:tcPr>
          <w:p>
            <w:pPr>
              <w:widowControl/>
              <w:shd w:val="clear"/>
              <w:spacing w:after="0" w:line="240" w:lineRule="auto"/>
              <w:jc w:val="left"/>
              <w:outlineLvl w:val="9"/>
              <w:rPr>
                <w:rFonts w:hint="default" w:ascii="仿宋_GB2312" w:hAnsi="宋体" w:eastAsia="仿宋_GB2312" w:cs="宋体"/>
                <w:color w:val="auto"/>
                <w:kern w:val="0"/>
                <w:sz w:val="24"/>
                <w:szCs w:val="24"/>
                <w:highlight w:val="none"/>
                <w:lang w:val="en-US" w:bidi="ar-SA"/>
              </w:rPr>
            </w:pPr>
          </w:p>
        </w:tc>
        <w:tc>
          <w:tcPr>
            <w:tcW w:w="569"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爬梯</w:t>
            </w:r>
          </w:p>
        </w:tc>
        <w:tc>
          <w:tcPr>
            <w:tcW w:w="1372"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牢固无锈蚀（08年以前老井，对现状情况打报告备案）</w:t>
            </w:r>
          </w:p>
        </w:tc>
        <w:tc>
          <w:tcPr>
            <w:tcW w:w="405"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6</w:t>
            </w:r>
          </w:p>
        </w:tc>
        <w:tc>
          <w:tcPr>
            <w:tcW w:w="356"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　</w:t>
            </w:r>
          </w:p>
        </w:tc>
        <w:tc>
          <w:tcPr>
            <w:tcW w:w="1319" w:type="pct"/>
            <w:gridSpan w:val="3"/>
            <w:tcBorders>
              <w:top w:val="single" w:color="auto" w:sz="4" w:space="0"/>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　</w:t>
            </w:r>
          </w:p>
        </w:tc>
      </w:tr>
      <w:tr>
        <w:tblPrEx>
          <w:tblCellMar>
            <w:top w:w="0" w:type="dxa"/>
            <w:left w:w="108" w:type="dxa"/>
            <w:bottom w:w="0" w:type="dxa"/>
            <w:right w:w="108" w:type="dxa"/>
          </w:tblCellMar>
        </w:tblPrEx>
        <w:trPr>
          <w:trHeight w:val="660" w:hRule="atLeast"/>
        </w:trPr>
        <w:tc>
          <w:tcPr>
            <w:tcW w:w="979" w:type="pct"/>
            <w:vMerge w:val="continue"/>
            <w:tcBorders>
              <w:top w:val="nil"/>
              <w:left w:val="single" w:color="auto" w:sz="4" w:space="0"/>
              <w:bottom w:val="single" w:color="auto" w:sz="4" w:space="0"/>
              <w:right w:val="single" w:color="auto" w:sz="4" w:space="0"/>
            </w:tcBorders>
            <w:vAlign w:val="center"/>
          </w:tcPr>
          <w:p>
            <w:pPr>
              <w:widowControl/>
              <w:shd w:val="clear"/>
              <w:spacing w:after="0" w:line="240" w:lineRule="auto"/>
              <w:jc w:val="left"/>
              <w:outlineLvl w:val="9"/>
              <w:rPr>
                <w:rFonts w:hint="default" w:ascii="仿宋_GB2312" w:hAnsi="宋体" w:eastAsia="仿宋_GB2312" w:cs="宋体"/>
                <w:color w:val="auto"/>
                <w:kern w:val="0"/>
                <w:sz w:val="24"/>
                <w:szCs w:val="24"/>
                <w:highlight w:val="none"/>
                <w:lang w:val="en-US" w:bidi="ar-SA"/>
              </w:rPr>
            </w:pPr>
          </w:p>
        </w:tc>
        <w:tc>
          <w:tcPr>
            <w:tcW w:w="569"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井框</w:t>
            </w:r>
          </w:p>
        </w:tc>
        <w:tc>
          <w:tcPr>
            <w:tcW w:w="1372"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无位移，无破损、缺陷，平稳不动摇；盖框高低差不大于10mm，井框与路面高差不大于±15mm或者按设计要求考核</w:t>
            </w:r>
          </w:p>
        </w:tc>
        <w:tc>
          <w:tcPr>
            <w:tcW w:w="405"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8</w:t>
            </w:r>
          </w:p>
        </w:tc>
        <w:tc>
          <w:tcPr>
            <w:tcW w:w="356"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　</w:t>
            </w:r>
          </w:p>
        </w:tc>
        <w:tc>
          <w:tcPr>
            <w:tcW w:w="1319" w:type="pct"/>
            <w:gridSpan w:val="3"/>
            <w:tcBorders>
              <w:top w:val="single" w:color="auto" w:sz="4" w:space="0"/>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　</w:t>
            </w:r>
          </w:p>
        </w:tc>
      </w:tr>
      <w:tr>
        <w:tblPrEx>
          <w:tblCellMar>
            <w:top w:w="0" w:type="dxa"/>
            <w:left w:w="108" w:type="dxa"/>
            <w:bottom w:w="0" w:type="dxa"/>
            <w:right w:w="108" w:type="dxa"/>
          </w:tblCellMar>
        </w:tblPrEx>
        <w:trPr>
          <w:trHeight w:val="615" w:hRule="atLeast"/>
        </w:trPr>
        <w:tc>
          <w:tcPr>
            <w:tcW w:w="979" w:type="pct"/>
            <w:vMerge w:val="continue"/>
            <w:tcBorders>
              <w:top w:val="nil"/>
              <w:left w:val="single" w:color="auto" w:sz="4" w:space="0"/>
              <w:bottom w:val="single" w:color="auto" w:sz="4" w:space="0"/>
              <w:right w:val="single" w:color="auto" w:sz="4" w:space="0"/>
            </w:tcBorders>
            <w:vAlign w:val="center"/>
          </w:tcPr>
          <w:p>
            <w:pPr>
              <w:widowControl/>
              <w:shd w:val="clear"/>
              <w:spacing w:after="0" w:line="240" w:lineRule="auto"/>
              <w:jc w:val="left"/>
              <w:outlineLvl w:val="9"/>
              <w:rPr>
                <w:rFonts w:hint="default" w:ascii="仿宋_GB2312" w:hAnsi="宋体" w:eastAsia="仿宋_GB2312" w:cs="宋体"/>
                <w:color w:val="auto"/>
                <w:kern w:val="0"/>
                <w:sz w:val="24"/>
                <w:szCs w:val="24"/>
                <w:highlight w:val="none"/>
                <w:lang w:val="en-US" w:bidi="ar-SA"/>
              </w:rPr>
            </w:pPr>
          </w:p>
        </w:tc>
        <w:tc>
          <w:tcPr>
            <w:tcW w:w="569"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井盖</w:t>
            </w:r>
          </w:p>
        </w:tc>
        <w:tc>
          <w:tcPr>
            <w:tcW w:w="1372"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无缺失、破损、裂缝；启闭灵活；标志正确（08年以前老井，对现状情况打报告备案）</w:t>
            </w:r>
          </w:p>
        </w:tc>
        <w:tc>
          <w:tcPr>
            <w:tcW w:w="405"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15</w:t>
            </w:r>
          </w:p>
        </w:tc>
        <w:tc>
          <w:tcPr>
            <w:tcW w:w="356"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　</w:t>
            </w:r>
          </w:p>
        </w:tc>
        <w:tc>
          <w:tcPr>
            <w:tcW w:w="1319" w:type="pct"/>
            <w:gridSpan w:val="3"/>
            <w:tcBorders>
              <w:top w:val="single" w:color="auto" w:sz="4" w:space="0"/>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　</w:t>
            </w:r>
          </w:p>
        </w:tc>
      </w:tr>
      <w:tr>
        <w:tblPrEx>
          <w:tblCellMar>
            <w:top w:w="0" w:type="dxa"/>
            <w:left w:w="108" w:type="dxa"/>
            <w:bottom w:w="0" w:type="dxa"/>
            <w:right w:w="108" w:type="dxa"/>
          </w:tblCellMar>
        </w:tblPrEx>
        <w:trPr>
          <w:trHeight w:val="600" w:hRule="atLeast"/>
        </w:trPr>
        <w:tc>
          <w:tcPr>
            <w:tcW w:w="979" w:type="pct"/>
            <w:vMerge w:val="restart"/>
            <w:tcBorders>
              <w:top w:val="nil"/>
              <w:left w:val="single" w:color="auto" w:sz="4" w:space="0"/>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管 道（25分）</w:t>
            </w:r>
          </w:p>
        </w:tc>
        <w:tc>
          <w:tcPr>
            <w:tcW w:w="569"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积泥深度</w:t>
            </w:r>
          </w:p>
        </w:tc>
        <w:tc>
          <w:tcPr>
            <w:tcW w:w="1372"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不超过管径的1/5，过河管不超过管径的2/5（大于300mm水位的可以采用声纳检查）</w:t>
            </w:r>
          </w:p>
        </w:tc>
        <w:tc>
          <w:tcPr>
            <w:tcW w:w="405"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10</w:t>
            </w:r>
          </w:p>
        </w:tc>
        <w:tc>
          <w:tcPr>
            <w:tcW w:w="356"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　</w:t>
            </w:r>
          </w:p>
        </w:tc>
        <w:tc>
          <w:tcPr>
            <w:tcW w:w="1319" w:type="pct"/>
            <w:gridSpan w:val="3"/>
            <w:tcBorders>
              <w:top w:val="single" w:color="auto" w:sz="4" w:space="0"/>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　</w:t>
            </w:r>
          </w:p>
        </w:tc>
      </w:tr>
      <w:tr>
        <w:tblPrEx>
          <w:tblCellMar>
            <w:top w:w="0" w:type="dxa"/>
            <w:left w:w="108" w:type="dxa"/>
            <w:bottom w:w="0" w:type="dxa"/>
            <w:right w:w="108" w:type="dxa"/>
          </w:tblCellMar>
        </w:tblPrEx>
        <w:trPr>
          <w:trHeight w:val="345" w:hRule="atLeast"/>
        </w:trPr>
        <w:tc>
          <w:tcPr>
            <w:tcW w:w="979" w:type="pct"/>
            <w:vMerge w:val="continue"/>
            <w:tcBorders>
              <w:top w:val="nil"/>
              <w:left w:val="single" w:color="auto" w:sz="4" w:space="0"/>
              <w:bottom w:val="single" w:color="auto" w:sz="4" w:space="0"/>
              <w:right w:val="single" w:color="auto" w:sz="4" w:space="0"/>
            </w:tcBorders>
            <w:vAlign w:val="center"/>
          </w:tcPr>
          <w:p>
            <w:pPr>
              <w:widowControl/>
              <w:shd w:val="clear"/>
              <w:spacing w:after="0" w:line="240" w:lineRule="auto"/>
              <w:jc w:val="left"/>
              <w:outlineLvl w:val="9"/>
              <w:rPr>
                <w:rFonts w:hint="default" w:ascii="仿宋_GB2312" w:hAnsi="宋体" w:eastAsia="仿宋_GB2312" w:cs="宋体"/>
                <w:color w:val="auto"/>
                <w:kern w:val="0"/>
                <w:sz w:val="24"/>
                <w:szCs w:val="24"/>
                <w:highlight w:val="none"/>
                <w:lang w:val="en-US" w:bidi="ar-SA"/>
              </w:rPr>
            </w:pPr>
          </w:p>
        </w:tc>
        <w:tc>
          <w:tcPr>
            <w:tcW w:w="569"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管道状况</w:t>
            </w:r>
          </w:p>
        </w:tc>
        <w:tc>
          <w:tcPr>
            <w:tcW w:w="1372"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无裂缝、变形、错位脱节等结构功能缺陷</w:t>
            </w:r>
          </w:p>
        </w:tc>
        <w:tc>
          <w:tcPr>
            <w:tcW w:w="405"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10</w:t>
            </w:r>
          </w:p>
        </w:tc>
        <w:tc>
          <w:tcPr>
            <w:tcW w:w="356"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　</w:t>
            </w:r>
          </w:p>
        </w:tc>
        <w:tc>
          <w:tcPr>
            <w:tcW w:w="1319" w:type="pct"/>
            <w:gridSpan w:val="3"/>
            <w:tcBorders>
              <w:top w:val="single" w:color="auto" w:sz="4" w:space="0"/>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　</w:t>
            </w:r>
          </w:p>
        </w:tc>
      </w:tr>
      <w:tr>
        <w:tblPrEx>
          <w:tblCellMar>
            <w:top w:w="0" w:type="dxa"/>
            <w:left w:w="108" w:type="dxa"/>
            <w:bottom w:w="0" w:type="dxa"/>
            <w:right w:w="108" w:type="dxa"/>
          </w:tblCellMar>
        </w:tblPrEx>
        <w:trPr>
          <w:trHeight w:val="345" w:hRule="atLeast"/>
        </w:trPr>
        <w:tc>
          <w:tcPr>
            <w:tcW w:w="979" w:type="pct"/>
            <w:vMerge w:val="continue"/>
            <w:tcBorders>
              <w:top w:val="nil"/>
              <w:left w:val="single" w:color="auto" w:sz="4" w:space="0"/>
              <w:bottom w:val="single" w:color="auto" w:sz="4" w:space="0"/>
              <w:right w:val="single" w:color="auto" w:sz="4" w:space="0"/>
            </w:tcBorders>
            <w:vAlign w:val="center"/>
          </w:tcPr>
          <w:p>
            <w:pPr>
              <w:widowControl/>
              <w:shd w:val="clear"/>
              <w:spacing w:after="0" w:line="240" w:lineRule="auto"/>
              <w:jc w:val="left"/>
              <w:outlineLvl w:val="9"/>
              <w:rPr>
                <w:rFonts w:hint="default" w:ascii="仿宋_GB2312" w:hAnsi="宋体" w:eastAsia="仿宋_GB2312" w:cs="宋体"/>
                <w:color w:val="auto"/>
                <w:kern w:val="0"/>
                <w:sz w:val="24"/>
                <w:szCs w:val="24"/>
                <w:highlight w:val="none"/>
                <w:lang w:val="en-US" w:bidi="ar-SA"/>
              </w:rPr>
            </w:pPr>
          </w:p>
        </w:tc>
        <w:tc>
          <w:tcPr>
            <w:tcW w:w="569"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水流情况</w:t>
            </w:r>
          </w:p>
        </w:tc>
        <w:tc>
          <w:tcPr>
            <w:tcW w:w="1372"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水流畅通</w:t>
            </w:r>
          </w:p>
        </w:tc>
        <w:tc>
          <w:tcPr>
            <w:tcW w:w="405"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5</w:t>
            </w:r>
          </w:p>
        </w:tc>
        <w:tc>
          <w:tcPr>
            <w:tcW w:w="356"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　</w:t>
            </w:r>
          </w:p>
        </w:tc>
        <w:tc>
          <w:tcPr>
            <w:tcW w:w="1319" w:type="pct"/>
            <w:gridSpan w:val="3"/>
            <w:tcBorders>
              <w:top w:val="single" w:color="auto" w:sz="4" w:space="0"/>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　</w:t>
            </w:r>
          </w:p>
        </w:tc>
      </w:tr>
      <w:tr>
        <w:tblPrEx>
          <w:tblCellMar>
            <w:top w:w="0" w:type="dxa"/>
            <w:left w:w="108" w:type="dxa"/>
            <w:bottom w:w="0" w:type="dxa"/>
            <w:right w:w="108" w:type="dxa"/>
          </w:tblCellMar>
        </w:tblPrEx>
        <w:trPr>
          <w:trHeight w:val="345" w:hRule="atLeast"/>
        </w:trPr>
        <w:tc>
          <w:tcPr>
            <w:tcW w:w="979" w:type="pct"/>
            <w:vMerge w:val="restart"/>
            <w:tcBorders>
              <w:top w:val="nil"/>
              <w:left w:val="single" w:color="auto" w:sz="4" w:space="0"/>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外墙立管（15分）</w:t>
            </w:r>
          </w:p>
        </w:tc>
        <w:tc>
          <w:tcPr>
            <w:tcW w:w="569"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总管</w:t>
            </w:r>
          </w:p>
        </w:tc>
        <w:tc>
          <w:tcPr>
            <w:tcW w:w="1372"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立管支架牢固，管材无破损、透气帽、接入口、下水封完好</w:t>
            </w:r>
          </w:p>
        </w:tc>
        <w:tc>
          <w:tcPr>
            <w:tcW w:w="405"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5</w:t>
            </w:r>
          </w:p>
        </w:tc>
        <w:tc>
          <w:tcPr>
            <w:tcW w:w="356"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　</w:t>
            </w:r>
          </w:p>
        </w:tc>
        <w:tc>
          <w:tcPr>
            <w:tcW w:w="1319" w:type="pct"/>
            <w:gridSpan w:val="3"/>
            <w:tcBorders>
              <w:top w:val="single" w:color="auto" w:sz="4" w:space="0"/>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　</w:t>
            </w:r>
          </w:p>
        </w:tc>
      </w:tr>
      <w:tr>
        <w:tblPrEx>
          <w:tblCellMar>
            <w:top w:w="0" w:type="dxa"/>
            <w:left w:w="108" w:type="dxa"/>
            <w:bottom w:w="0" w:type="dxa"/>
            <w:right w:w="108" w:type="dxa"/>
          </w:tblCellMar>
        </w:tblPrEx>
        <w:trPr>
          <w:trHeight w:val="345" w:hRule="atLeast"/>
        </w:trPr>
        <w:tc>
          <w:tcPr>
            <w:tcW w:w="979" w:type="pct"/>
            <w:vMerge w:val="continue"/>
            <w:tcBorders>
              <w:top w:val="nil"/>
              <w:left w:val="single" w:color="auto" w:sz="4" w:space="0"/>
              <w:bottom w:val="single" w:color="auto" w:sz="4" w:space="0"/>
              <w:right w:val="single" w:color="auto" w:sz="4" w:space="0"/>
            </w:tcBorders>
            <w:vAlign w:val="center"/>
          </w:tcPr>
          <w:p>
            <w:pPr>
              <w:widowControl/>
              <w:shd w:val="clear"/>
              <w:spacing w:after="0" w:line="240" w:lineRule="auto"/>
              <w:jc w:val="left"/>
              <w:outlineLvl w:val="9"/>
              <w:rPr>
                <w:rFonts w:hint="default" w:ascii="仿宋_GB2312" w:hAnsi="宋体" w:eastAsia="仿宋_GB2312" w:cs="宋体"/>
                <w:color w:val="auto"/>
                <w:kern w:val="0"/>
                <w:sz w:val="24"/>
                <w:szCs w:val="24"/>
                <w:highlight w:val="none"/>
                <w:lang w:val="en-US" w:bidi="ar-SA"/>
              </w:rPr>
            </w:pPr>
          </w:p>
        </w:tc>
        <w:tc>
          <w:tcPr>
            <w:tcW w:w="569"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支管</w:t>
            </w:r>
          </w:p>
        </w:tc>
        <w:tc>
          <w:tcPr>
            <w:tcW w:w="1372"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支管口完好，支架牢固</w:t>
            </w:r>
          </w:p>
        </w:tc>
        <w:tc>
          <w:tcPr>
            <w:tcW w:w="405"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5</w:t>
            </w:r>
          </w:p>
        </w:tc>
        <w:tc>
          <w:tcPr>
            <w:tcW w:w="356"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　</w:t>
            </w:r>
          </w:p>
        </w:tc>
        <w:tc>
          <w:tcPr>
            <w:tcW w:w="1319" w:type="pct"/>
            <w:gridSpan w:val="3"/>
            <w:tcBorders>
              <w:top w:val="single" w:color="auto" w:sz="4" w:space="0"/>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　</w:t>
            </w:r>
          </w:p>
        </w:tc>
      </w:tr>
      <w:tr>
        <w:tblPrEx>
          <w:tblCellMar>
            <w:top w:w="0" w:type="dxa"/>
            <w:left w:w="108" w:type="dxa"/>
            <w:bottom w:w="0" w:type="dxa"/>
            <w:right w:w="108" w:type="dxa"/>
          </w:tblCellMar>
        </w:tblPrEx>
        <w:trPr>
          <w:trHeight w:val="345" w:hRule="atLeast"/>
        </w:trPr>
        <w:tc>
          <w:tcPr>
            <w:tcW w:w="979" w:type="pct"/>
            <w:vMerge w:val="continue"/>
            <w:tcBorders>
              <w:top w:val="nil"/>
              <w:left w:val="single" w:color="auto" w:sz="4" w:space="0"/>
              <w:bottom w:val="single" w:color="auto" w:sz="4" w:space="0"/>
              <w:right w:val="single" w:color="auto" w:sz="4" w:space="0"/>
            </w:tcBorders>
            <w:vAlign w:val="center"/>
          </w:tcPr>
          <w:p>
            <w:pPr>
              <w:widowControl/>
              <w:shd w:val="clear"/>
              <w:spacing w:after="0" w:line="240" w:lineRule="auto"/>
              <w:jc w:val="left"/>
              <w:outlineLvl w:val="9"/>
              <w:rPr>
                <w:rFonts w:hint="default" w:ascii="仿宋_GB2312" w:hAnsi="宋体" w:eastAsia="仿宋_GB2312" w:cs="宋体"/>
                <w:color w:val="auto"/>
                <w:kern w:val="0"/>
                <w:sz w:val="24"/>
                <w:szCs w:val="24"/>
                <w:highlight w:val="none"/>
                <w:lang w:val="en-US" w:bidi="ar-SA"/>
              </w:rPr>
            </w:pPr>
          </w:p>
        </w:tc>
        <w:tc>
          <w:tcPr>
            <w:tcW w:w="569"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立管清扫口</w:t>
            </w:r>
          </w:p>
        </w:tc>
        <w:tc>
          <w:tcPr>
            <w:tcW w:w="1372"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外墙立管清扫口定期清扫，确保外墙立管不堵塞</w:t>
            </w:r>
          </w:p>
        </w:tc>
        <w:tc>
          <w:tcPr>
            <w:tcW w:w="405"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5</w:t>
            </w:r>
          </w:p>
        </w:tc>
        <w:tc>
          <w:tcPr>
            <w:tcW w:w="356"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　</w:t>
            </w:r>
          </w:p>
        </w:tc>
        <w:tc>
          <w:tcPr>
            <w:tcW w:w="1319" w:type="pct"/>
            <w:gridSpan w:val="3"/>
            <w:tcBorders>
              <w:top w:val="single" w:color="auto" w:sz="4" w:space="0"/>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　</w:t>
            </w:r>
          </w:p>
        </w:tc>
      </w:tr>
      <w:tr>
        <w:tblPrEx>
          <w:tblCellMar>
            <w:top w:w="0" w:type="dxa"/>
            <w:left w:w="108" w:type="dxa"/>
            <w:bottom w:w="0" w:type="dxa"/>
            <w:right w:w="108" w:type="dxa"/>
          </w:tblCellMar>
        </w:tblPrEx>
        <w:trPr>
          <w:trHeight w:val="345" w:hRule="atLeast"/>
        </w:trPr>
        <w:tc>
          <w:tcPr>
            <w:tcW w:w="154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合计</w:t>
            </w:r>
          </w:p>
        </w:tc>
        <w:tc>
          <w:tcPr>
            <w:tcW w:w="1372"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　</w:t>
            </w:r>
          </w:p>
        </w:tc>
        <w:tc>
          <w:tcPr>
            <w:tcW w:w="405"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100</w:t>
            </w:r>
          </w:p>
        </w:tc>
        <w:tc>
          <w:tcPr>
            <w:tcW w:w="356"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　</w:t>
            </w:r>
          </w:p>
        </w:tc>
        <w:tc>
          <w:tcPr>
            <w:tcW w:w="1319" w:type="pct"/>
            <w:gridSpan w:val="3"/>
            <w:tcBorders>
              <w:top w:val="single" w:color="auto" w:sz="4" w:space="0"/>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　</w:t>
            </w:r>
          </w:p>
        </w:tc>
      </w:tr>
      <w:tr>
        <w:tblPrEx>
          <w:tblCellMar>
            <w:top w:w="0" w:type="dxa"/>
            <w:left w:w="108" w:type="dxa"/>
            <w:bottom w:w="0" w:type="dxa"/>
            <w:right w:w="108" w:type="dxa"/>
          </w:tblCellMar>
        </w:tblPrEx>
        <w:trPr>
          <w:trHeight w:val="585" w:hRule="atLeast"/>
        </w:trPr>
        <w:tc>
          <w:tcPr>
            <w:tcW w:w="4288" w:type="pct"/>
            <w:gridSpan w:val="6"/>
            <w:tcBorders>
              <w:top w:val="nil"/>
              <w:left w:val="nil"/>
              <w:bottom w:val="nil"/>
              <w:right w:val="nil"/>
            </w:tcBorders>
            <w:shd w:val="clear" w:color="auto" w:fill="auto"/>
            <w:vAlign w:val="center"/>
          </w:tcPr>
          <w:p>
            <w:pPr>
              <w:widowControl/>
              <w:shd w:val="clear"/>
              <w:spacing w:after="0" w:line="240" w:lineRule="auto"/>
              <w:jc w:val="left"/>
              <w:outlineLvl w:val="9"/>
              <w:rPr>
                <w:rFonts w:hint="eastAsia" w:ascii="仿宋_GB2312" w:hAnsi="宋体" w:eastAsia="仿宋_GB2312" w:cs="宋体"/>
                <w:color w:val="auto"/>
                <w:kern w:val="0"/>
                <w:szCs w:val="21"/>
                <w:highlight w:val="none"/>
                <w:lang w:val="en-US" w:bidi="ar-SA"/>
              </w:rPr>
            </w:pPr>
            <w:r>
              <w:rPr>
                <w:rFonts w:hint="eastAsia" w:ascii="仿宋_GB2312" w:hAnsi="宋体" w:eastAsia="仿宋_GB2312" w:cs="宋体"/>
                <w:color w:val="auto"/>
                <w:kern w:val="0"/>
                <w:szCs w:val="21"/>
                <w:highlight w:val="none"/>
                <w:lang w:val="en-US" w:bidi="ar-SA"/>
              </w:rPr>
              <w:t xml:space="preserve">被考核人：                                                     考核人：  </w:t>
            </w:r>
          </w:p>
        </w:tc>
        <w:tc>
          <w:tcPr>
            <w:tcW w:w="513" w:type="pct"/>
            <w:tcBorders>
              <w:top w:val="nil"/>
              <w:left w:val="nil"/>
              <w:bottom w:val="nil"/>
              <w:right w:val="nil"/>
            </w:tcBorders>
            <w:shd w:val="clear" w:color="auto" w:fill="auto"/>
            <w:noWrap/>
            <w:vAlign w:val="bottom"/>
          </w:tcPr>
          <w:p>
            <w:pPr>
              <w:widowControl/>
              <w:shd w:val="clear"/>
              <w:spacing w:after="0" w:line="240" w:lineRule="auto"/>
              <w:jc w:val="left"/>
              <w:outlineLvl w:val="9"/>
              <w:rPr>
                <w:rFonts w:hint="eastAsia" w:ascii="仿宋_GB2312" w:hAnsi="宋体" w:eastAsia="仿宋_GB2312" w:cs="宋体"/>
                <w:color w:val="auto"/>
                <w:kern w:val="0"/>
                <w:szCs w:val="21"/>
                <w:highlight w:val="none"/>
                <w:lang w:val="en-US" w:bidi="ar-SA"/>
              </w:rPr>
            </w:pPr>
          </w:p>
        </w:tc>
        <w:tc>
          <w:tcPr>
            <w:tcW w:w="199" w:type="pct"/>
            <w:tcBorders>
              <w:top w:val="nil"/>
              <w:left w:val="nil"/>
              <w:bottom w:val="nil"/>
              <w:right w:val="nil"/>
            </w:tcBorders>
            <w:shd w:val="clear" w:color="auto" w:fill="auto"/>
            <w:noWrap/>
            <w:vAlign w:val="bottom"/>
          </w:tcPr>
          <w:p>
            <w:pPr>
              <w:widowControl/>
              <w:shd w:val="clear"/>
              <w:spacing w:after="0" w:line="240" w:lineRule="auto"/>
              <w:jc w:val="left"/>
              <w:outlineLvl w:val="9"/>
              <w:rPr>
                <w:rFonts w:hint="default" w:ascii="Times New Roman" w:hAnsi="Times New Roman" w:eastAsia="Times New Roman" w:cs="Times New Roman"/>
                <w:color w:val="auto"/>
                <w:kern w:val="0"/>
                <w:sz w:val="20"/>
                <w:szCs w:val="20"/>
                <w:highlight w:val="none"/>
                <w:lang w:val="en-US" w:bidi="ar-SA"/>
              </w:rPr>
            </w:pPr>
          </w:p>
        </w:tc>
      </w:tr>
    </w:tbl>
    <w:p>
      <w:pPr>
        <w:widowControl w:val="0"/>
        <w:shd w:val="clear"/>
        <w:spacing w:after="160" w:line="278" w:lineRule="auto"/>
        <w:jc w:val="both"/>
        <w:outlineLvl w:val="9"/>
        <w:rPr>
          <w:rFonts w:hint="default" w:ascii="华文中宋" w:hAnsi="Times New Roman" w:eastAsia="华文中宋" w:cs="Times New Roman"/>
          <w:bCs/>
          <w:color w:val="auto"/>
          <w:kern w:val="2"/>
          <w:sz w:val="28"/>
          <w:highlight w:val="none"/>
          <w:lang w:val="zh-CN" w:eastAsia="zh-CN" w:bidi="ar-SA"/>
        </w:rPr>
      </w:pPr>
    </w:p>
    <w:tbl>
      <w:tblPr>
        <w:tblStyle w:val="82"/>
        <w:tblW w:w="5000" w:type="pct"/>
        <w:tblInd w:w="0" w:type="dxa"/>
        <w:tblLayout w:type="autofit"/>
        <w:tblCellMar>
          <w:top w:w="0" w:type="dxa"/>
          <w:left w:w="108" w:type="dxa"/>
          <w:bottom w:w="0" w:type="dxa"/>
          <w:right w:w="108" w:type="dxa"/>
        </w:tblCellMar>
      </w:tblPr>
      <w:tblGrid>
        <w:gridCol w:w="1549"/>
        <w:gridCol w:w="1067"/>
        <w:gridCol w:w="3506"/>
        <w:gridCol w:w="1379"/>
        <w:gridCol w:w="516"/>
        <w:gridCol w:w="525"/>
        <w:gridCol w:w="1426"/>
      </w:tblGrid>
      <w:tr>
        <w:tblPrEx>
          <w:tblCellMar>
            <w:top w:w="0" w:type="dxa"/>
            <w:left w:w="108" w:type="dxa"/>
            <w:bottom w:w="0" w:type="dxa"/>
            <w:right w:w="108" w:type="dxa"/>
          </w:tblCellMar>
        </w:tblPrEx>
        <w:trPr>
          <w:trHeight w:val="285" w:hRule="atLeast"/>
        </w:trPr>
        <w:tc>
          <w:tcPr>
            <w:tcW w:w="1316" w:type="pct"/>
            <w:gridSpan w:val="2"/>
            <w:tcBorders>
              <w:top w:val="nil"/>
              <w:left w:val="nil"/>
              <w:bottom w:val="nil"/>
              <w:right w:val="nil"/>
            </w:tcBorders>
            <w:shd w:val="clear" w:color="auto" w:fill="auto"/>
            <w:noWrap/>
            <w:vAlign w:val="bottom"/>
          </w:tcPr>
          <w:p>
            <w:pPr>
              <w:widowControl/>
              <w:shd w:val="clear"/>
              <w:spacing w:after="0" w:line="240" w:lineRule="auto"/>
              <w:jc w:val="left"/>
              <w:outlineLvl w:val="9"/>
              <w:rPr>
                <w:rFonts w:hint="default"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附表五</w:t>
            </w:r>
          </w:p>
        </w:tc>
        <w:tc>
          <w:tcPr>
            <w:tcW w:w="1760" w:type="pct"/>
            <w:tcBorders>
              <w:top w:val="nil"/>
              <w:left w:val="nil"/>
              <w:bottom w:val="nil"/>
              <w:right w:val="nil"/>
            </w:tcBorders>
            <w:shd w:val="clear" w:color="auto" w:fill="auto"/>
            <w:noWrap/>
            <w:vAlign w:val="bottom"/>
          </w:tcPr>
          <w:p>
            <w:pPr>
              <w:widowControl/>
              <w:shd w:val="clear"/>
              <w:spacing w:after="0" w:line="240" w:lineRule="auto"/>
              <w:jc w:val="left"/>
              <w:outlineLvl w:val="9"/>
              <w:rPr>
                <w:rFonts w:hint="eastAsia" w:ascii="宋体" w:hAnsi="宋体" w:eastAsia="宋体" w:cs="宋体"/>
                <w:color w:val="auto"/>
                <w:kern w:val="0"/>
                <w:sz w:val="24"/>
                <w:szCs w:val="24"/>
                <w:highlight w:val="none"/>
                <w:lang w:val="en-US" w:bidi="ar-SA"/>
              </w:rPr>
            </w:pPr>
          </w:p>
        </w:tc>
        <w:tc>
          <w:tcPr>
            <w:tcW w:w="693" w:type="pct"/>
            <w:tcBorders>
              <w:top w:val="nil"/>
              <w:left w:val="nil"/>
              <w:bottom w:val="nil"/>
              <w:right w:val="nil"/>
            </w:tcBorders>
            <w:shd w:val="clear" w:color="auto" w:fill="auto"/>
            <w:noWrap/>
            <w:vAlign w:val="bottom"/>
          </w:tcPr>
          <w:p>
            <w:pPr>
              <w:widowControl/>
              <w:shd w:val="clear"/>
              <w:spacing w:after="0" w:line="240" w:lineRule="auto"/>
              <w:jc w:val="left"/>
              <w:outlineLvl w:val="9"/>
              <w:rPr>
                <w:rFonts w:hint="default" w:ascii="Times New Roman" w:hAnsi="Times New Roman" w:eastAsia="Times New Roman" w:cs="Times New Roman"/>
                <w:color w:val="auto"/>
                <w:kern w:val="0"/>
                <w:sz w:val="20"/>
                <w:szCs w:val="20"/>
                <w:highlight w:val="none"/>
                <w:lang w:val="en-US" w:bidi="ar-SA"/>
              </w:rPr>
            </w:pPr>
          </w:p>
        </w:tc>
        <w:tc>
          <w:tcPr>
            <w:tcW w:w="249" w:type="pct"/>
            <w:tcBorders>
              <w:top w:val="nil"/>
              <w:left w:val="nil"/>
              <w:bottom w:val="nil"/>
              <w:right w:val="nil"/>
            </w:tcBorders>
            <w:shd w:val="clear" w:color="auto" w:fill="auto"/>
            <w:noWrap/>
            <w:vAlign w:val="bottom"/>
          </w:tcPr>
          <w:p>
            <w:pPr>
              <w:widowControl/>
              <w:shd w:val="clear"/>
              <w:spacing w:after="0" w:line="240" w:lineRule="auto"/>
              <w:jc w:val="left"/>
              <w:outlineLvl w:val="9"/>
              <w:rPr>
                <w:rFonts w:hint="default" w:ascii="Times New Roman" w:hAnsi="Times New Roman" w:eastAsia="Times New Roman" w:cs="Times New Roman"/>
                <w:color w:val="auto"/>
                <w:kern w:val="0"/>
                <w:sz w:val="20"/>
                <w:szCs w:val="20"/>
                <w:highlight w:val="none"/>
                <w:lang w:val="en-US" w:bidi="ar-SA"/>
              </w:rPr>
            </w:pPr>
          </w:p>
        </w:tc>
        <w:tc>
          <w:tcPr>
            <w:tcW w:w="265" w:type="pct"/>
            <w:tcBorders>
              <w:top w:val="nil"/>
              <w:left w:val="nil"/>
              <w:bottom w:val="nil"/>
              <w:right w:val="nil"/>
            </w:tcBorders>
            <w:shd w:val="clear" w:color="auto" w:fill="auto"/>
            <w:noWrap/>
            <w:vAlign w:val="bottom"/>
          </w:tcPr>
          <w:p>
            <w:pPr>
              <w:widowControl/>
              <w:shd w:val="clear"/>
              <w:spacing w:after="0" w:line="240" w:lineRule="auto"/>
              <w:jc w:val="left"/>
              <w:outlineLvl w:val="9"/>
              <w:rPr>
                <w:rFonts w:hint="default" w:ascii="Times New Roman" w:hAnsi="Times New Roman" w:eastAsia="Times New Roman" w:cs="Times New Roman"/>
                <w:color w:val="auto"/>
                <w:kern w:val="0"/>
                <w:sz w:val="20"/>
                <w:szCs w:val="20"/>
                <w:highlight w:val="none"/>
                <w:lang w:val="en-US" w:bidi="ar-SA"/>
              </w:rPr>
            </w:pPr>
          </w:p>
        </w:tc>
        <w:tc>
          <w:tcPr>
            <w:tcW w:w="717" w:type="pct"/>
            <w:tcBorders>
              <w:top w:val="nil"/>
              <w:left w:val="nil"/>
              <w:bottom w:val="nil"/>
              <w:right w:val="nil"/>
            </w:tcBorders>
            <w:shd w:val="clear" w:color="auto" w:fill="auto"/>
            <w:noWrap/>
            <w:vAlign w:val="bottom"/>
          </w:tcPr>
          <w:p>
            <w:pPr>
              <w:widowControl/>
              <w:shd w:val="clear"/>
              <w:spacing w:after="0" w:line="240" w:lineRule="auto"/>
              <w:jc w:val="left"/>
              <w:outlineLvl w:val="9"/>
              <w:rPr>
                <w:rFonts w:hint="default" w:ascii="Times New Roman" w:hAnsi="Times New Roman" w:eastAsia="Times New Roman" w:cs="Times New Roman"/>
                <w:color w:val="auto"/>
                <w:kern w:val="0"/>
                <w:sz w:val="20"/>
                <w:szCs w:val="20"/>
                <w:highlight w:val="none"/>
                <w:lang w:val="en-US" w:bidi="ar-SA"/>
              </w:rPr>
            </w:pPr>
          </w:p>
        </w:tc>
      </w:tr>
      <w:tr>
        <w:tblPrEx>
          <w:tblCellMar>
            <w:top w:w="0" w:type="dxa"/>
            <w:left w:w="108" w:type="dxa"/>
            <w:bottom w:w="0" w:type="dxa"/>
            <w:right w:w="108" w:type="dxa"/>
          </w:tblCellMar>
        </w:tblPrEx>
        <w:trPr>
          <w:trHeight w:val="540" w:hRule="atLeast"/>
        </w:trPr>
        <w:tc>
          <w:tcPr>
            <w:tcW w:w="5000" w:type="pct"/>
            <w:gridSpan w:val="7"/>
            <w:tcBorders>
              <w:top w:val="nil"/>
              <w:left w:val="nil"/>
              <w:bottom w:val="nil"/>
              <w:right w:val="nil"/>
            </w:tcBorders>
            <w:shd w:val="clear" w:color="auto" w:fill="auto"/>
            <w:noWrap/>
            <w:vAlign w:val="center"/>
          </w:tcPr>
          <w:p>
            <w:pPr>
              <w:widowControl/>
              <w:shd w:val="clear"/>
              <w:spacing w:after="0" w:line="240" w:lineRule="auto"/>
              <w:jc w:val="center"/>
              <w:outlineLvl w:val="9"/>
              <w:rPr>
                <w:rFonts w:hint="default" w:ascii="宋体" w:hAnsi="宋体" w:eastAsia="宋体" w:cs="宋体"/>
                <w:color w:val="auto"/>
                <w:kern w:val="0"/>
                <w:sz w:val="28"/>
                <w:szCs w:val="28"/>
                <w:highlight w:val="none"/>
                <w:lang w:val="en-US" w:bidi="ar-SA"/>
              </w:rPr>
            </w:pPr>
            <w:r>
              <w:rPr>
                <w:rFonts w:hint="eastAsia" w:ascii="宋体" w:hAnsi="宋体" w:eastAsia="宋体" w:cs="宋体"/>
                <w:color w:val="auto"/>
                <w:kern w:val="0"/>
                <w:sz w:val="28"/>
                <w:szCs w:val="28"/>
                <w:highlight w:val="none"/>
                <w:lang w:val="en-US" w:bidi="ar-SA"/>
              </w:rPr>
              <w:t>无锡市排水运行维护片区社会满意度评分表</w:t>
            </w:r>
          </w:p>
        </w:tc>
      </w:tr>
      <w:tr>
        <w:tblPrEx>
          <w:tblCellMar>
            <w:top w:w="0" w:type="dxa"/>
            <w:left w:w="108" w:type="dxa"/>
            <w:bottom w:w="0" w:type="dxa"/>
            <w:right w:w="108" w:type="dxa"/>
          </w:tblCellMar>
        </w:tblPrEx>
        <w:trPr>
          <w:trHeight w:val="540" w:hRule="atLeast"/>
        </w:trPr>
        <w:tc>
          <w:tcPr>
            <w:tcW w:w="5000" w:type="pct"/>
            <w:gridSpan w:val="7"/>
            <w:tcBorders>
              <w:top w:val="nil"/>
              <w:left w:val="nil"/>
              <w:bottom w:val="single" w:color="auto" w:sz="4" w:space="0"/>
              <w:right w:val="nil"/>
            </w:tcBorders>
            <w:shd w:val="clear" w:color="auto" w:fill="auto"/>
            <w:noWrap/>
            <w:vAlign w:val="center"/>
          </w:tcPr>
          <w:p>
            <w:pPr>
              <w:widowControl/>
              <w:shd w:val="clear"/>
              <w:spacing w:after="0" w:line="240" w:lineRule="auto"/>
              <w:jc w:val="left"/>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 xml:space="preserve">受检单位： </w:t>
            </w:r>
          </w:p>
        </w:tc>
      </w:tr>
      <w:tr>
        <w:tblPrEx>
          <w:tblCellMar>
            <w:top w:w="0" w:type="dxa"/>
            <w:left w:w="108" w:type="dxa"/>
            <w:bottom w:w="0" w:type="dxa"/>
            <w:right w:w="108" w:type="dxa"/>
          </w:tblCellMar>
        </w:tblPrEx>
        <w:trPr>
          <w:trHeight w:val="660" w:hRule="atLeast"/>
        </w:trPr>
        <w:tc>
          <w:tcPr>
            <w:tcW w:w="779" w:type="pct"/>
            <w:tcBorders>
              <w:top w:val="nil"/>
              <w:left w:val="single" w:color="auto" w:sz="4" w:space="0"/>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序号</w:t>
            </w:r>
          </w:p>
        </w:tc>
        <w:tc>
          <w:tcPr>
            <w:tcW w:w="537"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考核内容</w:t>
            </w:r>
          </w:p>
        </w:tc>
        <w:tc>
          <w:tcPr>
            <w:tcW w:w="2453" w:type="pct"/>
            <w:gridSpan w:val="2"/>
            <w:tcBorders>
              <w:top w:val="single" w:color="auto" w:sz="4" w:space="0"/>
              <w:left w:val="nil"/>
              <w:bottom w:val="single" w:color="auto" w:sz="4" w:space="0"/>
              <w:right w:val="single" w:color="000000"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评分标准</w:t>
            </w:r>
          </w:p>
        </w:tc>
        <w:tc>
          <w:tcPr>
            <w:tcW w:w="249"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分值</w:t>
            </w:r>
          </w:p>
        </w:tc>
        <w:tc>
          <w:tcPr>
            <w:tcW w:w="265"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得分</w:t>
            </w:r>
          </w:p>
        </w:tc>
        <w:tc>
          <w:tcPr>
            <w:tcW w:w="717"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4"/>
                <w:szCs w:val="24"/>
                <w:highlight w:val="none"/>
                <w:lang w:val="en-US" w:bidi="ar-SA"/>
              </w:rPr>
            </w:pPr>
            <w:r>
              <w:rPr>
                <w:rFonts w:hint="eastAsia" w:ascii="仿宋_GB2312" w:hAnsi="宋体" w:eastAsia="仿宋_GB2312" w:cs="宋体"/>
                <w:color w:val="auto"/>
                <w:kern w:val="0"/>
                <w:sz w:val="24"/>
                <w:szCs w:val="24"/>
                <w:highlight w:val="none"/>
                <w:lang w:val="en-US" w:bidi="ar-SA"/>
              </w:rPr>
              <w:t>备注</w:t>
            </w:r>
          </w:p>
        </w:tc>
      </w:tr>
      <w:tr>
        <w:tblPrEx>
          <w:tblCellMar>
            <w:top w:w="0" w:type="dxa"/>
            <w:left w:w="108" w:type="dxa"/>
            <w:bottom w:w="0" w:type="dxa"/>
            <w:right w:w="108" w:type="dxa"/>
          </w:tblCellMar>
        </w:tblPrEx>
        <w:trPr>
          <w:trHeight w:val="450" w:hRule="atLeast"/>
        </w:trPr>
        <w:tc>
          <w:tcPr>
            <w:tcW w:w="779" w:type="pct"/>
            <w:vMerge w:val="restart"/>
            <w:tcBorders>
              <w:top w:val="nil"/>
              <w:left w:val="single" w:color="auto" w:sz="4" w:space="0"/>
              <w:bottom w:val="single" w:color="000000"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1</w:t>
            </w:r>
          </w:p>
        </w:tc>
        <w:tc>
          <w:tcPr>
            <w:tcW w:w="537"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作业人员到岗</w:t>
            </w:r>
          </w:p>
        </w:tc>
        <w:tc>
          <w:tcPr>
            <w:tcW w:w="2453" w:type="pct"/>
            <w:gridSpan w:val="2"/>
            <w:tcBorders>
              <w:top w:val="single" w:color="auto" w:sz="4" w:space="0"/>
              <w:left w:val="nil"/>
              <w:bottom w:val="single" w:color="auto" w:sz="4" w:space="0"/>
              <w:right w:val="single" w:color="000000"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能经常看到养护作业人员进行检查、养护。</w:t>
            </w:r>
          </w:p>
        </w:tc>
        <w:tc>
          <w:tcPr>
            <w:tcW w:w="249"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20</w:t>
            </w:r>
          </w:p>
        </w:tc>
        <w:tc>
          <w:tcPr>
            <w:tcW w:w="265"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0"/>
                <w:szCs w:val="20"/>
                <w:highlight w:val="none"/>
                <w:lang w:val="en-US" w:bidi="ar-SA"/>
              </w:rPr>
            </w:pPr>
            <w:r>
              <w:rPr>
                <w:rFonts w:hint="eastAsia" w:ascii="宋体" w:hAnsi="宋体" w:eastAsia="宋体" w:cs="宋体"/>
                <w:color w:val="auto"/>
                <w:kern w:val="0"/>
                <w:sz w:val="20"/>
                <w:szCs w:val="20"/>
                <w:highlight w:val="none"/>
                <w:lang w:val="en-US" w:bidi="ar-SA"/>
              </w:rPr>
              <w:t>　</w:t>
            </w:r>
          </w:p>
        </w:tc>
        <w:tc>
          <w:tcPr>
            <w:tcW w:w="717"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b/>
                <w:bCs/>
                <w:color w:val="auto"/>
                <w:kern w:val="0"/>
                <w:sz w:val="20"/>
                <w:szCs w:val="20"/>
                <w:highlight w:val="none"/>
                <w:lang w:val="en-US" w:bidi="ar-SA"/>
              </w:rPr>
            </w:pPr>
            <w:r>
              <w:rPr>
                <w:rFonts w:hint="eastAsia" w:ascii="宋体" w:hAnsi="宋体" w:eastAsia="宋体" w:cs="宋体"/>
                <w:b/>
                <w:bCs/>
                <w:color w:val="auto"/>
                <w:kern w:val="0"/>
                <w:sz w:val="20"/>
                <w:szCs w:val="20"/>
                <w:highlight w:val="none"/>
                <w:lang w:val="en-US" w:bidi="ar-SA"/>
              </w:rPr>
              <w:t>　</w:t>
            </w:r>
          </w:p>
        </w:tc>
      </w:tr>
      <w:tr>
        <w:tblPrEx>
          <w:tblCellMar>
            <w:top w:w="0" w:type="dxa"/>
            <w:left w:w="108" w:type="dxa"/>
            <w:bottom w:w="0" w:type="dxa"/>
            <w:right w:w="108" w:type="dxa"/>
          </w:tblCellMar>
        </w:tblPrEx>
        <w:trPr>
          <w:trHeight w:val="480" w:hRule="atLeast"/>
        </w:trPr>
        <w:tc>
          <w:tcPr>
            <w:tcW w:w="779" w:type="pct"/>
            <w:vMerge w:val="continue"/>
            <w:tcBorders>
              <w:top w:val="nil"/>
              <w:left w:val="single" w:color="auto" w:sz="4" w:space="0"/>
              <w:bottom w:val="single" w:color="000000" w:sz="4" w:space="0"/>
              <w:right w:val="single" w:color="auto" w:sz="4" w:space="0"/>
            </w:tcBorders>
            <w:vAlign w:val="center"/>
          </w:tcPr>
          <w:p>
            <w:pPr>
              <w:widowControl/>
              <w:shd w:val="clear"/>
              <w:spacing w:after="0" w:line="240" w:lineRule="auto"/>
              <w:jc w:val="left"/>
              <w:outlineLvl w:val="9"/>
              <w:rPr>
                <w:rFonts w:hint="default" w:ascii="仿宋_GB2312" w:hAnsi="宋体" w:eastAsia="仿宋_GB2312" w:cs="宋体"/>
                <w:color w:val="auto"/>
                <w:kern w:val="0"/>
                <w:sz w:val="20"/>
                <w:szCs w:val="20"/>
                <w:highlight w:val="none"/>
                <w:lang w:val="en-US" w:bidi="ar-SA"/>
              </w:rPr>
            </w:pPr>
          </w:p>
        </w:tc>
        <w:tc>
          <w:tcPr>
            <w:tcW w:w="537"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问题处理</w:t>
            </w:r>
          </w:p>
        </w:tc>
        <w:tc>
          <w:tcPr>
            <w:tcW w:w="2453" w:type="pct"/>
            <w:gridSpan w:val="2"/>
            <w:tcBorders>
              <w:top w:val="single" w:color="auto" w:sz="4" w:space="0"/>
              <w:left w:val="nil"/>
              <w:bottom w:val="single" w:color="auto" w:sz="4" w:space="0"/>
              <w:right w:val="single" w:color="000000"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居民反映情况能及时得到处理，服务态度端正。</w:t>
            </w:r>
          </w:p>
        </w:tc>
        <w:tc>
          <w:tcPr>
            <w:tcW w:w="249"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20</w:t>
            </w:r>
          </w:p>
        </w:tc>
        <w:tc>
          <w:tcPr>
            <w:tcW w:w="265"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0"/>
                <w:szCs w:val="20"/>
                <w:highlight w:val="none"/>
                <w:lang w:val="en-US" w:bidi="ar-SA"/>
              </w:rPr>
            </w:pPr>
            <w:r>
              <w:rPr>
                <w:rFonts w:hint="eastAsia" w:ascii="宋体" w:hAnsi="宋体" w:eastAsia="宋体" w:cs="宋体"/>
                <w:color w:val="auto"/>
                <w:kern w:val="0"/>
                <w:sz w:val="20"/>
                <w:szCs w:val="20"/>
                <w:highlight w:val="none"/>
                <w:lang w:val="en-US" w:bidi="ar-SA"/>
              </w:rPr>
              <w:t>　</w:t>
            </w:r>
          </w:p>
        </w:tc>
        <w:tc>
          <w:tcPr>
            <w:tcW w:w="717"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b/>
                <w:bCs/>
                <w:color w:val="auto"/>
                <w:kern w:val="0"/>
                <w:sz w:val="20"/>
                <w:szCs w:val="20"/>
                <w:highlight w:val="none"/>
                <w:lang w:val="en-US" w:bidi="ar-SA"/>
              </w:rPr>
            </w:pPr>
            <w:r>
              <w:rPr>
                <w:rFonts w:hint="eastAsia" w:ascii="宋体" w:hAnsi="宋体" w:eastAsia="宋体" w:cs="宋体"/>
                <w:b/>
                <w:bCs/>
                <w:color w:val="auto"/>
                <w:kern w:val="0"/>
                <w:sz w:val="20"/>
                <w:szCs w:val="20"/>
                <w:highlight w:val="none"/>
                <w:lang w:val="en-US" w:bidi="ar-SA"/>
              </w:rPr>
              <w:t>　</w:t>
            </w:r>
          </w:p>
        </w:tc>
      </w:tr>
      <w:tr>
        <w:tblPrEx>
          <w:tblCellMar>
            <w:top w:w="0" w:type="dxa"/>
            <w:left w:w="108" w:type="dxa"/>
            <w:bottom w:w="0" w:type="dxa"/>
            <w:right w:w="108" w:type="dxa"/>
          </w:tblCellMar>
        </w:tblPrEx>
        <w:trPr>
          <w:trHeight w:val="615" w:hRule="atLeast"/>
        </w:trPr>
        <w:tc>
          <w:tcPr>
            <w:tcW w:w="779" w:type="pct"/>
            <w:vMerge w:val="restart"/>
            <w:tcBorders>
              <w:top w:val="nil"/>
              <w:left w:val="single" w:color="auto" w:sz="4" w:space="0"/>
              <w:bottom w:val="single" w:color="000000"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2</w:t>
            </w:r>
          </w:p>
        </w:tc>
        <w:tc>
          <w:tcPr>
            <w:tcW w:w="537"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井框井盖</w:t>
            </w:r>
          </w:p>
        </w:tc>
        <w:tc>
          <w:tcPr>
            <w:tcW w:w="2453" w:type="pct"/>
            <w:gridSpan w:val="2"/>
            <w:tcBorders>
              <w:top w:val="single" w:color="auto" w:sz="4" w:space="0"/>
              <w:left w:val="nil"/>
              <w:bottom w:val="single" w:color="auto" w:sz="4" w:space="0"/>
              <w:right w:val="single" w:color="000000"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井圈、井盖开裂、丢失后，能及时补装完整，并做好安全保护警示措施，以防发生以外事故。</w:t>
            </w:r>
          </w:p>
        </w:tc>
        <w:tc>
          <w:tcPr>
            <w:tcW w:w="249"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20</w:t>
            </w:r>
          </w:p>
        </w:tc>
        <w:tc>
          <w:tcPr>
            <w:tcW w:w="265"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0"/>
                <w:szCs w:val="20"/>
                <w:highlight w:val="none"/>
                <w:lang w:val="en-US" w:bidi="ar-SA"/>
              </w:rPr>
            </w:pPr>
            <w:r>
              <w:rPr>
                <w:rFonts w:hint="eastAsia" w:ascii="宋体" w:hAnsi="宋体" w:eastAsia="宋体" w:cs="宋体"/>
                <w:color w:val="auto"/>
                <w:kern w:val="0"/>
                <w:sz w:val="20"/>
                <w:szCs w:val="20"/>
                <w:highlight w:val="none"/>
                <w:lang w:val="en-US" w:bidi="ar-SA"/>
              </w:rPr>
              <w:t>　</w:t>
            </w:r>
          </w:p>
        </w:tc>
        <w:tc>
          <w:tcPr>
            <w:tcW w:w="717"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b/>
                <w:bCs/>
                <w:color w:val="auto"/>
                <w:kern w:val="0"/>
                <w:sz w:val="20"/>
                <w:szCs w:val="20"/>
                <w:highlight w:val="none"/>
                <w:lang w:val="en-US" w:bidi="ar-SA"/>
              </w:rPr>
            </w:pPr>
            <w:r>
              <w:rPr>
                <w:rFonts w:hint="eastAsia" w:ascii="宋体" w:hAnsi="宋体" w:eastAsia="宋体" w:cs="宋体"/>
                <w:b/>
                <w:bCs/>
                <w:color w:val="auto"/>
                <w:kern w:val="0"/>
                <w:sz w:val="20"/>
                <w:szCs w:val="20"/>
                <w:highlight w:val="none"/>
                <w:lang w:val="en-US" w:bidi="ar-SA"/>
              </w:rPr>
              <w:t>　</w:t>
            </w:r>
          </w:p>
        </w:tc>
      </w:tr>
      <w:tr>
        <w:tblPrEx>
          <w:tblCellMar>
            <w:top w:w="0" w:type="dxa"/>
            <w:left w:w="108" w:type="dxa"/>
            <w:bottom w:w="0" w:type="dxa"/>
            <w:right w:w="108" w:type="dxa"/>
          </w:tblCellMar>
        </w:tblPrEx>
        <w:trPr>
          <w:trHeight w:val="540" w:hRule="atLeast"/>
        </w:trPr>
        <w:tc>
          <w:tcPr>
            <w:tcW w:w="779" w:type="pct"/>
            <w:vMerge w:val="continue"/>
            <w:tcBorders>
              <w:top w:val="nil"/>
              <w:left w:val="single" w:color="auto" w:sz="4" w:space="0"/>
              <w:bottom w:val="single" w:color="000000" w:sz="4" w:space="0"/>
              <w:right w:val="single" w:color="auto" w:sz="4" w:space="0"/>
            </w:tcBorders>
            <w:vAlign w:val="center"/>
          </w:tcPr>
          <w:p>
            <w:pPr>
              <w:widowControl/>
              <w:shd w:val="clear"/>
              <w:spacing w:after="0" w:line="240" w:lineRule="auto"/>
              <w:jc w:val="left"/>
              <w:outlineLvl w:val="9"/>
              <w:rPr>
                <w:rFonts w:hint="default" w:ascii="仿宋_GB2312" w:hAnsi="宋体" w:eastAsia="仿宋_GB2312" w:cs="宋体"/>
                <w:color w:val="auto"/>
                <w:kern w:val="0"/>
                <w:sz w:val="20"/>
                <w:szCs w:val="20"/>
                <w:highlight w:val="none"/>
                <w:lang w:val="en-US" w:bidi="ar-SA"/>
              </w:rPr>
            </w:pPr>
          </w:p>
        </w:tc>
        <w:tc>
          <w:tcPr>
            <w:tcW w:w="537"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污水冒溢</w:t>
            </w:r>
          </w:p>
        </w:tc>
        <w:tc>
          <w:tcPr>
            <w:tcW w:w="2453" w:type="pct"/>
            <w:gridSpan w:val="2"/>
            <w:tcBorders>
              <w:top w:val="single" w:color="auto" w:sz="4" w:space="0"/>
              <w:left w:val="nil"/>
              <w:bottom w:val="single" w:color="auto" w:sz="4" w:space="0"/>
              <w:right w:val="single" w:color="000000"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无严重的臭味，无污水冒溢情况</w:t>
            </w:r>
          </w:p>
        </w:tc>
        <w:tc>
          <w:tcPr>
            <w:tcW w:w="249"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20</w:t>
            </w:r>
          </w:p>
        </w:tc>
        <w:tc>
          <w:tcPr>
            <w:tcW w:w="265"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0"/>
                <w:szCs w:val="20"/>
                <w:highlight w:val="none"/>
                <w:lang w:val="en-US" w:bidi="ar-SA"/>
              </w:rPr>
            </w:pPr>
            <w:r>
              <w:rPr>
                <w:rFonts w:hint="eastAsia" w:ascii="宋体" w:hAnsi="宋体" w:eastAsia="宋体" w:cs="宋体"/>
                <w:color w:val="auto"/>
                <w:kern w:val="0"/>
                <w:sz w:val="20"/>
                <w:szCs w:val="20"/>
                <w:highlight w:val="none"/>
                <w:lang w:val="en-US" w:bidi="ar-SA"/>
              </w:rPr>
              <w:t>　</w:t>
            </w:r>
          </w:p>
        </w:tc>
        <w:tc>
          <w:tcPr>
            <w:tcW w:w="717"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b/>
                <w:bCs/>
                <w:color w:val="auto"/>
                <w:kern w:val="0"/>
                <w:sz w:val="20"/>
                <w:szCs w:val="20"/>
                <w:highlight w:val="none"/>
                <w:lang w:val="en-US" w:bidi="ar-SA"/>
              </w:rPr>
            </w:pPr>
            <w:r>
              <w:rPr>
                <w:rFonts w:hint="eastAsia" w:ascii="宋体" w:hAnsi="宋体" w:eastAsia="宋体" w:cs="宋体"/>
                <w:b/>
                <w:bCs/>
                <w:color w:val="auto"/>
                <w:kern w:val="0"/>
                <w:sz w:val="20"/>
                <w:szCs w:val="20"/>
                <w:highlight w:val="none"/>
                <w:lang w:val="en-US" w:bidi="ar-SA"/>
              </w:rPr>
              <w:t>　</w:t>
            </w:r>
          </w:p>
        </w:tc>
      </w:tr>
      <w:tr>
        <w:tblPrEx>
          <w:tblCellMar>
            <w:top w:w="0" w:type="dxa"/>
            <w:left w:w="108" w:type="dxa"/>
            <w:bottom w:w="0" w:type="dxa"/>
            <w:right w:w="108" w:type="dxa"/>
          </w:tblCellMar>
        </w:tblPrEx>
        <w:trPr>
          <w:trHeight w:val="540" w:hRule="atLeast"/>
        </w:trPr>
        <w:tc>
          <w:tcPr>
            <w:tcW w:w="779" w:type="pct"/>
            <w:tcBorders>
              <w:top w:val="nil"/>
              <w:left w:val="single" w:color="auto" w:sz="4" w:space="0"/>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3</w:t>
            </w:r>
          </w:p>
        </w:tc>
        <w:tc>
          <w:tcPr>
            <w:tcW w:w="537"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外墙立管</w:t>
            </w:r>
          </w:p>
        </w:tc>
        <w:tc>
          <w:tcPr>
            <w:tcW w:w="2453" w:type="pct"/>
            <w:gridSpan w:val="2"/>
            <w:tcBorders>
              <w:top w:val="single" w:color="auto" w:sz="4" w:space="0"/>
              <w:left w:val="nil"/>
              <w:bottom w:val="single" w:color="auto" w:sz="4" w:space="0"/>
              <w:right w:val="single" w:color="000000"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外墙立管支架牢固，管材无破损。</w:t>
            </w:r>
          </w:p>
        </w:tc>
        <w:tc>
          <w:tcPr>
            <w:tcW w:w="249"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10</w:t>
            </w:r>
          </w:p>
        </w:tc>
        <w:tc>
          <w:tcPr>
            <w:tcW w:w="265"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0"/>
                <w:szCs w:val="20"/>
                <w:highlight w:val="none"/>
                <w:lang w:val="en-US" w:bidi="ar-SA"/>
              </w:rPr>
            </w:pPr>
            <w:r>
              <w:rPr>
                <w:rFonts w:hint="eastAsia" w:ascii="宋体" w:hAnsi="宋体" w:eastAsia="宋体" w:cs="宋体"/>
                <w:color w:val="auto"/>
                <w:kern w:val="0"/>
                <w:sz w:val="20"/>
                <w:szCs w:val="20"/>
                <w:highlight w:val="none"/>
                <w:lang w:val="en-US" w:bidi="ar-SA"/>
              </w:rPr>
              <w:t>　</w:t>
            </w:r>
          </w:p>
        </w:tc>
        <w:tc>
          <w:tcPr>
            <w:tcW w:w="717"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b/>
                <w:bCs/>
                <w:color w:val="auto"/>
                <w:kern w:val="0"/>
                <w:sz w:val="20"/>
                <w:szCs w:val="20"/>
                <w:highlight w:val="none"/>
                <w:lang w:val="en-US" w:bidi="ar-SA"/>
              </w:rPr>
            </w:pPr>
            <w:r>
              <w:rPr>
                <w:rFonts w:hint="eastAsia" w:ascii="宋体" w:hAnsi="宋体" w:eastAsia="宋体" w:cs="宋体"/>
                <w:b/>
                <w:bCs/>
                <w:color w:val="auto"/>
                <w:kern w:val="0"/>
                <w:sz w:val="20"/>
                <w:szCs w:val="20"/>
                <w:highlight w:val="none"/>
                <w:lang w:val="en-US" w:bidi="ar-SA"/>
              </w:rPr>
              <w:t>　</w:t>
            </w:r>
          </w:p>
        </w:tc>
      </w:tr>
      <w:tr>
        <w:tblPrEx>
          <w:tblCellMar>
            <w:top w:w="0" w:type="dxa"/>
            <w:left w:w="108" w:type="dxa"/>
            <w:bottom w:w="0" w:type="dxa"/>
            <w:right w:w="108" w:type="dxa"/>
          </w:tblCellMar>
        </w:tblPrEx>
        <w:trPr>
          <w:trHeight w:val="720" w:hRule="atLeast"/>
        </w:trPr>
        <w:tc>
          <w:tcPr>
            <w:tcW w:w="779" w:type="pct"/>
            <w:vMerge w:val="restart"/>
            <w:tcBorders>
              <w:top w:val="nil"/>
              <w:left w:val="single" w:color="auto" w:sz="4" w:space="0"/>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4</w:t>
            </w:r>
          </w:p>
        </w:tc>
        <w:tc>
          <w:tcPr>
            <w:tcW w:w="537" w:type="pct"/>
            <w:vMerge w:val="restart"/>
            <w:tcBorders>
              <w:top w:val="nil"/>
              <w:left w:val="single" w:color="auto" w:sz="4" w:space="0"/>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养护作业情况</w:t>
            </w:r>
          </w:p>
        </w:tc>
        <w:tc>
          <w:tcPr>
            <w:tcW w:w="2453" w:type="pct"/>
            <w:gridSpan w:val="2"/>
            <w:tcBorders>
              <w:top w:val="single" w:color="auto" w:sz="4" w:space="0"/>
              <w:left w:val="nil"/>
              <w:bottom w:val="single" w:color="auto" w:sz="4" w:space="0"/>
              <w:right w:val="single" w:color="000000"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作业现场须围护作业，设安全警示标志，夜间有照明灯和警示灯。</w:t>
            </w:r>
          </w:p>
        </w:tc>
        <w:tc>
          <w:tcPr>
            <w:tcW w:w="249"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5</w:t>
            </w:r>
          </w:p>
        </w:tc>
        <w:tc>
          <w:tcPr>
            <w:tcW w:w="265"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　</w:t>
            </w:r>
          </w:p>
        </w:tc>
        <w:tc>
          <w:tcPr>
            <w:tcW w:w="717"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　</w:t>
            </w:r>
          </w:p>
        </w:tc>
      </w:tr>
      <w:tr>
        <w:tblPrEx>
          <w:tblCellMar>
            <w:top w:w="0" w:type="dxa"/>
            <w:left w:w="108" w:type="dxa"/>
            <w:bottom w:w="0" w:type="dxa"/>
            <w:right w:w="108" w:type="dxa"/>
          </w:tblCellMar>
        </w:tblPrEx>
        <w:trPr>
          <w:trHeight w:val="630" w:hRule="atLeast"/>
        </w:trPr>
        <w:tc>
          <w:tcPr>
            <w:tcW w:w="779" w:type="pct"/>
            <w:vMerge w:val="continue"/>
            <w:tcBorders>
              <w:top w:val="nil"/>
              <w:left w:val="single" w:color="auto" w:sz="4" w:space="0"/>
              <w:bottom w:val="single" w:color="auto" w:sz="4" w:space="0"/>
              <w:right w:val="single" w:color="auto" w:sz="4" w:space="0"/>
            </w:tcBorders>
            <w:vAlign w:val="center"/>
          </w:tcPr>
          <w:p>
            <w:pPr>
              <w:widowControl/>
              <w:shd w:val="clear"/>
              <w:spacing w:after="0" w:line="240" w:lineRule="auto"/>
              <w:jc w:val="left"/>
              <w:outlineLvl w:val="9"/>
              <w:rPr>
                <w:rFonts w:hint="default" w:ascii="仿宋_GB2312" w:hAnsi="宋体" w:eastAsia="仿宋_GB2312" w:cs="宋体"/>
                <w:color w:val="auto"/>
                <w:kern w:val="0"/>
                <w:sz w:val="20"/>
                <w:szCs w:val="20"/>
                <w:highlight w:val="none"/>
                <w:lang w:val="en-US" w:bidi="ar-SA"/>
              </w:rPr>
            </w:pPr>
          </w:p>
        </w:tc>
        <w:tc>
          <w:tcPr>
            <w:tcW w:w="537" w:type="pct"/>
            <w:vMerge w:val="continue"/>
            <w:tcBorders>
              <w:top w:val="nil"/>
              <w:left w:val="single" w:color="auto" w:sz="4" w:space="0"/>
              <w:bottom w:val="single" w:color="auto" w:sz="4" w:space="0"/>
              <w:right w:val="single" w:color="auto" w:sz="4" w:space="0"/>
            </w:tcBorders>
            <w:vAlign w:val="center"/>
          </w:tcPr>
          <w:p>
            <w:pPr>
              <w:widowControl/>
              <w:shd w:val="clear"/>
              <w:spacing w:after="0" w:line="240" w:lineRule="auto"/>
              <w:jc w:val="left"/>
              <w:outlineLvl w:val="9"/>
              <w:rPr>
                <w:rFonts w:hint="default" w:ascii="仿宋_GB2312" w:hAnsi="宋体" w:eastAsia="仿宋_GB2312" w:cs="宋体"/>
                <w:color w:val="auto"/>
                <w:kern w:val="0"/>
                <w:sz w:val="20"/>
                <w:szCs w:val="20"/>
                <w:highlight w:val="none"/>
                <w:lang w:val="en-US" w:bidi="ar-SA"/>
              </w:rPr>
            </w:pPr>
          </w:p>
        </w:tc>
        <w:tc>
          <w:tcPr>
            <w:tcW w:w="2453" w:type="pct"/>
            <w:gridSpan w:val="2"/>
            <w:tcBorders>
              <w:top w:val="single" w:color="auto" w:sz="4" w:space="0"/>
              <w:left w:val="nil"/>
              <w:bottom w:val="single" w:color="auto" w:sz="4" w:space="0"/>
              <w:right w:val="single" w:color="000000"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养护材料、清理物应按指定地点堆放，不影响居民正常生活，做到工完场清。</w:t>
            </w:r>
          </w:p>
        </w:tc>
        <w:tc>
          <w:tcPr>
            <w:tcW w:w="249"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5</w:t>
            </w:r>
          </w:p>
        </w:tc>
        <w:tc>
          <w:tcPr>
            <w:tcW w:w="265"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　</w:t>
            </w:r>
          </w:p>
        </w:tc>
        <w:tc>
          <w:tcPr>
            <w:tcW w:w="717"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　</w:t>
            </w:r>
          </w:p>
        </w:tc>
      </w:tr>
      <w:tr>
        <w:tblPrEx>
          <w:tblCellMar>
            <w:top w:w="0" w:type="dxa"/>
            <w:left w:w="108" w:type="dxa"/>
            <w:bottom w:w="0" w:type="dxa"/>
            <w:right w:w="108" w:type="dxa"/>
          </w:tblCellMar>
        </w:tblPrEx>
        <w:trPr>
          <w:trHeight w:val="450" w:hRule="atLeast"/>
        </w:trPr>
        <w:tc>
          <w:tcPr>
            <w:tcW w:w="131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合计</w:t>
            </w:r>
          </w:p>
        </w:tc>
        <w:tc>
          <w:tcPr>
            <w:tcW w:w="2453" w:type="pct"/>
            <w:gridSpan w:val="2"/>
            <w:tcBorders>
              <w:top w:val="single" w:color="auto" w:sz="4" w:space="0"/>
              <w:left w:val="nil"/>
              <w:bottom w:val="single" w:color="auto" w:sz="4" w:space="0"/>
              <w:right w:val="single" w:color="000000"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　</w:t>
            </w:r>
          </w:p>
        </w:tc>
        <w:tc>
          <w:tcPr>
            <w:tcW w:w="249"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100</w:t>
            </w:r>
          </w:p>
        </w:tc>
        <w:tc>
          <w:tcPr>
            <w:tcW w:w="265"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　</w:t>
            </w:r>
          </w:p>
        </w:tc>
        <w:tc>
          <w:tcPr>
            <w:tcW w:w="717"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　</w:t>
            </w:r>
          </w:p>
        </w:tc>
      </w:tr>
      <w:tr>
        <w:tblPrEx>
          <w:tblCellMar>
            <w:top w:w="0" w:type="dxa"/>
            <w:left w:w="108" w:type="dxa"/>
            <w:bottom w:w="0" w:type="dxa"/>
            <w:right w:w="108" w:type="dxa"/>
          </w:tblCellMar>
        </w:tblPrEx>
        <w:trPr>
          <w:trHeight w:val="780" w:hRule="atLeast"/>
        </w:trPr>
        <w:tc>
          <w:tcPr>
            <w:tcW w:w="3076" w:type="pct"/>
            <w:gridSpan w:val="3"/>
            <w:tcBorders>
              <w:top w:val="single" w:color="auto" w:sz="4" w:space="0"/>
              <w:left w:val="nil"/>
              <w:bottom w:val="nil"/>
              <w:right w:val="nil"/>
            </w:tcBorders>
            <w:shd w:val="clear" w:color="auto" w:fill="auto"/>
            <w:noWrap/>
            <w:vAlign w:val="center"/>
          </w:tcPr>
          <w:p>
            <w:pPr>
              <w:widowControl/>
              <w:shd w:val="clear"/>
              <w:spacing w:after="0" w:line="240" w:lineRule="auto"/>
              <w:jc w:val="left"/>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评分记录人：</w:t>
            </w:r>
          </w:p>
        </w:tc>
        <w:tc>
          <w:tcPr>
            <w:tcW w:w="693" w:type="pct"/>
            <w:tcBorders>
              <w:top w:val="nil"/>
              <w:left w:val="nil"/>
              <w:bottom w:val="nil"/>
              <w:right w:val="nil"/>
            </w:tcBorders>
            <w:shd w:val="clear" w:color="auto" w:fill="auto"/>
            <w:noWrap/>
            <w:vAlign w:val="center"/>
          </w:tcPr>
          <w:p>
            <w:pPr>
              <w:widowControl/>
              <w:shd w:val="clear"/>
              <w:spacing w:after="0" w:line="240" w:lineRule="auto"/>
              <w:jc w:val="left"/>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　</w:t>
            </w:r>
          </w:p>
        </w:tc>
        <w:tc>
          <w:tcPr>
            <w:tcW w:w="1231" w:type="pct"/>
            <w:gridSpan w:val="3"/>
            <w:tcBorders>
              <w:top w:val="single" w:color="auto" w:sz="4" w:space="0"/>
              <w:left w:val="nil"/>
              <w:bottom w:val="nil"/>
              <w:right w:val="nil"/>
            </w:tcBorders>
            <w:shd w:val="clear" w:color="auto" w:fill="auto"/>
            <w:noWrap/>
            <w:vAlign w:val="center"/>
          </w:tcPr>
          <w:p>
            <w:pPr>
              <w:widowControl/>
              <w:shd w:val="clear"/>
              <w:spacing w:after="0" w:line="240" w:lineRule="auto"/>
              <w:jc w:val="left"/>
              <w:outlineLvl w:val="9"/>
              <w:rPr>
                <w:rFonts w:hint="eastAsia" w:ascii="仿宋_GB2312" w:hAnsi="宋体" w:eastAsia="仿宋_GB2312" w:cs="宋体"/>
                <w:color w:val="auto"/>
                <w:kern w:val="0"/>
                <w:sz w:val="20"/>
                <w:szCs w:val="20"/>
                <w:highlight w:val="none"/>
                <w:lang w:val="en-US" w:bidi="ar-SA"/>
              </w:rPr>
            </w:pPr>
            <w:r>
              <w:rPr>
                <w:rFonts w:hint="eastAsia" w:ascii="仿宋_GB2312" w:hAnsi="宋体" w:eastAsia="仿宋_GB2312" w:cs="宋体"/>
                <w:color w:val="auto"/>
                <w:kern w:val="0"/>
                <w:sz w:val="20"/>
                <w:szCs w:val="20"/>
                <w:highlight w:val="none"/>
                <w:lang w:val="en-US" w:bidi="ar-SA"/>
              </w:rPr>
              <w:t>考核时间：</w:t>
            </w:r>
          </w:p>
        </w:tc>
      </w:tr>
    </w:tbl>
    <w:p>
      <w:pPr>
        <w:shd w:val="clear"/>
        <w:outlineLvl w:val="9"/>
        <w:rPr>
          <w:rFonts w:hint="eastAsia"/>
          <w:color w:val="auto"/>
          <w:highlight w:val="none"/>
        </w:rPr>
        <w:sectPr>
          <w:headerReference r:id="rId3" w:type="first"/>
          <w:footerReference r:id="rId6" w:type="first"/>
          <w:footerReference r:id="rId4" w:type="default"/>
          <w:footerReference r:id="rId5" w:type="even"/>
          <w:pgSz w:w="11906" w:h="16838"/>
          <w:pgMar w:top="1440" w:right="1077" w:bottom="1440" w:left="1077" w:header="680" w:footer="397" w:gutter="0"/>
          <w:pgNumType w:fmt="decimal"/>
          <w:cols w:space="720" w:num="1"/>
          <w:titlePg/>
          <w:docGrid w:linePitch="360" w:charSpace="0"/>
        </w:sectPr>
      </w:pPr>
    </w:p>
    <w:p>
      <w:pPr>
        <w:widowControl w:val="0"/>
        <w:shd w:val="clear"/>
        <w:spacing w:after="160" w:line="278" w:lineRule="auto"/>
        <w:jc w:val="both"/>
        <w:outlineLvl w:val="9"/>
        <w:rPr>
          <w:rFonts w:hint="default" w:ascii="华文中宋" w:hAnsi="Times New Roman" w:eastAsia="华文中宋" w:cs="Times New Roman"/>
          <w:bCs/>
          <w:color w:val="auto"/>
          <w:kern w:val="2"/>
          <w:sz w:val="28"/>
          <w:highlight w:val="none"/>
          <w:lang w:val="zh-CN" w:eastAsia="zh-CN" w:bidi="ar-SA"/>
        </w:rPr>
      </w:pPr>
    </w:p>
    <w:tbl>
      <w:tblPr>
        <w:tblStyle w:val="82"/>
        <w:tblW w:w="5031" w:type="pct"/>
        <w:tblInd w:w="0" w:type="dxa"/>
        <w:tblLayout w:type="fixed"/>
        <w:tblCellMar>
          <w:top w:w="0" w:type="dxa"/>
          <w:left w:w="108" w:type="dxa"/>
          <w:bottom w:w="0" w:type="dxa"/>
          <w:right w:w="108" w:type="dxa"/>
        </w:tblCellMar>
      </w:tblPr>
      <w:tblGrid>
        <w:gridCol w:w="936"/>
        <w:gridCol w:w="3140"/>
        <w:gridCol w:w="1843"/>
        <w:gridCol w:w="1703"/>
        <w:gridCol w:w="1557"/>
        <w:gridCol w:w="143"/>
        <w:gridCol w:w="1560"/>
        <w:gridCol w:w="1700"/>
        <w:gridCol w:w="1680"/>
      </w:tblGrid>
      <w:tr>
        <w:tblPrEx>
          <w:tblCellMar>
            <w:top w:w="0" w:type="dxa"/>
            <w:left w:w="108" w:type="dxa"/>
            <w:bottom w:w="0" w:type="dxa"/>
            <w:right w:w="108" w:type="dxa"/>
          </w:tblCellMar>
        </w:tblPrEx>
        <w:trPr>
          <w:trHeight w:val="226" w:hRule="atLeast"/>
        </w:trPr>
        <w:tc>
          <w:tcPr>
            <w:tcW w:w="328" w:type="pct"/>
            <w:tcBorders>
              <w:top w:val="nil"/>
              <w:left w:val="nil"/>
              <w:bottom w:val="nil"/>
              <w:right w:val="nil"/>
            </w:tcBorders>
            <w:shd w:val="clear" w:color="auto" w:fill="auto"/>
            <w:noWrap/>
            <w:vAlign w:val="bottom"/>
          </w:tcPr>
          <w:p>
            <w:pPr>
              <w:widowControl/>
              <w:shd w:val="clear"/>
              <w:spacing w:after="0" w:line="240" w:lineRule="auto"/>
              <w:jc w:val="left"/>
              <w:outlineLvl w:val="9"/>
              <w:rPr>
                <w:rFonts w:hint="default"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附表六</w:t>
            </w:r>
          </w:p>
        </w:tc>
        <w:tc>
          <w:tcPr>
            <w:tcW w:w="1101" w:type="pct"/>
            <w:tcBorders>
              <w:top w:val="nil"/>
              <w:left w:val="nil"/>
              <w:bottom w:val="nil"/>
              <w:right w:val="nil"/>
            </w:tcBorders>
            <w:shd w:val="clear" w:color="auto" w:fill="auto"/>
            <w:noWrap/>
            <w:vAlign w:val="bottom"/>
          </w:tcPr>
          <w:p>
            <w:pPr>
              <w:widowControl/>
              <w:shd w:val="clear"/>
              <w:spacing w:after="0" w:line="240" w:lineRule="auto"/>
              <w:jc w:val="left"/>
              <w:outlineLvl w:val="9"/>
              <w:rPr>
                <w:rFonts w:hint="eastAsia" w:ascii="宋体" w:hAnsi="宋体" w:eastAsia="宋体" w:cs="宋体"/>
                <w:color w:val="auto"/>
                <w:kern w:val="0"/>
                <w:sz w:val="24"/>
                <w:szCs w:val="24"/>
                <w:highlight w:val="none"/>
                <w:lang w:val="en-US" w:bidi="ar-SA"/>
              </w:rPr>
            </w:pPr>
          </w:p>
        </w:tc>
        <w:tc>
          <w:tcPr>
            <w:tcW w:w="646" w:type="pct"/>
            <w:tcBorders>
              <w:top w:val="nil"/>
              <w:left w:val="nil"/>
              <w:bottom w:val="nil"/>
              <w:right w:val="nil"/>
            </w:tcBorders>
            <w:shd w:val="clear" w:color="auto" w:fill="auto"/>
            <w:noWrap/>
            <w:vAlign w:val="bottom"/>
          </w:tcPr>
          <w:p>
            <w:pPr>
              <w:widowControl/>
              <w:shd w:val="clear"/>
              <w:spacing w:after="0" w:line="240" w:lineRule="auto"/>
              <w:jc w:val="left"/>
              <w:outlineLvl w:val="9"/>
              <w:rPr>
                <w:rFonts w:hint="default" w:ascii="Times New Roman" w:hAnsi="Times New Roman" w:eastAsia="Times New Roman" w:cs="Times New Roman"/>
                <w:color w:val="auto"/>
                <w:kern w:val="0"/>
                <w:sz w:val="20"/>
                <w:szCs w:val="20"/>
                <w:highlight w:val="none"/>
                <w:lang w:val="en-US" w:bidi="ar-SA"/>
              </w:rPr>
            </w:pPr>
          </w:p>
        </w:tc>
        <w:tc>
          <w:tcPr>
            <w:tcW w:w="597" w:type="pct"/>
            <w:tcBorders>
              <w:top w:val="nil"/>
              <w:left w:val="nil"/>
              <w:bottom w:val="nil"/>
              <w:right w:val="nil"/>
            </w:tcBorders>
            <w:shd w:val="clear" w:color="auto" w:fill="auto"/>
            <w:noWrap/>
            <w:vAlign w:val="bottom"/>
          </w:tcPr>
          <w:p>
            <w:pPr>
              <w:widowControl/>
              <w:shd w:val="clear"/>
              <w:spacing w:after="0" w:line="240" w:lineRule="auto"/>
              <w:jc w:val="left"/>
              <w:outlineLvl w:val="9"/>
              <w:rPr>
                <w:rFonts w:hint="default" w:ascii="Times New Roman" w:hAnsi="Times New Roman" w:eastAsia="Times New Roman" w:cs="Times New Roman"/>
                <w:color w:val="auto"/>
                <w:kern w:val="0"/>
                <w:sz w:val="20"/>
                <w:szCs w:val="20"/>
                <w:highlight w:val="none"/>
                <w:lang w:val="en-US" w:bidi="ar-SA"/>
              </w:rPr>
            </w:pPr>
          </w:p>
        </w:tc>
        <w:tc>
          <w:tcPr>
            <w:tcW w:w="596" w:type="pct"/>
            <w:gridSpan w:val="2"/>
            <w:tcBorders>
              <w:top w:val="nil"/>
              <w:left w:val="nil"/>
              <w:bottom w:val="nil"/>
              <w:right w:val="nil"/>
            </w:tcBorders>
            <w:shd w:val="clear" w:color="auto" w:fill="auto"/>
            <w:noWrap/>
            <w:vAlign w:val="bottom"/>
          </w:tcPr>
          <w:p>
            <w:pPr>
              <w:widowControl/>
              <w:shd w:val="clear"/>
              <w:spacing w:after="0" w:line="240" w:lineRule="auto"/>
              <w:jc w:val="left"/>
              <w:outlineLvl w:val="9"/>
              <w:rPr>
                <w:rFonts w:hint="default" w:ascii="Times New Roman" w:hAnsi="Times New Roman" w:eastAsia="Times New Roman" w:cs="Times New Roman"/>
                <w:color w:val="auto"/>
                <w:kern w:val="0"/>
                <w:sz w:val="20"/>
                <w:szCs w:val="20"/>
                <w:highlight w:val="none"/>
                <w:lang w:val="en-US" w:bidi="ar-SA"/>
              </w:rPr>
            </w:pPr>
          </w:p>
        </w:tc>
        <w:tc>
          <w:tcPr>
            <w:tcW w:w="547" w:type="pct"/>
            <w:tcBorders>
              <w:top w:val="nil"/>
              <w:left w:val="nil"/>
              <w:bottom w:val="nil"/>
              <w:right w:val="nil"/>
            </w:tcBorders>
            <w:shd w:val="clear" w:color="auto" w:fill="auto"/>
            <w:noWrap/>
            <w:vAlign w:val="bottom"/>
          </w:tcPr>
          <w:p>
            <w:pPr>
              <w:widowControl/>
              <w:shd w:val="clear"/>
              <w:spacing w:after="0" w:line="240" w:lineRule="auto"/>
              <w:jc w:val="left"/>
              <w:outlineLvl w:val="9"/>
              <w:rPr>
                <w:rFonts w:hint="default" w:ascii="Times New Roman" w:hAnsi="Times New Roman" w:eastAsia="Times New Roman" w:cs="Times New Roman"/>
                <w:color w:val="auto"/>
                <w:kern w:val="0"/>
                <w:sz w:val="20"/>
                <w:szCs w:val="20"/>
                <w:highlight w:val="none"/>
                <w:lang w:val="en-US" w:bidi="ar-SA"/>
              </w:rPr>
            </w:pPr>
          </w:p>
        </w:tc>
        <w:tc>
          <w:tcPr>
            <w:tcW w:w="596" w:type="pct"/>
            <w:tcBorders>
              <w:top w:val="nil"/>
              <w:left w:val="nil"/>
              <w:bottom w:val="nil"/>
              <w:right w:val="nil"/>
            </w:tcBorders>
            <w:shd w:val="clear" w:color="auto" w:fill="auto"/>
            <w:noWrap/>
            <w:vAlign w:val="bottom"/>
          </w:tcPr>
          <w:p>
            <w:pPr>
              <w:widowControl/>
              <w:shd w:val="clear"/>
              <w:spacing w:after="0" w:line="240" w:lineRule="auto"/>
              <w:jc w:val="left"/>
              <w:outlineLvl w:val="9"/>
              <w:rPr>
                <w:rFonts w:hint="default" w:ascii="Times New Roman" w:hAnsi="Times New Roman" w:eastAsia="Times New Roman" w:cs="Times New Roman"/>
                <w:color w:val="auto"/>
                <w:kern w:val="0"/>
                <w:sz w:val="20"/>
                <w:szCs w:val="20"/>
                <w:highlight w:val="none"/>
                <w:lang w:val="en-US" w:bidi="ar-SA"/>
              </w:rPr>
            </w:pPr>
          </w:p>
        </w:tc>
        <w:tc>
          <w:tcPr>
            <w:tcW w:w="589" w:type="pct"/>
            <w:tcBorders>
              <w:top w:val="nil"/>
              <w:left w:val="nil"/>
              <w:bottom w:val="nil"/>
              <w:right w:val="nil"/>
            </w:tcBorders>
            <w:shd w:val="clear" w:color="auto" w:fill="auto"/>
            <w:noWrap/>
            <w:vAlign w:val="bottom"/>
          </w:tcPr>
          <w:p>
            <w:pPr>
              <w:widowControl/>
              <w:shd w:val="clear"/>
              <w:spacing w:after="0" w:line="240" w:lineRule="auto"/>
              <w:jc w:val="left"/>
              <w:outlineLvl w:val="9"/>
              <w:rPr>
                <w:rFonts w:hint="default" w:ascii="Times New Roman" w:hAnsi="Times New Roman" w:eastAsia="Times New Roman" w:cs="Times New Roman"/>
                <w:color w:val="auto"/>
                <w:kern w:val="0"/>
                <w:sz w:val="20"/>
                <w:szCs w:val="20"/>
                <w:highlight w:val="none"/>
                <w:lang w:val="en-US" w:bidi="ar-SA"/>
              </w:rPr>
            </w:pPr>
          </w:p>
        </w:tc>
      </w:tr>
      <w:tr>
        <w:tblPrEx>
          <w:tblCellMar>
            <w:top w:w="0" w:type="dxa"/>
            <w:left w:w="108" w:type="dxa"/>
            <w:bottom w:w="0" w:type="dxa"/>
            <w:right w:w="108" w:type="dxa"/>
          </w:tblCellMar>
        </w:tblPrEx>
        <w:trPr>
          <w:trHeight w:val="321" w:hRule="atLeast"/>
        </w:trPr>
        <w:tc>
          <w:tcPr>
            <w:tcW w:w="5000" w:type="pct"/>
            <w:gridSpan w:val="9"/>
            <w:tcBorders>
              <w:top w:val="nil"/>
              <w:left w:val="nil"/>
              <w:bottom w:val="nil"/>
              <w:right w:val="nil"/>
            </w:tcBorders>
            <w:shd w:val="clear" w:color="auto" w:fill="auto"/>
            <w:noWrap/>
            <w:vAlign w:val="center"/>
          </w:tcPr>
          <w:p>
            <w:pPr>
              <w:widowControl/>
              <w:shd w:val="clear"/>
              <w:spacing w:after="0" w:line="240" w:lineRule="auto"/>
              <w:jc w:val="center"/>
              <w:outlineLvl w:val="9"/>
              <w:rPr>
                <w:rFonts w:hint="default" w:ascii="宋体" w:hAnsi="宋体" w:eastAsia="宋体" w:cs="宋体"/>
                <w:b/>
                <w:bCs/>
                <w:color w:val="auto"/>
                <w:kern w:val="0"/>
                <w:sz w:val="32"/>
                <w:szCs w:val="32"/>
                <w:highlight w:val="none"/>
                <w:lang w:val="en-US" w:bidi="ar-SA"/>
              </w:rPr>
            </w:pPr>
            <w:r>
              <w:rPr>
                <w:rFonts w:hint="eastAsia" w:ascii="宋体" w:hAnsi="宋体" w:eastAsia="宋体" w:cs="宋体"/>
                <w:b/>
                <w:bCs/>
                <w:color w:val="auto"/>
                <w:kern w:val="0"/>
                <w:sz w:val="32"/>
                <w:szCs w:val="32"/>
                <w:highlight w:val="none"/>
                <w:lang w:val="en-US" w:bidi="ar-SA"/>
              </w:rPr>
              <w:t>无锡市排水运行维护片区运行维护信息年报表</w:t>
            </w:r>
          </w:p>
        </w:tc>
      </w:tr>
      <w:tr>
        <w:tblPrEx>
          <w:tblCellMar>
            <w:top w:w="0" w:type="dxa"/>
            <w:left w:w="108" w:type="dxa"/>
            <w:bottom w:w="0" w:type="dxa"/>
            <w:right w:w="108" w:type="dxa"/>
          </w:tblCellMar>
        </w:tblPrEx>
        <w:trPr>
          <w:trHeight w:val="130" w:hRule="atLeast"/>
        </w:trPr>
        <w:tc>
          <w:tcPr>
            <w:tcW w:w="328" w:type="pct"/>
            <w:tcBorders>
              <w:top w:val="nil"/>
              <w:left w:val="nil"/>
              <w:bottom w:val="nil"/>
              <w:right w:val="nil"/>
            </w:tcBorders>
            <w:shd w:val="clear" w:color="auto" w:fill="auto"/>
            <w:noWrap/>
            <w:vAlign w:val="bottom"/>
          </w:tcPr>
          <w:p>
            <w:pPr>
              <w:widowControl/>
              <w:shd w:val="clear"/>
              <w:spacing w:after="0" w:line="240" w:lineRule="auto"/>
              <w:jc w:val="center"/>
              <w:outlineLvl w:val="9"/>
              <w:rPr>
                <w:rFonts w:hint="eastAsia" w:ascii="宋体" w:hAnsi="宋体" w:eastAsia="宋体" w:cs="宋体"/>
                <w:b/>
                <w:bCs/>
                <w:color w:val="auto"/>
                <w:kern w:val="0"/>
                <w:sz w:val="32"/>
                <w:szCs w:val="32"/>
                <w:highlight w:val="none"/>
                <w:lang w:val="en-US" w:bidi="ar-SA"/>
              </w:rPr>
            </w:pPr>
          </w:p>
        </w:tc>
        <w:tc>
          <w:tcPr>
            <w:tcW w:w="1101" w:type="pct"/>
            <w:tcBorders>
              <w:top w:val="nil"/>
              <w:left w:val="nil"/>
              <w:bottom w:val="nil"/>
              <w:right w:val="nil"/>
            </w:tcBorders>
            <w:shd w:val="clear" w:color="auto" w:fill="auto"/>
            <w:noWrap/>
            <w:vAlign w:val="bottom"/>
          </w:tcPr>
          <w:p>
            <w:pPr>
              <w:widowControl/>
              <w:shd w:val="clear"/>
              <w:spacing w:after="0" w:line="240" w:lineRule="auto"/>
              <w:jc w:val="left"/>
              <w:outlineLvl w:val="9"/>
              <w:rPr>
                <w:rFonts w:hint="default" w:ascii="Times New Roman" w:hAnsi="Times New Roman" w:eastAsia="Times New Roman" w:cs="Times New Roman"/>
                <w:color w:val="auto"/>
                <w:kern w:val="0"/>
                <w:sz w:val="20"/>
                <w:szCs w:val="20"/>
                <w:highlight w:val="none"/>
                <w:lang w:val="en-US" w:bidi="ar-SA"/>
              </w:rPr>
            </w:pPr>
          </w:p>
        </w:tc>
        <w:tc>
          <w:tcPr>
            <w:tcW w:w="646" w:type="pct"/>
            <w:tcBorders>
              <w:top w:val="nil"/>
              <w:left w:val="nil"/>
              <w:bottom w:val="nil"/>
              <w:right w:val="nil"/>
            </w:tcBorders>
            <w:shd w:val="clear" w:color="auto" w:fill="auto"/>
            <w:noWrap/>
            <w:vAlign w:val="bottom"/>
          </w:tcPr>
          <w:p>
            <w:pPr>
              <w:widowControl/>
              <w:shd w:val="clear"/>
              <w:spacing w:after="0" w:line="240" w:lineRule="auto"/>
              <w:jc w:val="center"/>
              <w:outlineLvl w:val="9"/>
              <w:rPr>
                <w:rFonts w:hint="default" w:ascii="Times New Roman" w:hAnsi="Times New Roman" w:eastAsia="Times New Roman" w:cs="Times New Roman"/>
                <w:color w:val="auto"/>
                <w:kern w:val="0"/>
                <w:sz w:val="20"/>
                <w:szCs w:val="20"/>
                <w:highlight w:val="none"/>
                <w:lang w:val="en-US" w:bidi="ar-SA"/>
              </w:rPr>
            </w:pPr>
          </w:p>
        </w:tc>
        <w:tc>
          <w:tcPr>
            <w:tcW w:w="597" w:type="pct"/>
            <w:tcBorders>
              <w:top w:val="nil"/>
              <w:left w:val="nil"/>
              <w:bottom w:val="nil"/>
              <w:right w:val="nil"/>
            </w:tcBorders>
            <w:shd w:val="clear" w:color="auto" w:fill="auto"/>
            <w:noWrap/>
            <w:vAlign w:val="bottom"/>
          </w:tcPr>
          <w:p>
            <w:pPr>
              <w:widowControl/>
              <w:shd w:val="clear"/>
              <w:spacing w:after="0" w:line="240" w:lineRule="auto"/>
              <w:jc w:val="center"/>
              <w:outlineLvl w:val="9"/>
              <w:rPr>
                <w:rFonts w:hint="default" w:ascii="Times New Roman" w:hAnsi="Times New Roman" w:eastAsia="Times New Roman" w:cs="Times New Roman"/>
                <w:color w:val="auto"/>
                <w:kern w:val="0"/>
                <w:sz w:val="20"/>
                <w:szCs w:val="20"/>
                <w:highlight w:val="none"/>
                <w:lang w:val="en-US" w:bidi="ar-SA"/>
              </w:rPr>
            </w:pPr>
          </w:p>
        </w:tc>
        <w:tc>
          <w:tcPr>
            <w:tcW w:w="596" w:type="pct"/>
            <w:gridSpan w:val="2"/>
            <w:tcBorders>
              <w:top w:val="nil"/>
              <w:left w:val="nil"/>
              <w:bottom w:val="nil"/>
              <w:right w:val="nil"/>
            </w:tcBorders>
            <w:shd w:val="clear" w:color="auto" w:fill="auto"/>
            <w:noWrap/>
            <w:vAlign w:val="bottom"/>
          </w:tcPr>
          <w:p>
            <w:pPr>
              <w:widowControl/>
              <w:shd w:val="clear"/>
              <w:spacing w:after="0" w:line="240" w:lineRule="auto"/>
              <w:jc w:val="center"/>
              <w:outlineLvl w:val="9"/>
              <w:rPr>
                <w:rFonts w:hint="default" w:ascii="Times New Roman" w:hAnsi="Times New Roman" w:eastAsia="Times New Roman" w:cs="Times New Roman"/>
                <w:color w:val="auto"/>
                <w:kern w:val="0"/>
                <w:sz w:val="20"/>
                <w:szCs w:val="20"/>
                <w:highlight w:val="none"/>
                <w:lang w:val="en-US" w:bidi="ar-SA"/>
              </w:rPr>
            </w:pPr>
          </w:p>
        </w:tc>
        <w:tc>
          <w:tcPr>
            <w:tcW w:w="547" w:type="pct"/>
            <w:tcBorders>
              <w:top w:val="nil"/>
              <w:left w:val="nil"/>
              <w:bottom w:val="nil"/>
              <w:right w:val="nil"/>
            </w:tcBorders>
            <w:shd w:val="clear" w:color="auto" w:fill="auto"/>
            <w:noWrap/>
            <w:vAlign w:val="bottom"/>
          </w:tcPr>
          <w:p>
            <w:pPr>
              <w:widowControl/>
              <w:shd w:val="clear"/>
              <w:spacing w:after="0" w:line="240" w:lineRule="auto"/>
              <w:jc w:val="center"/>
              <w:outlineLvl w:val="9"/>
              <w:rPr>
                <w:rFonts w:hint="default" w:ascii="Times New Roman" w:hAnsi="Times New Roman" w:eastAsia="Times New Roman" w:cs="Times New Roman"/>
                <w:color w:val="auto"/>
                <w:kern w:val="0"/>
                <w:sz w:val="20"/>
                <w:szCs w:val="20"/>
                <w:highlight w:val="none"/>
                <w:lang w:val="en-US" w:bidi="ar-SA"/>
              </w:rPr>
            </w:pPr>
          </w:p>
        </w:tc>
        <w:tc>
          <w:tcPr>
            <w:tcW w:w="596" w:type="pct"/>
            <w:tcBorders>
              <w:top w:val="nil"/>
              <w:left w:val="nil"/>
              <w:bottom w:val="nil"/>
              <w:right w:val="nil"/>
            </w:tcBorders>
            <w:shd w:val="clear" w:color="auto" w:fill="auto"/>
            <w:noWrap/>
            <w:vAlign w:val="bottom"/>
          </w:tcPr>
          <w:p>
            <w:pPr>
              <w:widowControl/>
              <w:shd w:val="clear"/>
              <w:spacing w:after="0" w:line="240" w:lineRule="auto"/>
              <w:jc w:val="center"/>
              <w:outlineLvl w:val="9"/>
              <w:rPr>
                <w:rFonts w:hint="default" w:ascii="Times New Roman" w:hAnsi="Times New Roman" w:eastAsia="Times New Roman" w:cs="Times New Roman"/>
                <w:color w:val="auto"/>
                <w:kern w:val="0"/>
                <w:sz w:val="20"/>
                <w:szCs w:val="20"/>
                <w:highlight w:val="none"/>
                <w:lang w:val="en-US" w:bidi="ar-SA"/>
              </w:rPr>
            </w:pPr>
          </w:p>
        </w:tc>
        <w:tc>
          <w:tcPr>
            <w:tcW w:w="589" w:type="pct"/>
            <w:tcBorders>
              <w:top w:val="nil"/>
              <w:left w:val="nil"/>
              <w:bottom w:val="nil"/>
              <w:right w:val="nil"/>
            </w:tcBorders>
            <w:shd w:val="clear" w:color="auto" w:fill="auto"/>
            <w:noWrap/>
            <w:vAlign w:val="bottom"/>
          </w:tcPr>
          <w:p>
            <w:pPr>
              <w:widowControl/>
              <w:shd w:val="clear"/>
              <w:spacing w:after="0" w:line="240" w:lineRule="auto"/>
              <w:jc w:val="center"/>
              <w:outlineLvl w:val="9"/>
              <w:rPr>
                <w:rFonts w:hint="default" w:ascii="Times New Roman" w:hAnsi="Times New Roman" w:eastAsia="Times New Roman" w:cs="Times New Roman"/>
                <w:color w:val="auto"/>
                <w:kern w:val="0"/>
                <w:sz w:val="20"/>
                <w:szCs w:val="20"/>
                <w:highlight w:val="none"/>
                <w:lang w:val="en-US" w:bidi="ar-SA"/>
              </w:rPr>
            </w:pPr>
          </w:p>
        </w:tc>
      </w:tr>
      <w:tr>
        <w:tblPrEx>
          <w:tblCellMar>
            <w:top w:w="0" w:type="dxa"/>
            <w:left w:w="108" w:type="dxa"/>
            <w:bottom w:w="0" w:type="dxa"/>
            <w:right w:w="108" w:type="dxa"/>
          </w:tblCellMar>
        </w:tblPrEx>
        <w:trPr>
          <w:trHeight w:val="285" w:hRule="atLeast"/>
        </w:trPr>
        <w:tc>
          <w:tcPr>
            <w:tcW w:w="5000" w:type="pct"/>
            <w:gridSpan w:val="9"/>
            <w:tcBorders>
              <w:top w:val="nil"/>
              <w:left w:val="nil"/>
              <w:bottom w:val="nil"/>
              <w:right w:val="nil"/>
            </w:tcBorders>
            <w:shd w:val="clear" w:color="auto" w:fill="auto"/>
            <w:noWrap/>
            <w:vAlign w:val="center"/>
          </w:tcPr>
          <w:p>
            <w:pPr>
              <w:widowControl/>
              <w:shd w:val="clear"/>
              <w:spacing w:after="0" w:line="240" w:lineRule="auto"/>
              <w:jc w:val="left"/>
              <w:outlineLvl w:val="9"/>
              <w:rPr>
                <w:rFonts w:hint="default"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填报单位（区排水管理机构）：</w:t>
            </w:r>
          </w:p>
        </w:tc>
      </w:tr>
      <w:tr>
        <w:tblPrEx>
          <w:tblCellMar>
            <w:top w:w="0" w:type="dxa"/>
            <w:left w:w="108" w:type="dxa"/>
            <w:bottom w:w="0" w:type="dxa"/>
            <w:right w:w="108" w:type="dxa"/>
          </w:tblCellMar>
        </w:tblPrEx>
        <w:trPr>
          <w:trHeight w:val="452" w:hRule="atLeast"/>
        </w:trPr>
        <w:tc>
          <w:tcPr>
            <w:tcW w:w="328"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序号</w:t>
            </w:r>
          </w:p>
        </w:tc>
        <w:tc>
          <w:tcPr>
            <w:tcW w:w="110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运行维护区名称</w:t>
            </w:r>
          </w:p>
        </w:tc>
        <w:tc>
          <w:tcPr>
            <w:tcW w:w="3571" w:type="pct"/>
            <w:gridSpan w:val="7"/>
            <w:tcBorders>
              <w:top w:val="single" w:color="auto" w:sz="4" w:space="0"/>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达标区排水设施运行维护作业</w:t>
            </w:r>
          </w:p>
        </w:tc>
      </w:tr>
      <w:tr>
        <w:tblPrEx>
          <w:tblCellMar>
            <w:top w:w="0" w:type="dxa"/>
            <w:left w:w="108" w:type="dxa"/>
            <w:bottom w:w="0" w:type="dxa"/>
            <w:right w:w="108" w:type="dxa"/>
          </w:tblCellMar>
        </w:tblPrEx>
        <w:trPr>
          <w:trHeight w:val="452" w:hRule="atLeast"/>
        </w:trPr>
        <w:tc>
          <w:tcPr>
            <w:tcW w:w="328" w:type="pct"/>
            <w:vMerge w:val="continue"/>
            <w:tcBorders>
              <w:top w:val="single" w:color="auto" w:sz="4" w:space="0"/>
              <w:left w:val="single" w:color="auto" w:sz="4" w:space="0"/>
              <w:bottom w:val="single" w:color="auto" w:sz="4" w:space="0"/>
              <w:right w:val="single" w:color="auto" w:sz="4" w:space="0"/>
            </w:tcBorders>
            <w:vAlign w:val="center"/>
          </w:tcPr>
          <w:p>
            <w:pPr>
              <w:widowControl/>
              <w:shd w:val="clear"/>
              <w:spacing w:after="0" w:line="240" w:lineRule="auto"/>
              <w:jc w:val="left"/>
              <w:outlineLvl w:val="9"/>
              <w:rPr>
                <w:rFonts w:hint="default" w:ascii="宋体" w:hAnsi="宋体" w:eastAsia="宋体" w:cs="宋体"/>
                <w:color w:val="auto"/>
                <w:kern w:val="0"/>
                <w:sz w:val="24"/>
                <w:szCs w:val="24"/>
                <w:highlight w:val="none"/>
                <w:lang w:val="en-US" w:bidi="ar-SA"/>
              </w:rPr>
            </w:pPr>
          </w:p>
        </w:tc>
        <w:tc>
          <w:tcPr>
            <w:tcW w:w="1101" w:type="pct"/>
            <w:vMerge w:val="continue"/>
            <w:tcBorders>
              <w:top w:val="single" w:color="auto" w:sz="4" w:space="0"/>
              <w:left w:val="single" w:color="auto" w:sz="4" w:space="0"/>
              <w:bottom w:val="single" w:color="auto" w:sz="4" w:space="0"/>
              <w:right w:val="single" w:color="auto" w:sz="4" w:space="0"/>
            </w:tcBorders>
            <w:vAlign w:val="center"/>
          </w:tcPr>
          <w:p>
            <w:pPr>
              <w:widowControl/>
              <w:shd w:val="clear"/>
              <w:spacing w:after="0" w:line="240" w:lineRule="auto"/>
              <w:jc w:val="left"/>
              <w:outlineLvl w:val="9"/>
              <w:rPr>
                <w:rFonts w:hint="default" w:ascii="宋体" w:hAnsi="宋体" w:eastAsia="宋体" w:cs="宋体"/>
                <w:color w:val="auto"/>
                <w:kern w:val="0"/>
                <w:sz w:val="24"/>
                <w:szCs w:val="24"/>
                <w:highlight w:val="none"/>
                <w:lang w:val="en-US" w:bidi="ar-SA"/>
              </w:rPr>
            </w:pPr>
          </w:p>
        </w:tc>
        <w:tc>
          <w:tcPr>
            <w:tcW w:w="1243" w:type="pct"/>
            <w:gridSpan w:val="2"/>
            <w:tcBorders>
              <w:top w:val="single" w:color="auto" w:sz="4" w:space="0"/>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排水管道（m）</w:t>
            </w:r>
          </w:p>
        </w:tc>
        <w:tc>
          <w:tcPr>
            <w:tcW w:w="1143" w:type="pct"/>
            <w:gridSpan w:val="3"/>
            <w:tcBorders>
              <w:top w:val="single" w:color="auto" w:sz="4" w:space="0"/>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检查井（只）</w:t>
            </w:r>
          </w:p>
        </w:tc>
        <w:tc>
          <w:tcPr>
            <w:tcW w:w="1185" w:type="pct"/>
            <w:gridSpan w:val="2"/>
            <w:tcBorders>
              <w:top w:val="single" w:color="auto" w:sz="4" w:space="0"/>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立管（m）</w:t>
            </w:r>
          </w:p>
        </w:tc>
      </w:tr>
      <w:tr>
        <w:tblPrEx>
          <w:tblCellMar>
            <w:top w:w="0" w:type="dxa"/>
            <w:left w:w="108" w:type="dxa"/>
            <w:bottom w:w="0" w:type="dxa"/>
            <w:right w:w="108" w:type="dxa"/>
          </w:tblCellMar>
        </w:tblPrEx>
        <w:trPr>
          <w:trHeight w:val="452" w:hRule="atLeast"/>
        </w:trPr>
        <w:tc>
          <w:tcPr>
            <w:tcW w:w="328" w:type="pct"/>
            <w:vMerge w:val="continue"/>
            <w:tcBorders>
              <w:top w:val="single" w:color="auto" w:sz="4" w:space="0"/>
              <w:left w:val="single" w:color="auto" w:sz="4" w:space="0"/>
              <w:bottom w:val="single" w:color="auto" w:sz="4" w:space="0"/>
              <w:right w:val="single" w:color="auto" w:sz="4" w:space="0"/>
            </w:tcBorders>
            <w:vAlign w:val="center"/>
          </w:tcPr>
          <w:p>
            <w:pPr>
              <w:widowControl/>
              <w:shd w:val="clear"/>
              <w:spacing w:after="0" w:line="240" w:lineRule="auto"/>
              <w:jc w:val="left"/>
              <w:outlineLvl w:val="9"/>
              <w:rPr>
                <w:rFonts w:hint="default" w:ascii="宋体" w:hAnsi="宋体" w:eastAsia="宋体" w:cs="宋体"/>
                <w:color w:val="auto"/>
                <w:kern w:val="0"/>
                <w:sz w:val="24"/>
                <w:szCs w:val="24"/>
                <w:highlight w:val="none"/>
                <w:lang w:val="en-US" w:bidi="ar-SA"/>
              </w:rPr>
            </w:pPr>
          </w:p>
        </w:tc>
        <w:tc>
          <w:tcPr>
            <w:tcW w:w="1101" w:type="pct"/>
            <w:vMerge w:val="continue"/>
            <w:tcBorders>
              <w:top w:val="single" w:color="auto" w:sz="4" w:space="0"/>
              <w:left w:val="single" w:color="auto" w:sz="4" w:space="0"/>
              <w:bottom w:val="single" w:color="auto" w:sz="4" w:space="0"/>
              <w:right w:val="single" w:color="auto" w:sz="4" w:space="0"/>
            </w:tcBorders>
            <w:vAlign w:val="center"/>
          </w:tcPr>
          <w:p>
            <w:pPr>
              <w:widowControl/>
              <w:shd w:val="clear"/>
              <w:spacing w:after="0" w:line="240" w:lineRule="auto"/>
              <w:jc w:val="left"/>
              <w:outlineLvl w:val="9"/>
              <w:rPr>
                <w:rFonts w:hint="default" w:ascii="宋体" w:hAnsi="宋体" w:eastAsia="宋体" w:cs="宋体"/>
                <w:color w:val="auto"/>
                <w:kern w:val="0"/>
                <w:sz w:val="24"/>
                <w:szCs w:val="24"/>
                <w:highlight w:val="none"/>
                <w:lang w:val="en-US" w:bidi="ar-SA"/>
              </w:rPr>
            </w:pPr>
          </w:p>
        </w:tc>
        <w:tc>
          <w:tcPr>
            <w:tcW w:w="646"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原有</w:t>
            </w:r>
          </w:p>
        </w:tc>
        <w:tc>
          <w:tcPr>
            <w:tcW w:w="597"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增加</w:t>
            </w:r>
          </w:p>
        </w:tc>
        <w:tc>
          <w:tcPr>
            <w:tcW w:w="546"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原有</w:t>
            </w:r>
          </w:p>
        </w:tc>
        <w:tc>
          <w:tcPr>
            <w:tcW w:w="597" w:type="pct"/>
            <w:gridSpan w:val="2"/>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增加</w:t>
            </w:r>
          </w:p>
        </w:tc>
        <w:tc>
          <w:tcPr>
            <w:tcW w:w="596"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原有</w:t>
            </w:r>
          </w:p>
        </w:tc>
        <w:tc>
          <w:tcPr>
            <w:tcW w:w="589"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增加</w:t>
            </w:r>
          </w:p>
        </w:tc>
      </w:tr>
      <w:tr>
        <w:tblPrEx>
          <w:tblCellMar>
            <w:top w:w="0" w:type="dxa"/>
            <w:left w:w="108" w:type="dxa"/>
            <w:bottom w:w="0" w:type="dxa"/>
            <w:right w:w="108" w:type="dxa"/>
          </w:tblCellMar>
        </w:tblPrEx>
        <w:trPr>
          <w:trHeight w:val="333" w:hRule="atLeast"/>
        </w:trPr>
        <w:tc>
          <w:tcPr>
            <w:tcW w:w="328" w:type="pct"/>
            <w:tcBorders>
              <w:top w:val="nil"/>
              <w:left w:val="single" w:color="auto" w:sz="4" w:space="0"/>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w:t>
            </w:r>
          </w:p>
        </w:tc>
        <w:tc>
          <w:tcPr>
            <w:tcW w:w="1101"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w:t>
            </w:r>
          </w:p>
        </w:tc>
        <w:tc>
          <w:tcPr>
            <w:tcW w:w="646"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w:t>
            </w:r>
          </w:p>
        </w:tc>
        <w:tc>
          <w:tcPr>
            <w:tcW w:w="597"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w:t>
            </w:r>
          </w:p>
        </w:tc>
        <w:tc>
          <w:tcPr>
            <w:tcW w:w="546"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w:t>
            </w:r>
          </w:p>
        </w:tc>
        <w:tc>
          <w:tcPr>
            <w:tcW w:w="597" w:type="pct"/>
            <w:gridSpan w:val="2"/>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w:t>
            </w:r>
          </w:p>
        </w:tc>
        <w:tc>
          <w:tcPr>
            <w:tcW w:w="596"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w:t>
            </w:r>
          </w:p>
        </w:tc>
        <w:tc>
          <w:tcPr>
            <w:tcW w:w="589"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w:t>
            </w:r>
          </w:p>
        </w:tc>
      </w:tr>
      <w:tr>
        <w:tblPrEx>
          <w:tblCellMar>
            <w:top w:w="0" w:type="dxa"/>
            <w:left w:w="108" w:type="dxa"/>
            <w:bottom w:w="0" w:type="dxa"/>
            <w:right w:w="108" w:type="dxa"/>
          </w:tblCellMar>
        </w:tblPrEx>
        <w:trPr>
          <w:trHeight w:val="333" w:hRule="atLeast"/>
        </w:trPr>
        <w:tc>
          <w:tcPr>
            <w:tcW w:w="328" w:type="pct"/>
            <w:tcBorders>
              <w:top w:val="nil"/>
              <w:left w:val="single" w:color="auto" w:sz="4" w:space="0"/>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w:t>
            </w:r>
          </w:p>
        </w:tc>
        <w:tc>
          <w:tcPr>
            <w:tcW w:w="1101"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w:t>
            </w:r>
          </w:p>
        </w:tc>
        <w:tc>
          <w:tcPr>
            <w:tcW w:w="646"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w:t>
            </w:r>
          </w:p>
        </w:tc>
        <w:tc>
          <w:tcPr>
            <w:tcW w:w="597"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w:t>
            </w:r>
          </w:p>
        </w:tc>
        <w:tc>
          <w:tcPr>
            <w:tcW w:w="546"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w:t>
            </w:r>
          </w:p>
        </w:tc>
        <w:tc>
          <w:tcPr>
            <w:tcW w:w="597" w:type="pct"/>
            <w:gridSpan w:val="2"/>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w:t>
            </w:r>
          </w:p>
        </w:tc>
        <w:tc>
          <w:tcPr>
            <w:tcW w:w="596"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w:t>
            </w:r>
          </w:p>
        </w:tc>
        <w:tc>
          <w:tcPr>
            <w:tcW w:w="589"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w:t>
            </w:r>
          </w:p>
        </w:tc>
      </w:tr>
      <w:tr>
        <w:tblPrEx>
          <w:tblCellMar>
            <w:top w:w="0" w:type="dxa"/>
            <w:left w:w="108" w:type="dxa"/>
            <w:bottom w:w="0" w:type="dxa"/>
            <w:right w:w="108" w:type="dxa"/>
          </w:tblCellMar>
        </w:tblPrEx>
        <w:trPr>
          <w:trHeight w:val="333" w:hRule="atLeast"/>
        </w:trPr>
        <w:tc>
          <w:tcPr>
            <w:tcW w:w="328" w:type="pct"/>
            <w:tcBorders>
              <w:top w:val="nil"/>
              <w:left w:val="single" w:color="auto" w:sz="4" w:space="0"/>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w:t>
            </w:r>
          </w:p>
        </w:tc>
        <w:tc>
          <w:tcPr>
            <w:tcW w:w="1101"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w:t>
            </w:r>
          </w:p>
        </w:tc>
        <w:tc>
          <w:tcPr>
            <w:tcW w:w="646"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w:t>
            </w:r>
          </w:p>
        </w:tc>
        <w:tc>
          <w:tcPr>
            <w:tcW w:w="597"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w:t>
            </w:r>
          </w:p>
        </w:tc>
        <w:tc>
          <w:tcPr>
            <w:tcW w:w="546"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w:t>
            </w:r>
          </w:p>
        </w:tc>
        <w:tc>
          <w:tcPr>
            <w:tcW w:w="597" w:type="pct"/>
            <w:gridSpan w:val="2"/>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w:t>
            </w:r>
          </w:p>
        </w:tc>
        <w:tc>
          <w:tcPr>
            <w:tcW w:w="596"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w:t>
            </w:r>
          </w:p>
        </w:tc>
        <w:tc>
          <w:tcPr>
            <w:tcW w:w="589"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w:t>
            </w:r>
          </w:p>
        </w:tc>
      </w:tr>
      <w:tr>
        <w:tblPrEx>
          <w:tblCellMar>
            <w:top w:w="0" w:type="dxa"/>
            <w:left w:w="108" w:type="dxa"/>
            <w:bottom w:w="0" w:type="dxa"/>
            <w:right w:w="108" w:type="dxa"/>
          </w:tblCellMar>
        </w:tblPrEx>
        <w:trPr>
          <w:trHeight w:val="333" w:hRule="atLeast"/>
        </w:trPr>
        <w:tc>
          <w:tcPr>
            <w:tcW w:w="328" w:type="pct"/>
            <w:tcBorders>
              <w:top w:val="nil"/>
              <w:left w:val="single" w:color="auto" w:sz="4" w:space="0"/>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w:t>
            </w:r>
          </w:p>
        </w:tc>
        <w:tc>
          <w:tcPr>
            <w:tcW w:w="1101"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w:t>
            </w:r>
          </w:p>
        </w:tc>
        <w:tc>
          <w:tcPr>
            <w:tcW w:w="646"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w:t>
            </w:r>
          </w:p>
        </w:tc>
        <w:tc>
          <w:tcPr>
            <w:tcW w:w="597"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w:t>
            </w:r>
          </w:p>
        </w:tc>
        <w:tc>
          <w:tcPr>
            <w:tcW w:w="546"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w:t>
            </w:r>
          </w:p>
        </w:tc>
        <w:tc>
          <w:tcPr>
            <w:tcW w:w="597" w:type="pct"/>
            <w:gridSpan w:val="2"/>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w:t>
            </w:r>
          </w:p>
        </w:tc>
        <w:tc>
          <w:tcPr>
            <w:tcW w:w="596"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w:t>
            </w:r>
          </w:p>
        </w:tc>
        <w:tc>
          <w:tcPr>
            <w:tcW w:w="589"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w:t>
            </w:r>
          </w:p>
        </w:tc>
      </w:tr>
      <w:tr>
        <w:tblPrEx>
          <w:tblCellMar>
            <w:top w:w="0" w:type="dxa"/>
            <w:left w:w="108" w:type="dxa"/>
            <w:bottom w:w="0" w:type="dxa"/>
            <w:right w:w="108" w:type="dxa"/>
          </w:tblCellMar>
        </w:tblPrEx>
        <w:trPr>
          <w:trHeight w:val="333" w:hRule="atLeast"/>
        </w:trPr>
        <w:tc>
          <w:tcPr>
            <w:tcW w:w="328" w:type="pct"/>
            <w:tcBorders>
              <w:top w:val="nil"/>
              <w:left w:val="single" w:color="auto" w:sz="4" w:space="0"/>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w:t>
            </w:r>
          </w:p>
        </w:tc>
        <w:tc>
          <w:tcPr>
            <w:tcW w:w="1101"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w:t>
            </w:r>
          </w:p>
        </w:tc>
        <w:tc>
          <w:tcPr>
            <w:tcW w:w="646"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w:t>
            </w:r>
          </w:p>
        </w:tc>
        <w:tc>
          <w:tcPr>
            <w:tcW w:w="597"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w:t>
            </w:r>
          </w:p>
        </w:tc>
        <w:tc>
          <w:tcPr>
            <w:tcW w:w="546"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w:t>
            </w:r>
          </w:p>
        </w:tc>
        <w:tc>
          <w:tcPr>
            <w:tcW w:w="597" w:type="pct"/>
            <w:gridSpan w:val="2"/>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w:t>
            </w:r>
          </w:p>
        </w:tc>
        <w:tc>
          <w:tcPr>
            <w:tcW w:w="596"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w:t>
            </w:r>
          </w:p>
        </w:tc>
        <w:tc>
          <w:tcPr>
            <w:tcW w:w="589"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w:t>
            </w:r>
          </w:p>
        </w:tc>
      </w:tr>
      <w:tr>
        <w:tblPrEx>
          <w:tblCellMar>
            <w:top w:w="0" w:type="dxa"/>
            <w:left w:w="108" w:type="dxa"/>
            <w:bottom w:w="0" w:type="dxa"/>
            <w:right w:w="108" w:type="dxa"/>
          </w:tblCellMar>
        </w:tblPrEx>
        <w:trPr>
          <w:trHeight w:val="333" w:hRule="atLeast"/>
        </w:trPr>
        <w:tc>
          <w:tcPr>
            <w:tcW w:w="328" w:type="pct"/>
            <w:tcBorders>
              <w:top w:val="nil"/>
              <w:left w:val="single" w:color="auto" w:sz="4" w:space="0"/>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w:t>
            </w:r>
          </w:p>
        </w:tc>
        <w:tc>
          <w:tcPr>
            <w:tcW w:w="1101"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w:t>
            </w:r>
          </w:p>
        </w:tc>
        <w:tc>
          <w:tcPr>
            <w:tcW w:w="646"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w:t>
            </w:r>
          </w:p>
        </w:tc>
        <w:tc>
          <w:tcPr>
            <w:tcW w:w="597"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w:t>
            </w:r>
          </w:p>
        </w:tc>
        <w:tc>
          <w:tcPr>
            <w:tcW w:w="546"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w:t>
            </w:r>
          </w:p>
        </w:tc>
        <w:tc>
          <w:tcPr>
            <w:tcW w:w="597" w:type="pct"/>
            <w:gridSpan w:val="2"/>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w:t>
            </w:r>
          </w:p>
        </w:tc>
        <w:tc>
          <w:tcPr>
            <w:tcW w:w="596"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w:t>
            </w:r>
          </w:p>
        </w:tc>
        <w:tc>
          <w:tcPr>
            <w:tcW w:w="589"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w:t>
            </w:r>
          </w:p>
        </w:tc>
      </w:tr>
      <w:tr>
        <w:tblPrEx>
          <w:tblCellMar>
            <w:top w:w="0" w:type="dxa"/>
            <w:left w:w="108" w:type="dxa"/>
            <w:bottom w:w="0" w:type="dxa"/>
            <w:right w:w="108" w:type="dxa"/>
          </w:tblCellMar>
        </w:tblPrEx>
        <w:trPr>
          <w:trHeight w:val="333" w:hRule="atLeast"/>
        </w:trPr>
        <w:tc>
          <w:tcPr>
            <w:tcW w:w="328" w:type="pct"/>
            <w:tcBorders>
              <w:top w:val="nil"/>
              <w:left w:val="single" w:color="auto" w:sz="4" w:space="0"/>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w:t>
            </w:r>
          </w:p>
        </w:tc>
        <w:tc>
          <w:tcPr>
            <w:tcW w:w="1101"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w:t>
            </w:r>
          </w:p>
        </w:tc>
        <w:tc>
          <w:tcPr>
            <w:tcW w:w="646"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w:t>
            </w:r>
          </w:p>
        </w:tc>
        <w:tc>
          <w:tcPr>
            <w:tcW w:w="597"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w:t>
            </w:r>
          </w:p>
        </w:tc>
        <w:tc>
          <w:tcPr>
            <w:tcW w:w="546"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w:t>
            </w:r>
          </w:p>
        </w:tc>
        <w:tc>
          <w:tcPr>
            <w:tcW w:w="597" w:type="pct"/>
            <w:gridSpan w:val="2"/>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w:t>
            </w:r>
          </w:p>
        </w:tc>
        <w:tc>
          <w:tcPr>
            <w:tcW w:w="596"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w:t>
            </w:r>
          </w:p>
        </w:tc>
        <w:tc>
          <w:tcPr>
            <w:tcW w:w="589" w:type="pct"/>
            <w:tcBorders>
              <w:top w:val="nil"/>
              <w:left w:val="nil"/>
              <w:bottom w:val="single" w:color="auto" w:sz="4" w:space="0"/>
              <w:right w:val="single" w:color="auto" w:sz="4" w:space="0"/>
            </w:tcBorders>
            <w:shd w:val="clear" w:color="auto" w:fill="auto"/>
            <w:vAlign w:val="center"/>
          </w:tcPr>
          <w:p>
            <w:pPr>
              <w:widowControl/>
              <w:shd w:val="clear"/>
              <w:spacing w:after="0" w:line="240" w:lineRule="auto"/>
              <w:jc w:val="center"/>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w:t>
            </w:r>
          </w:p>
        </w:tc>
      </w:tr>
      <w:tr>
        <w:tblPrEx>
          <w:tblCellMar>
            <w:top w:w="0" w:type="dxa"/>
            <w:left w:w="108" w:type="dxa"/>
            <w:bottom w:w="0" w:type="dxa"/>
            <w:right w:w="108" w:type="dxa"/>
          </w:tblCellMar>
        </w:tblPrEx>
        <w:trPr>
          <w:trHeight w:val="333" w:hRule="atLeast"/>
        </w:trPr>
        <w:tc>
          <w:tcPr>
            <w:tcW w:w="5000" w:type="pct"/>
            <w:gridSpan w:val="9"/>
            <w:vMerge w:val="restart"/>
            <w:tcBorders>
              <w:top w:val="single" w:color="auto" w:sz="4" w:space="0"/>
              <w:left w:val="single" w:color="auto" w:sz="4" w:space="0"/>
              <w:bottom w:val="single" w:color="auto" w:sz="4" w:space="0"/>
              <w:right w:val="single" w:color="auto" w:sz="4" w:space="0"/>
            </w:tcBorders>
            <w:shd w:val="clear" w:color="auto" w:fill="auto"/>
          </w:tcPr>
          <w:p>
            <w:pPr>
              <w:widowControl/>
              <w:shd w:val="clear"/>
              <w:spacing w:after="0" w:line="240" w:lineRule="auto"/>
              <w:jc w:val="left"/>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备注：</w:t>
            </w:r>
          </w:p>
        </w:tc>
      </w:tr>
      <w:tr>
        <w:tblPrEx>
          <w:tblCellMar>
            <w:top w:w="0" w:type="dxa"/>
            <w:left w:w="108" w:type="dxa"/>
            <w:bottom w:w="0" w:type="dxa"/>
            <w:right w:w="108" w:type="dxa"/>
          </w:tblCellMar>
        </w:tblPrEx>
        <w:trPr>
          <w:trHeight w:val="1047" w:hRule="atLeast"/>
        </w:trPr>
        <w:tc>
          <w:tcPr>
            <w:tcW w:w="5000" w:type="pct"/>
            <w:gridSpan w:val="9"/>
            <w:vMerge w:val="continue"/>
            <w:tcBorders>
              <w:top w:val="single" w:color="auto" w:sz="4" w:space="0"/>
              <w:left w:val="single" w:color="auto" w:sz="4" w:space="0"/>
              <w:bottom w:val="single" w:color="auto" w:sz="4" w:space="0"/>
              <w:right w:val="single" w:color="auto" w:sz="4" w:space="0"/>
            </w:tcBorders>
            <w:vAlign w:val="center"/>
          </w:tcPr>
          <w:p>
            <w:pPr>
              <w:widowControl/>
              <w:shd w:val="clear"/>
              <w:spacing w:after="0" w:line="240" w:lineRule="auto"/>
              <w:jc w:val="left"/>
              <w:outlineLvl w:val="9"/>
              <w:rPr>
                <w:rFonts w:hint="default" w:ascii="宋体" w:hAnsi="宋体" w:eastAsia="宋体" w:cs="宋体"/>
                <w:color w:val="auto"/>
                <w:kern w:val="0"/>
                <w:sz w:val="24"/>
                <w:szCs w:val="24"/>
                <w:highlight w:val="none"/>
                <w:lang w:val="en-US" w:bidi="ar-SA"/>
              </w:rPr>
            </w:pPr>
          </w:p>
        </w:tc>
      </w:tr>
      <w:tr>
        <w:tblPrEx>
          <w:tblCellMar>
            <w:top w:w="0" w:type="dxa"/>
            <w:left w:w="108" w:type="dxa"/>
            <w:bottom w:w="0" w:type="dxa"/>
            <w:right w:w="108" w:type="dxa"/>
          </w:tblCellMar>
        </w:tblPrEx>
        <w:trPr>
          <w:trHeight w:val="249" w:hRule="atLeast"/>
        </w:trPr>
        <w:tc>
          <w:tcPr>
            <w:tcW w:w="5000" w:type="pct"/>
            <w:gridSpan w:val="9"/>
            <w:tcBorders>
              <w:top w:val="nil"/>
              <w:left w:val="nil"/>
              <w:bottom w:val="nil"/>
              <w:right w:val="nil"/>
            </w:tcBorders>
            <w:shd w:val="clear" w:color="auto" w:fill="auto"/>
            <w:vAlign w:val="center"/>
          </w:tcPr>
          <w:p>
            <w:pPr>
              <w:widowControl/>
              <w:shd w:val="clear"/>
              <w:spacing w:after="0" w:line="240" w:lineRule="auto"/>
              <w:jc w:val="left"/>
              <w:outlineLvl w:val="9"/>
              <w:rPr>
                <w:rFonts w:hint="eastAsia" w:ascii="宋体" w:hAnsi="宋体" w:eastAsia="宋体" w:cs="宋体"/>
                <w:color w:val="auto"/>
                <w:kern w:val="0"/>
                <w:sz w:val="20"/>
                <w:szCs w:val="20"/>
                <w:highlight w:val="none"/>
                <w:lang w:val="en-US" w:bidi="ar-SA"/>
              </w:rPr>
            </w:pPr>
            <w:r>
              <w:rPr>
                <w:rFonts w:hint="eastAsia" w:ascii="宋体" w:hAnsi="宋体" w:eastAsia="宋体" w:cs="宋体"/>
                <w:color w:val="auto"/>
                <w:kern w:val="0"/>
                <w:sz w:val="20"/>
                <w:szCs w:val="20"/>
                <w:highlight w:val="none"/>
                <w:lang w:val="en-US" w:bidi="ar-SA"/>
              </w:rPr>
              <w:t>注：</w:t>
            </w:r>
            <w:r>
              <w:rPr>
                <w:rFonts w:hint="default" w:ascii="Times New Roman" w:hAnsi="Times New Roman" w:eastAsia="宋体" w:cs="Times New Roman"/>
                <w:color w:val="auto"/>
                <w:kern w:val="0"/>
                <w:sz w:val="20"/>
                <w:szCs w:val="20"/>
                <w:highlight w:val="none"/>
                <w:lang w:val="en-US" w:bidi="ar-SA"/>
              </w:rPr>
              <w:t>1</w:t>
            </w:r>
            <w:r>
              <w:rPr>
                <w:rFonts w:hint="eastAsia" w:ascii="宋体" w:hAnsi="宋体" w:eastAsia="宋体" w:cs="宋体"/>
                <w:color w:val="auto"/>
                <w:kern w:val="0"/>
                <w:sz w:val="20"/>
                <w:szCs w:val="20"/>
                <w:highlight w:val="none"/>
                <w:lang w:val="en-US" w:bidi="ar-SA"/>
              </w:rPr>
              <w:t>、请填报单位盖章，相关人员签字后于每年</w:t>
            </w:r>
            <w:r>
              <w:rPr>
                <w:rFonts w:hint="default" w:ascii="Times New Roman" w:hAnsi="Times New Roman" w:eastAsia="宋体" w:cs="Times New Roman"/>
                <w:color w:val="auto"/>
                <w:kern w:val="0"/>
                <w:sz w:val="20"/>
                <w:szCs w:val="20"/>
                <w:highlight w:val="none"/>
                <w:lang w:val="en-US" w:bidi="ar-SA"/>
              </w:rPr>
              <w:t>11</w:t>
            </w:r>
            <w:r>
              <w:rPr>
                <w:rFonts w:hint="eastAsia" w:ascii="宋体" w:hAnsi="宋体" w:eastAsia="宋体" w:cs="宋体"/>
                <w:color w:val="auto"/>
                <w:kern w:val="0"/>
                <w:sz w:val="20"/>
                <w:szCs w:val="20"/>
                <w:highlight w:val="none"/>
                <w:lang w:val="en-US" w:bidi="ar-SA"/>
              </w:rPr>
              <w:t>月</w:t>
            </w:r>
            <w:r>
              <w:rPr>
                <w:rFonts w:hint="default" w:ascii="Times New Roman" w:hAnsi="Times New Roman" w:eastAsia="宋体" w:cs="Times New Roman"/>
                <w:color w:val="auto"/>
                <w:kern w:val="0"/>
                <w:sz w:val="20"/>
                <w:szCs w:val="20"/>
                <w:highlight w:val="none"/>
                <w:lang w:val="en-US" w:bidi="ar-SA"/>
              </w:rPr>
              <w:t>15</w:t>
            </w:r>
            <w:r>
              <w:rPr>
                <w:rFonts w:hint="eastAsia" w:ascii="宋体" w:hAnsi="宋体" w:eastAsia="宋体" w:cs="宋体"/>
                <w:color w:val="auto"/>
                <w:kern w:val="0"/>
                <w:sz w:val="20"/>
                <w:szCs w:val="20"/>
                <w:highlight w:val="none"/>
                <w:lang w:val="en-US" w:bidi="ar-SA"/>
              </w:rPr>
              <w:t>日前报无锡排水管理处。传真电话</w:t>
            </w:r>
          </w:p>
        </w:tc>
      </w:tr>
      <w:tr>
        <w:tblPrEx>
          <w:tblCellMar>
            <w:top w:w="0" w:type="dxa"/>
            <w:left w:w="108" w:type="dxa"/>
            <w:bottom w:w="0" w:type="dxa"/>
            <w:right w:w="108" w:type="dxa"/>
          </w:tblCellMar>
        </w:tblPrEx>
        <w:trPr>
          <w:trHeight w:val="249" w:hRule="atLeast"/>
        </w:trPr>
        <w:tc>
          <w:tcPr>
            <w:tcW w:w="5000" w:type="pct"/>
            <w:gridSpan w:val="9"/>
            <w:tcBorders>
              <w:top w:val="nil"/>
              <w:left w:val="nil"/>
              <w:bottom w:val="nil"/>
              <w:right w:val="nil"/>
            </w:tcBorders>
            <w:shd w:val="clear" w:color="auto" w:fill="auto"/>
            <w:vAlign w:val="center"/>
          </w:tcPr>
          <w:p>
            <w:pPr>
              <w:widowControl/>
              <w:shd w:val="clear"/>
              <w:spacing w:after="0" w:line="240" w:lineRule="auto"/>
              <w:jc w:val="left"/>
              <w:outlineLvl w:val="9"/>
              <w:rPr>
                <w:rFonts w:hint="eastAsia" w:ascii="宋体" w:hAnsi="宋体" w:eastAsia="宋体" w:cs="宋体"/>
                <w:color w:val="auto"/>
                <w:kern w:val="0"/>
                <w:sz w:val="20"/>
                <w:szCs w:val="20"/>
                <w:highlight w:val="none"/>
                <w:lang w:val="en-US" w:bidi="ar-SA"/>
              </w:rPr>
            </w:pPr>
            <w:r>
              <w:rPr>
                <w:rFonts w:hint="eastAsia" w:ascii="宋体" w:hAnsi="宋体" w:eastAsia="宋体" w:cs="宋体"/>
                <w:color w:val="auto"/>
                <w:kern w:val="0"/>
                <w:sz w:val="20"/>
                <w:szCs w:val="20"/>
                <w:highlight w:val="none"/>
                <w:lang w:val="en-US" w:bidi="ar-SA"/>
              </w:rPr>
              <w:t xml:space="preserve">    2、运行维护期间，发生运行维护内容变化时，如：管道变化、排水户变化等，填写此表。</w:t>
            </w:r>
          </w:p>
        </w:tc>
      </w:tr>
      <w:tr>
        <w:tblPrEx>
          <w:tblCellMar>
            <w:top w:w="0" w:type="dxa"/>
            <w:left w:w="108" w:type="dxa"/>
            <w:bottom w:w="0" w:type="dxa"/>
            <w:right w:w="108" w:type="dxa"/>
          </w:tblCellMar>
        </w:tblPrEx>
        <w:trPr>
          <w:trHeight w:val="392" w:hRule="atLeast"/>
        </w:trPr>
        <w:tc>
          <w:tcPr>
            <w:tcW w:w="1429" w:type="pct"/>
            <w:gridSpan w:val="2"/>
            <w:tcBorders>
              <w:top w:val="nil"/>
              <w:left w:val="nil"/>
              <w:bottom w:val="nil"/>
              <w:right w:val="nil"/>
            </w:tcBorders>
            <w:shd w:val="clear" w:color="auto" w:fill="auto"/>
            <w:noWrap/>
            <w:vAlign w:val="center"/>
          </w:tcPr>
          <w:p>
            <w:pPr>
              <w:widowControl/>
              <w:shd w:val="clear"/>
              <w:spacing w:after="0" w:line="240" w:lineRule="auto"/>
              <w:jc w:val="left"/>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负责人：</w:t>
            </w:r>
          </w:p>
        </w:tc>
        <w:tc>
          <w:tcPr>
            <w:tcW w:w="646" w:type="pct"/>
            <w:tcBorders>
              <w:top w:val="nil"/>
              <w:left w:val="nil"/>
              <w:bottom w:val="nil"/>
              <w:right w:val="nil"/>
            </w:tcBorders>
            <w:shd w:val="clear" w:color="auto" w:fill="auto"/>
            <w:noWrap/>
            <w:vAlign w:val="center"/>
          </w:tcPr>
          <w:p>
            <w:pPr>
              <w:widowControl/>
              <w:shd w:val="clear"/>
              <w:spacing w:after="0" w:line="240" w:lineRule="auto"/>
              <w:jc w:val="left"/>
              <w:outlineLvl w:val="9"/>
              <w:rPr>
                <w:rFonts w:hint="eastAsia" w:ascii="宋体" w:hAnsi="宋体" w:eastAsia="宋体" w:cs="宋体"/>
                <w:color w:val="auto"/>
                <w:kern w:val="0"/>
                <w:sz w:val="24"/>
                <w:szCs w:val="24"/>
                <w:highlight w:val="none"/>
                <w:lang w:val="en-US" w:bidi="ar-SA"/>
              </w:rPr>
            </w:pPr>
            <w:r>
              <w:rPr>
                <w:rFonts w:hint="eastAsia" w:ascii="宋体" w:hAnsi="宋体" w:eastAsia="宋体" w:cs="宋体"/>
                <w:color w:val="auto"/>
                <w:kern w:val="0"/>
                <w:sz w:val="24"/>
                <w:szCs w:val="24"/>
                <w:highlight w:val="none"/>
                <w:lang w:val="en-US" w:bidi="ar-SA"/>
              </w:rPr>
              <w:t xml:space="preserve"> </w:t>
            </w:r>
            <w:r>
              <w:rPr>
                <w:rFonts w:hint="default" w:ascii="宋体" w:hAnsi="宋体" w:eastAsia="宋体" w:cs="宋体"/>
                <w:color w:val="auto"/>
                <w:kern w:val="0"/>
                <w:sz w:val="24"/>
                <w:szCs w:val="24"/>
                <w:highlight w:val="none"/>
                <w:lang w:val="en-US" w:bidi="ar-SA"/>
              </w:rPr>
              <w:t xml:space="preserve">                               </w:t>
            </w:r>
            <w:r>
              <w:rPr>
                <w:rFonts w:hint="eastAsia" w:ascii="宋体" w:hAnsi="宋体" w:eastAsia="宋体" w:cs="宋体"/>
                <w:color w:val="auto"/>
                <w:kern w:val="0"/>
                <w:sz w:val="24"/>
                <w:szCs w:val="24"/>
                <w:highlight w:val="none"/>
                <w:lang w:val="en-US" w:bidi="ar-SA"/>
              </w:rPr>
              <w:t>填报人：</w:t>
            </w:r>
          </w:p>
        </w:tc>
        <w:tc>
          <w:tcPr>
            <w:tcW w:w="597" w:type="pct"/>
            <w:tcBorders>
              <w:top w:val="nil"/>
              <w:left w:val="nil"/>
              <w:bottom w:val="nil"/>
              <w:right w:val="nil"/>
            </w:tcBorders>
            <w:shd w:val="clear" w:color="auto" w:fill="auto"/>
            <w:noWrap/>
            <w:vAlign w:val="center"/>
          </w:tcPr>
          <w:p>
            <w:pPr>
              <w:widowControl/>
              <w:shd w:val="clear"/>
              <w:spacing w:after="0" w:line="240" w:lineRule="auto"/>
              <w:jc w:val="left"/>
              <w:outlineLvl w:val="9"/>
              <w:rPr>
                <w:rFonts w:hint="eastAsia" w:ascii="宋体" w:hAnsi="宋体" w:eastAsia="宋体" w:cs="宋体"/>
                <w:color w:val="auto"/>
                <w:kern w:val="0"/>
                <w:sz w:val="24"/>
                <w:szCs w:val="24"/>
                <w:highlight w:val="none"/>
                <w:lang w:val="en-US" w:bidi="ar-SA"/>
              </w:rPr>
            </w:pPr>
          </w:p>
        </w:tc>
        <w:tc>
          <w:tcPr>
            <w:tcW w:w="596" w:type="pct"/>
            <w:gridSpan w:val="2"/>
            <w:tcBorders>
              <w:top w:val="nil"/>
              <w:left w:val="nil"/>
              <w:bottom w:val="nil"/>
              <w:right w:val="nil"/>
            </w:tcBorders>
            <w:shd w:val="clear" w:color="auto" w:fill="auto"/>
            <w:noWrap/>
            <w:vAlign w:val="center"/>
          </w:tcPr>
          <w:p>
            <w:pPr>
              <w:widowControl/>
              <w:shd w:val="clear"/>
              <w:spacing w:after="0" w:line="240" w:lineRule="auto"/>
              <w:jc w:val="left"/>
              <w:outlineLvl w:val="9"/>
              <w:rPr>
                <w:rFonts w:hint="default" w:ascii="Times New Roman" w:hAnsi="Times New Roman" w:eastAsia="Times New Roman" w:cs="Times New Roman"/>
                <w:color w:val="auto"/>
                <w:kern w:val="0"/>
                <w:sz w:val="20"/>
                <w:szCs w:val="20"/>
                <w:highlight w:val="none"/>
                <w:lang w:val="en-US" w:bidi="ar-SA"/>
              </w:rPr>
            </w:pPr>
          </w:p>
        </w:tc>
        <w:tc>
          <w:tcPr>
            <w:tcW w:w="547" w:type="pct"/>
            <w:tcBorders>
              <w:top w:val="nil"/>
              <w:left w:val="nil"/>
              <w:bottom w:val="nil"/>
              <w:right w:val="nil"/>
            </w:tcBorders>
            <w:shd w:val="clear" w:color="auto" w:fill="auto"/>
            <w:noWrap/>
            <w:vAlign w:val="center"/>
          </w:tcPr>
          <w:p>
            <w:pPr>
              <w:widowControl/>
              <w:shd w:val="clear"/>
              <w:spacing w:after="0" w:line="240" w:lineRule="auto"/>
              <w:jc w:val="left"/>
              <w:outlineLvl w:val="9"/>
              <w:rPr>
                <w:rFonts w:hint="default" w:ascii="Times New Roman" w:hAnsi="Times New Roman" w:eastAsia="Times New Roman" w:cs="Times New Roman"/>
                <w:color w:val="auto"/>
                <w:kern w:val="0"/>
                <w:sz w:val="20"/>
                <w:szCs w:val="20"/>
                <w:highlight w:val="none"/>
                <w:lang w:val="en-US" w:bidi="ar-SA"/>
              </w:rPr>
            </w:pPr>
          </w:p>
        </w:tc>
        <w:tc>
          <w:tcPr>
            <w:tcW w:w="1185" w:type="pct"/>
            <w:gridSpan w:val="2"/>
            <w:tcBorders>
              <w:top w:val="nil"/>
              <w:left w:val="nil"/>
              <w:bottom w:val="nil"/>
              <w:right w:val="nil"/>
            </w:tcBorders>
            <w:shd w:val="clear" w:color="auto" w:fill="auto"/>
            <w:noWrap/>
            <w:vAlign w:val="center"/>
          </w:tcPr>
          <w:p>
            <w:pPr>
              <w:widowControl/>
              <w:shd w:val="clear"/>
              <w:spacing w:after="0" w:line="240" w:lineRule="auto"/>
              <w:jc w:val="left"/>
              <w:outlineLvl w:val="9"/>
              <w:rPr>
                <w:rFonts w:hint="default" w:ascii="Times New Roman" w:hAnsi="Times New Roman" w:eastAsia="Times New Roman" w:cs="Times New Roman"/>
                <w:color w:val="auto"/>
                <w:kern w:val="0"/>
                <w:sz w:val="20"/>
                <w:szCs w:val="20"/>
                <w:highlight w:val="none"/>
                <w:lang w:val="en-US" w:bidi="ar-SA"/>
              </w:rPr>
            </w:pPr>
          </w:p>
        </w:tc>
      </w:tr>
    </w:tbl>
    <w:p>
      <w:pPr>
        <w:widowControl w:val="0"/>
        <w:shd w:val="clear"/>
        <w:spacing w:after="160" w:line="278" w:lineRule="auto"/>
        <w:jc w:val="both"/>
        <w:outlineLvl w:val="9"/>
        <w:rPr>
          <w:rFonts w:hint="default" w:ascii="华文中宋" w:hAnsi="Times New Roman" w:eastAsia="华文中宋" w:cs="Times New Roman"/>
          <w:bCs/>
          <w:color w:val="auto"/>
          <w:kern w:val="2"/>
          <w:sz w:val="28"/>
          <w:highlight w:val="none"/>
          <w:lang w:val="zh-CN" w:eastAsia="zh-CN" w:bidi="ar-SA"/>
        </w:rPr>
      </w:pPr>
    </w:p>
    <w:p>
      <w:pPr>
        <w:shd w:val="clear"/>
        <w:outlineLvl w:val="9"/>
        <w:rPr>
          <w:color w:val="auto"/>
          <w:highlight w:val="none"/>
        </w:rPr>
        <w:sectPr>
          <w:pgSz w:w="16838" w:h="11906" w:orient="landscape"/>
          <w:pgMar w:top="1077" w:right="1440" w:bottom="1077" w:left="1440" w:header="680" w:footer="397" w:gutter="0"/>
          <w:pgNumType w:fmt="decimal"/>
          <w:cols w:space="720" w:num="1"/>
          <w:titlePg/>
          <w:docGrid w:linePitch="360" w:charSpace="0"/>
        </w:sectPr>
      </w:pPr>
    </w:p>
    <w:p>
      <w:pPr>
        <w:rPr>
          <w:rFonts w:hint="default" w:eastAsia="宋体" w:cs="Times New Roman"/>
          <w:color w:val="auto"/>
          <w:kern w:val="2"/>
          <w:highlight w:val="none"/>
          <w:lang w:val="en-US" w:bidi="ar-SA"/>
        </w:rPr>
      </w:pPr>
    </w:p>
    <w:p>
      <w:pPr>
        <w:shd w:val="clear"/>
        <w:rPr>
          <w:rFonts w:hint="eastAsia" w:ascii="宋体" w:hAnsi="宋体" w:eastAsia="宋体" w:cs="宋体"/>
          <w:bCs/>
          <w:color w:val="auto"/>
          <w:kern w:val="0"/>
          <w:sz w:val="24"/>
          <w:highlight w:val="none"/>
          <w:lang w:val="en-US" w:eastAsia="zh-CN" w:bidi="ar-SA"/>
        </w:rPr>
      </w:pPr>
    </w:p>
    <w:p>
      <w:pPr>
        <w:pStyle w:val="105"/>
        <w:shd w:val="clear"/>
        <w:ind w:firstLine="480"/>
        <w:outlineLvl w:val="9"/>
        <w:rPr>
          <w:rFonts w:hint="eastAsia" w:ascii="宋体" w:hAnsi="宋体" w:eastAsia="宋体" w:cs="宋体"/>
          <w:bCs/>
          <w:color w:val="auto"/>
          <w:sz w:val="24"/>
          <w:highlight w:val="none"/>
        </w:rPr>
      </w:pPr>
    </w:p>
    <w:p>
      <w:pPr>
        <w:keepNext w:val="0"/>
        <w:keepLines w:val="0"/>
        <w:widowControl/>
        <w:numPr>
          <w:ilvl w:val="0"/>
          <w:numId w:val="0"/>
        </w:numPr>
        <w:shd w:val="clear"/>
        <w:spacing w:before="0" w:after="0" w:line="540" w:lineRule="exact"/>
        <w:jc w:val="center"/>
        <w:outlineLvl w:val="9"/>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ab/>
      </w:r>
    </w:p>
    <w:p>
      <w:pPr>
        <w:shd w:val="clear"/>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br w:type="page"/>
      </w:r>
    </w:p>
    <w:p>
      <w:pPr>
        <w:pStyle w:val="4"/>
        <w:shd w:val="clear"/>
        <w:bidi w:val="0"/>
        <w:rPr>
          <w:rFonts w:hint="eastAsia"/>
          <w:color w:val="auto"/>
          <w:highlight w:val="none"/>
          <w:lang w:val="en-US" w:eastAsia="zh-CN"/>
        </w:rPr>
      </w:pPr>
      <w:r>
        <w:rPr>
          <w:rFonts w:hint="eastAsia"/>
          <w:color w:val="auto"/>
          <w:highlight w:val="none"/>
          <w:lang w:val="en-US" w:eastAsia="zh-CN"/>
        </w:rPr>
        <w:t>第四部分 合同书（格式文本）</w:t>
      </w:r>
    </w:p>
    <w:p>
      <w:pPr>
        <w:shd w:val="clear"/>
        <w:spacing w:line="360" w:lineRule="auto"/>
        <w:outlineLvl w:val="9"/>
        <w:rPr>
          <w:rFonts w:hint="eastAsia" w:ascii="宋体" w:hAnsi="宋体" w:eastAsia="宋体" w:cs="宋体"/>
          <w:color w:val="auto"/>
          <w:sz w:val="24"/>
          <w:szCs w:val="24"/>
          <w:highlight w:val="none"/>
        </w:rPr>
      </w:pPr>
    </w:p>
    <w:p>
      <w:pPr>
        <w:shd w:val="clear"/>
        <w:snapToGrid w:val="0"/>
        <w:spacing w:after="160" w:line="360" w:lineRule="auto"/>
        <w:jc w:val="center"/>
        <w:outlineLvl w:val="9"/>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b/>
          <w:bCs/>
          <w:color w:val="auto"/>
          <w:kern w:val="0"/>
          <w:sz w:val="40"/>
          <w:szCs w:val="40"/>
          <w:highlight w:val="none"/>
          <w:lang w:val="en-US" w:eastAsia="zh-CN" w:bidi="ar-SA"/>
        </w:rPr>
        <w:t>2026-2027年太湖街道污水管网及设施运行维护作业权项目</w:t>
      </w:r>
    </w:p>
    <w:p>
      <w:pPr>
        <w:shd w:val="clear"/>
        <w:snapToGrid w:val="0"/>
        <w:spacing w:after="160" w:line="360" w:lineRule="auto"/>
        <w:jc w:val="center"/>
        <w:outlineLvl w:val="9"/>
        <w:rPr>
          <w:rFonts w:hint="default" w:ascii="宋体" w:hAnsi="宋体" w:eastAsia="宋体" w:cs="宋体"/>
          <w:color w:val="auto"/>
          <w:kern w:val="2"/>
          <w:sz w:val="24"/>
          <w:szCs w:val="24"/>
          <w:highlight w:val="none"/>
          <w:lang w:val="en-US" w:bidi="ar-SA"/>
        </w:rPr>
      </w:pPr>
    </w:p>
    <w:p>
      <w:pPr>
        <w:shd w:val="clear"/>
        <w:snapToGrid w:val="0"/>
        <w:spacing w:after="160" w:line="360" w:lineRule="auto"/>
        <w:jc w:val="center"/>
        <w:outlineLvl w:val="9"/>
        <w:rPr>
          <w:rFonts w:hint="default" w:ascii="宋体" w:hAnsi="宋体" w:eastAsia="宋体" w:cs="宋体"/>
          <w:color w:val="auto"/>
          <w:kern w:val="2"/>
          <w:sz w:val="24"/>
          <w:szCs w:val="24"/>
          <w:highlight w:val="none"/>
          <w:lang w:val="en-US" w:bidi="ar-SA"/>
        </w:rPr>
      </w:pPr>
    </w:p>
    <w:p>
      <w:pPr>
        <w:shd w:val="clear"/>
        <w:snapToGrid w:val="0"/>
        <w:spacing w:after="160" w:line="360" w:lineRule="auto"/>
        <w:jc w:val="center"/>
        <w:outlineLvl w:val="9"/>
        <w:rPr>
          <w:rFonts w:hint="default" w:ascii="宋体" w:hAnsi="宋体" w:eastAsia="宋体" w:cs="宋体"/>
          <w:color w:val="auto"/>
          <w:kern w:val="2"/>
          <w:sz w:val="24"/>
          <w:szCs w:val="24"/>
          <w:highlight w:val="none"/>
          <w:lang w:val="en-US" w:bidi="ar-SA"/>
        </w:rPr>
      </w:pPr>
    </w:p>
    <w:p>
      <w:pPr>
        <w:shd w:val="clear"/>
        <w:snapToGrid w:val="0"/>
        <w:spacing w:after="160" w:line="360" w:lineRule="auto"/>
        <w:jc w:val="center"/>
        <w:outlineLvl w:val="9"/>
        <w:rPr>
          <w:rFonts w:hint="default" w:ascii="宋体" w:hAnsi="宋体" w:eastAsia="宋体" w:cs="宋体"/>
          <w:color w:val="auto"/>
          <w:kern w:val="2"/>
          <w:sz w:val="24"/>
          <w:szCs w:val="24"/>
          <w:highlight w:val="none"/>
          <w:lang w:val="en-US" w:bidi="ar-SA"/>
        </w:rPr>
      </w:pPr>
    </w:p>
    <w:p>
      <w:pPr>
        <w:shd w:val="clear"/>
        <w:snapToGrid w:val="0"/>
        <w:spacing w:after="160" w:line="360" w:lineRule="auto"/>
        <w:jc w:val="center"/>
        <w:outlineLvl w:val="9"/>
        <w:rPr>
          <w:rFonts w:hint="default" w:ascii="宋体" w:hAnsi="宋体" w:eastAsia="宋体" w:cs="宋体"/>
          <w:color w:val="auto"/>
          <w:kern w:val="2"/>
          <w:sz w:val="24"/>
          <w:szCs w:val="24"/>
          <w:highlight w:val="none"/>
          <w:lang w:val="en-US" w:bidi="ar-SA"/>
        </w:rPr>
      </w:pPr>
      <w:r>
        <w:rPr>
          <w:rFonts w:hint="eastAsia" w:ascii="宋体" w:hAnsi="宋体" w:eastAsia="宋体" w:cs="宋体"/>
          <w:b/>
          <w:bCs/>
          <w:color w:val="auto"/>
          <w:kern w:val="0"/>
          <w:sz w:val="40"/>
          <w:szCs w:val="40"/>
          <w:highlight w:val="none"/>
          <w:lang w:val="en-US" w:bidi="ar-SA"/>
        </w:rPr>
        <w:t>服务合同</w:t>
      </w:r>
    </w:p>
    <w:p>
      <w:pPr>
        <w:shd w:val="clear"/>
        <w:snapToGrid w:val="0"/>
        <w:spacing w:after="160" w:line="360" w:lineRule="auto"/>
        <w:jc w:val="center"/>
        <w:outlineLvl w:val="9"/>
        <w:rPr>
          <w:rFonts w:hint="default" w:ascii="宋体" w:hAnsi="宋体" w:eastAsia="宋体" w:cs="宋体"/>
          <w:color w:val="auto"/>
          <w:kern w:val="2"/>
          <w:sz w:val="24"/>
          <w:szCs w:val="24"/>
          <w:highlight w:val="none"/>
          <w:lang w:val="en-US" w:bidi="ar-SA"/>
        </w:rPr>
      </w:pPr>
    </w:p>
    <w:p>
      <w:pPr>
        <w:shd w:val="clear"/>
        <w:snapToGrid w:val="0"/>
        <w:spacing w:after="160" w:line="360" w:lineRule="auto"/>
        <w:jc w:val="center"/>
        <w:outlineLvl w:val="9"/>
        <w:rPr>
          <w:rFonts w:hint="default" w:ascii="宋体" w:hAnsi="宋体" w:eastAsia="宋体" w:cs="宋体"/>
          <w:color w:val="auto"/>
          <w:kern w:val="2"/>
          <w:sz w:val="24"/>
          <w:szCs w:val="24"/>
          <w:highlight w:val="none"/>
          <w:lang w:val="en-US" w:bidi="ar-SA"/>
        </w:rPr>
      </w:pPr>
    </w:p>
    <w:p>
      <w:pPr>
        <w:shd w:val="clear"/>
        <w:snapToGrid w:val="0"/>
        <w:spacing w:after="160" w:line="360" w:lineRule="auto"/>
        <w:outlineLvl w:val="9"/>
        <w:rPr>
          <w:rFonts w:hint="default" w:ascii="宋体" w:hAnsi="宋体" w:eastAsia="宋体" w:cs="宋体"/>
          <w:color w:val="auto"/>
          <w:kern w:val="2"/>
          <w:sz w:val="24"/>
          <w:szCs w:val="24"/>
          <w:highlight w:val="none"/>
          <w:lang w:val="en-US" w:bidi="ar-SA"/>
        </w:rPr>
      </w:pPr>
    </w:p>
    <w:p>
      <w:pPr>
        <w:shd w:val="clear"/>
        <w:snapToGrid w:val="0"/>
        <w:spacing w:after="160" w:line="360" w:lineRule="auto"/>
        <w:outlineLvl w:val="9"/>
        <w:rPr>
          <w:rFonts w:hint="default" w:ascii="宋体" w:hAnsi="宋体" w:eastAsia="宋体" w:cs="宋体"/>
          <w:color w:val="auto"/>
          <w:kern w:val="2"/>
          <w:sz w:val="24"/>
          <w:szCs w:val="24"/>
          <w:highlight w:val="none"/>
          <w:lang w:val="en-US" w:bidi="ar-SA"/>
        </w:rPr>
      </w:pPr>
    </w:p>
    <w:p>
      <w:pPr>
        <w:shd w:val="clear"/>
        <w:snapToGrid w:val="0"/>
        <w:spacing w:after="160" w:line="360" w:lineRule="auto"/>
        <w:jc w:val="center"/>
        <w:outlineLvl w:val="9"/>
        <w:rPr>
          <w:rFonts w:hint="default" w:ascii="宋体" w:hAnsi="宋体" w:eastAsia="宋体" w:cs="宋体"/>
          <w:color w:val="auto"/>
          <w:kern w:val="2"/>
          <w:sz w:val="24"/>
          <w:szCs w:val="24"/>
          <w:highlight w:val="none"/>
          <w:lang w:val="en-US" w:bidi="ar-SA"/>
        </w:rPr>
      </w:pPr>
    </w:p>
    <w:p>
      <w:pPr>
        <w:shd w:val="clear"/>
        <w:snapToGrid w:val="0"/>
        <w:spacing w:after="160" w:line="360" w:lineRule="auto"/>
        <w:jc w:val="left"/>
        <w:outlineLvl w:val="9"/>
        <w:rPr>
          <w:rFonts w:hint="default" w:ascii="宋体" w:hAnsi="宋体" w:eastAsia="宋体" w:cs="宋体"/>
          <w:color w:val="auto"/>
          <w:kern w:val="2"/>
          <w:sz w:val="24"/>
          <w:szCs w:val="24"/>
          <w:highlight w:val="none"/>
          <w:lang w:val="en-US" w:bidi="ar-SA"/>
        </w:rPr>
      </w:pPr>
    </w:p>
    <w:p>
      <w:pPr>
        <w:shd w:val="clear"/>
        <w:snapToGrid w:val="0"/>
        <w:spacing w:after="160" w:line="360" w:lineRule="auto"/>
        <w:jc w:val="left"/>
        <w:outlineLvl w:val="9"/>
        <w:rPr>
          <w:rFonts w:hint="default" w:ascii="宋体" w:hAnsi="宋体" w:eastAsia="宋体" w:cs="宋体"/>
          <w:b/>
          <w:bCs/>
          <w:color w:val="auto"/>
          <w:kern w:val="0"/>
          <w:sz w:val="28"/>
          <w:szCs w:val="28"/>
          <w:highlight w:val="none"/>
          <w:lang w:val="en-US" w:bidi="ar-SA"/>
        </w:rPr>
      </w:pPr>
    </w:p>
    <w:p>
      <w:pPr>
        <w:shd w:val="clear"/>
        <w:snapToGrid w:val="0"/>
        <w:spacing w:after="160" w:line="360" w:lineRule="auto"/>
        <w:ind w:firstLine="562" w:firstLineChars="200"/>
        <w:jc w:val="left"/>
        <w:outlineLvl w:val="9"/>
        <w:rPr>
          <w:rFonts w:hint="eastAsia" w:ascii="宋体" w:hAnsi="宋体" w:eastAsia="宋体" w:cs="宋体"/>
          <w:b/>
          <w:bCs/>
          <w:color w:val="auto"/>
          <w:kern w:val="0"/>
          <w:sz w:val="28"/>
          <w:szCs w:val="28"/>
          <w:highlight w:val="none"/>
          <w:u w:val="single"/>
          <w:lang w:val="en-US" w:eastAsia="zh-CN" w:bidi="ar-SA"/>
        </w:rPr>
      </w:pPr>
      <w:r>
        <w:rPr>
          <w:rFonts w:hint="eastAsia" w:ascii="宋体" w:hAnsi="宋体" w:eastAsia="宋体" w:cs="宋体"/>
          <w:b/>
          <w:bCs/>
          <w:color w:val="auto"/>
          <w:kern w:val="0"/>
          <w:sz w:val="28"/>
          <w:szCs w:val="28"/>
          <w:highlight w:val="none"/>
          <w:lang w:val="en-US" w:bidi="ar-SA"/>
        </w:rPr>
        <w:t>项目名称：</w:t>
      </w:r>
      <w:r>
        <w:rPr>
          <w:rFonts w:hint="eastAsia" w:ascii="宋体" w:hAnsi="宋体" w:eastAsia="宋体" w:cs="宋体"/>
          <w:b/>
          <w:bCs/>
          <w:color w:val="auto"/>
          <w:kern w:val="0"/>
          <w:sz w:val="28"/>
          <w:szCs w:val="28"/>
          <w:highlight w:val="none"/>
          <w:u w:val="single"/>
          <w:lang w:val="en-US" w:eastAsia="zh-CN" w:bidi="ar-SA"/>
        </w:rPr>
        <w:t>2026-2027年太湖街道污水管网及设施运行维护作业权项目</w:t>
      </w:r>
    </w:p>
    <w:p>
      <w:pPr>
        <w:shd w:val="clear"/>
        <w:snapToGrid w:val="0"/>
        <w:spacing w:after="160" w:line="360" w:lineRule="auto"/>
        <w:ind w:firstLine="562" w:firstLineChars="200"/>
        <w:jc w:val="left"/>
        <w:outlineLvl w:val="9"/>
        <w:rPr>
          <w:rFonts w:hint="default" w:ascii="宋体" w:hAnsi="宋体" w:eastAsia="宋体" w:cs="宋体"/>
          <w:b/>
          <w:bCs/>
          <w:color w:val="auto"/>
          <w:kern w:val="0"/>
          <w:sz w:val="28"/>
          <w:szCs w:val="28"/>
          <w:highlight w:val="none"/>
          <w:u w:val="single"/>
          <w:lang w:val="en-US" w:bidi="ar-SA"/>
        </w:rPr>
      </w:pPr>
      <w:bookmarkStart w:id="11" w:name="_Hlk127362156"/>
      <w:r>
        <w:rPr>
          <w:rFonts w:hint="eastAsia" w:ascii="宋体" w:hAnsi="宋体" w:eastAsia="宋体" w:cs="宋体"/>
          <w:b/>
          <w:bCs/>
          <w:color w:val="auto"/>
          <w:kern w:val="0"/>
          <w:sz w:val="28"/>
          <w:szCs w:val="28"/>
          <w:highlight w:val="none"/>
          <w:lang w:val="en-US" w:bidi="ar-SA"/>
        </w:rPr>
        <w:t>甲方（采购人）</w:t>
      </w:r>
      <w:bookmarkEnd w:id="11"/>
      <w:r>
        <w:rPr>
          <w:rFonts w:hint="eastAsia" w:ascii="宋体" w:hAnsi="宋体" w:eastAsia="宋体" w:cs="宋体"/>
          <w:b/>
          <w:bCs/>
          <w:color w:val="auto"/>
          <w:kern w:val="0"/>
          <w:sz w:val="28"/>
          <w:szCs w:val="28"/>
          <w:highlight w:val="none"/>
          <w:lang w:val="en-US" w:bidi="ar-SA"/>
        </w:rPr>
        <w:t>：</w:t>
      </w:r>
    </w:p>
    <w:p>
      <w:pPr>
        <w:shd w:val="clear"/>
        <w:snapToGrid w:val="0"/>
        <w:spacing w:after="160" w:line="360" w:lineRule="auto"/>
        <w:ind w:firstLine="562" w:firstLineChars="200"/>
        <w:jc w:val="left"/>
        <w:outlineLvl w:val="9"/>
        <w:rPr>
          <w:rFonts w:hint="default" w:ascii="宋体" w:hAnsi="宋体" w:eastAsia="宋体" w:cs="宋体"/>
          <w:color w:val="auto"/>
          <w:kern w:val="2"/>
          <w:sz w:val="28"/>
          <w:szCs w:val="28"/>
          <w:highlight w:val="none"/>
          <w:u w:val="single"/>
          <w:lang w:val="en-US" w:bidi="ar-SA"/>
        </w:rPr>
      </w:pPr>
      <w:r>
        <w:rPr>
          <w:rFonts w:hint="eastAsia" w:ascii="宋体" w:hAnsi="宋体" w:eastAsia="宋体" w:cs="宋体"/>
          <w:b/>
          <w:bCs/>
          <w:color w:val="auto"/>
          <w:kern w:val="0"/>
          <w:sz w:val="28"/>
          <w:szCs w:val="28"/>
          <w:highlight w:val="none"/>
          <w:lang w:val="en-US" w:bidi="ar-SA"/>
        </w:rPr>
        <w:t>乙方（</w:t>
      </w:r>
      <w:r>
        <w:rPr>
          <w:rFonts w:hint="eastAsia" w:ascii="宋体" w:hAnsi="宋体" w:eastAsia="宋体" w:cs="宋体"/>
          <w:b/>
          <w:bCs/>
          <w:color w:val="auto"/>
          <w:kern w:val="0"/>
          <w:sz w:val="28"/>
          <w:szCs w:val="28"/>
          <w:highlight w:val="none"/>
          <w:lang w:val="en-US" w:eastAsia="zh-CN" w:bidi="ar-SA"/>
        </w:rPr>
        <w:t>中标</w:t>
      </w:r>
      <w:r>
        <w:rPr>
          <w:rFonts w:hint="eastAsia" w:ascii="宋体" w:hAnsi="宋体" w:eastAsia="宋体" w:cs="宋体"/>
          <w:b/>
          <w:bCs/>
          <w:color w:val="auto"/>
          <w:kern w:val="0"/>
          <w:sz w:val="28"/>
          <w:szCs w:val="28"/>
          <w:highlight w:val="none"/>
          <w:lang w:val="en-US" w:bidi="ar-SA"/>
        </w:rPr>
        <w:t>方）：</w:t>
      </w:r>
    </w:p>
    <w:p>
      <w:pPr>
        <w:shd w:val="clear"/>
        <w:snapToGrid w:val="0"/>
        <w:spacing w:after="160" w:line="360" w:lineRule="auto"/>
        <w:ind w:firstLine="562" w:firstLineChars="200"/>
        <w:jc w:val="left"/>
        <w:outlineLvl w:val="9"/>
        <w:rPr>
          <w:rFonts w:hint="eastAsia" w:ascii="宋体" w:hAnsi="宋体" w:eastAsia="宋体" w:cs="宋体"/>
          <w:b/>
          <w:bCs/>
          <w:color w:val="auto"/>
          <w:kern w:val="0"/>
          <w:sz w:val="28"/>
          <w:szCs w:val="28"/>
          <w:highlight w:val="none"/>
          <w:u w:val="single"/>
          <w:lang w:val="en-US" w:bidi="ar-SA"/>
        </w:rPr>
      </w:pPr>
      <w:r>
        <w:rPr>
          <w:rFonts w:hint="eastAsia" w:ascii="宋体" w:hAnsi="宋体" w:eastAsia="宋体" w:cs="宋体"/>
          <w:b/>
          <w:bCs/>
          <w:color w:val="auto"/>
          <w:kern w:val="0"/>
          <w:sz w:val="28"/>
          <w:szCs w:val="28"/>
          <w:highlight w:val="none"/>
          <w:lang w:val="en-US" w:bidi="ar-SA"/>
        </w:rPr>
        <w:t>签订日期：</w:t>
      </w:r>
      <w:r>
        <w:rPr>
          <w:rFonts w:hint="eastAsia" w:ascii="宋体" w:hAnsi="宋体" w:eastAsia="宋体" w:cs="宋体"/>
          <w:b/>
          <w:bCs/>
          <w:color w:val="auto"/>
          <w:kern w:val="0"/>
          <w:sz w:val="28"/>
          <w:szCs w:val="28"/>
          <w:highlight w:val="none"/>
          <w:u w:val="single"/>
          <w:lang w:val="en-US" w:bidi="ar-SA"/>
        </w:rPr>
        <w:t xml:space="preserve">     年  月  日</w:t>
      </w:r>
    </w:p>
    <w:p>
      <w:pPr>
        <w:shd w:val="clear"/>
        <w:snapToGrid w:val="0"/>
        <w:spacing w:after="160" w:line="360" w:lineRule="auto"/>
        <w:ind w:firstLine="562" w:firstLineChars="200"/>
        <w:jc w:val="left"/>
        <w:outlineLvl w:val="9"/>
        <w:rPr>
          <w:rFonts w:hint="eastAsia" w:ascii="宋体" w:hAnsi="宋体" w:eastAsia="宋体" w:cs="宋体"/>
          <w:b/>
          <w:bCs/>
          <w:color w:val="auto"/>
          <w:kern w:val="0"/>
          <w:sz w:val="28"/>
          <w:szCs w:val="28"/>
          <w:highlight w:val="none"/>
          <w:u w:val="single"/>
          <w:lang w:val="en-US" w:bidi="ar-SA"/>
        </w:rPr>
      </w:pPr>
    </w:p>
    <w:p>
      <w:pPr>
        <w:numPr>
          <w:ilvl w:val="0"/>
          <w:numId w:val="20"/>
        </w:numPr>
        <w:shd w:val="clear"/>
        <w:tabs>
          <w:tab w:val="left" w:pos="210"/>
          <w:tab w:val="left" w:pos="840"/>
          <w:tab w:val="left" w:pos="1260"/>
        </w:tabs>
        <w:spacing w:after="0" w:line="440" w:lineRule="exact"/>
        <w:ind w:left="0" w:firstLine="480" w:firstLineChars="200"/>
        <w:outlineLvl w:val="9"/>
        <w:rPr>
          <w:rFonts w:hint="default" w:ascii="宋体" w:hAnsi="Times New Roman"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采购项目编号：</w:t>
      </w:r>
      <w:r>
        <w:rPr>
          <w:rFonts w:hint="eastAsia" w:ascii="宋体" w:hAnsi="宋体" w:eastAsia="宋体" w:cs="Times New Roman"/>
          <w:bCs/>
          <w:color w:val="auto"/>
          <w:kern w:val="2"/>
          <w:sz w:val="24"/>
          <w:szCs w:val="24"/>
          <w:highlight w:val="none"/>
          <w:u w:val="single"/>
          <w:lang w:val="en-US" w:eastAsia="zh-CN" w:bidi="ar-SA"/>
        </w:rPr>
        <w:t>JSZC-320292-BJZC-G2026-0014</w:t>
      </w:r>
    </w:p>
    <w:p>
      <w:pPr>
        <w:numPr>
          <w:ilvl w:val="0"/>
          <w:numId w:val="20"/>
        </w:numPr>
        <w:shd w:val="clear"/>
        <w:tabs>
          <w:tab w:val="left" w:pos="210"/>
          <w:tab w:val="left" w:pos="840"/>
          <w:tab w:val="left" w:pos="1260"/>
        </w:tabs>
        <w:spacing w:after="0" w:line="440" w:lineRule="exact"/>
        <w:ind w:left="0" w:firstLine="480" w:firstLineChars="200"/>
        <w:outlineLvl w:val="9"/>
        <w:rPr>
          <w:rFonts w:hint="default" w:ascii="宋体" w:hAnsi="Times New Roman"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采购内容：</w:t>
      </w:r>
      <w:r>
        <w:rPr>
          <w:rFonts w:hint="eastAsia" w:ascii="宋体" w:hAnsi="宋体" w:eastAsia="宋体" w:cs="Times New Roman"/>
          <w:bCs/>
          <w:color w:val="auto"/>
          <w:kern w:val="2"/>
          <w:sz w:val="24"/>
          <w:szCs w:val="24"/>
          <w:highlight w:val="none"/>
          <w:u w:val="single"/>
          <w:lang w:val="en-US" w:eastAsia="zh-CN" w:bidi="ar-SA"/>
        </w:rPr>
        <w:t>对太湖街道辖区范围内的污水管网及其附属设施实施维护服务，包括泵站、污水管、提升井的疏通养护、清淤、淤泥外运、破损管道更换、缺损井框井盖更换、防汛工作等。其中：污水管网约83.004千米。16座泵站及一体化提升井电动闸门、液压闸门、一体化提升井电动闸门、液压闸门等，共计34台泵。56座提升井，共计69台泵。并配合采购人做好排水户的排水许可证申办检查事宜等</w:t>
      </w:r>
      <w:r>
        <w:rPr>
          <w:rFonts w:hint="default" w:ascii="宋体" w:hAnsi="宋体" w:eastAsia="宋体" w:cs="Times New Roman"/>
          <w:bCs/>
          <w:color w:val="auto"/>
          <w:kern w:val="2"/>
          <w:sz w:val="24"/>
          <w:szCs w:val="24"/>
          <w:highlight w:val="none"/>
          <w:u w:val="single"/>
          <w:lang w:val="en-US" w:bidi="ar-SA"/>
        </w:rPr>
        <w:t xml:space="preserve"> </w:t>
      </w:r>
    </w:p>
    <w:p>
      <w:pPr>
        <w:numPr>
          <w:ilvl w:val="0"/>
          <w:numId w:val="20"/>
        </w:numPr>
        <w:shd w:val="clear"/>
        <w:tabs>
          <w:tab w:val="left" w:pos="210"/>
          <w:tab w:val="left" w:pos="840"/>
          <w:tab w:val="left" w:pos="1260"/>
        </w:tabs>
        <w:spacing w:after="0" w:line="440" w:lineRule="exact"/>
        <w:ind w:left="0" w:firstLine="523" w:firstLineChars="218"/>
        <w:outlineLvl w:val="9"/>
        <w:rPr>
          <w:rFonts w:hint="default" w:ascii="宋体" w:hAnsi="Times New Roman"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合同总金额：（大写）</w:t>
      </w:r>
      <w:r>
        <w:rPr>
          <w:rFonts w:hint="default" w:ascii="宋体" w:hAnsi="宋体" w:eastAsia="宋体" w:cs="Times New Roman"/>
          <w:bCs/>
          <w:color w:val="auto"/>
          <w:kern w:val="2"/>
          <w:sz w:val="24"/>
          <w:szCs w:val="24"/>
          <w:highlight w:val="none"/>
          <w:u w:val="single"/>
          <w:lang w:val="en-US" w:bidi="ar-SA"/>
        </w:rPr>
        <w:t xml:space="preserve">                             </w:t>
      </w:r>
      <w:r>
        <w:rPr>
          <w:rFonts w:hint="eastAsia" w:ascii="宋体" w:hAnsi="宋体" w:eastAsia="宋体" w:cs="Times New Roman"/>
          <w:bCs/>
          <w:color w:val="auto"/>
          <w:kern w:val="2"/>
          <w:sz w:val="24"/>
          <w:szCs w:val="24"/>
          <w:highlight w:val="none"/>
          <w:lang w:val="en-US" w:bidi="ar-SA"/>
        </w:rPr>
        <w:t>；（小写）</w:t>
      </w:r>
      <w:r>
        <w:rPr>
          <w:rFonts w:hint="default" w:ascii="宋体" w:hAnsi="宋体" w:eastAsia="宋体" w:cs="Times New Roman"/>
          <w:bCs/>
          <w:color w:val="auto"/>
          <w:kern w:val="2"/>
          <w:sz w:val="24"/>
          <w:szCs w:val="24"/>
          <w:highlight w:val="none"/>
          <w:u w:val="single"/>
          <w:lang w:val="en-US" w:bidi="ar-SA"/>
        </w:rPr>
        <w:t xml:space="preserve">              </w:t>
      </w:r>
    </w:p>
    <w:p>
      <w:pPr>
        <w:numPr>
          <w:ilvl w:val="0"/>
          <w:numId w:val="20"/>
        </w:numPr>
        <w:shd w:val="clear"/>
        <w:tabs>
          <w:tab w:val="left" w:pos="210"/>
          <w:tab w:val="left" w:pos="840"/>
          <w:tab w:val="left" w:pos="1260"/>
        </w:tabs>
        <w:spacing w:after="0" w:line="440" w:lineRule="exact"/>
        <w:ind w:left="0" w:firstLine="480" w:firstLineChars="200"/>
        <w:outlineLvl w:val="9"/>
        <w:rPr>
          <w:rFonts w:hint="default" w:ascii="宋体" w:hAnsi="Times New Roman"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质量和包装要求及验收标准：</w:t>
      </w:r>
      <w:r>
        <w:rPr>
          <w:rFonts w:hint="eastAsia" w:ascii="宋体" w:hAnsi="宋体" w:eastAsia="宋体" w:cs="Times New Roman"/>
          <w:bCs/>
          <w:color w:val="auto"/>
          <w:kern w:val="2"/>
          <w:sz w:val="24"/>
          <w:szCs w:val="24"/>
          <w:highlight w:val="none"/>
          <w:u w:val="single"/>
          <w:lang w:val="en-US" w:bidi="ar-SA"/>
        </w:rPr>
        <w:t>满足国家、省市、行业标准和相应的规范、规定及甲方的需求</w:t>
      </w:r>
      <w:r>
        <w:rPr>
          <w:rFonts w:hint="default" w:ascii="宋体" w:hAnsi="宋体" w:eastAsia="宋体" w:cs="Times New Roman"/>
          <w:bCs/>
          <w:color w:val="auto"/>
          <w:kern w:val="2"/>
          <w:sz w:val="24"/>
          <w:szCs w:val="24"/>
          <w:highlight w:val="none"/>
          <w:u w:val="single"/>
          <w:lang w:val="en-US" w:bidi="ar-SA"/>
        </w:rPr>
        <w:t xml:space="preserve"> </w:t>
      </w:r>
    </w:p>
    <w:p>
      <w:pPr>
        <w:numPr>
          <w:ilvl w:val="0"/>
          <w:numId w:val="20"/>
        </w:numPr>
        <w:shd w:val="clear"/>
        <w:tabs>
          <w:tab w:val="left" w:pos="210"/>
          <w:tab w:val="left" w:pos="840"/>
          <w:tab w:val="left" w:pos="1260"/>
        </w:tabs>
        <w:spacing w:after="0" w:line="440" w:lineRule="exact"/>
        <w:ind w:left="0" w:firstLine="523" w:firstLineChars="218"/>
        <w:outlineLvl w:val="9"/>
        <w:rPr>
          <w:rFonts w:hint="default" w:ascii="宋体" w:hAnsi="Times New Roman"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养护期：</w:t>
      </w:r>
      <w:r>
        <w:rPr>
          <w:rFonts w:hint="default" w:ascii="宋体" w:hAnsi="宋体" w:eastAsia="宋体" w:cs="Times New Roman"/>
          <w:bCs/>
          <w:color w:val="auto"/>
          <w:kern w:val="2"/>
          <w:sz w:val="24"/>
          <w:szCs w:val="24"/>
          <w:highlight w:val="none"/>
          <w:u w:val="single"/>
          <w:lang w:val="en-US" w:bidi="ar-SA"/>
        </w:rPr>
        <w:t>一年（</w:t>
      </w:r>
      <w:r>
        <w:rPr>
          <w:rFonts w:hint="eastAsia" w:ascii="宋体" w:hAnsi="宋体" w:eastAsia="宋体" w:cs="Times New Roman"/>
          <w:bCs/>
          <w:color w:val="auto"/>
          <w:kern w:val="2"/>
          <w:sz w:val="24"/>
          <w:szCs w:val="24"/>
          <w:highlight w:val="none"/>
          <w:u w:val="single"/>
          <w:lang w:val="en-US" w:bidi="ar-SA"/>
        </w:rPr>
        <w:t>2</w:t>
      </w:r>
      <w:r>
        <w:rPr>
          <w:rFonts w:hint="default" w:ascii="宋体" w:hAnsi="宋体" w:eastAsia="宋体" w:cs="Times New Roman"/>
          <w:bCs/>
          <w:color w:val="auto"/>
          <w:kern w:val="2"/>
          <w:sz w:val="24"/>
          <w:szCs w:val="24"/>
          <w:highlight w:val="none"/>
          <w:u w:val="single"/>
          <w:lang w:val="en-US" w:bidi="ar-SA"/>
        </w:rPr>
        <w:t>02</w:t>
      </w:r>
      <w:r>
        <w:rPr>
          <w:rFonts w:hint="eastAsia" w:ascii="宋体" w:hAnsi="宋体" w:eastAsia="宋体" w:cs="Times New Roman"/>
          <w:bCs/>
          <w:color w:val="auto"/>
          <w:kern w:val="2"/>
          <w:sz w:val="24"/>
          <w:szCs w:val="24"/>
          <w:highlight w:val="none"/>
          <w:u w:val="single"/>
          <w:lang w:val="en-US" w:eastAsia="zh-CN" w:bidi="ar-SA"/>
        </w:rPr>
        <w:t>6</w:t>
      </w:r>
      <w:r>
        <w:rPr>
          <w:rFonts w:hint="default" w:ascii="宋体" w:hAnsi="宋体" w:eastAsia="宋体" w:cs="Times New Roman"/>
          <w:bCs/>
          <w:color w:val="auto"/>
          <w:kern w:val="2"/>
          <w:sz w:val="24"/>
          <w:szCs w:val="24"/>
          <w:highlight w:val="none"/>
          <w:u w:val="single"/>
          <w:lang w:val="en-US" w:bidi="ar-SA"/>
        </w:rPr>
        <w:t>年</w:t>
      </w:r>
      <w:r>
        <w:rPr>
          <w:rFonts w:hint="eastAsia" w:ascii="宋体" w:hAnsi="宋体" w:eastAsia="宋体" w:cs="Times New Roman"/>
          <w:bCs/>
          <w:color w:val="auto"/>
          <w:kern w:val="2"/>
          <w:sz w:val="24"/>
          <w:szCs w:val="24"/>
          <w:highlight w:val="none"/>
          <w:u w:val="single"/>
          <w:lang w:val="en-US" w:bidi="ar-SA"/>
        </w:rPr>
        <w:t xml:space="preserve"> </w:t>
      </w:r>
      <w:r>
        <w:rPr>
          <w:rFonts w:hint="default" w:ascii="宋体" w:hAnsi="宋体" w:eastAsia="宋体" w:cs="Times New Roman"/>
          <w:bCs/>
          <w:color w:val="auto"/>
          <w:kern w:val="2"/>
          <w:sz w:val="24"/>
          <w:szCs w:val="24"/>
          <w:highlight w:val="none"/>
          <w:u w:val="single"/>
          <w:lang w:val="en-US" w:bidi="ar-SA"/>
        </w:rPr>
        <w:t xml:space="preserve"> 月</w:t>
      </w:r>
      <w:r>
        <w:rPr>
          <w:rFonts w:hint="eastAsia" w:ascii="宋体" w:hAnsi="宋体" w:eastAsia="宋体" w:cs="Times New Roman"/>
          <w:bCs/>
          <w:color w:val="auto"/>
          <w:kern w:val="2"/>
          <w:sz w:val="24"/>
          <w:szCs w:val="24"/>
          <w:highlight w:val="none"/>
          <w:u w:val="single"/>
          <w:lang w:val="en-US" w:bidi="ar-SA"/>
        </w:rPr>
        <w:t xml:space="preserve"> </w:t>
      </w:r>
      <w:r>
        <w:rPr>
          <w:rFonts w:hint="default" w:ascii="宋体" w:hAnsi="宋体" w:eastAsia="宋体" w:cs="Times New Roman"/>
          <w:bCs/>
          <w:color w:val="auto"/>
          <w:kern w:val="2"/>
          <w:sz w:val="24"/>
          <w:szCs w:val="24"/>
          <w:highlight w:val="none"/>
          <w:u w:val="single"/>
          <w:lang w:val="en-US" w:bidi="ar-SA"/>
        </w:rPr>
        <w:t xml:space="preserve"> 日-202</w:t>
      </w:r>
      <w:r>
        <w:rPr>
          <w:rFonts w:hint="eastAsia" w:ascii="宋体" w:hAnsi="宋体" w:eastAsia="宋体" w:cs="Times New Roman"/>
          <w:bCs/>
          <w:color w:val="auto"/>
          <w:kern w:val="2"/>
          <w:sz w:val="24"/>
          <w:szCs w:val="24"/>
          <w:highlight w:val="none"/>
          <w:u w:val="single"/>
          <w:lang w:val="en-US" w:eastAsia="zh-CN" w:bidi="ar-SA"/>
        </w:rPr>
        <w:t>7</w:t>
      </w:r>
      <w:r>
        <w:rPr>
          <w:rFonts w:hint="default" w:ascii="宋体" w:hAnsi="宋体" w:eastAsia="宋体" w:cs="Times New Roman"/>
          <w:bCs/>
          <w:color w:val="auto"/>
          <w:kern w:val="2"/>
          <w:sz w:val="24"/>
          <w:szCs w:val="24"/>
          <w:highlight w:val="none"/>
          <w:u w:val="single"/>
          <w:lang w:val="en-US" w:bidi="ar-SA"/>
        </w:rPr>
        <w:t>年</w:t>
      </w:r>
      <w:r>
        <w:rPr>
          <w:rFonts w:hint="eastAsia" w:ascii="宋体" w:hAnsi="宋体" w:eastAsia="宋体" w:cs="Times New Roman"/>
          <w:bCs/>
          <w:color w:val="auto"/>
          <w:kern w:val="2"/>
          <w:sz w:val="24"/>
          <w:szCs w:val="24"/>
          <w:highlight w:val="none"/>
          <w:u w:val="single"/>
          <w:lang w:val="en-US" w:bidi="ar-SA"/>
        </w:rPr>
        <w:t xml:space="preserve"> </w:t>
      </w:r>
      <w:r>
        <w:rPr>
          <w:rFonts w:hint="default" w:ascii="宋体" w:hAnsi="宋体" w:eastAsia="宋体" w:cs="Times New Roman"/>
          <w:bCs/>
          <w:color w:val="auto"/>
          <w:kern w:val="2"/>
          <w:sz w:val="24"/>
          <w:szCs w:val="24"/>
          <w:highlight w:val="none"/>
          <w:u w:val="single"/>
          <w:lang w:val="en-US" w:bidi="ar-SA"/>
        </w:rPr>
        <w:t xml:space="preserve"> 月</w:t>
      </w:r>
      <w:r>
        <w:rPr>
          <w:rFonts w:hint="eastAsia" w:ascii="宋体" w:hAnsi="宋体" w:eastAsia="宋体" w:cs="Times New Roman"/>
          <w:bCs/>
          <w:color w:val="auto"/>
          <w:kern w:val="2"/>
          <w:sz w:val="24"/>
          <w:szCs w:val="24"/>
          <w:highlight w:val="none"/>
          <w:u w:val="single"/>
          <w:lang w:val="en-US" w:bidi="ar-SA"/>
        </w:rPr>
        <w:t xml:space="preserve"> </w:t>
      </w:r>
      <w:r>
        <w:rPr>
          <w:rFonts w:hint="default" w:ascii="宋体" w:hAnsi="宋体" w:eastAsia="宋体" w:cs="Times New Roman"/>
          <w:bCs/>
          <w:color w:val="auto"/>
          <w:kern w:val="2"/>
          <w:sz w:val="24"/>
          <w:szCs w:val="24"/>
          <w:highlight w:val="none"/>
          <w:u w:val="single"/>
          <w:lang w:val="en-US" w:bidi="ar-SA"/>
        </w:rPr>
        <w:t xml:space="preserve"> 日）                      </w:t>
      </w:r>
    </w:p>
    <w:p>
      <w:pPr>
        <w:numPr>
          <w:ilvl w:val="0"/>
          <w:numId w:val="20"/>
        </w:numPr>
        <w:shd w:val="clear"/>
        <w:tabs>
          <w:tab w:val="left" w:pos="210"/>
          <w:tab w:val="left" w:pos="840"/>
          <w:tab w:val="left" w:pos="1260"/>
        </w:tabs>
        <w:spacing w:after="0" w:line="440" w:lineRule="exact"/>
        <w:ind w:left="0" w:firstLine="523" w:firstLineChars="218"/>
        <w:outlineLvl w:val="9"/>
        <w:rPr>
          <w:rFonts w:hint="default" w:ascii="宋体" w:hAnsi="Times New Roman"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交付地点：</w:t>
      </w:r>
      <w:r>
        <w:rPr>
          <w:rFonts w:hint="eastAsia" w:ascii="宋体" w:hAnsi="宋体" w:eastAsia="宋体" w:cs="Times New Roman"/>
          <w:bCs/>
          <w:color w:val="auto"/>
          <w:kern w:val="2"/>
          <w:sz w:val="24"/>
          <w:szCs w:val="24"/>
          <w:highlight w:val="none"/>
          <w:u w:val="single"/>
          <w:lang w:val="en-US" w:bidi="ar-SA"/>
        </w:rPr>
        <w:t>太湖街道</w:t>
      </w:r>
      <w:r>
        <w:rPr>
          <w:rFonts w:hint="default" w:ascii="宋体" w:hAnsi="宋体" w:eastAsia="宋体" w:cs="Times New Roman"/>
          <w:bCs/>
          <w:color w:val="auto"/>
          <w:kern w:val="2"/>
          <w:sz w:val="24"/>
          <w:szCs w:val="24"/>
          <w:highlight w:val="none"/>
          <w:u w:val="single"/>
          <w:lang w:val="en-US" w:bidi="ar-SA"/>
        </w:rPr>
        <w:t xml:space="preserve">                                                       </w:t>
      </w:r>
    </w:p>
    <w:p>
      <w:pPr>
        <w:numPr>
          <w:ilvl w:val="0"/>
          <w:numId w:val="20"/>
        </w:numPr>
        <w:shd w:val="clear"/>
        <w:tabs>
          <w:tab w:val="left" w:pos="210"/>
          <w:tab w:val="left" w:pos="840"/>
          <w:tab w:val="left" w:pos="1260"/>
        </w:tabs>
        <w:spacing w:after="0" w:line="440" w:lineRule="exact"/>
        <w:ind w:left="0" w:firstLine="480" w:firstLineChars="200"/>
        <w:outlineLvl w:val="9"/>
        <w:rPr>
          <w:rFonts w:hint="eastAsia" w:ascii="宋体" w:hAnsi="宋体" w:eastAsia="宋体" w:cs="Times New Roman"/>
          <w:bCs/>
          <w:color w:val="auto"/>
          <w:kern w:val="2"/>
          <w:sz w:val="24"/>
          <w:szCs w:val="24"/>
          <w:highlight w:val="none"/>
          <w:u w:val="single"/>
          <w:lang w:val="en-US" w:eastAsia="zh-CN" w:bidi="ar-SA"/>
        </w:rPr>
      </w:pPr>
      <w:r>
        <w:rPr>
          <w:rFonts w:hint="eastAsia" w:ascii="宋体" w:hAnsi="宋体" w:eastAsia="宋体" w:cs="Times New Roman"/>
          <w:bCs/>
          <w:color w:val="auto"/>
          <w:kern w:val="2"/>
          <w:sz w:val="24"/>
          <w:szCs w:val="24"/>
          <w:highlight w:val="none"/>
          <w:lang w:val="en-US" w:bidi="ar-SA"/>
        </w:rPr>
        <w:t>货款支付步骤和办法：</w:t>
      </w:r>
      <w:r>
        <w:rPr>
          <w:rFonts w:hint="eastAsia" w:ascii="宋体" w:hAnsi="宋体" w:eastAsia="宋体" w:cs="Times New Roman"/>
          <w:bCs/>
          <w:color w:val="auto"/>
          <w:kern w:val="2"/>
          <w:sz w:val="24"/>
          <w:szCs w:val="24"/>
          <w:highlight w:val="none"/>
          <w:u w:val="single"/>
          <w:lang w:val="en-US" w:eastAsia="zh-CN" w:bidi="ar-SA"/>
        </w:rPr>
        <w:t>本项目合同总价包含日常运行维护费与应急排查抢修费（按实结算）两部分：</w:t>
      </w:r>
    </w:p>
    <w:p>
      <w:pPr>
        <w:keepNext w:val="0"/>
        <w:keepLines w:val="0"/>
        <w:pageBreakBefore w:val="0"/>
        <w:widowControl w:val="0"/>
        <w:numPr>
          <w:ilvl w:val="0"/>
          <w:numId w:val="0"/>
        </w:numPr>
        <w:shd w:val="clear"/>
        <w:tabs>
          <w:tab w:val="left" w:pos="210"/>
          <w:tab w:val="left" w:pos="840"/>
          <w:tab w:val="left" w:pos="1260"/>
        </w:tabs>
        <w:kinsoku/>
        <w:wordWrap/>
        <w:overflowPunct/>
        <w:topLinePunct w:val="0"/>
        <w:autoSpaceDE/>
        <w:autoSpaceDN/>
        <w:bidi w:val="0"/>
        <w:adjustRightInd/>
        <w:snapToGrid/>
        <w:spacing w:after="0" w:line="440" w:lineRule="exact"/>
        <w:ind w:leftChars="200" w:firstLine="480" w:firstLineChars="200"/>
        <w:textAlignment w:val="auto"/>
        <w:outlineLvl w:val="9"/>
        <w:rPr>
          <w:rFonts w:hint="eastAsia" w:ascii="宋体" w:hAnsi="宋体" w:eastAsia="宋体" w:cs="Times New Roman"/>
          <w:bCs/>
          <w:color w:val="auto"/>
          <w:kern w:val="2"/>
          <w:sz w:val="24"/>
          <w:szCs w:val="24"/>
          <w:highlight w:val="none"/>
          <w:u w:val="single"/>
          <w:lang w:val="en-US" w:eastAsia="zh-CN" w:bidi="ar-SA"/>
        </w:rPr>
      </w:pPr>
      <w:r>
        <w:rPr>
          <w:rFonts w:hint="eastAsia" w:ascii="宋体" w:hAnsi="宋体" w:eastAsia="宋体" w:cs="Times New Roman"/>
          <w:bCs/>
          <w:color w:val="auto"/>
          <w:kern w:val="2"/>
          <w:sz w:val="24"/>
          <w:szCs w:val="24"/>
          <w:highlight w:val="none"/>
          <w:u w:val="single"/>
          <w:lang w:val="en-US" w:eastAsia="zh-CN" w:bidi="ar-SA"/>
        </w:rPr>
        <w:t>日常运行维护费（泵站+提升井+管网）： 合同签订后，甲方预付该部分款项的 30%；养护时间满 6 个月且考核合格，支付至该部分款项的 50%；养护期满根据全周期运行维护考核结果结清该部分余款。</w:t>
      </w:r>
    </w:p>
    <w:p>
      <w:pPr>
        <w:keepNext w:val="0"/>
        <w:keepLines w:val="0"/>
        <w:pageBreakBefore w:val="0"/>
        <w:widowControl w:val="0"/>
        <w:numPr>
          <w:ilvl w:val="0"/>
          <w:numId w:val="0"/>
        </w:numPr>
        <w:shd w:val="clear"/>
        <w:tabs>
          <w:tab w:val="left" w:pos="210"/>
          <w:tab w:val="left" w:pos="840"/>
          <w:tab w:val="left" w:pos="1260"/>
        </w:tabs>
        <w:kinsoku/>
        <w:wordWrap/>
        <w:overflowPunct/>
        <w:topLinePunct w:val="0"/>
        <w:autoSpaceDE/>
        <w:autoSpaceDN/>
        <w:bidi w:val="0"/>
        <w:adjustRightInd/>
        <w:snapToGrid/>
        <w:spacing w:after="0" w:line="440" w:lineRule="exact"/>
        <w:ind w:leftChars="200" w:firstLine="480" w:firstLineChars="200"/>
        <w:textAlignment w:val="auto"/>
        <w:outlineLvl w:val="9"/>
        <w:rPr>
          <w:rFonts w:hint="eastAsia" w:ascii="宋体" w:hAnsi="宋体" w:eastAsia="宋体" w:cs="Times New Roman"/>
          <w:bCs/>
          <w:color w:val="auto"/>
          <w:kern w:val="2"/>
          <w:sz w:val="24"/>
          <w:szCs w:val="24"/>
          <w:highlight w:val="none"/>
          <w:u w:val="single"/>
          <w:lang w:val="en-US" w:eastAsia="zh-CN" w:bidi="ar-SA"/>
        </w:rPr>
      </w:pPr>
      <w:r>
        <w:rPr>
          <w:rFonts w:hint="eastAsia" w:ascii="宋体" w:hAnsi="宋体" w:eastAsia="宋体" w:cs="Times New Roman"/>
          <w:bCs/>
          <w:color w:val="auto"/>
          <w:kern w:val="2"/>
          <w:sz w:val="24"/>
          <w:szCs w:val="24"/>
          <w:highlight w:val="none"/>
          <w:u w:val="single"/>
          <w:lang w:val="en-US" w:eastAsia="zh-CN" w:bidi="ar-SA"/>
        </w:rPr>
        <w:t>应急排查及抢修费（按实结算部分）： 该部分费用依据实际发生并经甲方现场签认的抢修排查工单、工程量签证单，按实审计结算。原则上每季度（或养护期结束时）由乙方汇总申报，经甲方及相关关审计部门审定后据实予以支付。</w:t>
      </w:r>
    </w:p>
    <w:p>
      <w:pPr>
        <w:keepNext w:val="0"/>
        <w:keepLines w:val="0"/>
        <w:pageBreakBefore w:val="0"/>
        <w:widowControl w:val="0"/>
        <w:numPr>
          <w:ilvl w:val="0"/>
          <w:numId w:val="0"/>
        </w:numPr>
        <w:shd w:val="clear"/>
        <w:tabs>
          <w:tab w:val="left" w:pos="210"/>
          <w:tab w:val="left" w:pos="840"/>
          <w:tab w:val="left" w:pos="1260"/>
        </w:tabs>
        <w:kinsoku/>
        <w:wordWrap/>
        <w:overflowPunct/>
        <w:topLinePunct w:val="0"/>
        <w:autoSpaceDE/>
        <w:autoSpaceDN/>
        <w:bidi w:val="0"/>
        <w:adjustRightInd/>
        <w:snapToGrid/>
        <w:spacing w:after="0" w:line="440" w:lineRule="exact"/>
        <w:ind w:leftChars="200" w:firstLine="480" w:firstLineChars="200"/>
        <w:textAlignment w:val="auto"/>
        <w:outlineLvl w:val="9"/>
        <w:rPr>
          <w:rFonts w:hint="eastAsia" w:ascii="宋体" w:hAnsi="宋体" w:eastAsia="宋体" w:cs="Times New Roman"/>
          <w:bCs/>
          <w:color w:val="auto"/>
          <w:kern w:val="2"/>
          <w:sz w:val="24"/>
          <w:szCs w:val="24"/>
          <w:highlight w:val="none"/>
          <w:u w:val="single"/>
          <w:lang w:val="en-US" w:eastAsia="zh-CN" w:bidi="ar-SA"/>
        </w:rPr>
      </w:pPr>
      <w:r>
        <w:rPr>
          <w:rFonts w:hint="eastAsia" w:ascii="宋体" w:hAnsi="宋体" w:eastAsia="宋体" w:cs="Times New Roman"/>
          <w:bCs/>
          <w:color w:val="auto"/>
          <w:kern w:val="2"/>
          <w:sz w:val="24"/>
          <w:szCs w:val="24"/>
          <w:highlight w:val="none"/>
          <w:u w:val="single"/>
          <w:lang w:val="en-US" w:eastAsia="zh-CN" w:bidi="ar-SA"/>
        </w:rPr>
        <w:t>每次付款前，乙方需向甲方提供符合财务要求的等额增值税专用发票。</w:t>
      </w:r>
    </w:p>
    <w:p>
      <w:pPr>
        <w:numPr>
          <w:ilvl w:val="0"/>
          <w:numId w:val="0"/>
        </w:numPr>
        <w:shd w:val="clear"/>
        <w:tabs>
          <w:tab w:val="left" w:pos="210"/>
          <w:tab w:val="left" w:pos="840"/>
          <w:tab w:val="left" w:pos="1260"/>
        </w:tabs>
        <w:spacing w:after="0" w:line="440" w:lineRule="exact"/>
        <w:outlineLvl w:val="9"/>
        <w:rPr>
          <w:rFonts w:hint="default" w:ascii="宋体" w:hAnsi="Times New Roman" w:eastAsia="宋体" w:cs="Times New Roman"/>
          <w:bCs/>
          <w:color w:val="auto"/>
          <w:kern w:val="2"/>
          <w:sz w:val="24"/>
          <w:szCs w:val="24"/>
          <w:highlight w:val="none"/>
          <w:lang w:val="en-US" w:bidi="ar-SA"/>
        </w:rPr>
      </w:pPr>
    </w:p>
    <w:p>
      <w:pPr>
        <w:numPr>
          <w:ilvl w:val="0"/>
          <w:numId w:val="20"/>
        </w:numPr>
        <w:shd w:val="clear"/>
        <w:tabs>
          <w:tab w:val="left" w:pos="210"/>
          <w:tab w:val="left" w:pos="840"/>
          <w:tab w:val="left" w:pos="1260"/>
        </w:tabs>
        <w:spacing w:after="0" w:line="440" w:lineRule="exact"/>
        <w:ind w:left="0" w:firstLine="523" w:firstLineChars="218"/>
        <w:outlineLvl w:val="9"/>
        <w:rPr>
          <w:rFonts w:hint="default" w:ascii="宋体" w:hAnsi="Times New Roman"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售后服务：</w:t>
      </w:r>
      <w:r>
        <w:rPr>
          <w:rFonts w:hint="default" w:ascii="宋体" w:hAnsi="宋体" w:eastAsia="宋体" w:cs="Times New Roman"/>
          <w:color w:val="auto"/>
          <w:kern w:val="2"/>
          <w:sz w:val="24"/>
          <w:szCs w:val="24"/>
          <w:highlight w:val="none"/>
          <w:u w:val="single"/>
          <w:lang w:val="en-US" w:bidi="ar-SA"/>
        </w:rPr>
        <w:t>见合同条款</w:t>
      </w:r>
      <w:r>
        <w:rPr>
          <w:rFonts w:hint="default" w:ascii="宋体" w:hAnsi="宋体" w:eastAsia="宋体" w:cs="Times New Roman"/>
          <w:bCs/>
          <w:color w:val="auto"/>
          <w:kern w:val="2"/>
          <w:sz w:val="24"/>
          <w:szCs w:val="24"/>
          <w:highlight w:val="none"/>
          <w:u w:val="single"/>
          <w:lang w:val="en-US" w:bidi="ar-SA"/>
        </w:rPr>
        <w:t xml:space="preserve">                                                             </w:t>
      </w:r>
    </w:p>
    <w:p>
      <w:pPr>
        <w:numPr>
          <w:ilvl w:val="0"/>
          <w:numId w:val="20"/>
        </w:numPr>
        <w:shd w:val="clear"/>
        <w:tabs>
          <w:tab w:val="left" w:pos="210"/>
          <w:tab w:val="left" w:pos="840"/>
          <w:tab w:val="left" w:pos="1260"/>
        </w:tabs>
        <w:spacing w:after="0" w:line="440" w:lineRule="exact"/>
        <w:ind w:left="0" w:firstLine="523" w:firstLineChars="218"/>
        <w:outlineLvl w:val="9"/>
        <w:rPr>
          <w:rFonts w:hint="default" w:ascii="宋体" w:hAnsi="Times New Roman"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违约责任：</w:t>
      </w:r>
      <w:r>
        <w:rPr>
          <w:rFonts w:hint="default" w:ascii="宋体" w:hAnsi="宋体" w:eastAsia="宋体" w:cs="Times New Roman"/>
          <w:color w:val="auto"/>
          <w:kern w:val="2"/>
          <w:sz w:val="24"/>
          <w:szCs w:val="24"/>
          <w:highlight w:val="none"/>
          <w:u w:val="single"/>
          <w:lang w:val="en-US" w:bidi="ar-SA"/>
        </w:rPr>
        <w:t>见合同条款</w:t>
      </w:r>
      <w:r>
        <w:rPr>
          <w:rFonts w:hint="default" w:ascii="宋体" w:hAnsi="宋体" w:eastAsia="宋体" w:cs="Times New Roman"/>
          <w:bCs/>
          <w:color w:val="auto"/>
          <w:kern w:val="2"/>
          <w:sz w:val="24"/>
          <w:szCs w:val="24"/>
          <w:highlight w:val="none"/>
          <w:u w:val="single"/>
          <w:lang w:val="en-US" w:bidi="ar-SA"/>
        </w:rPr>
        <w:t xml:space="preserve">                                                             </w:t>
      </w:r>
    </w:p>
    <w:p>
      <w:pPr>
        <w:numPr>
          <w:ilvl w:val="0"/>
          <w:numId w:val="20"/>
        </w:numPr>
        <w:shd w:val="clear"/>
        <w:tabs>
          <w:tab w:val="left" w:pos="210"/>
          <w:tab w:val="left" w:pos="840"/>
          <w:tab w:val="left" w:pos="1260"/>
        </w:tabs>
        <w:spacing w:after="0" w:line="440" w:lineRule="exact"/>
        <w:ind w:left="0" w:firstLine="523" w:firstLineChars="218"/>
        <w:outlineLvl w:val="9"/>
        <w:rPr>
          <w:rFonts w:hint="default" w:ascii="宋体" w:hAnsi="Times New Roman" w:eastAsia="宋体" w:cs="Times New Roman"/>
          <w:bCs/>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解决争议的方式：</w:t>
      </w:r>
      <w:r>
        <w:rPr>
          <w:rFonts w:hint="default" w:ascii="宋体" w:hAnsi="宋体" w:eastAsia="宋体" w:cs="Times New Roman"/>
          <w:color w:val="auto"/>
          <w:kern w:val="2"/>
          <w:sz w:val="24"/>
          <w:szCs w:val="24"/>
          <w:highlight w:val="none"/>
          <w:u w:val="single"/>
          <w:lang w:val="en-US" w:bidi="ar-SA"/>
        </w:rPr>
        <w:t xml:space="preserve">见合同条款                                                      </w:t>
      </w:r>
    </w:p>
    <w:p>
      <w:pPr>
        <w:numPr>
          <w:ilvl w:val="0"/>
          <w:numId w:val="20"/>
        </w:numPr>
        <w:shd w:val="clear"/>
        <w:tabs>
          <w:tab w:val="left" w:pos="210"/>
          <w:tab w:val="left" w:pos="840"/>
          <w:tab w:val="left" w:pos="1260"/>
        </w:tabs>
        <w:spacing w:after="0" w:line="440" w:lineRule="exact"/>
        <w:ind w:left="0" w:firstLine="523" w:firstLineChars="218"/>
        <w:outlineLvl w:val="9"/>
        <w:rPr>
          <w:rFonts w:hint="default" w:ascii="宋体" w:hAnsi="Times New Roman"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其它事项：</w:t>
      </w:r>
      <w:r>
        <w:rPr>
          <w:rFonts w:hint="eastAsia" w:ascii="宋体" w:hAnsi="宋体" w:eastAsia="宋体" w:cs="Times New Roman"/>
          <w:bCs/>
          <w:color w:val="auto"/>
          <w:kern w:val="2"/>
          <w:sz w:val="24"/>
          <w:szCs w:val="24"/>
          <w:highlight w:val="none"/>
          <w:u w:val="single"/>
          <w:lang w:val="en-US" w:bidi="ar-SA"/>
        </w:rPr>
        <w:t xml:space="preserve"> </w:t>
      </w:r>
      <w:r>
        <w:rPr>
          <w:rFonts w:hint="default" w:ascii="宋体" w:hAnsi="宋体" w:eastAsia="宋体" w:cs="Times New Roman"/>
          <w:bCs/>
          <w:color w:val="auto"/>
          <w:kern w:val="2"/>
          <w:sz w:val="24"/>
          <w:szCs w:val="24"/>
          <w:highlight w:val="none"/>
          <w:u w:val="single"/>
          <w:lang w:val="en-US" w:bidi="ar-SA"/>
        </w:rPr>
        <w:t xml:space="preserve">                                                            </w:t>
      </w:r>
    </w:p>
    <w:p>
      <w:pPr>
        <w:numPr>
          <w:ilvl w:val="0"/>
          <w:numId w:val="20"/>
        </w:numPr>
        <w:shd w:val="clear"/>
        <w:tabs>
          <w:tab w:val="left" w:pos="210"/>
          <w:tab w:val="left" w:pos="840"/>
          <w:tab w:val="left" w:pos="1260"/>
        </w:tabs>
        <w:spacing w:after="0" w:line="440" w:lineRule="exact"/>
        <w:ind w:left="0" w:firstLine="523" w:firstLineChars="218"/>
        <w:outlineLvl w:val="9"/>
        <w:rPr>
          <w:rFonts w:hint="default" w:ascii="宋体" w:hAnsi="Times New Roman"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合同不可分割部分：</w:t>
      </w:r>
    </w:p>
    <w:p>
      <w:pPr>
        <w:shd w:val="clear"/>
        <w:tabs>
          <w:tab w:val="left" w:pos="210"/>
          <w:tab w:val="left" w:pos="420"/>
          <w:tab w:val="left" w:pos="1155"/>
        </w:tabs>
        <w:spacing w:after="0" w:line="440" w:lineRule="exact"/>
        <w:ind w:firstLine="480" w:firstLineChars="200"/>
        <w:outlineLvl w:val="9"/>
        <w:rPr>
          <w:rFonts w:hint="default" w:ascii="宋体" w:hAnsi="Times New Roman"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eastAsia="zh-CN" w:bidi="ar-SA"/>
        </w:rPr>
        <w:t>招标文件</w:t>
      </w:r>
      <w:r>
        <w:rPr>
          <w:rFonts w:hint="eastAsia" w:ascii="宋体" w:hAnsi="宋体" w:eastAsia="宋体" w:cs="Times New Roman"/>
          <w:bCs/>
          <w:color w:val="auto"/>
          <w:kern w:val="2"/>
          <w:sz w:val="24"/>
          <w:szCs w:val="24"/>
          <w:highlight w:val="none"/>
          <w:lang w:val="en-US" w:bidi="ar-SA"/>
        </w:rPr>
        <w:t>、</w:t>
      </w:r>
      <w:r>
        <w:rPr>
          <w:rFonts w:hint="eastAsia" w:ascii="宋体" w:hAnsi="宋体" w:eastAsia="宋体" w:cs="Times New Roman"/>
          <w:bCs/>
          <w:color w:val="auto"/>
          <w:kern w:val="2"/>
          <w:sz w:val="24"/>
          <w:szCs w:val="24"/>
          <w:highlight w:val="none"/>
          <w:lang w:val="en-US" w:eastAsia="zh-CN" w:bidi="ar-SA"/>
        </w:rPr>
        <w:t>投标文件</w:t>
      </w:r>
      <w:r>
        <w:rPr>
          <w:rFonts w:hint="eastAsia" w:ascii="宋体" w:hAnsi="宋体" w:eastAsia="宋体" w:cs="Times New Roman"/>
          <w:bCs/>
          <w:color w:val="auto"/>
          <w:kern w:val="2"/>
          <w:sz w:val="24"/>
          <w:szCs w:val="24"/>
          <w:highlight w:val="none"/>
          <w:lang w:val="en-US" w:bidi="ar-SA"/>
        </w:rPr>
        <w:t>、合同条款及</w:t>
      </w:r>
      <w:r>
        <w:rPr>
          <w:rFonts w:hint="eastAsia" w:ascii="宋体" w:hAnsi="宋体" w:eastAsia="宋体" w:cs="Times New Roman"/>
          <w:bCs/>
          <w:color w:val="auto"/>
          <w:kern w:val="2"/>
          <w:sz w:val="24"/>
          <w:szCs w:val="24"/>
          <w:highlight w:val="none"/>
          <w:lang w:val="en-US" w:eastAsia="zh-CN" w:bidi="ar-SA"/>
        </w:rPr>
        <w:t>中标通知书</w:t>
      </w:r>
      <w:r>
        <w:rPr>
          <w:rFonts w:hint="eastAsia" w:ascii="宋体" w:hAnsi="宋体" w:eastAsia="宋体" w:cs="Times New Roman"/>
          <w:bCs/>
          <w:color w:val="auto"/>
          <w:kern w:val="2"/>
          <w:sz w:val="24"/>
          <w:szCs w:val="24"/>
          <w:highlight w:val="none"/>
          <w:lang w:val="en-US" w:bidi="ar-SA"/>
        </w:rPr>
        <w:t>，乙方在投标、评标过程中所作其它有关承诺、声明、书面澄清等均为合同不可分割的部分，与主合同具有同等法律效力。</w:t>
      </w:r>
    </w:p>
    <w:p>
      <w:pPr>
        <w:numPr>
          <w:ilvl w:val="0"/>
          <w:numId w:val="20"/>
        </w:numPr>
        <w:shd w:val="clear"/>
        <w:tabs>
          <w:tab w:val="left" w:pos="210"/>
          <w:tab w:val="left" w:pos="840"/>
          <w:tab w:val="left" w:pos="1155"/>
        </w:tabs>
        <w:spacing w:after="0" w:line="440" w:lineRule="exact"/>
        <w:ind w:left="0" w:firstLine="523" w:firstLineChars="218"/>
        <w:outlineLvl w:val="9"/>
        <w:rPr>
          <w:rFonts w:hint="default" w:ascii="宋体" w:hAnsi="Times New Roman"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合同备案：</w:t>
      </w:r>
    </w:p>
    <w:p>
      <w:pPr>
        <w:shd w:val="clear"/>
        <w:tabs>
          <w:tab w:val="left" w:pos="210"/>
          <w:tab w:val="left" w:pos="735"/>
          <w:tab w:val="left" w:pos="1155"/>
        </w:tabs>
        <w:spacing w:after="0" w:line="440" w:lineRule="exact"/>
        <w:ind w:firstLine="480" w:firstLineChars="200"/>
        <w:outlineLvl w:val="9"/>
        <w:rPr>
          <w:rFonts w:hint="default" w:ascii="宋体" w:hAnsi="Times New Roman"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合同一式五份，供需双方各执两份，代理方执一份。</w:t>
      </w:r>
    </w:p>
    <w:p>
      <w:pPr>
        <w:numPr>
          <w:ilvl w:val="0"/>
          <w:numId w:val="20"/>
        </w:numPr>
        <w:shd w:val="clear"/>
        <w:tabs>
          <w:tab w:val="left" w:pos="210"/>
          <w:tab w:val="left" w:pos="840"/>
          <w:tab w:val="left" w:pos="1155"/>
        </w:tabs>
        <w:spacing w:after="0" w:line="440" w:lineRule="exact"/>
        <w:ind w:left="0" w:firstLine="523" w:firstLineChars="218"/>
        <w:outlineLvl w:val="9"/>
        <w:rPr>
          <w:rFonts w:hint="default" w:ascii="宋体" w:hAnsi="Times New Roman"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合同生效：</w:t>
      </w:r>
    </w:p>
    <w:p>
      <w:pPr>
        <w:shd w:val="clear"/>
        <w:tabs>
          <w:tab w:val="left" w:pos="210"/>
          <w:tab w:val="left" w:pos="840"/>
          <w:tab w:val="left" w:pos="1155"/>
        </w:tabs>
        <w:spacing w:after="0" w:line="440" w:lineRule="exact"/>
        <w:ind w:firstLine="480" w:firstLineChars="200"/>
        <w:outlineLvl w:val="9"/>
        <w:rPr>
          <w:rFonts w:hint="default" w:ascii="宋体" w:hAnsi="Times New Roman"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本合同由供需双方签字、盖章，并经代理机构见证后生效。</w:t>
      </w:r>
    </w:p>
    <w:p>
      <w:pPr>
        <w:shd w:val="clear"/>
        <w:spacing w:after="0" w:line="440" w:lineRule="exact"/>
        <w:outlineLvl w:val="9"/>
        <w:rPr>
          <w:rFonts w:hint="default" w:ascii="宋体" w:hAnsi="Times New Roman" w:eastAsia="宋体" w:cs="Times New Roman"/>
          <w:bCs/>
          <w:color w:val="auto"/>
          <w:kern w:val="2"/>
          <w:sz w:val="24"/>
          <w:szCs w:val="24"/>
          <w:highlight w:val="none"/>
          <w:u w:val="single"/>
          <w:lang w:val="en-US" w:bidi="ar-SA"/>
        </w:rPr>
      </w:pPr>
      <w:r>
        <w:rPr>
          <w:rFonts w:hint="eastAsia" w:ascii="宋体" w:hAnsi="宋体" w:eastAsia="宋体" w:cs="Times New Roman"/>
          <w:bCs/>
          <w:color w:val="auto"/>
          <w:kern w:val="2"/>
          <w:sz w:val="24"/>
          <w:szCs w:val="24"/>
          <w:highlight w:val="none"/>
          <w:lang w:val="en-US" w:bidi="ar-SA"/>
        </w:rPr>
        <w:t>甲方（采购人）：</w:t>
      </w:r>
      <w:r>
        <w:rPr>
          <w:rFonts w:hint="default" w:ascii="宋体" w:hAnsi="宋体" w:eastAsia="宋体" w:cs="Times New Roman"/>
          <w:bCs/>
          <w:color w:val="auto"/>
          <w:kern w:val="2"/>
          <w:sz w:val="24"/>
          <w:szCs w:val="24"/>
          <w:highlight w:val="none"/>
          <w:u w:val="single"/>
          <w:lang w:val="en-US" w:bidi="ar-SA"/>
        </w:rPr>
        <w:t xml:space="preserve">                </w:t>
      </w:r>
      <w:r>
        <w:rPr>
          <w:rFonts w:hint="eastAsia" w:ascii="宋体" w:hAnsi="宋体" w:eastAsia="宋体" w:cs="Times New Roman"/>
          <w:bCs/>
          <w:color w:val="auto"/>
          <w:kern w:val="2"/>
          <w:sz w:val="24"/>
          <w:szCs w:val="24"/>
          <w:highlight w:val="none"/>
          <w:lang w:val="en-US" w:bidi="ar-SA"/>
        </w:rPr>
        <w:t>（盖章）</w:t>
      </w:r>
      <w:r>
        <w:rPr>
          <w:rFonts w:hint="default" w:ascii="宋体" w:hAnsi="宋体" w:eastAsia="宋体" w:cs="Times New Roman"/>
          <w:bCs/>
          <w:color w:val="auto"/>
          <w:kern w:val="2"/>
          <w:sz w:val="24"/>
          <w:szCs w:val="24"/>
          <w:highlight w:val="none"/>
          <w:lang w:val="en-US" w:bidi="ar-SA"/>
        </w:rPr>
        <w:t xml:space="preserve">   </w:t>
      </w:r>
      <w:r>
        <w:rPr>
          <w:rFonts w:hint="eastAsia" w:ascii="宋体" w:hAnsi="宋体" w:eastAsia="宋体" w:cs="Times New Roman"/>
          <w:bCs/>
          <w:color w:val="auto"/>
          <w:kern w:val="2"/>
          <w:sz w:val="24"/>
          <w:szCs w:val="24"/>
          <w:highlight w:val="none"/>
          <w:lang w:val="en-US" w:bidi="ar-SA"/>
        </w:rPr>
        <w:t>乙方（中标方）：</w:t>
      </w:r>
      <w:r>
        <w:rPr>
          <w:rFonts w:hint="default" w:ascii="宋体" w:hAnsi="宋体" w:eastAsia="宋体" w:cs="Times New Roman"/>
          <w:bCs/>
          <w:color w:val="auto"/>
          <w:kern w:val="2"/>
          <w:sz w:val="24"/>
          <w:szCs w:val="24"/>
          <w:highlight w:val="none"/>
          <w:u w:val="single"/>
          <w:lang w:val="en-US" w:bidi="ar-SA"/>
        </w:rPr>
        <w:t xml:space="preserve">                </w:t>
      </w:r>
      <w:r>
        <w:rPr>
          <w:rFonts w:hint="eastAsia" w:ascii="宋体" w:hAnsi="宋体" w:eastAsia="宋体" w:cs="Times New Roman"/>
          <w:bCs/>
          <w:color w:val="auto"/>
          <w:kern w:val="2"/>
          <w:sz w:val="24"/>
          <w:szCs w:val="24"/>
          <w:highlight w:val="none"/>
          <w:lang w:val="en-US" w:bidi="ar-SA"/>
        </w:rPr>
        <w:t>（盖章）</w:t>
      </w:r>
    </w:p>
    <w:p>
      <w:pPr>
        <w:shd w:val="clear"/>
        <w:spacing w:after="0" w:line="440" w:lineRule="exact"/>
        <w:outlineLvl w:val="9"/>
        <w:rPr>
          <w:rFonts w:hint="default" w:ascii="宋体" w:hAnsi="Times New Roman" w:eastAsia="宋体" w:cs="Times New Roman"/>
          <w:bCs/>
          <w:color w:val="auto"/>
          <w:kern w:val="2"/>
          <w:sz w:val="24"/>
          <w:szCs w:val="24"/>
          <w:highlight w:val="none"/>
          <w:u w:val="single"/>
          <w:lang w:val="en-US" w:bidi="ar-SA"/>
        </w:rPr>
      </w:pPr>
      <w:r>
        <w:rPr>
          <w:rFonts w:hint="eastAsia" w:ascii="宋体" w:hAnsi="宋体" w:eastAsia="宋体" w:cs="Times New Roman"/>
          <w:bCs/>
          <w:color w:val="auto"/>
          <w:kern w:val="2"/>
          <w:sz w:val="24"/>
          <w:szCs w:val="24"/>
          <w:highlight w:val="none"/>
          <w:lang w:val="en-US" w:bidi="ar-SA"/>
        </w:rPr>
        <w:t>法定（授权）代表人：</w:t>
      </w:r>
      <w:r>
        <w:rPr>
          <w:rFonts w:hint="default" w:ascii="宋体" w:hAnsi="宋体" w:eastAsia="宋体" w:cs="Times New Roman"/>
          <w:bCs/>
          <w:color w:val="auto"/>
          <w:kern w:val="2"/>
          <w:sz w:val="24"/>
          <w:szCs w:val="24"/>
          <w:highlight w:val="none"/>
          <w:u w:val="single"/>
          <w:lang w:val="en-US" w:bidi="ar-SA"/>
        </w:rPr>
        <w:t xml:space="preserve">                  </w:t>
      </w:r>
      <w:r>
        <w:rPr>
          <w:rFonts w:hint="default" w:ascii="宋体" w:hAnsi="宋体" w:eastAsia="宋体" w:cs="Times New Roman"/>
          <w:bCs/>
          <w:color w:val="auto"/>
          <w:kern w:val="2"/>
          <w:sz w:val="24"/>
          <w:szCs w:val="24"/>
          <w:highlight w:val="none"/>
          <w:lang w:val="en-US" w:bidi="ar-SA"/>
        </w:rPr>
        <w:t xml:space="preserve">    </w:t>
      </w:r>
      <w:r>
        <w:rPr>
          <w:rFonts w:hint="eastAsia" w:ascii="宋体" w:hAnsi="宋体" w:eastAsia="宋体" w:cs="Times New Roman"/>
          <w:bCs/>
          <w:color w:val="auto"/>
          <w:kern w:val="2"/>
          <w:sz w:val="24"/>
          <w:szCs w:val="24"/>
          <w:highlight w:val="none"/>
          <w:lang w:val="en-US" w:bidi="ar-SA"/>
        </w:rPr>
        <w:t>法定（授权）代表人：</w:t>
      </w:r>
      <w:r>
        <w:rPr>
          <w:rFonts w:hint="default" w:ascii="宋体" w:hAnsi="宋体" w:eastAsia="宋体" w:cs="Times New Roman"/>
          <w:bCs/>
          <w:color w:val="auto"/>
          <w:kern w:val="2"/>
          <w:sz w:val="24"/>
          <w:szCs w:val="24"/>
          <w:highlight w:val="none"/>
          <w:u w:val="single"/>
          <w:lang w:val="en-US" w:bidi="ar-SA"/>
        </w:rPr>
        <w:t xml:space="preserve">                   </w:t>
      </w:r>
    </w:p>
    <w:p>
      <w:pPr>
        <w:shd w:val="clear"/>
        <w:spacing w:after="0" w:line="440" w:lineRule="exact"/>
        <w:ind w:firstLine="1440" w:firstLineChars="600"/>
        <w:outlineLvl w:val="9"/>
        <w:rPr>
          <w:rFonts w:hint="default" w:ascii="宋体" w:hAnsi="宋体" w:eastAsia="宋体" w:cs="Times New Roman"/>
          <w:bCs/>
          <w:color w:val="auto"/>
          <w:kern w:val="2"/>
          <w:sz w:val="24"/>
          <w:szCs w:val="24"/>
          <w:highlight w:val="none"/>
          <w:u w:val="single"/>
          <w:lang w:val="en-US" w:bidi="ar-SA"/>
        </w:rPr>
      </w:pPr>
      <w:r>
        <w:rPr>
          <w:rFonts w:hint="default" w:ascii="宋体" w:hAnsi="宋体" w:eastAsia="宋体" w:cs="Times New Roman"/>
          <w:bCs/>
          <w:color w:val="auto"/>
          <w:kern w:val="2"/>
          <w:sz w:val="24"/>
          <w:szCs w:val="24"/>
          <w:highlight w:val="none"/>
          <w:u w:val="single"/>
          <w:lang w:val="en-US" w:bidi="ar-SA"/>
        </w:rPr>
        <w:t xml:space="preserve">        </w:t>
      </w:r>
      <w:r>
        <w:rPr>
          <w:rFonts w:hint="eastAsia" w:ascii="宋体" w:hAnsi="宋体" w:eastAsia="宋体" w:cs="Times New Roman"/>
          <w:bCs/>
          <w:color w:val="auto"/>
          <w:kern w:val="2"/>
          <w:sz w:val="24"/>
          <w:szCs w:val="24"/>
          <w:highlight w:val="none"/>
          <w:lang w:val="en-US" w:bidi="ar-SA"/>
        </w:rPr>
        <w:t>年</w:t>
      </w:r>
      <w:r>
        <w:rPr>
          <w:rFonts w:hint="default" w:ascii="宋体" w:hAnsi="宋体" w:eastAsia="宋体" w:cs="Times New Roman"/>
          <w:bCs/>
          <w:color w:val="auto"/>
          <w:kern w:val="2"/>
          <w:sz w:val="24"/>
          <w:szCs w:val="24"/>
          <w:highlight w:val="none"/>
          <w:u w:val="single"/>
          <w:lang w:val="en-US" w:bidi="ar-SA"/>
        </w:rPr>
        <w:t xml:space="preserve">      </w:t>
      </w:r>
      <w:r>
        <w:rPr>
          <w:rFonts w:hint="eastAsia" w:ascii="宋体" w:hAnsi="宋体" w:eastAsia="宋体" w:cs="Times New Roman"/>
          <w:bCs/>
          <w:color w:val="auto"/>
          <w:kern w:val="2"/>
          <w:sz w:val="24"/>
          <w:szCs w:val="24"/>
          <w:highlight w:val="none"/>
          <w:lang w:val="en-US" w:bidi="ar-SA"/>
        </w:rPr>
        <w:t>月</w:t>
      </w:r>
      <w:r>
        <w:rPr>
          <w:rFonts w:hint="default" w:ascii="宋体" w:hAnsi="宋体" w:eastAsia="宋体" w:cs="Times New Roman"/>
          <w:bCs/>
          <w:color w:val="auto"/>
          <w:kern w:val="2"/>
          <w:sz w:val="24"/>
          <w:szCs w:val="24"/>
          <w:highlight w:val="none"/>
          <w:u w:val="single"/>
          <w:lang w:val="en-US" w:bidi="ar-SA"/>
        </w:rPr>
        <w:t xml:space="preserve">       </w:t>
      </w:r>
      <w:r>
        <w:rPr>
          <w:rFonts w:hint="eastAsia" w:ascii="宋体" w:hAnsi="宋体" w:eastAsia="宋体" w:cs="Times New Roman"/>
          <w:bCs/>
          <w:color w:val="auto"/>
          <w:kern w:val="2"/>
          <w:sz w:val="24"/>
          <w:szCs w:val="24"/>
          <w:highlight w:val="none"/>
          <w:lang w:val="en-US" w:bidi="ar-SA"/>
        </w:rPr>
        <w:t>日</w:t>
      </w:r>
      <w:r>
        <w:rPr>
          <w:rFonts w:hint="default" w:ascii="宋体" w:hAnsi="宋体" w:eastAsia="宋体" w:cs="Times New Roman"/>
          <w:bCs/>
          <w:color w:val="auto"/>
          <w:kern w:val="2"/>
          <w:sz w:val="24"/>
          <w:szCs w:val="24"/>
          <w:highlight w:val="none"/>
          <w:lang w:val="en-US" w:bidi="ar-SA"/>
        </w:rPr>
        <w:t xml:space="preserve">               </w:t>
      </w:r>
      <w:r>
        <w:rPr>
          <w:rFonts w:hint="default" w:ascii="宋体" w:hAnsi="宋体" w:eastAsia="宋体" w:cs="Times New Roman"/>
          <w:bCs/>
          <w:color w:val="auto"/>
          <w:kern w:val="2"/>
          <w:sz w:val="24"/>
          <w:szCs w:val="24"/>
          <w:highlight w:val="none"/>
          <w:u w:val="single"/>
          <w:lang w:val="en-US" w:bidi="ar-SA"/>
        </w:rPr>
        <w:t xml:space="preserve">        </w:t>
      </w:r>
      <w:r>
        <w:rPr>
          <w:rFonts w:hint="eastAsia" w:ascii="宋体" w:hAnsi="宋体" w:eastAsia="宋体" w:cs="Times New Roman"/>
          <w:bCs/>
          <w:color w:val="auto"/>
          <w:kern w:val="2"/>
          <w:sz w:val="24"/>
          <w:szCs w:val="24"/>
          <w:highlight w:val="none"/>
          <w:lang w:val="en-US" w:bidi="ar-SA"/>
        </w:rPr>
        <w:t>年</w:t>
      </w:r>
      <w:r>
        <w:rPr>
          <w:rFonts w:hint="default" w:ascii="宋体" w:hAnsi="宋体" w:eastAsia="宋体" w:cs="Times New Roman"/>
          <w:bCs/>
          <w:color w:val="auto"/>
          <w:kern w:val="2"/>
          <w:sz w:val="24"/>
          <w:szCs w:val="24"/>
          <w:highlight w:val="none"/>
          <w:u w:val="single"/>
          <w:lang w:val="en-US" w:bidi="ar-SA"/>
        </w:rPr>
        <w:t xml:space="preserve">      </w:t>
      </w:r>
      <w:r>
        <w:rPr>
          <w:rFonts w:hint="eastAsia" w:ascii="宋体" w:hAnsi="宋体" w:eastAsia="宋体" w:cs="Times New Roman"/>
          <w:bCs/>
          <w:color w:val="auto"/>
          <w:kern w:val="2"/>
          <w:sz w:val="24"/>
          <w:szCs w:val="24"/>
          <w:highlight w:val="none"/>
          <w:lang w:val="en-US" w:bidi="ar-SA"/>
        </w:rPr>
        <w:t>月</w:t>
      </w:r>
      <w:r>
        <w:rPr>
          <w:rFonts w:hint="default" w:ascii="宋体" w:hAnsi="宋体" w:eastAsia="宋体" w:cs="Times New Roman"/>
          <w:bCs/>
          <w:color w:val="auto"/>
          <w:kern w:val="2"/>
          <w:sz w:val="24"/>
          <w:szCs w:val="24"/>
          <w:highlight w:val="none"/>
          <w:u w:val="single"/>
          <w:lang w:val="en-US" w:bidi="ar-SA"/>
        </w:rPr>
        <w:t xml:space="preserve">       </w:t>
      </w:r>
    </w:p>
    <w:p>
      <w:pPr>
        <w:shd w:val="clear"/>
        <w:spacing w:after="0" w:line="440" w:lineRule="exact"/>
        <w:outlineLvl w:val="9"/>
        <w:rPr>
          <w:rFonts w:hint="default" w:ascii="宋体" w:hAnsi="宋体" w:eastAsia="宋体" w:cs="Times New Roman"/>
          <w:bCs/>
          <w:color w:val="auto"/>
          <w:kern w:val="2"/>
          <w:sz w:val="24"/>
          <w:szCs w:val="24"/>
          <w:highlight w:val="none"/>
          <w:u w:val="single"/>
          <w:lang w:val="en-US" w:bidi="ar-SA"/>
        </w:rPr>
      </w:pPr>
      <w:r>
        <w:rPr>
          <w:rFonts w:hint="eastAsia" w:ascii="宋体" w:hAnsi="宋体" w:eastAsia="宋体" w:cs="Times New Roman"/>
          <w:bCs/>
          <w:color w:val="auto"/>
          <w:kern w:val="2"/>
          <w:sz w:val="24"/>
          <w:szCs w:val="24"/>
          <w:highlight w:val="none"/>
          <w:lang w:val="en-US" w:bidi="ar-SA"/>
        </w:rPr>
        <w:t xml:space="preserve">见证方：（盖章）        </w:t>
      </w:r>
      <w:r>
        <w:rPr>
          <w:rFonts w:hint="default" w:ascii="宋体" w:hAnsi="宋体" w:eastAsia="宋体" w:cs="Times New Roman"/>
          <w:bCs/>
          <w:color w:val="auto"/>
          <w:kern w:val="2"/>
          <w:sz w:val="24"/>
          <w:szCs w:val="24"/>
          <w:highlight w:val="none"/>
          <w:lang w:val="en-US" w:bidi="ar-SA"/>
        </w:rPr>
        <w:t xml:space="preserve">                  </w:t>
      </w:r>
      <w:r>
        <w:rPr>
          <w:rFonts w:hint="eastAsia" w:ascii="宋体" w:hAnsi="宋体" w:eastAsia="宋体" w:cs="Times New Roman"/>
          <w:bCs/>
          <w:color w:val="auto"/>
          <w:kern w:val="2"/>
          <w:sz w:val="24"/>
          <w:szCs w:val="24"/>
          <w:highlight w:val="none"/>
          <w:lang w:val="en-US" w:bidi="ar-SA"/>
        </w:rPr>
        <w:t>乙方户名：</w:t>
      </w:r>
      <w:r>
        <w:rPr>
          <w:rFonts w:hint="eastAsia" w:ascii="宋体" w:hAnsi="宋体" w:eastAsia="宋体" w:cs="Times New Roman"/>
          <w:bCs/>
          <w:color w:val="auto"/>
          <w:kern w:val="2"/>
          <w:sz w:val="24"/>
          <w:szCs w:val="24"/>
          <w:highlight w:val="none"/>
          <w:u w:val="single"/>
          <w:lang w:val="en-US" w:bidi="ar-SA"/>
        </w:rPr>
        <w:t xml:space="preserve">                             </w:t>
      </w:r>
    </w:p>
    <w:p>
      <w:pPr>
        <w:shd w:val="clear"/>
        <w:spacing w:after="0" w:line="440" w:lineRule="exact"/>
        <w:outlineLvl w:val="9"/>
        <w:rPr>
          <w:rFonts w:hint="default" w:ascii="宋体" w:hAnsi="宋体" w:eastAsia="宋体" w:cs="Times New Roman"/>
          <w:bCs/>
          <w:color w:val="auto"/>
          <w:kern w:val="2"/>
          <w:sz w:val="24"/>
          <w:szCs w:val="24"/>
          <w:highlight w:val="none"/>
          <w:u w:val="single"/>
          <w:lang w:val="en-US" w:bidi="ar-SA"/>
        </w:rPr>
      </w:pPr>
      <w:r>
        <w:rPr>
          <w:rFonts w:hint="eastAsia" w:ascii="宋体" w:hAnsi="宋体" w:eastAsia="宋体" w:cs="Times New Roman"/>
          <w:bCs/>
          <w:color w:val="auto"/>
          <w:kern w:val="2"/>
          <w:sz w:val="24"/>
          <w:szCs w:val="24"/>
          <w:highlight w:val="none"/>
          <w:lang w:val="en-US" w:bidi="ar-SA"/>
        </w:rPr>
        <w:t>见证人：</w:t>
      </w:r>
      <w:r>
        <w:rPr>
          <w:rFonts w:hint="eastAsia" w:ascii="宋体" w:hAnsi="宋体" w:eastAsia="宋体" w:cs="Times New Roman"/>
          <w:bCs/>
          <w:color w:val="auto"/>
          <w:kern w:val="2"/>
          <w:sz w:val="24"/>
          <w:szCs w:val="24"/>
          <w:highlight w:val="none"/>
          <w:u w:val="single"/>
          <w:lang w:val="en-US" w:bidi="ar-SA"/>
        </w:rPr>
        <w:t xml:space="preserve">            </w:t>
      </w:r>
      <w:r>
        <w:rPr>
          <w:rFonts w:hint="eastAsia" w:ascii="宋体" w:hAnsi="宋体" w:eastAsia="宋体" w:cs="Times New Roman"/>
          <w:bCs/>
          <w:color w:val="auto"/>
          <w:kern w:val="2"/>
          <w:sz w:val="24"/>
          <w:szCs w:val="24"/>
          <w:highlight w:val="none"/>
          <w:lang w:val="en-US" w:bidi="ar-SA"/>
        </w:rPr>
        <w:t xml:space="preserve">                      乙方开户银行：</w:t>
      </w:r>
      <w:r>
        <w:rPr>
          <w:rFonts w:hint="eastAsia" w:ascii="宋体" w:hAnsi="宋体" w:eastAsia="宋体" w:cs="Times New Roman"/>
          <w:bCs/>
          <w:color w:val="auto"/>
          <w:kern w:val="2"/>
          <w:sz w:val="24"/>
          <w:szCs w:val="24"/>
          <w:highlight w:val="none"/>
          <w:u w:val="single"/>
          <w:lang w:val="en-US" w:bidi="ar-SA"/>
        </w:rPr>
        <w:t xml:space="preserve">                         </w:t>
      </w:r>
    </w:p>
    <w:p>
      <w:pPr>
        <w:shd w:val="clear"/>
        <w:spacing w:after="0" w:line="440" w:lineRule="exact"/>
        <w:outlineLvl w:val="9"/>
        <w:rPr>
          <w:rFonts w:hint="default" w:ascii="宋体" w:hAnsi="宋体" w:eastAsia="宋体" w:cs="Times New Roman"/>
          <w:bCs/>
          <w:color w:val="auto"/>
          <w:kern w:val="2"/>
          <w:sz w:val="24"/>
          <w:szCs w:val="24"/>
          <w:highlight w:val="none"/>
          <w:u w:val="single"/>
          <w:lang w:val="en-US" w:bidi="ar-SA"/>
        </w:rPr>
      </w:pPr>
      <w:r>
        <w:rPr>
          <w:rFonts w:hint="eastAsia" w:ascii="宋体" w:hAnsi="宋体" w:eastAsia="宋体" w:cs="Times New Roman"/>
          <w:bCs/>
          <w:color w:val="auto"/>
          <w:kern w:val="2"/>
          <w:sz w:val="24"/>
          <w:szCs w:val="24"/>
          <w:highlight w:val="none"/>
          <w:lang w:val="en-US" w:bidi="ar-SA"/>
        </w:rPr>
        <w:t xml:space="preserve">            </w:t>
      </w:r>
      <w:r>
        <w:rPr>
          <w:rFonts w:hint="eastAsia" w:ascii="宋体" w:hAnsi="宋体" w:eastAsia="宋体" w:cs="Times New Roman"/>
          <w:bCs/>
          <w:color w:val="auto"/>
          <w:kern w:val="2"/>
          <w:sz w:val="24"/>
          <w:szCs w:val="24"/>
          <w:highlight w:val="none"/>
          <w:u w:val="single"/>
          <w:lang w:val="en-US" w:bidi="ar-SA"/>
        </w:rPr>
        <w:t xml:space="preserve">        </w:t>
      </w:r>
      <w:r>
        <w:rPr>
          <w:rFonts w:hint="eastAsia" w:ascii="宋体" w:hAnsi="宋体" w:eastAsia="宋体" w:cs="Times New Roman"/>
          <w:bCs/>
          <w:color w:val="auto"/>
          <w:kern w:val="2"/>
          <w:sz w:val="24"/>
          <w:szCs w:val="24"/>
          <w:highlight w:val="none"/>
          <w:lang w:val="en-US" w:bidi="ar-SA"/>
        </w:rPr>
        <w:t>年</w:t>
      </w:r>
      <w:r>
        <w:rPr>
          <w:rFonts w:hint="eastAsia" w:ascii="宋体" w:hAnsi="宋体" w:eastAsia="宋体" w:cs="Times New Roman"/>
          <w:bCs/>
          <w:color w:val="auto"/>
          <w:kern w:val="2"/>
          <w:sz w:val="24"/>
          <w:szCs w:val="24"/>
          <w:highlight w:val="none"/>
          <w:u w:val="single"/>
          <w:lang w:val="en-US" w:bidi="ar-SA"/>
        </w:rPr>
        <w:t xml:space="preserve">      </w:t>
      </w:r>
      <w:r>
        <w:rPr>
          <w:rFonts w:hint="eastAsia" w:ascii="宋体" w:hAnsi="宋体" w:eastAsia="宋体" w:cs="Times New Roman"/>
          <w:bCs/>
          <w:color w:val="auto"/>
          <w:kern w:val="2"/>
          <w:sz w:val="24"/>
          <w:szCs w:val="24"/>
          <w:highlight w:val="none"/>
          <w:lang w:val="en-US" w:bidi="ar-SA"/>
        </w:rPr>
        <w:t>月</w:t>
      </w:r>
      <w:r>
        <w:rPr>
          <w:rFonts w:hint="eastAsia" w:ascii="宋体" w:hAnsi="宋体" w:eastAsia="宋体" w:cs="Times New Roman"/>
          <w:bCs/>
          <w:color w:val="auto"/>
          <w:kern w:val="2"/>
          <w:sz w:val="24"/>
          <w:szCs w:val="24"/>
          <w:highlight w:val="none"/>
          <w:u w:val="single"/>
          <w:lang w:val="en-US" w:bidi="ar-SA"/>
        </w:rPr>
        <w:t xml:space="preserve">       </w:t>
      </w:r>
      <w:r>
        <w:rPr>
          <w:rFonts w:hint="eastAsia" w:ascii="宋体" w:hAnsi="宋体" w:eastAsia="宋体" w:cs="Times New Roman"/>
          <w:bCs/>
          <w:color w:val="auto"/>
          <w:kern w:val="2"/>
          <w:sz w:val="24"/>
          <w:szCs w:val="24"/>
          <w:highlight w:val="none"/>
          <w:lang w:val="en-US" w:bidi="ar-SA"/>
        </w:rPr>
        <w:t>日   乙方帐号：</w:t>
      </w:r>
      <w:r>
        <w:rPr>
          <w:rFonts w:hint="eastAsia" w:ascii="宋体" w:hAnsi="宋体" w:eastAsia="宋体" w:cs="Times New Roman"/>
          <w:bCs/>
          <w:color w:val="auto"/>
          <w:kern w:val="2"/>
          <w:sz w:val="24"/>
          <w:szCs w:val="24"/>
          <w:highlight w:val="none"/>
          <w:u w:val="single"/>
          <w:lang w:val="en-US" w:bidi="ar-SA"/>
        </w:rPr>
        <w:t xml:space="preserve">                             </w:t>
      </w:r>
    </w:p>
    <w:p>
      <w:pPr>
        <w:shd w:val="clear"/>
        <w:spacing w:after="0" w:line="240" w:lineRule="auto"/>
        <w:jc w:val="left"/>
        <w:outlineLvl w:val="9"/>
        <w:rPr>
          <w:rFonts w:hint="default" w:ascii="宋体" w:hAnsi="Times New Roman"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w:t>
      </w:r>
      <w:r>
        <w:rPr>
          <w:rFonts w:hint="default" w:ascii="宋体" w:hAnsi="Times New Roman" w:eastAsia="宋体" w:cs="Times New Roman"/>
          <w:bCs/>
          <w:color w:val="auto"/>
          <w:kern w:val="2"/>
          <w:sz w:val="24"/>
          <w:szCs w:val="24"/>
          <w:highlight w:val="none"/>
          <w:lang w:val="en-US" w:bidi="ar-SA"/>
        </w:rPr>
        <w:t>.</w:t>
      </w:r>
      <w:r>
        <w:rPr>
          <w:rFonts w:hint="eastAsia" w:ascii="宋体" w:hAnsi="宋体" w:eastAsia="宋体" w:cs="Times New Roman"/>
          <w:b/>
          <w:bCs/>
          <w:color w:val="auto"/>
          <w:kern w:val="2"/>
          <w:sz w:val="24"/>
          <w:szCs w:val="24"/>
          <w:highlight w:val="none"/>
          <w:lang w:val="en-US" w:bidi="ar-SA"/>
        </w:rPr>
        <w:t>备注：</w:t>
      </w:r>
      <w:r>
        <w:rPr>
          <w:rFonts w:hint="eastAsia" w:ascii="宋体" w:hAnsi="宋体" w:eastAsia="宋体" w:cs="Times New Roman"/>
          <w:bCs/>
          <w:color w:val="auto"/>
          <w:kern w:val="2"/>
          <w:sz w:val="24"/>
          <w:szCs w:val="24"/>
          <w:highlight w:val="none"/>
          <w:lang w:val="en-US" w:bidi="ar-SA"/>
        </w:rPr>
        <w:t>供需双方必须以本格式文本，按照合同条款拟订合同。</w:t>
      </w:r>
    </w:p>
    <w:p>
      <w:pPr>
        <w:shd w:val="clear"/>
        <w:spacing w:after="0" w:line="360" w:lineRule="auto"/>
        <w:jc w:val="center"/>
        <w:outlineLvl w:val="9"/>
        <w:rPr>
          <w:rFonts w:hint="default" w:ascii="黑体" w:hAnsi="Times New Roman" w:eastAsia="黑体" w:cs="Times New Roman"/>
          <w:bCs/>
          <w:color w:val="auto"/>
          <w:kern w:val="2"/>
          <w:sz w:val="28"/>
          <w:szCs w:val="28"/>
          <w:highlight w:val="none"/>
          <w:lang w:val="en-US" w:bidi="ar-SA"/>
        </w:rPr>
      </w:pPr>
      <w:r>
        <w:rPr>
          <w:rFonts w:hint="eastAsia" w:ascii="黑体" w:hAnsi="Times New Roman" w:eastAsia="黑体" w:cs="Times New Roman"/>
          <w:bCs/>
          <w:color w:val="auto"/>
          <w:kern w:val="2"/>
          <w:sz w:val="28"/>
          <w:szCs w:val="28"/>
          <w:highlight w:val="none"/>
          <w:lang w:val="en-US" w:bidi="ar-SA"/>
        </w:rPr>
        <w:br w:type="page"/>
      </w:r>
      <w:r>
        <w:rPr>
          <w:rFonts w:hint="eastAsia" w:ascii="黑体" w:hAnsi="宋体" w:eastAsia="黑体" w:cs="Times New Roman"/>
          <w:b/>
          <w:color w:val="auto"/>
          <w:kern w:val="2"/>
          <w:sz w:val="28"/>
          <w:szCs w:val="28"/>
          <w:highlight w:val="none"/>
          <w:lang w:val="en-US" w:bidi="ar-SA"/>
        </w:rPr>
        <w:t>合同条款（格式）</w:t>
      </w:r>
    </w:p>
    <w:p>
      <w:pPr>
        <w:shd w:val="clear"/>
        <w:spacing w:after="0" w:line="440" w:lineRule="exact"/>
        <w:ind w:firstLine="482" w:firstLineChars="200"/>
        <w:jc w:val="left"/>
        <w:outlineLvl w:val="9"/>
        <w:rPr>
          <w:rFonts w:hint="default" w:ascii="宋体" w:hAnsi="宋体" w:eastAsia="宋体" w:cs="Times New Roman"/>
          <w:b/>
          <w:color w:val="auto"/>
          <w:kern w:val="2"/>
          <w:sz w:val="24"/>
          <w:szCs w:val="24"/>
          <w:highlight w:val="none"/>
          <w:lang w:val="en-US" w:bidi="ar-SA"/>
        </w:rPr>
      </w:pPr>
      <w:r>
        <w:rPr>
          <w:rFonts w:hint="eastAsia" w:ascii="宋体" w:hAnsi="宋体" w:eastAsia="宋体" w:cs="Times New Roman"/>
          <w:b/>
          <w:color w:val="auto"/>
          <w:kern w:val="2"/>
          <w:sz w:val="24"/>
          <w:szCs w:val="24"/>
          <w:highlight w:val="none"/>
          <w:lang w:val="en-US" w:bidi="ar-SA"/>
        </w:rPr>
        <w:t>一、词语涵义</w:t>
      </w:r>
    </w:p>
    <w:p>
      <w:pPr>
        <w:shd w:val="clear"/>
        <w:spacing w:after="0" w:line="440" w:lineRule="exact"/>
        <w:ind w:firstLine="480" w:firstLineChars="200"/>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1、甲方代表</w:t>
      </w:r>
    </w:p>
    <w:p>
      <w:pPr>
        <w:shd w:val="clear"/>
        <w:spacing w:after="0" w:line="440" w:lineRule="exact"/>
        <w:ind w:firstLine="480" w:firstLineChars="200"/>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 xml:space="preserve">甲方指派 </w:t>
      </w:r>
      <w:r>
        <w:rPr>
          <w:rFonts w:hint="eastAsia" w:ascii="宋体" w:hAnsi="宋体" w:eastAsia="宋体" w:cs="Times New Roman"/>
          <w:color w:val="auto"/>
          <w:kern w:val="2"/>
          <w:sz w:val="24"/>
          <w:szCs w:val="24"/>
          <w:highlight w:val="none"/>
          <w:u w:val="single"/>
          <w:lang w:val="en-US" w:bidi="ar-SA"/>
        </w:rPr>
        <w:t xml:space="preserve">                     </w:t>
      </w:r>
      <w:r>
        <w:rPr>
          <w:rFonts w:hint="eastAsia" w:ascii="宋体" w:hAnsi="宋体" w:eastAsia="宋体" w:cs="Times New Roman"/>
          <w:color w:val="auto"/>
          <w:kern w:val="2"/>
          <w:sz w:val="24"/>
          <w:szCs w:val="24"/>
          <w:highlight w:val="none"/>
          <w:lang w:val="en-US" w:bidi="ar-SA"/>
        </w:rPr>
        <w:t>为派驻现场代表，全面负责日常养护作业的管理工作。</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2、甲方责任与义务</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（1）</w:t>
      </w:r>
      <w:r>
        <w:rPr>
          <w:rFonts w:hint="eastAsia" w:ascii="宋体" w:hAnsi="宋体" w:eastAsia="宋体" w:cs="Times New Roman"/>
          <w:color w:val="auto"/>
          <w:kern w:val="2"/>
          <w:sz w:val="24"/>
          <w:szCs w:val="24"/>
          <w:highlight w:val="none"/>
          <w:lang w:val="en-US" w:bidi="ar-SA"/>
        </w:rPr>
        <w:t>负责向乙方提供中标区块的有关资料，按本合同有关条款，支付相应养护经费；</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（2）协助乙方处理与各排水区块所属单位、社区关系，以便于运行维护工作的顺利进行；</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（3）负责对乙方运行维护质量进行月度考核、</w:t>
      </w:r>
      <w:r>
        <w:rPr>
          <w:rFonts w:hint="eastAsia" w:ascii="宋体" w:hAnsi="宋体" w:eastAsia="宋体" w:cs="Times New Roman"/>
          <w:color w:val="auto"/>
          <w:kern w:val="2"/>
          <w:sz w:val="24"/>
          <w:szCs w:val="24"/>
          <w:highlight w:val="none"/>
          <w:lang w:val="en-US" w:bidi="ar-SA"/>
        </w:rPr>
        <w:t>管理和检查；</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（4）根据乙方日常巡查中发现的公共污水管网（设施）存在的问题及时组织整改。</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5）在合同期内，因政府需要征用、改造、临时占用市政设施等需要调整乙方管护市政地段（范围）和管护等级时，退出原养护地段（范围），或相应减少养护范围及经费。由此造成的经济损失，甲方不负赔偿责任；甲方管理需要，要求乙方就近新增管道养护面积不超过原中标道路面积2%的，不予追加相关经费，乙方按照就近纳入的招标养护标准进行养护。</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6）甲方对乙方由于养护管理不当，受到群众举报、媒体曝光和上级领导点名批评的，视情节扣除一定的养护经费，其中：群众举报经查实的，按1000～3000元/次扣除养护经费；媒体曝光后经查实的，按3000～5000元/次扣除养护经费；上级领导点名批评的，按3000～5000元/次扣除养护经费，情节严重的按5000～10000元/次扣除养护经费。</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(7)甲方可以与乙方协商，建议更换其认为不称职的项目负责人。</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3、乙方代表</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（1）乙方指派</w:t>
      </w:r>
      <w:r>
        <w:rPr>
          <w:rFonts w:hint="eastAsia" w:ascii="宋体" w:hAnsi="宋体" w:eastAsia="宋体" w:cs="Times New Roman"/>
          <w:bCs/>
          <w:color w:val="auto"/>
          <w:kern w:val="2"/>
          <w:sz w:val="24"/>
          <w:szCs w:val="24"/>
          <w:highlight w:val="none"/>
          <w:u w:val="single"/>
          <w:lang w:val="en-US" w:bidi="ar-SA"/>
        </w:rPr>
        <w:t xml:space="preserve">      </w:t>
      </w:r>
      <w:r>
        <w:rPr>
          <w:rFonts w:hint="eastAsia" w:ascii="宋体" w:hAnsi="宋体" w:eastAsia="宋体" w:cs="Times New Roman"/>
          <w:bCs/>
          <w:color w:val="auto"/>
          <w:kern w:val="2"/>
          <w:sz w:val="24"/>
          <w:szCs w:val="24"/>
          <w:highlight w:val="none"/>
          <w:lang w:val="en-US" w:bidi="ar-SA"/>
        </w:rPr>
        <w:t>为管网养护项目负责人，具体负责本养护标段作业工作，并用书面材料报甲方备案。</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（2）项目负责人等有关人员必须按时参加由甲方召开的养护例会和各种必须参加的会议。</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（3）乙方如需更换项目负责人，应至少提前5天以书面形式通知甲方，并征得甲方同意。后任继续行使合同文件约定的前任的职权，履行前任的义务。</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5、乙方责任与义务</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（1）乙方应就近设立办事处，接受市民来信来访，醒目标识单位名称、市民投诉接待人员、联系电话等，运行维护作业人员应统一着装；</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2）乙方在本合同生效后15天内上报全年养护作业维修计划和该项目养护管理人员网络组成表，制定季度、月度养护计划、材料计划送交甲方，严格按计划、采购需求要求落实养护工作。乙方须对承担运行维护的所有巡视员进行基础知识教育，做好巡视记录，明确责任到人。做好日常巡查巡查工作，主要包括污水冒溢、井盖缺损、管道塌陷、违章占压、违章排放、私自接管、雨污混接、地块</w:t>
      </w:r>
      <w:r>
        <w:rPr>
          <w:rFonts w:hint="eastAsia" w:ascii="宋体" w:hAnsi="宋体" w:eastAsia="宋体" w:cs="Times New Roman"/>
          <w:bCs/>
          <w:color w:val="auto"/>
          <w:kern w:val="2"/>
          <w:sz w:val="24"/>
          <w:szCs w:val="24"/>
          <w:highlight w:val="none"/>
          <w:lang w:val="en-US" w:eastAsia="zh-CN" w:bidi="ar-SA"/>
        </w:rPr>
        <w:t>内</w:t>
      </w:r>
      <w:r>
        <w:rPr>
          <w:rFonts w:hint="eastAsia" w:ascii="宋体" w:hAnsi="宋体" w:eastAsia="宋体" w:cs="Times New Roman"/>
          <w:bCs/>
          <w:color w:val="auto"/>
          <w:kern w:val="2"/>
          <w:sz w:val="24"/>
          <w:szCs w:val="24"/>
          <w:highlight w:val="none"/>
          <w:lang w:val="en-US" w:bidi="ar-SA"/>
        </w:rPr>
        <w:t>影响管道排水的工程施工等情况，汛期要按要求增加巡视次数。巡查过程中如发现相关问题，如雨水口有不正常水流等，必须立即书面报告甲方，同时配合甲方进行排查分析。</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3）乙方应严格执行相关安全生产的规范条例，应对施工人员进行安全教育，在运行维护合同期内，不发生人身伤亡事故和安全生产事故。根据招标文件内相关养护安全标准进行养护作业，同时应按《无锡市建设工程安全生产管理条例》的要求实施。因养护不及时、不合格或不规范及对养护区域内存在安全隐患的设施清理处置不及时等原因所造成人身伤亡及安全等事故，其费用和责任由乙方负责承担。</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（4）如因养护不到位，导致污水管网堵塞外溢，污染河道等情况，由乙方负责河道应急处置费用。</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（5）防汛抗灾期间的汛前、汛期、汛后的各项工作,服从甲方对区管道路应急抢险的统一调配、指挥；</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（6）养护期内应根据《无锡市建设工程文明施工管理办法》、结合采购需求中相关文明作业要求进行养护作业。</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6、甲方工作</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（1）负责向乙方提供中标有关资料。</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default" w:ascii="宋体" w:hAnsi="宋体" w:eastAsia="宋体" w:cs="Times New Roman"/>
          <w:bCs/>
          <w:color w:val="auto"/>
          <w:kern w:val="2"/>
          <w:sz w:val="24"/>
          <w:szCs w:val="24"/>
          <w:highlight w:val="none"/>
          <w:lang w:val="en-US" w:bidi="ar-SA"/>
        </w:rPr>
        <w:t>（</w:t>
      </w:r>
      <w:r>
        <w:rPr>
          <w:rFonts w:hint="eastAsia" w:ascii="宋体" w:hAnsi="宋体" w:eastAsia="宋体" w:cs="Times New Roman"/>
          <w:bCs/>
          <w:color w:val="auto"/>
          <w:kern w:val="2"/>
          <w:sz w:val="24"/>
          <w:szCs w:val="24"/>
          <w:highlight w:val="none"/>
          <w:lang w:val="en-US" w:bidi="ar-SA"/>
        </w:rPr>
        <w:t>2）组织召开养护作业技术交底会。</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（3）负责乙方的日常养护作业的管理和检查(全年考核方式：定期检查和抽查、第三方考核相结合)。每月底对乙方作出下月度养护工作计划布置和对当月度养护工作进行考核，每年对</w:t>
      </w:r>
      <w:r>
        <w:rPr>
          <w:rFonts w:hint="eastAsia" w:ascii="宋体" w:hAnsi="宋体" w:eastAsia="宋体" w:cs="Times New Roman"/>
          <w:bCs/>
          <w:color w:val="auto"/>
          <w:kern w:val="2"/>
          <w:sz w:val="24"/>
          <w:szCs w:val="24"/>
          <w:highlight w:val="none"/>
          <w:lang w:val="en-US" w:eastAsia="zh-CN" w:bidi="ar-SA"/>
        </w:rPr>
        <w:t>中标</w:t>
      </w:r>
      <w:r>
        <w:rPr>
          <w:rFonts w:hint="eastAsia" w:ascii="宋体" w:hAnsi="宋体" w:eastAsia="宋体" w:cs="Times New Roman"/>
          <w:bCs/>
          <w:color w:val="auto"/>
          <w:kern w:val="2"/>
          <w:sz w:val="24"/>
          <w:szCs w:val="24"/>
          <w:highlight w:val="none"/>
          <w:lang w:val="en-US" w:bidi="ar-SA"/>
        </w:rPr>
        <w:t>供应商进行综合考评，考核按有关养护工作考核标准结合甲方养护工作计划要求综合进行。（具体以《城镇排水管渠及泵站维护技术规范》（</w:t>
      </w:r>
      <w:r>
        <w:rPr>
          <w:rFonts w:hint="default" w:ascii="宋体" w:hAnsi="宋体" w:eastAsia="宋体" w:cs="Times New Roman"/>
          <w:bCs/>
          <w:color w:val="auto"/>
          <w:kern w:val="2"/>
          <w:sz w:val="24"/>
          <w:szCs w:val="24"/>
          <w:highlight w:val="none"/>
          <w:lang w:val="en-US" w:bidi="ar-SA"/>
        </w:rPr>
        <w:t>CJJ68-20</w:t>
      </w:r>
      <w:r>
        <w:rPr>
          <w:rFonts w:hint="eastAsia" w:ascii="宋体" w:hAnsi="宋体" w:eastAsia="宋体" w:cs="Times New Roman"/>
          <w:bCs/>
          <w:color w:val="auto"/>
          <w:kern w:val="2"/>
          <w:sz w:val="24"/>
          <w:szCs w:val="24"/>
          <w:highlight w:val="none"/>
          <w:lang w:val="en-US" w:bidi="ar-SA"/>
        </w:rPr>
        <w:t>16）执行。)</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（4）甲方定期对乙方的养护质量进行检查考核，按本合同有关条款，支付相应养护经费。</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（5）如遇突发事件，协调乙方在作业过程中与其他管理部门的关系。</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（6）若乙方违反《城镇排水管渠及泵站维护技术规范》（</w:t>
      </w:r>
      <w:r>
        <w:rPr>
          <w:rFonts w:hint="default" w:ascii="宋体" w:hAnsi="宋体" w:eastAsia="宋体" w:cs="Times New Roman"/>
          <w:bCs/>
          <w:color w:val="auto"/>
          <w:kern w:val="2"/>
          <w:sz w:val="24"/>
          <w:szCs w:val="24"/>
          <w:highlight w:val="none"/>
          <w:lang w:val="en-US" w:bidi="ar-SA"/>
        </w:rPr>
        <w:t>CJJ68-20</w:t>
      </w:r>
      <w:r>
        <w:rPr>
          <w:rFonts w:hint="eastAsia" w:ascii="宋体" w:hAnsi="宋体" w:eastAsia="宋体" w:cs="Times New Roman"/>
          <w:bCs/>
          <w:color w:val="auto"/>
          <w:kern w:val="2"/>
          <w:sz w:val="24"/>
          <w:szCs w:val="24"/>
          <w:highlight w:val="none"/>
          <w:lang w:val="en-US" w:bidi="ar-SA"/>
        </w:rPr>
        <w:t>16）及</w:t>
      </w:r>
      <w:r>
        <w:rPr>
          <w:rFonts w:hint="eastAsia" w:ascii="宋体" w:hAnsi="宋体" w:eastAsia="宋体" w:cs="Times New Roman"/>
          <w:bCs/>
          <w:color w:val="auto"/>
          <w:kern w:val="2"/>
          <w:sz w:val="24"/>
          <w:szCs w:val="24"/>
          <w:highlight w:val="none"/>
          <w:lang w:val="en-US" w:eastAsia="zh-CN" w:bidi="ar-SA"/>
        </w:rPr>
        <w:t>招标文件</w:t>
      </w:r>
      <w:r>
        <w:rPr>
          <w:rFonts w:hint="eastAsia" w:ascii="宋体" w:hAnsi="宋体" w:eastAsia="宋体" w:cs="Times New Roman"/>
          <w:bCs/>
          <w:color w:val="auto"/>
          <w:kern w:val="2"/>
          <w:sz w:val="24"/>
          <w:szCs w:val="24"/>
          <w:highlight w:val="none"/>
          <w:lang w:val="en-US" w:bidi="ar-SA"/>
        </w:rPr>
        <w:t>等有关规定而被解除承包合同的，甲方根据</w:t>
      </w:r>
      <w:r>
        <w:rPr>
          <w:rFonts w:hint="eastAsia" w:ascii="宋体" w:hAnsi="宋体" w:eastAsia="宋体" w:cs="Times New Roman"/>
          <w:bCs/>
          <w:color w:val="auto"/>
          <w:kern w:val="2"/>
          <w:sz w:val="24"/>
          <w:szCs w:val="24"/>
          <w:highlight w:val="none"/>
          <w:lang w:val="en-US" w:eastAsia="zh-CN" w:bidi="ar-SA"/>
        </w:rPr>
        <w:t>招标文件</w:t>
      </w:r>
      <w:r>
        <w:rPr>
          <w:rFonts w:hint="eastAsia" w:ascii="宋体" w:hAnsi="宋体" w:eastAsia="宋体" w:cs="Times New Roman"/>
          <w:bCs/>
          <w:color w:val="auto"/>
          <w:kern w:val="2"/>
          <w:sz w:val="24"/>
          <w:szCs w:val="24"/>
          <w:highlight w:val="none"/>
          <w:lang w:val="en-US" w:bidi="ar-SA"/>
        </w:rPr>
        <w:t>执行。</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7）在合同期内，因政府需要征用、改造、临时占用市政设施等需要调整乙方管护市政地段（范围）和管护等级时，退出原养护地段（范围），或相应减少养护范围及经费。由此造成的经济损失，甲方不负赔偿责任；甲方管理需要，要求乙方就近新增管道养护面积不超过原中标道路面积2%的，不予追加相关经费，乙方按照就近纳入的招标养护标准进行养护。</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8）甲方对乙方由于养护管理不当，受到群众举报、媒体曝光和上级领导点名批评的，视情节扣除一定的养护经费，其中：群众举报经查实的，按1000～3000元/次扣除养护经费；媒体曝光后经查实的，按3000～5000元/次扣除养护经费；上级领导点名批评的，按3000～5000元/次扣除养护经费，情节严重的按5000～10000元/次扣除养护经费。</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7、乙方工作</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（1）根据甲方养护工作计划，乙方承担日常养护内容有：排水设施、管养标识牌等市政设施保养与维修及道板杂草清除。</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2）乙方应建立完善的巡查体系，严格按照管网等级结合养护规范要求频率进行巡查。同时，按标准做好巡视台帐，在每月月底前提交甲方检查。巡视不到位、频率不满足要求、资料不齐全、不准确等，按《城镇排水管渠及泵站维护技术规范》（</w:t>
      </w:r>
      <w:r>
        <w:rPr>
          <w:rFonts w:hint="default" w:ascii="宋体" w:hAnsi="宋体" w:eastAsia="宋体" w:cs="Times New Roman"/>
          <w:bCs/>
          <w:color w:val="auto"/>
          <w:kern w:val="2"/>
          <w:sz w:val="24"/>
          <w:szCs w:val="24"/>
          <w:highlight w:val="none"/>
          <w:lang w:val="en-US" w:bidi="ar-SA"/>
        </w:rPr>
        <w:t>CJJ68-20</w:t>
      </w:r>
      <w:r>
        <w:rPr>
          <w:rFonts w:hint="eastAsia" w:ascii="宋体" w:hAnsi="宋体" w:eastAsia="宋体" w:cs="Times New Roman"/>
          <w:bCs/>
          <w:color w:val="auto"/>
          <w:kern w:val="2"/>
          <w:sz w:val="24"/>
          <w:szCs w:val="24"/>
          <w:highlight w:val="none"/>
          <w:lang w:val="en-US" w:bidi="ar-SA"/>
        </w:rPr>
        <w:t>16）和《城镇排水管渠及泵站维护技术规范》执行、处理。</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（3）乙方应建立巡视报告制，须按照要求购买和安装GPS设备，对污水设施的巡视频率应满足 “城镇排水管渠与泵站维护技术规程”（CJJ68-2016）的要求。</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4）超出常规养护范围的工作，需提前报甲方审批。中标地段原设施量清单中未纳入的周围相邻市政设施，在该标段交接完毕后5日内书面提交具体位置及设施量清单，甲方核验纳入经费核算范围，未及时提出的，视作无偿义务养护。</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（5）及时解决来信、来访，并根据甲方要求及时处理。</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（6）按时按量完成甲方交办的110等其它突击性任务和指令性任务。</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（7）加强法定节假日的正常养护维修工作。</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（8）乙方应服从中标养护所在地的行业管理。</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（9）在承包期内承包人应服从发包人的安排，做好以下的服务工作：</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(a)因不可抗力造成的抢修保养工作；</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(b)防汛抗灾期间的汛前、汛期、汛后的各项工作,服从甲方对区管道路应急抢险的统一调配、指挥；</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(c)养护相关的社会职能（如城市创建等）工作；</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(d)上级布置的突击性活动而发生的各项工作；</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(e)确保法定节假日的养护维修工作。</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(10)巡查内容主要包括污水冒溢、井盖缺损、管道塌陷、违章占压、违章排放、私自接管、雨污混接</w:t>
      </w:r>
      <w:r>
        <w:rPr>
          <w:rFonts w:hint="eastAsia" w:ascii="宋体" w:hAnsi="宋体" w:eastAsia="宋体" w:cs="Times New Roman"/>
          <w:bCs/>
          <w:color w:val="auto"/>
          <w:kern w:val="2"/>
          <w:sz w:val="24"/>
          <w:szCs w:val="24"/>
          <w:highlight w:val="none"/>
          <w:lang w:val="en-US" w:eastAsia="zh-CN" w:bidi="ar-SA"/>
        </w:rPr>
        <w:t>，污水管网巡查过程中，如发现</w:t>
      </w:r>
      <w:r>
        <w:rPr>
          <w:rFonts w:hint="eastAsia" w:ascii="宋体" w:hAnsi="宋体" w:eastAsia="宋体" w:cs="Times New Roman"/>
          <w:bCs/>
          <w:color w:val="auto"/>
          <w:kern w:val="2"/>
          <w:sz w:val="24"/>
          <w:szCs w:val="24"/>
          <w:highlight w:val="none"/>
          <w:lang w:val="en-US" w:bidi="ar-SA"/>
        </w:rPr>
        <w:t>地块</w:t>
      </w:r>
      <w:r>
        <w:rPr>
          <w:rFonts w:hint="eastAsia" w:ascii="宋体" w:hAnsi="宋体" w:eastAsia="宋体" w:cs="Times New Roman"/>
          <w:bCs/>
          <w:color w:val="auto"/>
          <w:kern w:val="2"/>
          <w:sz w:val="24"/>
          <w:szCs w:val="24"/>
          <w:highlight w:val="none"/>
          <w:lang w:val="en-US" w:eastAsia="zh-CN" w:bidi="ar-SA"/>
        </w:rPr>
        <w:t>内</w:t>
      </w:r>
      <w:r>
        <w:rPr>
          <w:rFonts w:hint="eastAsia" w:ascii="宋体" w:hAnsi="宋体" w:eastAsia="宋体" w:cs="Times New Roman"/>
          <w:bCs/>
          <w:color w:val="auto"/>
          <w:kern w:val="2"/>
          <w:sz w:val="24"/>
          <w:szCs w:val="24"/>
          <w:highlight w:val="none"/>
          <w:lang w:val="en-US" w:bidi="ar-SA"/>
        </w:rPr>
        <w:t>雨水口情况</w:t>
      </w:r>
      <w:r>
        <w:rPr>
          <w:rFonts w:hint="eastAsia" w:ascii="宋体" w:hAnsi="宋体" w:eastAsia="宋体" w:cs="Times New Roman"/>
          <w:bCs/>
          <w:color w:val="auto"/>
          <w:kern w:val="2"/>
          <w:sz w:val="24"/>
          <w:szCs w:val="24"/>
          <w:highlight w:val="none"/>
          <w:lang w:val="en-US" w:eastAsia="zh-CN" w:bidi="ar-SA"/>
        </w:rPr>
        <w:t>异常</w:t>
      </w:r>
      <w:r>
        <w:rPr>
          <w:rFonts w:hint="eastAsia" w:ascii="宋体" w:hAnsi="宋体" w:eastAsia="宋体" w:cs="Times New Roman"/>
          <w:bCs/>
          <w:color w:val="auto"/>
          <w:kern w:val="2"/>
          <w:sz w:val="24"/>
          <w:szCs w:val="24"/>
          <w:highlight w:val="none"/>
          <w:lang w:val="en-US" w:bidi="ar-SA"/>
        </w:rPr>
        <w:t>以及影响管道排水的工程施工等情况，</w:t>
      </w:r>
      <w:r>
        <w:rPr>
          <w:rFonts w:hint="eastAsia" w:ascii="宋体" w:hAnsi="宋体" w:eastAsia="宋体" w:cs="Times New Roman"/>
          <w:bCs/>
          <w:color w:val="auto"/>
          <w:kern w:val="2"/>
          <w:sz w:val="24"/>
          <w:szCs w:val="24"/>
          <w:highlight w:val="none"/>
          <w:lang w:val="en-US" w:eastAsia="zh-CN" w:bidi="ar-SA"/>
        </w:rPr>
        <w:t>成交供应商应</w:t>
      </w:r>
      <w:r>
        <w:rPr>
          <w:rFonts w:hint="eastAsia" w:ascii="宋体" w:hAnsi="宋体" w:eastAsia="宋体" w:cs="Times New Roman"/>
          <w:bCs/>
          <w:color w:val="auto"/>
          <w:kern w:val="2"/>
          <w:sz w:val="24"/>
          <w:szCs w:val="24"/>
          <w:highlight w:val="none"/>
          <w:lang w:val="en-US" w:bidi="ar-SA"/>
        </w:rPr>
        <w:t>立即书面报告甲方，同时配合甲方进行排查分析，如需进行整改，另行安排；</w:t>
      </w:r>
    </w:p>
    <w:p>
      <w:pPr>
        <w:shd w:val="clear"/>
        <w:spacing w:after="0" w:line="440" w:lineRule="exact"/>
        <w:ind w:firstLine="480" w:firstLineChars="200"/>
        <w:outlineLvl w:val="9"/>
        <w:rPr>
          <w:rFonts w:hint="eastAsia"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(11)如因养护不到位，导致污水管网堵塞外溢，污染河道等情况，由乙方负责河道应急处置费用。</w:t>
      </w:r>
    </w:p>
    <w:p>
      <w:pPr>
        <w:shd w:val="clear"/>
        <w:spacing w:after="0" w:line="440" w:lineRule="exact"/>
        <w:ind w:firstLine="480" w:firstLineChars="200"/>
        <w:outlineLvl w:val="9"/>
        <w:rPr>
          <w:rFonts w:hint="eastAsia"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（12）乙方须全面承担养护期内太湖街道辖区管网及设施的防汛排涝应急保障责任。汛期严格执行 24 小时值班与巡查制度，配备足够的防汛抢险人员、移动强排泵组及应急抢险车辆；</w:t>
      </w:r>
    </w:p>
    <w:p>
      <w:pPr>
        <w:shd w:val="clear"/>
        <w:spacing w:after="0" w:line="440" w:lineRule="exact"/>
        <w:ind w:firstLine="480" w:firstLineChars="200"/>
        <w:outlineLvl w:val="9"/>
        <w:rPr>
          <w:rFonts w:hint="eastAsia"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汛期及强降雨期间，无条件服从街道防汛指挥部的统一指挥调度，如接到防汛排涝指令后未在规定时间内（60分钟内）到达现场或抢险不力造成严重积水、财产损失的，按 3000元/次-5000元/次 扣除养护费，情节严重的甲方有权直接终止合同并追究赔偿责任。</w:t>
      </w:r>
    </w:p>
    <w:p>
      <w:pPr>
        <w:pStyle w:val="28"/>
        <w:rPr>
          <w:rFonts w:hint="eastAsia" w:eastAsia="宋体"/>
          <w:color w:val="auto"/>
          <w:highlight w:val="none"/>
          <w:lang w:val="en-US" w:eastAsia="zh-CN"/>
        </w:rPr>
      </w:pPr>
    </w:p>
    <w:p>
      <w:pPr>
        <w:shd w:val="clear"/>
        <w:spacing w:after="0" w:line="440" w:lineRule="exact"/>
        <w:ind w:firstLine="482" w:firstLineChars="200"/>
        <w:jc w:val="left"/>
        <w:outlineLvl w:val="9"/>
        <w:rPr>
          <w:rFonts w:hint="default" w:ascii="宋体" w:hAnsi="宋体" w:eastAsia="宋体" w:cs="Times New Roman"/>
          <w:b/>
          <w:color w:val="auto"/>
          <w:kern w:val="2"/>
          <w:sz w:val="24"/>
          <w:szCs w:val="24"/>
          <w:highlight w:val="none"/>
          <w:lang w:val="en-US" w:bidi="ar-SA"/>
        </w:rPr>
      </w:pPr>
      <w:r>
        <w:rPr>
          <w:rFonts w:hint="eastAsia" w:ascii="宋体" w:hAnsi="宋体" w:eastAsia="宋体" w:cs="Times New Roman"/>
          <w:b/>
          <w:color w:val="auto"/>
          <w:kern w:val="2"/>
          <w:sz w:val="24"/>
          <w:szCs w:val="24"/>
          <w:highlight w:val="none"/>
          <w:lang w:val="en-US" w:bidi="ar-SA"/>
        </w:rPr>
        <w:t>二、养护组织设计</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1、进度计划</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（1）乙方在本合同生效后15天内上报全年养护作业维修计划和该项目养护管理人员网络组成表，制定季度、月度养护计划、材料计划送交甲方。甲方在7天内予以确认。</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2）乙方必须按甲方确认的进度计划组织养护作业，接受甲方对进度的检查、监督。养护作业实际进度与经确认的进度计划不一致时，乙方应按甲方的要求提出改进措施，经甲方代表确认后执行。因乙方的原因导致实际进度与计划进度不符，乙方无权就改进措施提出追加合同价款。</w:t>
      </w:r>
    </w:p>
    <w:p>
      <w:pPr>
        <w:shd w:val="clear"/>
        <w:spacing w:after="0" w:line="440" w:lineRule="exact"/>
        <w:ind w:firstLine="482"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
          <w:color w:val="auto"/>
          <w:kern w:val="2"/>
          <w:sz w:val="24"/>
          <w:szCs w:val="24"/>
          <w:highlight w:val="none"/>
          <w:lang w:val="en-US" w:bidi="ar-SA"/>
        </w:rPr>
        <w:t xml:space="preserve">三、质量与考核  </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1、质量标准</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乙方严格按照《无锡市排水达标区运行维护考核细则》（试行）（锡政园用【2011】16号文）及《城镇排水管渠及泵站维护技术规范》（</w:t>
      </w:r>
      <w:r>
        <w:rPr>
          <w:rFonts w:hint="default" w:ascii="宋体" w:hAnsi="宋体" w:eastAsia="宋体" w:cs="Times New Roman"/>
          <w:bCs/>
          <w:color w:val="auto"/>
          <w:kern w:val="2"/>
          <w:sz w:val="24"/>
          <w:szCs w:val="24"/>
          <w:highlight w:val="none"/>
          <w:lang w:val="en-US" w:bidi="ar-SA"/>
        </w:rPr>
        <w:t>CJJ68-20</w:t>
      </w:r>
      <w:r>
        <w:rPr>
          <w:rFonts w:hint="eastAsia" w:ascii="宋体" w:hAnsi="宋体" w:eastAsia="宋体" w:cs="Times New Roman"/>
          <w:bCs/>
          <w:color w:val="auto"/>
          <w:kern w:val="2"/>
          <w:sz w:val="24"/>
          <w:szCs w:val="24"/>
          <w:highlight w:val="none"/>
          <w:lang w:val="en-US" w:bidi="ar-SA"/>
        </w:rPr>
        <w:t>16）进行日常运行维护。达到养护质量验收要求的，按时支付养护经费，未达到养护质量验收要求的，重新返工，费用由乙方承担。</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2、检查和考核</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（1）乙方应认真按照补充条款中约定的质量标准进行养护，随时接受甲方的检查和考核，为检查和考核提供便利条件。</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2）对于养护不符合要求，在日常监管中指出的问题不能做到及时整改的，扣款1000元/次；经甲方发整改通知单后仍未在规定时间内整改到位的，扣款5000元/次；同一问题再次告知后，仍未整改的，扣款20000元/次，并通知其他养护公司进行整改，所需费用在该标段养护经费中支付。</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（3）污水设施：要求乙方对排水管道进行及时疏通，确保沟管畅通，检查井井框盖完好吻合，检查井井内的积淤不超过管径的1/5，井圈和井盖开裂、丢失应在</w:t>
      </w:r>
      <w:r>
        <w:rPr>
          <w:rFonts w:hint="eastAsia" w:ascii="宋体" w:hAnsi="宋体" w:eastAsia="宋体" w:cs="Times New Roman"/>
          <w:bCs/>
          <w:color w:val="auto"/>
          <w:kern w:val="2"/>
          <w:sz w:val="24"/>
          <w:szCs w:val="24"/>
          <w:highlight w:val="none"/>
          <w:lang w:val="en-US" w:eastAsia="zh-CN" w:bidi="ar-SA"/>
        </w:rPr>
        <w:t>6</w:t>
      </w:r>
      <w:r>
        <w:rPr>
          <w:rFonts w:hint="eastAsia" w:ascii="宋体" w:hAnsi="宋体" w:eastAsia="宋体" w:cs="Times New Roman"/>
          <w:bCs/>
          <w:color w:val="auto"/>
          <w:kern w:val="2"/>
          <w:sz w:val="24"/>
          <w:szCs w:val="24"/>
          <w:highlight w:val="none"/>
          <w:lang w:val="en-US" w:bidi="ar-SA"/>
        </w:rPr>
        <w:t>小时之内补装完整，并及时做好安全保护警示措施，以防发生意外事故。</w:t>
      </w:r>
      <w:r>
        <w:rPr>
          <w:rFonts w:hint="eastAsia" w:ascii="宋体" w:hAnsi="宋体" w:eastAsia="宋体" w:cs="Times New Roman"/>
          <w:bCs/>
          <w:color w:val="auto"/>
          <w:kern w:val="2"/>
          <w:sz w:val="24"/>
          <w:szCs w:val="24"/>
          <w:highlight w:val="none"/>
          <w:lang w:val="en-US" w:eastAsia="zh-CN" w:bidi="ar-SA"/>
        </w:rPr>
        <w:t>中标</w:t>
      </w:r>
      <w:r>
        <w:rPr>
          <w:rFonts w:hint="eastAsia" w:ascii="宋体" w:hAnsi="宋体" w:eastAsia="宋体" w:cs="Times New Roman"/>
          <w:bCs/>
          <w:color w:val="auto"/>
          <w:kern w:val="2"/>
          <w:sz w:val="24"/>
          <w:szCs w:val="24"/>
          <w:highlight w:val="none"/>
          <w:lang w:val="en-US" w:bidi="ar-SA"/>
        </w:rPr>
        <w:t>供应商在疏通排水管道和窨井清淤时，淤泥应及时运走，严禁堆放在路面上。同时对淤泥数量、堆放地点等做好台帐。</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（4）道路上其他管线井盖缺失、破损等影响行人和车辆安全的现象，乙方在巡视中要及时发现，做好安全保护警示措施，记录在案，并及时上报甲方。</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（5）按照《无锡市排水达标区运行维护考核细则》（试行）（锡政园用【2011】16号文）执行。</w:t>
      </w:r>
    </w:p>
    <w:p>
      <w:pPr>
        <w:shd w:val="clear"/>
        <w:spacing w:after="0" w:line="440" w:lineRule="exact"/>
        <w:ind w:firstLine="480" w:firstLineChars="200"/>
        <w:outlineLvl w:val="9"/>
        <w:rPr>
          <w:rFonts w:hint="eastAsia"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乙方在市、区排水管理单位考核中、得分在90分以上（包括90分），则全额支付该月（季）度养护费用。月（季）考得分在85~90分（包括85分）则扣除当月（季）养护费用的</w:t>
      </w:r>
      <w:r>
        <w:rPr>
          <w:rFonts w:hint="eastAsia" w:ascii="宋体" w:hAnsi="宋体" w:eastAsia="宋体" w:cs="Times New Roman"/>
          <w:bCs/>
          <w:color w:val="auto"/>
          <w:kern w:val="2"/>
          <w:sz w:val="24"/>
          <w:szCs w:val="24"/>
          <w:highlight w:val="none"/>
          <w:lang w:val="en-US" w:eastAsia="zh-CN" w:bidi="ar-SA"/>
        </w:rPr>
        <w:t>10</w:t>
      </w:r>
      <w:r>
        <w:rPr>
          <w:rFonts w:hint="eastAsia" w:ascii="宋体" w:hAnsi="宋体" w:eastAsia="宋体" w:cs="Times New Roman"/>
          <w:bCs/>
          <w:color w:val="auto"/>
          <w:kern w:val="2"/>
          <w:sz w:val="24"/>
          <w:szCs w:val="24"/>
          <w:highlight w:val="none"/>
          <w:lang w:val="en-US" w:bidi="ar-SA"/>
        </w:rPr>
        <w:t>%；月（季）考得分在80~85分（包括80分）则扣除当月（季）养护费用的</w:t>
      </w:r>
      <w:r>
        <w:rPr>
          <w:rFonts w:hint="eastAsia" w:ascii="宋体" w:hAnsi="宋体" w:eastAsia="宋体" w:cs="Times New Roman"/>
          <w:bCs/>
          <w:color w:val="auto"/>
          <w:kern w:val="2"/>
          <w:sz w:val="24"/>
          <w:szCs w:val="24"/>
          <w:highlight w:val="none"/>
          <w:lang w:val="en-US" w:eastAsia="zh-CN" w:bidi="ar-SA"/>
        </w:rPr>
        <w:t>20</w:t>
      </w:r>
      <w:r>
        <w:rPr>
          <w:rFonts w:hint="eastAsia" w:ascii="宋体" w:hAnsi="宋体" w:eastAsia="宋体" w:cs="Times New Roman"/>
          <w:bCs/>
          <w:color w:val="auto"/>
          <w:kern w:val="2"/>
          <w:sz w:val="24"/>
          <w:szCs w:val="24"/>
          <w:highlight w:val="none"/>
          <w:lang w:val="en-US" w:bidi="ar-SA"/>
        </w:rPr>
        <w:t xml:space="preserve">%；考核分低于80分：认定为当期考核不合格，扣除当期养护费用的 </w:t>
      </w:r>
      <w:r>
        <w:rPr>
          <w:rFonts w:hint="eastAsia" w:ascii="宋体" w:hAnsi="宋体" w:eastAsia="宋体" w:cs="Times New Roman"/>
          <w:bCs/>
          <w:color w:val="auto"/>
          <w:kern w:val="2"/>
          <w:sz w:val="24"/>
          <w:szCs w:val="24"/>
          <w:highlight w:val="none"/>
          <w:lang w:val="en-US" w:eastAsia="zh-CN" w:bidi="ar-SA"/>
        </w:rPr>
        <w:t>40</w:t>
      </w:r>
      <w:r>
        <w:rPr>
          <w:rFonts w:hint="eastAsia" w:ascii="宋体" w:hAnsi="宋体" w:eastAsia="宋体" w:cs="Times New Roman"/>
          <w:bCs/>
          <w:color w:val="auto"/>
          <w:kern w:val="2"/>
          <w:sz w:val="24"/>
          <w:szCs w:val="24"/>
          <w:highlight w:val="none"/>
          <w:lang w:val="en-US" w:bidi="ar-SA"/>
        </w:rPr>
        <w:t>%，</w:t>
      </w:r>
      <w:r>
        <w:rPr>
          <w:rFonts w:hint="eastAsia" w:ascii="宋体" w:hAnsi="宋体" w:eastAsia="宋体" w:cs="Times New Roman"/>
          <w:bCs/>
          <w:color w:val="auto"/>
          <w:kern w:val="2"/>
          <w:sz w:val="24"/>
          <w:szCs w:val="24"/>
          <w:highlight w:val="none"/>
          <w:lang w:val="en-US" w:eastAsia="zh-CN" w:bidi="ar-SA"/>
        </w:rPr>
        <w:t>或者暂缓支付养护经费，待整改到位后支付</w:t>
      </w:r>
      <w:r>
        <w:rPr>
          <w:rFonts w:hint="eastAsia" w:ascii="宋体" w:hAnsi="宋体" w:eastAsia="宋体" w:cs="Times New Roman"/>
          <w:bCs/>
          <w:color w:val="auto"/>
          <w:kern w:val="2"/>
          <w:sz w:val="24"/>
          <w:szCs w:val="24"/>
          <w:highlight w:val="none"/>
          <w:lang w:val="en-US" w:bidi="ar-SA"/>
        </w:rPr>
        <w:t>。</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（6）养护期内应根据</w:t>
      </w:r>
      <w:r>
        <w:rPr>
          <w:rFonts w:hint="eastAsia" w:ascii="宋体" w:hAnsi="宋体" w:eastAsia="宋体" w:cs="Times New Roman"/>
          <w:bCs/>
          <w:color w:val="auto"/>
          <w:kern w:val="2"/>
          <w:sz w:val="24"/>
          <w:szCs w:val="24"/>
          <w:highlight w:val="none"/>
          <w:lang w:val="en-US" w:eastAsia="zh-CN" w:bidi="ar-SA"/>
        </w:rPr>
        <w:t>招标文件</w:t>
      </w:r>
      <w:r>
        <w:rPr>
          <w:rFonts w:hint="eastAsia" w:ascii="宋体" w:hAnsi="宋体" w:eastAsia="宋体" w:cs="Times New Roman"/>
          <w:bCs/>
          <w:color w:val="auto"/>
          <w:kern w:val="2"/>
          <w:sz w:val="24"/>
          <w:szCs w:val="24"/>
          <w:highlight w:val="none"/>
          <w:lang w:val="en-US" w:bidi="ar-SA"/>
        </w:rPr>
        <w:t>内相关文明作业标准进行养护作业。同时应按《无锡市建设工程文明施工管理办法》落实措施。同时交通围护也应符合有关规范和规定的要求。</w:t>
      </w:r>
    </w:p>
    <w:p>
      <w:pPr>
        <w:shd w:val="clear"/>
        <w:spacing w:after="0" w:line="440" w:lineRule="exact"/>
        <w:ind w:firstLine="482" w:firstLineChars="200"/>
        <w:outlineLvl w:val="9"/>
        <w:rPr>
          <w:rFonts w:hint="default" w:ascii="宋体" w:hAnsi="宋体" w:eastAsia="宋体" w:cs="Times New Roman"/>
          <w:b/>
          <w:color w:val="auto"/>
          <w:kern w:val="2"/>
          <w:sz w:val="24"/>
          <w:szCs w:val="24"/>
          <w:highlight w:val="none"/>
          <w:lang w:val="en-US" w:bidi="ar-SA"/>
        </w:rPr>
      </w:pPr>
      <w:r>
        <w:rPr>
          <w:rFonts w:hint="eastAsia" w:ascii="宋体" w:hAnsi="宋体" w:eastAsia="宋体" w:cs="Times New Roman"/>
          <w:b/>
          <w:color w:val="auto"/>
          <w:kern w:val="2"/>
          <w:sz w:val="24"/>
          <w:szCs w:val="24"/>
          <w:highlight w:val="none"/>
          <w:lang w:val="en-US" w:bidi="ar-SA"/>
        </w:rPr>
        <w:t>四、安全文明施工</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自签订合同之日起，乙方全面负责其在养护作业区内的安全文明施工责任。</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1、安全文明施工与检查</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1）乙方应做好养护作业管理区内的安全文明施工管理工作，设置合理的交通引导标志、施工隔离围挡装置、警示装置等，做到工完场清，不污染路面和绿化带，并随时接受甲方或行业安全检查人员依法实施的监督检查，采取必要的安全防护措施，消除事故隐患。</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（2）由于乙方管理不善，引起政府职能部门处罚和停工整改，或安全措施不力造成事故的责任和因此发生的费用，由乙方承担。</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2、安全防护</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eastAsia="zh-CN" w:bidi="ar-SA"/>
        </w:rPr>
        <w:t>中标</w:t>
      </w:r>
      <w:r>
        <w:rPr>
          <w:rFonts w:hint="eastAsia" w:ascii="宋体" w:hAnsi="宋体" w:eastAsia="宋体" w:cs="Times New Roman"/>
          <w:bCs/>
          <w:color w:val="auto"/>
          <w:kern w:val="2"/>
          <w:sz w:val="24"/>
          <w:szCs w:val="24"/>
          <w:highlight w:val="none"/>
          <w:lang w:val="en-US" w:bidi="ar-SA"/>
        </w:rPr>
        <w:t>供应商应配备足够的安全文明防护设施，养护作业人员必须着装上岗操作，施工期间按规定做好安全标识。排水井井下作业采取二级审批制度，防范措施到位，相关人员具有培训合格的操作证，擅自或违规下井作业的</w:t>
      </w:r>
      <w:r>
        <w:rPr>
          <w:rFonts w:hint="eastAsia" w:ascii="宋体" w:hAnsi="宋体" w:eastAsia="宋体" w:cs="Times New Roman"/>
          <w:bCs/>
          <w:color w:val="auto"/>
          <w:kern w:val="2"/>
          <w:sz w:val="24"/>
          <w:szCs w:val="24"/>
          <w:highlight w:val="none"/>
          <w:lang w:val="en-US" w:eastAsia="zh-CN" w:bidi="ar-SA"/>
        </w:rPr>
        <w:t>中标</w:t>
      </w:r>
      <w:r>
        <w:rPr>
          <w:rFonts w:hint="eastAsia" w:ascii="宋体" w:hAnsi="宋体" w:eastAsia="宋体" w:cs="Times New Roman"/>
          <w:bCs/>
          <w:color w:val="auto"/>
          <w:kern w:val="2"/>
          <w:sz w:val="24"/>
          <w:szCs w:val="24"/>
          <w:highlight w:val="none"/>
          <w:lang w:val="en-US" w:bidi="ar-SA"/>
        </w:rPr>
        <w:t>供应商承担一切后果。</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3、安全责任：根据招标文件内相关养护安全标准进行养护作业，同时应按《无锡市建设工程安全生产管理条例》的要求实施。因养护不及时、不合格或不规范及对养护区域内存在安全隐患的设施清理处置不及时等原因所造成人身伤亡及安全等事故，其费用和责任由乙方负责承担。</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4、事故处理</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发生重大伤亡及其他安全事故，乙方应按有关规定立即上报有关部门并通知甲方代表，同时按政府有关部门要求处理由事故责任方承担发生的费用。</w:t>
      </w:r>
    </w:p>
    <w:p>
      <w:pPr>
        <w:shd w:val="clear"/>
        <w:spacing w:after="0" w:line="440" w:lineRule="exact"/>
        <w:ind w:firstLine="482" w:firstLineChars="200"/>
        <w:jc w:val="left"/>
        <w:outlineLvl w:val="9"/>
        <w:rPr>
          <w:rFonts w:hint="default" w:ascii="宋体" w:hAnsi="宋体" w:eastAsia="宋体" w:cs="Times New Roman"/>
          <w:b/>
          <w:color w:val="auto"/>
          <w:kern w:val="2"/>
          <w:sz w:val="24"/>
          <w:szCs w:val="24"/>
          <w:highlight w:val="none"/>
          <w:lang w:val="en-US" w:bidi="ar-SA"/>
        </w:rPr>
      </w:pPr>
      <w:r>
        <w:rPr>
          <w:rFonts w:hint="eastAsia" w:ascii="宋体" w:hAnsi="宋体" w:eastAsia="宋体" w:cs="Times New Roman"/>
          <w:b/>
          <w:color w:val="auto"/>
          <w:kern w:val="2"/>
          <w:sz w:val="24"/>
          <w:szCs w:val="24"/>
          <w:highlight w:val="none"/>
          <w:lang w:val="en-US" w:bidi="ar-SA"/>
        </w:rPr>
        <w:t>五、合同价款与支付</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eastAsia="zh-CN" w:bidi="ar-SA"/>
        </w:rPr>
      </w:pPr>
      <w:r>
        <w:rPr>
          <w:rFonts w:hint="default" w:ascii="宋体" w:hAnsi="宋体" w:eastAsia="宋体" w:cs="Times New Roman"/>
          <w:bCs/>
          <w:color w:val="auto"/>
          <w:kern w:val="2"/>
          <w:sz w:val="24"/>
          <w:szCs w:val="24"/>
          <w:highlight w:val="none"/>
          <w:lang w:val="en-US" w:eastAsia="zh-CN" w:bidi="ar-SA"/>
        </w:rPr>
        <w:t xml:space="preserve">1、合同价款构成与确定： </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eastAsia="zh-CN" w:bidi="ar-SA"/>
        </w:rPr>
      </w:pPr>
      <w:r>
        <w:rPr>
          <w:rFonts w:hint="default" w:ascii="宋体" w:hAnsi="宋体" w:eastAsia="宋体" w:cs="Times New Roman"/>
          <w:bCs/>
          <w:color w:val="auto"/>
          <w:kern w:val="2"/>
          <w:sz w:val="24"/>
          <w:szCs w:val="24"/>
          <w:highlight w:val="none"/>
          <w:lang w:val="en-US" w:eastAsia="zh-CN" w:bidi="ar-SA"/>
        </w:rPr>
        <w:t>合同价款由甲、乙双方依据中标通知书中的中标价格在协议书内约定，该价款包含日常运行维护费和应急排查及抢修费（按实结算部分）两项费用。</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eastAsia="zh-CN" w:bidi="ar-SA"/>
        </w:rPr>
      </w:pPr>
      <w:r>
        <w:rPr>
          <w:rFonts w:hint="default" w:ascii="宋体" w:hAnsi="宋体" w:eastAsia="宋体" w:cs="Times New Roman"/>
          <w:bCs/>
          <w:color w:val="auto"/>
          <w:kern w:val="2"/>
          <w:sz w:val="24"/>
          <w:szCs w:val="24"/>
          <w:highlight w:val="none"/>
          <w:lang w:val="en-US" w:eastAsia="zh-CN" w:bidi="ar-SA"/>
        </w:rPr>
        <w:t xml:space="preserve">2、日常维护计量与考核： </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eastAsia="zh-CN" w:bidi="ar-SA"/>
        </w:rPr>
      </w:pPr>
      <w:r>
        <w:rPr>
          <w:rFonts w:hint="default" w:ascii="宋体" w:hAnsi="宋体" w:eastAsia="宋体" w:cs="Times New Roman"/>
          <w:bCs/>
          <w:color w:val="auto"/>
          <w:kern w:val="2"/>
          <w:sz w:val="24"/>
          <w:szCs w:val="24"/>
          <w:highlight w:val="none"/>
          <w:lang w:val="en-US" w:eastAsia="zh-CN" w:bidi="ar-SA"/>
        </w:rPr>
        <w:t>乙方应向甲方提交月度养护作业统计报表。甲方可以按报表内容进行计量与考核，考核结果作为日常运行维护费合同价款支付的依据。</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eastAsia="zh-CN" w:bidi="ar-SA"/>
        </w:rPr>
      </w:pPr>
      <w:r>
        <w:rPr>
          <w:rFonts w:hint="default" w:ascii="宋体" w:hAnsi="宋体" w:eastAsia="宋体" w:cs="Times New Roman"/>
          <w:bCs/>
          <w:color w:val="auto"/>
          <w:kern w:val="2"/>
          <w:sz w:val="24"/>
          <w:szCs w:val="24"/>
          <w:highlight w:val="none"/>
          <w:lang w:val="en-US" w:eastAsia="zh-CN" w:bidi="ar-SA"/>
        </w:rPr>
        <w:t xml:space="preserve">3、作业量调整与应急抢修签证： </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eastAsia="zh-CN" w:bidi="ar-SA"/>
        </w:rPr>
      </w:pPr>
      <w:r>
        <w:rPr>
          <w:rFonts w:hint="default" w:ascii="宋体" w:hAnsi="宋体" w:eastAsia="宋体" w:cs="Times New Roman"/>
          <w:bCs/>
          <w:color w:val="auto"/>
          <w:kern w:val="2"/>
          <w:sz w:val="24"/>
          <w:szCs w:val="24"/>
          <w:highlight w:val="none"/>
          <w:lang w:val="en-US" w:eastAsia="zh-CN" w:bidi="ar-SA"/>
        </w:rPr>
        <w:t>（1）如实际养护作业量与设施量清单有出入时，乙方按照补充条款约定的时间上报计划变更单，经甲方审核并报有关部门审定后方可在下月养护计划中调整。 （2）应急排查及抢修工作，须由甲方现场代表确认工程量并签署《应急工程签证单》。签证单是该部分费用按实结算的唯一依据。</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eastAsia="zh-CN" w:bidi="ar-SA"/>
        </w:rPr>
      </w:pPr>
      <w:r>
        <w:rPr>
          <w:rFonts w:hint="default" w:ascii="宋体" w:hAnsi="宋体" w:eastAsia="宋体" w:cs="Times New Roman"/>
          <w:bCs/>
          <w:color w:val="auto"/>
          <w:kern w:val="2"/>
          <w:sz w:val="24"/>
          <w:szCs w:val="24"/>
          <w:highlight w:val="none"/>
          <w:lang w:val="en-US" w:eastAsia="zh-CN" w:bidi="ar-SA"/>
        </w:rPr>
        <w:t xml:space="preserve">4、不予计量的工作量： </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eastAsia="zh-CN" w:bidi="ar-SA"/>
        </w:rPr>
      </w:pPr>
      <w:r>
        <w:rPr>
          <w:rFonts w:hint="default" w:ascii="宋体" w:hAnsi="宋体" w:eastAsia="宋体" w:cs="Times New Roman"/>
          <w:bCs/>
          <w:color w:val="auto"/>
          <w:kern w:val="2"/>
          <w:sz w:val="24"/>
          <w:szCs w:val="24"/>
          <w:highlight w:val="none"/>
          <w:lang w:val="en-US" w:eastAsia="zh-CN" w:bidi="ar-SA"/>
        </w:rPr>
        <w:t>对乙方超出养护范围和因乙方原因造成返工的工作量，以及未经甲方书面确认和签证的应急抢修工作量，甲方不予计量。</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eastAsia="zh-CN" w:bidi="ar-SA"/>
        </w:rPr>
      </w:pPr>
      <w:r>
        <w:rPr>
          <w:rFonts w:hint="default" w:ascii="宋体" w:hAnsi="宋体" w:eastAsia="宋体" w:cs="Times New Roman"/>
          <w:bCs/>
          <w:color w:val="auto"/>
          <w:kern w:val="2"/>
          <w:sz w:val="24"/>
          <w:szCs w:val="24"/>
          <w:highlight w:val="none"/>
          <w:lang w:val="en-US" w:eastAsia="zh-CN" w:bidi="ar-SA"/>
        </w:rPr>
        <w:t>5、合同价款支付：</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eastAsia="zh-CN" w:bidi="ar-SA"/>
        </w:rPr>
      </w:pPr>
      <w:r>
        <w:rPr>
          <w:rFonts w:hint="default" w:ascii="宋体" w:hAnsi="宋体" w:eastAsia="宋体" w:cs="Times New Roman"/>
          <w:bCs/>
          <w:color w:val="auto"/>
          <w:kern w:val="2"/>
          <w:sz w:val="24"/>
          <w:szCs w:val="24"/>
          <w:highlight w:val="none"/>
          <w:lang w:val="en-US" w:eastAsia="zh-CN" w:bidi="ar-SA"/>
        </w:rPr>
        <w:t xml:space="preserve">付款方式分为日常运行维护费和应急排查抢修费两部分分别结算： </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eastAsia="zh-CN" w:bidi="ar-SA"/>
        </w:rPr>
      </w:pPr>
      <w:r>
        <w:rPr>
          <w:rFonts w:hint="default" w:ascii="宋体" w:hAnsi="宋体" w:eastAsia="宋体" w:cs="Times New Roman"/>
          <w:bCs/>
          <w:color w:val="auto"/>
          <w:kern w:val="2"/>
          <w:sz w:val="24"/>
          <w:szCs w:val="24"/>
          <w:highlight w:val="none"/>
          <w:lang w:val="en-US" w:eastAsia="zh-CN" w:bidi="ar-SA"/>
        </w:rPr>
        <w:t xml:space="preserve">（1）日常运行维护费： 合同签订后，甲方预付该部分合同价款的 30%；养护时间满 6 个月，支付至该部分合同金额的 50%；养护期满根据运行维护考核结果结清该部分余款。 </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eastAsia="zh-CN" w:bidi="ar-SA"/>
        </w:rPr>
      </w:pPr>
      <w:r>
        <w:rPr>
          <w:rFonts w:hint="default" w:ascii="宋体" w:hAnsi="宋体" w:eastAsia="宋体" w:cs="Times New Roman"/>
          <w:bCs/>
          <w:color w:val="auto"/>
          <w:kern w:val="2"/>
          <w:sz w:val="24"/>
          <w:szCs w:val="24"/>
          <w:highlight w:val="none"/>
          <w:lang w:val="en-US" w:eastAsia="zh-CN" w:bidi="ar-SA"/>
        </w:rPr>
        <w:t>应急排查及抢修费（按实结算部分）： 该费用依据实际发生的《应急工程签证单》和经甲方（或委托的第三方审价机构）审核确认的金额，养护期</w:t>
      </w:r>
      <w:r>
        <w:rPr>
          <w:rFonts w:hint="eastAsia" w:ascii="宋体" w:hAnsi="宋体" w:eastAsia="宋体" w:cs="Times New Roman"/>
          <w:bCs/>
          <w:color w:val="auto"/>
          <w:kern w:val="2"/>
          <w:sz w:val="24"/>
          <w:szCs w:val="24"/>
          <w:highlight w:val="none"/>
          <w:lang w:val="en-US" w:eastAsia="zh-CN" w:bidi="ar-SA"/>
        </w:rPr>
        <w:t>结束结清该部分费用</w:t>
      </w:r>
      <w:r>
        <w:rPr>
          <w:rFonts w:hint="default" w:ascii="宋体" w:hAnsi="宋体" w:eastAsia="宋体" w:cs="Times New Roman"/>
          <w:bCs/>
          <w:color w:val="auto"/>
          <w:kern w:val="2"/>
          <w:sz w:val="24"/>
          <w:szCs w:val="24"/>
          <w:highlight w:val="none"/>
          <w:lang w:val="en-US" w:eastAsia="zh-CN" w:bidi="ar-SA"/>
        </w:rPr>
        <w:t xml:space="preserve">。 </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eastAsia="zh-CN" w:bidi="ar-SA"/>
        </w:rPr>
      </w:pPr>
      <w:r>
        <w:rPr>
          <w:rFonts w:hint="default" w:ascii="宋体" w:hAnsi="宋体" w:eastAsia="宋体" w:cs="Times New Roman"/>
          <w:bCs/>
          <w:color w:val="auto"/>
          <w:kern w:val="2"/>
          <w:sz w:val="24"/>
          <w:szCs w:val="24"/>
          <w:highlight w:val="none"/>
          <w:lang w:val="en-US" w:eastAsia="zh-CN" w:bidi="ar-SA"/>
        </w:rPr>
        <w:t>每次付款前，乙方需向甲方提供相应的增值税专用发票。</w:t>
      </w:r>
    </w:p>
    <w:p>
      <w:pPr>
        <w:pStyle w:val="28"/>
        <w:rPr>
          <w:rFonts w:hint="default"/>
          <w:color w:val="auto"/>
          <w:highlight w:val="none"/>
          <w:lang w:val="en-US"/>
        </w:rPr>
      </w:pPr>
    </w:p>
    <w:p>
      <w:pPr>
        <w:shd w:val="clear"/>
        <w:spacing w:after="0" w:line="440" w:lineRule="exact"/>
        <w:ind w:firstLine="482" w:firstLineChars="200"/>
        <w:jc w:val="left"/>
        <w:outlineLvl w:val="9"/>
        <w:rPr>
          <w:rFonts w:hint="default" w:ascii="宋体" w:hAnsi="宋体" w:eastAsia="宋体" w:cs="Times New Roman"/>
          <w:b/>
          <w:color w:val="auto"/>
          <w:kern w:val="2"/>
          <w:sz w:val="24"/>
          <w:szCs w:val="24"/>
          <w:highlight w:val="none"/>
          <w:lang w:val="en-US" w:bidi="ar-SA"/>
        </w:rPr>
      </w:pPr>
      <w:r>
        <w:rPr>
          <w:rFonts w:hint="eastAsia" w:ascii="宋体" w:hAnsi="宋体" w:eastAsia="宋体" w:cs="Times New Roman"/>
          <w:b/>
          <w:color w:val="auto"/>
          <w:kern w:val="2"/>
          <w:sz w:val="24"/>
          <w:szCs w:val="24"/>
          <w:highlight w:val="none"/>
          <w:lang w:val="en-US" w:bidi="ar-SA"/>
        </w:rPr>
        <w:t>六、违约和争议</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default" w:ascii="宋体" w:hAnsi="宋体" w:eastAsia="宋体" w:cs="Times New Roman"/>
          <w:bCs/>
          <w:color w:val="auto"/>
          <w:kern w:val="2"/>
          <w:sz w:val="24"/>
          <w:szCs w:val="24"/>
          <w:highlight w:val="none"/>
          <w:lang w:val="en-US" w:bidi="ar-SA"/>
        </w:rPr>
        <w:t>1、</w:t>
      </w:r>
      <w:r>
        <w:rPr>
          <w:rFonts w:hint="eastAsia" w:ascii="宋体" w:hAnsi="宋体" w:eastAsia="宋体" w:cs="Times New Roman"/>
          <w:bCs/>
          <w:color w:val="auto"/>
          <w:kern w:val="2"/>
          <w:sz w:val="24"/>
          <w:szCs w:val="24"/>
          <w:highlight w:val="none"/>
          <w:lang w:val="en-US" w:bidi="ar-SA"/>
        </w:rPr>
        <w:t>违约</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（1）因甲方原因导致乙方不能按合同约定履行义务的，相应顺延工期。</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（2）甲方未按合同约定支付养护费的，甲方应按每日万分之二支付违约金。</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（3）乙方不能达到所承诺的养护质量和有关技术规范标准，乙方按协议条款支付违约金，赔偿因违约给甲方造成的损失。</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（4）因一方违约使合同不能履行，另一方欲终止或解除全部合同，应提前10天通知违约方后，方可终止或解除合同，由违约方承担违约责任。</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default" w:ascii="宋体" w:hAnsi="宋体" w:eastAsia="宋体" w:cs="Times New Roman"/>
          <w:bCs/>
          <w:color w:val="auto"/>
          <w:kern w:val="2"/>
          <w:sz w:val="24"/>
          <w:szCs w:val="24"/>
          <w:highlight w:val="none"/>
          <w:lang w:val="en-US" w:bidi="ar-SA"/>
        </w:rPr>
        <w:t>2、</w:t>
      </w:r>
      <w:r>
        <w:rPr>
          <w:rFonts w:hint="eastAsia" w:ascii="宋体" w:hAnsi="宋体" w:eastAsia="宋体" w:cs="Times New Roman"/>
          <w:bCs/>
          <w:color w:val="auto"/>
          <w:kern w:val="2"/>
          <w:sz w:val="24"/>
          <w:szCs w:val="24"/>
          <w:highlight w:val="none"/>
          <w:lang w:val="en-US" w:bidi="ar-SA"/>
        </w:rPr>
        <w:t>争议</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（1）甲乙双方因合同发生争议，可由甲乙双方协商、调解、或向甲方所在地的人民法院起诉解决。</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（2）发生争议后，除出现以下情况的，双方都应继续履行合同，保持养护连续性：</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1)合同确已无法履行；</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2)双方协议停止养护作业；</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3)仲裁机关要求停止养护作业；</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4)法院要求停止养护作业。</w:t>
      </w:r>
    </w:p>
    <w:p>
      <w:pPr>
        <w:shd w:val="clear"/>
        <w:spacing w:after="0" w:line="440" w:lineRule="exact"/>
        <w:ind w:firstLine="482" w:firstLineChars="200"/>
        <w:jc w:val="left"/>
        <w:outlineLvl w:val="9"/>
        <w:rPr>
          <w:rFonts w:hint="default" w:ascii="宋体" w:hAnsi="宋体" w:eastAsia="宋体" w:cs="Times New Roman"/>
          <w:b/>
          <w:color w:val="auto"/>
          <w:kern w:val="2"/>
          <w:sz w:val="24"/>
          <w:szCs w:val="24"/>
          <w:highlight w:val="none"/>
          <w:lang w:val="en-US" w:bidi="ar-SA"/>
        </w:rPr>
      </w:pPr>
      <w:r>
        <w:rPr>
          <w:rFonts w:hint="eastAsia" w:ascii="宋体" w:hAnsi="宋体" w:eastAsia="宋体" w:cs="Times New Roman"/>
          <w:b/>
          <w:color w:val="auto"/>
          <w:kern w:val="2"/>
          <w:sz w:val="24"/>
          <w:szCs w:val="24"/>
          <w:highlight w:val="none"/>
          <w:lang w:val="en-US" w:bidi="ar-SA"/>
        </w:rPr>
        <w:t>七、合同终止</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1、承包范围内的养护管理项目，乙方不得采取任何形式实施分包和转包，凡违反此规定的，甲方将立即取消乙方的承包资格，终止养护承包合同的履行，由此产生的一切法律责任和经济损失由乙方承担；</w:t>
      </w:r>
    </w:p>
    <w:p>
      <w:pPr>
        <w:shd w:val="clear"/>
        <w:spacing w:after="0" w:line="440" w:lineRule="exact"/>
        <w:ind w:firstLine="480" w:firstLineChars="200"/>
        <w:outlineLvl w:val="9"/>
        <w:rPr>
          <w:rFonts w:hint="default" w:ascii="宋体" w:hAnsi="宋体" w:eastAsia="宋体" w:cs="Times New Roman"/>
          <w:bCs/>
          <w:color w:val="auto"/>
          <w:kern w:val="2"/>
          <w:sz w:val="24"/>
          <w:szCs w:val="24"/>
          <w:highlight w:val="none"/>
          <w:lang w:val="en-US" w:bidi="ar-SA"/>
        </w:rPr>
      </w:pPr>
      <w:r>
        <w:rPr>
          <w:rFonts w:hint="eastAsia" w:ascii="宋体" w:hAnsi="宋体" w:eastAsia="宋体" w:cs="Times New Roman"/>
          <w:bCs/>
          <w:color w:val="auto"/>
          <w:kern w:val="2"/>
          <w:sz w:val="24"/>
          <w:szCs w:val="24"/>
          <w:highlight w:val="none"/>
          <w:lang w:val="en-US" w:bidi="ar-SA"/>
        </w:rPr>
        <w:t>2、乙方在本合同订立之日起三个月内，作为试用期；经甲方考核，达不到质量和技术标准的，甲方有权终止合同。因试用不合格，试用期内养护费按合同价的月平均价50％付给。</w:t>
      </w:r>
    </w:p>
    <w:p>
      <w:pPr>
        <w:shd w:val="clear"/>
        <w:spacing w:after="0" w:line="440" w:lineRule="exact"/>
        <w:ind w:firstLine="480" w:firstLineChars="200"/>
        <w:outlineLvl w:val="9"/>
        <w:rPr>
          <w:rFonts w:hint="default"/>
          <w:color w:val="auto"/>
          <w:highlight w:val="none"/>
          <w:lang w:val="en-US"/>
        </w:rPr>
      </w:pPr>
      <w:r>
        <w:rPr>
          <w:rFonts w:hint="eastAsia" w:ascii="宋体" w:hAnsi="宋体" w:eastAsia="宋体" w:cs="Times New Roman"/>
          <w:bCs/>
          <w:color w:val="auto"/>
          <w:kern w:val="2"/>
          <w:sz w:val="24"/>
          <w:szCs w:val="24"/>
          <w:highlight w:val="none"/>
          <w:lang w:val="en-US" w:bidi="ar-SA"/>
        </w:rPr>
        <w:t>3、乙方中标后一年内不履行投标承诺，未响应</w:t>
      </w:r>
      <w:r>
        <w:rPr>
          <w:rFonts w:hint="eastAsia" w:ascii="宋体" w:hAnsi="宋体" w:eastAsia="宋体" w:cs="Times New Roman"/>
          <w:bCs/>
          <w:color w:val="auto"/>
          <w:kern w:val="2"/>
          <w:sz w:val="24"/>
          <w:szCs w:val="24"/>
          <w:highlight w:val="none"/>
          <w:lang w:val="en-US" w:eastAsia="zh-CN" w:bidi="ar-SA"/>
        </w:rPr>
        <w:t>招标文件</w:t>
      </w:r>
      <w:r>
        <w:rPr>
          <w:rFonts w:hint="eastAsia" w:ascii="宋体" w:hAnsi="宋体" w:eastAsia="宋体" w:cs="Times New Roman"/>
          <w:bCs/>
          <w:color w:val="auto"/>
          <w:kern w:val="2"/>
          <w:sz w:val="24"/>
          <w:szCs w:val="24"/>
          <w:highlight w:val="none"/>
          <w:lang w:val="en-US" w:bidi="ar-SA"/>
        </w:rPr>
        <w:t>要求，购置管道养护设备、清淤设备、防汛应急设备等市政专用设备，甲方有权终止该合同。</w:t>
      </w:r>
    </w:p>
    <w:p>
      <w:pPr>
        <w:shd w:val="clear"/>
        <w:spacing w:after="0" w:line="440" w:lineRule="exact"/>
        <w:ind w:firstLine="482" w:firstLineChars="200"/>
        <w:jc w:val="left"/>
        <w:outlineLvl w:val="9"/>
        <w:rPr>
          <w:rFonts w:hint="default" w:ascii="宋体" w:hAnsi="宋体" w:eastAsia="宋体" w:cs="Times New Roman"/>
          <w:b/>
          <w:color w:val="auto"/>
          <w:kern w:val="2"/>
          <w:sz w:val="24"/>
          <w:szCs w:val="24"/>
          <w:highlight w:val="none"/>
          <w:lang w:val="en-US" w:bidi="ar-SA"/>
        </w:rPr>
      </w:pPr>
      <w:r>
        <w:rPr>
          <w:rFonts w:hint="eastAsia" w:ascii="宋体" w:hAnsi="宋体" w:eastAsia="宋体" w:cs="Times New Roman"/>
          <w:b/>
          <w:color w:val="auto"/>
          <w:kern w:val="2"/>
          <w:sz w:val="24"/>
          <w:szCs w:val="24"/>
          <w:highlight w:val="none"/>
          <w:lang w:val="en-US" w:bidi="ar-SA"/>
        </w:rPr>
        <w:t>八、其他</w:t>
      </w:r>
    </w:p>
    <w:p>
      <w:pPr>
        <w:shd w:val="clear"/>
        <w:spacing w:after="0" w:line="440" w:lineRule="exact"/>
        <w:ind w:firstLine="480" w:firstLineChars="200"/>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1、在本合同执行过程中如遇和国家政策、地方法规的有关规定不符时，按有关政策法规执行。</w:t>
      </w:r>
    </w:p>
    <w:p>
      <w:pPr>
        <w:shd w:val="clear"/>
        <w:spacing w:after="0" w:line="440" w:lineRule="exact"/>
        <w:ind w:firstLine="480" w:firstLineChars="200"/>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2、如遇自然灾害和不可抗力造成损失的，经双方协商解决。</w:t>
      </w:r>
    </w:p>
    <w:p>
      <w:pPr>
        <w:shd w:val="clear"/>
        <w:spacing w:after="0" w:line="440" w:lineRule="exact"/>
        <w:ind w:firstLine="480" w:firstLineChars="200"/>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3、本合同如有未尽事宜，双方可通过协商补充协议解决。</w:t>
      </w:r>
    </w:p>
    <w:p>
      <w:pPr>
        <w:shd w:val="clear"/>
        <w:spacing w:after="0" w:line="440" w:lineRule="exact"/>
        <w:ind w:firstLine="482" w:firstLineChars="200"/>
        <w:jc w:val="left"/>
        <w:outlineLvl w:val="9"/>
        <w:rPr>
          <w:rFonts w:hint="default" w:ascii="宋体" w:hAnsi="宋体" w:eastAsia="宋体" w:cs="Times New Roman"/>
          <w:b/>
          <w:color w:val="auto"/>
          <w:kern w:val="2"/>
          <w:sz w:val="24"/>
          <w:szCs w:val="24"/>
          <w:highlight w:val="none"/>
          <w:lang w:val="en-US" w:bidi="ar-SA"/>
        </w:rPr>
      </w:pPr>
      <w:r>
        <w:rPr>
          <w:rFonts w:hint="eastAsia" w:ascii="宋体" w:hAnsi="宋体" w:eastAsia="宋体" w:cs="Times New Roman"/>
          <w:b/>
          <w:color w:val="auto"/>
          <w:kern w:val="2"/>
          <w:sz w:val="24"/>
          <w:szCs w:val="24"/>
          <w:highlight w:val="none"/>
          <w:lang w:val="en-US" w:bidi="ar-SA"/>
        </w:rPr>
        <w:t>九、合同生效与终止</w:t>
      </w:r>
    </w:p>
    <w:p>
      <w:pPr>
        <w:shd w:val="clear"/>
        <w:spacing w:after="0" w:line="440" w:lineRule="exact"/>
        <w:ind w:firstLine="480" w:firstLineChars="200"/>
        <w:outlineLvl w:val="9"/>
        <w:rPr>
          <w:rFonts w:hint="default" w:ascii="宋体" w:hAnsi="宋体" w:eastAsia="宋体" w:cs="Times New Roman"/>
          <w:color w:val="auto"/>
          <w:kern w:val="2"/>
          <w:sz w:val="24"/>
          <w:szCs w:val="24"/>
          <w:highlight w:val="none"/>
          <w:lang w:val="en-US" w:bidi="ar-SA"/>
        </w:rPr>
      </w:pPr>
      <w:r>
        <w:rPr>
          <w:rFonts w:hint="eastAsia" w:ascii="宋体" w:hAnsi="宋体" w:eastAsia="宋体" w:cs="Times New Roman"/>
          <w:color w:val="auto"/>
          <w:kern w:val="2"/>
          <w:sz w:val="24"/>
          <w:szCs w:val="24"/>
          <w:highlight w:val="none"/>
          <w:lang w:val="en-US" w:bidi="ar-SA"/>
        </w:rPr>
        <w:t>双方在合同协议书中约定合同生效方式。双方履行合同全部义务，合同价款支付完毕后，本合同即告终止。</w:t>
      </w:r>
    </w:p>
    <w:p>
      <w:pPr>
        <w:shd w:val="clear"/>
        <w:tabs>
          <w:tab w:val="left" w:pos="1560"/>
        </w:tabs>
        <w:adjustRightInd w:val="0"/>
        <w:snapToGrid w:val="0"/>
        <w:spacing w:after="0" w:line="360" w:lineRule="auto"/>
        <w:ind w:firstLine="482" w:firstLineChars="200"/>
        <w:outlineLvl w:val="9"/>
        <w:rPr>
          <w:rFonts w:hint="default" w:ascii="宋体" w:hAnsi="宋体" w:eastAsia="宋体" w:cs="宋体"/>
          <w:b/>
          <w:color w:val="auto"/>
          <w:kern w:val="2"/>
          <w:sz w:val="24"/>
          <w:szCs w:val="20"/>
          <w:highlight w:val="none"/>
          <w:lang w:val="en-US" w:bidi="ar-SA"/>
        </w:rPr>
      </w:pPr>
      <w:r>
        <w:rPr>
          <w:rFonts w:hint="eastAsia" w:ascii="宋体" w:hAnsi="宋体" w:eastAsia="宋体" w:cs="宋体"/>
          <w:b/>
          <w:color w:val="auto"/>
          <w:kern w:val="2"/>
          <w:sz w:val="24"/>
          <w:szCs w:val="20"/>
          <w:highlight w:val="none"/>
          <w:lang w:val="en-US" w:bidi="ar-SA"/>
        </w:rPr>
        <w:t>合同附件：《廉政责任书》、《安全管理协议书》、《</w:t>
      </w:r>
      <w:r>
        <w:rPr>
          <w:rFonts w:hint="eastAsia" w:ascii="宋体" w:hAnsi="宋体" w:eastAsia="宋体" w:cs="宋体"/>
          <w:b/>
          <w:color w:val="auto"/>
          <w:kern w:val="2"/>
          <w:sz w:val="24"/>
          <w:szCs w:val="20"/>
          <w:highlight w:val="none"/>
          <w:lang w:val="en-US" w:eastAsia="zh-CN" w:bidi="ar-SA"/>
        </w:rPr>
        <w:t>开标一览表</w:t>
      </w:r>
      <w:r>
        <w:rPr>
          <w:rFonts w:hint="eastAsia" w:ascii="宋体" w:hAnsi="宋体" w:eastAsia="宋体" w:cs="宋体"/>
          <w:b/>
          <w:color w:val="auto"/>
          <w:kern w:val="2"/>
          <w:sz w:val="24"/>
          <w:szCs w:val="20"/>
          <w:highlight w:val="none"/>
          <w:lang w:val="en-US" w:bidi="ar-SA"/>
        </w:rPr>
        <w:t>》、《明细报价表》</w:t>
      </w:r>
    </w:p>
    <w:p>
      <w:pPr>
        <w:shd w:val="clear"/>
        <w:adjustRightInd w:val="0"/>
        <w:snapToGrid w:val="0"/>
        <w:spacing w:after="0" w:line="360" w:lineRule="auto"/>
        <w:outlineLvl w:val="9"/>
        <w:rPr>
          <w:rFonts w:hint="eastAsia" w:ascii="宋体" w:hAnsi="宋体" w:eastAsia="宋体" w:cs="宋体"/>
          <w:b/>
          <w:color w:val="auto"/>
          <w:kern w:val="2"/>
          <w:sz w:val="24"/>
          <w:szCs w:val="20"/>
          <w:highlight w:val="none"/>
          <w:lang w:val="en-US" w:bidi="ar-SA"/>
        </w:rPr>
      </w:pPr>
      <w:r>
        <w:rPr>
          <w:rFonts w:hint="eastAsia" w:ascii="宋体" w:hAnsi="宋体" w:eastAsia="宋体" w:cs="宋体"/>
          <w:b/>
          <w:color w:val="auto"/>
          <w:kern w:val="2"/>
          <w:sz w:val="24"/>
          <w:szCs w:val="20"/>
          <w:highlight w:val="none"/>
          <w:lang w:val="en-US" w:bidi="ar-SA"/>
        </w:rPr>
        <w:t>以下无正文。</w:t>
      </w:r>
    </w:p>
    <w:p>
      <w:pPr>
        <w:pStyle w:val="28"/>
        <w:rPr>
          <w:rFonts w:hint="default"/>
          <w:color w:val="auto"/>
          <w:highlight w:val="none"/>
          <w:lang w:val="en-US"/>
        </w:rPr>
      </w:pPr>
    </w:p>
    <w:tbl>
      <w:tblPr>
        <w:tblStyle w:val="82"/>
        <w:tblW w:w="10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40"/>
        <w:gridCol w:w="49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5240" w:type="dxa"/>
            <w:tcBorders>
              <w:top w:val="single" w:color="auto" w:sz="4" w:space="0"/>
              <w:left w:val="single" w:color="auto" w:sz="4" w:space="0"/>
              <w:bottom w:val="single" w:color="auto" w:sz="4" w:space="0"/>
              <w:right w:val="single" w:color="auto" w:sz="4" w:space="0"/>
            </w:tcBorders>
            <w:vAlign w:val="center"/>
          </w:tcPr>
          <w:p>
            <w:pPr>
              <w:shd w:val="clear"/>
              <w:adjustRightInd w:val="0"/>
              <w:snapToGrid w:val="0"/>
              <w:spacing w:after="0" w:line="380" w:lineRule="exact"/>
              <w:jc w:val="left"/>
              <w:outlineLvl w:val="9"/>
              <w:rPr>
                <w:rFonts w:hint="default" w:ascii="宋体" w:hAnsi="宋体" w:eastAsia="宋体" w:cs="宋体"/>
                <w:b/>
                <w:color w:val="auto"/>
                <w:kern w:val="2"/>
                <w:sz w:val="24"/>
                <w:szCs w:val="22"/>
                <w:highlight w:val="none"/>
                <w:lang w:val="en-US" w:bidi="ar-SA"/>
              </w:rPr>
            </w:pPr>
            <w:r>
              <w:rPr>
                <w:rFonts w:hint="eastAsia" w:ascii="宋体" w:hAnsi="宋体" w:eastAsia="宋体" w:cs="宋体"/>
                <w:b/>
                <w:color w:val="auto"/>
                <w:kern w:val="2"/>
                <w:sz w:val="24"/>
                <w:szCs w:val="22"/>
                <w:highlight w:val="none"/>
                <w:lang w:val="en-US" w:bidi="ar-SA"/>
              </w:rPr>
              <w:t>甲   方</w:t>
            </w:r>
          </w:p>
        </w:tc>
        <w:tc>
          <w:tcPr>
            <w:tcW w:w="4961" w:type="dxa"/>
            <w:tcBorders>
              <w:top w:val="single" w:color="auto" w:sz="4" w:space="0"/>
              <w:left w:val="single" w:color="auto" w:sz="4" w:space="0"/>
              <w:bottom w:val="single" w:color="auto" w:sz="4" w:space="0"/>
              <w:right w:val="single" w:color="auto" w:sz="4" w:space="0"/>
            </w:tcBorders>
            <w:vAlign w:val="center"/>
          </w:tcPr>
          <w:p>
            <w:pPr>
              <w:shd w:val="clear"/>
              <w:adjustRightInd w:val="0"/>
              <w:snapToGrid w:val="0"/>
              <w:spacing w:after="0" w:line="380" w:lineRule="exact"/>
              <w:jc w:val="left"/>
              <w:outlineLvl w:val="9"/>
              <w:rPr>
                <w:rFonts w:hint="default" w:ascii="宋体" w:hAnsi="宋体" w:eastAsia="宋体" w:cs="宋体"/>
                <w:b/>
                <w:color w:val="auto"/>
                <w:kern w:val="2"/>
                <w:sz w:val="24"/>
                <w:szCs w:val="22"/>
                <w:highlight w:val="none"/>
                <w:lang w:val="en-US" w:bidi="ar-SA"/>
              </w:rPr>
            </w:pPr>
            <w:r>
              <w:rPr>
                <w:rFonts w:hint="eastAsia" w:ascii="宋体" w:hAnsi="宋体" w:eastAsia="宋体" w:cs="宋体"/>
                <w:b/>
                <w:color w:val="auto"/>
                <w:kern w:val="2"/>
                <w:sz w:val="24"/>
                <w:szCs w:val="22"/>
                <w:highlight w:val="none"/>
                <w:lang w:val="en-US" w:bidi="ar-SA"/>
              </w:rPr>
              <w:t>乙   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5" w:hRule="atLeast"/>
          <w:jc w:val="center"/>
        </w:trPr>
        <w:tc>
          <w:tcPr>
            <w:tcW w:w="5240" w:type="dxa"/>
            <w:tcBorders>
              <w:top w:val="single" w:color="auto" w:sz="4" w:space="0"/>
              <w:left w:val="single" w:color="auto" w:sz="4" w:space="0"/>
              <w:bottom w:val="single" w:color="auto" w:sz="4" w:space="0"/>
              <w:right w:val="single" w:color="auto" w:sz="4" w:space="0"/>
            </w:tcBorders>
          </w:tcPr>
          <w:p>
            <w:pPr>
              <w:shd w:val="clear"/>
              <w:adjustRightInd w:val="0"/>
              <w:snapToGrid w:val="0"/>
              <w:spacing w:after="0" w:line="380" w:lineRule="exact"/>
              <w:jc w:val="left"/>
              <w:outlineLvl w:val="9"/>
              <w:rPr>
                <w:rFonts w:hint="default" w:ascii="宋体" w:hAnsi="宋体" w:eastAsia="宋体" w:cs="宋体"/>
                <w:color w:val="auto"/>
                <w:kern w:val="2"/>
                <w:sz w:val="24"/>
                <w:szCs w:val="22"/>
                <w:highlight w:val="none"/>
                <w:lang w:val="en-US" w:bidi="ar-SA"/>
              </w:rPr>
            </w:pPr>
            <w:r>
              <w:rPr>
                <w:rFonts w:hint="eastAsia" w:ascii="宋体" w:hAnsi="宋体" w:eastAsia="宋体" w:cs="宋体"/>
                <w:color w:val="auto"/>
                <w:kern w:val="2"/>
                <w:sz w:val="24"/>
                <w:szCs w:val="22"/>
                <w:highlight w:val="none"/>
                <w:lang w:val="en-US" w:bidi="ar-SA"/>
              </w:rPr>
              <w:t>单位名称（盖章）：无锡市滨湖区太湖街道办事处</w:t>
            </w:r>
          </w:p>
          <w:p>
            <w:pPr>
              <w:shd w:val="clear"/>
              <w:adjustRightInd w:val="0"/>
              <w:snapToGrid w:val="0"/>
              <w:spacing w:after="0" w:line="380" w:lineRule="exact"/>
              <w:jc w:val="left"/>
              <w:outlineLvl w:val="9"/>
              <w:rPr>
                <w:rFonts w:hint="default" w:ascii="宋体" w:hAnsi="宋体" w:eastAsia="宋体" w:cs="宋体"/>
                <w:color w:val="auto"/>
                <w:kern w:val="2"/>
                <w:sz w:val="24"/>
                <w:szCs w:val="22"/>
                <w:highlight w:val="none"/>
                <w:lang w:val="en-US" w:bidi="ar-SA"/>
              </w:rPr>
            </w:pPr>
          </w:p>
        </w:tc>
        <w:tc>
          <w:tcPr>
            <w:tcW w:w="4961" w:type="dxa"/>
            <w:tcBorders>
              <w:top w:val="single" w:color="auto" w:sz="4" w:space="0"/>
              <w:left w:val="single" w:color="auto" w:sz="4" w:space="0"/>
              <w:bottom w:val="single" w:color="auto" w:sz="4" w:space="0"/>
              <w:right w:val="single" w:color="auto" w:sz="4" w:space="0"/>
            </w:tcBorders>
          </w:tcPr>
          <w:p>
            <w:pPr>
              <w:shd w:val="clear"/>
              <w:adjustRightInd w:val="0"/>
              <w:snapToGrid w:val="0"/>
              <w:spacing w:after="0" w:line="380" w:lineRule="exact"/>
              <w:jc w:val="left"/>
              <w:outlineLvl w:val="9"/>
              <w:rPr>
                <w:rFonts w:hint="default" w:ascii="宋体" w:hAnsi="宋体" w:eastAsia="宋体" w:cs="宋体"/>
                <w:color w:val="auto"/>
                <w:kern w:val="2"/>
                <w:sz w:val="24"/>
                <w:szCs w:val="22"/>
                <w:highlight w:val="none"/>
                <w:lang w:val="en-US" w:bidi="ar-SA"/>
              </w:rPr>
            </w:pPr>
            <w:r>
              <w:rPr>
                <w:rFonts w:hint="eastAsia" w:ascii="宋体" w:hAnsi="宋体" w:eastAsia="宋体" w:cs="宋体"/>
                <w:color w:val="auto"/>
                <w:kern w:val="2"/>
                <w:sz w:val="24"/>
                <w:szCs w:val="22"/>
                <w:highlight w:val="none"/>
                <w:lang w:val="en-US" w:bidi="ar-SA"/>
              </w:rPr>
              <w:t>单位名称（盖章）：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5240" w:type="dxa"/>
            <w:tcBorders>
              <w:top w:val="single" w:color="auto" w:sz="4" w:space="0"/>
              <w:left w:val="single" w:color="auto" w:sz="4" w:space="0"/>
              <w:bottom w:val="single" w:color="auto" w:sz="4" w:space="0"/>
              <w:right w:val="single" w:color="auto" w:sz="4" w:space="0"/>
            </w:tcBorders>
            <w:vAlign w:val="center"/>
          </w:tcPr>
          <w:p>
            <w:pPr>
              <w:shd w:val="clear"/>
              <w:adjustRightInd w:val="0"/>
              <w:snapToGrid w:val="0"/>
              <w:spacing w:after="0" w:line="380" w:lineRule="exact"/>
              <w:jc w:val="left"/>
              <w:outlineLvl w:val="9"/>
              <w:rPr>
                <w:rFonts w:hint="default" w:ascii="宋体" w:hAnsi="宋体" w:eastAsia="宋体" w:cs="宋体"/>
                <w:color w:val="auto"/>
                <w:kern w:val="2"/>
                <w:sz w:val="24"/>
                <w:szCs w:val="22"/>
                <w:highlight w:val="none"/>
                <w:lang w:val="en-US" w:bidi="ar-SA"/>
              </w:rPr>
            </w:pPr>
            <w:r>
              <w:rPr>
                <w:rFonts w:hint="eastAsia" w:ascii="宋体" w:hAnsi="宋体" w:eastAsia="宋体" w:cs="宋体"/>
                <w:color w:val="auto"/>
                <w:kern w:val="2"/>
                <w:sz w:val="24"/>
                <w:szCs w:val="22"/>
                <w:highlight w:val="none"/>
                <w:lang w:val="en-US" w:bidi="ar-SA"/>
              </w:rPr>
              <w:t>单位地址：</w:t>
            </w:r>
            <w:r>
              <w:rPr>
                <w:rFonts w:hint="default" w:ascii="宋体" w:hAnsi="宋体" w:eastAsia="宋体" w:cs="宋体"/>
                <w:color w:val="auto"/>
                <w:kern w:val="2"/>
                <w:sz w:val="24"/>
                <w:szCs w:val="22"/>
                <w:highlight w:val="none"/>
                <w:lang w:val="en-US" w:bidi="ar-SA"/>
              </w:rPr>
              <w:t xml:space="preserve"> </w:t>
            </w:r>
          </w:p>
        </w:tc>
        <w:tc>
          <w:tcPr>
            <w:tcW w:w="4961" w:type="dxa"/>
            <w:tcBorders>
              <w:top w:val="single" w:color="auto" w:sz="4" w:space="0"/>
              <w:left w:val="single" w:color="auto" w:sz="4" w:space="0"/>
              <w:bottom w:val="single" w:color="auto" w:sz="4" w:space="0"/>
              <w:right w:val="single" w:color="auto" w:sz="4" w:space="0"/>
            </w:tcBorders>
            <w:vAlign w:val="center"/>
          </w:tcPr>
          <w:p>
            <w:pPr>
              <w:shd w:val="clear"/>
              <w:adjustRightInd w:val="0"/>
              <w:snapToGrid w:val="0"/>
              <w:spacing w:after="0" w:line="380" w:lineRule="exact"/>
              <w:jc w:val="left"/>
              <w:outlineLvl w:val="9"/>
              <w:rPr>
                <w:rFonts w:hint="default" w:ascii="宋体" w:hAnsi="宋体" w:eastAsia="宋体" w:cs="宋体"/>
                <w:color w:val="auto"/>
                <w:kern w:val="2"/>
                <w:sz w:val="24"/>
                <w:szCs w:val="22"/>
                <w:highlight w:val="none"/>
                <w:lang w:val="en-US" w:bidi="ar-SA"/>
              </w:rPr>
            </w:pPr>
            <w:r>
              <w:rPr>
                <w:rFonts w:hint="eastAsia" w:ascii="宋体" w:hAnsi="宋体" w:eastAsia="宋体" w:cs="宋体"/>
                <w:color w:val="auto"/>
                <w:kern w:val="2"/>
                <w:sz w:val="24"/>
                <w:szCs w:val="22"/>
                <w:highlight w:val="none"/>
                <w:lang w:val="en-US" w:bidi="ar-SA"/>
              </w:rPr>
              <w:t>单位地址：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5240" w:type="dxa"/>
            <w:tcBorders>
              <w:top w:val="single" w:color="auto" w:sz="4" w:space="0"/>
              <w:left w:val="single" w:color="auto" w:sz="4" w:space="0"/>
              <w:bottom w:val="single" w:color="auto" w:sz="4" w:space="0"/>
              <w:right w:val="single" w:color="auto" w:sz="4" w:space="0"/>
            </w:tcBorders>
            <w:vAlign w:val="center"/>
          </w:tcPr>
          <w:p>
            <w:pPr>
              <w:shd w:val="clear"/>
              <w:adjustRightInd w:val="0"/>
              <w:snapToGrid w:val="0"/>
              <w:spacing w:after="0" w:line="380" w:lineRule="exact"/>
              <w:jc w:val="left"/>
              <w:outlineLvl w:val="9"/>
              <w:rPr>
                <w:rFonts w:hint="default" w:ascii="宋体" w:hAnsi="宋体" w:eastAsia="宋体" w:cs="宋体"/>
                <w:color w:val="auto"/>
                <w:kern w:val="2"/>
                <w:sz w:val="24"/>
                <w:szCs w:val="22"/>
                <w:highlight w:val="none"/>
                <w:lang w:val="en-US" w:bidi="ar-SA"/>
              </w:rPr>
            </w:pPr>
            <w:r>
              <w:rPr>
                <w:rFonts w:hint="eastAsia" w:ascii="宋体" w:hAnsi="宋体" w:eastAsia="宋体" w:cs="宋体"/>
                <w:color w:val="auto"/>
                <w:kern w:val="2"/>
                <w:sz w:val="24"/>
                <w:szCs w:val="22"/>
                <w:highlight w:val="none"/>
                <w:lang w:val="en-US" w:bidi="ar-SA"/>
              </w:rPr>
              <w:t>法定代表人（签字或盖章）：</w:t>
            </w:r>
          </w:p>
        </w:tc>
        <w:tc>
          <w:tcPr>
            <w:tcW w:w="4961" w:type="dxa"/>
            <w:tcBorders>
              <w:top w:val="single" w:color="auto" w:sz="4" w:space="0"/>
              <w:left w:val="single" w:color="auto" w:sz="4" w:space="0"/>
              <w:bottom w:val="single" w:color="auto" w:sz="4" w:space="0"/>
              <w:right w:val="single" w:color="auto" w:sz="4" w:space="0"/>
            </w:tcBorders>
            <w:vAlign w:val="center"/>
          </w:tcPr>
          <w:p>
            <w:pPr>
              <w:shd w:val="clear"/>
              <w:adjustRightInd w:val="0"/>
              <w:snapToGrid w:val="0"/>
              <w:spacing w:after="0" w:line="380" w:lineRule="exact"/>
              <w:jc w:val="left"/>
              <w:outlineLvl w:val="9"/>
              <w:rPr>
                <w:rFonts w:hint="default" w:ascii="宋体" w:hAnsi="宋体" w:eastAsia="宋体" w:cs="宋体"/>
                <w:color w:val="auto"/>
                <w:kern w:val="2"/>
                <w:sz w:val="24"/>
                <w:szCs w:val="22"/>
                <w:highlight w:val="none"/>
                <w:lang w:val="en-US" w:bidi="ar-SA"/>
              </w:rPr>
            </w:pPr>
            <w:r>
              <w:rPr>
                <w:rFonts w:hint="eastAsia" w:ascii="宋体" w:hAnsi="宋体" w:eastAsia="宋体" w:cs="宋体"/>
                <w:color w:val="auto"/>
                <w:kern w:val="2"/>
                <w:sz w:val="24"/>
                <w:szCs w:val="22"/>
                <w:highlight w:val="none"/>
                <w:lang w:val="en-US" w:bidi="ar-SA"/>
              </w:rPr>
              <w:t>法定代表人（签字或盖章）：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5240" w:type="dxa"/>
            <w:tcBorders>
              <w:top w:val="single" w:color="auto" w:sz="4" w:space="0"/>
              <w:left w:val="single" w:color="auto" w:sz="4" w:space="0"/>
              <w:bottom w:val="single" w:color="auto" w:sz="4" w:space="0"/>
              <w:right w:val="single" w:color="auto" w:sz="4" w:space="0"/>
            </w:tcBorders>
            <w:vAlign w:val="center"/>
          </w:tcPr>
          <w:p>
            <w:pPr>
              <w:shd w:val="clear"/>
              <w:adjustRightInd w:val="0"/>
              <w:snapToGrid w:val="0"/>
              <w:spacing w:after="0" w:line="380" w:lineRule="exact"/>
              <w:jc w:val="left"/>
              <w:outlineLvl w:val="9"/>
              <w:rPr>
                <w:rFonts w:hint="default" w:ascii="宋体" w:hAnsi="宋体" w:eastAsia="宋体" w:cs="宋体"/>
                <w:color w:val="auto"/>
                <w:kern w:val="2"/>
                <w:sz w:val="24"/>
                <w:szCs w:val="22"/>
                <w:highlight w:val="none"/>
                <w:lang w:val="en-US" w:bidi="ar-SA"/>
              </w:rPr>
            </w:pPr>
            <w:r>
              <w:rPr>
                <w:rFonts w:hint="eastAsia" w:ascii="宋体" w:hAnsi="宋体" w:eastAsia="宋体" w:cs="宋体"/>
                <w:color w:val="auto"/>
                <w:kern w:val="2"/>
                <w:sz w:val="24"/>
                <w:szCs w:val="22"/>
                <w:highlight w:val="none"/>
                <w:lang w:val="en-US" w:bidi="ar-SA"/>
              </w:rPr>
              <w:t>经办人（签字）：</w:t>
            </w:r>
          </w:p>
        </w:tc>
        <w:tc>
          <w:tcPr>
            <w:tcW w:w="4961" w:type="dxa"/>
            <w:tcBorders>
              <w:top w:val="single" w:color="auto" w:sz="4" w:space="0"/>
              <w:left w:val="single" w:color="auto" w:sz="4" w:space="0"/>
              <w:bottom w:val="single" w:color="auto" w:sz="4" w:space="0"/>
              <w:right w:val="single" w:color="auto" w:sz="4" w:space="0"/>
            </w:tcBorders>
            <w:vAlign w:val="center"/>
          </w:tcPr>
          <w:p>
            <w:pPr>
              <w:shd w:val="clear"/>
              <w:adjustRightInd w:val="0"/>
              <w:snapToGrid w:val="0"/>
              <w:spacing w:after="0" w:line="380" w:lineRule="exact"/>
              <w:jc w:val="left"/>
              <w:outlineLvl w:val="9"/>
              <w:rPr>
                <w:rFonts w:hint="default" w:ascii="宋体" w:hAnsi="宋体" w:eastAsia="宋体" w:cs="宋体"/>
                <w:color w:val="auto"/>
                <w:kern w:val="2"/>
                <w:sz w:val="24"/>
                <w:szCs w:val="22"/>
                <w:highlight w:val="none"/>
                <w:lang w:val="en-US" w:bidi="ar-SA"/>
              </w:rPr>
            </w:pPr>
            <w:r>
              <w:rPr>
                <w:rFonts w:hint="eastAsia" w:ascii="宋体" w:hAnsi="宋体" w:eastAsia="宋体" w:cs="宋体"/>
                <w:color w:val="auto"/>
                <w:kern w:val="2"/>
                <w:sz w:val="24"/>
                <w:szCs w:val="22"/>
                <w:highlight w:val="none"/>
                <w:lang w:val="en-US" w:bidi="ar-SA"/>
              </w:rPr>
              <w:t>经办人（签字）：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exact"/>
          <w:jc w:val="center"/>
        </w:trPr>
        <w:tc>
          <w:tcPr>
            <w:tcW w:w="5240" w:type="dxa"/>
            <w:tcBorders>
              <w:top w:val="single" w:color="auto" w:sz="4" w:space="0"/>
              <w:left w:val="single" w:color="auto" w:sz="4" w:space="0"/>
              <w:bottom w:val="single" w:color="auto" w:sz="4" w:space="0"/>
              <w:right w:val="single" w:color="auto" w:sz="4" w:space="0"/>
            </w:tcBorders>
            <w:vAlign w:val="center"/>
          </w:tcPr>
          <w:p>
            <w:pPr>
              <w:shd w:val="clear"/>
              <w:adjustRightInd w:val="0"/>
              <w:snapToGrid w:val="0"/>
              <w:spacing w:after="0" w:line="380" w:lineRule="exact"/>
              <w:jc w:val="left"/>
              <w:outlineLvl w:val="9"/>
              <w:rPr>
                <w:rFonts w:hint="default" w:ascii="宋体" w:hAnsi="宋体" w:eastAsia="宋体" w:cs="宋体"/>
                <w:color w:val="auto"/>
                <w:kern w:val="2"/>
                <w:sz w:val="24"/>
                <w:szCs w:val="22"/>
                <w:highlight w:val="none"/>
                <w:lang w:val="en-US" w:bidi="ar-SA"/>
              </w:rPr>
            </w:pPr>
            <w:r>
              <w:rPr>
                <w:rFonts w:hint="eastAsia" w:ascii="宋体" w:hAnsi="宋体" w:eastAsia="宋体" w:cs="宋体"/>
                <w:color w:val="auto"/>
                <w:kern w:val="2"/>
                <w:sz w:val="24"/>
                <w:szCs w:val="22"/>
                <w:highlight w:val="none"/>
                <w:lang w:val="en-US" w:bidi="ar-SA"/>
              </w:rPr>
              <w:t>开户银行：</w:t>
            </w:r>
          </w:p>
        </w:tc>
        <w:tc>
          <w:tcPr>
            <w:tcW w:w="4961" w:type="dxa"/>
            <w:tcBorders>
              <w:top w:val="single" w:color="auto" w:sz="4" w:space="0"/>
              <w:left w:val="single" w:color="auto" w:sz="4" w:space="0"/>
              <w:bottom w:val="single" w:color="auto" w:sz="4" w:space="0"/>
              <w:right w:val="single" w:color="auto" w:sz="4" w:space="0"/>
            </w:tcBorders>
            <w:vAlign w:val="center"/>
          </w:tcPr>
          <w:p>
            <w:pPr>
              <w:shd w:val="clear"/>
              <w:adjustRightInd w:val="0"/>
              <w:snapToGrid w:val="0"/>
              <w:spacing w:after="0" w:line="380" w:lineRule="exact"/>
              <w:jc w:val="left"/>
              <w:outlineLvl w:val="9"/>
              <w:rPr>
                <w:rFonts w:hint="default" w:ascii="宋体" w:hAnsi="宋体" w:eastAsia="宋体" w:cs="宋体"/>
                <w:color w:val="auto"/>
                <w:kern w:val="2"/>
                <w:sz w:val="24"/>
                <w:szCs w:val="22"/>
                <w:highlight w:val="none"/>
                <w:lang w:val="en-US" w:bidi="ar-SA"/>
              </w:rPr>
            </w:pPr>
            <w:r>
              <w:rPr>
                <w:rFonts w:hint="eastAsia" w:ascii="宋体" w:hAnsi="宋体" w:eastAsia="宋体" w:cs="宋体"/>
                <w:color w:val="auto"/>
                <w:kern w:val="2"/>
                <w:sz w:val="24"/>
                <w:szCs w:val="22"/>
                <w:highlight w:val="none"/>
                <w:lang w:val="en-US" w:bidi="ar-SA"/>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5240" w:type="dxa"/>
            <w:tcBorders>
              <w:top w:val="single" w:color="auto" w:sz="4" w:space="0"/>
              <w:left w:val="single" w:color="auto" w:sz="4" w:space="0"/>
              <w:bottom w:val="single" w:color="auto" w:sz="4" w:space="0"/>
              <w:right w:val="single" w:color="auto" w:sz="4" w:space="0"/>
            </w:tcBorders>
            <w:vAlign w:val="center"/>
          </w:tcPr>
          <w:p>
            <w:pPr>
              <w:shd w:val="clear"/>
              <w:adjustRightInd w:val="0"/>
              <w:snapToGrid w:val="0"/>
              <w:spacing w:after="0" w:line="380" w:lineRule="exact"/>
              <w:jc w:val="left"/>
              <w:outlineLvl w:val="9"/>
              <w:rPr>
                <w:rFonts w:hint="default" w:ascii="宋体" w:hAnsi="宋体" w:eastAsia="宋体" w:cs="宋体"/>
                <w:color w:val="auto"/>
                <w:kern w:val="2"/>
                <w:sz w:val="24"/>
                <w:szCs w:val="22"/>
                <w:highlight w:val="none"/>
                <w:lang w:val="en-US" w:bidi="ar-SA"/>
              </w:rPr>
            </w:pPr>
            <w:r>
              <w:rPr>
                <w:rFonts w:hint="eastAsia" w:ascii="宋体" w:hAnsi="宋体" w:eastAsia="宋体" w:cs="宋体"/>
                <w:color w:val="auto"/>
                <w:kern w:val="2"/>
                <w:sz w:val="24"/>
                <w:szCs w:val="22"/>
                <w:highlight w:val="none"/>
                <w:lang w:val="en-US" w:bidi="ar-SA"/>
              </w:rPr>
              <w:t>账    号：</w:t>
            </w:r>
          </w:p>
        </w:tc>
        <w:tc>
          <w:tcPr>
            <w:tcW w:w="4961" w:type="dxa"/>
            <w:tcBorders>
              <w:top w:val="single" w:color="auto" w:sz="4" w:space="0"/>
              <w:left w:val="single" w:color="auto" w:sz="4" w:space="0"/>
              <w:bottom w:val="single" w:color="auto" w:sz="4" w:space="0"/>
              <w:right w:val="single" w:color="auto" w:sz="4" w:space="0"/>
            </w:tcBorders>
            <w:vAlign w:val="center"/>
          </w:tcPr>
          <w:p>
            <w:pPr>
              <w:shd w:val="clear"/>
              <w:adjustRightInd w:val="0"/>
              <w:snapToGrid w:val="0"/>
              <w:spacing w:after="0" w:line="380" w:lineRule="exact"/>
              <w:jc w:val="left"/>
              <w:outlineLvl w:val="9"/>
              <w:rPr>
                <w:rFonts w:hint="default" w:ascii="宋体" w:hAnsi="宋体" w:eastAsia="宋体" w:cs="宋体"/>
                <w:color w:val="auto"/>
                <w:kern w:val="2"/>
                <w:sz w:val="24"/>
                <w:szCs w:val="22"/>
                <w:highlight w:val="none"/>
                <w:lang w:val="en-US" w:bidi="ar-SA"/>
              </w:rPr>
            </w:pPr>
            <w:r>
              <w:rPr>
                <w:rFonts w:hint="eastAsia" w:ascii="宋体" w:hAnsi="宋体" w:eastAsia="宋体" w:cs="宋体"/>
                <w:color w:val="auto"/>
                <w:kern w:val="2"/>
                <w:sz w:val="24"/>
                <w:szCs w:val="22"/>
                <w:highlight w:val="none"/>
                <w:lang w:val="en-US" w:bidi="ar-SA"/>
              </w:rPr>
              <w:t>账    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5240" w:type="dxa"/>
            <w:tcBorders>
              <w:top w:val="single" w:color="auto" w:sz="4" w:space="0"/>
              <w:left w:val="single" w:color="auto" w:sz="4" w:space="0"/>
              <w:bottom w:val="single" w:color="auto" w:sz="4" w:space="0"/>
              <w:right w:val="single" w:color="auto" w:sz="4" w:space="0"/>
            </w:tcBorders>
            <w:vAlign w:val="center"/>
          </w:tcPr>
          <w:p>
            <w:pPr>
              <w:shd w:val="clear"/>
              <w:adjustRightInd w:val="0"/>
              <w:snapToGrid w:val="0"/>
              <w:spacing w:after="0" w:line="380" w:lineRule="exact"/>
              <w:jc w:val="left"/>
              <w:outlineLvl w:val="9"/>
              <w:rPr>
                <w:rFonts w:hint="default" w:ascii="宋体" w:hAnsi="宋体" w:eastAsia="宋体" w:cs="宋体"/>
                <w:color w:val="auto"/>
                <w:kern w:val="2"/>
                <w:sz w:val="24"/>
                <w:szCs w:val="22"/>
                <w:highlight w:val="none"/>
                <w:lang w:val="en-US" w:bidi="ar-SA"/>
              </w:rPr>
            </w:pPr>
            <w:r>
              <w:rPr>
                <w:rFonts w:hint="eastAsia" w:ascii="宋体" w:hAnsi="宋体" w:eastAsia="宋体" w:cs="宋体"/>
                <w:color w:val="auto"/>
                <w:kern w:val="2"/>
                <w:sz w:val="24"/>
                <w:szCs w:val="22"/>
                <w:highlight w:val="none"/>
                <w:lang w:val="en-US" w:bidi="ar-SA"/>
              </w:rPr>
              <w:t>联 系 人：</w:t>
            </w:r>
          </w:p>
        </w:tc>
        <w:tc>
          <w:tcPr>
            <w:tcW w:w="4961" w:type="dxa"/>
            <w:tcBorders>
              <w:top w:val="single" w:color="auto" w:sz="4" w:space="0"/>
              <w:left w:val="single" w:color="auto" w:sz="4" w:space="0"/>
              <w:bottom w:val="single" w:color="auto" w:sz="4" w:space="0"/>
              <w:right w:val="single" w:color="auto" w:sz="4" w:space="0"/>
            </w:tcBorders>
            <w:vAlign w:val="center"/>
          </w:tcPr>
          <w:p>
            <w:pPr>
              <w:shd w:val="clear"/>
              <w:adjustRightInd w:val="0"/>
              <w:snapToGrid w:val="0"/>
              <w:spacing w:after="0" w:line="380" w:lineRule="exact"/>
              <w:jc w:val="left"/>
              <w:outlineLvl w:val="9"/>
              <w:rPr>
                <w:rFonts w:hint="default" w:ascii="宋体" w:hAnsi="宋体" w:eastAsia="宋体" w:cs="宋体"/>
                <w:color w:val="auto"/>
                <w:kern w:val="2"/>
                <w:sz w:val="24"/>
                <w:szCs w:val="22"/>
                <w:highlight w:val="none"/>
                <w:lang w:val="en-US" w:bidi="ar-SA"/>
              </w:rPr>
            </w:pPr>
            <w:r>
              <w:rPr>
                <w:rFonts w:hint="eastAsia" w:ascii="宋体" w:hAnsi="宋体" w:eastAsia="宋体" w:cs="宋体"/>
                <w:color w:val="auto"/>
                <w:kern w:val="2"/>
                <w:sz w:val="24"/>
                <w:szCs w:val="22"/>
                <w:highlight w:val="none"/>
                <w:lang w:val="en-US" w:bidi="ar-SA"/>
              </w:rPr>
              <w:t>联 系 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5240" w:type="dxa"/>
            <w:tcBorders>
              <w:top w:val="single" w:color="auto" w:sz="4" w:space="0"/>
              <w:left w:val="single" w:color="auto" w:sz="4" w:space="0"/>
              <w:bottom w:val="single" w:color="auto" w:sz="4" w:space="0"/>
              <w:right w:val="single" w:color="auto" w:sz="4" w:space="0"/>
            </w:tcBorders>
            <w:vAlign w:val="center"/>
          </w:tcPr>
          <w:p>
            <w:pPr>
              <w:shd w:val="clear"/>
              <w:adjustRightInd w:val="0"/>
              <w:snapToGrid w:val="0"/>
              <w:spacing w:after="0" w:line="380" w:lineRule="exact"/>
              <w:jc w:val="left"/>
              <w:outlineLvl w:val="9"/>
              <w:rPr>
                <w:rFonts w:hint="default" w:ascii="宋体" w:hAnsi="宋体" w:eastAsia="宋体" w:cs="宋体"/>
                <w:color w:val="auto"/>
                <w:kern w:val="2"/>
                <w:sz w:val="24"/>
                <w:szCs w:val="22"/>
                <w:highlight w:val="none"/>
                <w:lang w:val="en-US" w:bidi="ar-SA"/>
              </w:rPr>
            </w:pPr>
            <w:r>
              <w:rPr>
                <w:rFonts w:hint="eastAsia" w:ascii="宋体" w:hAnsi="宋体" w:eastAsia="宋体" w:cs="宋体"/>
                <w:color w:val="auto"/>
                <w:kern w:val="2"/>
                <w:sz w:val="24"/>
                <w:szCs w:val="22"/>
                <w:highlight w:val="none"/>
                <w:lang w:val="en-US" w:bidi="ar-SA"/>
              </w:rPr>
              <w:t>电    话：</w:t>
            </w:r>
          </w:p>
        </w:tc>
        <w:tc>
          <w:tcPr>
            <w:tcW w:w="4961" w:type="dxa"/>
            <w:tcBorders>
              <w:top w:val="single" w:color="auto" w:sz="4" w:space="0"/>
              <w:left w:val="single" w:color="auto" w:sz="4" w:space="0"/>
              <w:bottom w:val="single" w:color="auto" w:sz="4" w:space="0"/>
              <w:right w:val="single" w:color="auto" w:sz="4" w:space="0"/>
            </w:tcBorders>
            <w:vAlign w:val="center"/>
          </w:tcPr>
          <w:p>
            <w:pPr>
              <w:shd w:val="clear"/>
              <w:adjustRightInd w:val="0"/>
              <w:snapToGrid w:val="0"/>
              <w:spacing w:after="0" w:line="380" w:lineRule="exact"/>
              <w:jc w:val="left"/>
              <w:outlineLvl w:val="9"/>
              <w:rPr>
                <w:rFonts w:hint="default" w:ascii="宋体" w:hAnsi="宋体" w:eastAsia="宋体" w:cs="宋体"/>
                <w:color w:val="auto"/>
                <w:kern w:val="2"/>
                <w:sz w:val="24"/>
                <w:szCs w:val="22"/>
                <w:highlight w:val="none"/>
                <w:lang w:val="en-US" w:bidi="ar-SA"/>
              </w:rPr>
            </w:pPr>
            <w:r>
              <w:rPr>
                <w:rFonts w:hint="eastAsia" w:ascii="宋体" w:hAnsi="宋体" w:eastAsia="宋体" w:cs="宋体"/>
                <w:color w:val="auto"/>
                <w:kern w:val="2"/>
                <w:sz w:val="24"/>
                <w:szCs w:val="22"/>
                <w:highlight w:val="none"/>
                <w:lang w:val="en-US" w:bidi="ar-SA"/>
              </w:rPr>
              <w:t>电    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5240" w:type="dxa"/>
            <w:tcBorders>
              <w:top w:val="single" w:color="auto" w:sz="4" w:space="0"/>
              <w:left w:val="single" w:color="auto" w:sz="4" w:space="0"/>
              <w:bottom w:val="single" w:color="auto" w:sz="4" w:space="0"/>
              <w:right w:val="single" w:color="auto" w:sz="4" w:space="0"/>
            </w:tcBorders>
            <w:vAlign w:val="center"/>
          </w:tcPr>
          <w:p>
            <w:pPr>
              <w:shd w:val="clear"/>
              <w:adjustRightInd w:val="0"/>
              <w:snapToGrid w:val="0"/>
              <w:spacing w:after="0" w:line="380" w:lineRule="exact"/>
              <w:jc w:val="left"/>
              <w:outlineLvl w:val="9"/>
              <w:rPr>
                <w:rFonts w:hint="default" w:ascii="宋体" w:hAnsi="宋体" w:eastAsia="宋体" w:cs="宋体"/>
                <w:color w:val="auto"/>
                <w:kern w:val="2"/>
                <w:sz w:val="24"/>
                <w:szCs w:val="22"/>
                <w:highlight w:val="none"/>
                <w:lang w:val="en-US" w:bidi="ar-SA"/>
              </w:rPr>
            </w:pPr>
            <w:r>
              <w:rPr>
                <w:rFonts w:hint="eastAsia" w:ascii="宋体" w:hAnsi="宋体" w:eastAsia="宋体" w:cs="宋体"/>
                <w:color w:val="auto"/>
                <w:kern w:val="2"/>
                <w:sz w:val="24"/>
                <w:szCs w:val="22"/>
                <w:highlight w:val="none"/>
                <w:lang w:val="en-US" w:bidi="ar-SA"/>
              </w:rPr>
              <w:t>签订日期：</w:t>
            </w:r>
            <w:r>
              <w:rPr>
                <w:rFonts w:hint="eastAsia" w:ascii="宋体" w:hAnsi="宋体" w:eastAsia="宋体" w:cs="宋体"/>
                <w:color w:val="auto"/>
                <w:kern w:val="2"/>
                <w:sz w:val="24"/>
                <w:szCs w:val="22"/>
                <w:highlight w:val="none"/>
                <w:lang w:val="en-US" w:eastAsia="zh-CN" w:bidi="ar-SA"/>
              </w:rPr>
              <w:t>2026年</w:t>
            </w:r>
            <w:r>
              <w:rPr>
                <w:rFonts w:hint="eastAsia" w:ascii="宋体" w:hAnsi="宋体" w:eastAsia="宋体" w:cs="宋体"/>
                <w:color w:val="auto"/>
                <w:kern w:val="2"/>
                <w:sz w:val="24"/>
                <w:szCs w:val="22"/>
                <w:highlight w:val="none"/>
                <w:lang w:val="en-US" w:bidi="ar-SA"/>
              </w:rPr>
              <w:t>【  】月【  】日</w:t>
            </w:r>
          </w:p>
        </w:tc>
        <w:tc>
          <w:tcPr>
            <w:tcW w:w="4961" w:type="dxa"/>
            <w:tcBorders>
              <w:top w:val="single" w:color="auto" w:sz="4" w:space="0"/>
              <w:left w:val="single" w:color="auto" w:sz="4" w:space="0"/>
              <w:bottom w:val="single" w:color="auto" w:sz="4" w:space="0"/>
              <w:right w:val="single" w:color="auto" w:sz="4" w:space="0"/>
            </w:tcBorders>
            <w:vAlign w:val="center"/>
          </w:tcPr>
          <w:p>
            <w:pPr>
              <w:shd w:val="clear"/>
              <w:adjustRightInd w:val="0"/>
              <w:snapToGrid w:val="0"/>
              <w:spacing w:after="0" w:line="380" w:lineRule="exact"/>
              <w:jc w:val="left"/>
              <w:outlineLvl w:val="9"/>
              <w:rPr>
                <w:rFonts w:hint="default" w:ascii="宋体" w:hAnsi="宋体" w:eastAsia="宋体" w:cs="宋体"/>
                <w:color w:val="auto"/>
                <w:kern w:val="2"/>
                <w:sz w:val="24"/>
                <w:szCs w:val="22"/>
                <w:highlight w:val="none"/>
                <w:lang w:val="en-US" w:bidi="ar-SA"/>
              </w:rPr>
            </w:pPr>
            <w:r>
              <w:rPr>
                <w:rFonts w:hint="eastAsia" w:ascii="宋体" w:hAnsi="宋体" w:eastAsia="宋体" w:cs="宋体"/>
                <w:color w:val="auto"/>
                <w:kern w:val="2"/>
                <w:sz w:val="24"/>
                <w:szCs w:val="22"/>
                <w:highlight w:val="none"/>
                <w:lang w:val="en-US" w:bidi="ar-SA"/>
              </w:rPr>
              <w:t>签订日期：</w:t>
            </w:r>
            <w:r>
              <w:rPr>
                <w:rFonts w:hint="eastAsia" w:ascii="宋体" w:hAnsi="宋体" w:eastAsia="宋体" w:cs="宋体"/>
                <w:color w:val="auto"/>
                <w:kern w:val="2"/>
                <w:sz w:val="24"/>
                <w:szCs w:val="22"/>
                <w:highlight w:val="none"/>
                <w:lang w:val="en-US" w:eastAsia="zh-CN" w:bidi="ar-SA"/>
              </w:rPr>
              <w:t>2026年</w:t>
            </w:r>
            <w:r>
              <w:rPr>
                <w:rFonts w:hint="eastAsia" w:ascii="宋体" w:hAnsi="宋体" w:eastAsia="宋体" w:cs="宋体"/>
                <w:color w:val="auto"/>
                <w:kern w:val="2"/>
                <w:sz w:val="24"/>
                <w:szCs w:val="22"/>
                <w:highlight w:val="none"/>
                <w:lang w:val="en-US" w:bidi="ar-SA"/>
              </w:rPr>
              <w:t>【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jc w:val="center"/>
        </w:trPr>
        <w:tc>
          <w:tcPr>
            <w:tcW w:w="10201" w:type="dxa"/>
            <w:gridSpan w:val="2"/>
            <w:tcBorders>
              <w:top w:val="single" w:color="auto" w:sz="4" w:space="0"/>
              <w:left w:val="single" w:color="auto" w:sz="4" w:space="0"/>
              <w:bottom w:val="single" w:color="auto" w:sz="4" w:space="0"/>
              <w:right w:val="single" w:color="auto" w:sz="4" w:space="0"/>
            </w:tcBorders>
            <w:vAlign w:val="center"/>
          </w:tcPr>
          <w:p>
            <w:pPr>
              <w:shd w:val="clear"/>
              <w:adjustRightInd w:val="0"/>
              <w:snapToGrid w:val="0"/>
              <w:spacing w:after="0" w:line="380" w:lineRule="exact"/>
              <w:jc w:val="left"/>
              <w:outlineLvl w:val="9"/>
              <w:rPr>
                <w:rFonts w:hint="eastAsia" w:ascii="宋体" w:hAnsi="宋体" w:eastAsia="宋体" w:cs="宋体"/>
                <w:b/>
                <w:bCs/>
                <w:color w:val="auto"/>
                <w:kern w:val="2"/>
                <w:sz w:val="24"/>
                <w:szCs w:val="22"/>
                <w:highlight w:val="none"/>
                <w:lang w:val="en-US" w:eastAsia="zh-CN" w:bidi="ar-SA"/>
              </w:rPr>
            </w:pPr>
            <w:r>
              <w:rPr>
                <w:rFonts w:hint="eastAsia" w:ascii="宋体" w:hAnsi="宋体" w:eastAsia="宋体" w:cs="宋体"/>
                <w:b/>
                <w:bCs/>
                <w:color w:val="auto"/>
                <w:kern w:val="2"/>
                <w:sz w:val="24"/>
                <w:szCs w:val="22"/>
                <w:highlight w:val="none"/>
                <w:lang w:val="en-US" w:bidi="ar-SA"/>
              </w:rPr>
              <w:t>见证单位（盖章）：</w:t>
            </w:r>
            <w:r>
              <w:rPr>
                <w:rFonts w:hint="eastAsia" w:ascii="宋体" w:hAnsi="宋体" w:eastAsia="宋体" w:cs="宋体"/>
                <w:b/>
                <w:bCs/>
                <w:color w:val="auto"/>
                <w:kern w:val="2"/>
                <w:sz w:val="24"/>
                <w:szCs w:val="22"/>
                <w:highlight w:val="none"/>
                <w:lang w:val="en-US" w:eastAsia="zh-CN" w:bidi="ar-SA"/>
              </w:rPr>
              <w:t>北京中昌工程咨询有限公司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10201" w:type="dxa"/>
            <w:gridSpan w:val="2"/>
            <w:tcBorders>
              <w:top w:val="single" w:color="auto" w:sz="4" w:space="0"/>
              <w:left w:val="single" w:color="auto" w:sz="4" w:space="0"/>
              <w:bottom w:val="single" w:color="auto" w:sz="4" w:space="0"/>
              <w:right w:val="single" w:color="auto" w:sz="4" w:space="0"/>
            </w:tcBorders>
            <w:vAlign w:val="center"/>
          </w:tcPr>
          <w:p>
            <w:pPr>
              <w:shd w:val="clear"/>
              <w:adjustRightInd w:val="0"/>
              <w:snapToGrid w:val="0"/>
              <w:spacing w:after="0" w:line="380" w:lineRule="exact"/>
              <w:jc w:val="left"/>
              <w:outlineLvl w:val="9"/>
              <w:rPr>
                <w:rFonts w:hint="default" w:ascii="宋体" w:hAnsi="宋体" w:eastAsia="宋体" w:cs="宋体"/>
                <w:color w:val="auto"/>
                <w:kern w:val="2"/>
                <w:sz w:val="24"/>
                <w:szCs w:val="22"/>
                <w:highlight w:val="none"/>
                <w:lang w:val="en-US" w:bidi="ar-SA"/>
              </w:rPr>
            </w:pPr>
            <w:r>
              <w:rPr>
                <w:rFonts w:hint="eastAsia" w:ascii="宋体" w:hAnsi="宋体" w:eastAsia="宋体" w:cs="宋体"/>
                <w:color w:val="auto"/>
                <w:kern w:val="2"/>
                <w:sz w:val="24"/>
                <w:szCs w:val="22"/>
                <w:highlight w:val="none"/>
                <w:lang w:val="en-US" w:bidi="ar-SA"/>
              </w:rPr>
              <w:t>见证日期：</w:t>
            </w:r>
            <w:r>
              <w:rPr>
                <w:rFonts w:hint="eastAsia" w:ascii="宋体" w:hAnsi="宋体" w:eastAsia="宋体" w:cs="宋体"/>
                <w:color w:val="auto"/>
                <w:kern w:val="2"/>
                <w:sz w:val="24"/>
                <w:szCs w:val="22"/>
                <w:highlight w:val="none"/>
                <w:lang w:val="en-US" w:eastAsia="zh-CN" w:bidi="ar-SA"/>
              </w:rPr>
              <w:t>2026年</w:t>
            </w:r>
            <w:r>
              <w:rPr>
                <w:rFonts w:hint="eastAsia" w:ascii="宋体" w:hAnsi="宋体" w:eastAsia="宋体" w:cs="宋体"/>
                <w:color w:val="auto"/>
                <w:kern w:val="2"/>
                <w:sz w:val="24"/>
                <w:szCs w:val="22"/>
                <w:highlight w:val="none"/>
                <w:lang w:val="en-US" w:bidi="ar-SA"/>
              </w:rPr>
              <w:t>【  】月【  】日</w:t>
            </w:r>
          </w:p>
        </w:tc>
      </w:tr>
    </w:tbl>
    <w:p>
      <w:pPr>
        <w:shd w:val="clear"/>
        <w:spacing w:after="160" w:line="278" w:lineRule="auto"/>
        <w:outlineLvl w:val="9"/>
        <w:rPr>
          <w:rFonts w:hint="default" w:ascii="宋体" w:hAnsi="宋体" w:eastAsia="宋体" w:cs="宋体"/>
          <w:b/>
          <w:bCs/>
          <w:color w:val="auto"/>
          <w:kern w:val="2"/>
          <w:szCs w:val="21"/>
          <w:highlight w:val="none"/>
          <w:lang w:val="en-US" w:bidi="ar-SA"/>
        </w:rPr>
      </w:pPr>
      <w:r>
        <w:rPr>
          <w:rFonts w:hint="eastAsia" w:ascii="宋体" w:hAnsi="宋体" w:eastAsia="宋体" w:cs="宋体"/>
          <w:b/>
          <w:bCs/>
          <w:color w:val="auto"/>
          <w:kern w:val="2"/>
          <w:szCs w:val="21"/>
          <w:highlight w:val="none"/>
          <w:lang w:val="en-US" w:bidi="ar-SA"/>
        </w:rPr>
        <w:br w:type="page"/>
      </w:r>
    </w:p>
    <w:p>
      <w:pPr>
        <w:shd w:val="clear"/>
        <w:adjustRightInd w:val="0"/>
        <w:snapToGrid w:val="0"/>
        <w:spacing w:after="0" w:line="360" w:lineRule="auto"/>
        <w:outlineLvl w:val="9"/>
        <w:rPr>
          <w:rFonts w:hint="default" w:ascii="宋体" w:hAnsi="宋体" w:eastAsia="宋体" w:cs="宋体"/>
          <w:b/>
          <w:bCs/>
          <w:color w:val="auto"/>
          <w:kern w:val="2"/>
          <w:szCs w:val="21"/>
          <w:highlight w:val="none"/>
          <w:lang w:val="en-US" w:bidi="ar-SA"/>
        </w:rPr>
      </w:pPr>
      <w:r>
        <w:rPr>
          <w:rFonts w:hint="eastAsia" w:ascii="宋体" w:hAnsi="宋体" w:eastAsia="宋体" w:cs="宋体"/>
          <w:b/>
          <w:bCs/>
          <w:color w:val="auto"/>
          <w:kern w:val="2"/>
          <w:szCs w:val="21"/>
          <w:highlight w:val="none"/>
          <w:lang w:val="en-US" w:bidi="ar-SA"/>
        </w:rPr>
        <w:t>附件一：</w:t>
      </w:r>
    </w:p>
    <w:p>
      <w:pPr>
        <w:shd w:val="clear"/>
        <w:adjustRightInd w:val="0"/>
        <w:snapToGrid w:val="0"/>
        <w:spacing w:after="0" w:line="360" w:lineRule="auto"/>
        <w:jc w:val="center"/>
        <w:outlineLvl w:val="9"/>
        <w:rPr>
          <w:rFonts w:hint="default" w:ascii="宋体" w:hAnsi="宋体" w:eastAsia="宋体" w:cs="宋体"/>
          <w:b/>
          <w:bCs/>
          <w:color w:val="auto"/>
          <w:kern w:val="2"/>
          <w:sz w:val="28"/>
          <w:szCs w:val="28"/>
          <w:highlight w:val="none"/>
          <w:lang w:val="en-US" w:bidi="ar-SA"/>
        </w:rPr>
      </w:pPr>
      <w:r>
        <w:rPr>
          <w:rFonts w:hint="eastAsia" w:ascii="宋体" w:hAnsi="宋体" w:eastAsia="宋体" w:cs="宋体"/>
          <w:b/>
          <w:bCs/>
          <w:color w:val="auto"/>
          <w:kern w:val="2"/>
          <w:sz w:val="28"/>
          <w:szCs w:val="28"/>
          <w:highlight w:val="none"/>
          <w:lang w:val="en-US" w:bidi="ar-SA"/>
        </w:rPr>
        <w:t>廉政责任书</w:t>
      </w:r>
    </w:p>
    <w:p>
      <w:pPr>
        <w:shd w:val="clear"/>
        <w:adjustRightInd w:val="0"/>
        <w:snapToGrid w:val="0"/>
        <w:spacing w:after="0" w:line="360" w:lineRule="auto"/>
        <w:ind w:firstLine="422" w:firstLineChars="200"/>
        <w:outlineLvl w:val="9"/>
        <w:rPr>
          <w:rFonts w:hint="default" w:ascii="宋体" w:hAnsi="宋体" w:eastAsia="宋体" w:cs="宋体"/>
          <w:b/>
          <w:bCs/>
          <w:color w:val="auto"/>
          <w:kern w:val="2"/>
          <w:szCs w:val="21"/>
          <w:highlight w:val="none"/>
          <w:lang w:val="en-US" w:bidi="ar-SA"/>
        </w:rPr>
      </w:pPr>
      <w:r>
        <w:rPr>
          <w:rFonts w:hint="eastAsia" w:ascii="宋体" w:hAnsi="宋体" w:eastAsia="宋体" w:cs="宋体"/>
          <w:b/>
          <w:bCs/>
          <w:color w:val="auto"/>
          <w:kern w:val="2"/>
          <w:szCs w:val="21"/>
          <w:highlight w:val="none"/>
          <w:lang w:val="en-US" w:bidi="ar-SA"/>
        </w:rPr>
        <w:t>项目名称：</w:t>
      </w:r>
      <w:r>
        <w:rPr>
          <w:rFonts w:hint="eastAsia" w:ascii="宋体" w:hAnsi="宋体" w:eastAsia="宋体" w:cs="宋体"/>
          <w:b/>
          <w:bCs/>
          <w:color w:val="auto"/>
          <w:kern w:val="2"/>
          <w:szCs w:val="21"/>
          <w:highlight w:val="none"/>
          <w:u w:val="single"/>
          <w:lang w:val="en-US" w:eastAsia="zh-CN" w:bidi="ar-SA"/>
        </w:rPr>
        <w:t>2026-2027年太湖街道污水管网及设施运行维护作业权项目</w:t>
      </w:r>
      <w:r>
        <w:rPr>
          <w:rFonts w:hint="eastAsia" w:ascii="宋体" w:hAnsi="宋体" w:eastAsia="宋体" w:cs="宋体"/>
          <w:b/>
          <w:bCs/>
          <w:color w:val="auto"/>
          <w:kern w:val="2"/>
          <w:szCs w:val="21"/>
          <w:highlight w:val="none"/>
          <w:lang w:val="en-US" w:bidi="ar-SA"/>
        </w:rPr>
        <w:t xml:space="preserve">   </w:t>
      </w:r>
    </w:p>
    <w:p>
      <w:pPr>
        <w:shd w:val="clear"/>
        <w:adjustRightInd w:val="0"/>
        <w:snapToGrid w:val="0"/>
        <w:spacing w:after="0" w:line="360" w:lineRule="auto"/>
        <w:ind w:firstLine="422" w:firstLineChars="200"/>
        <w:outlineLvl w:val="9"/>
        <w:rPr>
          <w:rFonts w:hint="default" w:ascii="宋体" w:hAnsi="宋体" w:eastAsia="宋体" w:cs="宋体"/>
          <w:b/>
          <w:bCs/>
          <w:color w:val="auto"/>
          <w:kern w:val="2"/>
          <w:szCs w:val="21"/>
          <w:highlight w:val="none"/>
          <w:lang w:val="en-US" w:bidi="ar-SA"/>
        </w:rPr>
      </w:pPr>
      <w:r>
        <w:rPr>
          <w:rFonts w:hint="eastAsia" w:ascii="宋体" w:hAnsi="宋体" w:eastAsia="宋体" w:cs="宋体"/>
          <w:b/>
          <w:bCs/>
          <w:color w:val="auto"/>
          <w:kern w:val="2"/>
          <w:szCs w:val="21"/>
          <w:highlight w:val="none"/>
          <w:lang w:val="en-US" w:bidi="ar-SA"/>
        </w:rPr>
        <w:t>甲方：</w:t>
      </w:r>
      <w:r>
        <w:rPr>
          <w:rFonts w:hint="eastAsia" w:ascii="宋体" w:hAnsi="宋体" w:eastAsia="宋体" w:cs="宋体"/>
          <w:b/>
          <w:bCs/>
          <w:color w:val="auto"/>
          <w:kern w:val="2"/>
          <w:szCs w:val="21"/>
          <w:highlight w:val="none"/>
          <w:u w:val="single"/>
          <w:lang w:val="en-US" w:bidi="ar-SA"/>
        </w:rPr>
        <w:t>无锡市滨湖区太湖街道办事处</w:t>
      </w:r>
      <w:r>
        <w:rPr>
          <w:rFonts w:hint="eastAsia" w:ascii="宋体" w:hAnsi="宋体" w:eastAsia="宋体" w:cs="宋体"/>
          <w:b/>
          <w:bCs/>
          <w:color w:val="auto"/>
          <w:kern w:val="2"/>
          <w:szCs w:val="21"/>
          <w:highlight w:val="none"/>
          <w:lang w:val="en-US" w:bidi="ar-SA"/>
        </w:rPr>
        <w:t xml:space="preserve"> </w:t>
      </w:r>
    </w:p>
    <w:p>
      <w:pPr>
        <w:shd w:val="clear"/>
        <w:adjustRightInd w:val="0"/>
        <w:snapToGrid w:val="0"/>
        <w:spacing w:after="0" w:line="360" w:lineRule="auto"/>
        <w:ind w:firstLine="422" w:firstLineChars="200"/>
        <w:outlineLvl w:val="9"/>
        <w:rPr>
          <w:rFonts w:hint="default" w:ascii="宋体" w:hAnsi="宋体" w:eastAsia="宋体" w:cs="宋体"/>
          <w:b/>
          <w:bCs/>
          <w:color w:val="auto"/>
          <w:kern w:val="2"/>
          <w:szCs w:val="21"/>
          <w:highlight w:val="none"/>
          <w:u w:val="single"/>
          <w:lang w:val="en-US" w:bidi="ar-SA"/>
        </w:rPr>
      </w:pPr>
      <w:r>
        <w:rPr>
          <w:rFonts w:hint="eastAsia" w:ascii="宋体" w:hAnsi="宋体" w:eastAsia="宋体" w:cs="宋体"/>
          <w:b/>
          <w:bCs/>
          <w:color w:val="auto"/>
          <w:kern w:val="2"/>
          <w:szCs w:val="21"/>
          <w:highlight w:val="none"/>
          <w:lang w:val="en-US" w:bidi="ar-SA"/>
        </w:rPr>
        <w:t>乙方：</w:t>
      </w:r>
    </w:p>
    <w:p>
      <w:pPr>
        <w:shd w:val="clear"/>
        <w:adjustRightInd w:val="0"/>
        <w:snapToGrid w:val="0"/>
        <w:spacing w:after="0" w:line="360" w:lineRule="auto"/>
        <w:ind w:firstLine="420" w:firstLineChars="200"/>
        <w:outlineLvl w:val="9"/>
        <w:rPr>
          <w:rFonts w:hint="default" w:ascii="宋体" w:hAnsi="宋体" w:eastAsia="宋体" w:cs="宋体"/>
          <w:color w:val="auto"/>
          <w:kern w:val="2"/>
          <w:szCs w:val="21"/>
          <w:highlight w:val="none"/>
          <w:lang w:val="en-US" w:bidi="ar-SA"/>
        </w:rPr>
      </w:pPr>
      <w:r>
        <w:rPr>
          <w:rFonts w:hint="eastAsia" w:ascii="宋体" w:hAnsi="宋体" w:eastAsia="宋体" w:cs="宋体"/>
          <w:color w:val="auto"/>
          <w:kern w:val="2"/>
          <w:szCs w:val="21"/>
          <w:highlight w:val="none"/>
          <w:lang w:val="en-US" w:bidi="ar-SA"/>
        </w:rPr>
        <w:t>为加强项目采购中的廉政建设，规范承发包双方的各项活动，防止发生各种谋取不正当利益的违法违纪行为，保护国家、集体和当事人的合法利益，根据国家有关的法律法规和廉政建设责任制规定，特订立本廉政责任书。</w:t>
      </w:r>
    </w:p>
    <w:p>
      <w:pPr>
        <w:shd w:val="clear"/>
        <w:adjustRightInd w:val="0"/>
        <w:snapToGrid w:val="0"/>
        <w:spacing w:after="0" w:line="360" w:lineRule="auto"/>
        <w:ind w:firstLine="420" w:firstLineChars="200"/>
        <w:outlineLvl w:val="9"/>
        <w:rPr>
          <w:rFonts w:hint="default" w:ascii="宋体" w:hAnsi="宋体" w:eastAsia="宋体" w:cs="宋体"/>
          <w:color w:val="auto"/>
          <w:kern w:val="2"/>
          <w:szCs w:val="21"/>
          <w:highlight w:val="none"/>
          <w:lang w:val="en-US" w:bidi="ar-SA"/>
        </w:rPr>
      </w:pPr>
      <w:r>
        <w:rPr>
          <w:rFonts w:hint="eastAsia" w:ascii="宋体" w:hAnsi="宋体" w:eastAsia="宋体" w:cs="宋体"/>
          <w:color w:val="auto"/>
          <w:kern w:val="2"/>
          <w:szCs w:val="21"/>
          <w:highlight w:val="none"/>
          <w:lang w:val="en-US" w:bidi="ar-SA"/>
        </w:rPr>
        <w:t>一、甲乙双方的责任</w:t>
      </w:r>
    </w:p>
    <w:p>
      <w:pPr>
        <w:shd w:val="clear"/>
        <w:adjustRightInd w:val="0"/>
        <w:snapToGrid w:val="0"/>
        <w:spacing w:after="0" w:line="360" w:lineRule="auto"/>
        <w:ind w:firstLine="420" w:firstLineChars="200"/>
        <w:outlineLvl w:val="9"/>
        <w:rPr>
          <w:rFonts w:hint="default" w:ascii="宋体" w:hAnsi="宋体" w:eastAsia="宋体" w:cs="宋体"/>
          <w:color w:val="auto"/>
          <w:kern w:val="2"/>
          <w:szCs w:val="21"/>
          <w:highlight w:val="none"/>
          <w:lang w:val="en-US" w:bidi="ar-SA"/>
        </w:rPr>
      </w:pPr>
      <w:r>
        <w:rPr>
          <w:rFonts w:hint="eastAsia" w:ascii="宋体" w:hAnsi="宋体" w:eastAsia="宋体" w:cs="宋体"/>
          <w:color w:val="auto"/>
          <w:kern w:val="2"/>
          <w:szCs w:val="21"/>
          <w:highlight w:val="none"/>
          <w:lang w:val="en-US" w:bidi="ar-SA"/>
        </w:rPr>
        <w:t>（一）应严格遵守国家关于市场准入、项目招标投标、工程建设、施工安装和市场活动等有关法律、法规，相关政策，以及廉政建设的各项规定。</w:t>
      </w:r>
    </w:p>
    <w:p>
      <w:pPr>
        <w:shd w:val="clear"/>
        <w:adjustRightInd w:val="0"/>
        <w:snapToGrid w:val="0"/>
        <w:spacing w:after="0" w:line="360" w:lineRule="auto"/>
        <w:ind w:firstLine="420" w:firstLineChars="200"/>
        <w:outlineLvl w:val="9"/>
        <w:rPr>
          <w:rFonts w:hint="default" w:ascii="宋体" w:hAnsi="宋体" w:eastAsia="宋体" w:cs="宋体"/>
          <w:color w:val="auto"/>
          <w:kern w:val="2"/>
          <w:szCs w:val="21"/>
          <w:highlight w:val="none"/>
          <w:lang w:val="en-US" w:bidi="ar-SA"/>
        </w:rPr>
      </w:pPr>
      <w:r>
        <w:rPr>
          <w:rFonts w:hint="eastAsia" w:ascii="宋体" w:hAnsi="宋体" w:eastAsia="宋体" w:cs="宋体"/>
          <w:color w:val="auto"/>
          <w:kern w:val="2"/>
          <w:szCs w:val="21"/>
          <w:highlight w:val="none"/>
          <w:lang w:val="en-US" w:bidi="ar-SA"/>
        </w:rPr>
        <w:t>（二）严格执行建设项目合同文件，自觉按合同办事。</w:t>
      </w:r>
    </w:p>
    <w:p>
      <w:pPr>
        <w:shd w:val="clear"/>
        <w:adjustRightInd w:val="0"/>
        <w:snapToGrid w:val="0"/>
        <w:spacing w:after="0" w:line="360" w:lineRule="auto"/>
        <w:ind w:firstLine="420" w:firstLineChars="200"/>
        <w:outlineLvl w:val="9"/>
        <w:rPr>
          <w:rFonts w:hint="default" w:ascii="宋体" w:hAnsi="宋体" w:eastAsia="宋体" w:cs="宋体"/>
          <w:color w:val="auto"/>
          <w:kern w:val="2"/>
          <w:szCs w:val="21"/>
          <w:highlight w:val="none"/>
          <w:lang w:val="en-US" w:bidi="ar-SA"/>
        </w:rPr>
      </w:pPr>
      <w:r>
        <w:rPr>
          <w:rFonts w:hint="eastAsia" w:ascii="宋体" w:hAnsi="宋体" w:eastAsia="宋体" w:cs="宋体"/>
          <w:color w:val="auto"/>
          <w:kern w:val="2"/>
          <w:szCs w:val="21"/>
          <w:highlight w:val="none"/>
          <w:lang w:val="en-US" w:bidi="ar-SA"/>
        </w:rPr>
        <w:t>（三）业务活动必须坚持公开、公平、公正、诚信、透明的原则（除法律法规另有规定者外），不得为获取不正当的利益，损害国家、集体和对方利益，不得违反工程建设管理（勘察设计、施工安装、建设监理）的规章制度。</w:t>
      </w:r>
    </w:p>
    <w:p>
      <w:pPr>
        <w:shd w:val="clear"/>
        <w:adjustRightInd w:val="0"/>
        <w:snapToGrid w:val="0"/>
        <w:spacing w:after="0" w:line="360" w:lineRule="auto"/>
        <w:ind w:firstLine="420" w:firstLineChars="200"/>
        <w:outlineLvl w:val="9"/>
        <w:rPr>
          <w:rFonts w:hint="default" w:ascii="宋体" w:hAnsi="宋体" w:eastAsia="宋体" w:cs="宋体"/>
          <w:color w:val="auto"/>
          <w:kern w:val="2"/>
          <w:szCs w:val="21"/>
          <w:highlight w:val="none"/>
          <w:lang w:val="en-US" w:bidi="ar-SA"/>
        </w:rPr>
      </w:pPr>
      <w:r>
        <w:rPr>
          <w:rFonts w:hint="eastAsia" w:ascii="宋体" w:hAnsi="宋体" w:eastAsia="宋体" w:cs="宋体"/>
          <w:color w:val="auto"/>
          <w:kern w:val="2"/>
          <w:szCs w:val="21"/>
          <w:highlight w:val="none"/>
          <w:lang w:val="en-US" w:bidi="ar-SA"/>
        </w:rPr>
        <w:t>（四）发现对方在业务活动中有违规、违纪、违法行为的，应及时提醒对方，情节严重的，应向其上级主管部门或纪检监察、司法等有关机关举报。</w:t>
      </w:r>
    </w:p>
    <w:p>
      <w:pPr>
        <w:shd w:val="clear"/>
        <w:adjustRightInd w:val="0"/>
        <w:snapToGrid w:val="0"/>
        <w:spacing w:after="0" w:line="360" w:lineRule="auto"/>
        <w:ind w:firstLine="420" w:firstLineChars="200"/>
        <w:outlineLvl w:val="9"/>
        <w:rPr>
          <w:rFonts w:hint="default" w:ascii="宋体" w:hAnsi="宋体" w:eastAsia="宋体" w:cs="宋体"/>
          <w:color w:val="auto"/>
          <w:kern w:val="2"/>
          <w:szCs w:val="21"/>
          <w:highlight w:val="none"/>
          <w:lang w:val="en-US" w:bidi="ar-SA"/>
        </w:rPr>
      </w:pPr>
      <w:r>
        <w:rPr>
          <w:rFonts w:hint="eastAsia" w:ascii="宋体" w:hAnsi="宋体" w:eastAsia="宋体" w:cs="宋体"/>
          <w:color w:val="auto"/>
          <w:kern w:val="2"/>
          <w:szCs w:val="21"/>
          <w:highlight w:val="none"/>
          <w:lang w:val="en-US" w:bidi="ar-SA"/>
        </w:rPr>
        <w:t xml:space="preserve">二、甲方的责任 </w:t>
      </w:r>
    </w:p>
    <w:p>
      <w:pPr>
        <w:shd w:val="clear"/>
        <w:adjustRightInd w:val="0"/>
        <w:snapToGrid w:val="0"/>
        <w:spacing w:after="0" w:line="360" w:lineRule="auto"/>
        <w:ind w:firstLine="420" w:firstLineChars="200"/>
        <w:outlineLvl w:val="9"/>
        <w:rPr>
          <w:rFonts w:hint="default" w:ascii="宋体" w:hAnsi="宋体" w:eastAsia="宋体" w:cs="宋体"/>
          <w:color w:val="auto"/>
          <w:kern w:val="2"/>
          <w:szCs w:val="21"/>
          <w:highlight w:val="none"/>
          <w:lang w:val="en-US" w:bidi="ar-SA"/>
        </w:rPr>
      </w:pPr>
      <w:r>
        <w:rPr>
          <w:rFonts w:hint="eastAsia" w:ascii="宋体" w:hAnsi="宋体" w:eastAsia="宋体" w:cs="宋体"/>
          <w:color w:val="auto"/>
          <w:kern w:val="2"/>
          <w:szCs w:val="21"/>
          <w:highlight w:val="none"/>
          <w:lang w:val="en-US" w:bidi="ar-SA"/>
        </w:rPr>
        <w:t>甲方的领导和从事该项目的工作人员，在项目采购的事前、事中、事后应遵守以下规定：</w:t>
      </w:r>
    </w:p>
    <w:p>
      <w:pPr>
        <w:shd w:val="clear"/>
        <w:adjustRightInd w:val="0"/>
        <w:snapToGrid w:val="0"/>
        <w:spacing w:after="0" w:line="360" w:lineRule="auto"/>
        <w:ind w:firstLine="420" w:firstLineChars="200"/>
        <w:outlineLvl w:val="9"/>
        <w:rPr>
          <w:rFonts w:hint="default" w:ascii="宋体" w:hAnsi="宋体" w:eastAsia="宋体" w:cs="宋体"/>
          <w:color w:val="auto"/>
          <w:kern w:val="2"/>
          <w:szCs w:val="21"/>
          <w:highlight w:val="none"/>
          <w:lang w:val="en-US" w:bidi="ar-SA"/>
        </w:rPr>
      </w:pPr>
      <w:r>
        <w:rPr>
          <w:rFonts w:hint="eastAsia" w:ascii="宋体" w:hAnsi="宋体" w:eastAsia="宋体" w:cs="宋体"/>
          <w:color w:val="auto"/>
          <w:kern w:val="2"/>
          <w:szCs w:val="21"/>
          <w:highlight w:val="none"/>
          <w:lang w:val="en-US" w:bidi="ar-SA"/>
        </w:rPr>
        <w:t>（一）不准向乙方和相关单位索要或接受回扣、礼金、有价证券、贵重物品和好处费、感谢费等。</w:t>
      </w:r>
    </w:p>
    <w:p>
      <w:pPr>
        <w:shd w:val="clear"/>
        <w:adjustRightInd w:val="0"/>
        <w:snapToGrid w:val="0"/>
        <w:spacing w:after="0" w:line="360" w:lineRule="auto"/>
        <w:ind w:firstLine="420" w:firstLineChars="200"/>
        <w:outlineLvl w:val="9"/>
        <w:rPr>
          <w:rFonts w:hint="default" w:ascii="宋体" w:hAnsi="宋体" w:eastAsia="宋体" w:cs="宋体"/>
          <w:color w:val="auto"/>
          <w:kern w:val="2"/>
          <w:szCs w:val="21"/>
          <w:highlight w:val="none"/>
          <w:lang w:val="en-US" w:bidi="ar-SA"/>
        </w:rPr>
      </w:pPr>
      <w:r>
        <w:rPr>
          <w:rFonts w:hint="eastAsia" w:ascii="宋体" w:hAnsi="宋体" w:eastAsia="宋体" w:cs="宋体"/>
          <w:color w:val="auto"/>
          <w:kern w:val="2"/>
          <w:szCs w:val="21"/>
          <w:highlight w:val="none"/>
          <w:lang w:val="en-US" w:bidi="ar-SA"/>
        </w:rPr>
        <w:t>（二）不准在乙方和相关单位报销任何应由甲方或个人支付的费用。</w:t>
      </w:r>
    </w:p>
    <w:p>
      <w:pPr>
        <w:shd w:val="clear"/>
        <w:adjustRightInd w:val="0"/>
        <w:snapToGrid w:val="0"/>
        <w:spacing w:after="0" w:line="360" w:lineRule="auto"/>
        <w:ind w:firstLine="420" w:firstLineChars="200"/>
        <w:outlineLvl w:val="9"/>
        <w:rPr>
          <w:rFonts w:hint="default" w:ascii="宋体" w:hAnsi="宋体" w:eastAsia="宋体" w:cs="宋体"/>
          <w:color w:val="auto"/>
          <w:kern w:val="2"/>
          <w:szCs w:val="21"/>
          <w:highlight w:val="none"/>
          <w:lang w:val="en-US" w:bidi="ar-SA"/>
        </w:rPr>
      </w:pPr>
      <w:r>
        <w:rPr>
          <w:rFonts w:hint="eastAsia" w:ascii="宋体" w:hAnsi="宋体" w:eastAsia="宋体" w:cs="宋体"/>
          <w:color w:val="auto"/>
          <w:kern w:val="2"/>
          <w:szCs w:val="21"/>
          <w:highlight w:val="none"/>
          <w:lang w:val="en-US" w:bidi="ar-SA"/>
        </w:rPr>
        <w:t>（三）不准要求、暗示或接受乙方和相关单位为个人装修住房、婚丧嫁娶、配偶子女的工作安排以及出国（境）、旅游等提供方便。</w:t>
      </w:r>
    </w:p>
    <w:p>
      <w:pPr>
        <w:shd w:val="clear"/>
        <w:adjustRightInd w:val="0"/>
        <w:snapToGrid w:val="0"/>
        <w:spacing w:after="0" w:line="360" w:lineRule="auto"/>
        <w:ind w:firstLine="420" w:firstLineChars="200"/>
        <w:outlineLvl w:val="9"/>
        <w:rPr>
          <w:rFonts w:hint="default" w:ascii="宋体" w:hAnsi="宋体" w:eastAsia="宋体" w:cs="宋体"/>
          <w:color w:val="auto"/>
          <w:kern w:val="2"/>
          <w:szCs w:val="21"/>
          <w:highlight w:val="none"/>
          <w:lang w:val="en-US" w:bidi="ar-SA"/>
        </w:rPr>
      </w:pPr>
      <w:r>
        <w:rPr>
          <w:rFonts w:hint="eastAsia" w:ascii="宋体" w:hAnsi="宋体" w:eastAsia="宋体" w:cs="宋体"/>
          <w:color w:val="auto"/>
          <w:kern w:val="2"/>
          <w:szCs w:val="21"/>
          <w:highlight w:val="none"/>
          <w:lang w:val="en-US" w:bidi="ar-SA"/>
        </w:rPr>
        <w:t>（四）不准参加有可能影响公正执行公务的乙方和相关单位的宴请、健身、娱乐等活动。</w:t>
      </w:r>
    </w:p>
    <w:p>
      <w:pPr>
        <w:shd w:val="clear"/>
        <w:adjustRightInd w:val="0"/>
        <w:snapToGrid w:val="0"/>
        <w:spacing w:after="0" w:line="360" w:lineRule="auto"/>
        <w:ind w:firstLine="420" w:firstLineChars="200"/>
        <w:outlineLvl w:val="9"/>
        <w:rPr>
          <w:rFonts w:hint="default" w:ascii="宋体" w:hAnsi="宋体" w:eastAsia="宋体" w:cs="宋体"/>
          <w:color w:val="auto"/>
          <w:kern w:val="2"/>
          <w:szCs w:val="21"/>
          <w:highlight w:val="none"/>
          <w:lang w:val="en-US" w:bidi="ar-SA"/>
        </w:rPr>
      </w:pPr>
      <w:r>
        <w:rPr>
          <w:rFonts w:hint="eastAsia" w:ascii="宋体" w:hAnsi="宋体" w:eastAsia="宋体" w:cs="宋体"/>
          <w:color w:val="auto"/>
          <w:kern w:val="2"/>
          <w:szCs w:val="21"/>
          <w:highlight w:val="none"/>
          <w:lang w:val="en-US" w:bidi="ar-SA"/>
        </w:rPr>
        <w:t>（五）不准向乙方介绍或为配偶、子女、亲属参与同甲方项目工程有关等经济活动。</w:t>
      </w:r>
    </w:p>
    <w:p>
      <w:pPr>
        <w:shd w:val="clear"/>
        <w:adjustRightInd w:val="0"/>
        <w:snapToGrid w:val="0"/>
        <w:spacing w:after="0" w:line="360" w:lineRule="auto"/>
        <w:ind w:firstLine="420" w:firstLineChars="200"/>
        <w:outlineLvl w:val="9"/>
        <w:rPr>
          <w:rFonts w:hint="default" w:ascii="宋体" w:hAnsi="宋体" w:eastAsia="宋体" w:cs="宋体"/>
          <w:color w:val="auto"/>
          <w:kern w:val="2"/>
          <w:szCs w:val="21"/>
          <w:highlight w:val="none"/>
          <w:lang w:val="en-US" w:bidi="ar-SA"/>
        </w:rPr>
      </w:pPr>
      <w:r>
        <w:rPr>
          <w:rFonts w:hint="eastAsia" w:ascii="宋体" w:hAnsi="宋体" w:eastAsia="宋体" w:cs="宋体"/>
          <w:color w:val="auto"/>
          <w:kern w:val="2"/>
          <w:szCs w:val="21"/>
          <w:highlight w:val="none"/>
          <w:lang w:val="en-US" w:bidi="ar-SA"/>
        </w:rPr>
        <w:t xml:space="preserve">三、乙方的责任 </w:t>
      </w:r>
    </w:p>
    <w:p>
      <w:pPr>
        <w:shd w:val="clear"/>
        <w:adjustRightInd w:val="0"/>
        <w:snapToGrid w:val="0"/>
        <w:spacing w:after="0" w:line="360" w:lineRule="auto"/>
        <w:ind w:firstLine="420" w:firstLineChars="200"/>
        <w:outlineLvl w:val="9"/>
        <w:rPr>
          <w:rFonts w:hint="default" w:ascii="宋体" w:hAnsi="宋体" w:eastAsia="宋体" w:cs="宋体"/>
          <w:color w:val="auto"/>
          <w:kern w:val="2"/>
          <w:szCs w:val="21"/>
          <w:highlight w:val="none"/>
          <w:lang w:val="en-US" w:bidi="ar-SA"/>
        </w:rPr>
      </w:pPr>
      <w:r>
        <w:rPr>
          <w:rFonts w:hint="eastAsia" w:ascii="宋体" w:hAnsi="宋体" w:eastAsia="宋体" w:cs="宋体"/>
          <w:color w:val="auto"/>
          <w:kern w:val="2"/>
          <w:szCs w:val="21"/>
          <w:highlight w:val="none"/>
          <w:lang w:val="en-US" w:bidi="ar-SA"/>
        </w:rPr>
        <w:t>应与甲方保持正常的业务交往，按照有关法律法规和程序开展业务工作，严格执行有关方针、政策、尤其是有关的强制性标准和规范，并遵守以下规定：</w:t>
      </w:r>
    </w:p>
    <w:p>
      <w:pPr>
        <w:shd w:val="clear"/>
        <w:adjustRightInd w:val="0"/>
        <w:snapToGrid w:val="0"/>
        <w:spacing w:after="0" w:line="360" w:lineRule="auto"/>
        <w:ind w:firstLine="420" w:firstLineChars="200"/>
        <w:outlineLvl w:val="9"/>
        <w:rPr>
          <w:rFonts w:hint="default" w:ascii="宋体" w:hAnsi="宋体" w:eastAsia="宋体" w:cs="宋体"/>
          <w:color w:val="auto"/>
          <w:kern w:val="2"/>
          <w:szCs w:val="21"/>
          <w:highlight w:val="none"/>
          <w:lang w:val="en-US" w:bidi="ar-SA"/>
        </w:rPr>
      </w:pPr>
      <w:r>
        <w:rPr>
          <w:rFonts w:hint="eastAsia" w:ascii="宋体" w:hAnsi="宋体" w:eastAsia="宋体" w:cs="宋体"/>
          <w:color w:val="auto"/>
          <w:kern w:val="2"/>
          <w:szCs w:val="21"/>
          <w:highlight w:val="none"/>
          <w:lang w:val="en-US" w:bidi="ar-SA"/>
        </w:rPr>
        <w:t>（一）不准以任何理由向甲方、相关单位及工作人员索要、接受赠送礼金、有价证券、贵重物品及回扣、好处费、感谢费等。</w:t>
      </w:r>
    </w:p>
    <w:p>
      <w:pPr>
        <w:shd w:val="clear"/>
        <w:adjustRightInd w:val="0"/>
        <w:snapToGrid w:val="0"/>
        <w:spacing w:after="0" w:line="360" w:lineRule="auto"/>
        <w:ind w:firstLine="420" w:firstLineChars="200"/>
        <w:outlineLvl w:val="9"/>
        <w:rPr>
          <w:rFonts w:hint="default" w:ascii="宋体" w:hAnsi="宋体" w:eastAsia="宋体" w:cs="宋体"/>
          <w:color w:val="auto"/>
          <w:kern w:val="2"/>
          <w:szCs w:val="21"/>
          <w:highlight w:val="none"/>
          <w:lang w:val="en-US" w:bidi="ar-SA"/>
        </w:rPr>
      </w:pPr>
      <w:r>
        <w:rPr>
          <w:rFonts w:hint="eastAsia" w:ascii="宋体" w:hAnsi="宋体" w:eastAsia="宋体" w:cs="宋体"/>
          <w:color w:val="auto"/>
          <w:kern w:val="2"/>
          <w:szCs w:val="21"/>
          <w:highlight w:val="none"/>
          <w:lang w:val="en-US" w:bidi="ar-SA"/>
        </w:rPr>
        <w:t>（二）不准以任何理由为甲方和相关单位报销应由对方或个人支付的费用。</w:t>
      </w:r>
    </w:p>
    <w:p>
      <w:pPr>
        <w:shd w:val="clear"/>
        <w:adjustRightInd w:val="0"/>
        <w:snapToGrid w:val="0"/>
        <w:spacing w:after="0" w:line="360" w:lineRule="auto"/>
        <w:ind w:firstLine="420" w:firstLineChars="200"/>
        <w:outlineLvl w:val="9"/>
        <w:rPr>
          <w:rFonts w:hint="default" w:ascii="宋体" w:hAnsi="宋体" w:eastAsia="宋体" w:cs="宋体"/>
          <w:color w:val="auto"/>
          <w:kern w:val="2"/>
          <w:szCs w:val="21"/>
          <w:highlight w:val="none"/>
          <w:lang w:val="en-US" w:bidi="ar-SA"/>
        </w:rPr>
      </w:pPr>
      <w:r>
        <w:rPr>
          <w:rFonts w:hint="eastAsia" w:ascii="宋体" w:hAnsi="宋体" w:eastAsia="宋体" w:cs="宋体"/>
          <w:color w:val="auto"/>
          <w:kern w:val="2"/>
          <w:szCs w:val="21"/>
          <w:highlight w:val="none"/>
          <w:lang w:val="en-US" w:bidi="ar-SA"/>
        </w:rPr>
        <w:t>（三）不准接受或暗示为甲方、相关单位或个人装修住房、婚丧嫁娶、配偶子女的工作安排以及出国（境）、旅游等提供方便。</w:t>
      </w:r>
    </w:p>
    <w:p>
      <w:pPr>
        <w:shd w:val="clear"/>
        <w:adjustRightInd w:val="0"/>
        <w:snapToGrid w:val="0"/>
        <w:spacing w:after="0" w:line="360" w:lineRule="auto"/>
        <w:ind w:firstLine="420" w:firstLineChars="200"/>
        <w:outlineLvl w:val="9"/>
        <w:rPr>
          <w:rFonts w:hint="default" w:ascii="宋体" w:hAnsi="宋体" w:eastAsia="宋体" w:cs="宋体"/>
          <w:color w:val="auto"/>
          <w:kern w:val="2"/>
          <w:szCs w:val="21"/>
          <w:highlight w:val="none"/>
          <w:lang w:val="en-US" w:bidi="ar-SA"/>
        </w:rPr>
      </w:pPr>
      <w:r>
        <w:rPr>
          <w:rFonts w:hint="eastAsia" w:ascii="宋体" w:hAnsi="宋体" w:eastAsia="宋体" w:cs="宋体"/>
          <w:color w:val="auto"/>
          <w:kern w:val="2"/>
          <w:szCs w:val="21"/>
          <w:highlight w:val="none"/>
          <w:lang w:val="en-US" w:bidi="ar-SA"/>
        </w:rPr>
        <w:t>（四）不准以任何理由为甲方、相关单位或个人组织有可能影响公正执行公务的宴请、健身、 娱乐等活动。</w:t>
      </w:r>
    </w:p>
    <w:p>
      <w:pPr>
        <w:shd w:val="clear"/>
        <w:adjustRightInd w:val="0"/>
        <w:snapToGrid w:val="0"/>
        <w:spacing w:after="0" w:line="360" w:lineRule="auto"/>
        <w:ind w:firstLine="420" w:firstLineChars="200"/>
        <w:outlineLvl w:val="9"/>
        <w:rPr>
          <w:rFonts w:hint="default" w:ascii="宋体" w:hAnsi="宋体" w:eastAsia="宋体" w:cs="宋体"/>
          <w:color w:val="auto"/>
          <w:kern w:val="2"/>
          <w:szCs w:val="21"/>
          <w:highlight w:val="none"/>
          <w:lang w:val="en-US" w:bidi="ar-SA"/>
        </w:rPr>
      </w:pPr>
      <w:r>
        <w:rPr>
          <w:rFonts w:hint="eastAsia" w:ascii="宋体" w:hAnsi="宋体" w:eastAsia="宋体" w:cs="宋体"/>
          <w:color w:val="auto"/>
          <w:kern w:val="2"/>
          <w:szCs w:val="21"/>
          <w:highlight w:val="none"/>
          <w:lang w:val="en-US" w:bidi="ar-SA"/>
        </w:rPr>
        <w:t>四、违约责任</w:t>
      </w:r>
    </w:p>
    <w:p>
      <w:pPr>
        <w:shd w:val="clear"/>
        <w:adjustRightInd w:val="0"/>
        <w:snapToGrid w:val="0"/>
        <w:spacing w:after="0" w:line="360" w:lineRule="auto"/>
        <w:ind w:firstLine="420" w:firstLineChars="200"/>
        <w:outlineLvl w:val="9"/>
        <w:rPr>
          <w:rFonts w:hint="default" w:ascii="宋体" w:hAnsi="宋体" w:eastAsia="宋体" w:cs="宋体"/>
          <w:color w:val="auto"/>
          <w:kern w:val="2"/>
          <w:szCs w:val="21"/>
          <w:highlight w:val="none"/>
          <w:lang w:val="en-US" w:bidi="ar-SA"/>
        </w:rPr>
      </w:pPr>
      <w:r>
        <w:rPr>
          <w:rFonts w:hint="eastAsia" w:ascii="宋体" w:hAnsi="宋体" w:eastAsia="宋体" w:cs="宋体"/>
          <w:color w:val="auto"/>
          <w:kern w:val="2"/>
          <w:szCs w:val="21"/>
          <w:highlight w:val="none"/>
          <w:lang w:val="en-US" w:bidi="ar-SA"/>
        </w:rPr>
        <w:t>（一）甲方工作人员有违反本责任书第一、二条责任行为的，按照管理权限， 依据有关法律法规和规定给予党纪、政纪处分或组织处理；涉嫌犯罪的，移交司法机关追究刑事责任；给乙方单位造成经济损失的，应予以赔偿。</w:t>
      </w:r>
    </w:p>
    <w:p>
      <w:pPr>
        <w:shd w:val="clear"/>
        <w:adjustRightInd w:val="0"/>
        <w:snapToGrid w:val="0"/>
        <w:spacing w:after="0" w:line="360" w:lineRule="auto"/>
        <w:ind w:firstLine="420" w:firstLineChars="200"/>
        <w:outlineLvl w:val="9"/>
        <w:rPr>
          <w:rFonts w:hint="default" w:ascii="宋体" w:hAnsi="宋体" w:eastAsia="宋体" w:cs="宋体"/>
          <w:color w:val="auto"/>
          <w:kern w:val="2"/>
          <w:szCs w:val="21"/>
          <w:highlight w:val="none"/>
          <w:lang w:val="en-US" w:bidi="ar-SA"/>
        </w:rPr>
      </w:pPr>
      <w:r>
        <w:rPr>
          <w:rFonts w:hint="eastAsia" w:ascii="宋体" w:hAnsi="宋体" w:eastAsia="宋体" w:cs="宋体"/>
          <w:color w:val="auto"/>
          <w:kern w:val="2"/>
          <w:szCs w:val="21"/>
          <w:highlight w:val="none"/>
          <w:lang w:val="en-US" w:bidi="ar-SA"/>
        </w:rPr>
        <w:t>（二）乙方工作人员有违反本责任书第一、三条责任行为的，按照管理权限，依据有关法律法规和规定给予党纪、政纪处分或组织处理；涉嫌犯罪的，移交司法机关追究刑事责任；给甲方单位造成经济损失的，应予以赔偿。</w:t>
      </w:r>
    </w:p>
    <w:p>
      <w:pPr>
        <w:shd w:val="clear"/>
        <w:adjustRightInd w:val="0"/>
        <w:snapToGrid w:val="0"/>
        <w:spacing w:after="0" w:line="360" w:lineRule="auto"/>
        <w:ind w:firstLine="420" w:firstLineChars="200"/>
        <w:outlineLvl w:val="9"/>
        <w:rPr>
          <w:rFonts w:hint="default" w:ascii="宋体" w:hAnsi="宋体" w:eastAsia="宋体" w:cs="宋体"/>
          <w:color w:val="auto"/>
          <w:kern w:val="2"/>
          <w:szCs w:val="21"/>
          <w:highlight w:val="none"/>
          <w:lang w:val="en-US" w:bidi="ar-SA"/>
        </w:rPr>
      </w:pPr>
      <w:r>
        <w:rPr>
          <w:rFonts w:hint="eastAsia" w:ascii="宋体" w:hAnsi="宋体" w:eastAsia="宋体" w:cs="宋体"/>
          <w:color w:val="auto"/>
          <w:kern w:val="2"/>
          <w:szCs w:val="21"/>
          <w:highlight w:val="none"/>
          <w:lang w:val="en-US" w:bidi="ar-SA"/>
        </w:rPr>
        <w:t>五、本责任书作为本项目采购合同的附件，与本项目采购合同具有同等法律效力。经双方签署后立即生效。本责任书的有效期为双方签署之日起至该项目验收合格及保修期满时止。</w:t>
      </w:r>
    </w:p>
    <w:p>
      <w:pPr>
        <w:shd w:val="clear"/>
        <w:adjustRightInd w:val="0"/>
        <w:snapToGrid w:val="0"/>
        <w:spacing w:after="0" w:line="360" w:lineRule="auto"/>
        <w:ind w:firstLine="420" w:firstLineChars="200"/>
        <w:outlineLvl w:val="9"/>
        <w:rPr>
          <w:rFonts w:hint="default" w:ascii="宋体" w:hAnsi="宋体" w:eastAsia="宋体" w:cs="宋体"/>
          <w:color w:val="auto"/>
          <w:kern w:val="2"/>
          <w:szCs w:val="21"/>
          <w:highlight w:val="none"/>
          <w:lang w:val="en-US" w:bidi="ar-SA"/>
        </w:rPr>
      </w:pPr>
      <w:r>
        <w:rPr>
          <w:rFonts w:hint="eastAsia" w:ascii="宋体" w:hAnsi="宋体" w:eastAsia="宋体" w:cs="宋体"/>
          <w:color w:val="auto"/>
          <w:kern w:val="2"/>
          <w:szCs w:val="21"/>
          <w:highlight w:val="none"/>
          <w:lang w:val="en-US" w:bidi="ar-SA"/>
        </w:rPr>
        <w:t>本协议一式陆份，甲乙双方各执叁份。</w:t>
      </w:r>
    </w:p>
    <w:p>
      <w:pPr>
        <w:shd w:val="clear"/>
        <w:adjustRightInd w:val="0"/>
        <w:snapToGrid w:val="0"/>
        <w:spacing w:after="160" w:line="360" w:lineRule="auto"/>
        <w:ind w:firstLine="420" w:firstLineChars="200"/>
        <w:outlineLvl w:val="9"/>
        <w:rPr>
          <w:rFonts w:hint="default" w:ascii="宋体" w:hAnsi="宋体" w:eastAsia="宋体" w:cs="宋体"/>
          <w:color w:val="auto"/>
          <w:kern w:val="2"/>
          <w:szCs w:val="21"/>
          <w:highlight w:val="none"/>
          <w:lang w:val="en-US" w:bidi="ar-SA"/>
        </w:rPr>
      </w:pPr>
    </w:p>
    <w:p>
      <w:pPr>
        <w:shd w:val="clear"/>
        <w:adjustRightInd w:val="0"/>
        <w:snapToGrid w:val="0"/>
        <w:spacing w:after="160" w:line="360" w:lineRule="auto"/>
        <w:ind w:firstLine="420" w:firstLineChars="200"/>
        <w:outlineLvl w:val="9"/>
        <w:rPr>
          <w:rFonts w:hint="default" w:ascii="宋体" w:hAnsi="宋体" w:eastAsia="宋体" w:cs="宋体"/>
          <w:color w:val="auto"/>
          <w:kern w:val="2"/>
          <w:szCs w:val="21"/>
          <w:highlight w:val="none"/>
          <w:lang w:val="en-US" w:bidi="ar-SA"/>
        </w:rPr>
      </w:pPr>
      <w:r>
        <w:rPr>
          <w:rFonts w:hint="eastAsia" w:ascii="宋体" w:hAnsi="宋体" w:eastAsia="宋体" w:cs="宋体"/>
          <w:color w:val="auto"/>
          <w:kern w:val="2"/>
          <w:szCs w:val="21"/>
          <w:highlight w:val="none"/>
          <w:lang w:val="en-US" w:bidi="ar-SA"/>
        </w:rPr>
        <w:t>甲方：</w:t>
      </w:r>
      <w:r>
        <w:rPr>
          <w:rFonts w:hint="eastAsia" w:ascii="宋体" w:hAnsi="宋体" w:eastAsia="宋体" w:cs="宋体"/>
          <w:color w:val="auto"/>
          <w:kern w:val="2"/>
          <w:szCs w:val="21"/>
          <w:highlight w:val="none"/>
          <w:u w:val="single"/>
          <w:lang w:val="en-US" w:bidi="ar-SA"/>
        </w:rPr>
        <w:t xml:space="preserve">         </w:t>
      </w:r>
      <w:r>
        <w:rPr>
          <w:rFonts w:hint="eastAsia" w:ascii="宋体" w:hAnsi="宋体" w:eastAsia="宋体" w:cs="宋体"/>
          <w:color w:val="auto"/>
          <w:kern w:val="2"/>
          <w:szCs w:val="21"/>
          <w:highlight w:val="none"/>
          <w:lang w:val="en-US" w:bidi="ar-SA"/>
        </w:rPr>
        <w:t>(盖章)                            乙方：</w:t>
      </w:r>
      <w:r>
        <w:rPr>
          <w:rFonts w:hint="eastAsia" w:ascii="宋体" w:hAnsi="宋体" w:eastAsia="宋体" w:cs="宋体"/>
          <w:color w:val="auto"/>
          <w:kern w:val="2"/>
          <w:szCs w:val="21"/>
          <w:highlight w:val="none"/>
          <w:u w:val="single"/>
          <w:lang w:val="en-US" w:bidi="ar-SA"/>
        </w:rPr>
        <w:t xml:space="preserve">                </w:t>
      </w:r>
      <w:r>
        <w:rPr>
          <w:rFonts w:hint="eastAsia" w:ascii="宋体" w:hAnsi="宋体" w:eastAsia="宋体" w:cs="宋体"/>
          <w:color w:val="auto"/>
          <w:kern w:val="2"/>
          <w:szCs w:val="21"/>
          <w:highlight w:val="none"/>
          <w:lang w:val="en-US" w:bidi="ar-SA"/>
        </w:rPr>
        <w:t>(盖章)</w:t>
      </w:r>
    </w:p>
    <w:p>
      <w:pPr>
        <w:shd w:val="clear"/>
        <w:adjustRightInd w:val="0"/>
        <w:snapToGrid w:val="0"/>
        <w:spacing w:after="160" w:line="360" w:lineRule="auto"/>
        <w:ind w:firstLine="422" w:firstLineChars="200"/>
        <w:outlineLvl w:val="9"/>
        <w:rPr>
          <w:rFonts w:hint="default" w:ascii="宋体" w:hAnsi="宋体" w:eastAsia="宋体" w:cs="宋体"/>
          <w:b/>
          <w:bCs/>
          <w:color w:val="auto"/>
          <w:kern w:val="2"/>
          <w:szCs w:val="21"/>
          <w:highlight w:val="none"/>
          <w:lang w:val="en-US" w:bidi="ar-SA"/>
        </w:rPr>
      </w:pPr>
    </w:p>
    <w:p>
      <w:pPr>
        <w:shd w:val="clear"/>
        <w:adjustRightInd w:val="0"/>
        <w:snapToGrid w:val="0"/>
        <w:spacing w:after="160" w:line="360" w:lineRule="auto"/>
        <w:ind w:firstLine="420" w:firstLineChars="200"/>
        <w:outlineLvl w:val="9"/>
        <w:rPr>
          <w:rFonts w:hint="default" w:ascii="宋体" w:hAnsi="宋体" w:eastAsia="宋体" w:cs="宋体"/>
          <w:color w:val="auto"/>
          <w:kern w:val="2"/>
          <w:szCs w:val="21"/>
          <w:highlight w:val="none"/>
          <w:lang w:val="en-US" w:bidi="ar-SA"/>
        </w:rPr>
      </w:pPr>
      <w:r>
        <w:rPr>
          <w:rFonts w:hint="eastAsia" w:ascii="宋体" w:hAnsi="宋体" w:eastAsia="宋体" w:cs="宋体"/>
          <w:color w:val="auto"/>
          <w:kern w:val="2"/>
          <w:szCs w:val="21"/>
          <w:highlight w:val="none"/>
          <w:lang w:val="en-US" w:bidi="ar-SA"/>
        </w:rPr>
        <w:t>法定代表人或其                                   法定代表人或其</w:t>
      </w:r>
    </w:p>
    <w:p>
      <w:pPr>
        <w:shd w:val="clear"/>
        <w:adjustRightInd w:val="0"/>
        <w:snapToGrid w:val="0"/>
        <w:spacing w:after="160" w:line="360" w:lineRule="auto"/>
        <w:ind w:firstLine="420" w:firstLineChars="200"/>
        <w:outlineLvl w:val="9"/>
        <w:rPr>
          <w:rFonts w:hint="default" w:ascii="宋体" w:hAnsi="宋体" w:eastAsia="宋体" w:cs="宋体"/>
          <w:color w:val="auto"/>
          <w:kern w:val="2"/>
          <w:szCs w:val="21"/>
          <w:highlight w:val="none"/>
          <w:lang w:val="en-US" w:bidi="ar-SA"/>
        </w:rPr>
      </w:pPr>
      <w:r>
        <w:rPr>
          <w:rFonts w:hint="eastAsia" w:ascii="宋体" w:hAnsi="宋体" w:eastAsia="宋体" w:cs="宋体"/>
          <w:color w:val="auto"/>
          <w:kern w:val="2"/>
          <w:szCs w:val="21"/>
          <w:highlight w:val="none"/>
          <w:lang w:val="en-US" w:bidi="ar-SA"/>
        </w:rPr>
        <w:t>委托代理人：</w:t>
      </w:r>
      <w:r>
        <w:rPr>
          <w:rFonts w:hint="eastAsia" w:ascii="宋体" w:hAnsi="宋体" w:eastAsia="宋体" w:cs="宋体"/>
          <w:color w:val="auto"/>
          <w:kern w:val="2"/>
          <w:szCs w:val="21"/>
          <w:highlight w:val="none"/>
          <w:u w:val="single"/>
          <w:lang w:val="en-US" w:bidi="ar-SA"/>
        </w:rPr>
        <w:t xml:space="preserve">       </w:t>
      </w:r>
      <w:r>
        <w:rPr>
          <w:rFonts w:hint="eastAsia" w:ascii="宋体" w:hAnsi="宋体" w:eastAsia="宋体" w:cs="宋体"/>
          <w:color w:val="auto"/>
          <w:kern w:val="2"/>
          <w:szCs w:val="21"/>
          <w:highlight w:val="none"/>
          <w:lang w:val="en-US" w:bidi="ar-SA"/>
        </w:rPr>
        <w:t>(签字)                        委托代理人：</w:t>
      </w:r>
      <w:r>
        <w:rPr>
          <w:rFonts w:hint="eastAsia" w:ascii="宋体" w:hAnsi="宋体" w:eastAsia="宋体" w:cs="宋体"/>
          <w:color w:val="auto"/>
          <w:kern w:val="2"/>
          <w:szCs w:val="21"/>
          <w:highlight w:val="none"/>
          <w:u w:val="single"/>
          <w:lang w:val="en-US" w:bidi="ar-SA"/>
        </w:rPr>
        <w:t xml:space="preserve">           </w:t>
      </w:r>
      <w:r>
        <w:rPr>
          <w:rFonts w:hint="eastAsia" w:ascii="宋体" w:hAnsi="宋体" w:eastAsia="宋体" w:cs="宋体"/>
          <w:color w:val="auto"/>
          <w:kern w:val="2"/>
          <w:szCs w:val="21"/>
          <w:highlight w:val="none"/>
          <w:lang w:val="en-US" w:bidi="ar-SA"/>
        </w:rPr>
        <w:t>(签字)</w:t>
      </w:r>
    </w:p>
    <w:p>
      <w:pPr>
        <w:shd w:val="clear"/>
        <w:adjustRightInd w:val="0"/>
        <w:snapToGrid w:val="0"/>
        <w:spacing w:after="160" w:line="360" w:lineRule="auto"/>
        <w:ind w:firstLine="630" w:firstLineChars="300"/>
        <w:outlineLvl w:val="9"/>
        <w:rPr>
          <w:rFonts w:hint="default" w:ascii="宋体" w:hAnsi="宋体" w:eastAsia="宋体" w:cs="宋体"/>
          <w:color w:val="auto"/>
          <w:kern w:val="2"/>
          <w:szCs w:val="21"/>
          <w:highlight w:val="none"/>
          <w:lang w:val="en-US" w:bidi="ar-SA"/>
        </w:rPr>
      </w:pPr>
    </w:p>
    <w:p>
      <w:pPr>
        <w:shd w:val="clear"/>
        <w:adjustRightInd w:val="0"/>
        <w:snapToGrid w:val="0"/>
        <w:spacing w:after="160" w:line="360" w:lineRule="auto"/>
        <w:ind w:firstLine="2730" w:firstLineChars="1300"/>
        <w:outlineLvl w:val="9"/>
        <w:rPr>
          <w:rFonts w:hint="default" w:ascii="宋体" w:hAnsi="宋体" w:eastAsia="宋体" w:cs="宋体"/>
          <w:color w:val="auto"/>
          <w:kern w:val="2"/>
          <w:szCs w:val="21"/>
          <w:highlight w:val="none"/>
          <w:lang w:val="en-US" w:bidi="ar-SA"/>
        </w:rPr>
      </w:pPr>
      <w:bookmarkStart w:id="12" w:name="_Hlk101475817"/>
      <w:r>
        <w:rPr>
          <w:rFonts w:hint="eastAsia" w:ascii="宋体" w:hAnsi="宋体" w:eastAsia="宋体" w:cs="宋体"/>
          <w:color w:val="auto"/>
          <w:kern w:val="2"/>
          <w:szCs w:val="21"/>
          <w:highlight w:val="none"/>
          <w:lang w:val="en-US" w:bidi="ar-SA"/>
        </w:rPr>
        <w:t>年   月   日</w:t>
      </w:r>
      <w:bookmarkEnd w:id="12"/>
      <w:r>
        <w:rPr>
          <w:rFonts w:hint="eastAsia" w:ascii="宋体" w:hAnsi="宋体" w:eastAsia="宋体" w:cs="宋体"/>
          <w:color w:val="auto"/>
          <w:kern w:val="2"/>
          <w:szCs w:val="21"/>
          <w:highlight w:val="none"/>
          <w:lang w:val="en-US" w:bidi="ar-SA"/>
        </w:rPr>
        <w:t xml:space="preserve">                            年   月   日</w:t>
      </w:r>
    </w:p>
    <w:p>
      <w:pPr>
        <w:shd w:val="clear"/>
        <w:adjustRightInd w:val="0"/>
        <w:snapToGrid w:val="0"/>
        <w:spacing w:after="0" w:line="360" w:lineRule="auto"/>
        <w:outlineLvl w:val="9"/>
        <w:rPr>
          <w:rFonts w:hint="default" w:ascii="宋体" w:hAnsi="宋体" w:eastAsia="宋体" w:cs="宋体"/>
          <w:b/>
          <w:bCs/>
          <w:color w:val="auto"/>
          <w:kern w:val="2"/>
          <w:szCs w:val="21"/>
          <w:highlight w:val="none"/>
          <w:lang w:val="en-US" w:bidi="ar-SA"/>
        </w:rPr>
      </w:pPr>
      <w:r>
        <w:rPr>
          <w:rFonts w:hint="eastAsia" w:ascii="宋体" w:hAnsi="宋体" w:eastAsia="宋体" w:cs="宋体"/>
          <w:b/>
          <w:bCs/>
          <w:color w:val="auto"/>
          <w:kern w:val="2"/>
          <w:szCs w:val="21"/>
          <w:highlight w:val="none"/>
          <w:lang w:val="en-US" w:bidi="ar-SA"/>
        </w:rPr>
        <w:br w:type="page"/>
      </w:r>
      <w:r>
        <w:rPr>
          <w:rFonts w:hint="eastAsia" w:ascii="宋体" w:hAnsi="宋体" w:eastAsia="宋体" w:cs="宋体"/>
          <w:b/>
          <w:bCs/>
          <w:color w:val="auto"/>
          <w:kern w:val="2"/>
          <w:szCs w:val="21"/>
          <w:highlight w:val="none"/>
          <w:lang w:val="en-US" w:bidi="ar-SA"/>
        </w:rPr>
        <w:t>附件二：</w:t>
      </w:r>
    </w:p>
    <w:p>
      <w:pPr>
        <w:shd w:val="clear"/>
        <w:adjustRightInd w:val="0"/>
        <w:snapToGrid w:val="0"/>
        <w:spacing w:after="0" w:line="360" w:lineRule="auto"/>
        <w:jc w:val="center"/>
        <w:outlineLvl w:val="9"/>
        <w:rPr>
          <w:rFonts w:hint="default" w:ascii="宋体" w:hAnsi="宋体" w:eastAsia="宋体" w:cs="Times New Roman"/>
          <w:b/>
          <w:bCs/>
          <w:color w:val="auto"/>
          <w:kern w:val="2"/>
          <w:sz w:val="28"/>
          <w:szCs w:val="28"/>
          <w:highlight w:val="none"/>
          <w:lang w:val="en-US" w:bidi="ar-SA"/>
        </w:rPr>
      </w:pPr>
      <w:r>
        <w:rPr>
          <w:rFonts w:hint="default" w:ascii="宋体" w:hAnsi="宋体" w:eastAsia="宋体" w:cs="Times New Roman"/>
          <w:b/>
          <w:bCs/>
          <w:color w:val="auto"/>
          <w:kern w:val="2"/>
          <w:sz w:val="28"/>
          <w:szCs w:val="28"/>
          <w:highlight w:val="none"/>
          <w:lang w:val="en-US" w:bidi="ar-SA"/>
        </w:rPr>
        <w:t>安全管理协议书</w:t>
      </w:r>
    </w:p>
    <w:p>
      <w:pPr>
        <w:shd w:val="clear"/>
        <w:adjustRightInd w:val="0"/>
        <w:snapToGrid w:val="0"/>
        <w:spacing w:after="0" w:line="360" w:lineRule="auto"/>
        <w:ind w:firstLine="422" w:firstLineChars="200"/>
        <w:outlineLvl w:val="9"/>
        <w:rPr>
          <w:rFonts w:hint="eastAsia" w:ascii="宋体" w:hAnsi="宋体" w:eastAsia="宋体" w:cs="Times New Roman"/>
          <w:b/>
          <w:bCs/>
          <w:color w:val="auto"/>
          <w:kern w:val="2"/>
          <w:szCs w:val="21"/>
          <w:highlight w:val="none"/>
          <w:u w:val="single"/>
          <w:lang w:val="en-US" w:eastAsia="zh-CN" w:bidi="ar-SA"/>
        </w:rPr>
      </w:pPr>
      <w:r>
        <w:rPr>
          <w:rFonts w:hint="default" w:ascii="宋体" w:hAnsi="宋体" w:eastAsia="宋体" w:cs="Times New Roman"/>
          <w:b/>
          <w:bCs/>
          <w:color w:val="auto"/>
          <w:kern w:val="2"/>
          <w:szCs w:val="21"/>
          <w:highlight w:val="none"/>
          <w:lang w:val="en-US" w:bidi="ar-SA"/>
        </w:rPr>
        <w:t>项目名称：</w:t>
      </w:r>
      <w:r>
        <w:rPr>
          <w:rFonts w:hint="eastAsia" w:ascii="宋体" w:hAnsi="宋体" w:eastAsia="宋体" w:cs="Times New Roman"/>
          <w:b/>
          <w:bCs/>
          <w:color w:val="auto"/>
          <w:kern w:val="2"/>
          <w:szCs w:val="21"/>
          <w:highlight w:val="none"/>
          <w:u w:val="single"/>
          <w:lang w:val="en-US" w:eastAsia="zh-CN" w:bidi="ar-SA"/>
        </w:rPr>
        <w:t>2026-2027年太湖街道污水管网及设施运行维护作业权项目</w:t>
      </w:r>
    </w:p>
    <w:p>
      <w:pPr>
        <w:shd w:val="clear"/>
        <w:adjustRightInd w:val="0"/>
        <w:snapToGrid w:val="0"/>
        <w:spacing w:after="0" w:line="360" w:lineRule="auto"/>
        <w:ind w:firstLine="422" w:firstLineChars="200"/>
        <w:outlineLvl w:val="9"/>
        <w:rPr>
          <w:rFonts w:hint="default" w:ascii="宋体" w:hAnsi="宋体" w:eastAsia="宋体" w:cs="Times New Roman"/>
          <w:b/>
          <w:bCs/>
          <w:color w:val="auto"/>
          <w:kern w:val="2"/>
          <w:szCs w:val="21"/>
          <w:highlight w:val="none"/>
          <w:lang w:val="en-US" w:bidi="ar-SA"/>
        </w:rPr>
      </w:pPr>
      <w:r>
        <w:rPr>
          <w:rFonts w:hint="default" w:ascii="宋体" w:hAnsi="宋体" w:eastAsia="宋体" w:cs="Times New Roman"/>
          <w:b/>
          <w:bCs/>
          <w:color w:val="auto"/>
          <w:kern w:val="2"/>
          <w:szCs w:val="21"/>
          <w:highlight w:val="none"/>
          <w:lang w:val="en-US" w:bidi="ar-SA"/>
        </w:rPr>
        <w:t>甲方：</w:t>
      </w:r>
      <w:r>
        <w:rPr>
          <w:rFonts w:hint="eastAsia" w:ascii="宋体" w:hAnsi="宋体" w:eastAsia="宋体" w:cs="Times New Roman"/>
          <w:b/>
          <w:bCs/>
          <w:color w:val="auto"/>
          <w:kern w:val="2"/>
          <w:szCs w:val="21"/>
          <w:highlight w:val="none"/>
          <w:u w:val="single"/>
          <w:lang w:val="en-US" w:bidi="ar-SA"/>
        </w:rPr>
        <w:t>无锡市滨湖区太湖街道办事处</w:t>
      </w:r>
    </w:p>
    <w:p>
      <w:pPr>
        <w:shd w:val="clear"/>
        <w:adjustRightInd w:val="0"/>
        <w:snapToGrid w:val="0"/>
        <w:spacing w:after="0" w:line="360" w:lineRule="auto"/>
        <w:ind w:firstLine="422" w:firstLineChars="200"/>
        <w:outlineLvl w:val="9"/>
        <w:rPr>
          <w:rFonts w:hint="default" w:ascii="宋体" w:hAnsi="宋体" w:eastAsia="宋体" w:cs="Times New Roman"/>
          <w:b/>
          <w:bCs/>
          <w:color w:val="auto"/>
          <w:kern w:val="2"/>
          <w:szCs w:val="21"/>
          <w:highlight w:val="none"/>
          <w:u w:val="single"/>
          <w:lang w:val="en-US" w:bidi="ar-SA"/>
        </w:rPr>
      </w:pPr>
      <w:r>
        <w:rPr>
          <w:rFonts w:hint="default" w:ascii="宋体" w:hAnsi="宋体" w:eastAsia="宋体" w:cs="Times New Roman"/>
          <w:b/>
          <w:bCs/>
          <w:color w:val="auto"/>
          <w:kern w:val="2"/>
          <w:szCs w:val="21"/>
          <w:highlight w:val="none"/>
          <w:lang w:val="en-US" w:bidi="ar-SA"/>
        </w:rPr>
        <w:t>乙方：</w:t>
      </w:r>
      <w:r>
        <w:rPr>
          <w:rFonts w:hint="eastAsia" w:ascii="宋体" w:hAnsi="宋体" w:eastAsia="宋体" w:cs="Times New Roman"/>
          <w:b/>
          <w:bCs/>
          <w:color w:val="auto"/>
          <w:kern w:val="2"/>
          <w:szCs w:val="21"/>
          <w:highlight w:val="none"/>
          <w:u w:val="single"/>
          <w:lang w:val="en-US" w:bidi="ar-SA"/>
        </w:rPr>
        <w:t xml:space="preserve">                        </w:t>
      </w:r>
    </w:p>
    <w:p>
      <w:pPr>
        <w:shd w:val="clear"/>
        <w:adjustRightInd w:val="0"/>
        <w:snapToGrid w:val="0"/>
        <w:spacing w:after="0" w:line="360" w:lineRule="auto"/>
        <w:ind w:firstLine="422" w:firstLineChars="200"/>
        <w:outlineLvl w:val="9"/>
        <w:rPr>
          <w:rFonts w:hint="default" w:ascii="宋体" w:hAnsi="宋体" w:eastAsia="宋体" w:cs="Times New Roman"/>
          <w:b/>
          <w:bCs/>
          <w:color w:val="auto"/>
          <w:kern w:val="2"/>
          <w:szCs w:val="21"/>
          <w:highlight w:val="none"/>
          <w:u w:val="single"/>
          <w:lang w:val="en-US" w:bidi="ar-SA"/>
        </w:rPr>
      </w:pPr>
      <w:r>
        <w:rPr>
          <w:rFonts w:hint="default" w:ascii="宋体" w:hAnsi="宋体" w:eastAsia="宋体" w:cs="Times New Roman"/>
          <w:b/>
          <w:bCs/>
          <w:color w:val="auto"/>
          <w:kern w:val="2"/>
          <w:szCs w:val="21"/>
          <w:highlight w:val="none"/>
          <w:u w:val="single"/>
          <w:lang w:val="en-US" w:bidi="ar-SA"/>
        </w:rPr>
        <w:t>为了切实贯彻和落实《中华人民共和国安全生产法》及有关政策的相关规定，遵照“安全第一、预防为主、综合治理”的方针，确保本工程目标建设的顺利实现，</w:t>
      </w:r>
      <w:r>
        <w:rPr>
          <w:rFonts w:hint="eastAsia" w:ascii="宋体" w:hAnsi="宋体" w:eastAsia="宋体" w:cs="Times New Roman"/>
          <w:b/>
          <w:bCs/>
          <w:color w:val="auto"/>
          <w:kern w:val="2"/>
          <w:szCs w:val="21"/>
          <w:highlight w:val="none"/>
          <w:u w:val="single"/>
          <w:lang w:val="en-US" w:bidi="ar-SA"/>
        </w:rPr>
        <w:t>甲乙双方</w:t>
      </w:r>
      <w:r>
        <w:rPr>
          <w:rFonts w:hint="default" w:ascii="宋体" w:hAnsi="宋体" w:eastAsia="宋体" w:cs="Times New Roman"/>
          <w:b/>
          <w:bCs/>
          <w:color w:val="auto"/>
          <w:kern w:val="2"/>
          <w:szCs w:val="21"/>
          <w:highlight w:val="none"/>
          <w:u w:val="single"/>
          <w:lang w:val="en-US" w:bidi="ar-SA"/>
        </w:rPr>
        <w:t>就</w:t>
      </w:r>
      <w:r>
        <w:rPr>
          <w:rFonts w:hint="eastAsia" w:ascii="宋体" w:hAnsi="宋体" w:eastAsia="宋体" w:cs="Times New Roman"/>
          <w:b/>
          <w:bCs/>
          <w:color w:val="auto"/>
          <w:kern w:val="2"/>
          <w:szCs w:val="21"/>
          <w:highlight w:val="none"/>
          <w:u w:val="single"/>
          <w:lang w:val="en-US" w:eastAsia="zh-CN" w:bidi="ar-SA"/>
        </w:rPr>
        <w:t>2026-2027年太湖街道污水管网及设施运行维护作业权项目</w:t>
      </w:r>
      <w:r>
        <w:rPr>
          <w:rFonts w:hint="default" w:ascii="宋体" w:hAnsi="宋体" w:eastAsia="宋体" w:cs="Times New Roman"/>
          <w:b/>
          <w:bCs/>
          <w:color w:val="auto"/>
          <w:kern w:val="2"/>
          <w:szCs w:val="21"/>
          <w:highlight w:val="none"/>
          <w:u w:val="single"/>
          <w:lang w:val="en-US" w:bidi="ar-SA"/>
        </w:rPr>
        <w:t>的安全管理责任达成以下共识，特签订本协议书，供双方共同遵守：</w:t>
      </w:r>
    </w:p>
    <w:p>
      <w:pPr>
        <w:shd w:val="clear"/>
        <w:adjustRightInd w:val="0"/>
        <w:snapToGrid w:val="0"/>
        <w:spacing w:after="0" w:line="360" w:lineRule="auto"/>
        <w:ind w:firstLine="420" w:firstLineChars="200"/>
        <w:outlineLvl w:val="9"/>
        <w:rPr>
          <w:rFonts w:hint="default" w:ascii="宋体" w:hAnsi="宋体" w:eastAsia="宋体" w:cs="Times New Roman"/>
          <w:color w:val="auto"/>
          <w:kern w:val="2"/>
          <w:szCs w:val="21"/>
          <w:highlight w:val="none"/>
          <w:lang w:val="en-US" w:bidi="ar-SA"/>
        </w:rPr>
      </w:pPr>
      <w:r>
        <w:rPr>
          <w:rFonts w:hint="eastAsia" w:ascii="宋体" w:hAnsi="宋体" w:eastAsia="宋体" w:cs="Times New Roman"/>
          <w:color w:val="auto"/>
          <w:kern w:val="2"/>
          <w:szCs w:val="21"/>
          <w:highlight w:val="none"/>
          <w:lang w:val="en-US" w:bidi="ar-SA"/>
        </w:rPr>
        <w:t>一、目标和任务</w:t>
      </w:r>
    </w:p>
    <w:p>
      <w:pPr>
        <w:shd w:val="clear"/>
        <w:adjustRightInd w:val="0"/>
        <w:snapToGrid w:val="0"/>
        <w:spacing w:after="0" w:line="360" w:lineRule="auto"/>
        <w:ind w:firstLine="420" w:firstLineChars="200"/>
        <w:outlineLvl w:val="9"/>
        <w:rPr>
          <w:rFonts w:hint="default" w:ascii="宋体" w:hAnsi="宋体" w:eastAsia="宋体" w:cs="Times New Roman"/>
          <w:color w:val="auto"/>
          <w:kern w:val="2"/>
          <w:szCs w:val="21"/>
          <w:highlight w:val="none"/>
          <w:lang w:val="en-US" w:bidi="ar-SA"/>
        </w:rPr>
      </w:pPr>
      <w:r>
        <w:rPr>
          <w:rFonts w:hint="eastAsia" w:ascii="宋体" w:hAnsi="宋体" w:eastAsia="宋体" w:cs="Times New Roman"/>
          <w:color w:val="auto"/>
          <w:kern w:val="2"/>
          <w:szCs w:val="21"/>
          <w:highlight w:val="none"/>
          <w:lang w:val="en-US" w:bidi="ar-SA"/>
        </w:rPr>
        <w:t>坚决杜绝较大以上安全事故，不发生死亡事故，有效减少一般安全事故。</w:t>
      </w:r>
    </w:p>
    <w:p>
      <w:pPr>
        <w:shd w:val="clear"/>
        <w:adjustRightInd w:val="0"/>
        <w:snapToGrid w:val="0"/>
        <w:spacing w:after="0" w:line="360" w:lineRule="auto"/>
        <w:ind w:firstLine="420" w:firstLineChars="200"/>
        <w:outlineLvl w:val="9"/>
        <w:rPr>
          <w:rFonts w:hint="default" w:ascii="宋体" w:hAnsi="宋体" w:eastAsia="宋体" w:cs="Times New Roman"/>
          <w:color w:val="auto"/>
          <w:kern w:val="2"/>
          <w:szCs w:val="21"/>
          <w:highlight w:val="none"/>
          <w:lang w:val="en-US" w:bidi="ar-SA"/>
        </w:rPr>
      </w:pPr>
      <w:r>
        <w:rPr>
          <w:rFonts w:hint="eastAsia" w:ascii="宋体" w:hAnsi="宋体" w:eastAsia="宋体" w:cs="Times New Roman"/>
          <w:color w:val="auto"/>
          <w:kern w:val="2"/>
          <w:szCs w:val="21"/>
          <w:highlight w:val="none"/>
          <w:lang w:val="en-US" w:bidi="ar-SA"/>
        </w:rPr>
        <w:t>二、甲方权利义务</w:t>
      </w:r>
    </w:p>
    <w:p>
      <w:pPr>
        <w:shd w:val="clear"/>
        <w:adjustRightInd w:val="0"/>
        <w:snapToGrid w:val="0"/>
        <w:spacing w:after="0" w:line="360" w:lineRule="auto"/>
        <w:ind w:firstLine="420" w:firstLineChars="200"/>
        <w:outlineLvl w:val="9"/>
        <w:rPr>
          <w:rFonts w:hint="default" w:ascii="宋体" w:hAnsi="宋体" w:eastAsia="宋体" w:cs="Times New Roman"/>
          <w:color w:val="auto"/>
          <w:kern w:val="2"/>
          <w:szCs w:val="21"/>
          <w:highlight w:val="none"/>
          <w:lang w:val="en-US" w:bidi="ar-SA"/>
        </w:rPr>
      </w:pPr>
      <w:r>
        <w:rPr>
          <w:rFonts w:hint="eastAsia" w:ascii="宋体" w:hAnsi="宋体" w:eastAsia="宋体" w:cs="Times New Roman"/>
          <w:color w:val="auto"/>
          <w:kern w:val="2"/>
          <w:szCs w:val="21"/>
          <w:highlight w:val="none"/>
          <w:lang w:val="en-US" w:bidi="ar-SA"/>
        </w:rPr>
        <w:t>（一）甲方有权审查乙方安全生产信誉度。</w:t>
      </w:r>
    </w:p>
    <w:p>
      <w:pPr>
        <w:shd w:val="clear"/>
        <w:adjustRightInd w:val="0"/>
        <w:snapToGrid w:val="0"/>
        <w:spacing w:after="0" w:line="360" w:lineRule="auto"/>
        <w:ind w:firstLine="420" w:firstLineChars="200"/>
        <w:outlineLvl w:val="9"/>
        <w:rPr>
          <w:rFonts w:hint="default" w:ascii="宋体" w:hAnsi="宋体" w:eastAsia="宋体" w:cs="Times New Roman"/>
          <w:color w:val="auto"/>
          <w:kern w:val="2"/>
          <w:szCs w:val="21"/>
          <w:highlight w:val="none"/>
          <w:lang w:val="en-US" w:bidi="ar-SA"/>
        </w:rPr>
      </w:pPr>
      <w:r>
        <w:rPr>
          <w:rFonts w:hint="eastAsia" w:ascii="宋体" w:hAnsi="宋体" w:eastAsia="宋体" w:cs="Times New Roman"/>
          <w:color w:val="auto"/>
          <w:kern w:val="2"/>
          <w:szCs w:val="21"/>
          <w:highlight w:val="none"/>
          <w:lang w:val="en-US" w:bidi="ar-SA"/>
        </w:rPr>
        <w:t>（二）甲方有权对乙方进行随时和不定期的安全生产监督检查，对发现的问题和存在的隐患有权要求乙方限期整改和消除隐患；对逾期不整改或整改不到位不彻底的，甲方有权责令乙方停止一切服务并限期整改到位。对拒不履行整改意见或再次逾期整改的，甲方有权单方面终止与乙方的工程合同，一切责任均由乙方自负。</w:t>
      </w:r>
    </w:p>
    <w:p>
      <w:pPr>
        <w:shd w:val="clear"/>
        <w:adjustRightInd w:val="0"/>
        <w:snapToGrid w:val="0"/>
        <w:spacing w:after="0" w:line="360" w:lineRule="auto"/>
        <w:ind w:firstLine="420" w:firstLineChars="200"/>
        <w:outlineLvl w:val="9"/>
        <w:rPr>
          <w:rFonts w:hint="default" w:ascii="宋体" w:hAnsi="宋体" w:eastAsia="宋体" w:cs="Times New Roman"/>
          <w:color w:val="auto"/>
          <w:kern w:val="2"/>
          <w:szCs w:val="21"/>
          <w:highlight w:val="none"/>
          <w:lang w:val="en-US" w:bidi="ar-SA"/>
        </w:rPr>
      </w:pPr>
      <w:r>
        <w:rPr>
          <w:rFonts w:hint="eastAsia" w:ascii="宋体" w:hAnsi="宋体" w:eastAsia="宋体" w:cs="Times New Roman"/>
          <w:color w:val="auto"/>
          <w:kern w:val="2"/>
          <w:szCs w:val="21"/>
          <w:highlight w:val="none"/>
          <w:lang w:val="en-US" w:bidi="ar-SA"/>
        </w:rPr>
        <w:t>（三）甲方有义务对乙方进行安全生产职责告知。</w:t>
      </w:r>
    </w:p>
    <w:p>
      <w:pPr>
        <w:shd w:val="clear"/>
        <w:adjustRightInd w:val="0"/>
        <w:snapToGrid w:val="0"/>
        <w:spacing w:after="0" w:line="360" w:lineRule="auto"/>
        <w:ind w:firstLine="420" w:firstLineChars="200"/>
        <w:outlineLvl w:val="9"/>
        <w:rPr>
          <w:rFonts w:hint="default" w:ascii="宋体" w:hAnsi="宋体" w:eastAsia="宋体" w:cs="Times New Roman"/>
          <w:color w:val="auto"/>
          <w:kern w:val="2"/>
          <w:szCs w:val="21"/>
          <w:highlight w:val="none"/>
          <w:lang w:val="en-US" w:bidi="ar-SA"/>
        </w:rPr>
      </w:pPr>
      <w:r>
        <w:rPr>
          <w:rFonts w:hint="eastAsia" w:ascii="宋体" w:hAnsi="宋体" w:eastAsia="宋体" w:cs="Times New Roman"/>
          <w:color w:val="auto"/>
          <w:kern w:val="2"/>
          <w:szCs w:val="21"/>
          <w:highlight w:val="none"/>
          <w:lang w:val="en-US" w:bidi="ar-SA"/>
        </w:rPr>
        <w:t>（四）甲方设立安全生产管理办公室，负责公司安全生产日常事务。</w:t>
      </w:r>
    </w:p>
    <w:p>
      <w:pPr>
        <w:shd w:val="clear"/>
        <w:adjustRightInd w:val="0"/>
        <w:snapToGrid w:val="0"/>
        <w:spacing w:after="0" w:line="360" w:lineRule="auto"/>
        <w:ind w:firstLine="420" w:firstLineChars="200"/>
        <w:outlineLvl w:val="9"/>
        <w:rPr>
          <w:rFonts w:hint="default" w:ascii="宋体" w:hAnsi="宋体" w:eastAsia="宋体" w:cs="Times New Roman"/>
          <w:color w:val="auto"/>
          <w:kern w:val="2"/>
          <w:szCs w:val="21"/>
          <w:highlight w:val="none"/>
          <w:lang w:val="en-US" w:bidi="ar-SA"/>
        </w:rPr>
      </w:pPr>
      <w:r>
        <w:rPr>
          <w:rFonts w:hint="eastAsia" w:ascii="宋体" w:hAnsi="宋体" w:eastAsia="宋体" w:cs="Times New Roman"/>
          <w:color w:val="auto"/>
          <w:kern w:val="2"/>
          <w:szCs w:val="21"/>
          <w:highlight w:val="none"/>
          <w:lang w:val="en-US" w:bidi="ar-SA"/>
        </w:rPr>
        <w:t>三、乙方权利义务</w:t>
      </w:r>
    </w:p>
    <w:p>
      <w:pPr>
        <w:shd w:val="clear"/>
        <w:adjustRightInd w:val="0"/>
        <w:snapToGrid w:val="0"/>
        <w:spacing w:after="0" w:line="360" w:lineRule="auto"/>
        <w:ind w:firstLine="420" w:firstLineChars="200"/>
        <w:outlineLvl w:val="9"/>
        <w:rPr>
          <w:rFonts w:hint="default" w:ascii="宋体" w:hAnsi="宋体" w:eastAsia="宋体" w:cs="Times New Roman"/>
          <w:color w:val="auto"/>
          <w:kern w:val="2"/>
          <w:szCs w:val="21"/>
          <w:highlight w:val="none"/>
          <w:lang w:val="en-US" w:bidi="ar-SA"/>
        </w:rPr>
      </w:pPr>
      <w:r>
        <w:rPr>
          <w:rFonts w:hint="eastAsia" w:ascii="宋体" w:hAnsi="宋体" w:eastAsia="宋体" w:cs="Times New Roman"/>
          <w:color w:val="auto"/>
          <w:kern w:val="2"/>
          <w:szCs w:val="21"/>
          <w:highlight w:val="none"/>
          <w:lang w:val="en-US" w:bidi="ar-SA"/>
        </w:rPr>
        <w:t>（一）严格遵守国家安全生产的法律法规，贯彻执行国家相关方针政策及甲方各项安全管理制度，依法履行本建设工程安全生产主体责任。</w:t>
      </w:r>
    </w:p>
    <w:p>
      <w:pPr>
        <w:shd w:val="clear"/>
        <w:adjustRightInd w:val="0"/>
        <w:snapToGrid w:val="0"/>
        <w:spacing w:after="0" w:line="360" w:lineRule="auto"/>
        <w:ind w:firstLine="420" w:firstLineChars="200"/>
        <w:outlineLvl w:val="9"/>
        <w:rPr>
          <w:rFonts w:hint="default" w:ascii="宋体" w:hAnsi="宋体" w:eastAsia="宋体" w:cs="Times New Roman"/>
          <w:color w:val="auto"/>
          <w:kern w:val="2"/>
          <w:szCs w:val="21"/>
          <w:highlight w:val="none"/>
          <w:lang w:val="en-US" w:bidi="ar-SA"/>
        </w:rPr>
      </w:pPr>
      <w:r>
        <w:rPr>
          <w:rFonts w:hint="eastAsia" w:ascii="宋体" w:hAnsi="宋体" w:eastAsia="宋体" w:cs="Times New Roman"/>
          <w:color w:val="auto"/>
          <w:kern w:val="2"/>
          <w:szCs w:val="21"/>
          <w:highlight w:val="none"/>
          <w:lang w:val="en-US" w:bidi="ar-SA"/>
        </w:rPr>
        <w:t>（二）切实加强安全管理，建立健全以安全生产责任制为中心的各项安全生产管理制度和安全操作规程，严格执行有关安全生产的国家标准和行业标准，完善安全生产条件，自觉接受并配合有关部门的监督管理，确保安全生产。</w:t>
      </w:r>
    </w:p>
    <w:p>
      <w:pPr>
        <w:shd w:val="clear"/>
        <w:adjustRightInd w:val="0"/>
        <w:snapToGrid w:val="0"/>
        <w:spacing w:after="0" w:line="360" w:lineRule="auto"/>
        <w:ind w:firstLine="420" w:firstLineChars="200"/>
        <w:outlineLvl w:val="9"/>
        <w:rPr>
          <w:rFonts w:hint="default" w:ascii="宋体" w:hAnsi="宋体" w:eastAsia="宋体" w:cs="Times New Roman"/>
          <w:color w:val="auto"/>
          <w:kern w:val="2"/>
          <w:szCs w:val="21"/>
          <w:highlight w:val="none"/>
          <w:lang w:val="en-US" w:bidi="ar-SA"/>
        </w:rPr>
      </w:pPr>
      <w:r>
        <w:rPr>
          <w:rFonts w:hint="eastAsia" w:ascii="宋体" w:hAnsi="宋体" w:eastAsia="宋体" w:cs="Times New Roman"/>
          <w:color w:val="auto"/>
          <w:kern w:val="2"/>
          <w:szCs w:val="21"/>
          <w:highlight w:val="none"/>
          <w:lang w:val="en-US" w:bidi="ar-SA"/>
        </w:rPr>
        <w:t>（三）加强安全生产管理机构和队伍建设，定期召开安全生产会议，及时解决安全生产的重大问题，加强施工现场安全生产管理。</w:t>
      </w:r>
    </w:p>
    <w:p>
      <w:pPr>
        <w:shd w:val="clear"/>
        <w:adjustRightInd w:val="0"/>
        <w:snapToGrid w:val="0"/>
        <w:spacing w:after="0" w:line="360" w:lineRule="auto"/>
        <w:ind w:firstLine="420" w:firstLineChars="200"/>
        <w:outlineLvl w:val="9"/>
        <w:rPr>
          <w:rFonts w:hint="default" w:ascii="宋体" w:hAnsi="宋体" w:eastAsia="宋体" w:cs="Times New Roman"/>
          <w:color w:val="auto"/>
          <w:kern w:val="2"/>
          <w:szCs w:val="21"/>
          <w:highlight w:val="none"/>
          <w:lang w:val="en-US" w:bidi="ar-SA"/>
        </w:rPr>
      </w:pPr>
      <w:r>
        <w:rPr>
          <w:rFonts w:hint="eastAsia" w:ascii="宋体" w:hAnsi="宋体" w:eastAsia="宋体" w:cs="Times New Roman"/>
          <w:color w:val="auto"/>
          <w:kern w:val="2"/>
          <w:szCs w:val="21"/>
          <w:highlight w:val="none"/>
          <w:lang w:val="en-US" w:bidi="ar-SA"/>
        </w:rPr>
        <w:t>（四）乙方有义务在入场一周前上报该工程项目劳务人员花名册及其管理人员分工情况。</w:t>
      </w:r>
    </w:p>
    <w:p>
      <w:pPr>
        <w:shd w:val="clear"/>
        <w:adjustRightInd w:val="0"/>
        <w:snapToGrid w:val="0"/>
        <w:spacing w:after="0" w:line="360" w:lineRule="auto"/>
        <w:ind w:firstLine="420" w:firstLineChars="200"/>
        <w:outlineLvl w:val="9"/>
        <w:rPr>
          <w:rFonts w:hint="default" w:ascii="宋体" w:hAnsi="宋体" w:eastAsia="宋体" w:cs="Times New Roman"/>
          <w:color w:val="auto"/>
          <w:kern w:val="2"/>
          <w:szCs w:val="21"/>
          <w:highlight w:val="none"/>
          <w:lang w:val="en-US" w:bidi="ar-SA"/>
        </w:rPr>
      </w:pPr>
      <w:r>
        <w:rPr>
          <w:rFonts w:hint="eastAsia" w:ascii="宋体" w:hAnsi="宋体" w:eastAsia="宋体" w:cs="Times New Roman"/>
          <w:color w:val="auto"/>
          <w:kern w:val="2"/>
          <w:szCs w:val="21"/>
          <w:highlight w:val="none"/>
          <w:lang w:val="en-US" w:bidi="ar-SA"/>
        </w:rPr>
        <w:t>（五）乙方指派为现场安全员，负责本工程安全生产的现场管理工作。</w:t>
      </w:r>
    </w:p>
    <w:p>
      <w:pPr>
        <w:shd w:val="clear"/>
        <w:adjustRightInd w:val="0"/>
        <w:snapToGrid w:val="0"/>
        <w:spacing w:after="0" w:line="360" w:lineRule="auto"/>
        <w:ind w:firstLine="420" w:firstLineChars="200"/>
        <w:outlineLvl w:val="9"/>
        <w:rPr>
          <w:rFonts w:hint="default" w:ascii="宋体" w:hAnsi="宋体" w:eastAsia="宋体" w:cs="Times New Roman"/>
          <w:color w:val="auto"/>
          <w:kern w:val="2"/>
          <w:szCs w:val="21"/>
          <w:highlight w:val="none"/>
          <w:lang w:val="en-US" w:bidi="ar-SA"/>
        </w:rPr>
      </w:pPr>
      <w:r>
        <w:rPr>
          <w:rFonts w:hint="eastAsia" w:ascii="宋体" w:hAnsi="宋体" w:eastAsia="宋体" w:cs="Times New Roman"/>
          <w:color w:val="auto"/>
          <w:kern w:val="2"/>
          <w:szCs w:val="21"/>
          <w:highlight w:val="none"/>
          <w:lang w:val="en-US" w:bidi="ar-SA"/>
        </w:rPr>
        <w:t>（六）单位主要负责人、分管安全的负责人和安全管理人员必须依法通过相关有资质单位组织的安全生产知识和管理能力的培训考核后方可任职。加强对从业人员的安全生产教育和培训，保证其具备并掌握必要的安全生产知识和安全操作技能。特种作业人员必须经专门培训，取得岗位操作证书后方能上岗作业。对进入施工现场所有施工单位工作人员，做好安全教育、安全技术交底。</w:t>
      </w:r>
    </w:p>
    <w:p>
      <w:pPr>
        <w:shd w:val="clear"/>
        <w:adjustRightInd w:val="0"/>
        <w:snapToGrid w:val="0"/>
        <w:spacing w:after="0" w:line="360" w:lineRule="auto"/>
        <w:ind w:firstLine="420" w:firstLineChars="200"/>
        <w:outlineLvl w:val="9"/>
        <w:rPr>
          <w:rFonts w:hint="default" w:ascii="宋体" w:hAnsi="宋体" w:eastAsia="宋体" w:cs="Times New Roman"/>
          <w:color w:val="auto"/>
          <w:kern w:val="2"/>
          <w:szCs w:val="21"/>
          <w:highlight w:val="none"/>
          <w:lang w:val="en-US" w:bidi="ar-SA"/>
        </w:rPr>
      </w:pPr>
      <w:r>
        <w:rPr>
          <w:rFonts w:hint="eastAsia" w:ascii="宋体" w:hAnsi="宋体" w:eastAsia="宋体" w:cs="Times New Roman"/>
          <w:color w:val="auto"/>
          <w:kern w:val="2"/>
          <w:szCs w:val="21"/>
          <w:highlight w:val="none"/>
          <w:lang w:val="en-US" w:bidi="ar-SA"/>
        </w:rPr>
        <w:t>（七）保证对安全生产的有效投入，积极推广和应用安全生产先进技术，不使用国家明令淘汰、禁止使用的危及安全生产的工艺、设备，提高安全生产水平。</w:t>
      </w:r>
    </w:p>
    <w:p>
      <w:pPr>
        <w:shd w:val="clear"/>
        <w:adjustRightInd w:val="0"/>
        <w:snapToGrid w:val="0"/>
        <w:spacing w:after="0" w:line="360" w:lineRule="auto"/>
        <w:ind w:firstLine="420" w:firstLineChars="200"/>
        <w:outlineLvl w:val="9"/>
        <w:rPr>
          <w:rFonts w:hint="default" w:ascii="宋体" w:hAnsi="宋体" w:eastAsia="宋体" w:cs="Times New Roman"/>
          <w:color w:val="auto"/>
          <w:kern w:val="2"/>
          <w:szCs w:val="21"/>
          <w:highlight w:val="none"/>
          <w:lang w:val="en-US" w:bidi="ar-SA"/>
        </w:rPr>
      </w:pPr>
      <w:r>
        <w:rPr>
          <w:rFonts w:hint="eastAsia" w:ascii="宋体" w:hAnsi="宋体" w:eastAsia="宋体" w:cs="Times New Roman"/>
          <w:color w:val="auto"/>
          <w:kern w:val="2"/>
          <w:szCs w:val="21"/>
          <w:highlight w:val="none"/>
          <w:lang w:val="en-US" w:bidi="ar-SA"/>
        </w:rPr>
        <w:t>（八）建立应急救援体系，定期组织演练。切实加强重大危险源监测预警，进行定期检测、评估、监控。</w:t>
      </w:r>
    </w:p>
    <w:p>
      <w:pPr>
        <w:shd w:val="clear"/>
        <w:adjustRightInd w:val="0"/>
        <w:snapToGrid w:val="0"/>
        <w:spacing w:after="0" w:line="360" w:lineRule="auto"/>
        <w:ind w:firstLine="420" w:firstLineChars="200"/>
        <w:outlineLvl w:val="9"/>
        <w:rPr>
          <w:rFonts w:hint="default" w:ascii="宋体" w:hAnsi="宋体" w:eastAsia="宋体" w:cs="Times New Roman"/>
          <w:color w:val="auto"/>
          <w:kern w:val="2"/>
          <w:szCs w:val="21"/>
          <w:highlight w:val="none"/>
          <w:lang w:val="en-US" w:bidi="ar-SA"/>
        </w:rPr>
      </w:pPr>
      <w:r>
        <w:rPr>
          <w:rFonts w:hint="eastAsia" w:ascii="宋体" w:hAnsi="宋体" w:eastAsia="宋体" w:cs="Times New Roman"/>
          <w:color w:val="auto"/>
          <w:kern w:val="2"/>
          <w:szCs w:val="21"/>
          <w:highlight w:val="none"/>
          <w:lang w:val="en-US" w:bidi="ar-SA"/>
        </w:rPr>
        <w:t>（九）加强工作场所以及发包项目的安全生产管理，凡安全措施不到位，员工对岗位安全知识不熟知的，不准进行生产或进行相应的施工作业。对涉及安全生产必须取得行政许可的有关事项，必须依法取得行政许可。</w:t>
      </w:r>
    </w:p>
    <w:p>
      <w:pPr>
        <w:shd w:val="clear"/>
        <w:adjustRightInd w:val="0"/>
        <w:snapToGrid w:val="0"/>
        <w:spacing w:after="0" w:line="360" w:lineRule="auto"/>
        <w:ind w:firstLine="420" w:firstLineChars="200"/>
        <w:outlineLvl w:val="9"/>
        <w:rPr>
          <w:rFonts w:hint="default" w:ascii="宋体" w:hAnsi="宋体" w:eastAsia="宋体" w:cs="Times New Roman"/>
          <w:color w:val="auto"/>
          <w:kern w:val="2"/>
          <w:szCs w:val="21"/>
          <w:highlight w:val="none"/>
          <w:lang w:val="en-US" w:bidi="ar-SA"/>
        </w:rPr>
      </w:pPr>
      <w:r>
        <w:rPr>
          <w:rFonts w:hint="eastAsia" w:ascii="宋体" w:hAnsi="宋体" w:eastAsia="宋体" w:cs="Times New Roman"/>
          <w:color w:val="auto"/>
          <w:kern w:val="2"/>
          <w:szCs w:val="21"/>
          <w:highlight w:val="none"/>
          <w:lang w:val="en-US" w:bidi="ar-SA"/>
        </w:rPr>
        <w:t>（十）健全并落实安全生产检查制度，定期组织安全生产检查活动，对发现的事故隐患，及时组织并落实整改，确保安全生产。</w:t>
      </w:r>
    </w:p>
    <w:p>
      <w:pPr>
        <w:shd w:val="clear"/>
        <w:adjustRightInd w:val="0"/>
        <w:snapToGrid w:val="0"/>
        <w:spacing w:after="0" w:line="360" w:lineRule="auto"/>
        <w:ind w:firstLine="420" w:firstLineChars="200"/>
        <w:outlineLvl w:val="9"/>
        <w:rPr>
          <w:rFonts w:hint="default" w:ascii="宋体" w:hAnsi="宋体" w:eastAsia="宋体" w:cs="Times New Roman"/>
          <w:color w:val="auto"/>
          <w:kern w:val="2"/>
          <w:szCs w:val="21"/>
          <w:highlight w:val="none"/>
          <w:lang w:val="en-US" w:bidi="ar-SA"/>
        </w:rPr>
      </w:pPr>
      <w:r>
        <w:rPr>
          <w:rFonts w:hint="eastAsia" w:ascii="宋体" w:hAnsi="宋体" w:eastAsia="宋体" w:cs="Times New Roman"/>
          <w:color w:val="auto"/>
          <w:kern w:val="2"/>
          <w:szCs w:val="21"/>
          <w:highlight w:val="none"/>
          <w:lang w:val="en-US" w:bidi="ar-SA"/>
        </w:rPr>
        <w:t>（十一）落实安全生产工作定期履职报告制度，每季度填写《无锡市</w:t>
      </w:r>
      <w:r>
        <w:rPr>
          <w:rFonts w:hint="eastAsia" w:ascii="宋体" w:hAnsi="宋体" w:eastAsia="宋体" w:cs="Times New Roman"/>
          <w:color w:val="auto"/>
          <w:kern w:val="2"/>
          <w:szCs w:val="21"/>
          <w:highlight w:val="none"/>
          <w:lang w:val="en-US" w:eastAsia="zh-CN" w:bidi="ar-SA"/>
        </w:rPr>
        <w:t>新吴区</w:t>
      </w:r>
      <w:r>
        <w:rPr>
          <w:rFonts w:hint="eastAsia" w:ascii="宋体" w:hAnsi="宋体" w:eastAsia="宋体" w:cs="Times New Roman"/>
          <w:color w:val="auto"/>
          <w:kern w:val="2"/>
          <w:szCs w:val="21"/>
          <w:highlight w:val="none"/>
          <w:lang w:val="en-US" w:bidi="ar-SA"/>
        </w:rPr>
        <w:t>安全生产工作履职报告书》，由单位主要负责人签名后于下季度第一个月2日前报送甲方安全生产管理办公室。</w:t>
      </w:r>
    </w:p>
    <w:p>
      <w:pPr>
        <w:shd w:val="clear"/>
        <w:adjustRightInd w:val="0"/>
        <w:snapToGrid w:val="0"/>
        <w:spacing w:after="0" w:line="360" w:lineRule="auto"/>
        <w:ind w:firstLine="420" w:firstLineChars="200"/>
        <w:outlineLvl w:val="9"/>
        <w:rPr>
          <w:rFonts w:hint="default" w:ascii="宋体" w:hAnsi="宋体" w:eastAsia="宋体" w:cs="Times New Roman"/>
          <w:color w:val="auto"/>
          <w:kern w:val="2"/>
          <w:szCs w:val="21"/>
          <w:highlight w:val="none"/>
          <w:lang w:val="en-US" w:bidi="ar-SA"/>
        </w:rPr>
      </w:pPr>
      <w:r>
        <w:rPr>
          <w:rFonts w:hint="eastAsia" w:ascii="宋体" w:hAnsi="宋体" w:eastAsia="宋体" w:cs="Times New Roman"/>
          <w:color w:val="auto"/>
          <w:kern w:val="2"/>
          <w:szCs w:val="21"/>
          <w:highlight w:val="none"/>
          <w:lang w:val="en-US" w:bidi="ar-SA"/>
        </w:rPr>
        <w:t>（十二）接到有关安全生产事故报告后，项目负责人应及时赶到事故现场，组织事故抢救和善后处理，防止事故扩大，并按照《生产安全事故报告和调查处理条例》（国务院第493号令）的有关规定，如实报告，同时负责事故现场的保护。</w:t>
      </w:r>
    </w:p>
    <w:p>
      <w:pPr>
        <w:shd w:val="clear"/>
        <w:adjustRightInd w:val="0"/>
        <w:snapToGrid w:val="0"/>
        <w:spacing w:after="0" w:line="360" w:lineRule="auto"/>
        <w:ind w:firstLine="420" w:firstLineChars="200"/>
        <w:outlineLvl w:val="9"/>
        <w:rPr>
          <w:rFonts w:hint="default" w:ascii="宋体" w:hAnsi="宋体" w:eastAsia="宋体" w:cs="Times New Roman"/>
          <w:color w:val="auto"/>
          <w:kern w:val="2"/>
          <w:szCs w:val="21"/>
          <w:highlight w:val="none"/>
          <w:lang w:val="en-US" w:bidi="ar-SA"/>
        </w:rPr>
      </w:pPr>
      <w:r>
        <w:rPr>
          <w:rFonts w:hint="eastAsia" w:ascii="宋体" w:hAnsi="宋体" w:eastAsia="宋体" w:cs="Times New Roman"/>
          <w:color w:val="auto"/>
          <w:kern w:val="2"/>
          <w:szCs w:val="21"/>
          <w:highlight w:val="none"/>
          <w:lang w:val="en-US" w:bidi="ar-SA"/>
        </w:rPr>
        <w:t>（十二）乙方负责施工的工程项目及设施在施工期发生对第三方或甲方的人身财产损害的，由乙方承担一切赔偿责任。</w:t>
      </w:r>
    </w:p>
    <w:p>
      <w:pPr>
        <w:shd w:val="clear"/>
        <w:adjustRightInd w:val="0"/>
        <w:snapToGrid w:val="0"/>
        <w:spacing w:after="0" w:line="360" w:lineRule="auto"/>
        <w:ind w:firstLine="420" w:firstLineChars="200"/>
        <w:outlineLvl w:val="9"/>
        <w:rPr>
          <w:rFonts w:hint="default" w:ascii="宋体" w:hAnsi="宋体" w:eastAsia="宋体" w:cs="Times New Roman"/>
          <w:color w:val="auto"/>
          <w:kern w:val="2"/>
          <w:szCs w:val="21"/>
          <w:highlight w:val="none"/>
          <w:lang w:val="en-US" w:bidi="ar-SA"/>
        </w:rPr>
      </w:pPr>
      <w:r>
        <w:rPr>
          <w:rFonts w:hint="eastAsia" w:ascii="宋体" w:hAnsi="宋体" w:eastAsia="宋体" w:cs="Times New Roman"/>
          <w:color w:val="auto"/>
          <w:kern w:val="2"/>
          <w:szCs w:val="21"/>
          <w:highlight w:val="none"/>
          <w:lang w:val="en-US" w:bidi="ar-SA"/>
        </w:rPr>
        <w:t>（十三）乙方承建的项目，禁止再行转包。非主体工程需要分包的，必须报甲方工程项目主管部门批准。乙方必须对分包方进行安全管理与监督，分包工程发生安全事故时，乙方与分包单位承担全部责任（包括连带责任）。</w:t>
      </w:r>
    </w:p>
    <w:p>
      <w:pPr>
        <w:shd w:val="clear"/>
        <w:adjustRightInd w:val="0"/>
        <w:snapToGrid w:val="0"/>
        <w:spacing w:after="0" w:line="360" w:lineRule="auto"/>
        <w:ind w:firstLine="420" w:firstLineChars="200"/>
        <w:outlineLvl w:val="9"/>
        <w:rPr>
          <w:rFonts w:hint="default" w:ascii="宋体" w:hAnsi="宋体" w:eastAsia="宋体" w:cs="Times New Roman"/>
          <w:color w:val="auto"/>
          <w:kern w:val="2"/>
          <w:szCs w:val="21"/>
          <w:highlight w:val="none"/>
          <w:lang w:val="en-US" w:bidi="ar-SA"/>
        </w:rPr>
      </w:pPr>
      <w:r>
        <w:rPr>
          <w:rFonts w:hint="eastAsia" w:ascii="宋体" w:hAnsi="宋体" w:eastAsia="宋体" w:cs="Times New Roman"/>
          <w:color w:val="auto"/>
          <w:kern w:val="2"/>
          <w:szCs w:val="21"/>
          <w:highlight w:val="none"/>
          <w:lang w:val="en-US" w:bidi="ar-SA"/>
        </w:rPr>
        <w:t>（十四）乙方根据安全生产管理目标，制定安全管理计划和安全施工方案，并在甲方安全生产管理办公室同意后实施。乙方在工人进场一周内，要填写三级教育卡，不得缺人漏人，三级教育卡由乙方保存并备查，经常教育由乙方负责。</w:t>
      </w:r>
    </w:p>
    <w:p>
      <w:pPr>
        <w:shd w:val="clear"/>
        <w:adjustRightInd w:val="0"/>
        <w:snapToGrid w:val="0"/>
        <w:spacing w:after="0" w:line="360" w:lineRule="auto"/>
        <w:ind w:firstLine="420" w:firstLineChars="200"/>
        <w:outlineLvl w:val="9"/>
        <w:rPr>
          <w:rFonts w:hint="default" w:ascii="宋体" w:hAnsi="宋体" w:eastAsia="宋体" w:cs="Times New Roman"/>
          <w:color w:val="auto"/>
          <w:kern w:val="2"/>
          <w:szCs w:val="21"/>
          <w:highlight w:val="none"/>
          <w:lang w:val="en-US" w:bidi="ar-SA"/>
        </w:rPr>
      </w:pPr>
      <w:r>
        <w:rPr>
          <w:rFonts w:hint="eastAsia" w:ascii="宋体" w:hAnsi="宋体" w:eastAsia="宋体" w:cs="Times New Roman"/>
          <w:color w:val="auto"/>
          <w:kern w:val="2"/>
          <w:szCs w:val="21"/>
          <w:highlight w:val="none"/>
          <w:lang w:val="en-US" w:bidi="ar-SA"/>
        </w:rPr>
        <w:t>（十五）乙方须建立安全生产管理台帐，接受甲方及上级有关部门检查。</w:t>
      </w:r>
    </w:p>
    <w:p>
      <w:pPr>
        <w:shd w:val="clear"/>
        <w:adjustRightInd w:val="0"/>
        <w:snapToGrid w:val="0"/>
        <w:spacing w:after="0" w:line="360" w:lineRule="auto"/>
        <w:ind w:firstLine="420" w:firstLineChars="200"/>
        <w:outlineLvl w:val="9"/>
        <w:rPr>
          <w:rFonts w:hint="default" w:ascii="宋体" w:hAnsi="宋体" w:eastAsia="宋体" w:cs="Times New Roman"/>
          <w:color w:val="auto"/>
          <w:kern w:val="2"/>
          <w:szCs w:val="21"/>
          <w:highlight w:val="none"/>
          <w:lang w:val="en-US" w:bidi="ar-SA"/>
        </w:rPr>
      </w:pPr>
      <w:r>
        <w:rPr>
          <w:rFonts w:hint="eastAsia" w:ascii="宋体" w:hAnsi="宋体" w:eastAsia="宋体" w:cs="Times New Roman"/>
          <w:color w:val="auto"/>
          <w:kern w:val="2"/>
          <w:szCs w:val="21"/>
          <w:highlight w:val="none"/>
          <w:lang w:val="en-US" w:bidi="ar-SA"/>
        </w:rPr>
        <w:t>（十六）做好安全生产法律法规规定的其他工作。</w:t>
      </w:r>
    </w:p>
    <w:p>
      <w:pPr>
        <w:shd w:val="clear"/>
        <w:adjustRightInd w:val="0"/>
        <w:snapToGrid w:val="0"/>
        <w:spacing w:after="0" w:line="360" w:lineRule="auto"/>
        <w:ind w:firstLine="420" w:firstLineChars="200"/>
        <w:outlineLvl w:val="9"/>
        <w:rPr>
          <w:rFonts w:hint="default" w:ascii="宋体" w:hAnsi="宋体" w:eastAsia="宋体" w:cs="Times New Roman"/>
          <w:color w:val="auto"/>
          <w:kern w:val="2"/>
          <w:szCs w:val="21"/>
          <w:highlight w:val="none"/>
          <w:lang w:val="en-US" w:bidi="ar-SA"/>
        </w:rPr>
      </w:pPr>
      <w:r>
        <w:rPr>
          <w:rFonts w:hint="eastAsia" w:ascii="宋体" w:hAnsi="宋体" w:eastAsia="宋体" w:cs="Times New Roman"/>
          <w:color w:val="auto"/>
          <w:kern w:val="2"/>
          <w:szCs w:val="21"/>
          <w:highlight w:val="none"/>
          <w:lang w:val="en-US" w:bidi="ar-SA"/>
        </w:rPr>
        <w:t>四</w:t>
      </w:r>
      <w:r>
        <w:rPr>
          <w:rFonts w:hint="default" w:ascii="宋体" w:hAnsi="宋体" w:eastAsia="宋体" w:cs="Times New Roman"/>
          <w:color w:val="auto"/>
          <w:kern w:val="2"/>
          <w:szCs w:val="21"/>
          <w:highlight w:val="none"/>
          <w:lang w:val="en-US" w:bidi="ar-SA"/>
        </w:rPr>
        <w:t>、法律责任</w:t>
      </w:r>
    </w:p>
    <w:p>
      <w:pPr>
        <w:shd w:val="clear"/>
        <w:adjustRightInd w:val="0"/>
        <w:snapToGrid w:val="0"/>
        <w:spacing w:after="0" w:line="360" w:lineRule="auto"/>
        <w:ind w:firstLine="420" w:firstLineChars="200"/>
        <w:outlineLvl w:val="9"/>
        <w:rPr>
          <w:rFonts w:hint="default" w:ascii="宋体" w:hAnsi="宋体" w:eastAsia="宋体" w:cs="Times New Roman"/>
          <w:color w:val="auto"/>
          <w:kern w:val="2"/>
          <w:szCs w:val="21"/>
          <w:highlight w:val="none"/>
          <w:lang w:val="en-US" w:bidi="ar-SA"/>
        </w:rPr>
      </w:pPr>
      <w:r>
        <w:rPr>
          <w:rFonts w:hint="eastAsia" w:ascii="宋体" w:hAnsi="宋体" w:eastAsia="宋体" w:cs="Times New Roman"/>
          <w:color w:val="auto"/>
          <w:kern w:val="2"/>
          <w:szCs w:val="21"/>
          <w:highlight w:val="none"/>
          <w:lang w:val="en-US" w:bidi="ar-SA"/>
        </w:rPr>
        <w:t>（1）甲方</w:t>
      </w:r>
      <w:r>
        <w:rPr>
          <w:rFonts w:hint="default" w:ascii="宋体" w:hAnsi="宋体" w:eastAsia="宋体" w:cs="Times New Roman"/>
          <w:color w:val="auto"/>
          <w:kern w:val="2"/>
          <w:szCs w:val="21"/>
          <w:highlight w:val="none"/>
          <w:lang w:val="en-US" w:bidi="ar-SA"/>
        </w:rPr>
        <w:t>有违反本协议书责任行为，按照《建设工程安全生产管理条例》的规定限期改正，造成重大安全事故，构成犯罪的，对直接责任人员，依照刑法有关规定追究刑事 责任；造成损失的，依法承担赔偿责任。</w:t>
      </w:r>
    </w:p>
    <w:p>
      <w:pPr>
        <w:shd w:val="clear"/>
        <w:adjustRightInd w:val="0"/>
        <w:snapToGrid w:val="0"/>
        <w:spacing w:after="0" w:line="360" w:lineRule="auto"/>
        <w:ind w:firstLine="420" w:firstLineChars="200"/>
        <w:outlineLvl w:val="9"/>
        <w:rPr>
          <w:rFonts w:hint="default" w:ascii="宋体" w:hAnsi="宋体" w:eastAsia="宋体" w:cs="Times New Roman"/>
          <w:color w:val="auto"/>
          <w:kern w:val="2"/>
          <w:szCs w:val="21"/>
          <w:highlight w:val="none"/>
          <w:lang w:val="en-US" w:bidi="ar-SA"/>
        </w:rPr>
      </w:pPr>
      <w:r>
        <w:rPr>
          <w:rFonts w:hint="eastAsia" w:ascii="宋体" w:hAnsi="宋体" w:eastAsia="宋体" w:cs="Times New Roman"/>
          <w:color w:val="auto"/>
          <w:kern w:val="2"/>
          <w:szCs w:val="21"/>
          <w:highlight w:val="none"/>
          <w:lang w:val="en-US" w:bidi="ar-SA"/>
        </w:rPr>
        <w:t>（2）乙方</w:t>
      </w:r>
      <w:r>
        <w:rPr>
          <w:rFonts w:hint="default" w:ascii="宋体" w:hAnsi="宋体" w:eastAsia="宋体" w:cs="Times New Roman"/>
          <w:color w:val="auto"/>
          <w:kern w:val="2"/>
          <w:szCs w:val="21"/>
          <w:highlight w:val="none"/>
          <w:lang w:val="en-US" w:bidi="ar-SA"/>
        </w:rPr>
        <w:t>有违反本协议书责任行为，按照</w:t>
      </w:r>
      <w:r>
        <w:rPr>
          <w:rFonts w:hint="eastAsia" w:ascii="宋体" w:hAnsi="宋体" w:eastAsia="宋体" w:cs="Times New Roman"/>
          <w:color w:val="auto"/>
          <w:kern w:val="2"/>
          <w:szCs w:val="21"/>
          <w:highlight w:val="none"/>
          <w:lang w:val="en-US" w:bidi="ar-SA"/>
        </w:rPr>
        <w:t>相关法律法规及相关</w:t>
      </w:r>
      <w:r>
        <w:rPr>
          <w:rFonts w:hint="default" w:ascii="宋体" w:hAnsi="宋体" w:eastAsia="宋体" w:cs="Times New Roman"/>
          <w:color w:val="auto"/>
          <w:kern w:val="2"/>
          <w:szCs w:val="21"/>
          <w:highlight w:val="none"/>
          <w:lang w:val="en-US" w:bidi="ar-SA"/>
        </w:rPr>
        <w:t>规定限期改正，直至停业整顿。造成重大安全事故，构成犯罪的，对直接责任人员，依照刑法有 关规定追究刑事责任；造成损失的，依法承担赔偿责任。</w:t>
      </w:r>
    </w:p>
    <w:p>
      <w:pPr>
        <w:shd w:val="clear"/>
        <w:adjustRightInd w:val="0"/>
        <w:snapToGrid w:val="0"/>
        <w:spacing w:after="0" w:line="360" w:lineRule="auto"/>
        <w:ind w:firstLine="420" w:firstLineChars="200"/>
        <w:outlineLvl w:val="9"/>
        <w:rPr>
          <w:rFonts w:hint="default" w:ascii="宋体" w:hAnsi="宋体" w:eastAsia="宋体" w:cs="Times New Roman"/>
          <w:color w:val="auto"/>
          <w:kern w:val="2"/>
          <w:szCs w:val="21"/>
          <w:highlight w:val="none"/>
          <w:lang w:val="en-US" w:bidi="ar-SA"/>
        </w:rPr>
      </w:pPr>
      <w:r>
        <w:rPr>
          <w:rFonts w:hint="default" w:ascii="宋体" w:hAnsi="宋体" w:eastAsia="宋体" w:cs="Times New Roman"/>
          <w:color w:val="auto"/>
          <w:kern w:val="2"/>
          <w:szCs w:val="21"/>
          <w:highlight w:val="none"/>
          <w:lang w:val="en-US" w:bidi="ar-SA"/>
        </w:rPr>
        <w:t>本协议书作为</w:t>
      </w:r>
      <w:r>
        <w:rPr>
          <w:rFonts w:hint="eastAsia" w:ascii="宋体" w:hAnsi="宋体" w:eastAsia="宋体" w:cs="Times New Roman"/>
          <w:color w:val="auto"/>
          <w:kern w:val="2"/>
          <w:szCs w:val="21"/>
          <w:highlight w:val="none"/>
          <w:lang w:val="en-US" w:bidi="ar-SA"/>
        </w:rPr>
        <w:t>项目</w:t>
      </w:r>
      <w:r>
        <w:rPr>
          <w:rFonts w:hint="default" w:ascii="宋体" w:hAnsi="宋体" w:eastAsia="宋体" w:cs="Times New Roman"/>
          <w:color w:val="auto"/>
          <w:kern w:val="2"/>
          <w:szCs w:val="21"/>
          <w:highlight w:val="none"/>
          <w:lang w:val="en-US" w:bidi="ar-SA"/>
        </w:rPr>
        <w:t>合同的附件，与</w:t>
      </w:r>
      <w:r>
        <w:rPr>
          <w:rFonts w:hint="eastAsia" w:ascii="宋体" w:hAnsi="宋体" w:eastAsia="宋体" w:cs="Times New Roman"/>
          <w:color w:val="auto"/>
          <w:kern w:val="2"/>
          <w:szCs w:val="21"/>
          <w:highlight w:val="none"/>
          <w:lang w:val="en-US" w:bidi="ar-SA"/>
        </w:rPr>
        <w:t>项目</w:t>
      </w:r>
      <w:r>
        <w:rPr>
          <w:rFonts w:hint="default" w:ascii="宋体" w:hAnsi="宋体" w:eastAsia="宋体" w:cs="Times New Roman"/>
          <w:color w:val="auto"/>
          <w:kern w:val="2"/>
          <w:szCs w:val="21"/>
          <w:highlight w:val="none"/>
          <w:lang w:val="en-US" w:bidi="ar-SA"/>
        </w:rPr>
        <w:t>合同具有同等法律效力。经双方签署后立即生效。</w:t>
      </w:r>
    </w:p>
    <w:p>
      <w:pPr>
        <w:shd w:val="clear"/>
        <w:adjustRightInd w:val="0"/>
        <w:snapToGrid w:val="0"/>
        <w:spacing w:after="0" w:line="360" w:lineRule="auto"/>
        <w:ind w:firstLine="420" w:firstLineChars="200"/>
        <w:outlineLvl w:val="9"/>
        <w:rPr>
          <w:rFonts w:hint="default" w:ascii="宋体" w:hAnsi="宋体" w:eastAsia="宋体" w:cs="Times New Roman"/>
          <w:color w:val="auto"/>
          <w:kern w:val="2"/>
          <w:szCs w:val="21"/>
          <w:highlight w:val="none"/>
          <w:lang w:val="en-US" w:bidi="ar-SA"/>
        </w:rPr>
      </w:pPr>
      <w:r>
        <w:rPr>
          <w:rFonts w:hint="default" w:ascii="宋体" w:hAnsi="宋体" w:eastAsia="宋体" w:cs="Times New Roman"/>
          <w:color w:val="auto"/>
          <w:kern w:val="2"/>
          <w:szCs w:val="21"/>
          <w:highlight w:val="none"/>
          <w:lang w:val="en-US" w:bidi="ar-SA"/>
        </w:rPr>
        <w:t>本协议书的有效期为双方签署之日起至该</w:t>
      </w:r>
      <w:r>
        <w:rPr>
          <w:rFonts w:hint="eastAsia" w:ascii="宋体" w:hAnsi="宋体" w:eastAsia="宋体" w:cs="Times New Roman"/>
          <w:color w:val="auto"/>
          <w:kern w:val="2"/>
          <w:szCs w:val="21"/>
          <w:highlight w:val="none"/>
          <w:lang w:val="en-US" w:bidi="ar-SA"/>
        </w:rPr>
        <w:t>养护期满</w:t>
      </w:r>
      <w:r>
        <w:rPr>
          <w:rFonts w:hint="default" w:ascii="宋体" w:hAnsi="宋体" w:eastAsia="宋体" w:cs="Times New Roman"/>
          <w:color w:val="auto"/>
          <w:kern w:val="2"/>
          <w:szCs w:val="21"/>
          <w:highlight w:val="none"/>
          <w:lang w:val="en-US" w:bidi="ar-SA"/>
        </w:rPr>
        <w:t>时止。</w:t>
      </w:r>
    </w:p>
    <w:p>
      <w:pPr>
        <w:shd w:val="clear"/>
        <w:adjustRightInd w:val="0"/>
        <w:snapToGrid w:val="0"/>
        <w:spacing w:after="0" w:line="360" w:lineRule="auto"/>
        <w:ind w:firstLine="420" w:firstLineChars="200"/>
        <w:outlineLvl w:val="9"/>
        <w:rPr>
          <w:rFonts w:hint="default" w:ascii="宋体" w:hAnsi="宋体" w:eastAsia="宋体" w:cs="Times New Roman"/>
          <w:color w:val="auto"/>
          <w:kern w:val="2"/>
          <w:szCs w:val="21"/>
          <w:highlight w:val="none"/>
          <w:lang w:val="en-US" w:bidi="ar-SA"/>
        </w:rPr>
      </w:pPr>
      <w:r>
        <w:rPr>
          <w:rFonts w:hint="eastAsia" w:ascii="宋体" w:hAnsi="宋体" w:eastAsia="宋体" w:cs="Times New Roman"/>
          <w:color w:val="auto"/>
          <w:kern w:val="2"/>
          <w:szCs w:val="21"/>
          <w:highlight w:val="none"/>
          <w:lang w:val="en-US" w:bidi="ar-SA"/>
        </w:rPr>
        <w:t>五、对本协议所确定安全生产职责双方均应严格遵守和履行，对发生在各自职责范围内的安全生产事故由责任方承担全部责任，因此而给对方造成损失的，由责任方负责赔偿。</w:t>
      </w:r>
    </w:p>
    <w:p>
      <w:pPr>
        <w:shd w:val="clear"/>
        <w:adjustRightInd w:val="0"/>
        <w:snapToGrid w:val="0"/>
        <w:spacing w:after="0" w:line="360" w:lineRule="auto"/>
        <w:ind w:firstLine="420" w:firstLineChars="200"/>
        <w:outlineLvl w:val="9"/>
        <w:rPr>
          <w:rFonts w:hint="default" w:ascii="宋体" w:hAnsi="宋体" w:eastAsia="宋体" w:cs="Times New Roman"/>
          <w:color w:val="auto"/>
          <w:kern w:val="2"/>
          <w:szCs w:val="21"/>
          <w:highlight w:val="none"/>
          <w:lang w:val="en-US" w:bidi="ar-SA"/>
        </w:rPr>
      </w:pPr>
      <w:r>
        <w:rPr>
          <w:rFonts w:hint="eastAsia" w:ascii="宋体" w:hAnsi="宋体" w:eastAsia="宋体" w:cs="Times New Roman"/>
          <w:color w:val="auto"/>
          <w:kern w:val="2"/>
          <w:szCs w:val="21"/>
          <w:highlight w:val="none"/>
          <w:lang w:val="en-US" w:bidi="ar-SA"/>
        </w:rPr>
        <w:t>六、本协议作为项目合同的附件，与主合同具有同等的法律效力。</w:t>
      </w:r>
    </w:p>
    <w:p>
      <w:pPr>
        <w:shd w:val="clear"/>
        <w:adjustRightInd w:val="0"/>
        <w:snapToGrid w:val="0"/>
        <w:spacing w:after="0" w:line="360" w:lineRule="auto"/>
        <w:ind w:firstLine="420" w:firstLineChars="200"/>
        <w:outlineLvl w:val="9"/>
        <w:rPr>
          <w:rFonts w:hint="default" w:ascii="宋体" w:hAnsi="宋体" w:eastAsia="宋体" w:cs="Times New Roman"/>
          <w:color w:val="auto"/>
          <w:kern w:val="2"/>
          <w:sz w:val="24"/>
          <w:szCs w:val="20"/>
          <w:highlight w:val="none"/>
          <w:lang w:val="en-US" w:bidi="ar-SA"/>
        </w:rPr>
      </w:pPr>
      <w:r>
        <w:rPr>
          <w:rFonts w:hint="eastAsia" w:ascii="宋体" w:hAnsi="宋体" w:eastAsia="宋体" w:cs="Times New Roman"/>
          <w:color w:val="auto"/>
          <w:kern w:val="2"/>
          <w:szCs w:val="21"/>
          <w:highlight w:val="none"/>
          <w:lang w:val="en-US" w:bidi="ar-SA"/>
        </w:rPr>
        <w:t xml:space="preserve"> </w:t>
      </w:r>
    </w:p>
    <w:p>
      <w:pPr>
        <w:shd w:val="clear"/>
        <w:adjustRightInd w:val="0"/>
        <w:snapToGrid w:val="0"/>
        <w:spacing w:after="0" w:line="360" w:lineRule="auto"/>
        <w:ind w:firstLine="420" w:firstLineChars="200"/>
        <w:outlineLvl w:val="9"/>
        <w:rPr>
          <w:rFonts w:hint="default" w:ascii="宋体" w:hAnsi="宋体" w:eastAsia="宋体" w:cs="Times New Roman"/>
          <w:color w:val="auto"/>
          <w:kern w:val="2"/>
          <w:szCs w:val="21"/>
          <w:highlight w:val="none"/>
          <w:lang w:val="en-US" w:bidi="ar-SA"/>
        </w:rPr>
      </w:pPr>
      <w:r>
        <w:rPr>
          <w:rFonts w:hint="eastAsia" w:ascii="宋体" w:hAnsi="宋体" w:eastAsia="宋体" w:cs="Times New Roman"/>
          <w:color w:val="auto"/>
          <w:kern w:val="2"/>
          <w:szCs w:val="21"/>
          <w:highlight w:val="none"/>
          <w:lang w:val="en-US" w:bidi="ar-SA"/>
        </w:rPr>
        <w:t>甲方单位：无锡市滨湖区太湖街道办事处           乙方单位：</w:t>
      </w:r>
    </w:p>
    <w:p>
      <w:pPr>
        <w:shd w:val="clear"/>
        <w:tabs>
          <w:tab w:val="left" w:pos="7000"/>
        </w:tabs>
        <w:adjustRightInd w:val="0"/>
        <w:snapToGrid w:val="0"/>
        <w:spacing w:after="0" w:line="360" w:lineRule="auto"/>
        <w:ind w:firstLine="420" w:firstLineChars="200"/>
        <w:outlineLvl w:val="9"/>
        <w:rPr>
          <w:rFonts w:hint="default" w:ascii="宋体" w:hAnsi="宋体" w:eastAsia="宋体" w:cs="Times New Roman"/>
          <w:color w:val="auto"/>
          <w:kern w:val="2"/>
          <w:szCs w:val="21"/>
          <w:highlight w:val="none"/>
          <w:lang w:val="en-US" w:bidi="ar-SA"/>
        </w:rPr>
      </w:pPr>
      <w:r>
        <w:rPr>
          <w:rFonts w:hint="eastAsia" w:ascii="宋体" w:hAnsi="宋体" w:eastAsia="宋体" w:cs="Times New Roman"/>
          <w:color w:val="auto"/>
          <w:kern w:val="2"/>
          <w:szCs w:val="21"/>
          <w:highlight w:val="none"/>
          <w:lang w:val="en-US" w:bidi="ar-SA"/>
        </w:rPr>
        <w:t xml:space="preserve">（盖章）                         </w:t>
      </w:r>
      <w:r>
        <w:rPr>
          <w:rFonts w:hint="default" w:ascii="宋体" w:hAnsi="宋体" w:eastAsia="宋体" w:cs="Times New Roman"/>
          <w:color w:val="auto"/>
          <w:kern w:val="2"/>
          <w:szCs w:val="21"/>
          <w:highlight w:val="none"/>
          <w:lang w:val="en-US" w:bidi="ar-SA"/>
        </w:rPr>
        <w:t xml:space="preserve">             </w:t>
      </w:r>
      <w:r>
        <w:rPr>
          <w:rFonts w:hint="eastAsia" w:ascii="宋体" w:hAnsi="宋体" w:eastAsia="宋体" w:cs="Times New Roman"/>
          <w:color w:val="auto"/>
          <w:kern w:val="2"/>
          <w:szCs w:val="21"/>
          <w:highlight w:val="none"/>
          <w:lang w:val="en-US" w:bidi="ar-SA"/>
        </w:rPr>
        <w:t>（盖章）</w:t>
      </w:r>
    </w:p>
    <w:p>
      <w:pPr>
        <w:shd w:val="clear"/>
        <w:tabs>
          <w:tab w:val="left" w:pos="7000"/>
        </w:tabs>
        <w:adjustRightInd w:val="0"/>
        <w:snapToGrid w:val="0"/>
        <w:spacing w:after="0" w:line="360" w:lineRule="auto"/>
        <w:ind w:firstLine="420" w:firstLineChars="200"/>
        <w:outlineLvl w:val="9"/>
        <w:rPr>
          <w:rFonts w:hint="default" w:ascii="宋体" w:hAnsi="宋体" w:eastAsia="宋体" w:cs="Times New Roman"/>
          <w:color w:val="auto"/>
          <w:kern w:val="2"/>
          <w:szCs w:val="21"/>
          <w:highlight w:val="none"/>
          <w:lang w:val="en-US" w:bidi="ar-SA"/>
        </w:rPr>
      </w:pPr>
      <w:r>
        <w:rPr>
          <w:rFonts w:hint="eastAsia" w:ascii="宋体" w:hAnsi="宋体" w:eastAsia="宋体" w:cs="Times New Roman"/>
          <w:color w:val="auto"/>
          <w:kern w:val="2"/>
          <w:szCs w:val="21"/>
          <w:highlight w:val="none"/>
          <w:lang w:val="en-US" w:bidi="ar-SA"/>
        </w:rPr>
        <w:t xml:space="preserve">法定代表人：                   </w:t>
      </w:r>
      <w:r>
        <w:rPr>
          <w:rFonts w:hint="default" w:ascii="宋体" w:hAnsi="宋体" w:eastAsia="宋体" w:cs="Times New Roman"/>
          <w:color w:val="auto"/>
          <w:kern w:val="2"/>
          <w:szCs w:val="21"/>
          <w:highlight w:val="none"/>
          <w:lang w:val="en-US" w:bidi="ar-SA"/>
        </w:rPr>
        <w:t xml:space="preserve">                </w:t>
      </w:r>
      <w:r>
        <w:rPr>
          <w:rFonts w:hint="eastAsia" w:ascii="宋体" w:hAnsi="宋体" w:eastAsia="宋体" w:cs="Times New Roman"/>
          <w:color w:val="auto"/>
          <w:kern w:val="2"/>
          <w:szCs w:val="21"/>
          <w:highlight w:val="none"/>
          <w:lang w:val="en-US" w:bidi="ar-SA"/>
        </w:rPr>
        <w:t>法定代表人：</w:t>
      </w:r>
    </w:p>
    <w:p>
      <w:pPr>
        <w:shd w:val="clear"/>
        <w:tabs>
          <w:tab w:val="left" w:pos="7000"/>
        </w:tabs>
        <w:adjustRightInd w:val="0"/>
        <w:snapToGrid w:val="0"/>
        <w:spacing w:after="0" w:line="360" w:lineRule="auto"/>
        <w:ind w:firstLine="420" w:firstLineChars="200"/>
        <w:outlineLvl w:val="9"/>
        <w:rPr>
          <w:rFonts w:hint="default" w:ascii="宋体" w:hAnsi="宋体" w:eastAsia="宋体" w:cs="Times New Roman"/>
          <w:color w:val="auto"/>
          <w:kern w:val="2"/>
          <w:szCs w:val="21"/>
          <w:highlight w:val="none"/>
          <w:lang w:val="en-US" w:bidi="ar-SA"/>
        </w:rPr>
      </w:pPr>
      <w:r>
        <w:rPr>
          <w:rFonts w:hint="eastAsia" w:ascii="宋体" w:hAnsi="宋体" w:eastAsia="宋体" w:cs="Times New Roman"/>
          <w:color w:val="auto"/>
          <w:kern w:val="2"/>
          <w:szCs w:val="21"/>
          <w:highlight w:val="none"/>
          <w:lang w:val="en-US" w:bidi="ar-SA"/>
        </w:rPr>
        <w:t xml:space="preserve">（或授权委托人）                </w:t>
      </w:r>
      <w:r>
        <w:rPr>
          <w:rFonts w:hint="default" w:ascii="宋体" w:hAnsi="宋体" w:eastAsia="宋体" w:cs="Times New Roman"/>
          <w:color w:val="auto"/>
          <w:kern w:val="2"/>
          <w:szCs w:val="21"/>
          <w:highlight w:val="none"/>
          <w:lang w:val="en-US" w:bidi="ar-SA"/>
        </w:rPr>
        <w:t xml:space="preserve">              </w:t>
      </w:r>
      <w:r>
        <w:rPr>
          <w:rFonts w:hint="eastAsia" w:ascii="宋体" w:hAnsi="宋体" w:eastAsia="宋体" w:cs="Times New Roman"/>
          <w:color w:val="auto"/>
          <w:kern w:val="2"/>
          <w:szCs w:val="21"/>
          <w:highlight w:val="none"/>
          <w:lang w:val="en-US" w:bidi="ar-SA"/>
        </w:rPr>
        <w:t>（或授权委托人）</w:t>
      </w:r>
    </w:p>
    <w:p>
      <w:pPr>
        <w:shd w:val="clear"/>
        <w:tabs>
          <w:tab w:val="left" w:pos="7210"/>
        </w:tabs>
        <w:adjustRightInd w:val="0"/>
        <w:snapToGrid w:val="0"/>
        <w:spacing w:after="0" w:line="360" w:lineRule="auto"/>
        <w:ind w:firstLine="420" w:firstLineChars="200"/>
        <w:outlineLvl w:val="9"/>
        <w:rPr>
          <w:rFonts w:hint="default" w:ascii="宋体" w:hAnsi="宋体" w:eastAsia="宋体" w:cs="Times New Roman"/>
          <w:color w:val="auto"/>
          <w:kern w:val="2"/>
          <w:szCs w:val="21"/>
          <w:highlight w:val="none"/>
          <w:lang w:val="en-US" w:bidi="ar-SA"/>
        </w:rPr>
      </w:pPr>
      <w:r>
        <w:rPr>
          <w:rFonts w:hint="eastAsia" w:ascii="宋体" w:hAnsi="宋体" w:eastAsia="宋体" w:cs="Times New Roman"/>
          <w:color w:val="auto"/>
          <w:kern w:val="2"/>
          <w:szCs w:val="21"/>
          <w:highlight w:val="none"/>
          <w:lang w:val="en-US" w:bidi="ar-SA"/>
        </w:rPr>
        <w:t xml:space="preserve">地址：                           </w:t>
      </w:r>
      <w:r>
        <w:rPr>
          <w:rFonts w:hint="default" w:ascii="宋体" w:hAnsi="宋体" w:eastAsia="宋体" w:cs="Times New Roman"/>
          <w:color w:val="auto"/>
          <w:kern w:val="2"/>
          <w:szCs w:val="21"/>
          <w:highlight w:val="none"/>
          <w:lang w:val="en-US" w:bidi="ar-SA"/>
        </w:rPr>
        <w:t xml:space="preserve">               </w:t>
      </w:r>
      <w:r>
        <w:rPr>
          <w:rFonts w:hint="eastAsia" w:ascii="宋体" w:hAnsi="宋体" w:eastAsia="宋体" w:cs="Times New Roman"/>
          <w:color w:val="auto"/>
          <w:kern w:val="2"/>
          <w:szCs w:val="21"/>
          <w:highlight w:val="none"/>
          <w:lang w:val="en-US" w:bidi="ar-SA"/>
        </w:rPr>
        <w:t>地址：</w:t>
      </w:r>
    </w:p>
    <w:p>
      <w:pPr>
        <w:shd w:val="clear"/>
        <w:tabs>
          <w:tab w:val="left" w:pos="7210"/>
        </w:tabs>
        <w:adjustRightInd w:val="0"/>
        <w:snapToGrid w:val="0"/>
        <w:spacing w:after="0" w:line="360" w:lineRule="auto"/>
        <w:ind w:firstLine="420" w:firstLineChars="200"/>
        <w:outlineLvl w:val="9"/>
        <w:rPr>
          <w:rFonts w:hint="default" w:ascii="宋体" w:hAnsi="宋体" w:eastAsia="宋体" w:cs="Times New Roman"/>
          <w:color w:val="auto"/>
          <w:kern w:val="2"/>
          <w:szCs w:val="21"/>
          <w:highlight w:val="none"/>
          <w:lang w:val="en-US" w:bidi="ar-SA"/>
        </w:rPr>
      </w:pPr>
      <w:r>
        <w:rPr>
          <w:rFonts w:hint="eastAsia" w:ascii="宋体" w:hAnsi="宋体" w:eastAsia="宋体" w:cs="Times New Roman"/>
          <w:color w:val="auto"/>
          <w:kern w:val="2"/>
          <w:szCs w:val="21"/>
          <w:highlight w:val="none"/>
          <w:lang w:val="en-US" w:bidi="ar-SA"/>
        </w:rPr>
        <w:t xml:space="preserve">电话：                          </w:t>
      </w:r>
      <w:r>
        <w:rPr>
          <w:rFonts w:hint="default" w:ascii="宋体" w:hAnsi="宋体" w:eastAsia="宋体" w:cs="Times New Roman"/>
          <w:color w:val="auto"/>
          <w:kern w:val="2"/>
          <w:szCs w:val="21"/>
          <w:highlight w:val="none"/>
          <w:lang w:val="en-US" w:bidi="ar-SA"/>
        </w:rPr>
        <w:t xml:space="preserve">                </w:t>
      </w:r>
      <w:r>
        <w:rPr>
          <w:rFonts w:hint="eastAsia" w:ascii="宋体" w:hAnsi="宋体" w:eastAsia="宋体" w:cs="Times New Roman"/>
          <w:color w:val="auto"/>
          <w:kern w:val="2"/>
          <w:szCs w:val="21"/>
          <w:highlight w:val="none"/>
          <w:lang w:val="en-US" w:bidi="ar-SA"/>
        </w:rPr>
        <w:t>电话：</w:t>
      </w:r>
    </w:p>
    <w:p>
      <w:pPr>
        <w:shd w:val="clear"/>
        <w:adjustRightInd w:val="0"/>
        <w:snapToGrid w:val="0"/>
        <w:spacing w:after="0" w:line="360" w:lineRule="auto"/>
        <w:jc w:val="center"/>
        <w:outlineLvl w:val="9"/>
        <w:rPr>
          <w:rFonts w:hint="default" w:ascii="宋体" w:hAnsi="宋体" w:eastAsia="宋体" w:cs="宋体"/>
          <w:color w:val="auto"/>
          <w:kern w:val="2"/>
          <w:sz w:val="24"/>
          <w:szCs w:val="20"/>
          <w:highlight w:val="none"/>
          <w:lang w:val="en-US" w:bidi="ar-SA"/>
        </w:rPr>
      </w:pPr>
      <w:r>
        <w:rPr>
          <w:rFonts w:hint="eastAsia" w:ascii="宋体" w:hAnsi="宋体" w:eastAsia="宋体" w:cs="Times New Roman"/>
          <w:color w:val="auto"/>
          <w:kern w:val="2"/>
          <w:szCs w:val="21"/>
          <w:highlight w:val="none"/>
          <w:lang w:val="en-US" w:bidi="ar-SA"/>
        </w:rPr>
        <w:t xml:space="preserve">年  月   日                        </w:t>
      </w:r>
      <w:r>
        <w:rPr>
          <w:rFonts w:hint="default" w:ascii="宋体" w:hAnsi="宋体" w:eastAsia="宋体" w:cs="Times New Roman"/>
          <w:color w:val="auto"/>
          <w:kern w:val="2"/>
          <w:szCs w:val="21"/>
          <w:highlight w:val="none"/>
          <w:lang w:val="en-US" w:bidi="ar-SA"/>
        </w:rPr>
        <w:t xml:space="preserve">         </w:t>
      </w:r>
      <w:r>
        <w:rPr>
          <w:rFonts w:hint="eastAsia" w:ascii="宋体" w:hAnsi="宋体" w:eastAsia="宋体" w:cs="Times New Roman"/>
          <w:color w:val="auto"/>
          <w:kern w:val="2"/>
          <w:szCs w:val="21"/>
          <w:highlight w:val="none"/>
          <w:lang w:val="en-US" w:bidi="ar-SA"/>
        </w:rPr>
        <w:t>年   月   日</w:t>
      </w:r>
    </w:p>
    <w:p>
      <w:pPr>
        <w:shd w:val="clear"/>
        <w:outlineLvl w:val="9"/>
        <w:rPr>
          <w:rFonts w:hint="default" w:eastAsia="宋体" w:cs="Times New Roman"/>
          <w:color w:val="auto"/>
          <w:kern w:val="2"/>
          <w:highlight w:val="none"/>
          <w:lang w:val="en-US" w:bidi="ar-SA"/>
        </w:rPr>
      </w:pPr>
    </w:p>
    <w:p>
      <w:pPr>
        <w:shd w:val="clear"/>
        <w:spacing w:line="360" w:lineRule="auto"/>
        <w:outlineLvl w:val="9"/>
        <w:rPr>
          <w:rFonts w:hint="eastAsia" w:ascii="宋体" w:hAnsi="宋体" w:eastAsia="宋体" w:cs="宋体"/>
          <w:color w:val="auto"/>
          <w:sz w:val="24"/>
          <w:szCs w:val="24"/>
          <w:highlight w:val="none"/>
        </w:rPr>
      </w:pPr>
    </w:p>
    <w:p>
      <w:pPr>
        <w:shd w:val="clear"/>
        <w:jc w:val="center"/>
        <w:outlineLvl w:val="9"/>
        <w:rPr>
          <w:rFonts w:hint="eastAsia" w:ascii="宋体" w:hAnsi="宋体" w:cs="宋体"/>
          <w:b/>
          <w:color w:val="auto"/>
          <w:sz w:val="44"/>
          <w:szCs w:val="44"/>
          <w:highlight w:val="none"/>
        </w:rPr>
      </w:pPr>
    </w:p>
    <w:p>
      <w:pPr>
        <w:shd w:val="clear"/>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r>
    </w:p>
    <w:p>
      <w:pPr>
        <w:pStyle w:val="4"/>
        <w:shd w:val="clear"/>
        <w:bidi w:val="0"/>
        <w:rPr>
          <w:color w:val="auto"/>
          <w:highlight w:val="none"/>
        </w:rPr>
      </w:pPr>
      <w:r>
        <w:rPr>
          <w:rFonts w:hint="eastAsia"/>
          <w:color w:val="auto"/>
          <w:highlight w:val="none"/>
        </w:rPr>
        <w:t>第五部分.附件（投标文件格式）</w:t>
      </w:r>
    </w:p>
    <w:p>
      <w:pPr>
        <w:shd w:val="clear"/>
        <w:spacing w:line="360" w:lineRule="auto"/>
        <w:jc w:val="left"/>
        <w:outlineLvl w:val="9"/>
        <w:rPr>
          <w:rFonts w:ascii="宋体" w:hAnsi="宋体" w:cs="宋体"/>
          <w:b/>
          <w:color w:val="auto"/>
          <w:sz w:val="32"/>
          <w:szCs w:val="20"/>
          <w:highlight w:val="none"/>
        </w:rPr>
      </w:pPr>
    </w:p>
    <w:p>
      <w:pPr>
        <w:widowControl w:val="0"/>
        <w:shd w:val="clear"/>
        <w:jc w:val="both"/>
        <w:outlineLvl w:val="9"/>
        <w:rPr>
          <w:rFonts w:hint="default" w:ascii="黑体" w:hAnsi="Times New Roman" w:eastAsia="黑体" w:cs="Times New Roman"/>
          <w:bCs/>
          <w:color w:val="auto"/>
          <w:kern w:val="2"/>
          <w:sz w:val="32"/>
          <w:highlight w:val="none"/>
          <w:lang w:val="en-US" w:eastAsia="zh-CN" w:bidi="ar-SA"/>
        </w:rPr>
      </w:pPr>
    </w:p>
    <w:p>
      <w:pPr>
        <w:widowControl w:val="0"/>
        <w:shd w:val="clear"/>
        <w:jc w:val="both"/>
        <w:outlineLvl w:val="9"/>
        <w:rPr>
          <w:rFonts w:hint="default" w:ascii="黑体" w:hAnsi="Times New Roman" w:eastAsia="黑体" w:cs="Times New Roman"/>
          <w:bCs/>
          <w:color w:val="auto"/>
          <w:kern w:val="2"/>
          <w:sz w:val="32"/>
          <w:highlight w:val="none"/>
          <w:lang w:val="en-US" w:eastAsia="zh-CN" w:bidi="ar-SA"/>
        </w:rPr>
      </w:pPr>
    </w:p>
    <w:p>
      <w:pPr>
        <w:shd w:val="clear"/>
        <w:outlineLvl w:val="9"/>
        <w:rPr>
          <w:rFonts w:hint="default" w:ascii="黑体" w:hAnsi="Times New Roman" w:eastAsia="黑体" w:cs="Times New Roman"/>
          <w:bCs/>
          <w:color w:val="auto"/>
          <w:kern w:val="0"/>
          <w:sz w:val="32"/>
          <w:szCs w:val="20"/>
          <w:highlight w:val="none"/>
          <w:lang w:val="en-US" w:bidi="ar-SA"/>
        </w:rPr>
      </w:pPr>
    </w:p>
    <w:p>
      <w:pPr>
        <w:shd w:val="clear"/>
        <w:jc w:val="center"/>
        <w:outlineLvl w:val="9"/>
        <w:rPr>
          <w:rFonts w:hint="default" w:ascii="黑体" w:hAnsi="Times New Roman" w:eastAsia="黑体" w:cs="Times New Roman"/>
          <w:bCs/>
          <w:color w:val="auto"/>
          <w:kern w:val="0"/>
          <w:sz w:val="52"/>
          <w:szCs w:val="52"/>
          <w:highlight w:val="none"/>
          <w:lang w:val="en-US" w:bidi="ar-SA"/>
        </w:rPr>
      </w:pPr>
      <w:r>
        <w:rPr>
          <w:rFonts w:hint="eastAsia" w:ascii="黑体" w:hAnsi="Times New Roman" w:eastAsia="黑体" w:cs="Times New Roman"/>
          <w:bCs/>
          <w:color w:val="auto"/>
          <w:kern w:val="0"/>
          <w:sz w:val="52"/>
          <w:szCs w:val="52"/>
          <w:highlight w:val="none"/>
          <w:lang w:val="en-US" w:bidi="ar-SA"/>
        </w:rPr>
        <w:t>投</w:t>
      </w:r>
    </w:p>
    <w:p>
      <w:pPr>
        <w:shd w:val="clear"/>
        <w:jc w:val="center"/>
        <w:outlineLvl w:val="9"/>
        <w:rPr>
          <w:rFonts w:hint="default" w:ascii="黑体" w:hAnsi="Times New Roman" w:eastAsia="黑体" w:cs="Times New Roman"/>
          <w:bCs/>
          <w:color w:val="auto"/>
          <w:kern w:val="0"/>
          <w:sz w:val="72"/>
          <w:szCs w:val="20"/>
          <w:highlight w:val="none"/>
          <w:lang w:val="en-US" w:bidi="ar-SA"/>
        </w:rPr>
      </w:pPr>
    </w:p>
    <w:p>
      <w:pPr>
        <w:shd w:val="clear"/>
        <w:jc w:val="center"/>
        <w:outlineLvl w:val="9"/>
        <w:rPr>
          <w:rFonts w:hint="default" w:ascii="黑体" w:hAnsi="Times New Roman" w:eastAsia="黑体" w:cs="Times New Roman"/>
          <w:bCs/>
          <w:color w:val="auto"/>
          <w:kern w:val="0"/>
          <w:sz w:val="52"/>
          <w:szCs w:val="52"/>
          <w:highlight w:val="none"/>
          <w:lang w:val="en-US" w:bidi="ar-SA"/>
        </w:rPr>
      </w:pPr>
      <w:r>
        <w:rPr>
          <w:rFonts w:hint="eastAsia" w:ascii="黑体" w:hAnsi="Times New Roman" w:eastAsia="黑体" w:cs="Times New Roman"/>
          <w:bCs/>
          <w:color w:val="auto"/>
          <w:kern w:val="0"/>
          <w:sz w:val="52"/>
          <w:szCs w:val="52"/>
          <w:highlight w:val="none"/>
          <w:lang w:val="en-US" w:bidi="ar-SA"/>
        </w:rPr>
        <w:t>标</w:t>
      </w:r>
    </w:p>
    <w:p>
      <w:pPr>
        <w:shd w:val="clear"/>
        <w:jc w:val="center"/>
        <w:outlineLvl w:val="9"/>
        <w:rPr>
          <w:rFonts w:hint="default" w:ascii="黑体" w:hAnsi="Times New Roman" w:eastAsia="黑体" w:cs="Times New Roman"/>
          <w:bCs/>
          <w:color w:val="auto"/>
          <w:kern w:val="0"/>
          <w:sz w:val="72"/>
          <w:szCs w:val="20"/>
          <w:highlight w:val="none"/>
          <w:lang w:val="en-US" w:bidi="ar-SA"/>
        </w:rPr>
      </w:pPr>
    </w:p>
    <w:p>
      <w:pPr>
        <w:shd w:val="clear"/>
        <w:jc w:val="center"/>
        <w:outlineLvl w:val="9"/>
        <w:rPr>
          <w:rFonts w:hint="default" w:ascii="黑体" w:hAnsi="Times New Roman" w:eastAsia="黑体" w:cs="Times New Roman"/>
          <w:bCs/>
          <w:color w:val="auto"/>
          <w:kern w:val="0"/>
          <w:sz w:val="52"/>
          <w:szCs w:val="52"/>
          <w:highlight w:val="none"/>
          <w:lang w:val="en-US" w:bidi="ar-SA"/>
        </w:rPr>
      </w:pPr>
      <w:r>
        <w:rPr>
          <w:rFonts w:hint="eastAsia" w:ascii="黑体" w:hAnsi="Times New Roman" w:eastAsia="黑体" w:cs="Times New Roman"/>
          <w:bCs/>
          <w:color w:val="auto"/>
          <w:kern w:val="0"/>
          <w:sz w:val="52"/>
          <w:szCs w:val="52"/>
          <w:highlight w:val="none"/>
          <w:lang w:val="en-US" w:bidi="ar-SA"/>
        </w:rPr>
        <w:t>文</w:t>
      </w:r>
    </w:p>
    <w:p>
      <w:pPr>
        <w:shd w:val="clear"/>
        <w:jc w:val="center"/>
        <w:outlineLvl w:val="9"/>
        <w:rPr>
          <w:rFonts w:hint="default" w:ascii="黑体" w:hAnsi="Times New Roman" w:eastAsia="黑体" w:cs="Times New Roman"/>
          <w:bCs/>
          <w:color w:val="auto"/>
          <w:kern w:val="0"/>
          <w:sz w:val="52"/>
          <w:szCs w:val="52"/>
          <w:highlight w:val="none"/>
          <w:lang w:val="en-US" w:bidi="ar-SA"/>
        </w:rPr>
      </w:pPr>
    </w:p>
    <w:p>
      <w:pPr>
        <w:shd w:val="clear"/>
        <w:jc w:val="center"/>
        <w:outlineLvl w:val="9"/>
        <w:rPr>
          <w:rFonts w:hint="default" w:ascii="黑体" w:hAnsi="Times New Roman" w:eastAsia="黑体" w:cs="Times New Roman"/>
          <w:bCs/>
          <w:color w:val="auto"/>
          <w:kern w:val="0"/>
          <w:sz w:val="52"/>
          <w:szCs w:val="52"/>
          <w:highlight w:val="none"/>
          <w:lang w:val="en-US" w:bidi="ar-SA"/>
        </w:rPr>
      </w:pPr>
      <w:r>
        <w:rPr>
          <w:rFonts w:hint="eastAsia" w:ascii="黑体" w:hAnsi="Times New Roman" w:eastAsia="黑体" w:cs="Times New Roman"/>
          <w:bCs/>
          <w:color w:val="auto"/>
          <w:kern w:val="0"/>
          <w:sz w:val="52"/>
          <w:szCs w:val="52"/>
          <w:highlight w:val="none"/>
          <w:lang w:val="en-US" w:bidi="ar-SA"/>
        </w:rPr>
        <w:t>件</w:t>
      </w:r>
    </w:p>
    <w:p>
      <w:pPr>
        <w:shd w:val="clear"/>
        <w:outlineLvl w:val="9"/>
        <w:rPr>
          <w:rFonts w:hint="default" w:ascii="楷体_GB2312" w:hAnsi="Times New Roman" w:eastAsia="楷体_GB2312" w:cs="Times New Roman"/>
          <w:bCs/>
          <w:color w:val="auto"/>
          <w:kern w:val="0"/>
          <w:sz w:val="72"/>
          <w:szCs w:val="20"/>
          <w:highlight w:val="none"/>
          <w:lang w:val="en-US" w:bidi="ar-SA"/>
        </w:rPr>
      </w:pPr>
    </w:p>
    <w:p>
      <w:pPr>
        <w:shd w:val="clear"/>
        <w:outlineLvl w:val="9"/>
        <w:rPr>
          <w:rFonts w:hint="default" w:ascii="楷体_GB2312" w:hAnsi="Times New Roman" w:eastAsia="楷体_GB2312" w:cs="Times New Roman"/>
          <w:bCs/>
          <w:color w:val="auto"/>
          <w:kern w:val="0"/>
          <w:sz w:val="28"/>
          <w:szCs w:val="20"/>
          <w:highlight w:val="none"/>
          <w:lang w:val="en-US" w:bidi="ar-SA"/>
        </w:rPr>
      </w:pPr>
    </w:p>
    <w:p>
      <w:pPr>
        <w:shd w:val="clear"/>
        <w:ind w:firstLine="560"/>
        <w:outlineLvl w:val="9"/>
        <w:rPr>
          <w:rFonts w:hint="default" w:ascii="黑体" w:hAnsi="Times New Roman" w:eastAsia="黑体" w:cs="Times New Roman"/>
          <w:bCs/>
          <w:color w:val="auto"/>
          <w:kern w:val="0"/>
          <w:sz w:val="28"/>
          <w:szCs w:val="28"/>
          <w:highlight w:val="none"/>
          <w:lang w:val="en-US" w:bidi="ar-SA"/>
        </w:rPr>
      </w:pPr>
      <w:r>
        <w:rPr>
          <w:rFonts w:hint="eastAsia" w:ascii="黑体" w:hAnsi="Times New Roman" w:eastAsia="黑体" w:cs="Times New Roman"/>
          <w:bCs/>
          <w:color w:val="auto"/>
          <w:kern w:val="0"/>
          <w:sz w:val="28"/>
          <w:szCs w:val="28"/>
          <w:highlight w:val="none"/>
          <w:lang w:val="en-US" w:bidi="ar-SA"/>
        </w:rPr>
        <w:t>采购项目编号：</w:t>
      </w:r>
    </w:p>
    <w:p>
      <w:pPr>
        <w:shd w:val="clear"/>
        <w:ind w:firstLine="560"/>
        <w:outlineLvl w:val="9"/>
        <w:rPr>
          <w:rFonts w:hint="eastAsia" w:ascii="黑体" w:hAnsi="Times New Roman" w:eastAsia="黑体" w:cs="Times New Roman"/>
          <w:bCs/>
          <w:color w:val="auto"/>
          <w:kern w:val="0"/>
          <w:sz w:val="28"/>
          <w:szCs w:val="28"/>
          <w:highlight w:val="none"/>
          <w:lang w:val="en-US" w:eastAsia="zh-CN" w:bidi="ar-SA"/>
        </w:rPr>
      </w:pPr>
      <w:r>
        <w:rPr>
          <w:rFonts w:hint="eastAsia" w:ascii="黑体" w:hAnsi="Times New Roman" w:eastAsia="黑体" w:cs="Times New Roman"/>
          <w:bCs/>
          <w:color w:val="auto"/>
          <w:kern w:val="0"/>
          <w:sz w:val="28"/>
          <w:szCs w:val="28"/>
          <w:highlight w:val="none"/>
          <w:lang w:val="en-US" w:bidi="ar-SA"/>
        </w:rPr>
        <w:t>采购项目名称：</w:t>
      </w:r>
      <w:r>
        <w:rPr>
          <w:rFonts w:hint="eastAsia" w:ascii="黑体" w:hAnsi="Times New Roman" w:eastAsia="黑体" w:cs="Times New Roman"/>
          <w:bCs/>
          <w:color w:val="auto"/>
          <w:kern w:val="0"/>
          <w:sz w:val="28"/>
          <w:szCs w:val="28"/>
          <w:highlight w:val="none"/>
          <w:lang w:val="en-US" w:eastAsia="zh-CN" w:bidi="ar-SA"/>
        </w:rPr>
        <w:t>2026-2027年太湖街道污水管网及设施运行维护作业权项目</w:t>
      </w:r>
    </w:p>
    <w:p>
      <w:pPr>
        <w:shd w:val="clear"/>
        <w:ind w:firstLine="560"/>
        <w:outlineLvl w:val="9"/>
        <w:rPr>
          <w:rFonts w:hint="default" w:ascii="黑体" w:hAnsi="Times New Roman" w:eastAsia="黑体" w:cs="Times New Roman"/>
          <w:bCs/>
          <w:color w:val="auto"/>
          <w:kern w:val="0"/>
          <w:sz w:val="28"/>
          <w:szCs w:val="28"/>
          <w:highlight w:val="none"/>
          <w:lang w:val="en-US" w:bidi="ar-SA"/>
        </w:rPr>
      </w:pPr>
      <w:r>
        <w:rPr>
          <w:rFonts w:hint="eastAsia" w:ascii="黑体" w:hAnsi="Times New Roman" w:eastAsia="黑体" w:cs="Times New Roman"/>
          <w:bCs/>
          <w:color w:val="auto"/>
          <w:kern w:val="0"/>
          <w:sz w:val="28"/>
          <w:szCs w:val="28"/>
          <w:highlight w:val="none"/>
          <w:lang w:val="en-US" w:bidi="ar-SA"/>
        </w:rPr>
        <w:t>投标供应商：</w:t>
      </w:r>
    </w:p>
    <w:p>
      <w:pPr>
        <w:shd w:val="clear"/>
        <w:outlineLvl w:val="9"/>
        <w:rPr>
          <w:rFonts w:hint="default" w:ascii="黑体" w:hAnsi="Times New Roman" w:eastAsia="黑体" w:cs="Times New Roman"/>
          <w:bCs/>
          <w:color w:val="auto"/>
          <w:kern w:val="0"/>
          <w:sz w:val="32"/>
          <w:szCs w:val="20"/>
          <w:highlight w:val="none"/>
          <w:lang w:val="en-US" w:bidi="ar-SA"/>
        </w:rPr>
      </w:pPr>
    </w:p>
    <w:p>
      <w:pPr>
        <w:shd w:val="clear"/>
        <w:jc w:val="center"/>
        <w:outlineLvl w:val="9"/>
        <w:rPr>
          <w:rFonts w:hint="default" w:ascii="黑体" w:hAnsi="Times New Roman" w:eastAsia="黑体" w:cs="Times New Roman"/>
          <w:bCs/>
          <w:color w:val="auto"/>
          <w:kern w:val="0"/>
          <w:sz w:val="36"/>
          <w:szCs w:val="36"/>
          <w:highlight w:val="none"/>
          <w:lang w:val="en-US" w:bidi="ar-SA"/>
        </w:rPr>
      </w:pPr>
      <w:r>
        <w:rPr>
          <w:rFonts w:hint="eastAsia" w:ascii="黑体" w:hAnsi="Times New Roman" w:eastAsia="黑体" w:cs="Times New Roman"/>
          <w:bCs/>
          <w:color w:val="auto"/>
          <w:kern w:val="0"/>
          <w:sz w:val="36"/>
          <w:szCs w:val="36"/>
          <w:highlight w:val="none"/>
          <w:lang w:val="en-US" w:bidi="ar-SA"/>
        </w:rPr>
        <w:t>二〇二六年  月  日</w:t>
      </w:r>
    </w:p>
    <w:p>
      <w:pPr>
        <w:shd w:val="clear"/>
        <w:outlineLvl w:val="9"/>
        <w:rPr>
          <w:rFonts w:hint="eastAsia" w:ascii="黑体" w:hAnsi="宋体" w:eastAsia="黑体" w:cs="Times New Roman"/>
          <w:bCs/>
          <w:color w:val="auto"/>
          <w:kern w:val="0"/>
          <w:sz w:val="24"/>
          <w:szCs w:val="24"/>
          <w:highlight w:val="none"/>
          <w:lang w:val="en-US" w:bidi="ar-SA"/>
        </w:rPr>
      </w:pPr>
      <w:bookmarkStart w:id="13" w:name="一．报价函（格式）"/>
      <w:bookmarkEnd w:id="13"/>
      <w:r>
        <w:rPr>
          <w:rFonts w:hint="eastAsia" w:ascii="黑体" w:hAnsi="宋体" w:eastAsia="黑体" w:cs="Times New Roman"/>
          <w:bCs/>
          <w:color w:val="auto"/>
          <w:kern w:val="0"/>
          <w:sz w:val="24"/>
          <w:szCs w:val="24"/>
          <w:highlight w:val="none"/>
          <w:lang w:val="en-US" w:bidi="ar-SA"/>
        </w:rPr>
        <w:br w:type="page" w:clear="all"/>
      </w:r>
    </w:p>
    <w:p>
      <w:pPr>
        <w:pStyle w:val="5"/>
        <w:shd w:val="clear"/>
        <w:bidi w:val="0"/>
        <w:rPr>
          <w:rFonts w:hint="eastAsia"/>
          <w:color w:val="auto"/>
          <w:highlight w:val="none"/>
          <w:lang w:val="en-US"/>
        </w:rPr>
      </w:pPr>
      <w:r>
        <w:rPr>
          <w:rFonts w:hint="eastAsia"/>
          <w:color w:val="auto"/>
          <w:highlight w:val="none"/>
          <w:lang w:val="en-US"/>
        </w:rPr>
        <w:t>投标函（格式）：</w:t>
      </w:r>
    </w:p>
    <w:p>
      <w:pPr>
        <w:shd w:val="clear"/>
        <w:spacing w:line="360" w:lineRule="auto"/>
        <w:jc w:val="center"/>
        <w:outlineLvl w:val="9"/>
        <w:rPr>
          <w:rFonts w:hint="default" w:ascii="宋体" w:hAnsi="Times New Roman" w:eastAsia="宋体" w:cs="Times New Roman"/>
          <w:bCs/>
          <w:color w:val="auto"/>
          <w:kern w:val="0"/>
          <w:sz w:val="24"/>
          <w:szCs w:val="24"/>
          <w:highlight w:val="none"/>
          <w:lang w:val="en-US" w:bidi="ar-SA"/>
        </w:rPr>
      </w:pPr>
      <w:r>
        <w:rPr>
          <w:rFonts w:hint="eastAsia" w:ascii="黑体" w:hAnsi="Times New Roman" w:eastAsia="黑体" w:cs="Times New Roman"/>
          <w:bCs/>
          <w:color w:val="auto"/>
          <w:kern w:val="0"/>
          <w:sz w:val="28"/>
          <w:szCs w:val="28"/>
          <w:highlight w:val="none"/>
          <w:lang w:val="en-US" w:bidi="ar-SA"/>
        </w:rPr>
        <w:t>投标函</w:t>
      </w:r>
    </w:p>
    <w:p>
      <w:pPr>
        <w:shd w:val="clear"/>
        <w:spacing w:line="360" w:lineRule="auto"/>
        <w:outlineLvl w:val="9"/>
        <w:rPr>
          <w:rFonts w:hint="default" w:ascii="宋体" w:hAnsi="Times New Roman" w:eastAsia="宋体" w:cs="Times New Roman"/>
          <w:bCs/>
          <w:color w:val="auto"/>
          <w:kern w:val="0"/>
          <w:sz w:val="24"/>
          <w:szCs w:val="24"/>
          <w:highlight w:val="none"/>
          <w:lang w:val="en-US" w:bidi="ar-SA"/>
        </w:rPr>
      </w:pPr>
      <w:r>
        <w:rPr>
          <w:rFonts w:hint="eastAsia" w:ascii="宋体" w:hAnsi="宋体" w:eastAsia="宋体" w:cs="Times New Roman"/>
          <w:bCs/>
          <w:color w:val="auto"/>
          <w:kern w:val="0"/>
          <w:sz w:val="24"/>
          <w:szCs w:val="24"/>
          <w:highlight w:val="none"/>
          <w:lang w:val="en-US" w:bidi="ar-SA"/>
        </w:rPr>
        <w:t>致</w:t>
      </w:r>
      <w:r>
        <w:rPr>
          <w:rFonts w:hint="eastAsia" w:ascii="宋体" w:hAnsi="宋体" w:eastAsia="宋体" w:cs="Times New Roman"/>
          <w:bCs/>
          <w:color w:val="auto"/>
          <w:kern w:val="0"/>
          <w:sz w:val="24"/>
          <w:szCs w:val="24"/>
          <w:highlight w:val="none"/>
          <w:lang w:val="en-US" w:eastAsia="zh-CN" w:bidi="ar-SA"/>
        </w:rPr>
        <w:t>无锡市滨湖区太湖街道办事处</w:t>
      </w:r>
      <w:r>
        <w:rPr>
          <w:rFonts w:hint="eastAsia" w:ascii="宋体" w:hAnsi="宋体" w:eastAsia="宋体" w:cs="Times New Roman"/>
          <w:bCs/>
          <w:color w:val="auto"/>
          <w:kern w:val="0"/>
          <w:sz w:val="24"/>
          <w:szCs w:val="24"/>
          <w:highlight w:val="none"/>
          <w:lang w:val="en-US" w:bidi="ar-SA"/>
        </w:rPr>
        <w:t>：</w:t>
      </w:r>
    </w:p>
    <w:p>
      <w:pPr>
        <w:shd w:val="clear"/>
        <w:spacing w:line="360" w:lineRule="auto"/>
        <w:ind w:firstLine="480"/>
        <w:outlineLvl w:val="9"/>
        <w:rPr>
          <w:rFonts w:hint="default" w:ascii="宋体" w:hAnsi="Times New Roman" w:eastAsia="宋体" w:cs="Times New Roman"/>
          <w:bCs/>
          <w:color w:val="auto"/>
          <w:kern w:val="0"/>
          <w:sz w:val="24"/>
          <w:szCs w:val="24"/>
          <w:highlight w:val="none"/>
          <w:lang w:val="en-US" w:bidi="ar-SA"/>
        </w:rPr>
      </w:pPr>
      <w:r>
        <w:rPr>
          <w:rFonts w:hint="eastAsia" w:ascii="宋体" w:hAnsi="宋体" w:eastAsia="宋体" w:cs="Times New Roman"/>
          <w:bCs/>
          <w:color w:val="auto"/>
          <w:kern w:val="0"/>
          <w:sz w:val="24"/>
          <w:szCs w:val="24"/>
          <w:highlight w:val="none"/>
          <w:lang w:val="en-US" w:bidi="ar-SA"/>
        </w:rPr>
        <w:t>我方收到贵方编号招标文件，经仔细阅读和研究，我方决定参加此项目的投标。</w:t>
      </w:r>
    </w:p>
    <w:p>
      <w:pPr>
        <w:numPr>
          <w:ilvl w:val="0"/>
          <w:numId w:val="21"/>
        </w:numPr>
        <w:shd w:val="clear"/>
        <w:tabs>
          <w:tab w:val="left" w:pos="315"/>
          <w:tab w:val="left" w:pos="840"/>
          <w:tab w:val="left" w:pos="945"/>
          <w:tab w:val="left" w:pos="1050"/>
          <w:tab w:val="left" w:pos="1260"/>
        </w:tabs>
        <w:spacing w:line="360" w:lineRule="auto"/>
        <w:ind w:left="0" w:firstLine="525"/>
        <w:outlineLvl w:val="9"/>
        <w:rPr>
          <w:rFonts w:hint="default" w:ascii="宋体" w:hAnsi="Times New Roman" w:eastAsia="宋体" w:cs="Times New Roman"/>
          <w:bCs/>
          <w:color w:val="auto"/>
          <w:kern w:val="0"/>
          <w:sz w:val="24"/>
          <w:szCs w:val="24"/>
          <w:highlight w:val="none"/>
          <w:lang w:val="en-US" w:bidi="ar-SA"/>
        </w:rPr>
      </w:pPr>
      <w:r>
        <w:rPr>
          <w:rFonts w:hint="eastAsia" w:ascii="宋体" w:hAnsi="宋体" w:eastAsia="宋体" w:cs="Times New Roman"/>
          <w:bCs/>
          <w:color w:val="auto"/>
          <w:kern w:val="0"/>
          <w:sz w:val="24"/>
          <w:szCs w:val="24"/>
          <w:highlight w:val="none"/>
          <w:lang w:val="en-US" w:bidi="ar-SA"/>
        </w:rPr>
        <w:t>我方愿意按照招标文件的一切要求，提供本项目的投标，投标总价见《开标一览表》。</w:t>
      </w:r>
    </w:p>
    <w:p>
      <w:pPr>
        <w:numPr>
          <w:ilvl w:val="0"/>
          <w:numId w:val="21"/>
        </w:numPr>
        <w:shd w:val="clear"/>
        <w:tabs>
          <w:tab w:val="left" w:pos="0"/>
          <w:tab w:val="left" w:pos="315"/>
          <w:tab w:val="left" w:pos="525"/>
          <w:tab w:val="left" w:pos="840"/>
          <w:tab w:val="left" w:pos="945"/>
          <w:tab w:val="left" w:pos="1050"/>
        </w:tabs>
        <w:spacing w:line="360" w:lineRule="auto"/>
        <w:ind w:left="0" w:firstLine="523"/>
        <w:outlineLvl w:val="9"/>
        <w:rPr>
          <w:rFonts w:hint="eastAsia" w:ascii="Times New Roman" w:hAnsi="Times New Roman" w:eastAsia="宋体" w:cs="Times New Roman"/>
          <w:bCs/>
          <w:color w:val="auto"/>
          <w:kern w:val="0"/>
          <w:szCs w:val="20"/>
          <w:highlight w:val="none"/>
          <w:lang w:val="en-US" w:bidi="ar-SA"/>
        </w:rPr>
      </w:pPr>
      <w:r>
        <w:rPr>
          <w:rFonts w:hint="eastAsia" w:ascii="宋体" w:hAnsi="宋体" w:eastAsia="宋体" w:cs="Times New Roman"/>
          <w:bCs/>
          <w:color w:val="auto"/>
          <w:kern w:val="0"/>
          <w:sz w:val="24"/>
          <w:szCs w:val="24"/>
          <w:highlight w:val="none"/>
          <w:lang w:val="en-US" w:bidi="ar-SA"/>
        </w:rPr>
        <w:t>我方愿意提供</w:t>
      </w:r>
      <w:r>
        <w:rPr>
          <w:rFonts w:hint="eastAsia" w:ascii="宋体" w:hAnsi="宋体" w:eastAsia="宋体" w:cs="Times New Roman"/>
          <w:bCs/>
          <w:color w:val="auto"/>
          <w:kern w:val="0"/>
          <w:sz w:val="24"/>
          <w:szCs w:val="24"/>
          <w:highlight w:val="none"/>
          <w:lang w:val="en-US" w:eastAsia="zh-CN" w:bidi="ar-SA"/>
        </w:rPr>
        <w:t>北京中昌工程咨询有限公司</w:t>
      </w:r>
      <w:r>
        <w:rPr>
          <w:rFonts w:hint="eastAsia" w:ascii="宋体" w:hAnsi="宋体" w:eastAsia="宋体" w:cs="Times New Roman"/>
          <w:bCs/>
          <w:color w:val="auto"/>
          <w:kern w:val="0"/>
          <w:sz w:val="24"/>
          <w:szCs w:val="24"/>
          <w:highlight w:val="none"/>
          <w:lang w:val="en-US" w:bidi="ar-SA"/>
        </w:rPr>
        <w:t>在招标文件中要求的文件、资料。</w:t>
      </w:r>
    </w:p>
    <w:p>
      <w:pPr>
        <w:numPr>
          <w:ilvl w:val="0"/>
          <w:numId w:val="21"/>
        </w:numPr>
        <w:shd w:val="clear"/>
        <w:tabs>
          <w:tab w:val="left" w:pos="0"/>
          <w:tab w:val="left" w:pos="315"/>
          <w:tab w:val="left" w:pos="525"/>
          <w:tab w:val="left" w:pos="945"/>
          <w:tab w:val="left" w:pos="1050"/>
        </w:tabs>
        <w:spacing w:line="360" w:lineRule="auto"/>
        <w:ind w:left="0" w:firstLine="523"/>
        <w:outlineLvl w:val="9"/>
        <w:rPr>
          <w:rFonts w:hint="default" w:ascii="宋体" w:hAnsi="Times New Roman" w:eastAsia="宋体" w:cs="Times New Roman"/>
          <w:bCs/>
          <w:color w:val="auto"/>
          <w:kern w:val="0"/>
          <w:sz w:val="24"/>
          <w:szCs w:val="24"/>
          <w:highlight w:val="none"/>
          <w:lang w:val="en-US" w:bidi="ar-SA"/>
        </w:rPr>
      </w:pPr>
      <w:r>
        <w:rPr>
          <w:rFonts w:hint="eastAsia" w:ascii="宋体" w:hAnsi="宋体" w:eastAsia="宋体" w:cs="Times New Roman"/>
          <w:bCs/>
          <w:color w:val="auto"/>
          <w:kern w:val="0"/>
          <w:sz w:val="24"/>
          <w:szCs w:val="24"/>
          <w:highlight w:val="none"/>
          <w:lang w:val="en-US" w:bidi="ar-SA"/>
        </w:rPr>
        <w:t>我方同意按招标文件中的规定，本投标文件投标的有效期限为开标之日起</w:t>
      </w:r>
      <w:r>
        <w:rPr>
          <w:rFonts w:hint="default" w:ascii="宋体" w:hAnsi="宋体" w:eastAsia="宋体" w:cs="Times New Roman"/>
          <w:bCs/>
          <w:color w:val="auto"/>
          <w:kern w:val="0"/>
          <w:sz w:val="24"/>
          <w:szCs w:val="24"/>
          <w:highlight w:val="none"/>
          <w:lang w:val="en-US" w:bidi="ar-SA"/>
        </w:rPr>
        <w:t>90</w:t>
      </w:r>
      <w:r>
        <w:rPr>
          <w:rFonts w:hint="eastAsia" w:ascii="宋体" w:hAnsi="宋体" w:eastAsia="宋体" w:cs="Times New Roman"/>
          <w:bCs/>
          <w:color w:val="auto"/>
          <w:kern w:val="0"/>
          <w:sz w:val="24"/>
          <w:szCs w:val="24"/>
          <w:highlight w:val="none"/>
          <w:lang w:val="en-US" w:bidi="ar-SA"/>
        </w:rPr>
        <w:t>天。</w:t>
      </w:r>
    </w:p>
    <w:p>
      <w:pPr>
        <w:numPr>
          <w:ilvl w:val="0"/>
          <w:numId w:val="21"/>
        </w:numPr>
        <w:shd w:val="clear"/>
        <w:tabs>
          <w:tab w:val="left" w:pos="0"/>
          <w:tab w:val="left" w:pos="315"/>
          <w:tab w:val="left" w:pos="525"/>
          <w:tab w:val="left" w:pos="945"/>
          <w:tab w:val="left" w:pos="1050"/>
        </w:tabs>
        <w:spacing w:line="360" w:lineRule="auto"/>
        <w:ind w:left="0" w:firstLine="523"/>
        <w:outlineLvl w:val="9"/>
        <w:rPr>
          <w:rFonts w:hint="default" w:ascii="宋体" w:hAnsi="Times New Roman" w:eastAsia="宋体" w:cs="Times New Roman"/>
          <w:bCs/>
          <w:color w:val="auto"/>
          <w:kern w:val="0"/>
          <w:sz w:val="24"/>
          <w:szCs w:val="24"/>
          <w:highlight w:val="none"/>
          <w:lang w:val="en-US" w:bidi="ar-SA"/>
        </w:rPr>
      </w:pPr>
      <w:r>
        <w:rPr>
          <w:rFonts w:hint="eastAsia" w:ascii="宋体" w:hAnsi="宋体" w:eastAsia="宋体" w:cs="Times New Roman"/>
          <w:bCs/>
          <w:color w:val="auto"/>
          <w:kern w:val="0"/>
          <w:sz w:val="24"/>
          <w:szCs w:val="24"/>
          <w:highlight w:val="none"/>
          <w:lang w:val="en-US" w:bidi="ar-SA"/>
        </w:rPr>
        <w:t>如果我方的投标文件被接受，我方将履行招标文件中规定的每一项要求，按期、按质、按量，完成交货任务。</w:t>
      </w:r>
    </w:p>
    <w:p>
      <w:pPr>
        <w:numPr>
          <w:ilvl w:val="0"/>
          <w:numId w:val="21"/>
        </w:numPr>
        <w:shd w:val="clear"/>
        <w:tabs>
          <w:tab w:val="left" w:pos="0"/>
          <w:tab w:val="left" w:pos="315"/>
          <w:tab w:val="left" w:pos="525"/>
          <w:tab w:val="left" w:pos="945"/>
          <w:tab w:val="left" w:pos="1050"/>
        </w:tabs>
        <w:spacing w:line="360" w:lineRule="auto"/>
        <w:ind w:left="0" w:firstLine="523"/>
        <w:outlineLvl w:val="9"/>
        <w:rPr>
          <w:rFonts w:hint="default" w:ascii="宋体" w:hAnsi="Times New Roman" w:eastAsia="宋体" w:cs="Times New Roman"/>
          <w:bCs/>
          <w:color w:val="auto"/>
          <w:kern w:val="0"/>
          <w:sz w:val="24"/>
          <w:szCs w:val="24"/>
          <w:highlight w:val="none"/>
          <w:lang w:val="en-US" w:bidi="ar-SA"/>
        </w:rPr>
      </w:pPr>
      <w:r>
        <w:rPr>
          <w:rFonts w:hint="eastAsia" w:ascii="宋体" w:hAnsi="宋体" w:eastAsia="宋体" w:cs="Times New Roman"/>
          <w:bCs/>
          <w:color w:val="auto"/>
          <w:kern w:val="0"/>
          <w:sz w:val="24"/>
          <w:szCs w:val="24"/>
          <w:highlight w:val="none"/>
          <w:lang w:val="en-US" w:bidi="ar-SA"/>
        </w:rPr>
        <w:t>我方认为贵</w:t>
      </w:r>
      <w:r>
        <w:rPr>
          <w:rFonts w:hint="eastAsia" w:ascii="宋体" w:hAnsi="宋体" w:eastAsia="宋体" w:cs="Times New Roman"/>
          <w:bCs/>
          <w:color w:val="auto"/>
          <w:kern w:val="0"/>
          <w:sz w:val="24"/>
          <w:szCs w:val="24"/>
          <w:highlight w:val="none"/>
          <w:lang w:val="en-US" w:eastAsia="zh-CN" w:bidi="ar-SA"/>
        </w:rPr>
        <w:t>单位</w:t>
      </w:r>
      <w:r>
        <w:rPr>
          <w:rFonts w:hint="eastAsia" w:ascii="宋体" w:hAnsi="宋体" w:eastAsia="宋体" w:cs="Times New Roman"/>
          <w:bCs/>
          <w:color w:val="auto"/>
          <w:kern w:val="0"/>
          <w:sz w:val="24"/>
          <w:szCs w:val="24"/>
          <w:highlight w:val="none"/>
          <w:lang w:val="en-US" w:bidi="ar-SA"/>
        </w:rPr>
        <w:t>有权决定中标者。</w:t>
      </w:r>
    </w:p>
    <w:p>
      <w:pPr>
        <w:numPr>
          <w:ilvl w:val="0"/>
          <w:numId w:val="21"/>
        </w:numPr>
        <w:shd w:val="clear"/>
        <w:tabs>
          <w:tab w:val="left" w:pos="0"/>
          <w:tab w:val="left" w:pos="315"/>
          <w:tab w:val="left" w:pos="525"/>
          <w:tab w:val="left" w:pos="945"/>
          <w:tab w:val="left" w:pos="1050"/>
        </w:tabs>
        <w:spacing w:line="360" w:lineRule="auto"/>
        <w:ind w:left="0" w:firstLine="523"/>
        <w:outlineLvl w:val="9"/>
        <w:rPr>
          <w:rFonts w:hint="default" w:ascii="宋体" w:hAnsi="Times New Roman" w:eastAsia="宋体" w:cs="Times New Roman"/>
          <w:bCs/>
          <w:color w:val="auto"/>
          <w:kern w:val="0"/>
          <w:sz w:val="24"/>
          <w:szCs w:val="24"/>
          <w:highlight w:val="none"/>
          <w:lang w:val="en-US" w:bidi="ar-SA"/>
        </w:rPr>
      </w:pPr>
      <w:r>
        <w:rPr>
          <w:rFonts w:hint="eastAsia" w:ascii="宋体" w:hAnsi="宋体" w:eastAsia="宋体" w:cs="Times New Roman"/>
          <w:bCs/>
          <w:color w:val="auto"/>
          <w:kern w:val="0"/>
          <w:sz w:val="24"/>
          <w:szCs w:val="24"/>
          <w:highlight w:val="none"/>
          <w:lang w:val="en-US" w:bidi="ar-SA"/>
        </w:rPr>
        <w:t>我方愿意遵守《中华人民共和国政府采购法》，并按《中华人民共和国民法典》、财政部《政府采购货物和服务招标投标管理办法》</w:t>
      </w:r>
      <w:r>
        <w:rPr>
          <w:rFonts w:hint="eastAsia" w:ascii="宋体" w:hAnsi="宋体" w:eastAsia="宋体" w:cs="Times New Roman"/>
          <w:color w:val="auto"/>
          <w:kern w:val="0"/>
          <w:sz w:val="24"/>
          <w:szCs w:val="24"/>
          <w:highlight w:val="none"/>
          <w:lang w:val="en-US" w:bidi="ar-SA"/>
        </w:rPr>
        <w:t>和</w:t>
      </w:r>
      <w:r>
        <w:rPr>
          <w:rFonts w:hint="eastAsia" w:ascii="宋体" w:hAnsi="宋体" w:eastAsia="宋体" w:cs="Times New Roman"/>
          <w:bCs/>
          <w:color w:val="auto"/>
          <w:kern w:val="0"/>
          <w:sz w:val="24"/>
          <w:szCs w:val="24"/>
          <w:highlight w:val="none"/>
          <w:lang w:val="en-US" w:bidi="ar-SA"/>
        </w:rPr>
        <w:t>合同条款履行自己的全部责任。</w:t>
      </w:r>
    </w:p>
    <w:p>
      <w:pPr>
        <w:numPr>
          <w:ilvl w:val="0"/>
          <w:numId w:val="21"/>
        </w:numPr>
        <w:shd w:val="clear"/>
        <w:tabs>
          <w:tab w:val="left" w:pos="0"/>
          <w:tab w:val="left" w:pos="315"/>
          <w:tab w:val="left" w:pos="525"/>
          <w:tab w:val="left" w:pos="945"/>
          <w:tab w:val="left" w:pos="1050"/>
        </w:tabs>
        <w:spacing w:line="360" w:lineRule="auto"/>
        <w:ind w:left="0" w:firstLine="523"/>
        <w:outlineLvl w:val="9"/>
        <w:rPr>
          <w:rFonts w:hint="default" w:ascii="宋体" w:hAnsi="Times New Roman" w:eastAsia="宋体" w:cs="Times New Roman"/>
          <w:bCs/>
          <w:color w:val="auto"/>
          <w:kern w:val="0"/>
          <w:sz w:val="24"/>
          <w:szCs w:val="24"/>
          <w:highlight w:val="none"/>
          <w:lang w:val="en-US" w:bidi="ar-SA"/>
        </w:rPr>
      </w:pPr>
      <w:r>
        <w:rPr>
          <w:rFonts w:hint="eastAsia" w:ascii="宋体" w:hAnsi="宋体" w:eastAsia="宋体" w:cs="Times New Roman"/>
          <w:bCs/>
          <w:color w:val="auto"/>
          <w:kern w:val="0"/>
          <w:sz w:val="24"/>
          <w:szCs w:val="24"/>
          <w:highlight w:val="none"/>
          <w:lang w:val="en-US" w:bidi="ar-SA"/>
        </w:rPr>
        <w:t>我方认可并遵守招标文件的所有规定，放弃对招标文件提出质疑的权利。</w:t>
      </w:r>
    </w:p>
    <w:p>
      <w:pPr>
        <w:numPr>
          <w:ilvl w:val="0"/>
          <w:numId w:val="21"/>
        </w:numPr>
        <w:shd w:val="clear"/>
        <w:tabs>
          <w:tab w:val="left" w:pos="0"/>
          <w:tab w:val="left" w:pos="315"/>
          <w:tab w:val="left" w:pos="525"/>
          <w:tab w:val="left" w:pos="945"/>
          <w:tab w:val="left" w:pos="1050"/>
        </w:tabs>
        <w:spacing w:line="360" w:lineRule="auto"/>
        <w:ind w:left="0" w:firstLine="523"/>
        <w:outlineLvl w:val="9"/>
        <w:rPr>
          <w:rFonts w:hint="default" w:ascii="宋体" w:hAnsi="Times New Roman" w:eastAsia="宋体" w:cs="Times New Roman"/>
          <w:bCs/>
          <w:color w:val="auto"/>
          <w:kern w:val="0"/>
          <w:sz w:val="24"/>
          <w:szCs w:val="24"/>
          <w:highlight w:val="none"/>
          <w:lang w:val="en-US" w:bidi="ar-SA"/>
        </w:rPr>
      </w:pPr>
      <w:r>
        <w:rPr>
          <w:rFonts w:hint="eastAsia" w:ascii="宋体" w:hAnsi="宋体" w:eastAsia="宋体" w:cs="Times New Roman"/>
          <w:bCs/>
          <w:color w:val="auto"/>
          <w:kern w:val="0"/>
          <w:sz w:val="24"/>
          <w:szCs w:val="24"/>
          <w:highlight w:val="none"/>
          <w:lang w:val="en-US" w:bidi="ar-SA"/>
        </w:rPr>
        <w:t>我方愿意按招标文件的规定上传《投标（报价）承诺函》。如我方在投标截止期后撤回投标及中标后拒绝遵守投标承诺或拒绝在规定的时间内与采购人签订合同，则接受政府采购监督管理部门的处理。</w:t>
      </w:r>
    </w:p>
    <w:p>
      <w:pPr>
        <w:numPr>
          <w:ilvl w:val="0"/>
          <w:numId w:val="21"/>
        </w:numPr>
        <w:shd w:val="clear"/>
        <w:tabs>
          <w:tab w:val="left" w:pos="0"/>
          <w:tab w:val="left" w:pos="315"/>
          <w:tab w:val="left" w:pos="525"/>
          <w:tab w:val="left" w:pos="945"/>
          <w:tab w:val="left" w:pos="1050"/>
        </w:tabs>
        <w:spacing w:line="360" w:lineRule="auto"/>
        <w:ind w:left="0" w:firstLine="523"/>
        <w:outlineLvl w:val="9"/>
        <w:rPr>
          <w:rFonts w:hint="default" w:ascii="宋体" w:hAnsi="Times New Roman" w:eastAsia="宋体" w:cs="Times New Roman"/>
          <w:bCs/>
          <w:color w:val="auto"/>
          <w:kern w:val="0"/>
          <w:sz w:val="24"/>
          <w:szCs w:val="24"/>
          <w:highlight w:val="none"/>
          <w:lang w:val="en-US" w:bidi="ar-SA"/>
        </w:rPr>
      </w:pPr>
      <w:r>
        <w:rPr>
          <w:rFonts w:hint="eastAsia" w:ascii="宋体" w:hAnsi="宋体" w:eastAsia="宋体" w:cs="Times New Roman"/>
          <w:bCs/>
          <w:color w:val="auto"/>
          <w:kern w:val="0"/>
          <w:sz w:val="24"/>
          <w:szCs w:val="24"/>
          <w:highlight w:val="none"/>
          <w:lang w:val="en-US" w:bidi="ar-SA"/>
        </w:rPr>
        <w:t>如果我方被确定为中标供应商，且我方如无不可抗力，又未履行招标文件、投标文件和合同条款的，一经查实，我方愿意赔偿由此而造成的一切损失，并同意接受按招标文件的相关要求对我方进行的处理。</w:t>
      </w:r>
    </w:p>
    <w:p>
      <w:pPr>
        <w:numPr>
          <w:ilvl w:val="0"/>
          <w:numId w:val="21"/>
        </w:numPr>
        <w:shd w:val="clear"/>
        <w:tabs>
          <w:tab w:val="left" w:pos="0"/>
          <w:tab w:val="left" w:pos="315"/>
          <w:tab w:val="left" w:pos="525"/>
          <w:tab w:val="left" w:pos="945"/>
          <w:tab w:val="left" w:pos="1050"/>
        </w:tabs>
        <w:spacing w:line="360" w:lineRule="auto"/>
        <w:ind w:left="0" w:firstLine="523"/>
        <w:outlineLvl w:val="9"/>
        <w:rPr>
          <w:rFonts w:hint="default" w:ascii="宋体" w:hAnsi="Times New Roman" w:eastAsia="宋体" w:cs="Times New Roman"/>
          <w:bCs/>
          <w:color w:val="auto"/>
          <w:kern w:val="0"/>
          <w:sz w:val="24"/>
          <w:szCs w:val="24"/>
          <w:highlight w:val="none"/>
          <w:lang w:val="en-US" w:bidi="ar-SA"/>
        </w:rPr>
      </w:pPr>
      <w:r>
        <w:rPr>
          <w:rFonts w:hint="eastAsia" w:ascii="宋体" w:hAnsi="宋体" w:eastAsia="宋体" w:cs="Times New Roman"/>
          <w:bCs/>
          <w:color w:val="auto"/>
          <w:kern w:val="0"/>
          <w:sz w:val="24"/>
          <w:szCs w:val="24"/>
          <w:highlight w:val="none"/>
          <w:lang w:val="en-US" w:bidi="ar-SA"/>
        </w:rPr>
        <w:t>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p>
    <w:p>
      <w:pPr>
        <w:shd w:val="clear"/>
        <w:spacing w:line="400" w:lineRule="exact"/>
        <w:ind w:firstLine="480"/>
        <w:outlineLvl w:val="9"/>
        <w:rPr>
          <w:rFonts w:hint="default" w:ascii="宋体" w:hAnsi="Times New Roman" w:eastAsia="宋体" w:cs="Times New Roman"/>
          <w:bCs/>
          <w:color w:val="auto"/>
          <w:kern w:val="0"/>
          <w:sz w:val="24"/>
          <w:szCs w:val="24"/>
          <w:highlight w:val="none"/>
          <w:lang w:val="en-US" w:bidi="ar-SA"/>
        </w:rPr>
      </w:pPr>
      <w:r>
        <w:rPr>
          <w:rFonts w:hint="eastAsia" w:ascii="宋体" w:hAnsi="宋体" w:eastAsia="宋体" w:cs="Times New Roman"/>
          <w:bCs/>
          <w:color w:val="auto"/>
          <w:kern w:val="0"/>
          <w:sz w:val="24"/>
          <w:szCs w:val="24"/>
          <w:highlight w:val="none"/>
          <w:lang w:val="en-US" w:bidi="ar-SA"/>
        </w:rPr>
        <w:t>投标供应商（盖章）：</w:t>
      </w:r>
    </w:p>
    <w:p>
      <w:pPr>
        <w:shd w:val="clear"/>
        <w:spacing w:line="400" w:lineRule="exact"/>
        <w:ind w:firstLine="480"/>
        <w:outlineLvl w:val="9"/>
        <w:rPr>
          <w:rFonts w:hint="default" w:ascii="宋体" w:hAnsi="Times New Roman" w:eastAsia="宋体" w:cs="Times New Roman"/>
          <w:bCs/>
          <w:color w:val="auto"/>
          <w:kern w:val="0"/>
          <w:sz w:val="24"/>
          <w:szCs w:val="24"/>
          <w:highlight w:val="none"/>
          <w:lang w:val="en-US" w:bidi="ar-SA"/>
        </w:rPr>
      </w:pPr>
      <w:r>
        <w:rPr>
          <w:rFonts w:hint="eastAsia" w:ascii="宋体" w:hAnsi="宋体" w:eastAsia="宋体" w:cs="Times New Roman"/>
          <w:bCs/>
          <w:color w:val="auto"/>
          <w:kern w:val="0"/>
          <w:sz w:val="24"/>
          <w:szCs w:val="24"/>
          <w:highlight w:val="none"/>
          <w:lang w:val="en-US" w:bidi="ar-SA"/>
        </w:rPr>
        <w:t>法定代表人或法定代表人授权代表签字或盖章：</w:t>
      </w:r>
    </w:p>
    <w:p>
      <w:pPr>
        <w:shd w:val="clear"/>
        <w:spacing w:line="400" w:lineRule="exact"/>
        <w:ind w:firstLine="480"/>
        <w:outlineLvl w:val="9"/>
        <w:rPr>
          <w:rFonts w:hint="default" w:ascii="宋体" w:hAnsi="Times New Roman" w:eastAsia="宋体" w:cs="Times New Roman"/>
          <w:bCs/>
          <w:color w:val="auto"/>
          <w:kern w:val="0"/>
          <w:sz w:val="24"/>
          <w:szCs w:val="24"/>
          <w:highlight w:val="none"/>
          <w:lang w:val="en-US" w:bidi="ar-SA"/>
        </w:rPr>
      </w:pPr>
      <w:r>
        <w:rPr>
          <w:rFonts w:hint="eastAsia" w:ascii="宋体" w:hAnsi="宋体" w:eastAsia="宋体" w:cs="Times New Roman"/>
          <w:bCs/>
          <w:color w:val="auto"/>
          <w:kern w:val="0"/>
          <w:sz w:val="24"/>
          <w:szCs w:val="24"/>
          <w:highlight w:val="none"/>
          <w:lang w:val="en-US" w:bidi="ar-SA"/>
        </w:rPr>
        <w:t>电话：传真：</w:t>
      </w:r>
    </w:p>
    <w:p>
      <w:pPr>
        <w:shd w:val="clear"/>
        <w:spacing w:line="400" w:lineRule="exact"/>
        <w:ind w:firstLine="480"/>
        <w:outlineLvl w:val="9"/>
        <w:rPr>
          <w:rFonts w:hint="eastAsia" w:ascii="宋体" w:hAnsi="宋体" w:eastAsia="宋体" w:cs="Times New Roman"/>
          <w:bCs/>
          <w:color w:val="auto"/>
          <w:kern w:val="0"/>
          <w:sz w:val="24"/>
          <w:szCs w:val="24"/>
          <w:highlight w:val="none"/>
          <w:lang w:val="en-US" w:bidi="ar-SA"/>
        </w:rPr>
      </w:pPr>
      <w:r>
        <w:rPr>
          <w:rFonts w:hint="eastAsia" w:ascii="宋体" w:hAnsi="宋体" w:eastAsia="宋体" w:cs="Times New Roman"/>
          <w:bCs/>
          <w:color w:val="auto"/>
          <w:kern w:val="0"/>
          <w:sz w:val="24"/>
          <w:szCs w:val="24"/>
          <w:highlight w:val="none"/>
          <w:lang w:val="en-US" w:bidi="ar-SA"/>
        </w:rPr>
        <w:t>通讯地址：邮编：</w:t>
      </w:r>
    </w:p>
    <w:p>
      <w:pPr>
        <w:pStyle w:val="5"/>
        <w:shd w:val="clear"/>
        <w:bidi w:val="0"/>
        <w:rPr>
          <w:rFonts w:hint="default" w:ascii="黑体" w:hAnsi="Times New Roman" w:eastAsia="黑体" w:cs="Times New Roman"/>
          <w:bCs/>
          <w:color w:val="auto"/>
          <w:kern w:val="0"/>
          <w:sz w:val="28"/>
          <w:szCs w:val="28"/>
          <w:highlight w:val="none"/>
          <w:lang w:val="en-US" w:bidi="ar-SA"/>
        </w:rPr>
      </w:pPr>
      <w:r>
        <w:rPr>
          <w:rFonts w:hint="eastAsia" w:ascii="黑体" w:hAnsi="宋体" w:eastAsia="黑体" w:cs="Times New Roman"/>
          <w:bCs/>
          <w:color w:val="auto"/>
          <w:kern w:val="0"/>
          <w:sz w:val="24"/>
          <w:szCs w:val="24"/>
          <w:highlight w:val="none"/>
          <w:lang w:val="en-US" w:bidi="ar-SA"/>
        </w:rPr>
        <w:br w:type="page" w:clear="all"/>
      </w:r>
      <w:r>
        <w:rPr>
          <w:rStyle w:val="521"/>
          <w:rFonts w:hint="eastAsia"/>
          <w:b/>
          <w:bCs/>
          <w:color w:val="auto"/>
          <w:highlight w:val="none"/>
          <w:lang w:val="en-US"/>
        </w:rPr>
        <w:t>（投标供应商）关于资格的声明函（格式）：</w:t>
      </w:r>
    </w:p>
    <w:p>
      <w:pPr>
        <w:shd w:val="clear"/>
        <w:spacing w:line="360" w:lineRule="auto"/>
        <w:outlineLvl w:val="9"/>
        <w:rPr>
          <w:rFonts w:hint="default" w:ascii="黑体" w:hAnsi="Times New Roman" w:eastAsia="黑体" w:cs="Times New Roman"/>
          <w:bCs/>
          <w:color w:val="auto"/>
          <w:kern w:val="0"/>
          <w:sz w:val="36"/>
          <w:szCs w:val="20"/>
          <w:highlight w:val="none"/>
          <w:lang w:val="en-US" w:bidi="ar-SA"/>
        </w:rPr>
      </w:pPr>
    </w:p>
    <w:p>
      <w:pPr>
        <w:shd w:val="clear"/>
        <w:jc w:val="center"/>
        <w:outlineLvl w:val="9"/>
        <w:rPr>
          <w:rFonts w:hint="default" w:ascii="黑体" w:hAnsi="Times New Roman" w:eastAsia="黑体" w:cs="Times New Roman"/>
          <w:bCs/>
          <w:color w:val="auto"/>
          <w:kern w:val="0"/>
          <w:sz w:val="28"/>
          <w:szCs w:val="28"/>
          <w:highlight w:val="none"/>
          <w:lang w:val="en-US" w:bidi="ar-SA"/>
        </w:rPr>
      </w:pPr>
      <w:bookmarkStart w:id="14" w:name="报价方关于资格的声明函（格式）"/>
      <w:bookmarkEnd w:id="14"/>
      <w:r>
        <w:rPr>
          <w:rFonts w:hint="eastAsia" w:ascii="黑体" w:hAnsi="Times New Roman" w:eastAsia="黑体" w:cs="Times New Roman"/>
          <w:bCs/>
          <w:color w:val="auto"/>
          <w:kern w:val="0"/>
          <w:sz w:val="28"/>
          <w:szCs w:val="28"/>
          <w:highlight w:val="none"/>
          <w:lang w:val="en-US" w:bidi="ar-SA"/>
        </w:rPr>
        <w:t>关于资格的声明函</w:t>
      </w:r>
    </w:p>
    <w:p>
      <w:pPr>
        <w:shd w:val="clear"/>
        <w:jc w:val="center"/>
        <w:outlineLvl w:val="9"/>
        <w:rPr>
          <w:rFonts w:hint="default" w:ascii="黑体" w:hAnsi="Times New Roman" w:eastAsia="黑体" w:cs="Times New Roman"/>
          <w:bCs/>
          <w:color w:val="auto"/>
          <w:kern w:val="0"/>
          <w:sz w:val="32"/>
          <w:szCs w:val="20"/>
          <w:highlight w:val="none"/>
          <w:lang w:val="en-US" w:bidi="ar-SA"/>
        </w:rPr>
      </w:pPr>
    </w:p>
    <w:p>
      <w:pPr>
        <w:shd w:val="clear"/>
        <w:spacing w:line="480" w:lineRule="auto"/>
        <w:jc w:val="center"/>
        <w:outlineLvl w:val="9"/>
        <w:rPr>
          <w:rFonts w:hint="default" w:ascii="宋体" w:hAnsi="Times New Roman" w:eastAsia="宋体" w:cs="Times New Roman"/>
          <w:bCs/>
          <w:color w:val="auto"/>
          <w:kern w:val="0"/>
          <w:sz w:val="24"/>
          <w:szCs w:val="24"/>
          <w:highlight w:val="none"/>
          <w:lang w:val="en-US" w:bidi="ar-SA"/>
        </w:rPr>
      </w:pPr>
      <w:r>
        <w:rPr>
          <w:rFonts w:hint="eastAsia" w:ascii="宋体" w:hAnsi="宋体" w:eastAsia="宋体" w:cs="Times New Roman"/>
          <w:bCs/>
          <w:color w:val="auto"/>
          <w:kern w:val="0"/>
          <w:sz w:val="24"/>
          <w:szCs w:val="24"/>
          <w:highlight w:val="none"/>
          <w:lang w:val="en-US" w:bidi="ar-SA"/>
        </w:rPr>
        <w:t>采购项目编号：</w:t>
      </w:r>
    </w:p>
    <w:p>
      <w:pPr>
        <w:shd w:val="clear"/>
        <w:tabs>
          <w:tab w:val="left" w:pos="6300"/>
        </w:tabs>
        <w:spacing w:line="480" w:lineRule="auto"/>
        <w:jc w:val="center"/>
        <w:outlineLvl w:val="9"/>
        <w:rPr>
          <w:rFonts w:hint="default" w:ascii="宋体" w:hAnsi="Times New Roman" w:eastAsia="宋体" w:cs="Times New Roman"/>
          <w:bCs/>
          <w:color w:val="auto"/>
          <w:kern w:val="0"/>
          <w:sz w:val="24"/>
          <w:szCs w:val="24"/>
          <w:highlight w:val="none"/>
          <w:lang w:val="en-US" w:bidi="ar-SA"/>
        </w:rPr>
      </w:pPr>
      <w:r>
        <w:rPr>
          <w:rFonts w:hint="eastAsia" w:ascii="宋体" w:hAnsi="宋体" w:eastAsia="宋体" w:cs="Times New Roman"/>
          <w:bCs/>
          <w:color w:val="auto"/>
          <w:kern w:val="0"/>
          <w:sz w:val="24"/>
          <w:szCs w:val="24"/>
          <w:highlight w:val="none"/>
          <w:lang w:val="en-US" w:bidi="ar-SA"/>
        </w:rPr>
        <w:t>日期：</w:t>
      </w:r>
    </w:p>
    <w:p>
      <w:pPr>
        <w:shd w:val="clear"/>
        <w:spacing w:line="480" w:lineRule="auto"/>
        <w:outlineLvl w:val="9"/>
        <w:rPr>
          <w:rFonts w:hint="default" w:ascii="宋体" w:hAnsi="Times New Roman" w:eastAsia="宋体" w:cs="Times New Roman"/>
          <w:bCs/>
          <w:color w:val="auto"/>
          <w:kern w:val="0"/>
          <w:sz w:val="24"/>
          <w:szCs w:val="24"/>
          <w:highlight w:val="none"/>
          <w:lang w:val="en-US" w:bidi="ar-SA"/>
        </w:rPr>
      </w:pPr>
      <w:r>
        <w:rPr>
          <w:rFonts w:hint="eastAsia" w:ascii="宋体" w:hAnsi="宋体" w:eastAsia="宋体" w:cs="Times New Roman"/>
          <w:bCs/>
          <w:color w:val="auto"/>
          <w:kern w:val="0"/>
          <w:sz w:val="24"/>
          <w:szCs w:val="24"/>
          <w:highlight w:val="none"/>
          <w:lang w:val="en-US" w:eastAsia="zh-CN" w:bidi="ar-SA"/>
        </w:rPr>
        <w:t>无锡市滨湖区太湖街道办事处</w:t>
      </w:r>
      <w:r>
        <w:rPr>
          <w:rFonts w:hint="eastAsia" w:ascii="宋体" w:hAnsi="宋体" w:eastAsia="宋体" w:cs="Times New Roman"/>
          <w:bCs/>
          <w:color w:val="auto"/>
          <w:kern w:val="0"/>
          <w:sz w:val="24"/>
          <w:szCs w:val="24"/>
          <w:highlight w:val="none"/>
          <w:lang w:val="en-US" w:bidi="ar-SA"/>
        </w:rPr>
        <w:t>：</w:t>
      </w:r>
    </w:p>
    <w:p>
      <w:pPr>
        <w:shd w:val="clear"/>
        <w:spacing w:line="480" w:lineRule="auto"/>
        <w:outlineLvl w:val="9"/>
        <w:rPr>
          <w:rFonts w:hint="default" w:ascii="宋体" w:hAnsi="Times New Roman" w:eastAsia="宋体" w:cs="Times New Roman"/>
          <w:bCs/>
          <w:color w:val="auto"/>
          <w:kern w:val="0"/>
          <w:sz w:val="24"/>
          <w:szCs w:val="24"/>
          <w:highlight w:val="none"/>
          <w:lang w:val="en-US" w:bidi="ar-SA"/>
        </w:rPr>
      </w:pPr>
    </w:p>
    <w:p>
      <w:pPr>
        <w:shd w:val="clear"/>
        <w:spacing w:line="480" w:lineRule="auto"/>
        <w:ind w:firstLine="480"/>
        <w:outlineLvl w:val="9"/>
        <w:rPr>
          <w:rFonts w:hint="eastAsia" w:ascii="宋体" w:hAnsi="宋体" w:eastAsia="宋体" w:cs="Times New Roman"/>
          <w:bCs/>
          <w:color w:val="auto"/>
          <w:kern w:val="0"/>
          <w:sz w:val="24"/>
          <w:szCs w:val="24"/>
          <w:highlight w:val="none"/>
          <w:lang w:val="en-US" w:bidi="ar-SA"/>
        </w:rPr>
      </w:pPr>
      <w:r>
        <w:rPr>
          <w:rFonts w:hint="eastAsia" w:ascii="宋体" w:hAnsi="宋体" w:eastAsia="宋体" w:cs="Times New Roman"/>
          <w:bCs/>
          <w:color w:val="auto"/>
          <w:kern w:val="0"/>
          <w:sz w:val="24"/>
          <w:szCs w:val="24"/>
          <w:highlight w:val="none"/>
          <w:lang w:val="en-US" w:bidi="ar-SA"/>
        </w:rPr>
        <w:t>我公司（单位）参加本次项目（）政府采购活动前三年内，在经营活动中没有重大违法记录，我公司（单位）愿针对本次项目（）进行投标，投标文件中所有关于投标资格的文件、证明、陈述均是真实的、准确的。若有违背，我公司（单位）愿意承担由此而产生的一切后果。</w:t>
      </w:r>
    </w:p>
    <w:p>
      <w:pPr>
        <w:shd w:val="clear"/>
        <w:spacing w:line="480" w:lineRule="auto"/>
        <w:outlineLvl w:val="9"/>
        <w:rPr>
          <w:rFonts w:hint="default" w:ascii="宋体" w:hAnsi="Times New Roman" w:eastAsia="宋体" w:cs="Times New Roman"/>
          <w:bCs/>
          <w:color w:val="auto"/>
          <w:kern w:val="0"/>
          <w:sz w:val="24"/>
          <w:szCs w:val="24"/>
          <w:highlight w:val="none"/>
          <w:lang w:val="en-US" w:bidi="ar-SA"/>
        </w:rPr>
      </w:pPr>
    </w:p>
    <w:p>
      <w:pPr>
        <w:shd w:val="clear"/>
        <w:spacing w:line="480" w:lineRule="auto"/>
        <w:outlineLvl w:val="9"/>
        <w:rPr>
          <w:rFonts w:hint="default" w:ascii="宋体" w:hAnsi="Times New Roman" w:eastAsia="宋体" w:cs="Times New Roman"/>
          <w:bCs/>
          <w:color w:val="auto"/>
          <w:kern w:val="0"/>
          <w:sz w:val="24"/>
          <w:szCs w:val="24"/>
          <w:highlight w:val="none"/>
          <w:lang w:val="en-US" w:bidi="ar-SA"/>
        </w:rPr>
      </w:pPr>
      <w:r>
        <w:rPr>
          <w:rFonts w:hint="eastAsia" w:ascii="宋体" w:hAnsi="宋体" w:eastAsia="宋体" w:cs="Times New Roman"/>
          <w:bCs/>
          <w:color w:val="auto"/>
          <w:kern w:val="0"/>
          <w:sz w:val="24"/>
          <w:szCs w:val="24"/>
          <w:highlight w:val="none"/>
          <w:lang w:val="en-US" w:bidi="ar-SA"/>
        </w:rPr>
        <w:t>投标供应商（盖章）：</w:t>
      </w:r>
    </w:p>
    <w:p>
      <w:pPr>
        <w:shd w:val="clear"/>
        <w:spacing w:line="480" w:lineRule="auto"/>
        <w:outlineLvl w:val="9"/>
        <w:rPr>
          <w:rFonts w:hint="default" w:ascii="宋体" w:hAnsi="Times New Roman" w:eastAsia="宋体" w:cs="Times New Roman"/>
          <w:bCs/>
          <w:color w:val="auto"/>
          <w:kern w:val="0"/>
          <w:sz w:val="24"/>
          <w:szCs w:val="24"/>
          <w:highlight w:val="none"/>
          <w:lang w:val="en-US" w:bidi="ar-SA"/>
        </w:rPr>
      </w:pPr>
      <w:r>
        <w:rPr>
          <w:rFonts w:hint="eastAsia" w:ascii="宋体" w:hAnsi="宋体" w:eastAsia="宋体" w:cs="Times New Roman"/>
          <w:bCs/>
          <w:color w:val="auto"/>
          <w:kern w:val="0"/>
          <w:sz w:val="24"/>
          <w:szCs w:val="24"/>
          <w:highlight w:val="none"/>
          <w:lang w:val="en-US" w:bidi="ar-SA"/>
        </w:rPr>
        <w:t>法定代表人或法定代表人授权代表（签字或盖章）：</w:t>
      </w:r>
    </w:p>
    <w:p>
      <w:pPr>
        <w:shd w:val="clear"/>
        <w:spacing w:line="480" w:lineRule="auto"/>
        <w:outlineLvl w:val="9"/>
        <w:rPr>
          <w:rFonts w:hint="default" w:ascii="宋体" w:hAnsi="Times New Roman" w:eastAsia="宋体" w:cs="Times New Roman"/>
          <w:bCs/>
          <w:color w:val="auto"/>
          <w:kern w:val="0"/>
          <w:sz w:val="24"/>
          <w:szCs w:val="24"/>
          <w:highlight w:val="none"/>
          <w:lang w:val="en-US" w:bidi="ar-SA"/>
        </w:rPr>
      </w:pPr>
    </w:p>
    <w:p>
      <w:pPr>
        <w:shd w:val="clear"/>
        <w:ind w:firstLine="480"/>
        <w:outlineLvl w:val="9"/>
        <w:rPr>
          <w:rFonts w:hint="eastAsia" w:ascii="黑体" w:hAnsi="宋体" w:eastAsia="黑体" w:cs="Times New Roman"/>
          <w:bCs/>
          <w:color w:val="auto"/>
          <w:kern w:val="0"/>
          <w:sz w:val="24"/>
          <w:szCs w:val="24"/>
          <w:highlight w:val="none"/>
          <w:lang w:val="en-US" w:bidi="ar-SA"/>
        </w:rPr>
      </w:pPr>
    </w:p>
    <w:p>
      <w:pPr>
        <w:shd w:val="clear"/>
        <w:ind w:firstLine="480"/>
        <w:outlineLvl w:val="9"/>
        <w:rPr>
          <w:rFonts w:hint="eastAsia" w:ascii="黑体" w:hAnsi="宋体" w:eastAsia="黑体" w:cs="Times New Roman"/>
          <w:bCs/>
          <w:color w:val="auto"/>
          <w:kern w:val="0"/>
          <w:sz w:val="24"/>
          <w:szCs w:val="24"/>
          <w:highlight w:val="none"/>
          <w:lang w:val="en-US" w:bidi="ar-SA"/>
        </w:rPr>
      </w:pPr>
    </w:p>
    <w:p>
      <w:pPr>
        <w:shd w:val="clear"/>
        <w:ind w:firstLine="480"/>
        <w:outlineLvl w:val="9"/>
        <w:rPr>
          <w:rFonts w:hint="eastAsia" w:ascii="黑体" w:hAnsi="宋体" w:eastAsia="黑体" w:cs="Times New Roman"/>
          <w:bCs/>
          <w:color w:val="auto"/>
          <w:kern w:val="0"/>
          <w:sz w:val="24"/>
          <w:szCs w:val="24"/>
          <w:highlight w:val="none"/>
          <w:lang w:val="en-US" w:bidi="ar-SA"/>
        </w:rPr>
      </w:pPr>
    </w:p>
    <w:p>
      <w:pPr>
        <w:shd w:val="clear"/>
        <w:ind w:firstLine="480"/>
        <w:outlineLvl w:val="9"/>
        <w:rPr>
          <w:rFonts w:hint="eastAsia" w:ascii="黑体" w:hAnsi="宋体" w:eastAsia="黑体" w:cs="Times New Roman"/>
          <w:bCs/>
          <w:color w:val="auto"/>
          <w:kern w:val="0"/>
          <w:sz w:val="24"/>
          <w:szCs w:val="24"/>
          <w:highlight w:val="none"/>
          <w:lang w:val="en-US" w:bidi="ar-SA"/>
        </w:rPr>
      </w:pPr>
    </w:p>
    <w:p>
      <w:pPr>
        <w:shd w:val="clear"/>
        <w:ind w:firstLine="480"/>
        <w:outlineLvl w:val="9"/>
        <w:rPr>
          <w:rFonts w:hint="eastAsia" w:ascii="黑体" w:hAnsi="宋体" w:eastAsia="黑体" w:cs="Times New Roman"/>
          <w:bCs/>
          <w:color w:val="auto"/>
          <w:kern w:val="0"/>
          <w:sz w:val="24"/>
          <w:szCs w:val="24"/>
          <w:highlight w:val="none"/>
          <w:lang w:val="en-US" w:bidi="ar-SA"/>
        </w:rPr>
      </w:pPr>
    </w:p>
    <w:p>
      <w:pPr>
        <w:shd w:val="clear"/>
        <w:ind w:firstLine="480"/>
        <w:outlineLvl w:val="9"/>
        <w:rPr>
          <w:rFonts w:hint="eastAsia" w:ascii="黑体" w:hAnsi="宋体" w:eastAsia="黑体" w:cs="Times New Roman"/>
          <w:bCs/>
          <w:color w:val="auto"/>
          <w:kern w:val="0"/>
          <w:sz w:val="24"/>
          <w:szCs w:val="24"/>
          <w:highlight w:val="none"/>
          <w:lang w:val="en-US" w:bidi="ar-SA"/>
        </w:rPr>
      </w:pPr>
    </w:p>
    <w:p>
      <w:pPr>
        <w:shd w:val="clear"/>
        <w:ind w:firstLine="480"/>
        <w:outlineLvl w:val="9"/>
        <w:rPr>
          <w:rFonts w:hint="eastAsia" w:ascii="黑体" w:hAnsi="宋体" w:eastAsia="黑体" w:cs="Times New Roman"/>
          <w:bCs/>
          <w:color w:val="auto"/>
          <w:kern w:val="0"/>
          <w:sz w:val="24"/>
          <w:szCs w:val="24"/>
          <w:highlight w:val="none"/>
          <w:lang w:val="en-US" w:bidi="ar-SA"/>
        </w:rPr>
      </w:pPr>
    </w:p>
    <w:p>
      <w:pPr>
        <w:shd w:val="clear"/>
        <w:ind w:firstLine="420"/>
        <w:outlineLvl w:val="9"/>
        <w:rPr>
          <w:rFonts w:hint="eastAsia" w:ascii="黑体" w:hAnsi="宋体" w:eastAsia="黑体" w:cs="Times New Roman"/>
          <w:bCs/>
          <w:color w:val="auto"/>
          <w:kern w:val="0"/>
          <w:sz w:val="24"/>
          <w:szCs w:val="24"/>
          <w:highlight w:val="none"/>
          <w:lang w:val="en-US" w:bidi="ar-SA"/>
        </w:rPr>
      </w:pPr>
      <w:r>
        <w:rPr>
          <w:rFonts w:hint="eastAsia" w:ascii="Times New Roman" w:hAnsi="Times New Roman" w:eastAsia="宋体" w:cs="Times New Roman"/>
          <w:color w:val="auto"/>
          <w:kern w:val="0"/>
          <w:szCs w:val="20"/>
          <w:highlight w:val="none"/>
          <w:lang w:val="en-US" w:bidi="ar-SA"/>
        </w:rPr>
        <w:t>备注：上述所称“重大违法记录”，是指供应商因违法经营受到刑事处罚或者责令停产停业、吊销许可证或者执照、较大数额罚款等行政处罚。</w:t>
      </w:r>
    </w:p>
    <w:p>
      <w:pPr>
        <w:shd w:val="clear"/>
        <w:ind w:firstLine="480"/>
        <w:outlineLvl w:val="9"/>
        <w:rPr>
          <w:rFonts w:hint="eastAsia" w:ascii="黑体" w:hAnsi="宋体" w:eastAsia="黑体" w:cs="Times New Roman"/>
          <w:bCs/>
          <w:color w:val="auto"/>
          <w:kern w:val="0"/>
          <w:sz w:val="24"/>
          <w:szCs w:val="24"/>
          <w:highlight w:val="none"/>
          <w:lang w:val="en-US" w:bidi="ar-SA"/>
        </w:rPr>
      </w:pPr>
    </w:p>
    <w:p>
      <w:pPr>
        <w:pStyle w:val="5"/>
        <w:shd w:val="clear"/>
        <w:bidi w:val="0"/>
        <w:rPr>
          <w:rFonts w:hint="default" w:ascii="黑体" w:hAnsi="Times New Roman" w:eastAsia="黑体" w:cs="Times New Roman"/>
          <w:bCs/>
          <w:color w:val="auto"/>
          <w:kern w:val="0"/>
          <w:sz w:val="28"/>
          <w:szCs w:val="28"/>
          <w:highlight w:val="none"/>
          <w:lang w:val="en-US" w:bidi="ar-SA"/>
        </w:rPr>
      </w:pPr>
      <w:r>
        <w:rPr>
          <w:rFonts w:hint="eastAsia" w:ascii="黑体" w:hAnsi="宋体" w:eastAsia="黑体" w:cs="Times New Roman"/>
          <w:bCs/>
          <w:color w:val="auto"/>
          <w:kern w:val="0"/>
          <w:sz w:val="24"/>
          <w:szCs w:val="24"/>
          <w:highlight w:val="none"/>
          <w:lang w:val="en-US" w:bidi="ar-SA"/>
        </w:rPr>
        <w:br w:type="page" w:clear="all"/>
      </w:r>
      <w:r>
        <w:rPr>
          <w:rStyle w:val="521"/>
          <w:rFonts w:hint="eastAsia"/>
          <w:b/>
          <w:bCs/>
          <w:color w:val="auto"/>
          <w:highlight w:val="none"/>
          <w:lang w:val="en-US"/>
        </w:rPr>
        <w:t>（投标供应商）法定代表人授权委托书（格式）：</w:t>
      </w:r>
    </w:p>
    <w:p>
      <w:pPr>
        <w:shd w:val="clear"/>
        <w:outlineLvl w:val="9"/>
        <w:rPr>
          <w:rFonts w:hint="default" w:ascii="黑体" w:hAnsi="Times New Roman" w:eastAsia="黑体" w:cs="Times New Roman"/>
          <w:bCs/>
          <w:color w:val="auto"/>
          <w:kern w:val="0"/>
          <w:sz w:val="28"/>
          <w:szCs w:val="28"/>
          <w:highlight w:val="none"/>
          <w:lang w:val="en-US" w:bidi="ar-SA"/>
        </w:rPr>
      </w:pPr>
    </w:p>
    <w:p>
      <w:pPr>
        <w:shd w:val="clear"/>
        <w:jc w:val="center"/>
        <w:outlineLvl w:val="9"/>
        <w:rPr>
          <w:rFonts w:hint="default" w:ascii="黑体" w:hAnsi="Times New Roman" w:eastAsia="黑体" w:cs="Times New Roman"/>
          <w:bCs/>
          <w:color w:val="auto"/>
          <w:kern w:val="0"/>
          <w:sz w:val="28"/>
          <w:szCs w:val="28"/>
          <w:highlight w:val="none"/>
          <w:lang w:val="en-US" w:bidi="ar-SA"/>
        </w:rPr>
      </w:pPr>
      <w:r>
        <w:rPr>
          <w:rFonts w:hint="eastAsia" w:ascii="黑体" w:hAnsi="Times New Roman" w:eastAsia="黑体" w:cs="Times New Roman"/>
          <w:bCs/>
          <w:color w:val="auto"/>
          <w:kern w:val="0"/>
          <w:sz w:val="28"/>
          <w:szCs w:val="28"/>
          <w:highlight w:val="none"/>
          <w:lang w:val="en-US" w:bidi="ar-SA"/>
        </w:rPr>
        <w:t>法定代表人授权委托书</w:t>
      </w:r>
    </w:p>
    <w:p>
      <w:pPr>
        <w:shd w:val="clear"/>
        <w:spacing w:line="360" w:lineRule="auto"/>
        <w:jc w:val="center"/>
        <w:outlineLvl w:val="9"/>
        <w:rPr>
          <w:rFonts w:hint="default" w:ascii="楷体_GB2312" w:hAnsi="Times New Roman" w:eastAsia="楷体_GB2312" w:cs="Times New Roman"/>
          <w:bCs/>
          <w:color w:val="auto"/>
          <w:kern w:val="0"/>
          <w:sz w:val="36"/>
          <w:szCs w:val="20"/>
          <w:highlight w:val="none"/>
          <w:lang w:val="en-US" w:bidi="ar-SA"/>
        </w:rPr>
      </w:pPr>
    </w:p>
    <w:p>
      <w:pPr>
        <w:shd w:val="clear"/>
        <w:spacing w:line="480" w:lineRule="auto"/>
        <w:outlineLvl w:val="9"/>
        <w:rPr>
          <w:rFonts w:hint="default" w:ascii="宋体" w:hAnsi="Times New Roman" w:eastAsia="宋体" w:cs="Times New Roman"/>
          <w:bCs/>
          <w:color w:val="auto"/>
          <w:kern w:val="0"/>
          <w:sz w:val="24"/>
          <w:szCs w:val="24"/>
          <w:highlight w:val="none"/>
          <w:lang w:val="en-US" w:bidi="ar-SA"/>
        </w:rPr>
      </w:pPr>
      <w:r>
        <w:rPr>
          <w:rFonts w:hint="eastAsia" w:ascii="宋体" w:hAnsi="宋体" w:eastAsia="宋体" w:cs="Times New Roman"/>
          <w:bCs/>
          <w:color w:val="auto"/>
          <w:kern w:val="0"/>
          <w:sz w:val="24"/>
          <w:szCs w:val="24"/>
          <w:highlight w:val="none"/>
          <w:lang w:val="en-US" w:bidi="ar-SA"/>
        </w:rPr>
        <w:t>采购项目编号：</w:t>
      </w:r>
    </w:p>
    <w:p>
      <w:pPr>
        <w:shd w:val="clear"/>
        <w:spacing w:line="480" w:lineRule="auto"/>
        <w:outlineLvl w:val="9"/>
        <w:rPr>
          <w:rFonts w:hint="default" w:ascii="宋体" w:hAnsi="Times New Roman" w:eastAsia="宋体" w:cs="Times New Roman"/>
          <w:bCs/>
          <w:color w:val="auto"/>
          <w:kern w:val="0"/>
          <w:sz w:val="24"/>
          <w:szCs w:val="24"/>
          <w:highlight w:val="none"/>
          <w:lang w:val="en-US" w:bidi="ar-SA"/>
        </w:rPr>
      </w:pPr>
      <w:r>
        <w:rPr>
          <w:rFonts w:hint="eastAsia" w:ascii="宋体" w:hAnsi="宋体" w:eastAsia="宋体" w:cs="Times New Roman"/>
          <w:bCs/>
          <w:color w:val="auto"/>
          <w:kern w:val="0"/>
          <w:sz w:val="24"/>
          <w:szCs w:val="24"/>
          <w:highlight w:val="none"/>
          <w:lang w:val="en-US" w:bidi="ar-SA"/>
        </w:rPr>
        <w:t>日期：</w:t>
      </w:r>
    </w:p>
    <w:p>
      <w:pPr>
        <w:shd w:val="clear"/>
        <w:spacing w:line="600" w:lineRule="exact"/>
        <w:outlineLvl w:val="9"/>
        <w:rPr>
          <w:rFonts w:hint="default" w:ascii="宋体" w:hAnsi="Times New Roman" w:eastAsia="宋体" w:cs="Times New Roman"/>
          <w:bCs/>
          <w:color w:val="auto"/>
          <w:kern w:val="0"/>
          <w:sz w:val="24"/>
          <w:szCs w:val="24"/>
          <w:highlight w:val="none"/>
          <w:lang w:val="en-US" w:bidi="ar-SA"/>
        </w:rPr>
      </w:pPr>
      <w:r>
        <w:rPr>
          <w:rFonts w:hint="eastAsia" w:ascii="宋体" w:hAnsi="宋体" w:eastAsia="宋体" w:cs="Times New Roman"/>
          <w:bCs/>
          <w:color w:val="auto"/>
          <w:kern w:val="0"/>
          <w:sz w:val="24"/>
          <w:szCs w:val="24"/>
          <w:highlight w:val="none"/>
          <w:lang w:val="en-US" w:eastAsia="zh-CN" w:bidi="ar-SA"/>
        </w:rPr>
        <w:t>无锡市滨湖区太湖街道办事处</w:t>
      </w:r>
      <w:r>
        <w:rPr>
          <w:rFonts w:hint="eastAsia" w:ascii="宋体" w:hAnsi="宋体" w:eastAsia="宋体" w:cs="Times New Roman"/>
          <w:bCs/>
          <w:color w:val="auto"/>
          <w:kern w:val="0"/>
          <w:sz w:val="24"/>
          <w:szCs w:val="24"/>
          <w:highlight w:val="none"/>
          <w:lang w:val="en-US" w:bidi="ar-SA"/>
        </w:rPr>
        <w:t>：</w:t>
      </w:r>
    </w:p>
    <w:p>
      <w:pPr>
        <w:shd w:val="clear"/>
        <w:spacing w:line="600" w:lineRule="exact"/>
        <w:ind w:firstLine="480"/>
        <w:outlineLvl w:val="9"/>
        <w:rPr>
          <w:rFonts w:hint="eastAsia" w:ascii="宋体" w:hAnsi="宋体" w:eastAsia="宋体" w:cs="Times New Roman"/>
          <w:bCs/>
          <w:color w:val="auto"/>
          <w:kern w:val="0"/>
          <w:sz w:val="24"/>
          <w:szCs w:val="24"/>
          <w:highlight w:val="none"/>
          <w:lang w:val="en-US" w:bidi="ar-SA"/>
        </w:rPr>
      </w:pPr>
      <w:r>
        <w:rPr>
          <w:rFonts w:hint="eastAsia" w:ascii="宋体" w:hAnsi="宋体" w:eastAsia="宋体" w:cs="Times New Roman"/>
          <w:bCs/>
          <w:color w:val="auto"/>
          <w:kern w:val="0"/>
          <w:sz w:val="24"/>
          <w:szCs w:val="24"/>
          <w:highlight w:val="none"/>
          <w:u w:val="single"/>
          <w:lang w:val="en-US" w:bidi="ar-SA"/>
        </w:rPr>
        <w:t xml:space="preserve">                        </w:t>
      </w:r>
      <w:r>
        <w:rPr>
          <w:rFonts w:hint="eastAsia" w:ascii="宋体" w:hAnsi="宋体" w:eastAsia="宋体" w:cs="Times New Roman"/>
          <w:bCs/>
          <w:color w:val="auto"/>
          <w:kern w:val="0"/>
          <w:sz w:val="24"/>
          <w:szCs w:val="24"/>
          <w:highlight w:val="none"/>
          <w:lang w:val="en-US" w:bidi="ar-SA"/>
        </w:rPr>
        <w:t>系中华人民共和国合法公司（单位），特授权</w:t>
      </w:r>
      <w:r>
        <w:rPr>
          <w:rFonts w:hint="eastAsia" w:ascii="宋体" w:hAnsi="宋体" w:eastAsia="宋体" w:cs="Times New Roman"/>
          <w:bCs/>
          <w:color w:val="auto"/>
          <w:kern w:val="0"/>
          <w:sz w:val="24"/>
          <w:szCs w:val="24"/>
          <w:highlight w:val="none"/>
          <w:u w:val="single"/>
          <w:lang w:val="en-US" w:bidi="ar-SA"/>
        </w:rPr>
        <w:t xml:space="preserve">        </w:t>
      </w:r>
      <w:r>
        <w:rPr>
          <w:rFonts w:hint="eastAsia" w:ascii="宋体" w:hAnsi="宋体" w:eastAsia="宋体" w:cs="Times New Roman"/>
          <w:bCs/>
          <w:color w:val="auto"/>
          <w:kern w:val="0"/>
          <w:sz w:val="24"/>
          <w:szCs w:val="24"/>
          <w:highlight w:val="none"/>
          <w:lang w:val="en-US" w:bidi="ar-SA"/>
        </w:rPr>
        <w:t>代表我公司（单位）全权办理针对本项目（）的投标、参与开标、评标、签约等具体工作，并签署全部有关的文件、协议及合同。</w:t>
      </w:r>
    </w:p>
    <w:p>
      <w:pPr>
        <w:shd w:val="clear"/>
        <w:spacing w:line="580" w:lineRule="exact"/>
        <w:ind w:firstLine="480"/>
        <w:outlineLvl w:val="9"/>
        <w:rPr>
          <w:rFonts w:hint="default" w:ascii="宋体" w:hAnsi="Times New Roman" w:eastAsia="宋体" w:cs="Times New Roman"/>
          <w:bCs/>
          <w:color w:val="auto"/>
          <w:kern w:val="0"/>
          <w:sz w:val="24"/>
          <w:szCs w:val="24"/>
          <w:highlight w:val="none"/>
          <w:lang w:val="en-US" w:bidi="ar-SA"/>
        </w:rPr>
      </w:pPr>
      <w:r>
        <w:rPr>
          <w:rFonts w:hint="eastAsia" w:ascii="宋体" w:hAnsi="宋体" w:eastAsia="宋体" w:cs="Times New Roman"/>
          <w:bCs/>
          <w:color w:val="auto"/>
          <w:kern w:val="0"/>
          <w:sz w:val="24"/>
          <w:szCs w:val="24"/>
          <w:highlight w:val="none"/>
          <w:lang w:val="en-US" w:bidi="ar-SA"/>
        </w:rPr>
        <w:t>我公司（单位）对被授权代表的签名负全部责任。</w:t>
      </w:r>
    </w:p>
    <w:p>
      <w:pPr>
        <w:shd w:val="clear"/>
        <w:spacing w:line="580" w:lineRule="exact"/>
        <w:ind w:firstLine="480"/>
        <w:outlineLvl w:val="9"/>
        <w:rPr>
          <w:rFonts w:hint="default" w:ascii="宋体" w:hAnsi="Times New Roman" w:eastAsia="宋体" w:cs="Times New Roman"/>
          <w:bCs/>
          <w:color w:val="auto"/>
          <w:kern w:val="0"/>
          <w:sz w:val="24"/>
          <w:szCs w:val="24"/>
          <w:highlight w:val="none"/>
          <w:lang w:val="en-US" w:bidi="ar-SA"/>
        </w:rPr>
      </w:pPr>
      <w:r>
        <w:rPr>
          <w:rFonts w:hint="eastAsia" w:ascii="宋体" w:hAnsi="宋体" w:eastAsia="宋体" w:cs="Times New Roman"/>
          <w:bCs/>
          <w:color w:val="auto"/>
          <w:kern w:val="0"/>
          <w:sz w:val="24"/>
          <w:szCs w:val="24"/>
          <w:highlight w:val="none"/>
          <w:lang w:val="en-US" w:bidi="ar-SA"/>
        </w:rPr>
        <w:t>在撤销授权的书面通知送达你处以前，本授权书一直有效，被授权代表签署的所有文件（在授权书有效期内签署的）不因授权的撤销而失效。</w:t>
      </w:r>
    </w:p>
    <w:p>
      <w:pPr>
        <w:shd w:val="clear"/>
        <w:spacing w:line="580" w:lineRule="exact"/>
        <w:ind w:firstLine="480"/>
        <w:outlineLvl w:val="9"/>
        <w:rPr>
          <w:rFonts w:hint="default" w:ascii="宋体" w:hAnsi="Times New Roman" w:eastAsia="宋体" w:cs="Times New Roman"/>
          <w:bCs/>
          <w:color w:val="auto"/>
          <w:kern w:val="0"/>
          <w:sz w:val="24"/>
          <w:szCs w:val="24"/>
          <w:highlight w:val="none"/>
          <w:lang w:val="en-US" w:bidi="ar-SA"/>
        </w:rPr>
      </w:pPr>
      <w:r>
        <w:rPr>
          <w:rFonts w:hint="eastAsia" w:ascii="宋体" w:hAnsi="宋体" w:eastAsia="宋体" w:cs="Times New Roman"/>
          <w:bCs/>
          <w:color w:val="auto"/>
          <w:kern w:val="0"/>
          <w:sz w:val="24"/>
          <w:szCs w:val="24"/>
          <w:highlight w:val="none"/>
          <w:lang w:val="en-US" w:bidi="ar-SA"/>
        </w:rPr>
        <w:t>被授权代表情况：</w:t>
      </w:r>
    </w:p>
    <w:p>
      <w:pPr>
        <w:shd w:val="clear"/>
        <w:spacing w:line="580" w:lineRule="exact"/>
        <w:ind w:firstLine="525"/>
        <w:outlineLvl w:val="9"/>
        <w:rPr>
          <w:rFonts w:hint="default" w:ascii="宋体" w:hAnsi="Times New Roman" w:eastAsia="宋体" w:cs="Times New Roman"/>
          <w:bCs/>
          <w:color w:val="auto"/>
          <w:kern w:val="0"/>
          <w:sz w:val="24"/>
          <w:szCs w:val="24"/>
          <w:highlight w:val="none"/>
          <w:lang w:val="en-US" w:bidi="ar-SA"/>
        </w:rPr>
      </w:pPr>
      <w:r>
        <w:rPr>
          <w:rFonts w:hint="eastAsia" w:ascii="宋体" w:hAnsi="宋体" w:eastAsia="宋体" w:cs="Times New Roman"/>
          <w:bCs/>
          <w:color w:val="auto"/>
          <w:kern w:val="0"/>
          <w:sz w:val="24"/>
          <w:szCs w:val="24"/>
          <w:highlight w:val="none"/>
          <w:lang w:val="en-US" w:bidi="ar-SA"/>
        </w:rPr>
        <w:t>姓名：          性别：          电话：</w:t>
      </w:r>
    </w:p>
    <w:p>
      <w:pPr>
        <w:shd w:val="clear"/>
        <w:spacing w:line="580" w:lineRule="exact"/>
        <w:ind w:firstLine="3240"/>
        <w:outlineLvl w:val="9"/>
        <w:rPr>
          <w:rFonts w:hint="default" w:ascii="宋体" w:hAnsi="Times New Roman" w:eastAsia="宋体" w:cs="Times New Roman"/>
          <w:bCs/>
          <w:color w:val="auto"/>
          <w:kern w:val="0"/>
          <w:sz w:val="24"/>
          <w:szCs w:val="24"/>
          <w:highlight w:val="none"/>
          <w:lang w:val="en-US" w:bidi="ar-SA"/>
        </w:rPr>
      </w:pPr>
    </w:p>
    <w:p>
      <w:pPr>
        <w:shd w:val="clear"/>
        <w:spacing w:line="580" w:lineRule="exact"/>
        <w:ind w:firstLine="3240"/>
        <w:outlineLvl w:val="9"/>
        <w:rPr>
          <w:rFonts w:hint="default" w:ascii="宋体" w:hAnsi="Times New Roman" w:eastAsia="宋体" w:cs="Times New Roman"/>
          <w:bCs/>
          <w:color w:val="auto"/>
          <w:kern w:val="0"/>
          <w:sz w:val="24"/>
          <w:szCs w:val="24"/>
          <w:highlight w:val="none"/>
          <w:lang w:val="en-US" w:bidi="ar-SA"/>
        </w:rPr>
      </w:pPr>
    </w:p>
    <w:p>
      <w:pPr>
        <w:shd w:val="clear"/>
        <w:spacing w:line="580" w:lineRule="exact"/>
        <w:ind w:firstLine="3240"/>
        <w:outlineLvl w:val="9"/>
        <w:rPr>
          <w:rFonts w:hint="default" w:ascii="宋体" w:hAnsi="Times New Roman" w:eastAsia="宋体" w:cs="Times New Roman"/>
          <w:bCs/>
          <w:color w:val="auto"/>
          <w:kern w:val="0"/>
          <w:sz w:val="24"/>
          <w:szCs w:val="24"/>
          <w:highlight w:val="none"/>
          <w:lang w:val="en-US" w:bidi="ar-SA"/>
        </w:rPr>
      </w:pPr>
      <w:r>
        <w:rPr>
          <w:rFonts w:hint="eastAsia" w:ascii="宋体" w:hAnsi="宋体" w:eastAsia="宋体" w:cs="Times New Roman"/>
          <w:bCs/>
          <w:color w:val="auto"/>
          <w:kern w:val="0"/>
          <w:sz w:val="24"/>
          <w:szCs w:val="24"/>
          <w:highlight w:val="none"/>
          <w:lang w:val="en-US" w:bidi="ar-SA"/>
        </w:rPr>
        <w:t>单位名称（盖章）：</w:t>
      </w:r>
    </w:p>
    <w:p>
      <w:pPr>
        <w:shd w:val="clear"/>
        <w:spacing w:line="580" w:lineRule="exact"/>
        <w:ind w:firstLine="4080"/>
        <w:outlineLvl w:val="9"/>
        <w:rPr>
          <w:rFonts w:hint="default" w:ascii="宋体" w:hAnsi="Times New Roman" w:eastAsia="宋体" w:cs="Times New Roman"/>
          <w:bCs/>
          <w:color w:val="auto"/>
          <w:kern w:val="0"/>
          <w:sz w:val="24"/>
          <w:szCs w:val="24"/>
          <w:highlight w:val="none"/>
          <w:lang w:val="en-US" w:bidi="ar-SA"/>
        </w:rPr>
      </w:pPr>
      <w:r>
        <w:rPr>
          <w:rFonts w:hint="eastAsia" w:ascii="宋体" w:hAnsi="宋体" w:eastAsia="宋体" w:cs="Times New Roman"/>
          <w:bCs/>
          <w:color w:val="auto"/>
          <w:kern w:val="0"/>
          <w:sz w:val="24"/>
          <w:szCs w:val="24"/>
          <w:highlight w:val="none"/>
          <w:lang w:val="en-US" w:bidi="ar-SA"/>
        </w:rPr>
        <w:t>法定代表人（签字或盖章）：</w:t>
      </w:r>
    </w:p>
    <w:p>
      <w:pPr>
        <w:shd w:val="clear"/>
        <w:spacing w:line="580" w:lineRule="exact"/>
        <w:ind w:firstLine="420"/>
        <w:outlineLvl w:val="9"/>
        <w:rPr>
          <w:rFonts w:hint="default" w:ascii="宋体" w:hAnsi="Times New Roman" w:eastAsia="宋体" w:cs="Times New Roman"/>
          <w:bCs/>
          <w:color w:val="auto"/>
          <w:kern w:val="0"/>
          <w:sz w:val="24"/>
          <w:szCs w:val="24"/>
          <w:highlight w:val="none"/>
          <w:lang w:val="en-US" w:bidi="ar-SA"/>
        </w:rPr>
      </w:pPr>
    </w:p>
    <w:p>
      <w:pPr>
        <w:shd w:val="clear"/>
        <w:spacing w:line="480" w:lineRule="auto"/>
        <w:outlineLvl w:val="9"/>
        <w:rPr>
          <w:rFonts w:hint="default" w:ascii="宋体" w:hAnsi="Times New Roman" w:eastAsia="宋体" w:cs="Times New Roman"/>
          <w:bCs/>
          <w:color w:val="auto"/>
          <w:kern w:val="0"/>
          <w:sz w:val="24"/>
          <w:szCs w:val="24"/>
          <w:highlight w:val="none"/>
          <w:lang w:val="en-US" w:bidi="ar-SA"/>
        </w:rPr>
      </w:pPr>
    </w:p>
    <w:p>
      <w:pPr>
        <w:shd w:val="clear"/>
        <w:ind w:firstLine="480"/>
        <w:outlineLvl w:val="9"/>
        <w:rPr>
          <w:rFonts w:hint="eastAsia" w:ascii="黑体" w:hAnsi="宋体" w:eastAsia="黑体" w:cs="Times New Roman"/>
          <w:bCs/>
          <w:color w:val="auto"/>
          <w:kern w:val="0"/>
          <w:sz w:val="24"/>
          <w:szCs w:val="24"/>
          <w:highlight w:val="none"/>
          <w:lang w:val="en-US" w:bidi="ar-SA"/>
        </w:rPr>
      </w:pPr>
    </w:p>
    <w:p>
      <w:pPr>
        <w:pStyle w:val="5"/>
        <w:shd w:val="clear"/>
        <w:bidi w:val="0"/>
        <w:rPr>
          <w:rFonts w:hint="default" w:ascii="黑体" w:hAnsi="Times New Roman" w:eastAsia="黑体" w:cs="Times New Roman"/>
          <w:bCs/>
          <w:color w:val="auto"/>
          <w:kern w:val="0"/>
          <w:sz w:val="28"/>
          <w:szCs w:val="28"/>
          <w:highlight w:val="none"/>
          <w:lang w:val="en-US" w:bidi="ar-SA"/>
        </w:rPr>
      </w:pPr>
      <w:r>
        <w:rPr>
          <w:rFonts w:hint="eastAsia" w:ascii="黑体" w:hAnsi="宋体" w:eastAsia="黑体" w:cs="Times New Roman"/>
          <w:bCs/>
          <w:color w:val="auto"/>
          <w:kern w:val="0"/>
          <w:sz w:val="24"/>
          <w:szCs w:val="24"/>
          <w:highlight w:val="none"/>
          <w:lang w:val="en-US" w:bidi="ar-SA"/>
        </w:rPr>
        <w:br w:type="page" w:clear="all"/>
      </w:r>
      <w:r>
        <w:rPr>
          <w:rStyle w:val="521"/>
          <w:rFonts w:hint="eastAsia"/>
          <w:b/>
          <w:bCs/>
          <w:color w:val="auto"/>
          <w:highlight w:val="none"/>
          <w:lang w:val="en-US"/>
        </w:rPr>
        <w:t>开标一览表（格式）：</w:t>
      </w:r>
    </w:p>
    <w:p>
      <w:pPr>
        <w:shd w:val="clear"/>
        <w:jc w:val="center"/>
        <w:outlineLvl w:val="9"/>
        <w:rPr>
          <w:rFonts w:hint="default" w:ascii="黑体" w:hAnsi="Times New Roman" w:eastAsia="黑体" w:cs="Times New Roman"/>
          <w:bCs/>
          <w:color w:val="auto"/>
          <w:kern w:val="0"/>
          <w:sz w:val="28"/>
          <w:szCs w:val="28"/>
          <w:highlight w:val="none"/>
          <w:lang w:val="en-US" w:bidi="ar-SA"/>
        </w:rPr>
      </w:pPr>
      <w:r>
        <w:rPr>
          <w:rFonts w:hint="eastAsia" w:ascii="黑体" w:hAnsi="Times New Roman" w:eastAsia="黑体" w:cs="Times New Roman"/>
          <w:bCs/>
          <w:color w:val="auto"/>
          <w:kern w:val="0"/>
          <w:sz w:val="28"/>
          <w:szCs w:val="28"/>
          <w:highlight w:val="none"/>
          <w:lang w:val="en-US" w:bidi="ar-SA"/>
        </w:rPr>
        <w:t>开标一览表</w:t>
      </w:r>
    </w:p>
    <w:p>
      <w:pPr>
        <w:shd w:val="clear"/>
        <w:spacing w:line="300" w:lineRule="auto"/>
        <w:outlineLvl w:val="9"/>
        <w:rPr>
          <w:rFonts w:hint="eastAsia" w:ascii="宋体" w:hAnsi="宋体" w:eastAsia="宋体" w:cs="宋体"/>
          <w:color w:val="auto"/>
          <w:kern w:val="0"/>
          <w:szCs w:val="20"/>
          <w:highlight w:val="none"/>
          <w:lang w:val="en-US" w:bidi="ar-SA"/>
        </w:rPr>
      </w:pPr>
    </w:p>
    <w:p>
      <w:pPr>
        <w:shd w:val="clear"/>
        <w:spacing w:line="360" w:lineRule="auto"/>
        <w:ind w:left="855"/>
        <w:outlineLvl w:val="9"/>
        <w:rPr>
          <w:rFonts w:hint="eastAsia" w:ascii="宋体" w:hAnsi="宋体" w:eastAsia="宋体" w:cs="Times New Roman"/>
          <w:bCs/>
          <w:color w:val="auto"/>
          <w:kern w:val="0"/>
          <w:sz w:val="24"/>
          <w:szCs w:val="24"/>
          <w:highlight w:val="none"/>
          <w:lang w:val="en-US" w:bidi="ar-SA"/>
        </w:rPr>
      </w:pPr>
      <w:r>
        <w:rPr>
          <w:rFonts w:hint="eastAsia" w:ascii="宋体" w:hAnsi="宋体" w:eastAsia="宋体" w:cs="Times New Roman"/>
          <w:bCs/>
          <w:color w:val="auto"/>
          <w:kern w:val="0"/>
          <w:sz w:val="24"/>
          <w:szCs w:val="24"/>
          <w:highlight w:val="none"/>
          <w:lang w:val="en-US" w:bidi="ar-SA"/>
        </w:rPr>
        <w:t>供应商名称（盖章）                              采购项目编号：</w:t>
      </w:r>
      <w:r>
        <w:rPr>
          <w:rFonts w:hint="default" w:ascii="宋体" w:hAnsi="宋体" w:eastAsia="宋体" w:cs="Times New Roman"/>
          <w:bCs/>
          <w:color w:val="auto"/>
          <w:kern w:val="0"/>
          <w:sz w:val="24"/>
          <w:szCs w:val="24"/>
          <w:highlight w:val="none"/>
          <w:lang w:val="en-US" w:bidi="ar-SA"/>
        </w:rPr>
        <w:t xml:space="preserve"> </w:t>
      </w:r>
    </w:p>
    <w:tbl>
      <w:tblPr>
        <w:tblStyle w:val="8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01"/>
        <w:gridCol w:w="70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80" w:hRule="atLeast"/>
          <w:jc w:val="center"/>
        </w:trPr>
        <w:tc>
          <w:tcPr>
            <w:tcW w:w="2501" w:type="dxa"/>
            <w:noWrap w:val="0"/>
            <w:vAlign w:val="center"/>
          </w:tcPr>
          <w:p>
            <w:pPr>
              <w:widowControl w:val="0"/>
              <w:shd w:val="clear"/>
              <w:spacing w:line="300" w:lineRule="auto"/>
              <w:jc w:val="center"/>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项目总报价</w:t>
            </w:r>
          </w:p>
        </w:tc>
        <w:tc>
          <w:tcPr>
            <w:tcW w:w="7078" w:type="dxa"/>
            <w:noWrap w:val="0"/>
            <w:vAlign w:val="center"/>
          </w:tcPr>
          <w:p>
            <w:pPr>
              <w:widowControl w:val="0"/>
              <w:shd w:val="clear"/>
              <w:spacing w:line="300" w:lineRule="auto"/>
              <w:jc w:val="both"/>
              <w:outlineLvl w:val="9"/>
              <w:rPr>
                <w:rFonts w:hint="eastAsia" w:ascii="宋体" w:hAnsi="宋体" w:eastAsia="宋体" w:cs="宋体"/>
                <w:bCs/>
                <w:color w:val="auto"/>
                <w:kern w:val="2"/>
                <w:sz w:val="24"/>
                <w:szCs w:val="24"/>
                <w:highlight w:val="none"/>
                <w:lang w:val="en-US" w:eastAsia="zh-CN" w:bidi="ar-SA"/>
              </w:rPr>
            </w:pPr>
          </w:p>
          <w:p>
            <w:pPr>
              <w:widowControl w:val="0"/>
              <w:shd w:val="clear"/>
              <w:spacing w:line="300" w:lineRule="auto"/>
              <w:jc w:val="both"/>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小写：</w:t>
            </w:r>
            <w:r>
              <w:rPr>
                <w:rFonts w:hint="eastAsia" w:ascii="宋体" w:hAnsi="宋体" w:eastAsia="宋体" w:cs="宋体"/>
                <w:bCs/>
                <w:color w:val="auto"/>
                <w:kern w:val="2"/>
                <w:sz w:val="24"/>
                <w:szCs w:val="24"/>
                <w:highlight w:val="none"/>
                <w:u w:val="single"/>
                <w:lang w:val="en-US" w:eastAsia="zh-CN" w:bidi="ar-SA"/>
              </w:rPr>
              <w:t xml:space="preserve">                             </w:t>
            </w:r>
            <w:r>
              <w:rPr>
                <w:rFonts w:hint="eastAsia" w:ascii="宋体" w:hAnsi="宋体" w:eastAsia="宋体" w:cs="宋体"/>
                <w:bCs/>
                <w:color w:val="auto"/>
                <w:kern w:val="2"/>
                <w:sz w:val="24"/>
                <w:szCs w:val="24"/>
                <w:highlight w:val="none"/>
                <w:lang w:val="en-US" w:eastAsia="zh-CN" w:bidi="ar-SA"/>
              </w:rPr>
              <w:t>元</w:t>
            </w:r>
          </w:p>
          <w:p>
            <w:pPr>
              <w:shd w:val="clear"/>
              <w:outlineLvl w:val="9"/>
              <w:rPr>
                <w:rFonts w:hint="eastAsia" w:ascii="宋体" w:hAnsi="宋体" w:eastAsia="宋体" w:cs="宋体"/>
                <w:color w:val="auto"/>
                <w:kern w:val="0"/>
                <w:sz w:val="24"/>
                <w:szCs w:val="24"/>
                <w:highlight w:val="none"/>
                <w:lang w:val="en-US" w:bidi="ar-SA"/>
              </w:rPr>
            </w:pPr>
          </w:p>
          <w:p>
            <w:pPr>
              <w:shd w:val="clear"/>
              <w:outlineLvl w:val="9"/>
              <w:rPr>
                <w:rFonts w:hint="eastAsia" w:ascii="宋体" w:hAnsi="宋体" w:eastAsia="宋体" w:cs="宋体"/>
                <w:color w:val="auto"/>
                <w:kern w:val="0"/>
                <w:sz w:val="24"/>
                <w:szCs w:val="24"/>
                <w:highlight w:val="none"/>
                <w:lang w:val="en-US" w:bidi="ar-SA"/>
              </w:rPr>
            </w:pPr>
          </w:p>
          <w:p>
            <w:pPr>
              <w:widowControl w:val="0"/>
              <w:shd w:val="clear"/>
              <w:spacing w:line="300" w:lineRule="auto"/>
              <w:jc w:val="both"/>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大写：</w:t>
            </w:r>
            <w:r>
              <w:rPr>
                <w:rFonts w:hint="eastAsia" w:ascii="宋体" w:hAnsi="宋体" w:eastAsia="宋体" w:cs="宋体"/>
                <w:bCs/>
                <w:color w:val="auto"/>
                <w:kern w:val="2"/>
                <w:sz w:val="24"/>
                <w:szCs w:val="24"/>
                <w:highlight w:val="none"/>
                <w:u w:val="single"/>
                <w:lang w:val="en-US" w:eastAsia="zh-CN" w:bidi="ar-SA"/>
              </w:rPr>
              <w:t xml:space="preserve">                             </w:t>
            </w:r>
            <w:r>
              <w:rPr>
                <w:rFonts w:hint="eastAsia" w:ascii="宋体" w:hAnsi="宋体" w:eastAsia="宋体" w:cs="宋体"/>
                <w:bCs/>
                <w:color w:val="auto"/>
                <w:kern w:val="2"/>
                <w:sz w:val="24"/>
                <w:szCs w:val="24"/>
                <w:highlight w:val="none"/>
                <w:lang w:val="en-US" w:eastAsia="zh-CN" w:bidi="ar-SA"/>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7" w:hRule="atLeast"/>
          <w:jc w:val="center"/>
        </w:trPr>
        <w:tc>
          <w:tcPr>
            <w:tcW w:w="2501" w:type="dxa"/>
            <w:noWrap w:val="0"/>
            <w:vAlign w:val="center"/>
          </w:tcPr>
          <w:p>
            <w:pPr>
              <w:shd w:val="clear"/>
              <w:spacing w:line="300" w:lineRule="auto"/>
              <w:jc w:val="center"/>
              <w:outlineLvl w:val="9"/>
              <w:rPr>
                <w:rFonts w:hint="eastAsia" w:ascii="宋体" w:hAnsi="宋体" w:eastAsia="宋体" w:cs="宋体"/>
                <w:color w:val="auto"/>
                <w:kern w:val="0"/>
                <w:sz w:val="24"/>
                <w:szCs w:val="20"/>
                <w:highlight w:val="none"/>
                <w:lang w:val="en-US" w:bidi="ar-SA"/>
              </w:rPr>
            </w:pPr>
            <w:r>
              <w:rPr>
                <w:rFonts w:hint="eastAsia" w:ascii="宋体" w:hAnsi="宋体" w:eastAsia="宋体" w:cs="Times New Roman"/>
                <w:color w:val="auto"/>
                <w:kern w:val="0"/>
                <w:sz w:val="24"/>
                <w:szCs w:val="24"/>
                <w:highlight w:val="none"/>
                <w:lang w:val="en-US" w:bidi="ar-SA"/>
              </w:rPr>
              <w:t>服务期</w:t>
            </w:r>
          </w:p>
        </w:tc>
        <w:tc>
          <w:tcPr>
            <w:tcW w:w="7078" w:type="dxa"/>
            <w:noWrap w:val="0"/>
            <w:vAlign w:val="center"/>
          </w:tcPr>
          <w:p>
            <w:pPr>
              <w:shd w:val="clear"/>
              <w:spacing w:line="300" w:lineRule="auto"/>
              <w:outlineLvl w:val="9"/>
              <w:rPr>
                <w:rFonts w:hint="eastAsia" w:ascii="宋体" w:hAnsi="宋体" w:eastAsia="宋体" w:cs="宋体"/>
                <w:color w:val="auto"/>
                <w:kern w:val="0"/>
                <w:sz w:val="24"/>
                <w:szCs w:val="24"/>
                <w:highlight w:val="none"/>
                <w:u w:val="single"/>
                <w:lang w:val="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3" w:hRule="atLeast"/>
          <w:jc w:val="center"/>
        </w:trPr>
        <w:tc>
          <w:tcPr>
            <w:tcW w:w="2501" w:type="dxa"/>
            <w:noWrap w:val="0"/>
            <w:vAlign w:val="center"/>
          </w:tcPr>
          <w:p>
            <w:pPr>
              <w:shd w:val="clear"/>
              <w:spacing w:line="300" w:lineRule="auto"/>
              <w:jc w:val="center"/>
              <w:outlineLvl w:val="9"/>
              <w:rPr>
                <w:rFonts w:hint="eastAsia" w:ascii="宋体" w:hAnsi="宋体" w:eastAsia="宋体" w:cs="宋体"/>
                <w:color w:val="auto"/>
                <w:kern w:val="0"/>
                <w:sz w:val="24"/>
                <w:szCs w:val="20"/>
                <w:highlight w:val="none"/>
                <w:lang w:val="en-US" w:bidi="ar-SA"/>
              </w:rPr>
            </w:pPr>
            <w:r>
              <w:rPr>
                <w:rFonts w:hint="eastAsia" w:ascii="宋体" w:hAnsi="Times New Roman" w:eastAsia="宋体" w:cs="宋体"/>
                <w:color w:val="auto"/>
                <w:kern w:val="0"/>
                <w:sz w:val="24"/>
                <w:szCs w:val="20"/>
                <w:highlight w:val="none"/>
                <w:lang w:val="zh-CN" w:bidi="ar-SA"/>
              </w:rPr>
              <w:t xml:space="preserve"> </w:t>
            </w:r>
            <w:r>
              <w:rPr>
                <w:rFonts w:hint="eastAsia" w:ascii="宋体" w:hAnsi="宋体" w:eastAsia="宋体" w:cs="Times New Roman"/>
                <w:color w:val="auto"/>
                <w:kern w:val="0"/>
                <w:sz w:val="24"/>
                <w:szCs w:val="20"/>
                <w:highlight w:val="none"/>
                <w:lang w:val="en-US" w:bidi="ar-SA"/>
              </w:rPr>
              <w:t>服务质量标准</w:t>
            </w:r>
          </w:p>
        </w:tc>
        <w:tc>
          <w:tcPr>
            <w:tcW w:w="7078" w:type="dxa"/>
            <w:noWrap w:val="0"/>
            <w:vAlign w:val="center"/>
          </w:tcPr>
          <w:p>
            <w:pPr>
              <w:shd w:val="clear"/>
              <w:spacing w:line="300" w:lineRule="auto"/>
              <w:outlineLvl w:val="9"/>
              <w:rPr>
                <w:rFonts w:hint="eastAsia" w:ascii="宋体" w:hAnsi="宋体" w:eastAsia="宋体" w:cs="宋体"/>
                <w:color w:val="auto"/>
                <w:kern w:val="0"/>
                <w:sz w:val="24"/>
                <w:szCs w:val="28"/>
                <w:highlight w:val="none"/>
                <w:lang w:val="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25" w:hRule="atLeast"/>
          <w:jc w:val="center"/>
        </w:trPr>
        <w:tc>
          <w:tcPr>
            <w:tcW w:w="2501" w:type="dxa"/>
            <w:noWrap w:val="0"/>
            <w:vAlign w:val="center"/>
          </w:tcPr>
          <w:p>
            <w:pPr>
              <w:shd w:val="clear"/>
              <w:spacing w:line="300" w:lineRule="auto"/>
              <w:jc w:val="center"/>
              <w:outlineLvl w:val="9"/>
              <w:rPr>
                <w:rFonts w:hint="eastAsia" w:ascii="宋体" w:hAnsi="宋体" w:eastAsia="宋体" w:cs="宋体"/>
                <w:color w:val="auto"/>
                <w:kern w:val="0"/>
                <w:sz w:val="24"/>
                <w:szCs w:val="20"/>
                <w:highlight w:val="none"/>
                <w:lang w:val="en-US" w:bidi="ar-SA"/>
              </w:rPr>
            </w:pPr>
            <w:r>
              <w:rPr>
                <w:rFonts w:hint="eastAsia" w:ascii="宋体" w:hAnsi="宋体" w:eastAsia="宋体" w:cs="宋体"/>
                <w:color w:val="auto"/>
                <w:kern w:val="0"/>
                <w:sz w:val="24"/>
                <w:szCs w:val="20"/>
                <w:highlight w:val="none"/>
                <w:lang w:val="en-US" w:bidi="ar-SA"/>
              </w:rPr>
              <w:t>拟派项目负责人</w:t>
            </w:r>
          </w:p>
        </w:tc>
        <w:tc>
          <w:tcPr>
            <w:tcW w:w="7078" w:type="dxa"/>
            <w:noWrap w:val="0"/>
            <w:vAlign w:val="center"/>
          </w:tcPr>
          <w:p>
            <w:pPr>
              <w:shd w:val="clear"/>
              <w:spacing w:line="300" w:lineRule="auto"/>
              <w:outlineLvl w:val="9"/>
              <w:rPr>
                <w:rFonts w:hint="eastAsia" w:ascii="宋体" w:hAnsi="宋体" w:eastAsia="宋体" w:cs="宋体"/>
                <w:color w:val="auto"/>
                <w:kern w:val="0"/>
                <w:sz w:val="24"/>
                <w:szCs w:val="28"/>
                <w:highlight w:val="none"/>
                <w:lang w:val="en-US" w:bidi="ar-SA"/>
              </w:rPr>
            </w:pPr>
          </w:p>
        </w:tc>
      </w:tr>
    </w:tbl>
    <w:p>
      <w:pPr>
        <w:shd w:val="clear"/>
        <w:spacing w:line="360" w:lineRule="auto"/>
        <w:outlineLvl w:val="9"/>
        <w:rPr>
          <w:rFonts w:hint="eastAsia" w:ascii="宋体" w:hAnsi="宋体" w:eastAsia="宋体" w:cs="Times New Roman"/>
          <w:color w:val="auto"/>
          <w:kern w:val="0"/>
          <w:sz w:val="24"/>
          <w:szCs w:val="20"/>
          <w:highlight w:val="none"/>
          <w:lang w:val="en-US" w:bidi="ar-SA"/>
        </w:rPr>
      </w:pPr>
    </w:p>
    <w:p>
      <w:pPr>
        <w:shd w:val="clear"/>
        <w:spacing w:line="360" w:lineRule="auto"/>
        <w:outlineLvl w:val="9"/>
        <w:rPr>
          <w:rFonts w:hint="eastAsia" w:ascii="宋体" w:hAnsi="宋体" w:eastAsia="宋体" w:cs="宋体"/>
          <w:color w:val="auto"/>
          <w:kern w:val="0"/>
          <w:sz w:val="24"/>
          <w:szCs w:val="28"/>
          <w:highlight w:val="none"/>
          <w:lang w:val="en-US" w:bidi="ar-SA"/>
        </w:rPr>
      </w:pPr>
      <w:r>
        <w:rPr>
          <w:rFonts w:hint="eastAsia" w:ascii="宋体" w:hAnsi="宋体" w:eastAsia="宋体" w:cs="Times New Roman"/>
          <w:color w:val="auto"/>
          <w:kern w:val="0"/>
          <w:sz w:val="24"/>
          <w:szCs w:val="20"/>
          <w:highlight w:val="none"/>
          <w:lang w:val="en-US" w:bidi="ar-SA"/>
        </w:rPr>
        <w:t xml:space="preserve">供应商全称（加盖公章）：  </w:t>
      </w:r>
      <w:r>
        <w:rPr>
          <w:rFonts w:hint="eastAsia" w:ascii="宋体" w:hAnsi="宋体" w:eastAsia="宋体" w:cs="宋体"/>
          <w:color w:val="auto"/>
          <w:kern w:val="0"/>
          <w:sz w:val="24"/>
          <w:szCs w:val="28"/>
          <w:highlight w:val="none"/>
          <w:lang w:val="en-US" w:bidi="ar-SA"/>
        </w:rPr>
        <w:t xml:space="preserve">                   </w:t>
      </w:r>
    </w:p>
    <w:p>
      <w:pPr>
        <w:shd w:val="clear"/>
        <w:spacing w:line="360" w:lineRule="auto"/>
        <w:outlineLvl w:val="9"/>
        <w:rPr>
          <w:rFonts w:hint="eastAsia" w:ascii="宋体" w:hAnsi="宋体" w:eastAsia="宋体" w:cs="宋体"/>
          <w:color w:val="auto"/>
          <w:kern w:val="0"/>
          <w:sz w:val="24"/>
          <w:szCs w:val="28"/>
          <w:highlight w:val="none"/>
          <w:lang w:val="en-US" w:bidi="ar-SA"/>
        </w:rPr>
      </w:pPr>
      <w:r>
        <w:rPr>
          <w:rFonts w:hint="eastAsia" w:ascii="宋体" w:hAnsi="宋体" w:eastAsia="宋体" w:cs="宋体"/>
          <w:color w:val="auto"/>
          <w:kern w:val="0"/>
          <w:sz w:val="24"/>
          <w:szCs w:val="28"/>
          <w:highlight w:val="none"/>
          <w:lang w:val="en-US" w:bidi="ar-SA"/>
        </w:rPr>
        <w:t xml:space="preserve">   </w:t>
      </w:r>
    </w:p>
    <w:p>
      <w:pPr>
        <w:shd w:val="clear"/>
        <w:spacing w:line="360" w:lineRule="auto"/>
        <w:outlineLvl w:val="9"/>
        <w:rPr>
          <w:rFonts w:hint="eastAsia" w:ascii="宋体" w:hAnsi="宋体" w:eastAsia="宋体" w:cs="Times New Roman"/>
          <w:color w:val="auto"/>
          <w:kern w:val="0"/>
          <w:sz w:val="24"/>
          <w:szCs w:val="20"/>
          <w:highlight w:val="none"/>
          <w:lang w:val="en-US" w:bidi="ar-SA"/>
        </w:rPr>
      </w:pPr>
      <w:r>
        <w:rPr>
          <w:rFonts w:hint="eastAsia" w:ascii="宋体" w:hAnsi="宋体" w:eastAsia="宋体" w:cs="Times New Roman"/>
          <w:color w:val="auto"/>
          <w:kern w:val="0"/>
          <w:sz w:val="24"/>
          <w:szCs w:val="20"/>
          <w:highlight w:val="none"/>
          <w:lang w:val="en-US" w:bidi="ar-SA"/>
        </w:rPr>
        <w:t xml:space="preserve">法定代表人或法定代表人授权代表签字或盖章：                        </w:t>
      </w:r>
    </w:p>
    <w:p>
      <w:pPr>
        <w:shd w:val="clear"/>
        <w:spacing w:line="360" w:lineRule="auto"/>
        <w:outlineLvl w:val="9"/>
        <w:rPr>
          <w:rFonts w:hint="eastAsia" w:ascii="宋体" w:hAnsi="宋体" w:eastAsia="宋体" w:cs="Times New Roman"/>
          <w:color w:val="auto"/>
          <w:kern w:val="0"/>
          <w:sz w:val="24"/>
          <w:szCs w:val="20"/>
          <w:highlight w:val="none"/>
          <w:lang w:val="en-US" w:bidi="ar-SA"/>
        </w:rPr>
      </w:pPr>
      <w:r>
        <w:rPr>
          <w:rFonts w:hint="eastAsia" w:ascii="宋体" w:hAnsi="宋体" w:eastAsia="宋体" w:cs="Times New Roman"/>
          <w:color w:val="auto"/>
          <w:kern w:val="0"/>
          <w:sz w:val="24"/>
          <w:szCs w:val="20"/>
          <w:highlight w:val="none"/>
          <w:lang w:val="en-US" w:bidi="ar-SA"/>
        </w:rPr>
        <w:t xml:space="preserve"> </w:t>
      </w:r>
    </w:p>
    <w:p>
      <w:pPr>
        <w:shd w:val="clear"/>
        <w:spacing w:line="360" w:lineRule="auto"/>
        <w:outlineLvl w:val="9"/>
        <w:rPr>
          <w:rFonts w:hint="eastAsia" w:ascii="宋体" w:hAnsi="宋体" w:eastAsia="宋体" w:cs="Times New Roman"/>
          <w:color w:val="auto"/>
          <w:kern w:val="0"/>
          <w:sz w:val="24"/>
          <w:szCs w:val="20"/>
          <w:highlight w:val="none"/>
          <w:lang w:val="en-US" w:bidi="ar-SA"/>
        </w:rPr>
      </w:pPr>
      <w:r>
        <w:rPr>
          <w:rFonts w:hint="eastAsia" w:ascii="宋体" w:hAnsi="宋体" w:eastAsia="宋体" w:cs="Times New Roman"/>
          <w:color w:val="auto"/>
          <w:kern w:val="0"/>
          <w:sz w:val="24"/>
          <w:szCs w:val="20"/>
          <w:highlight w:val="none"/>
          <w:lang w:val="en-US" w:bidi="ar-SA"/>
        </w:rPr>
        <w:t xml:space="preserve"> 日期：   年   月   日</w:t>
      </w:r>
    </w:p>
    <w:p>
      <w:pPr>
        <w:shd w:val="clear"/>
        <w:spacing w:line="360" w:lineRule="auto"/>
        <w:outlineLvl w:val="9"/>
        <w:rPr>
          <w:rFonts w:hint="eastAsia" w:ascii="宋体" w:hAnsi="宋体" w:eastAsia="宋体" w:cs="Times New Roman"/>
          <w:color w:val="auto"/>
          <w:kern w:val="0"/>
          <w:sz w:val="24"/>
          <w:szCs w:val="20"/>
          <w:highlight w:val="none"/>
          <w:lang w:val="en-US" w:bidi="ar-SA"/>
        </w:rPr>
      </w:pPr>
    </w:p>
    <w:p>
      <w:pPr>
        <w:shd w:val="clear"/>
        <w:spacing w:line="360" w:lineRule="auto"/>
        <w:outlineLvl w:val="9"/>
        <w:rPr>
          <w:rFonts w:hint="eastAsia" w:ascii="宋体" w:hAnsi="宋体" w:eastAsia="宋体" w:cs="Times New Roman"/>
          <w:color w:val="auto"/>
          <w:kern w:val="0"/>
          <w:sz w:val="24"/>
          <w:szCs w:val="20"/>
          <w:highlight w:val="none"/>
          <w:lang w:val="en-US" w:bidi="ar-SA"/>
        </w:rPr>
      </w:pPr>
    </w:p>
    <w:p>
      <w:pPr>
        <w:shd w:val="clear"/>
        <w:spacing w:line="240" w:lineRule="atLeast"/>
        <w:outlineLvl w:val="9"/>
        <w:rPr>
          <w:rFonts w:hint="eastAsia" w:ascii="宋体" w:hAnsi="宋体" w:eastAsia="宋体" w:cs="宋体"/>
          <w:b/>
          <w:bCs/>
          <w:color w:val="auto"/>
          <w:kern w:val="0"/>
          <w:szCs w:val="21"/>
          <w:highlight w:val="none"/>
          <w:lang w:val="en-US" w:bidi="ar-SA"/>
        </w:rPr>
      </w:pPr>
      <w:r>
        <w:rPr>
          <w:rFonts w:hint="eastAsia" w:ascii="宋体" w:hAnsi="宋体" w:eastAsia="宋体" w:cs="宋体"/>
          <w:b/>
          <w:bCs/>
          <w:color w:val="auto"/>
          <w:kern w:val="0"/>
          <w:szCs w:val="21"/>
          <w:highlight w:val="none"/>
          <w:lang w:val="en-US" w:bidi="ar-SA"/>
        </w:rPr>
        <w:t>填写说明：</w:t>
      </w:r>
    </w:p>
    <w:p>
      <w:pPr>
        <w:shd w:val="clear"/>
        <w:spacing w:line="240" w:lineRule="atLeast"/>
        <w:outlineLvl w:val="9"/>
        <w:rPr>
          <w:rFonts w:hint="eastAsia" w:ascii="宋体" w:hAnsi="宋体" w:eastAsia="宋体" w:cs="宋体"/>
          <w:b/>
          <w:bCs/>
          <w:color w:val="auto"/>
          <w:kern w:val="0"/>
          <w:szCs w:val="21"/>
          <w:highlight w:val="none"/>
          <w:lang w:val="en-US" w:bidi="ar-SA"/>
        </w:rPr>
      </w:pPr>
      <w:r>
        <w:rPr>
          <w:rFonts w:hint="eastAsia" w:ascii="宋体" w:hAnsi="宋体" w:eastAsia="宋体" w:cs="宋体"/>
          <w:b/>
          <w:bCs/>
          <w:color w:val="auto"/>
          <w:kern w:val="0"/>
          <w:szCs w:val="21"/>
          <w:highlight w:val="none"/>
          <w:lang w:val="en-US" w:bidi="ar-SA"/>
        </w:rPr>
        <w:t>1.评标时一律按开标一览表中内容为准，开标一览表中必须盖章或签字。</w:t>
      </w:r>
    </w:p>
    <w:p>
      <w:pPr>
        <w:shd w:val="clear"/>
        <w:spacing w:line="240" w:lineRule="atLeast"/>
        <w:outlineLvl w:val="9"/>
        <w:rPr>
          <w:rFonts w:hint="eastAsia" w:ascii="宋体" w:hAnsi="宋体" w:eastAsia="宋体" w:cs="宋体"/>
          <w:b/>
          <w:bCs/>
          <w:color w:val="auto"/>
          <w:kern w:val="0"/>
          <w:szCs w:val="21"/>
          <w:highlight w:val="none"/>
          <w:lang w:val="en-US" w:bidi="ar-SA"/>
        </w:rPr>
      </w:pPr>
      <w:r>
        <w:rPr>
          <w:rFonts w:hint="eastAsia" w:ascii="宋体" w:hAnsi="宋体" w:eastAsia="宋体" w:cs="宋体"/>
          <w:b/>
          <w:bCs/>
          <w:color w:val="auto"/>
          <w:kern w:val="0"/>
          <w:szCs w:val="21"/>
          <w:highlight w:val="none"/>
          <w:lang w:val="en-US" w:bidi="ar-SA"/>
        </w:rPr>
        <w:t>2.供应商的投标报价的总额应是供应商在报价文件中提出的各项支付金额的总和，也应是完成投标文件所列采购需求的全部费用。</w:t>
      </w:r>
    </w:p>
    <w:p>
      <w:pPr>
        <w:shd w:val="clear"/>
        <w:spacing w:line="240" w:lineRule="atLeast"/>
        <w:outlineLvl w:val="9"/>
        <w:rPr>
          <w:rFonts w:hint="eastAsia" w:ascii="宋体" w:hAnsi="宋体" w:eastAsia="宋体" w:cs="宋体"/>
          <w:b/>
          <w:bCs/>
          <w:color w:val="auto"/>
          <w:kern w:val="0"/>
          <w:szCs w:val="21"/>
          <w:highlight w:val="none"/>
          <w:lang w:val="en-US" w:bidi="ar-SA"/>
        </w:rPr>
      </w:pPr>
      <w:r>
        <w:rPr>
          <w:rFonts w:hint="eastAsia" w:ascii="宋体" w:hAnsi="宋体" w:eastAsia="宋体" w:cs="宋体"/>
          <w:b/>
          <w:bCs/>
          <w:color w:val="auto"/>
          <w:kern w:val="0"/>
          <w:szCs w:val="21"/>
          <w:highlight w:val="none"/>
          <w:lang w:val="en-US" w:bidi="ar-SA"/>
        </w:rPr>
        <w:t>3.报价均以人民币元表示，金额精确到小数点后2位。</w:t>
      </w:r>
    </w:p>
    <w:p>
      <w:pPr>
        <w:pStyle w:val="5"/>
        <w:shd w:val="clear"/>
        <w:bidi w:val="0"/>
        <w:rPr>
          <w:rFonts w:hint="default" w:ascii="黑体" w:hAnsi="Times New Roman" w:eastAsia="黑体" w:cs="Times New Roman"/>
          <w:bCs/>
          <w:color w:val="auto"/>
          <w:kern w:val="0"/>
          <w:sz w:val="28"/>
          <w:szCs w:val="28"/>
          <w:highlight w:val="none"/>
          <w:lang w:val="en-US" w:bidi="ar-SA"/>
        </w:rPr>
      </w:pPr>
      <w:r>
        <w:rPr>
          <w:rFonts w:hint="eastAsia" w:ascii="黑体" w:hAnsi="宋体" w:eastAsia="黑体" w:cs="Times New Roman"/>
          <w:bCs/>
          <w:color w:val="auto"/>
          <w:kern w:val="0"/>
          <w:sz w:val="24"/>
          <w:szCs w:val="24"/>
          <w:highlight w:val="none"/>
          <w:lang w:val="en-US" w:bidi="ar-SA"/>
        </w:rPr>
        <w:br w:type="page" w:clear="all"/>
      </w:r>
      <w:r>
        <w:rPr>
          <w:rStyle w:val="521"/>
          <w:rFonts w:hint="eastAsia"/>
          <w:b/>
          <w:bCs/>
          <w:color w:val="auto"/>
          <w:highlight w:val="none"/>
          <w:lang w:val="en-US"/>
        </w:rPr>
        <w:t>报价明细表（格式）：</w:t>
      </w:r>
    </w:p>
    <w:p>
      <w:pPr>
        <w:shd w:val="clear"/>
        <w:spacing w:line="400" w:lineRule="exact"/>
        <w:jc w:val="center"/>
        <w:outlineLvl w:val="9"/>
        <w:rPr>
          <w:rFonts w:hint="eastAsia" w:ascii="宋体" w:hAnsi="宋体" w:eastAsia="宋体" w:cs="Times New Roman"/>
          <w:bCs/>
          <w:color w:val="auto"/>
          <w:kern w:val="0"/>
          <w:sz w:val="28"/>
          <w:szCs w:val="28"/>
          <w:highlight w:val="none"/>
          <w:lang w:val="en-US" w:bidi="ar-SA"/>
        </w:rPr>
      </w:pPr>
      <w:r>
        <w:rPr>
          <w:rFonts w:hint="eastAsia" w:ascii="宋体" w:hAnsi="宋体" w:eastAsia="宋体" w:cs="Times New Roman"/>
          <w:bCs/>
          <w:color w:val="auto"/>
          <w:kern w:val="0"/>
          <w:sz w:val="28"/>
          <w:szCs w:val="28"/>
          <w:highlight w:val="none"/>
          <w:lang w:val="en-US" w:bidi="ar-SA"/>
        </w:rPr>
        <w:t>报价明细表</w:t>
      </w:r>
    </w:p>
    <w:p>
      <w:pPr>
        <w:shd w:val="clear"/>
        <w:spacing w:line="400" w:lineRule="exact"/>
        <w:ind w:firstLine="840"/>
        <w:outlineLvl w:val="9"/>
        <w:rPr>
          <w:rFonts w:hint="eastAsia" w:ascii="宋体" w:hAnsi="宋体" w:eastAsia="宋体" w:cs="宋体"/>
          <w:color w:val="auto"/>
          <w:kern w:val="0"/>
          <w:sz w:val="24"/>
          <w:szCs w:val="20"/>
          <w:highlight w:val="none"/>
          <w:lang w:val="en-US" w:bidi="ar-SA"/>
        </w:rPr>
      </w:pPr>
    </w:p>
    <w:p>
      <w:pPr>
        <w:widowControl/>
        <w:shd w:val="clear"/>
        <w:ind w:firstLine="420"/>
        <w:jc w:val="left"/>
        <w:outlineLvl w:val="9"/>
        <w:rPr>
          <w:rFonts w:hint="default" w:ascii="Times New Roman" w:hAnsi="Times New Roman" w:eastAsia="宋体" w:cs="Times New Roman"/>
          <w:color w:val="auto"/>
          <w:kern w:val="2"/>
          <w:sz w:val="20"/>
          <w:highlight w:val="none"/>
          <w:lang w:val="en-US" w:eastAsia="zh-CN" w:bidi="ar-SA"/>
        </w:rPr>
      </w:pPr>
    </w:p>
    <w:tbl>
      <w:tblPr>
        <w:tblStyle w:val="8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
      <w:tblGrid>
        <w:gridCol w:w="342"/>
        <w:gridCol w:w="1132"/>
        <w:gridCol w:w="1607"/>
        <w:gridCol w:w="502"/>
        <w:gridCol w:w="344"/>
        <w:gridCol w:w="817"/>
        <w:gridCol w:w="735"/>
        <w:gridCol w:w="42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040" w:hRule="atLeast"/>
        </w:trPr>
        <w:tc>
          <w:tcPr>
            <w:tcW w:w="5000" w:type="pct"/>
            <w:gridSpan w:val="8"/>
            <w:shd w:val="clear" w:color="auto" w:fill="auto"/>
            <w:tcMar>
              <w:top w:w="15" w:type="dxa"/>
              <w:left w:w="15" w:type="dxa"/>
              <w:right w:w="15" w:type="dxa"/>
            </w:tcMar>
            <w:vAlign w:val="center"/>
          </w:tcPr>
          <w:p>
            <w:pPr>
              <w:shd w:val="clear"/>
              <w:bidi w:val="0"/>
              <w:jc w:val="center"/>
              <w:rPr>
                <w:rFonts w:hint="eastAsia"/>
                <w:color w:val="auto"/>
                <w:highlight w:val="none"/>
                <w:lang w:val="en-US" w:eastAsia="zh-CN"/>
              </w:rPr>
            </w:pPr>
            <w:r>
              <w:rPr>
                <w:rFonts w:hint="eastAsia"/>
                <w:color w:val="auto"/>
                <w:highlight w:val="none"/>
                <w:lang w:val="en-US" w:eastAsia="zh-CN"/>
              </w:rPr>
              <w:t>2026-2027年太湖街道污水管网及设施运行维护作业权项目</w:t>
            </w:r>
            <w:r>
              <w:rPr>
                <w:rFonts w:hint="eastAsia"/>
                <w:color w:val="auto"/>
                <w:highlight w:val="none"/>
                <w:lang w:val="en-US" w:eastAsia="zh-CN"/>
              </w:rPr>
              <w:br w:type="textWrapping"/>
            </w:r>
            <w:r>
              <w:rPr>
                <w:rFonts w:hint="eastAsia"/>
                <w:color w:val="auto"/>
                <w:highlight w:val="none"/>
                <w:lang w:val="en-US" w:eastAsia="zh-CN"/>
              </w:rPr>
              <w:t>工程量清单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1120" w:hRule="atLeast"/>
        </w:trPr>
        <w:tc>
          <w:tcPr>
            <w:tcW w:w="175"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r>
              <w:rPr>
                <w:rFonts w:hint="eastAsia"/>
                <w:color w:val="auto"/>
                <w:highlight w:val="none"/>
                <w:lang w:val="en-US" w:eastAsia="zh-CN"/>
              </w:rPr>
              <w:t>序号</w:t>
            </w:r>
          </w:p>
        </w:tc>
        <w:tc>
          <w:tcPr>
            <w:tcW w:w="579"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r>
              <w:rPr>
                <w:rFonts w:hint="eastAsia"/>
                <w:color w:val="auto"/>
                <w:highlight w:val="none"/>
                <w:lang w:val="en-US" w:eastAsia="zh-CN"/>
              </w:rPr>
              <w:t>项目名称</w:t>
            </w:r>
          </w:p>
        </w:tc>
        <w:tc>
          <w:tcPr>
            <w:tcW w:w="820"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r>
              <w:rPr>
                <w:rFonts w:hint="eastAsia"/>
                <w:color w:val="auto"/>
                <w:highlight w:val="none"/>
                <w:lang w:val="en-US" w:eastAsia="zh-CN"/>
              </w:rPr>
              <w:t>参数、规格、工作内容</w:t>
            </w:r>
          </w:p>
        </w:tc>
        <w:tc>
          <w:tcPr>
            <w:tcW w:w="257"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r>
              <w:rPr>
                <w:rFonts w:hint="eastAsia"/>
                <w:color w:val="auto"/>
                <w:highlight w:val="none"/>
                <w:lang w:val="en-US" w:eastAsia="zh-CN"/>
              </w:rPr>
              <w:t>工程量</w:t>
            </w:r>
          </w:p>
        </w:tc>
        <w:tc>
          <w:tcPr>
            <w:tcW w:w="176"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r>
              <w:rPr>
                <w:rFonts w:hint="eastAsia"/>
                <w:color w:val="auto"/>
                <w:highlight w:val="none"/>
                <w:lang w:val="en-US" w:eastAsia="zh-CN"/>
              </w:rPr>
              <w:t>单位</w:t>
            </w:r>
          </w:p>
        </w:tc>
        <w:tc>
          <w:tcPr>
            <w:tcW w:w="418"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r>
              <w:rPr>
                <w:rFonts w:hint="eastAsia"/>
                <w:color w:val="auto"/>
                <w:highlight w:val="none"/>
                <w:lang w:val="en-US" w:eastAsia="zh-CN"/>
              </w:rPr>
              <w:t>单价（元）</w:t>
            </w:r>
          </w:p>
        </w:tc>
        <w:tc>
          <w:tcPr>
            <w:tcW w:w="376"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r>
              <w:rPr>
                <w:rFonts w:hint="eastAsia"/>
                <w:color w:val="auto"/>
                <w:highlight w:val="none"/>
                <w:lang w:val="en-US" w:eastAsia="zh-CN"/>
              </w:rPr>
              <w:t>合价</w:t>
            </w:r>
          </w:p>
        </w:tc>
        <w:tc>
          <w:tcPr>
            <w:tcW w:w="2194"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r>
              <w:rPr>
                <w:rFonts w:hint="eastAsia"/>
                <w:color w:val="auto"/>
                <w:highlight w:val="no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860" w:hRule="atLeast"/>
        </w:trPr>
        <w:tc>
          <w:tcPr>
            <w:tcW w:w="175"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r>
              <w:rPr>
                <w:rFonts w:hint="eastAsia"/>
                <w:color w:val="auto"/>
                <w:highlight w:val="none"/>
                <w:lang w:val="en-US" w:eastAsia="zh-CN"/>
              </w:rPr>
              <w:t>一</w:t>
            </w:r>
          </w:p>
        </w:tc>
        <w:tc>
          <w:tcPr>
            <w:tcW w:w="579"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r>
              <w:rPr>
                <w:rFonts w:hint="eastAsia"/>
                <w:color w:val="auto"/>
                <w:highlight w:val="none"/>
                <w:lang w:val="en-US" w:eastAsia="zh-CN"/>
              </w:rPr>
              <w:t>泵站</w:t>
            </w:r>
          </w:p>
        </w:tc>
        <w:tc>
          <w:tcPr>
            <w:tcW w:w="820"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p>
        </w:tc>
        <w:tc>
          <w:tcPr>
            <w:tcW w:w="257"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p>
        </w:tc>
        <w:tc>
          <w:tcPr>
            <w:tcW w:w="176"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p>
        </w:tc>
        <w:tc>
          <w:tcPr>
            <w:tcW w:w="418"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p>
        </w:tc>
        <w:tc>
          <w:tcPr>
            <w:tcW w:w="376"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p>
        </w:tc>
        <w:tc>
          <w:tcPr>
            <w:tcW w:w="2194"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1760" w:hRule="atLeast"/>
        </w:trPr>
        <w:tc>
          <w:tcPr>
            <w:tcW w:w="175"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r>
              <w:rPr>
                <w:rFonts w:hint="eastAsia"/>
                <w:color w:val="auto"/>
                <w:highlight w:val="none"/>
                <w:lang w:val="en-US" w:eastAsia="zh-CN"/>
              </w:rPr>
              <w:t>1</w:t>
            </w:r>
          </w:p>
        </w:tc>
        <w:tc>
          <w:tcPr>
            <w:tcW w:w="579"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r>
              <w:rPr>
                <w:rFonts w:hint="eastAsia"/>
                <w:color w:val="auto"/>
                <w:highlight w:val="none"/>
                <w:lang w:val="en-US" w:eastAsia="zh-CN"/>
              </w:rPr>
              <w:t>水泵更换</w:t>
            </w:r>
          </w:p>
        </w:tc>
        <w:tc>
          <w:tcPr>
            <w:tcW w:w="820" w:type="pct"/>
            <w:shd w:val="clear" w:color="auto" w:fill="auto"/>
            <w:tcMar>
              <w:top w:w="15" w:type="dxa"/>
              <w:left w:w="15" w:type="dxa"/>
              <w:right w:w="15" w:type="dxa"/>
            </w:tcMar>
            <w:vAlign w:val="center"/>
          </w:tcPr>
          <w:p>
            <w:pPr>
              <w:shd w:val="clear"/>
              <w:bidi w:val="0"/>
              <w:jc w:val="center"/>
              <w:rPr>
                <w:rFonts w:hint="eastAsia"/>
                <w:color w:val="auto"/>
                <w:highlight w:val="none"/>
                <w:lang w:val="en-US" w:eastAsia="zh-CN"/>
              </w:rPr>
            </w:pPr>
            <w:r>
              <w:rPr>
                <w:rFonts w:hint="eastAsia"/>
                <w:color w:val="auto"/>
                <w:highlight w:val="none"/>
                <w:lang w:val="en-US" w:eastAsia="zh-CN"/>
              </w:rPr>
              <w:t>1、为了确保水泵正常运转和提高设备的效率，需要对老旧或故障的水泵进行拆除更换。</w:t>
            </w:r>
          </w:p>
        </w:tc>
        <w:tc>
          <w:tcPr>
            <w:tcW w:w="257" w:type="pct"/>
            <w:vMerge w:val="restar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r>
              <w:rPr>
                <w:rFonts w:hint="eastAsia"/>
                <w:color w:val="auto"/>
                <w:highlight w:val="none"/>
                <w:lang w:val="en-US" w:eastAsia="zh-CN"/>
              </w:rPr>
              <w:t>34</w:t>
            </w:r>
          </w:p>
        </w:tc>
        <w:tc>
          <w:tcPr>
            <w:tcW w:w="176" w:type="pct"/>
            <w:vMerge w:val="restar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r>
              <w:rPr>
                <w:rFonts w:hint="eastAsia"/>
                <w:color w:val="auto"/>
                <w:highlight w:val="none"/>
                <w:lang w:val="en-US" w:eastAsia="zh-CN"/>
              </w:rPr>
              <w:t>台</w:t>
            </w:r>
          </w:p>
        </w:tc>
        <w:tc>
          <w:tcPr>
            <w:tcW w:w="418" w:type="pct"/>
            <w:vMerge w:val="restar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p>
        </w:tc>
        <w:tc>
          <w:tcPr>
            <w:tcW w:w="376" w:type="pct"/>
            <w:vMerge w:val="restar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p>
        </w:tc>
        <w:tc>
          <w:tcPr>
            <w:tcW w:w="2194" w:type="pct"/>
            <w:vMerge w:val="restart"/>
            <w:shd w:val="clear" w:color="auto" w:fill="auto"/>
            <w:tcMar>
              <w:top w:w="15" w:type="dxa"/>
              <w:left w:w="15" w:type="dxa"/>
              <w:right w:w="15" w:type="dxa"/>
            </w:tcMar>
            <w:vAlign w:val="center"/>
          </w:tcPr>
          <w:p>
            <w:pPr>
              <w:shd w:val="clear"/>
              <w:bidi w:val="0"/>
              <w:jc w:val="center"/>
              <w:rPr>
                <w:rFonts w:hint="eastAsia"/>
                <w:color w:val="auto"/>
                <w:highlight w:val="none"/>
                <w:lang w:val="en-US" w:eastAsia="zh-CN"/>
              </w:rPr>
            </w:pPr>
            <w:r>
              <w:rPr>
                <w:rFonts w:hint="eastAsia"/>
                <w:color w:val="auto"/>
                <w:highlight w:val="none"/>
                <w:lang w:val="en-US" w:eastAsia="zh-CN"/>
              </w:rPr>
              <w:t>1、含泵站日常维护、日常巡检，加强汛期维护、巡检次数，包含泵池清淤、清杂、进、出水管道疏通、清洗、淤泥及垃圾外运、机电设备保养、配合安装更新设备、重要配件更换；</w:t>
            </w:r>
            <w:r>
              <w:rPr>
                <w:rFonts w:hint="eastAsia"/>
                <w:color w:val="auto"/>
                <w:highlight w:val="none"/>
                <w:lang w:val="en-US" w:eastAsia="zh-CN"/>
              </w:rPr>
              <w:br w:type="textWrapping"/>
            </w:r>
            <w:r>
              <w:rPr>
                <w:rFonts w:hint="eastAsia"/>
                <w:color w:val="auto"/>
                <w:highlight w:val="none"/>
                <w:lang w:val="en-US" w:eastAsia="zh-CN"/>
              </w:rPr>
              <w:t>2、含小型泵站、提升井内设施设备小额维修(如开关、螺栓、螺母、配件等）更换配件,设施设备正常运行至养护期结束。</w:t>
            </w:r>
            <w:r>
              <w:rPr>
                <w:rFonts w:hint="eastAsia"/>
                <w:color w:val="auto"/>
                <w:highlight w:val="none"/>
                <w:lang w:val="en-US" w:eastAsia="zh-CN"/>
              </w:rPr>
              <w:br w:type="textWrapping"/>
            </w:r>
            <w:r>
              <w:rPr>
                <w:rFonts w:hint="eastAsia"/>
                <w:color w:val="auto"/>
                <w:highlight w:val="none"/>
                <w:lang w:val="en-US" w:eastAsia="zh-CN"/>
              </w:rPr>
              <w:t>3、详见附件二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3980" w:hRule="atLeast"/>
        </w:trPr>
        <w:tc>
          <w:tcPr>
            <w:tcW w:w="175"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r>
              <w:rPr>
                <w:rFonts w:hint="eastAsia"/>
                <w:color w:val="auto"/>
                <w:highlight w:val="none"/>
                <w:lang w:val="en-US" w:eastAsia="zh-CN"/>
              </w:rPr>
              <w:t>2</w:t>
            </w:r>
          </w:p>
        </w:tc>
        <w:tc>
          <w:tcPr>
            <w:tcW w:w="579" w:type="pct"/>
            <w:shd w:val="clear" w:color="auto" w:fill="auto"/>
            <w:tcMar>
              <w:top w:w="15" w:type="dxa"/>
              <w:left w:w="15" w:type="dxa"/>
              <w:right w:w="15" w:type="dxa"/>
            </w:tcMar>
            <w:vAlign w:val="center"/>
          </w:tcPr>
          <w:p>
            <w:pPr>
              <w:shd w:val="clear"/>
              <w:bidi w:val="0"/>
              <w:jc w:val="center"/>
              <w:rPr>
                <w:rFonts w:hint="eastAsia"/>
                <w:color w:val="auto"/>
                <w:highlight w:val="none"/>
                <w:lang w:val="en-US" w:eastAsia="zh-CN"/>
              </w:rPr>
            </w:pPr>
            <w:r>
              <w:rPr>
                <w:rFonts w:hint="eastAsia"/>
                <w:color w:val="auto"/>
                <w:highlight w:val="none"/>
                <w:lang w:val="en-US" w:eastAsia="zh-CN"/>
              </w:rPr>
              <w:t>泵池、水泵、闸门、液压站养护等</w:t>
            </w:r>
          </w:p>
        </w:tc>
        <w:tc>
          <w:tcPr>
            <w:tcW w:w="820" w:type="pct"/>
            <w:shd w:val="clear" w:color="auto" w:fill="auto"/>
            <w:tcMar>
              <w:top w:w="15" w:type="dxa"/>
              <w:left w:w="15" w:type="dxa"/>
              <w:right w:w="15" w:type="dxa"/>
            </w:tcMar>
            <w:vAlign w:val="center"/>
          </w:tcPr>
          <w:p>
            <w:pPr>
              <w:shd w:val="clear"/>
              <w:bidi w:val="0"/>
              <w:jc w:val="center"/>
              <w:rPr>
                <w:rFonts w:hint="eastAsia"/>
                <w:color w:val="auto"/>
                <w:highlight w:val="none"/>
                <w:lang w:val="en-US" w:eastAsia="zh-CN"/>
              </w:rPr>
            </w:pPr>
            <w:r>
              <w:rPr>
                <w:rFonts w:hint="eastAsia"/>
                <w:color w:val="auto"/>
                <w:highlight w:val="none"/>
                <w:lang w:val="en-US" w:eastAsia="zh-CN"/>
              </w:rPr>
              <w:t>一、水泵检查周期为15天，检查内容:</w:t>
            </w:r>
            <w:r>
              <w:rPr>
                <w:rFonts w:hint="eastAsia"/>
                <w:color w:val="auto"/>
                <w:highlight w:val="none"/>
                <w:lang w:val="en-US" w:eastAsia="zh-CN"/>
              </w:rPr>
              <w:br w:type="textWrapping"/>
            </w:r>
            <w:r>
              <w:rPr>
                <w:rFonts w:hint="eastAsia"/>
                <w:color w:val="auto"/>
                <w:highlight w:val="none"/>
                <w:lang w:val="en-US" w:eastAsia="zh-CN"/>
              </w:rPr>
              <w:t>1、检查水泵是否堵塞；</w:t>
            </w:r>
            <w:r>
              <w:rPr>
                <w:rFonts w:hint="eastAsia"/>
                <w:color w:val="auto"/>
                <w:highlight w:val="none"/>
                <w:lang w:val="en-US" w:eastAsia="zh-CN"/>
              </w:rPr>
              <w:br w:type="textWrapping"/>
            </w:r>
            <w:r>
              <w:rPr>
                <w:rFonts w:hint="eastAsia"/>
                <w:color w:val="auto"/>
                <w:highlight w:val="none"/>
                <w:lang w:val="en-US" w:eastAsia="zh-CN"/>
              </w:rPr>
              <w:t>2、检查水泵电气线路；</w:t>
            </w:r>
            <w:r>
              <w:rPr>
                <w:rFonts w:hint="eastAsia"/>
                <w:color w:val="auto"/>
                <w:highlight w:val="none"/>
                <w:lang w:val="en-US" w:eastAsia="zh-CN"/>
              </w:rPr>
              <w:br w:type="textWrapping"/>
            </w:r>
            <w:r>
              <w:rPr>
                <w:rFonts w:hint="eastAsia"/>
                <w:color w:val="auto"/>
                <w:highlight w:val="none"/>
                <w:lang w:val="en-US" w:eastAsia="zh-CN"/>
              </w:rPr>
              <w:t>3、检查水泵耦合装置是否牢固；</w:t>
            </w:r>
            <w:r>
              <w:rPr>
                <w:rFonts w:hint="eastAsia"/>
                <w:color w:val="auto"/>
                <w:highlight w:val="none"/>
                <w:lang w:val="en-US" w:eastAsia="zh-CN"/>
              </w:rPr>
              <w:br w:type="textWrapping"/>
            </w:r>
            <w:r>
              <w:rPr>
                <w:rFonts w:hint="eastAsia"/>
                <w:color w:val="auto"/>
                <w:highlight w:val="none"/>
                <w:lang w:val="en-US" w:eastAsia="zh-CN"/>
              </w:rPr>
              <w:t>4、检查水泵管道是否漏水；</w:t>
            </w:r>
            <w:r>
              <w:rPr>
                <w:rFonts w:hint="eastAsia"/>
                <w:color w:val="auto"/>
                <w:highlight w:val="none"/>
                <w:lang w:val="en-US" w:eastAsia="zh-CN"/>
              </w:rPr>
              <w:br w:type="textWrapping"/>
            </w:r>
            <w:r>
              <w:rPr>
                <w:rFonts w:hint="eastAsia"/>
                <w:color w:val="auto"/>
                <w:highlight w:val="none"/>
                <w:lang w:val="en-US" w:eastAsia="zh-CN"/>
              </w:rPr>
              <w:t>5、检查保护水泵的浮球液位计是否损坏；</w:t>
            </w:r>
            <w:r>
              <w:rPr>
                <w:rFonts w:hint="eastAsia"/>
                <w:color w:val="auto"/>
                <w:highlight w:val="none"/>
                <w:lang w:val="en-US" w:eastAsia="zh-CN"/>
              </w:rPr>
              <w:br w:type="textWrapping"/>
            </w:r>
            <w:r>
              <w:rPr>
                <w:rFonts w:hint="eastAsia"/>
                <w:color w:val="auto"/>
                <w:highlight w:val="none"/>
                <w:lang w:val="en-US" w:eastAsia="zh-CN"/>
              </w:rPr>
              <w:t>6、检查水泵运行状态，是否正常或者有异响；</w:t>
            </w:r>
            <w:r>
              <w:rPr>
                <w:rFonts w:hint="eastAsia"/>
                <w:color w:val="auto"/>
                <w:highlight w:val="none"/>
                <w:lang w:val="en-US" w:eastAsia="zh-CN"/>
              </w:rPr>
              <w:br w:type="textWrapping"/>
            </w:r>
            <w:r>
              <w:rPr>
                <w:rFonts w:hint="eastAsia"/>
                <w:color w:val="auto"/>
                <w:highlight w:val="none"/>
                <w:lang w:val="en-US" w:eastAsia="zh-CN"/>
              </w:rPr>
              <w:t>二、泵池每2个月整池清理垃圾和淤泥，平时清理漂浮、格栅(滤网)等。</w:t>
            </w:r>
          </w:p>
        </w:tc>
        <w:tc>
          <w:tcPr>
            <w:tcW w:w="257" w:type="pct"/>
            <w:vMerge w:val="continue"/>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p>
        </w:tc>
        <w:tc>
          <w:tcPr>
            <w:tcW w:w="176" w:type="pct"/>
            <w:vMerge w:val="continue"/>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p>
        </w:tc>
        <w:tc>
          <w:tcPr>
            <w:tcW w:w="418" w:type="pct"/>
            <w:vMerge w:val="continue"/>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p>
        </w:tc>
        <w:tc>
          <w:tcPr>
            <w:tcW w:w="376" w:type="pct"/>
            <w:vMerge w:val="continue"/>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p>
        </w:tc>
        <w:tc>
          <w:tcPr>
            <w:tcW w:w="2194" w:type="pct"/>
            <w:vMerge w:val="continue"/>
            <w:shd w:val="clear" w:color="auto" w:fill="auto"/>
            <w:tcMar>
              <w:top w:w="15" w:type="dxa"/>
              <w:left w:w="15" w:type="dxa"/>
              <w:right w:w="15" w:type="dxa"/>
            </w:tcMar>
            <w:vAlign w:val="center"/>
          </w:tcPr>
          <w:p>
            <w:pPr>
              <w:shd w:val="clear"/>
              <w:bidi w:val="0"/>
              <w:jc w:val="center"/>
              <w:rPr>
                <w:rFonts w:hint="eastAsia"/>
                <w:color w:val="auto"/>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3360" w:hRule="atLeast"/>
        </w:trPr>
        <w:tc>
          <w:tcPr>
            <w:tcW w:w="175"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r>
              <w:rPr>
                <w:rFonts w:hint="eastAsia"/>
                <w:color w:val="auto"/>
                <w:highlight w:val="none"/>
                <w:lang w:val="en-US" w:eastAsia="zh-CN"/>
              </w:rPr>
              <w:t>3</w:t>
            </w:r>
          </w:p>
        </w:tc>
        <w:tc>
          <w:tcPr>
            <w:tcW w:w="579" w:type="pct"/>
            <w:shd w:val="clear" w:color="auto" w:fill="auto"/>
            <w:tcMar>
              <w:top w:w="15" w:type="dxa"/>
              <w:left w:w="15" w:type="dxa"/>
              <w:right w:w="15" w:type="dxa"/>
            </w:tcMar>
            <w:vAlign w:val="center"/>
          </w:tcPr>
          <w:p>
            <w:pPr>
              <w:shd w:val="clear"/>
              <w:bidi w:val="0"/>
              <w:jc w:val="center"/>
              <w:rPr>
                <w:rFonts w:hint="eastAsia"/>
                <w:color w:val="auto"/>
                <w:highlight w:val="none"/>
                <w:lang w:val="en-US" w:eastAsia="zh-CN"/>
              </w:rPr>
            </w:pPr>
            <w:r>
              <w:rPr>
                <w:rFonts w:hint="eastAsia"/>
                <w:color w:val="auto"/>
                <w:highlight w:val="none"/>
                <w:lang w:val="en-US" w:eastAsia="zh-CN"/>
              </w:rPr>
              <w:t>控制柜养护等</w:t>
            </w:r>
          </w:p>
        </w:tc>
        <w:tc>
          <w:tcPr>
            <w:tcW w:w="820" w:type="pct"/>
            <w:shd w:val="clear" w:color="auto" w:fill="auto"/>
            <w:tcMar>
              <w:top w:w="15" w:type="dxa"/>
              <w:left w:w="15" w:type="dxa"/>
              <w:right w:w="15" w:type="dxa"/>
            </w:tcMar>
            <w:vAlign w:val="center"/>
          </w:tcPr>
          <w:p>
            <w:pPr>
              <w:shd w:val="clear"/>
              <w:bidi w:val="0"/>
              <w:jc w:val="center"/>
              <w:rPr>
                <w:rFonts w:hint="eastAsia"/>
                <w:color w:val="auto"/>
                <w:highlight w:val="none"/>
                <w:lang w:val="en-US" w:eastAsia="zh-CN"/>
              </w:rPr>
            </w:pPr>
            <w:r>
              <w:rPr>
                <w:rFonts w:hint="eastAsia"/>
                <w:color w:val="auto"/>
                <w:highlight w:val="none"/>
                <w:lang w:val="en-US" w:eastAsia="zh-CN"/>
              </w:rPr>
              <w:t>控制柜养护检查周期为15天，检查内容:</w:t>
            </w:r>
            <w:r>
              <w:rPr>
                <w:rFonts w:hint="eastAsia"/>
                <w:color w:val="auto"/>
                <w:highlight w:val="none"/>
                <w:lang w:val="en-US" w:eastAsia="zh-CN"/>
              </w:rPr>
              <w:br w:type="textWrapping"/>
            </w:r>
            <w:r>
              <w:rPr>
                <w:rFonts w:hint="eastAsia"/>
                <w:color w:val="auto"/>
                <w:highlight w:val="none"/>
                <w:lang w:val="en-US" w:eastAsia="zh-CN"/>
              </w:rPr>
              <w:t>1、检查柜内电气元器件是否有损坏；</w:t>
            </w:r>
            <w:r>
              <w:rPr>
                <w:rFonts w:hint="eastAsia"/>
                <w:color w:val="auto"/>
                <w:highlight w:val="none"/>
                <w:lang w:val="en-US" w:eastAsia="zh-CN"/>
              </w:rPr>
              <w:br w:type="textWrapping"/>
            </w:r>
            <w:r>
              <w:rPr>
                <w:rFonts w:hint="eastAsia"/>
                <w:color w:val="auto"/>
                <w:highlight w:val="none"/>
                <w:lang w:val="en-US" w:eastAsia="zh-CN"/>
              </w:rPr>
              <w:t>2、检查柜内接线是否有老化或者</w:t>
            </w:r>
            <w:r>
              <w:rPr>
                <w:rFonts w:hint="eastAsia"/>
                <w:color w:val="auto"/>
                <w:highlight w:val="none"/>
                <w:lang w:val="en-US" w:eastAsia="zh-CN"/>
              </w:rPr>
              <w:br w:type="textWrapping"/>
            </w:r>
            <w:r>
              <w:rPr>
                <w:rFonts w:hint="eastAsia"/>
                <w:color w:val="auto"/>
                <w:highlight w:val="none"/>
                <w:lang w:val="en-US" w:eastAsia="zh-CN"/>
              </w:rPr>
              <w:t>松动，接地是否正常；</w:t>
            </w:r>
            <w:r>
              <w:rPr>
                <w:rFonts w:hint="eastAsia"/>
                <w:color w:val="auto"/>
                <w:highlight w:val="none"/>
                <w:lang w:val="en-US" w:eastAsia="zh-CN"/>
              </w:rPr>
              <w:br w:type="textWrapping"/>
            </w:r>
            <w:r>
              <w:rPr>
                <w:rFonts w:hint="eastAsia"/>
                <w:color w:val="auto"/>
                <w:highlight w:val="none"/>
                <w:lang w:val="en-US" w:eastAsia="zh-CN"/>
              </w:rPr>
              <w:t>3、检查控制柜内潮气是否严重，如果水气严重需重新密封进线孔；</w:t>
            </w:r>
            <w:r>
              <w:rPr>
                <w:rFonts w:hint="eastAsia"/>
                <w:color w:val="auto"/>
                <w:highlight w:val="none"/>
                <w:lang w:val="en-US" w:eastAsia="zh-CN"/>
              </w:rPr>
              <w:br w:type="textWrapping"/>
            </w:r>
            <w:r>
              <w:rPr>
                <w:rFonts w:hint="eastAsia"/>
                <w:color w:val="auto"/>
                <w:highlight w:val="none"/>
                <w:lang w:val="en-US" w:eastAsia="zh-CN"/>
              </w:rPr>
              <w:t>4、检查各设备是否能在控制柜正常操作；</w:t>
            </w:r>
            <w:r>
              <w:rPr>
                <w:rFonts w:hint="eastAsia"/>
                <w:color w:val="auto"/>
                <w:highlight w:val="none"/>
                <w:lang w:val="en-US" w:eastAsia="zh-CN"/>
              </w:rPr>
              <w:br w:type="textWrapping"/>
            </w:r>
            <w:r>
              <w:rPr>
                <w:rFonts w:hint="eastAsia"/>
                <w:color w:val="auto"/>
                <w:highlight w:val="none"/>
                <w:lang w:val="en-US" w:eastAsia="zh-CN"/>
              </w:rPr>
              <w:t>5、检查控制柜供电是否正常。</w:t>
            </w:r>
          </w:p>
        </w:tc>
        <w:tc>
          <w:tcPr>
            <w:tcW w:w="257" w:type="pct"/>
            <w:vMerge w:val="continue"/>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p>
        </w:tc>
        <w:tc>
          <w:tcPr>
            <w:tcW w:w="176" w:type="pct"/>
            <w:vMerge w:val="continue"/>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p>
        </w:tc>
        <w:tc>
          <w:tcPr>
            <w:tcW w:w="418" w:type="pct"/>
            <w:vMerge w:val="continue"/>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p>
        </w:tc>
        <w:tc>
          <w:tcPr>
            <w:tcW w:w="376" w:type="pct"/>
            <w:vMerge w:val="continue"/>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p>
        </w:tc>
        <w:tc>
          <w:tcPr>
            <w:tcW w:w="2194" w:type="pct"/>
            <w:vMerge w:val="continue"/>
            <w:shd w:val="clear" w:color="auto" w:fill="auto"/>
            <w:tcMar>
              <w:top w:w="15" w:type="dxa"/>
              <w:left w:w="15" w:type="dxa"/>
              <w:right w:w="15" w:type="dxa"/>
            </w:tcMar>
            <w:vAlign w:val="center"/>
          </w:tcPr>
          <w:p>
            <w:pPr>
              <w:shd w:val="clear"/>
              <w:bidi w:val="0"/>
              <w:jc w:val="center"/>
              <w:rPr>
                <w:rFonts w:hint="eastAsia"/>
                <w:color w:val="auto"/>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860" w:hRule="atLeast"/>
        </w:trPr>
        <w:tc>
          <w:tcPr>
            <w:tcW w:w="175"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r>
              <w:rPr>
                <w:rFonts w:hint="eastAsia"/>
                <w:color w:val="auto"/>
                <w:highlight w:val="none"/>
                <w:lang w:val="en-US" w:eastAsia="zh-CN"/>
              </w:rPr>
              <w:t>二</w:t>
            </w:r>
          </w:p>
        </w:tc>
        <w:tc>
          <w:tcPr>
            <w:tcW w:w="579"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r>
              <w:rPr>
                <w:rFonts w:hint="eastAsia"/>
                <w:color w:val="auto"/>
                <w:highlight w:val="none"/>
                <w:lang w:val="en-US" w:eastAsia="zh-CN"/>
              </w:rPr>
              <w:t>提升井</w:t>
            </w:r>
          </w:p>
        </w:tc>
        <w:tc>
          <w:tcPr>
            <w:tcW w:w="820"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p>
        </w:tc>
        <w:tc>
          <w:tcPr>
            <w:tcW w:w="257"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p>
        </w:tc>
        <w:tc>
          <w:tcPr>
            <w:tcW w:w="176"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p>
        </w:tc>
        <w:tc>
          <w:tcPr>
            <w:tcW w:w="418"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p>
        </w:tc>
        <w:tc>
          <w:tcPr>
            <w:tcW w:w="376"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p>
        </w:tc>
        <w:tc>
          <w:tcPr>
            <w:tcW w:w="2194" w:type="pct"/>
            <w:vMerge w:val="continue"/>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940" w:hRule="atLeast"/>
        </w:trPr>
        <w:tc>
          <w:tcPr>
            <w:tcW w:w="175"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r>
              <w:rPr>
                <w:rFonts w:hint="eastAsia"/>
                <w:color w:val="auto"/>
                <w:highlight w:val="none"/>
                <w:lang w:val="en-US" w:eastAsia="zh-CN"/>
              </w:rPr>
              <w:t>4</w:t>
            </w:r>
          </w:p>
        </w:tc>
        <w:tc>
          <w:tcPr>
            <w:tcW w:w="579" w:type="pct"/>
            <w:shd w:val="clear" w:color="auto" w:fill="auto"/>
            <w:tcMar>
              <w:top w:w="15" w:type="dxa"/>
              <w:left w:w="15" w:type="dxa"/>
              <w:right w:w="15" w:type="dxa"/>
            </w:tcMar>
            <w:vAlign w:val="center"/>
          </w:tcPr>
          <w:p>
            <w:pPr>
              <w:shd w:val="clear"/>
              <w:bidi w:val="0"/>
              <w:jc w:val="center"/>
              <w:rPr>
                <w:rFonts w:hint="eastAsia"/>
                <w:color w:val="auto"/>
                <w:highlight w:val="none"/>
                <w:lang w:val="en-US" w:eastAsia="zh-CN"/>
              </w:rPr>
            </w:pPr>
            <w:r>
              <w:rPr>
                <w:rFonts w:hint="eastAsia"/>
                <w:color w:val="auto"/>
                <w:highlight w:val="none"/>
                <w:lang w:val="en-US" w:eastAsia="zh-CN"/>
              </w:rPr>
              <w:t>提升井内水泵、控制柜养护</w:t>
            </w:r>
          </w:p>
        </w:tc>
        <w:tc>
          <w:tcPr>
            <w:tcW w:w="820" w:type="pct"/>
            <w:shd w:val="clear" w:color="auto" w:fill="auto"/>
            <w:tcMar>
              <w:top w:w="15" w:type="dxa"/>
              <w:left w:w="15" w:type="dxa"/>
              <w:right w:w="15" w:type="dxa"/>
            </w:tcMar>
            <w:vAlign w:val="center"/>
          </w:tcPr>
          <w:p>
            <w:pPr>
              <w:shd w:val="clear"/>
              <w:bidi w:val="0"/>
              <w:jc w:val="center"/>
              <w:rPr>
                <w:rFonts w:hint="eastAsia"/>
                <w:color w:val="auto"/>
                <w:highlight w:val="none"/>
                <w:lang w:val="en-US" w:eastAsia="zh-CN"/>
              </w:rPr>
            </w:pPr>
            <w:r>
              <w:rPr>
                <w:rFonts w:hint="eastAsia"/>
                <w:color w:val="auto"/>
                <w:highlight w:val="none"/>
                <w:lang w:val="en-US" w:eastAsia="zh-CN"/>
              </w:rPr>
              <w:t>一、检查周期为15天，检查内容:</w:t>
            </w:r>
            <w:r>
              <w:rPr>
                <w:rFonts w:hint="eastAsia"/>
                <w:color w:val="auto"/>
                <w:highlight w:val="none"/>
                <w:lang w:val="en-US" w:eastAsia="zh-CN"/>
              </w:rPr>
              <w:br w:type="textWrapping"/>
            </w:r>
            <w:r>
              <w:rPr>
                <w:rFonts w:hint="eastAsia"/>
                <w:color w:val="auto"/>
                <w:highlight w:val="none"/>
                <w:lang w:val="en-US" w:eastAsia="zh-CN"/>
              </w:rPr>
              <w:t>1、检查水泵是否堵塞；</w:t>
            </w:r>
            <w:r>
              <w:rPr>
                <w:rFonts w:hint="eastAsia"/>
                <w:color w:val="auto"/>
                <w:highlight w:val="none"/>
                <w:lang w:val="en-US" w:eastAsia="zh-CN"/>
              </w:rPr>
              <w:br w:type="textWrapping"/>
            </w:r>
            <w:r>
              <w:rPr>
                <w:rFonts w:hint="eastAsia"/>
                <w:color w:val="auto"/>
                <w:highlight w:val="none"/>
                <w:lang w:val="en-US" w:eastAsia="zh-CN"/>
              </w:rPr>
              <w:t>2、检查水泵、控制柜电气线路；</w:t>
            </w:r>
            <w:r>
              <w:rPr>
                <w:rFonts w:hint="eastAsia"/>
                <w:color w:val="auto"/>
                <w:highlight w:val="none"/>
                <w:lang w:val="en-US" w:eastAsia="zh-CN"/>
              </w:rPr>
              <w:br w:type="textWrapping"/>
            </w:r>
            <w:r>
              <w:rPr>
                <w:rFonts w:hint="eastAsia"/>
                <w:color w:val="auto"/>
                <w:highlight w:val="none"/>
                <w:lang w:val="en-US" w:eastAsia="zh-CN"/>
              </w:rPr>
              <w:t>3、检查浮球液位计是否损坏；</w:t>
            </w:r>
            <w:r>
              <w:rPr>
                <w:rFonts w:hint="eastAsia"/>
                <w:color w:val="auto"/>
                <w:highlight w:val="none"/>
                <w:lang w:val="en-US" w:eastAsia="zh-CN"/>
              </w:rPr>
              <w:br w:type="textWrapping"/>
            </w:r>
            <w:r>
              <w:rPr>
                <w:rFonts w:hint="eastAsia"/>
                <w:color w:val="auto"/>
                <w:highlight w:val="none"/>
                <w:lang w:val="en-US" w:eastAsia="zh-CN"/>
              </w:rPr>
              <w:t>4、及时清理、外运、处理井内垃圾及淤泥，确保提升井工作正常；</w:t>
            </w:r>
            <w:r>
              <w:rPr>
                <w:rFonts w:hint="eastAsia"/>
                <w:color w:val="auto"/>
                <w:highlight w:val="none"/>
                <w:lang w:val="en-US" w:eastAsia="zh-CN"/>
              </w:rPr>
              <w:br w:type="textWrapping"/>
            </w:r>
            <w:r>
              <w:rPr>
                <w:rFonts w:hint="eastAsia"/>
                <w:color w:val="auto"/>
                <w:highlight w:val="none"/>
                <w:lang w:val="en-US" w:eastAsia="zh-CN"/>
              </w:rPr>
              <w:t>5、潜水员井下作业及气囊封堵，水泵降水排水。</w:t>
            </w:r>
          </w:p>
        </w:tc>
        <w:tc>
          <w:tcPr>
            <w:tcW w:w="257"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r>
              <w:rPr>
                <w:rFonts w:hint="eastAsia"/>
                <w:color w:val="auto"/>
                <w:highlight w:val="none"/>
                <w:lang w:val="en-US" w:eastAsia="zh-CN"/>
              </w:rPr>
              <w:t>69</w:t>
            </w:r>
          </w:p>
        </w:tc>
        <w:tc>
          <w:tcPr>
            <w:tcW w:w="176"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r>
              <w:rPr>
                <w:rFonts w:hint="eastAsia"/>
                <w:color w:val="auto"/>
                <w:highlight w:val="none"/>
                <w:lang w:val="en-US" w:eastAsia="zh-CN"/>
              </w:rPr>
              <w:t>台</w:t>
            </w:r>
          </w:p>
        </w:tc>
        <w:tc>
          <w:tcPr>
            <w:tcW w:w="418"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p>
        </w:tc>
        <w:tc>
          <w:tcPr>
            <w:tcW w:w="376"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p>
        </w:tc>
        <w:tc>
          <w:tcPr>
            <w:tcW w:w="2194" w:type="pct"/>
            <w:vMerge w:val="continue"/>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860" w:hRule="atLeast"/>
        </w:trPr>
        <w:tc>
          <w:tcPr>
            <w:tcW w:w="175"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r>
              <w:rPr>
                <w:rFonts w:hint="eastAsia"/>
                <w:color w:val="auto"/>
                <w:highlight w:val="none"/>
                <w:lang w:val="en-US" w:eastAsia="zh-CN"/>
              </w:rPr>
              <w:t>三</w:t>
            </w:r>
          </w:p>
        </w:tc>
        <w:tc>
          <w:tcPr>
            <w:tcW w:w="579"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r>
              <w:rPr>
                <w:rFonts w:hint="eastAsia"/>
                <w:color w:val="auto"/>
                <w:highlight w:val="none"/>
                <w:lang w:val="en-US" w:eastAsia="zh-CN"/>
              </w:rPr>
              <w:t>管网</w:t>
            </w:r>
          </w:p>
        </w:tc>
        <w:tc>
          <w:tcPr>
            <w:tcW w:w="820"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p>
        </w:tc>
        <w:tc>
          <w:tcPr>
            <w:tcW w:w="257"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p>
        </w:tc>
        <w:tc>
          <w:tcPr>
            <w:tcW w:w="176"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p>
        </w:tc>
        <w:tc>
          <w:tcPr>
            <w:tcW w:w="418"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p>
        </w:tc>
        <w:tc>
          <w:tcPr>
            <w:tcW w:w="376"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p>
        </w:tc>
        <w:tc>
          <w:tcPr>
            <w:tcW w:w="2194"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4700" w:hRule="atLeast"/>
        </w:trPr>
        <w:tc>
          <w:tcPr>
            <w:tcW w:w="175"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r>
              <w:rPr>
                <w:rFonts w:hint="eastAsia"/>
                <w:color w:val="auto"/>
                <w:highlight w:val="none"/>
                <w:lang w:val="en-US" w:eastAsia="zh-CN"/>
              </w:rPr>
              <w:t>5</w:t>
            </w:r>
          </w:p>
        </w:tc>
        <w:tc>
          <w:tcPr>
            <w:tcW w:w="579"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r>
              <w:rPr>
                <w:rFonts w:hint="eastAsia"/>
                <w:color w:val="auto"/>
                <w:highlight w:val="none"/>
                <w:lang w:val="en-US" w:eastAsia="zh-CN"/>
              </w:rPr>
              <w:t>管网清通养护</w:t>
            </w:r>
          </w:p>
        </w:tc>
        <w:tc>
          <w:tcPr>
            <w:tcW w:w="820" w:type="pct"/>
            <w:shd w:val="clear" w:color="auto" w:fill="auto"/>
            <w:tcMar>
              <w:top w:w="15" w:type="dxa"/>
              <w:left w:w="15" w:type="dxa"/>
              <w:right w:w="15" w:type="dxa"/>
            </w:tcMar>
            <w:vAlign w:val="center"/>
          </w:tcPr>
          <w:p>
            <w:pPr>
              <w:shd w:val="clear"/>
              <w:bidi w:val="0"/>
              <w:jc w:val="center"/>
              <w:rPr>
                <w:rFonts w:hint="eastAsia"/>
                <w:color w:val="auto"/>
                <w:highlight w:val="none"/>
                <w:lang w:val="en-US" w:eastAsia="zh-CN"/>
              </w:rPr>
            </w:pPr>
            <w:r>
              <w:rPr>
                <w:rFonts w:hint="eastAsia"/>
                <w:color w:val="auto"/>
                <w:highlight w:val="none"/>
                <w:lang w:val="en-US" w:eastAsia="zh-CN"/>
              </w:rPr>
              <w:t>1、管道保养率100%，每年对污水管网全线疏通二次及零星清通，清通方式自行考虑;人工清运污泥及外运，运距自定，处置费用自行考虑，管道局部点位不能清通，采用反光镜或视频检查；</w:t>
            </w:r>
            <w:r>
              <w:rPr>
                <w:rFonts w:hint="eastAsia"/>
                <w:color w:val="auto"/>
                <w:highlight w:val="none"/>
                <w:lang w:val="en-US" w:eastAsia="zh-CN"/>
              </w:rPr>
              <w:br w:type="textWrapping"/>
            </w:r>
            <w:r>
              <w:rPr>
                <w:rFonts w:hint="eastAsia"/>
                <w:color w:val="auto"/>
                <w:highlight w:val="none"/>
                <w:lang w:val="en-US" w:eastAsia="zh-CN"/>
              </w:rPr>
              <w:t>2、检查井保养率100%，人工清掏检查井，机械配合作业；</w:t>
            </w:r>
            <w:r>
              <w:rPr>
                <w:rFonts w:hint="eastAsia"/>
                <w:color w:val="auto"/>
                <w:highlight w:val="none"/>
                <w:lang w:val="en-US" w:eastAsia="zh-CN"/>
              </w:rPr>
              <w:br w:type="textWrapping"/>
            </w:r>
            <w:r>
              <w:rPr>
                <w:rFonts w:hint="eastAsia"/>
                <w:color w:val="auto"/>
                <w:highlight w:val="none"/>
                <w:lang w:val="en-US" w:eastAsia="zh-CN"/>
              </w:rPr>
              <w:t>3、检查井的井圈盖的破损更换、丢失补充、养护及所涉及的路面恢复；</w:t>
            </w:r>
            <w:r>
              <w:rPr>
                <w:rFonts w:hint="eastAsia"/>
                <w:color w:val="auto"/>
                <w:highlight w:val="none"/>
                <w:lang w:val="en-US" w:eastAsia="zh-CN"/>
              </w:rPr>
              <w:br w:type="textWrapping"/>
            </w:r>
            <w:r>
              <w:rPr>
                <w:rFonts w:hint="eastAsia"/>
                <w:color w:val="auto"/>
                <w:highlight w:val="none"/>
                <w:lang w:val="en-US" w:eastAsia="zh-CN"/>
              </w:rPr>
              <w:t>4、管道日常巡视率100%，地块雨水口巡查，保证每月一次，汛期根据雨情水情动态加密频次。</w:t>
            </w:r>
          </w:p>
        </w:tc>
        <w:tc>
          <w:tcPr>
            <w:tcW w:w="257"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r>
              <w:rPr>
                <w:rFonts w:hint="eastAsia"/>
                <w:color w:val="auto"/>
                <w:highlight w:val="none"/>
                <w:lang w:val="en-US" w:eastAsia="zh-CN"/>
              </w:rPr>
              <w:t>83004</w:t>
            </w:r>
          </w:p>
        </w:tc>
        <w:tc>
          <w:tcPr>
            <w:tcW w:w="176"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r>
              <w:rPr>
                <w:rFonts w:hint="eastAsia"/>
                <w:color w:val="auto"/>
                <w:highlight w:val="none"/>
                <w:lang w:val="en-US" w:eastAsia="zh-CN"/>
              </w:rPr>
              <w:t>米</w:t>
            </w:r>
          </w:p>
        </w:tc>
        <w:tc>
          <w:tcPr>
            <w:tcW w:w="418"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p>
        </w:tc>
        <w:tc>
          <w:tcPr>
            <w:tcW w:w="376"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p>
        </w:tc>
        <w:tc>
          <w:tcPr>
            <w:tcW w:w="2194" w:type="pct"/>
            <w:shd w:val="clear" w:color="auto" w:fill="auto"/>
            <w:tcMar>
              <w:top w:w="15" w:type="dxa"/>
              <w:left w:w="15" w:type="dxa"/>
              <w:right w:w="15" w:type="dxa"/>
            </w:tcMar>
            <w:vAlign w:val="center"/>
          </w:tcPr>
          <w:p>
            <w:pPr>
              <w:shd w:val="clear"/>
              <w:bidi w:val="0"/>
              <w:jc w:val="center"/>
              <w:rPr>
                <w:rFonts w:hint="eastAsia"/>
                <w:color w:val="auto"/>
                <w:highlight w:val="none"/>
                <w:lang w:val="en-US" w:eastAsia="zh-CN"/>
              </w:rPr>
            </w:pPr>
            <w:r>
              <w:rPr>
                <w:rFonts w:hint="eastAsia"/>
                <w:color w:val="auto"/>
                <w:highlight w:val="none"/>
                <w:lang w:val="en-US" w:eastAsia="zh-CN"/>
              </w:rPr>
              <w:t>1、含养护范围所有污水管网及配套检查井，不同管径费用综合考虑。含管网疏通清淤、清理垃圾，检查井淤泥清掏、垃圾清理等，确保管道畅通，不溢水。含淤泥及垃圾外运、管线日常巡视、人工局部井下或管内清掏作业及保护措施、临时橡胶气囊封堵、临时排水、临时局部检查检测等。</w:t>
            </w:r>
            <w:r>
              <w:rPr>
                <w:rFonts w:hint="eastAsia"/>
                <w:color w:val="auto"/>
                <w:highlight w:val="none"/>
                <w:lang w:val="en-US" w:eastAsia="zh-CN"/>
              </w:rPr>
              <w:br w:type="textWrapping"/>
            </w:r>
            <w:r>
              <w:rPr>
                <w:rFonts w:hint="eastAsia"/>
                <w:color w:val="auto"/>
                <w:highlight w:val="none"/>
                <w:lang w:val="en-US" w:eastAsia="zh-CN"/>
              </w:rPr>
              <w:t>2、详见附件一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820" w:hRule="atLeast"/>
        </w:trPr>
        <w:tc>
          <w:tcPr>
            <w:tcW w:w="175"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r>
              <w:rPr>
                <w:rFonts w:hint="eastAsia"/>
                <w:color w:val="auto"/>
                <w:highlight w:val="none"/>
                <w:lang w:val="en-US" w:eastAsia="zh-CN"/>
              </w:rPr>
              <w:t>四</w:t>
            </w:r>
          </w:p>
        </w:tc>
        <w:tc>
          <w:tcPr>
            <w:tcW w:w="579"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r>
              <w:rPr>
                <w:rFonts w:hint="eastAsia"/>
                <w:color w:val="auto"/>
                <w:highlight w:val="none"/>
                <w:lang w:val="en-US" w:eastAsia="zh-CN"/>
              </w:rPr>
              <w:t>其他</w:t>
            </w:r>
          </w:p>
        </w:tc>
        <w:tc>
          <w:tcPr>
            <w:tcW w:w="820"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p>
        </w:tc>
        <w:tc>
          <w:tcPr>
            <w:tcW w:w="257"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p>
        </w:tc>
        <w:tc>
          <w:tcPr>
            <w:tcW w:w="176"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p>
        </w:tc>
        <w:tc>
          <w:tcPr>
            <w:tcW w:w="418"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p>
        </w:tc>
        <w:tc>
          <w:tcPr>
            <w:tcW w:w="376"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p>
        </w:tc>
        <w:tc>
          <w:tcPr>
            <w:tcW w:w="2194"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020" w:hRule="atLeast"/>
        </w:trPr>
        <w:tc>
          <w:tcPr>
            <w:tcW w:w="175"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r>
              <w:rPr>
                <w:rFonts w:hint="eastAsia"/>
                <w:color w:val="auto"/>
                <w:highlight w:val="none"/>
                <w:lang w:val="en-US" w:eastAsia="zh-CN"/>
              </w:rPr>
              <w:t>6</w:t>
            </w:r>
          </w:p>
        </w:tc>
        <w:tc>
          <w:tcPr>
            <w:tcW w:w="579"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r>
              <w:rPr>
                <w:rFonts w:hint="eastAsia"/>
                <w:color w:val="auto"/>
                <w:highlight w:val="none"/>
                <w:lang w:val="en-US" w:eastAsia="zh-CN"/>
              </w:rPr>
              <w:t>应急排查及抢修</w:t>
            </w:r>
          </w:p>
        </w:tc>
        <w:tc>
          <w:tcPr>
            <w:tcW w:w="820" w:type="pct"/>
            <w:shd w:val="clear" w:color="auto" w:fill="auto"/>
            <w:tcMar>
              <w:top w:w="15" w:type="dxa"/>
              <w:left w:w="15" w:type="dxa"/>
              <w:right w:w="15" w:type="dxa"/>
            </w:tcMar>
            <w:vAlign w:val="center"/>
          </w:tcPr>
          <w:p>
            <w:pPr>
              <w:shd w:val="clear"/>
              <w:bidi w:val="0"/>
              <w:jc w:val="center"/>
              <w:rPr>
                <w:rFonts w:hint="eastAsia"/>
                <w:color w:val="auto"/>
                <w:highlight w:val="none"/>
                <w:lang w:val="en-US" w:eastAsia="zh-CN"/>
              </w:rPr>
            </w:pPr>
            <w:r>
              <w:rPr>
                <w:rFonts w:hint="eastAsia"/>
                <w:color w:val="auto"/>
                <w:highlight w:val="none"/>
                <w:lang w:val="en-US" w:eastAsia="zh-CN"/>
              </w:rPr>
              <w:t>1、包含管网临时封堵、翻水、应急排查、检测，疏通及小范围应急管网修复等</w:t>
            </w:r>
          </w:p>
        </w:tc>
        <w:tc>
          <w:tcPr>
            <w:tcW w:w="257"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r>
              <w:rPr>
                <w:rFonts w:hint="eastAsia"/>
                <w:color w:val="auto"/>
                <w:highlight w:val="none"/>
                <w:lang w:val="en-US" w:eastAsia="zh-CN"/>
              </w:rPr>
              <w:t>1</w:t>
            </w:r>
          </w:p>
        </w:tc>
        <w:tc>
          <w:tcPr>
            <w:tcW w:w="176"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r>
              <w:rPr>
                <w:rFonts w:hint="eastAsia"/>
                <w:color w:val="auto"/>
                <w:highlight w:val="none"/>
                <w:lang w:val="en-US" w:eastAsia="zh-CN"/>
              </w:rPr>
              <w:t>项</w:t>
            </w:r>
          </w:p>
        </w:tc>
        <w:tc>
          <w:tcPr>
            <w:tcW w:w="418"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r>
              <w:rPr>
                <w:rFonts w:hint="eastAsia"/>
                <w:color w:val="auto"/>
                <w:highlight w:val="none"/>
                <w:lang w:val="en-US" w:eastAsia="zh-CN"/>
              </w:rPr>
              <w:t>25000</w:t>
            </w:r>
          </w:p>
        </w:tc>
        <w:tc>
          <w:tcPr>
            <w:tcW w:w="376" w:type="pct"/>
            <w:shd w:val="clear" w:color="auto" w:fill="auto"/>
            <w:noWrap/>
            <w:tcMar>
              <w:top w:w="15" w:type="dxa"/>
              <w:left w:w="15" w:type="dxa"/>
              <w:right w:w="15" w:type="dxa"/>
            </w:tcMar>
            <w:vAlign w:val="center"/>
          </w:tcPr>
          <w:p>
            <w:pPr>
              <w:shd w:val="clear"/>
              <w:bidi w:val="0"/>
              <w:jc w:val="center"/>
              <w:rPr>
                <w:rFonts w:hint="default"/>
                <w:color w:val="auto"/>
                <w:highlight w:val="none"/>
                <w:lang w:val="en-US" w:eastAsia="zh-CN"/>
              </w:rPr>
            </w:pPr>
            <w:r>
              <w:rPr>
                <w:rFonts w:hint="eastAsia"/>
                <w:color w:val="auto"/>
                <w:highlight w:val="none"/>
                <w:lang w:val="en-US" w:eastAsia="zh-CN"/>
              </w:rPr>
              <w:t>25000</w:t>
            </w:r>
          </w:p>
        </w:tc>
        <w:tc>
          <w:tcPr>
            <w:tcW w:w="2194" w:type="pct"/>
            <w:shd w:val="clear" w:color="auto" w:fill="auto"/>
            <w:noWrap/>
            <w:tcMar>
              <w:top w:w="15" w:type="dxa"/>
              <w:left w:w="15" w:type="dxa"/>
              <w:right w:w="15" w:type="dxa"/>
            </w:tcMar>
            <w:vAlign w:val="center"/>
          </w:tcPr>
          <w:p>
            <w:pPr>
              <w:shd w:val="clear"/>
              <w:bidi w:val="0"/>
              <w:jc w:val="center"/>
              <w:rPr>
                <w:rFonts w:hint="default"/>
                <w:color w:val="auto"/>
                <w:highlight w:val="none"/>
                <w:lang w:val="en-US" w:eastAsia="zh-CN"/>
              </w:rPr>
            </w:pPr>
            <w:r>
              <w:rPr>
                <w:rFonts w:hint="eastAsia"/>
                <w:color w:val="auto"/>
                <w:highlight w:val="none"/>
                <w:lang w:val="en-US" w:eastAsia="zh-CN"/>
              </w:rPr>
              <w:t>此费用为固定费用，投标人无需报价。结算时，此部分按实结算。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1020" w:hRule="atLeast"/>
        </w:trPr>
        <w:tc>
          <w:tcPr>
            <w:tcW w:w="1576" w:type="pct"/>
            <w:gridSpan w:val="3"/>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r>
              <w:rPr>
                <w:rFonts w:hint="eastAsia"/>
                <w:color w:val="auto"/>
                <w:highlight w:val="none"/>
                <w:lang w:val="en-US" w:eastAsia="zh-CN"/>
              </w:rPr>
              <w:t>合价</w:t>
            </w:r>
          </w:p>
        </w:tc>
        <w:tc>
          <w:tcPr>
            <w:tcW w:w="257"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p>
        </w:tc>
        <w:tc>
          <w:tcPr>
            <w:tcW w:w="176"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p>
        </w:tc>
        <w:tc>
          <w:tcPr>
            <w:tcW w:w="418"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p>
        </w:tc>
        <w:tc>
          <w:tcPr>
            <w:tcW w:w="376"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p>
        </w:tc>
        <w:tc>
          <w:tcPr>
            <w:tcW w:w="2194" w:type="pct"/>
            <w:shd w:val="clear" w:color="auto" w:fill="auto"/>
            <w:noWrap/>
            <w:tcMar>
              <w:top w:w="15" w:type="dxa"/>
              <w:left w:w="15" w:type="dxa"/>
              <w:right w:w="15" w:type="dxa"/>
            </w:tcMar>
            <w:vAlign w:val="center"/>
          </w:tcPr>
          <w:p>
            <w:pPr>
              <w:shd w:val="clear"/>
              <w:bidi w:val="0"/>
              <w:jc w:val="center"/>
              <w:rPr>
                <w:rFonts w:hint="eastAsia"/>
                <w:color w:val="auto"/>
                <w:highlight w:val="none"/>
                <w:lang w:val="en-US" w:eastAsia="zh-CN"/>
              </w:rPr>
            </w:pPr>
          </w:p>
        </w:tc>
      </w:tr>
    </w:tbl>
    <w:p>
      <w:pPr>
        <w:shd w:val="clear"/>
        <w:bidi w:val="0"/>
        <w:rPr>
          <w:rFonts w:hint="eastAsia"/>
          <w:color w:val="auto"/>
          <w:highlight w:val="none"/>
          <w:lang w:val="en-US" w:eastAsia="zh-CN"/>
        </w:rPr>
      </w:pPr>
    </w:p>
    <w:p>
      <w:pPr>
        <w:shd w:val="clear"/>
        <w:bidi w:val="0"/>
        <w:rPr>
          <w:rFonts w:hint="eastAsia"/>
          <w:color w:val="auto"/>
          <w:highlight w:val="none"/>
          <w:lang w:val="en-US" w:eastAsia="zh-CN"/>
        </w:rPr>
      </w:pPr>
    </w:p>
    <w:p>
      <w:pPr>
        <w:pStyle w:val="28"/>
        <w:shd w:val="clear"/>
        <w:rPr>
          <w:rFonts w:hint="eastAsia"/>
          <w:color w:val="auto"/>
          <w:highlight w:val="none"/>
          <w:lang w:val="en-US" w:eastAsia="zh-CN"/>
        </w:rPr>
      </w:pPr>
    </w:p>
    <w:p>
      <w:pPr>
        <w:shd w:val="clear"/>
        <w:spacing w:line="480" w:lineRule="auto"/>
        <w:outlineLvl w:val="9"/>
        <w:rPr>
          <w:rFonts w:hint="eastAsia" w:ascii="宋体" w:hAnsi="宋体" w:eastAsia="宋体" w:cs="Times New Roman"/>
          <w:bCs/>
          <w:color w:val="auto"/>
          <w:kern w:val="0"/>
          <w:sz w:val="24"/>
          <w:szCs w:val="20"/>
          <w:highlight w:val="none"/>
          <w:lang w:val="en-US" w:bidi="ar-SA"/>
        </w:rPr>
      </w:pPr>
      <w:r>
        <w:rPr>
          <w:rFonts w:hint="eastAsia" w:ascii="宋体" w:hAnsi="宋体" w:eastAsia="宋体" w:cs="Times New Roman"/>
          <w:bCs/>
          <w:color w:val="auto"/>
          <w:kern w:val="0"/>
          <w:sz w:val="24"/>
          <w:szCs w:val="20"/>
          <w:highlight w:val="none"/>
          <w:lang w:val="en-US" w:bidi="ar-SA"/>
        </w:rPr>
        <w:t>供应商（盖章）：</w:t>
      </w:r>
    </w:p>
    <w:p>
      <w:pPr>
        <w:shd w:val="clear"/>
        <w:spacing w:line="480" w:lineRule="auto"/>
        <w:outlineLvl w:val="9"/>
        <w:rPr>
          <w:rFonts w:hint="eastAsia" w:ascii="宋体" w:hAnsi="宋体" w:eastAsia="宋体" w:cs="Times New Roman"/>
          <w:bCs/>
          <w:color w:val="auto"/>
          <w:kern w:val="0"/>
          <w:sz w:val="24"/>
          <w:szCs w:val="20"/>
          <w:highlight w:val="none"/>
          <w:lang w:val="en-US" w:bidi="ar-SA"/>
        </w:rPr>
      </w:pPr>
      <w:r>
        <w:rPr>
          <w:rFonts w:hint="eastAsia" w:ascii="宋体" w:hAnsi="宋体" w:eastAsia="宋体" w:cs="Times New Roman"/>
          <w:bCs/>
          <w:color w:val="auto"/>
          <w:kern w:val="0"/>
          <w:sz w:val="24"/>
          <w:szCs w:val="20"/>
          <w:highlight w:val="none"/>
          <w:lang w:val="en-US" w:bidi="ar-SA"/>
        </w:rPr>
        <w:t>法定代表人或授权代表签字或盖章：</w:t>
      </w:r>
    </w:p>
    <w:p>
      <w:pPr>
        <w:shd w:val="clear"/>
        <w:spacing w:line="480" w:lineRule="auto"/>
        <w:outlineLvl w:val="9"/>
        <w:rPr>
          <w:rFonts w:hint="eastAsia" w:ascii="宋体" w:hAnsi="宋体" w:eastAsia="宋体" w:cs="Times New Roman"/>
          <w:color w:val="auto"/>
          <w:kern w:val="0"/>
          <w:sz w:val="24"/>
          <w:szCs w:val="24"/>
          <w:highlight w:val="none"/>
          <w:lang w:val="en-US" w:bidi="ar-SA"/>
        </w:rPr>
      </w:pPr>
      <w:r>
        <w:rPr>
          <w:rFonts w:hint="eastAsia" w:ascii="宋体" w:hAnsi="宋体" w:eastAsia="宋体" w:cs="Times New Roman"/>
          <w:bCs/>
          <w:color w:val="auto"/>
          <w:kern w:val="0"/>
          <w:sz w:val="24"/>
          <w:szCs w:val="20"/>
          <w:highlight w:val="none"/>
          <w:lang w:val="en-US" w:bidi="ar-SA"/>
        </w:rPr>
        <w:t>日期：</w:t>
      </w:r>
    </w:p>
    <w:p>
      <w:pPr>
        <w:pStyle w:val="5"/>
        <w:shd w:val="clear"/>
        <w:bidi w:val="0"/>
        <w:rPr>
          <w:rFonts w:hint="default" w:ascii="黑体" w:hAnsi="Times New Roman" w:eastAsia="黑体" w:cs="Times New Roman"/>
          <w:color w:val="auto"/>
          <w:kern w:val="0"/>
          <w:sz w:val="28"/>
          <w:szCs w:val="28"/>
          <w:highlight w:val="none"/>
          <w:lang w:val="en-US" w:bidi="ar-SA"/>
        </w:rPr>
      </w:pPr>
      <w:r>
        <w:rPr>
          <w:rFonts w:hint="eastAsia" w:ascii="黑体" w:hAnsi="宋体" w:eastAsia="黑体" w:cs="Times New Roman"/>
          <w:bCs/>
          <w:color w:val="auto"/>
          <w:kern w:val="0"/>
          <w:sz w:val="24"/>
          <w:szCs w:val="24"/>
          <w:highlight w:val="none"/>
          <w:lang w:val="en-US" w:bidi="ar-SA"/>
        </w:rPr>
        <w:br w:type="page" w:clear="all"/>
      </w:r>
      <w:r>
        <w:rPr>
          <w:rStyle w:val="521"/>
          <w:rFonts w:hint="eastAsia"/>
          <w:b/>
          <w:bCs/>
          <w:color w:val="auto"/>
          <w:highlight w:val="none"/>
          <w:lang w:val="en-US"/>
        </w:rPr>
        <w:t>投标偏离表（格式）：</w:t>
      </w:r>
    </w:p>
    <w:p>
      <w:pPr>
        <w:shd w:val="clear"/>
        <w:ind w:firstLine="490"/>
        <w:jc w:val="center"/>
        <w:outlineLvl w:val="9"/>
        <w:rPr>
          <w:rFonts w:hint="default" w:ascii="黑体" w:hAnsi="Times New Roman" w:eastAsia="黑体" w:cs="Times New Roman"/>
          <w:bCs/>
          <w:color w:val="auto"/>
          <w:kern w:val="0"/>
          <w:sz w:val="28"/>
          <w:szCs w:val="28"/>
          <w:highlight w:val="none"/>
          <w:lang w:val="en-US" w:bidi="ar-SA"/>
        </w:rPr>
      </w:pPr>
      <w:r>
        <w:rPr>
          <w:rFonts w:hint="eastAsia" w:ascii="黑体" w:hAnsi="Times New Roman" w:eastAsia="黑体" w:cs="Times New Roman"/>
          <w:bCs/>
          <w:color w:val="auto"/>
          <w:kern w:val="0"/>
          <w:sz w:val="28"/>
          <w:szCs w:val="28"/>
          <w:highlight w:val="none"/>
          <w:lang w:val="en-US" w:bidi="ar-SA"/>
        </w:rPr>
        <w:t>投标偏离表</w:t>
      </w:r>
    </w:p>
    <w:p>
      <w:pPr>
        <w:shd w:val="clear"/>
        <w:spacing w:line="400" w:lineRule="exact"/>
        <w:jc w:val="center"/>
        <w:outlineLvl w:val="9"/>
        <w:rPr>
          <w:rFonts w:hint="default" w:ascii="黑体" w:hAnsi="Times New Roman" w:eastAsia="黑体" w:cs="Times New Roman"/>
          <w:bCs/>
          <w:color w:val="auto"/>
          <w:kern w:val="0"/>
          <w:sz w:val="28"/>
          <w:szCs w:val="28"/>
          <w:highlight w:val="none"/>
          <w:lang w:val="en-US" w:bidi="ar-SA"/>
        </w:rPr>
      </w:pPr>
    </w:p>
    <w:p>
      <w:pPr>
        <w:shd w:val="clear"/>
        <w:spacing w:line="400" w:lineRule="exact"/>
        <w:outlineLvl w:val="9"/>
        <w:rPr>
          <w:rFonts w:hint="default" w:ascii="黑体" w:hAnsi="Times New Roman" w:eastAsia="黑体" w:cs="Times New Roman"/>
          <w:bCs/>
          <w:color w:val="auto"/>
          <w:kern w:val="0"/>
          <w:sz w:val="24"/>
          <w:szCs w:val="24"/>
          <w:highlight w:val="none"/>
          <w:lang w:val="en-US" w:bidi="ar-SA"/>
        </w:rPr>
      </w:pPr>
      <w:r>
        <w:rPr>
          <w:rFonts w:hint="eastAsia" w:ascii="黑体" w:hAnsi="Times New Roman" w:eastAsia="黑体" w:cs="Times New Roman"/>
          <w:bCs/>
          <w:color w:val="auto"/>
          <w:kern w:val="0"/>
          <w:sz w:val="24"/>
          <w:szCs w:val="24"/>
          <w:highlight w:val="none"/>
          <w:lang w:val="en-US" w:bidi="ar-SA"/>
        </w:rPr>
        <w:t>投标供应商名称（盖章）     采购项目编号：</w:t>
      </w:r>
    </w:p>
    <w:tbl>
      <w:tblPr>
        <w:tblStyle w:val="82"/>
        <w:tblW w:w="0" w:type="auto"/>
        <w:tblInd w:w="-15" w:type="dxa"/>
        <w:tblLayout w:type="fixed"/>
        <w:tblCellMar>
          <w:top w:w="15" w:type="dxa"/>
          <w:left w:w="15" w:type="dxa"/>
          <w:bottom w:w="0" w:type="dxa"/>
          <w:right w:w="15" w:type="dxa"/>
        </w:tblCellMar>
      </w:tblPr>
      <w:tblGrid>
        <w:gridCol w:w="1905"/>
        <w:gridCol w:w="2835"/>
        <w:gridCol w:w="2835"/>
        <w:gridCol w:w="2310"/>
      </w:tblGrid>
      <w:tr>
        <w:tblPrEx>
          <w:tblCellMar>
            <w:top w:w="15" w:type="dxa"/>
            <w:left w:w="15" w:type="dxa"/>
            <w:bottom w:w="0" w:type="dxa"/>
            <w:right w:w="15" w:type="dxa"/>
          </w:tblCellMar>
        </w:tblPrEx>
        <w:trPr>
          <w:cantSplit/>
          <w:trHeight w:val="555"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shd w:val="clear"/>
              <w:jc w:val="center"/>
              <w:outlineLvl w:val="9"/>
              <w:rPr>
                <w:rFonts w:hint="default" w:ascii="宋体" w:hAnsi="Times New Roman" w:eastAsia="宋体" w:cs="Times New Roman"/>
                <w:b/>
                <w:bCs/>
                <w:color w:val="auto"/>
                <w:kern w:val="0"/>
                <w:sz w:val="24"/>
                <w:szCs w:val="24"/>
                <w:highlight w:val="none"/>
                <w:lang w:val="en-US" w:bidi="ar-SA"/>
              </w:rPr>
            </w:pPr>
            <w:r>
              <w:rPr>
                <w:rFonts w:hint="eastAsia" w:ascii="宋体" w:hAnsi="宋体" w:eastAsia="宋体" w:cs="Times New Roman"/>
                <w:b/>
                <w:bCs/>
                <w:color w:val="auto"/>
                <w:kern w:val="0"/>
                <w:sz w:val="24"/>
                <w:szCs w:val="24"/>
                <w:highlight w:val="none"/>
                <w:lang w:val="en-US" w:bidi="ar-SA"/>
              </w:rPr>
              <w:t>名称</w:t>
            </w:r>
          </w:p>
        </w:tc>
        <w:tc>
          <w:tcPr>
            <w:tcW w:w="2835" w:type="dxa"/>
            <w:tcBorders>
              <w:top w:val="single" w:color="000000" w:sz="4" w:space="0"/>
              <w:left w:val="single" w:color="000000" w:sz="4" w:space="0"/>
              <w:bottom w:val="single" w:color="000000" w:sz="4" w:space="0"/>
              <w:right w:val="single" w:color="000000" w:sz="4" w:space="0"/>
            </w:tcBorders>
            <w:noWrap/>
            <w:vAlign w:val="center"/>
          </w:tcPr>
          <w:p>
            <w:pPr>
              <w:shd w:val="clear"/>
              <w:jc w:val="center"/>
              <w:outlineLvl w:val="9"/>
              <w:rPr>
                <w:rFonts w:hint="default" w:ascii="宋体" w:hAnsi="Times New Roman" w:eastAsia="宋体" w:cs="Times New Roman"/>
                <w:b/>
                <w:bCs/>
                <w:color w:val="auto"/>
                <w:kern w:val="0"/>
                <w:sz w:val="24"/>
                <w:szCs w:val="24"/>
                <w:highlight w:val="none"/>
                <w:lang w:val="en-US" w:bidi="ar-SA"/>
              </w:rPr>
            </w:pPr>
            <w:r>
              <w:rPr>
                <w:rFonts w:hint="eastAsia" w:ascii="宋体" w:hAnsi="宋体" w:eastAsia="宋体" w:cs="Times New Roman"/>
                <w:b/>
                <w:bCs/>
                <w:color w:val="auto"/>
                <w:kern w:val="0"/>
                <w:sz w:val="24"/>
                <w:szCs w:val="24"/>
                <w:highlight w:val="none"/>
                <w:lang w:val="en-US" w:bidi="ar-SA"/>
              </w:rPr>
              <w:t>采购要求</w:t>
            </w:r>
          </w:p>
        </w:tc>
        <w:tc>
          <w:tcPr>
            <w:tcW w:w="2835" w:type="dxa"/>
            <w:tcBorders>
              <w:top w:val="single" w:color="000000" w:sz="4" w:space="0"/>
              <w:left w:val="single" w:color="000000" w:sz="4" w:space="0"/>
              <w:bottom w:val="single" w:color="000000" w:sz="4" w:space="0"/>
              <w:right w:val="single" w:color="000000" w:sz="4" w:space="0"/>
            </w:tcBorders>
            <w:noWrap/>
            <w:vAlign w:val="center"/>
          </w:tcPr>
          <w:p>
            <w:pPr>
              <w:shd w:val="clear"/>
              <w:jc w:val="center"/>
              <w:outlineLvl w:val="9"/>
              <w:rPr>
                <w:rFonts w:hint="default" w:ascii="宋体" w:hAnsi="Times New Roman" w:eastAsia="宋体" w:cs="Times New Roman"/>
                <w:b/>
                <w:bCs/>
                <w:color w:val="auto"/>
                <w:kern w:val="0"/>
                <w:sz w:val="24"/>
                <w:szCs w:val="24"/>
                <w:highlight w:val="none"/>
                <w:lang w:val="en-US" w:bidi="ar-SA"/>
              </w:rPr>
            </w:pPr>
            <w:r>
              <w:rPr>
                <w:rFonts w:hint="eastAsia" w:ascii="宋体" w:hAnsi="宋体" w:eastAsia="宋体" w:cs="Times New Roman"/>
                <w:b/>
                <w:bCs/>
                <w:color w:val="auto"/>
                <w:kern w:val="0"/>
                <w:sz w:val="24"/>
                <w:szCs w:val="24"/>
                <w:highlight w:val="none"/>
                <w:lang w:val="en-US" w:bidi="ar-SA"/>
              </w:rPr>
              <w:t>实报内容</w:t>
            </w:r>
          </w:p>
        </w:tc>
        <w:tc>
          <w:tcPr>
            <w:tcW w:w="2310" w:type="dxa"/>
            <w:tcBorders>
              <w:top w:val="single" w:color="000000" w:sz="4" w:space="0"/>
              <w:left w:val="single" w:color="000000" w:sz="4" w:space="0"/>
              <w:bottom w:val="single" w:color="000000" w:sz="4" w:space="0"/>
              <w:right w:val="single" w:color="000000" w:sz="4" w:space="0"/>
            </w:tcBorders>
            <w:noWrap/>
            <w:vAlign w:val="center"/>
          </w:tcPr>
          <w:p>
            <w:pPr>
              <w:shd w:val="clear"/>
              <w:jc w:val="center"/>
              <w:outlineLvl w:val="9"/>
              <w:rPr>
                <w:rFonts w:hint="default" w:ascii="宋体" w:hAnsi="Times New Roman" w:eastAsia="宋体" w:cs="Times New Roman"/>
                <w:b/>
                <w:bCs/>
                <w:color w:val="auto"/>
                <w:kern w:val="0"/>
                <w:sz w:val="24"/>
                <w:szCs w:val="24"/>
                <w:highlight w:val="none"/>
                <w:lang w:val="en-US" w:bidi="ar-SA"/>
              </w:rPr>
            </w:pPr>
            <w:r>
              <w:rPr>
                <w:rFonts w:hint="eastAsia" w:ascii="宋体" w:hAnsi="宋体" w:eastAsia="宋体" w:cs="Times New Roman"/>
                <w:b/>
                <w:bCs/>
                <w:color w:val="auto"/>
                <w:kern w:val="0"/>
                <w:sz w:val="24"/>
                <w:szCs w:val="24"/>
                <w:highlight w:val="none"/>
                <w:lang w:val="en-US" w:bidi="ar-SA"/>
              </w:rPr>
              <w:t>偏离说明</w:t>
            </w:r>
          </w:p>
        </w:tc>
      </w:tr>
      <w:tr>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shd w:val="clear"/>
              <w:jc w:val="center"/>
              <w:outlineLvl w:val="9"/>
              <w:rPr>
                <w:rFonts w:hint="default" w:ascii="宋体" w:hAnsi="Times New Roman" w:eastAsia="宋体" w:cs="Times New Roman"/>
                <w:bCs/>
                <w:color w:val="auto"/>
                <w:kern w:val="0"/>
                <w:szCs w:val="20"/>
                <w:highlight w:val="none"/>
                <w:lang w:val="en-US" w:bidi="ar-SA"/>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pPr>
              <w:shd w:val="clear"/>
              <w:outlineLvl w:val="9"/>
              <w:rPr>
                <w:rFonts w:hint="default" w:ascii="宋体" w:hAnsi="Times New Roman" w:eastAsia="宋体" w:cs="Times New Roman"/>
                <w:bCs/>
                <w:color w:val="auto"/>
                <w:kern w:val="0"/>
                <w:szCs w:val="20"/>
                <w:highlight w:val="none"/>
                <w:lang w:val="en-US" w:bidi="ar-SA"/>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pPr>
              <w:shd w:val="clear"/>
              <w:jc w:val="center"/>
              <w:outlineLvl w:val="9"/>
              <w:rPr>
                <w:rFonts w:hint="default" w:ascii="宋体" w:hAnsi="Times New Roman" w:eastAsia="宋体" w:cs="Times New Roman"/>
                <w:bCs/>
                <w:color w:val="auto"/>
                <w:kern w:val="0"/>
                <w:szCs w:val="20"/>
                <w:highlight w:val="none"/>
                <w:lang w:val="en-US" w:bidi="ar-SA"/>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pPr>
              <w:shd w:val="clear"/>
              <w:jc w:val="center"/>
              <w:outlineLvl w:val="9"/>
              <w:rPr>
                <w:rFonts w:hint="default" w:ascii="宋体" w:hAnsi="Times New Roman" w:eastAsia="宋体" w:cs="Times New Roman"/>
                <w:bCs/>
                <w:color w:val="auto"/>
                <w:kern w:val="0"/>
                <w:szCs w:val="20"/>
                <w:highlight w:val="none"/>
                <w:lang w:val="en-US" w:bidi="ar-SA"/>
              </w:rPr>
            </w:pPr>
          </w:p>
        </w:tc>
      </w:tr>
      <w:tr>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shd w:val="clear"/>
              <w:jc w:val="center"/>
              <w:outlineLvl w:val="9"/>
              <w:rPr>
                <w:rFonts w:hint="default" w:ascii="宋体" w:hAnsi="Times New Roman" w:eastAsia="宋体" w:cs="Times New Roman"/>
                <w:bCs/>
                <w:color w:val="auto"/>
                <w:kern w:val="0"/>
                <w:szCs w:val="20"/>
                <w:highlight w:val="none"/>
                <w:lang w:val="en-US" w:bidi="ar-SA"/>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pPr>
              <w:shd w:val="clear"/>
              <w:outlineLvl w:val="9"/>
              <w:rPr>
                <w:rFonts w:hint="default" w:ascii="宋体" w:hAnsi="Times New Roman" w:eastAsia="宋体" w:cs="Times New Roman"/>
                <w:bCs/>
                <w:color w:val="auto"/>
                <w:kern w:val="0"/>
                <w:szCs w:val="20"/>
                <w:highlight w:val="none"/>
                <w:lang w:val="en-US" w:bidi="ar-SA"/>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pPr>
              <w:shd w:val="clear"/>
              <w:jc w:val="center"/>
              <w:outlineLvl w:val="9"/>
              <w:rPr>
                <w:rFonts w:hint="default" w:ascii="宋体" w:hAnsi="Times New Roman" w:eastAsia="宋体" w:cs="Times New Roman"/>
                <w:bCs/>
                <w:color w:val="auto"/>
                <w:kern w:val="0"/>
                <w:szCs w:val="20"/>
                <w:highlight w:val="none"/>
                <w:lang w:val="en-US" w:bidi="ar-SA"/>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pPr>
              <w:shd w:val="clear"/>
              <w:jc w:val="center"/>
              <w:outlineLvl w:val="9"/>
              <w:rPr>
                <w:rFonts w:hint="default" w:ascii="宋体" w:hAnsi="Times New Roman" w:eastAsia="宋体" w:cs="Times New Roman"/>
                <w:bCs/>
                <w:color w:val="auto"/>
                <w:kern w:val="0"/>
                <w:szCs w:val="20"/>
                <w:highlight w:val="none"/>
                <w:lang w:val="en-US" w:bidi="ar-SA"/>
              </w:rPr>
            </w:pPr>
          </w:p>
        </w:tc>
      </w:tr>
      <w:tr>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shd w:val="clear"/>
              <w:jc w:val="center"/>
              <w:outlineLvl w:val="9"/>
              <w:rPr>
                <w:rFonts w:hint="default" w:ascii="宋体" w:hAnsi="Times New Roman" w:eastAsia="宋体" w:cs="Times New Roman"/>
                <w:bCs/>
                <w:color w:val="auto"/>
                <w:kern w:val="0"/>
                <w:szCs w:val="20"/>
                <w:highlight w:val="none"/>
                <w:lang w:val="en-US" w:bidi="ar-SA"/>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pPr>
              <w:shd w:val="clear"/>
              <w:outlineLvl w:val="9"/>
              <w:rPr>
                <w:rFonts w:hint="default" w:ascii="宋体" w:hAnsi="Times New Roman" w:eastAsia="宋体" w:cs="Times New Roman"/>
                <w:bCs/>
                <w:color w:val="auto"/>
                <w:kern w:val="0"/>
                <w:szCs w:val="20"/>
                <w:highlight w:val="none"/>
                <w:lang w:val="en-US" w:bidi="ar-SA"/>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pPr>
              <w:shd w:val="clear"/>
              <w:jc w:val="center"/>
              <w:outlineLvl w:val="9"/>
              <w:rPr>
                <w:rFonts w:hint="default" w:ascii="宋体" w:hAnsi="Times New Roman" w:eastAsia="宋体" w:cs="Times New Roman"/>
                <w:bCs/>
                <w:color w:val="auto"/>
                <w:kern w:val="0"/>
                <w:szCs w:val="20"/>
                <w:highlight w:val="none"/>
                <w:lang w:val="en-US" w:bidi="ar-SA"/>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pPr>
              <w:shd w:val="clear"/>
              <w:jc w:val="center"/>
              <w:outlineLvl w:val="9"/>
              <w:rPr>
                <w:rFonts w:hint="default" w:ascii="宋体" w:hAnsi="Times New Roman" w:eastAsia="宋体" w:cs="Times New Roman"/>
                <w:bCs/>
                <w:color w:val="auto"/>
                <w:kern w:val="0"/>
                <w:szCs w:val="20"/>
                <w:highlight w:val="none"/>
                <w:lang w:val="en-US" w:bidi="ar-SA"/>
              </w:rPr>
            </w:pPr>
          </w:p>
        </w:tc>
      </w:tr>
      <w:tr>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shd w:val="clear"/>
              <w:jc w:val="center"/>
              <w:outlineLvl w:val="9"/>
              <w:rPr>
                <w:rFonts w:hint="default" w:ascii="宋体" w:hAnsi="Times New Roman" w:eastAsia="宋体" w:cs="Times New Roman"/>
                <w:bCs/>
                <w:color w:val="auto"/>
                <w:kern w:val="0"/>
                <w:szCs w:val="20"/>
                <w:highlight w:val="none"/>
                <w:lang w:val="en-US" w:bidi="ar-SA"/>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pPr>
              <w:shd w:val="clear"/>
              <w:outlineLvl w:val="9"/>
              <w:rPr>
                <w:rFonts w:hint="default" w:ascii="宋体" w:hAnsi="Times New Roman" w:eastAsia="宋体" w:cs="Times New Roman"/>
                <w:bCs/>
                <w:color w:val="auto"/>
                <w:kern w:val="0"/>
                <w:szCs w:val="20"/>
                <w:highlight w:val="none"/>
                <w:lang w:val="en-US" w:bidi="ar-SA"/>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pPr>
              <w:shd w:val="clear"/>
              <w:jc w:val="center"/>
              <w:outlineLvl w:val="9"/>
              <w:rPr>
                <w:rFonts w:hint="default" w:ascii="宋体" w:hAnsi="Times New Roman" w:eastAsia="宋体" w:cs="Times New Roman"/>
                <w:bCs/>
                <w:color w:val="auto"/>
                <w:kern w:val="0"/>
                <w:szCs w:val="20"/>
                <w:highlight w:val="none"/>
                <w:lang w:val="en-US" w:bidi="ar-SA"/>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pPr>
              <w:shd w:val="clear"/>
              <w:jc w:val="center"/>
              <w:outlineLvl w:val="9"/>
              <w:rPr>
                <w:rFonts w:hint="default" w:ascii="宋体" w:hAnsi="Times New Roman" w:eastAsia="宋体" w:cs="Times New Roman"/>
                <w:bCs/>
                <w:color w:val="auto"/>
                <w:kern w:val="0"/>
                <w:szCs w:val="20"/>
                <w:highlight w:val="none"/>
                <w:lang w:val="en-US" w:bidi="ar-SA"/>
              </w:rPr>
            </w:pPr>
          </w:p>
        </w:tc>
      </w:tr>
      <w:tr>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shd w:val="clear"/>
              <w:jc w:val="center"/>
              <w:outlineLvl w:val="9"/>
              <w:rPr>
                <w:rFonts w:hint="default" w:ascii="宋体" w:hAnsi="Times New Roman" w:eastAsia="宋体" w:cs="Times New Roman"/>
                <w:bCs/>
                <w:color w:val="auto"/>
                <w:kern w:val="0"/>
                <w:szCs w:val="20"/>
                <w:highlight w:val="none"/>
                <w:lang w:val="en-US" w:bidi="ar-SA"/>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pPr>
              <w:shd w:val="clear"/>
              <w:outlineLvl w:val="9"/>
              <w:rPr>
                <w:rFonts w:hint="default" w:ascii="宋体" w:hAnsi="Times New Roman" w:eastAsia="宋体" w:cs="Times New Roman"/>
                <w:bCs/>
                <w:color w:val="auto"/>
                <w:kern w:val="0"/>
                <w:szCs w:val="20"/>
                <w:highlight w:val="none"/>
                <w:lang w:val="en-US" w:bidi="ar-SA"/>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pPr>
              <w:shd w:val="clear"/>
              <w:jc w:val="center"/>
              <w:outlineLvl w:val="9"/>
              <w:rPr>
                <w:rFonts w:hint="default" w:ascii="宋体" w:hAnsi="Times New Roman" w:eastAsia="宋体" w:cs="Times New Roman"/>
                <w:bCs/>
                <w:color w:val="auto"/>
                <w:kern w:val="0"/>
                <w:szCs w:val="20"/>
                <w:highlight w:val="none"/>
                <w:lang w:val="en-US" w:bidi="ar-SA"/>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pPr>
              <w:shd w:val="clear"/>
              <w:jc w:val="center"/>
              <w:outlineLvl w:val="9"/>
              <w:rPr>
                <w:rFonts w:hint="default" w:ascii="宋体" w:hAnsi="Times New Roman" w:eastAsia="宋体" w:cs="Times New Roman"/>
                <w:bCs/>
                <w:color w:val="auto"/>
                <w:kern w:val="0"/>
                <w:szCs w:val="20"/>
                <w:highlight w:val="none"/>
                <w:lang w:val="en-US" w:bidi="ar-SA"/>
              </w:rPr>
            </w:pPr>
          </w:p>
        </w:tc>
      </w:tr>
      <w:tr>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shd w:val="clear"/>
              <w:jc w:val="center"/>
              <w:outlineLvl w:val="9"/>
              <w:rPr>
                <w:rFonts w:hint="default" w:ascii="宋体" w:hAnsi="Times New Roman" w:eastAsia="宋体" w:cs="Times New Roman"/>
                <w:bCs/>
                <w:color w:val="auto"/>
                <w:kern w:val="0"/>
                <w:szCs w:val="20"/>
                <w:highlight w:val="none"/>
                <w:lang w:val="en-US" w:bidi="ar-SA"/>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pPr>
              <w:shd w:val="clear"/>
              <w:outlineLvl w:val="9"/>
              <w:rPr>
                <w:rFonts w:hint="default" w:ascii="宋体" w:hAnsi="Times New Roman" w:eastAsia="宋体" w:cs="Times New Roman"/>
                <w:bCs/>
                <w:color w:val="auto"/>
                <w:kern w:val="0"/>
                <w:szCs w:val="20"/>
                <w:highlight w:val="none"/>
                <w:lang w:val="en-US" w:bidi="ar-SA"/>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pPr>
              <w:shd w:val="clear"/>
              <w:jc w:val="center"/>
              <w:outlineLvl w:val="9"/>
              <w:rPr>
                <w:rFonts w:hint="default" w:ascii="宋体" w:hAnsi="Times New Roman" w:eastAsia="宋体" w:cs="Times New Roman"/>
                <w:bCs/>
                <w:color w:val="auto"/>
                <w:kern w:val="0"/>
                <w:szCs w:val="20"/>
                <w:highlight w:val="none"/>
                <w:lang w:val="en-US" w:bidi="ar-SA"/>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pPr>
              <w:shd w:val="clear"/>
              <w:jc w:val="center"/>
              <w:outlineLvl w:val="9"/>
              <w:rPr>
                <w:rFonts w:hint="default" w:ascii="宋体" w:hAnsi="Times New Roman" w:eastAsia="宋体" w:cs="Times New Roman"/>
                <w:bCs/>
                <w:color w:val="auto"/>
                <w:kern w:val="0"/>
                <w:szCs w:val="20"/>
                <w:highlight w:val="none"/>
                <w:lang w:val="en-US" w:bidi="ar-SA"/>
              </w:rPr>
            </w:pPr>
          </w:p>
        </w:tc>
      </w:tr>
      <w:tr>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shd w:val="clear"/>
              <w:jc w:val="center"/>
              <w:outlineLvl w:val="9"/>
              <w:rPr>
                <w:rFonts w:hint="default" w:ascii="宋体" w:hAnsi="Times New Roman" w:eastAsia="宋体" w:cs="Times New Roman"/>
                <w:bCs/>
                <w:color w:val="auto"/>
                <w:kern w:val="0"/>
                <w:szCs w:val="20"/>
                <w:highlight w:val="none"/>
                <w:lang w:val="en-US" w:bidi="ar-SA"/>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pPr>
              <w:shd w:val="clear"/>
              <w:outlineLvl w:val="9"/>
              <w:rPr>
                <w:rFonts w:hint="default" w:ascii="宋体" w:hAnsi="Times New Roman" w:eastAsia="宋体" w:cs="Times New Roman"/>
                <w:bCs/>
                <w:color w:val="auto"/>
                <w:kern w:val="0"/>
                <w:szCs w:val="20"/>
                <w:highlight w:val="none"/>
                <w:lang w:val="en-US" w:bidi="ar-SA"/>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pPr>
              <w:shd w:val="clear"/>
              <w:jc w:val="center"/>
              <w:outlineLvl w:val="9"/>
              <w:rPr>
                <w:rFonts w:hint="default" w:ascii="宋体" w:hAnsi="Times New Roman" w:eastAsia="宋体" w:cs="Times New Roman"/>
                <w:bCs/>
                <w:color w:val="auto"/>
                <w:kern w:val="0"/>
                <w:szCs w:val="20"/>
                <w:highlight w:val="none"/>
                <w:lang w:val="en-US" w:bidi="ar-SA"/>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pPr>
              <w:shd w:val="clear"/>
              <w:jc w:val="center"/>
              <w:outlineLvl w:val="9"/>
              <w:rPr>
                <w:rFonts w:hint="default" w:ascii="宋体" w:hAnsi="Times New Roman" w:eastAsia="宋体" w:cs="Times New Roman"/>
                <w:bCs/>
                <w:color w:val="auto"/>
                <w:kern w:val="0"/>
                <w:szCs w:val="20"/>
                <w:highlight w:val="none"/>
                <w:lang w:val="en-US" w:bidi="ar-SA"/>
              </w:rPr>
            </w:pPr>
          </w:p>
        </w:tc>
      </w:tr>
    </w:tbl>
    <w:p>
      <w:pPr>
        <w:shd w:val="clear"/>
        <w:outlineLvl w:val="9"/>
        <w:rPr>
          <w:rFonts w:hint="default" w:ascii="宋体" w:hAnsi="Times New Roman" w:eastAsia="宋体" w:cs="Times New Roman"/>
          <w:b/>
          <w:color w:val="auto"/>
          <w:kern w:val="0"/>
          <w:sz w:val="24"/>
          <w:szCs w:val="24"/>
          <w:highlight w:val="none"/>
          <w:lang w:val="en-US" w:bidi="ar-SA"/>
        </w:rPr>
      </w:pPr>
    </w:p>
    <w:p>
      <w:pPr>
        <w:shd w:val="clear"/>
        <w:outlineLvl w:val="9"/>
        <w:rPr>
          <w:rFonts w:hint="default" w:ascii="Times New Roman" w:hAnsi="Times New Roman" w:eastAsia="宋体" w:cs="Times New Roman"/>
          <w:b/>
          <w:bCs/>
          <w:color w:val="auto"/>
          <w:kern w:val="0"/>
          <w:sz w:val="24"/>
          <w:szCs w:val="24"/>
          <w:highlight w:val="none"/>
          <w:lang w:val="en-US" w:bidi="ar-SA"/>
        </w:rPr>
      </w:pPr>
      <w:r>
        <w:rPr>
          <w:rFonts w:hint="eastAsia" w:ascii="Times New Roman" w:hAnsi="Times New Roman" w:eastAsia="宋体" w:cs="Times New Roman"/>
          <w:b/>
          <w:bCs/>
          <w:color w:val="auto"/>
          <w:kern w:val="0"/>
          <w:sz w:val="24"/>
          <w:szCs w:val="24"/>
          <w:highlight w:val="none"/>
          <w:lang w:val="en-US" w:bidi="ar-SA"/>
        </w:rPr>
        <w:t>法定代表人或法定代表人授权代表签字或盖章：</w:t>
      </w:r>
    </w:p>
    <w:p>
      <w:pPr>
        <w:shd w:val="clear"/>
        <w:outlineLvl w:val="9"/>
        <w:rPr>
          <w:rFonts w:hint="default" w:ascii="宋体" w:hAnsi="Times New Roman" w:eastAsia="宋体" w:cs="Times New Roman"/>
          <w:bCs/>
          <w:color w:val="auto"/>
          <w:kern w:val="0"/>
          <w:sz w:val="30"/>
          <w:szCs w:val="20"/>
          <w:highlight w:val="none"/>
          <w:lang w:val="en-US" w:bidi="ar-SA"/>
        </w:rPr>
      </w:pPr>
    </w:p>
    <w:p>
      <w:pPr>
        <w:shd w:val="clear"/>
        <w:outlineLvl w:val="9"/>
        <w:rPr>
          <w:rFonts w:hint="eastAsia" w:ascii="宋体" w:hAnsi="宋体" w:eastAsia="宋体" w:cs="Times New Roman"/>
          <w:bCs/>
          <w:color w:val="auto"/>
          <w:kern w:val="0"/>
          <w:sz w:val="24"/>
          <w:szCs w:val="24"/>
          <w:highlight w:val="none"/>
          <w:lang w:val="en-US" w:bidi="ar-SA"/>
        </w:rPr>
      </w:pPr>
      <w:r>
        <w:rPr>
          <w:rFonts w:hint="eastAsia" w:ascii="宋体" w:hAnsi="宋体" w:eastAsia="宋体" w:cs="Times New Roman"/>
          <w:bCs/>
          <w:color w:val="auto"/>
          <w:kern w:val="0"/>
          <w:sz w:val="24"/>
          <w:szCs w:val="24"/>
          <w:highlight w:val="none"/>
          <w:lang w:val="en-US" w:bidi="ar-SA"/>
        </w:rPr>
        <w:t>注：（</w:t>
      </w:r>
      <w:r>
        <w:rPr>
          <w:rFonts w:hint="default" w:ascii="宋体" w:hAnsi="宋体" w:eastAsia="宋体" w:cs="Times New Roman"/>
          <w:bCs/>
          <w:color w:val="auto"/>
          <w:kern w:val="0"/>
          <w:sz w:val="24"/>
          <w:szCs w:val="24"/>
          <w:highlight w:val="none"/>
          <w:lang w:val="en-US" w:bidi="ar-SA"/>
        </w:rPr>
        <w:t>1</w:t>
      </w:r>
      <w:r>
        <w:rPr>
          <w:rFonts w:hint="eastAsia" w:ascii="宋体" w:hAnsi="宋体" w:eastAsia="宋体" w:cs="Times New Roman"/>
          <w:bCs/>
          <w:color w:val="auto"/>
          <w:kern w:val="0"/>
          <w:sz w:val="24"/>
          <w:szCs w:val="24"/>
          <w:highlight w:val="none"/>
          <w:lang w:val="en-US" w:bidi="ar-SA"/>
        </w:rPr>
        <w:t>）本表不得删除；</w:t>
      </w:r>
    </w:p>
    <w:p>
      <w:pPr>
        <w:shd w:val="clear"/>
        <w:ind w:firstLine="480"/>
        <w:outlineLvl w:val="9"/>
        <w:rPr>
          <w:rFonts w:hint="eastAsia" w:ascii="宋体" w:hAnsi="宋体" w:eastAsia="宋体" w:cs="Times New Roman"/>
          <w:bCs/>
          <w:color w:val="auto"/>
          <w:kern w:val="0"/>
          <w:sz w:val="24"/>
          <w:szCs w:val="24"/>
          <w:highlight w:val="none"/>
          <w:lang w:val="en-US" w:bidi="ar-SA"/>
        </w:rPr>
      </w:pPr>
      <w:r>
        <w:rPr>
          <w:rFonts w:hint="eastAsia" w:ascii="宋体" w:hAnsi="宋体" w:eastAsia="宋体" w:cs="Times New Roman"/>
          <w:bCs/>
          <w:color w:val="auto"/>
          <w:kern w:val="0"/>
          <w:sz w:val="24"/>
          <w:szCs w:val="24"/>
          <w:highlight w:val="none"/>
          <w:lang w:val="en-US" w:bidi="ar-SA"/>
        </w:rPr>
        <w:t>（</w:t>
      </w:r>
      <w:r>
        <w:rPr>
          <w:rFonts w:hint="default" w:ascii="宋体" w:hAnsi="宋体" w:eastAsia="宋体" w:cs="Times New Roman"/>
          <w:bCs/>
          <w:color w:val="auto"/>
          <w:kern w:val="0"/>
          <w:sz w:val="24"/>
          <w:szCs w:val="24"/>
          <w:highlight w:val="none"/>
          <w:lang w:val="en-US" w:bidi="ar-SA"/>
        </w:rPr>
        <w:t>2</w:t>
      </w:r>
      <w:r>
        <w:rPr>
          <w:rFonts w:hint="eastAsia" w:ascii="宋体" w:hAnsi="宋体" w:eastAsia="宋体" w:cs="Times New Roman"/>
          <w:bCs/>
          <w:color w:val="auto"/>
          <w:kern w:val="0"/>
          <w:sz w:val="24"/>
          <w:szCs w:val="24"/>
          <w:highlight w:val="none"/>
          <w:lang w:val="en-US" w:bidi="ar-SA"/>
        </w:rPr>
        <w:t>）如无任何服务偏离，请于本表“偏离说明”中注明“无偏离”；</w:t>
      </w:r>
    </w:p>
    <w:p>
      <w:pPr>
        <w:shd w:val="clear"/>
        <w:outlineLvl w:val="9"/>
        <w:rPr>
          <w:rFonts w:hint="default" w:ascii="宋体" w:hAnsi="Times New Roman" w:eastAsia="宋体" w:cs="Times New Roman"/>
          <w:bCs/>
          <w:color w:val="auto"/>
          <w:kern w:val="0"/>
          <w:sz w:val="24"/>
          <w:szCs w:val="24"/>
          <w:highlight w:val="none"/>
          <w:lang w:val="en-US" w:bidi="ar-SA"/>
        </w:rPr>
      </w:pPr>
      <w:r>
        <w:rPr>
          <w:rFonts w:hint="eastAsia" w:ascii="宋体" w:hAnsi="宋体" w:eastAsia="宋体" w:cs="Times New Roman"/>
          <w:bCs/>
          <w:color w:val="auto"/>
          <w:kern w:val="0"/>
          <w:sz w:val="24"/>
          <w:szCs w:val="24"/>
          <w:highlight w:val="none"/>
          <w:lang w:val="en-US" w:bidi="ar-SA"/>
        </w:rPr>
        <w:t xml:space="preserve">    （3）如有服务偏离项，请于本表中列明偏离内容，如需要可自行延长，其余无偏离内容不须赘述。</w:t>
      </w:r>
    </w:p>
    <w:p>
      <w:pPr>
        <w:shd w:val="clear"/>
        <w:rPr>
          <w:rFonts w:hint="eastAsia" w:ascii="黑体" w:hAnsi="宋体" w:eastAsia="黑体" w:cs="Times New Roman"/>
          <w:bCs/>
          <w:color w:val="auto"/>
          <w:kern w:val="0"/>
          <w:sz w:val="24"/>
          <w:szCs w:val="24"/>
          <w:highlight w:val="none"/>
          <w:lang w:val="en-US" w:bidi="ar-SA"/>
        </w:rPr>
      </w:pPr>
      <w:r>
        <w:rPr>
          <w:rFonts w:hint="eastAsia" w:ascii="黑体" w:hAnsi="宋体" w:eastAsia="黑体" w:cs="Times New Roman"/>
          <w:bCs/>
          <w:color w:val="auto"/>
          <w:kern w:val="0"/>
          <w:sz w:val="24"/>
          <w:szCs w:val="24"/>
          <w:highlight w:val="none"/>
          <w:lang w:val="en-US" w:bidi="ar-SA"/>
        </w:rPr>
        <w:br w:type="page"/>
      </w:r>
    </w:p>
    <w:p>
      <w:pPr>
        <w:pStyle w:val="5"/>
        <w:shd w:val="clear"/>
        <w:bidi w:val="0"/>
        <w:rPr>
          <w:rFonts w:hint="default"/>
          <w:color w:val="auto"/>
          <w:highlight w:val="none"/>
          <w:lang w:val="en-US"/>
        </w:rPr>
      </w:pPr>
      <w:bookmarkStart w:id="15" w:name="_Toc36414932"/>
      <w:r>
        <w:rPr>
          <w:rFonts w:hint="eastAsia"/>
          <w:color w:val="auto"/>
          <w:highlight w:val="none"/>
          <w:lang w:val="en-US"/>
        </w:rPr>
        <w:t>企业业绩一览表</w:t>
      </w:r>
      <w:bookmarkEnd w:id="15"/>
    </w:p>
    <w:p>
      <w:pPr>
        <w:shd w:val="clear"/>
        <w:spacing w:after="160" w:line="360" w:lineRule="auto"/>
        <w:jc w:val="center"/>
        <w:rPr>
          <w:rFonts w:hint="default" w:ascii="宋体" w:hAnsi="宋体" w:eastAsia="宋体" w:cs="宋体"/>
          <w:b/>
          <w:color w:val="auto"/>
          <w:kern w:val="2"/>
          <w:sz w:val="28"/>
          <w:szCs w:val="28"/>
          <w:highlight w:val="none"/>
          <w:lang w:val="en-US" w:bidi="ar-SA"/>
        </w:rPr>
      </w:pPr>
      <w:r>
        <w:rPr>
          <w:rFonts w:hint="eastAsia" w:ascii="宋体" w:hAnsi="宋体" w:eastAsia="宋体" w:cs="宋体"/>
          <w:b/>
          <w:color w:val="auto"/>
          <w:kern w:val="2"/>
          <w:sz w:val="28"/>
          <w:szCs w:val="28"/>
          <w:highlight w:val="none"/>
          <w:lang w:val="en-US" w:bidi="ar-SA"/>
        </w:rPr>
        <w:t>企业业绩一览表</w:t>
      </w:r>
    </w:p>
    <w:tbl>
      <w:tblPr>
        <w:tblStyle w:val="82"/>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6"/>
        <w:gridCol w:w="1561"/>
        <w:gridCol w:w="1462"/>
        <w:gridCol w:w="1672"/>
        <w:gridCol w:w="1977"/>
        <w:gridCol w:w="23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vAlign w:val="center"/>
          </w:tcPr>
          <w:p>
            <w:pPr>
              <w:shd w:val="clear"/>
              <w:spacing w:after="160" w:line="278" w:lineRule="auto"/>
              <w:jc w:val="center"/>
              <w:rPr>
                <w:rFonts w:hint="default" w:ascii="宋体" w:hAnsi="宋体" w:eastAsia="宋体" w:cs="宋体"/>
                <w:color w:val="auto"/>
                <w:kern w:val="2"/>
                <w:sz w:val="24"/>
                <w:szCs w:val="24"/>
                <w:highlight w:val="none"/>
                <w:lang w:val="en-US" w:bidi="ar-SA"/>
              </w:rPr>
            </w:pPr>
            <w:r>
              <w:rPr>
                <w:rFonts w:hint="eastAsia" w:ascii="宋体" w:hAnsi="宋体" w:eastAsia="宋体" w:cs="宋体"/>
                <w:color w:val="auto"/>
                <w:kern w:val="2"/>
                <w:sz w:val="24"/>
                <w:szCs w:val="24"/>
                <w:highlight w:val="none"/>
                <w:lang w:val="en-US" w:bidi="ar-SA"/>
              </w:rPr>
              <w:t>序号</w:t>
            </w:r>
          </w:p>
        </w:tc>
        <w:tc>
          <w:tcPr>
            <w:tcW w:w="1561" w:type="dxa"/>
            <w:vAlign w:val="center"/>
          </w:tcPr>
          <w:p>
            <w:pPr>
              <w:shd w:val="clear"/>
              <w:spacing w:after="160" w:line="278" w:lineRule="auto"/>
              <w:jc w:val="center"/>
              <w:rPr>
                <w:rFonts w:hint="default" w:ascii="宋体" w:hAnsi="宋体" w:eastAsia="宋体" w:cs="宋体"/>
                <w:color w:val="auto"/>
                <w:kern w:val="2"/>
                <w:sz w:val="24"/>
                <w:szCs w:val="24"/>
                <w:highlight w:val="none"/>
                <w:lang w:val="en-US" w:bidi="ar-SA"/>
              </w:rPr>
            </w:pPr>
            <w:r>
              <w:rPr>
                <w:rFonts w:hint="eastAsia" w:ascii="宋体" w:hAnsi="宋体" w:eastAsia="宋体" w:cs="宋体"/>
                <w:color w:val="auto"/>
                <w:kern w:val="2"/>
                <w:sz w:val="24"/>
                <w:szCs w:val="24"/>
                <w:highlight w:val="none"/>
                <w:lang w:val="en-US" w:bidi="ar-SA"/>
              </w:rPr>
              <w:t>项目名称</w:t>
            </w:r>
          </w:p>
        </w:tc>
        <w:tc>
          <w:tcPr>
            <w:tcW w:w="1462" w:type="dxa"/>
            <w:vAlign w:val="center"/>
          </w:tcPr>
          <w:p>
            <w:pPr>
              <w:shd w:val="clear"/>
              <w:tabs>
                <w:tab w:val="left" w:pos="6252"/>
              </w:tabs>
              <w:spacing w:after="160" w:line="360" w:lineRule="auto"/>
              <w:jc w:val="center"/>
              <w:rPr>
                <w:rFonts w:hint="default" w:ascii="宋体" w:hAnsi="宋体" w:eastAsia="宋体" w:cs="宋体"/>
                <w:color w:val="auto"/>
                <w:kern w:val="2"/>
                <w:sz w:val="24"/>
                <w:szCs w:val="24"/>
                <w:highlight w:val="none"/>
                <w:lang w:val="en-US" w:bidi="ar-SA"/>
              </w:rPr>
            </w:pPr>
            <w:r>
              <w:rPr>
                <w:rFonts w:hint="eastAsia" w:ascii="宋体" w:hAnsi="宋体" w:eastAsia="宋体" w:cs="宋体"/>
                <w:color w:val="auto"/>
                <w:kern w:val="2"/>
                <w:sz w:val="24"/>
                <w:szCs w:val="24"/>
                <w:highlight w:val="none"/>
                <w:lang w:val="en-US" w:bidi="ar-SA"/>
              </w:rPr>
              <w:t>项目时间</w:t>
            </w:r>
          </w:p>
        </w:tc>
        <w:tc>
          <w:tcPr>
            <w:tcW w:w="1672" w:type="dxa"/>
            <w:vAlign w:val="center"/>
          </w:tcPr>
          <w:p>
            <w:pPr>
              <w:shd w:val="clear"/>
              <w:tabs>
                <w:tab w:val="left" w:pos="6252"/>
              </w:tabs>
              <w:spacing w:after="160" w:line="360" w:lineRule="auto"/>
              <w:jc w:val="center"/>
              <w:rPr>
                <w:rFonts w:hint="default" w:ascii="宋体" w:hAnsi="宋体" w:eastAsia="宋体" w:cs="宋体"/>
                <w:color w:val="auto"/>
                <w:kern w:val="2"/>
                <w:sz w:val="24"/>
                <w:szCs w:val="24"/>
                <w:highlight w:val="none"/>
                <w:lang w:val="en-US" w:bidi="ar-SA"/>
              </w:rPr>
            </w:pPr>
            <w:r>
              <w:rPr>
                <w:rFonts w:hint="eastAsia" w:ascii="宋体" w:hAnsi="宋体" w:eastAsia="宋体" w:cs="宋体"/>
                <w:color w:val="auto"/>
                <w:kern w:val="2"/>
                <w:sz w:val="24"/>
                <w:szCs w:val="24"/>
                <w:highlight w:val="none"/>
                <w:lang w:val="en-US" w:bidi="ar-SA"/>
              </w:rPr>
              <w:t>合同金额</w:t>
            </w:r>
          </w:p>
          <w:p>
            <w:pPr>
              <w:shd w:val="clear"/>
              <w:tabs>
                <w:tab w:val="left" w:pos="6252"/>
              </w:tabs>
              <w:spacing w:after="160" w:line="360" w:lineRule="auto"/>
              <w:jc w:val="center"/>
              <w:rPr>
                <w:rFonts w:hint="default" w:ascii="宋体" w:hAnsi="宋体" w:eastAsia="宋体" w:cs="宋体"/>
                <w:color w:val="auto"/>
                <w:kern w:val="2"/>
                <w:sz w:val="24"/>
                <w:szCs w:val="24"/>
                <w:highlight w:val="none"/>
                <w:lang w:val="en-US" w:bidi="ar-SA"/>
              </w:rPr>
            </w:pPr>
            <w:r>
              <w:rPr>
                <w:rFonts w:hint="eastAsia" w:ascii="宋体" w:hAnsi="宋体" w:eastAsia="宋体" w:cs="宋体"/>
                <w:color w:val="auto"/>
                <w:kern w:val="2"/>
                <w:sz w:val="24"/>
                <w:szCs w:val="24"/>
                <w:highlight w:val="none"/>
                <w:lang w:val="en-US" w:bidi="ar-SA"/>
              </w:rPr>
              <w:t>（人民币）</w:t>
            </w:r>
          </w:p>
        </w:tc>
        <w:tc>
          <w:tcPr>
            <w:tcW w:w="1977" w:type="dxa"/>
            <w:vAlign w:val="center"/>
          </w:tcPr>
          <w:p>
            <w:pPr>
              <w:shd w:val="clear"/>
              <w:tabs>
                <w:tab w:val="left" w:pos="6252"/>
              </w:tabs>
              <w:spacing w:after="160" w:line="360" w:lineRule="auto"/>
              <w:jc w:val="center"/>
              <w:rPr>
                <w:rFonts w:hint="default" w:ascii="宋体" w:hAnsi="宋体" w:eastAsia="宋体" w:cs="宋体"/>
                <w:color w:val="auto"/>
                <w:kern w:val="2"/>
                <w:sz w:val="24"/>
                <w:szCs w:val="24"/>
                <w:highlight w:val="none"/>
                <w:lang w:val="en-US" w:bidi="ar-SA"/>
              </w:rPr>
            </w:pPr>
            <w:r>
              <w:rPr>
                <w:rFonts w:hint="eastAsia" w:ascii="宋体" w:hAnsi="宋体" w:eastAsia="宋体" w:cs="宋体"/>
                <w:color w:val="auto"/>
                <w:kern w:val="2"/>
                <w:sz w:val="24"/>
                <w:szCs w:val="24"/>
                <w:highlight w:val="none"/>
                <w:lang w:val="en-US" w:bidi="ar-SA"/>
              </w:rPr>
              <w:t>业主单位</w:t>
            </w:r>
          </w:p>
        </w:tc>
        <w:tc>
          <w:tcPr>
            <w:tcW w:w="2347" w:type="dxa"/>
            <w:vAlign w:val="center"/>
          </w:tcPr>
          <w:p>
            <w:pPr>
              <w:shd w:val="clear"/>
              <w:spacing w:after="160" w:line="278" w:lineRule="auto"/>
              <w:jc w:val="center"/>
              <w:rPr>
                <w:rFonts w:hint="default" w:ascii="宋体" w:hAnsi="宋体" w:eastAsia="宋体" w:cs="宋体"/>
                <w:color w:val="auto"/>
                <w:kern w:val="2"/>
                <w:sz w:val="24"/>
                <w:szCs w:val="24"/>
                <w:highlight w:val="none"/>
                <w:lang w:val="en-US" w:bidi="ar-SA"/>
              </w:rPr>
            </w:pPr>
            <w:r>
              <w:rPr>
                <w:rFonts w:hint="eastAsia" w:ascii="宋体" w:hAnsi="宋体" w:eastAsia="宋体" w:cs="宋体"/>
                <w:color w:val="auto"/>
                <w:kern w:val="2"/>
                <w:sz w:val="24"/>
                <w:szCs w:val="24"/>
                <w:highlight w:val="none"/>
                <w:lang w:val="en-US"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vAlign w:val="center"/>
          </w:tcPr>
          <w:p>
            <w:pPr>
              <w:shd w:val="clear"/>
              <w:spacing w:after="160" w:line="278" w:lineRule="auto"/>
              <w:jc w:val="center"/>
              <w:rPr>
                <w:rFonts w:hint="default" w:ascii="宋体" w:hAnsi="宋体" w:eastAsia="宋体" w:cs="宋体"/>
                <w:color w:val="auto"/>
                <w:kern w:val="2"/>
                <w:sz w:val="26"/>
                <w:szCs w:val="21"/>
                <w:highlight w:val="none"/>
                <w:lang w:val="en-US" w:bidi="ar-SA"/>
              </w:rPr>
            </w:pPr>
            <w:r>
              <w:rPr>
                <w:rFonts w:hint="eastAsia" w:ascii="宋体" w:hAnsi="宋体" w:eastAsia="宋体" w:cs="宋体"/>
                <w:color w:val="auto"/>
                <w:kern w:val="2"/>
                <w:sz w:val="26"/>
                <w:szCs w:val="21"/>
                <w:highlight w:val="none"/>
                <w:lang w:val="en-US" w:bidi="ar-SA"/>
              </w:rPr>
              <w:t>1</w:t>
            </w:r>
          </w:p>
        </w:tc>
        <w:tc>
          <w:tcPr>
            <w:tcW w:w="1561" w:type="dxa"/>
            <w:vAlign w:val="center"/>
          </w:tcPr>
          <w:p>
            <w:pPr>
              <w:shd w:val="clear"/>
              <w:spacing w:after="160" w:line="278" w:lineRule="auto"/>
              <w:jc w:val="center"/>
              <w:rPr>
                <w:rFonts w:hint="default" w:ascii="宋体" w:hAnsi="宋体" w:eastAsia="宋体" w:cs="宋体"/>
                <w:color w:val="auto"/>
                <w:kern w:val="2"/>
                <w:sz w:val="26"/>
                <w:szCs w:val="21"/>
                <w:highlight w:val="none"/>
                <w:lang w:val="en-US" w:bidi="ar-SA"/>
              </w:rPr>
            </w:pPr>
          </w:p>
        </w:tc>
        <w:tc>
          <w:tcPr>
            <w:tcW w:w="1462" w:type="dxa"/>
          </w:tcPr>
          <w:p>
            <w:pPr>
              <w:shd w:val="clear"/>
              <w:spacing w:after="160" w:line="278" w:lineRule="auto"/>
              <w:jc w:val="center"/>
              <w:rPr>
                <w:rFonts w:hint="default" w:ascii="宋体" w:hAnsi="宋体" w:eastAsia="宋体" w:cs="宋体"/>
                <w:color w:val="auto"/>
                <w:kern w:val="2"/>
                <w:sz w:val="26"/>
                <w:szCs w:val="21"/>
                <w:highlight w:val="none"/>
                <w:lang w:val="en-US" w:bidi="ar-SA"/>
              </w:rPr>
            </w:pPr>
          </w:p>
        </w:tc>
        <w:tc>
          <w:tcPr>
            <w:tcW w:w="1672" w:type="dxa"/>
            <w:vAlign w:val="center"/>
          </w:tcPr>
          <w:p>
            <w:pPr>
              <w:shd w:val="clear"/>
              <w:spacing w:after="160" w:line="278" w:lineRule="auto"/>
              <w:jc w:val="center"/>
              <w:rPr>
                <w:rFonts w:hint="default" w:ascii="宋体" w:hAnsi="宋体" w:eastAsia="宋体" w:cs="宋体"/>
                <w:color w:val="auto"/>
                <w:kern w:val="2"/>
                <w:sz w:val="26"/>
                <w:szCs w:val="21"/>
                <w:highlight w:val="none"/>
                <w:lang w:val="en-US" w:bidi="ar-SA"/>
              </w:rPr>
            </w:pPr>
          </w:p>
        </w:tc>
        <w:tc>
          <w:tcPr>
            <w:tcW w:w="1977" w:type="dxa"/>
            <w:vAlign w:val="center"/>
          </w:tcPr>
          <w:p>
            <w:pPr>
              <w:shd w:val="clear"/>
              <w:spacing w:after="160" w:line="278" w:lineRule="auto"/>
              <w:jc w:val="center"/>
              <w:rPr>
                <w:rFonts w:hint="default" w:ascii="宋体" w:hAnsi="宋体" w:eastAsia="宋体" w:cs="宋体"/>
                <w:color w:val="auto"/>
                <w:kern w:val="2"/>
                <w:sz w:val="26"/>
                <w:szCs w:val="21"/>
                <w:highlight w:val="none"/>
                <w:lang w:val="en-US" w:bidi="ar-SA"/>
              </w:rPr>
            </w:pPr>
          </w:p>
        </w:tc>
        <w:tc>
          <w:tcPr>
            <w:tcW w:w="2347" w:type="dxa"/>
            <w:vAlign w:val="center"/>
          </w:tcPr>
          <w:p>
            <w:pPr>
              <w:shd w:val="clear"/>
              <w:spacing w:after="160" w:line="278" w:lineRule="auto"/>
              <w:jc w:val="center"/>
              <w:rPr>
                <w:rFonts w:hint="default" w:ascii="宋体" w:hAnsi="宋体" w:eastAsia="宋体" w:cs="宋体"/>
                <w:color w:val="auto"/>
                <w:kern w:val="2"/>
                <w:sz w:val="26"/>
                <w:szCs w:val="21"/>
                <w:highlight w:val="none"/>
                <w:lang w:val="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vAlign w:val="center"/>
          </w:tcPr>
          <w:p>
            <w:pPr>
              <w:shd w:val="clear"/>
              <w:spacing w:after="160" w:line="278" w:lineRule="auto"/>
              <w:jc w:val="center"/>
              <w:rPr>
                <w:rFonts w:hint="default" w:ascii="宋体" w:hAnsi="宋体" w:eastAsia="宋体" w:cs="宋体"/>
                <w:color w:val="auto"/>
                <w:kern w:val="2"/>
                <w:sz w:val="26"/>
                <w:szCs w:val="21"/>
                <w:highlight w:val="none"/>
                <w:lang w:val="en-US" w:bidi="ar-SA"/>
              </w:rPr>
            </w:pPr>
            <w:r>
              <w:rPr>
                <w:rFonts w:hint="eastAsia" w:ascii="宋体" w:hAnsi="宋体" w:eastAsia="宋体" w:cs="宋体"/>
                <w:color w:val="auto"/>
                <w:kern w:val="2"/>
                <w:sz w:val="26"/>
                <w:szCs w:val="21"/>
                <w:highlight w:val="none"/>
                <w:lang w:val="en-US" w:bidi="ar-SA"/>
              </w:rPr>
              <w:t>2</w:t>
            </w:r>
          </w:p>
        </w:tc>
        <w:tc>
          <w:tcPr>
            <w:tcW w:w="1561" w:type="dxa"/>
            <w:vAlign w:val="center"/>
          </w:tcPr>
          <w:p>
            <w:pPr>
              <w:shd w:val="clear"/>
              <w:spacing w:after="160" w:line="278" w:lineRule="auto"/>
              <w:jc w:val="center"/>
              <w:rPr>
                <w:rFonts w:hint="default" w:ascii="宋体" w:hAnsi="宋体" w:eastAsia="宋体" w:cs="宋体"/>
                <w:color w:val="auto"/>
                <w:kern w:val="2"/>
                <w:sz w:val="26"/>
                <w:szCs w:val="21"/>
                <w:highlight w:val="none"/>
                <w:lang w:val="en-US" w:bidi="ar-SA"/>
              </w:rPr>
            </w:pPr>
          </w:p>
        </w:tc>
        <w:tc>
          <w:tcPr>
            <w:tcW w:w="1462" w:type="dxa"/>
          </w:tcPr>
          <w:p>
            <w:pPr>
              <w:shd w:val="clear"/>
              <w:spacing w:after="160" w:line="278" w:lineRule="auto"/>
              <w:jc w:val="center"/>
              <w:rPr>
                <w:rFonts w:hint="default" w:ascii="宋体" w:hAnsi="宋体" w:eastAsia="宋体" w:cs="宋体"/>
                <w:color w:val="auto"/>
                <w:kern w:val="2"/>
                <w:sz w:val="26"/>
                <w:szCs w:val="21"/>
                <w:highlight w:val="none"/>
                <w:lang w:val="en-US" w:bidi="ar-SA"/>
              </w:rPr>
            </w:pPr>
          </w:p>
        </w:tc>
        <w:tc>
          <w:tcPr>
            <w:tcW w:w="1672" w:type="dxa"/>
            <w:vAlign w:val="center"/>
          </w:tcPr>
          <w:p>
            <w:pPr>
              <w:shd w:val="clear"/>
              <w:spacing w:after="160" w:line="278" w:lineRule="auto"/>
              <w:jc w:val="center"/>
              <w:rPr>
                <w:rFonts w:hint="default" w:ascii="宋体" w:hAnsi="宋体" w:eastAsia="宋体" w:cs="宋体"/>
                <w:color w:val="auto"/>
                <w:kern w:val="2"/>
                <w:sz w:val="26"/>
                <w:szCs w:val="21"/>
                <w:highlight w:val="none"/>
                <w:lang w:val="en-US" w:bidi="ar-SA"/>
              </w:rPr>
            </w:pPr>
          </w:p>
        </w:tc>
        <w:tc>
          <w:tcPr>
            <w:tcW w:w="1977" w:type="dxa"/>
            <w:vAlign w:val="center"/>
          </w:tcPr>
          <w:p>
            <w:pPr>
              <w:shd w:val="clear"/>
              <w:spacing w:after="160" w:line="278" w:lineRule="auto"/>
              <w:jc w:val="center"/>
              <w:rPr>
                <w:rFonts w:hint="default" w:ascii="宋体" w:hAnsi="宋体" w:eastAsia="宋体" w:cs="宋体"/>
                <w:color w:val="auto"/>
                <w:kern w:val="2"/>
                <w:sz w:val="26"/>
                <w:szCs w:val="21"/>
                <w:highlight w:val="none"/>
                <w:lang w:val="en-US" w:bidi="ar-SA"/>
              </w:rPr>
            </w:pPr>
          </w:p>
        </w:tc>
        <w:tc>
          <w:tcPr>
            <w:tcW w:w="2347" w:type="dxa"/>
            <w:vAlign w:val="center"/>
          </w:tcPr>
          <w:p>
            <w:pPr>
              <w:shd w:val="clear"/>
              <w:spacing w:after="160" w:line="278" w:lineRule="auto"/>
              <w:jc w:val="center"/>
              <w:rPr>
                <w:rFonts w:hint="default" w:ascii="宋体" w:hAnsi="宋体" w:eastAsia="宋体" w:cs="宋体"/>
                <w:color w:val="auto"/>
                <w:kern w:val="2"/>
                <w:sz w:val="26"/>
                <w:szCs w:val="21"/>
                <w:highlight w:val="none"/>
                <w:lang w:val="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vAlign w:val="center"/>
          </w:tcPr>
          <w:p>
            <w:pPr>
              <w:shd w:val="clear"/>
              <w:spacing w:after="160" w:line="278" w:lineRule="auto"/>
              <w:jc w:val="center"/>
              <w:rPr>
                <w:rFonts w:hint="default" w:ascii="宋体" w:hAnsi="宋体" w:eastAsia="宋体" w:cs="宋体"/>
                <w:color w:val="auto"/>
                <w:kern w:val="2"/>
                <w:sz w:val="26"/>
                <w:szCs w:val="21"/>
                <w:highlight w:val="none"/>
                <w:lang w:val="en-US" w:bidi="ar-SA"/>
              </w:rPr>
            </w:pPr>
            <w:r>
              <w:rPr>
                <w:rFonts w:hint="eastAsia" w:ascii="宋体" w:hAnsi="宋体" w:eastAsia="宋体" w:cs="宋体"/>
                <w:color w:val="auto"/>
                <w:kern w:val="2"/>
                <w:sz w:val="26"/>
                <w:szCs w:val="21"/>
                <w:highlight w:val="none"/>
                <w:lang w:val="en-US" w:bidi="ar-SA"/>
              </w:rPr>
              <w:t>3</w:t>
            </w:r>
          </w:p>
        </w:tc>
        <w:tc>
          <w:tcPr>
            <w:tcW w:w="1561" w:type="dxa"/>
            <w:vAlign w:val="center"/>
          </w:tcPr>
          <w:p>
            <w:pPr>
              <w:shd w:val="clear"/>
              <w:spacing w:after="160" w:line="278" w:lineRule="auto"/>
              <w:jc w:val="center"/>
              <w:rPr>
                <w:rFonts w:hint="default" w:ascii="宋体" w:hAnsi="宋体" w:eastAsia="宋体" w:cs="宋体"/>
                <w:color w:val="auto"/>
                <w:kern w:val="2"/>
                <w:sz w:val="26"/>
                <w:szCs w:val="21"/>
                <w:highlight w:val="none"/>
                <w:lang w:val="en-US" w:bidi="ar-SA"/>
              </w:rPr>
            </w:pPr>
          </w:p>
        </w:tc>
        <w:tc>
          <w:tcPr>
            <w:tcW w:w="1462" w:type="dxa"/>
          </w:tcPr>
          <w:p>
            <w:pPr>
              <w:shd w:val="clear"/>
              <w:spacing w:after="160" w:line="278" w:lineRule="auto"/>
              <w:jc w:val="center"/>
              <w:rPr>
                <w:rFonts w:hint="default" w:ascii="宋体" w:hAnsi="宋体" w:eastAsia="宋体" w:cs="宋体"/>
                <w:color w:val="auto"/>
                <w:kern w:val="2"/>
                <w:sz w:val="26"/>
                <w:szCs w:val="21"/>
                <w:highlight w:val="none"/>
                <w:lang w:val="en-US" w:bidi="ar-SA"/>
              </w:rPr>
            </w:pPr>
          </w:p>
        </w:tc>
        <w:tc>
          <w:tcPr>
            <w:tcW w:w="1672" w:type="dxa"/>
            <w:vAlign w:val="center"/>
          </w:tcPr>
          <w:p>
            <w:pPr>
              <w:shd w:val="clear"/>
              <w:spacing w:after="160" w:line="278" w:lineRule="auto"/>
              <w:jc w:val="center"/>
              <w:rPr>
                <w:rFonts w:hint="default" w:ascii="宋体" w:hAnsi="宋体" w:eastAsia="宋体" w:cs="宋体"/>
                <w:color w:val="auto"/>
                <w:kern w:val="2"/>
                <w:sz w:val="26"/>
                <w:szCs w:val="21"/>
                <w:highlight w:val="none"/>
                <w:lang w:val="en-US" w:bidi="ar-SA"/>
              </w:rPr>
            </w:pPr>
          </w:p>
        </w:tc>
        <w:tc>
          <w:tcPr>
            <w:tcW w:w="1977" w:type="dxa"/>
            <w:vAlign w:val="center"/>
          </w:tcPr>
          <w:p>
            <w:pPr>
              <w:shd w:val="clear"/>
              <w:spacing w:after="160" w:line="278" w:lineRule="auto"/>
              <w:jc w:val="center"/>
              <w:rPr>
                <w:rFonts w:hint="default" w:ascii="宋体" w:hAnsi="宋体" w:eastAsia="宋体" w:cs="宋体"/>
                <w:color w:val="auto"/>
                <w:kern w:val="2"/>
                <w:sz w:val="26"/>
                <w:szCs w:val="21"/>
                <w:highlight w:val="none"/>
                <w:lang w:val="en-US" w:bidi="ar-SA"/>
              </w:rPr>
            </w:pPr>
          </w:p>
        </w:tc>
        <w:tc>
          <w:tcPr>
            <w:tcW w:w="2347" w:type="dxa"/>
            <w:vAlign w:val="center"/>
          </w:tcPr>
          <w:p>
            <w:pPr>
              <w:shd w:val="clear"/>
              <w:spacing w:after="160" w:line="278" w:lineRule="auto"/>
              <w:jc w:val="center"/>
              <w:rPr>
                <w:rFonts w:hint="default" w:ascii="宋体" w:hAnsi="宋体" w:eastAsia="宋体" w:cs="宋体"/>
                <w:color w:val="auto"/>
                <w:kern w:val="2"/>
                <w:sz w:val="26"/>
                <w:szCs w:val="21"/>
                <w:highlight w:val="none"/>
                <w:lang w:val="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vAlign w:val="center"/>
          </w:tcPr>
          <w:p>
            <w:pPr>
              <w:shd w:val="clear"/>
              <w:spacing w:after="160" w:line="278" w:lineRule="auto"/>
              <w:jc w:val="center"/>
              <w:rPr>
                <w:rFonts w:hint="default" w:ascii="宋体" w:hAnsi="宋体" w:eastAsia="宋体" w:cs="宋体"/>
                <w:color w:val="auto"/>
                <w:kern w:val="2"/>
                <w:sz w:val="26"/>
                <w:szCs w:val="21"/>
                <w:highlight w:val="none"/>
                <w:lang w:val="en-US" w:bidi="ar-SA"/>
              </w:rPr>
            </w:pPr>
            <w:r>
              <w:rPr>
                <w:rFonts w:hint="eastAsia" w:ascii="宋体" w:hAnsi="宋体" w:eastAsia="宋体" w:cs="宋体"/>
                <w:color w:val="auto"/>
                <w:kern w:val="2"/>
                <w:sz w:val="26"/>
                <w:szCs w:val="21"/>
                <w:highlight w:val="none"/>
                <w:lang w:val="en-US" w:bidi="ar-SA"/>
              </w:rPr>
              <w:t>4</w:t>
            </w:r>
          </w:p>
        </w:tc>
        <w:tc>
          <w:tcPr>
            <w:tcW w:w="1561" w:type="dxa"/>
            <w:vAlign w:val="center"/>
          </w:tcPr>
          <w:p>
            <w:pPr>
              <w:shd w:val="clear"/>
              <w:spacing w:after="160" w:line="278" w:lineRule="auto"/>
              <w:jc w:val="center"/>
              <w:rPr>
                <w:rFonts w:hint="default" w:ascii="宋体" w:hAnsi="宋体" w:eastAsia="宋体" w:cs="宋体"/>
                <w:color w:val="auto"/>
                <w:kern w:val="2"/>
                <w:sz w:val="26"/>
                <w:szCs w:val="21"/>
                <w:highlight w:val="none"/>
                <w:lang w:val="en-US" w:bidi="ar-SA"/>
              </w:rPr>
            </w:pPr>
          </w:p>
        </w:tc>
        <w:tc>
          <w:tcPr>
            <w:tcW w:w="1462" w:type="dxa"/>
          </w:tcPr>
          <w:p>
            <w:pPr>
              <w:shd w:val="clear"/>
              <w:spacing w:after="160" w:line="278" w:lineRule="auto"/>
              <w:jc w:val="center"/>
              <w:rPr>
                <w:rFonts w:hint="default" w:ascii="宋体" w:hAnsi="宋体" w:eastAsia="宋体" w:cs="宋体"/>
                <w:color w:val="auto"/>
                <w:kern w:val="2"/>
                <w:sz w:val="26"/>
                <w:szCs w:val="21"/>
                <w:highlight w:val="none"/>
                <w:lang w:val="en-US" w:bidi="ar-SA"/>
              </w:rPr>
            </w:pPr>
          </w:p>
        </w:tc>
        <w:tc>
          <w:tcPr>
            <w:tcW w:w="1672" w:type="dxa"/>
            <w:vAlign w:val="center"/>
          </w:tcPr>
          <w:p>
            <w:pPr>
              <w:shd w:val="clear"/>
              <w:spacing w:after="160" w:line="278" w:lineRule="auto"/>
              <w:jc w:val="center"/>
              <w:rPr>
                <w:rFonts w:hint="default" w:ascii="宋体" w:hAnsi="宋体" w:eastAsia="宋体" w:cs="宋体"/>
                <w:color w:val="auto"/>
                <w:kern w:val="2"/>
                <w:sz w:val="26"/>
                <w:szCs w:val="21"/>
                <w:highlight w:val="none"/>
                <w:lang w:val="en-US" w:bidi="ar-SA"/>
              </w:rPr>
            </w:pPr>
          </w:p>
        </w:tc>
        <w:tc>
          <w:tcPr>
            <w:tcW w:w="1977" w:type="dxa"/>
            <w:vAlign w:val="center"/>
          </w:tcPr>
          <w:p>
            <w:pPr>
              <w:shd w:val="clear"/>
              <w:spacing w:after="160" w:line="278" w:lineRule="auto"/>
              <w:jc w:val="center"/>
              <w:rPr>
                <w:rFonts w:hint="default" w:ascii="宋体" w:hAnsi="宋体" w:eastAsia="宋体" w:cs="宋体"/>
                <w:color w:val="auto"/>
                <w:kern w:val="2"/>
                <w:sz w:val="26"/>
                <w:szCs w:val="21"/>
                <w:highlight w:val="none"/>
                <w:lang w:val="en-US" w:bidi="ar-SA"/>
              </w:rPr>
            </w:pPr>
          </w:p>
        </w:tc>
        <w:tc>
          <w:tcPr>
            <w:tcW w:w="2347" w:type="dxa"/>
            <w:vAlign w:val="center"/>
          </w:tcPr>
          <w:p>
            <w:pPr>
              <w:shd w:val="clear"/>
              <w:spacing w:after="160" w:line="278" w:lineRule="auto"/>
              <w:jc w:val="center"/>
              <w:rPr>
                <w:rFonts w:hint="default" w:ascii="宋体" w:hAnsi="宋体" w:eastAsia="宋体" w:cs="宋体"/>
                <w:color w:val="auto"/>
                <w:kern w:val="2"/>
                <w:sz w:val="26"/>
                <w:szCs w:val="21"/>
                <w:highlight w:val="none"/>
                <w:lang w:val="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vAlign w:val="center"/>
          </w:tcPr>
          <w:p>
            <w:pPr>
              <w:shd w:val="clear"/>
              <w:spacing w:after="160" w:line="278" w:lineRule="auto"/>
              <w:jc w:val="center"/>
              <w:rPr>
                <w:rFonts w:hint="default" w:ascii="宋体" w:hAnsi="宋体" w:eastAsia="宋体" w:cs="宋体"/>
                <w:color w:val="auto"/>
                <w:kern w:val="2"/>
                <w:sz w:val="26"/>
                <w:szCs w:val="21"/>
                <w:highlight w:val="none"/>
                <w:lang w:val="en-US" w:bidi="ar-SA"/>
              </w:rPr>
            </w:pPr>
            <w:r>
              <w:rPr>
                <w:rFonts w:hint="eastAsia" w:ascii="宋体" w:hAnsi="宋体" w:eastAsia="宋体" w:cs="宋体"/>
                <w:color w:val="auto"/>
                <w:kern w:val="2"/>
                <w:sz w:val="26"/>
                <w:szCs w:val="21"/>
                <w:highlight w:val="none"/>
                <w:lang w:val="en-US" w:bidi="ar-SA"/>
              </w:rPr>
              <w:t>5</w:t>
            </w:r>
          </w:p>
        </w:tc>
        <w:tc>
          <w:tcPr>
            <w:tcW w:w="1561" w:type="dxa"/>
            <w:vAlign w:val="center"/>
          </w:tcPr>
          <w:p>
            <w:pPr>
              <w:shd w:val="clear"/>
              <w:spacing w:after="160" w:line="278" w:lineRule="auto"/>
              <w:jc w:val="center"/>
              <w:rPr>
                <w:rFonts w:hint="default" w:ascii="宋体" w:hAnsi="宋体" w:eastAsia="宋体" w:cs="宋体"/>
                <w:color w:val="auto"/>
                <w:kern w:val="2"/>
                <w:sz w:val="26"/>
                <w:szCs w:val="21"/>
                <w:highlight w:val="none"/>
                <w:lang w:val="en-US" w:bidi="ar-SA"/>
              </w:rPr>
            </w:pPr>
          </w:p>
        </w:tc>
        <w:tc>
          <w:tcPr>
            <w:tcW w:w="1462" w:type="dxa"/>
          </w:tcPr>
          <w:p>
            <w:pPr>
              <w:shd w:val="clear"/>
              <w:spacing w:after="160" w:line="278" w:lineRule="auto"/>
              <w:jc w:val="center"/>
              <w:rPr>
                <w:rFonts w:hint="default" w:ascii="宋体" w:hAnsi="宋体" w:eastAsia="宋体" w:cs="宋体"/>
                <w:color w:val="auto"/>
                <w:kern w:val="2"/>
                <w:sz w:val="26"/>
                <w:szCs w:val="21"/>
                <w:highlight w:val="none"/>
                <w:lang w:val="en-US" w:bidi="ar-SA"/>
              </w:rPr>
            </w:pPr>
          </w:p>
        </w:tc>
        <w:tc>
          <w:tcPr>
            <w:tcW w:w="1672" w:type="dxa"/>
            <w:vAlign w:val="center"/>
          </w:tcPr>
          <w:p>
            <w:pPr>
              <w:shd w:val="clear"/>
              <w:spacing w:after="160" w:line="278" w:lineRule="auto"/>
              <w:jc w:val="center"/>
              <w:rPr>
                <w:rFonts w:hint="default" w:ascii="宋体" w:hAnsi="宋体" w:eastAsia="宋体" w:cs="宋体"/>
                <w:color w:val="auto"/>
                <w:kern w:val="2"/>
                <w:sz w:val="26"/>
                <w:szCs w:val="21"/>
                <w:highlight w:val="none"/>
                <w:lang w:val="en-US" w:bidi="ar-SA"/>
              </w:rPr>
            </w:pPr>
          </w:p>
        </w:tc>
        <w:tc>
          <w:tcPr>
            <w:tcW w:w="1977" w:type="dxa"/>
            <w:vAlign w:val="center"/>
          </w:tcPr>
          <w:p>
            <w:pPr>
              <w:shd w:val="clear"/>
              <w:spacing w:after="160" w:line="278" w:lineRule="auto"/>
              <w:jc w:val="center"/>
              <w:rPr>
                <w:rFonts w:hint="default" w:ascii="宋体" w:hAnsi="宋体" w:eastAsia="宋体" w:cs="宋体"/>
                <w:color w:val="auto"/>
                <w:kern w:val="2"/>
                <w:sz w:val="26"/>
                <w:szCs w:val="21"/>
                <w:highlight w:val="none"/>
                <w:lang w:val="en-US" w:bidi="ar-SA"/>
              </w:rPr>
            </w:pPr>
          </w:p>
        </w:tc>
        <w:tc>
          <w:tcPr>
            <w:tcW w:w="2347" w:type="dxa"/>
            <w:vAlign w:val="center"/>
          </w:tcPr>
          <w:p>
            <w:pPr>
              <w:shd w:val="clear"/>
              <w:spacing w:after="160" w:line="278" w:lineRule="auto"/>
              <w:jc w:val="center"/>
              <w:rPr>
                <w:rFonts w:hint="default" w:ascii="宋体" w:hAnsi="宋体" w:eastAsia="宋体" w:cs="宋体"/>
                <w:color w:val="auto"/>
                <w:kern w:val="2"/>
                <w:sz w:val="26"/>
                <w:szCs w:val="21"/>
                <w:highlight w:val="none"/>
                <w:lang w:val="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vAlign w:val="center"/>
          </w:tcPr>
          <w:p>
            <w:pPr>
              <w:shd w:val="clear"/>
              <w:spacing w:after="160" w:line="278" w:lineRule="auto"/>
              <w:jc w:val="center"/>
              <w:rPr>
                <w:rFonts w:hint="default" w:ascii="宋体" w:hAnsi="宋体" w:eastAsia="宋体" w:cs="宋体"/>
                <w:color w:val="auto"/>
                <w:kern w:val="2"/>
                <w:sz w:val="26"/>
                <w:szCs w:val="21"/>
                <w:highlight w:val="none"/>
                <w:lang w:val="en-US" w:bidi="ar-SA"/>
              </w:rPr>
            </w:pPr>
            <w:r>
              <w:rPr>
                <w:rFonts w:hint="eastAsia" w:ascii="宋体" w:hAnsi="宋体" w:eastAsia="宋体" w:cs="宋体"/>
                <w:color w:val="auto"/>
                <w:kern w:val="2"/>
                <w:sz w:val="26"/>
                <w:szCs w:val="21"/>
                <w:highlight w:val="none"/>
                <w:lang w:val="en-US" w:bidi="ar-SA"/>
              </w:rPr>
              <w:t>…</w:t>
            </w:r>
          </w:p>
        </w:tc>
        <w:tc>
          <w:tcPr>
            <w:tcW w:w="1561" w:type="dxa"/>
            <w:vAlign w:val="center"/>
          </w:tcPr>
          <w:p>
            <w:pPr>
              <w:shd w:val="clear"/>
              <w:spacing w:after="160" w:line="278" w:lineRule="auto"/>
              <w:jc w:val="center"/>
              <w:rPr>
                <w:rFonts w:hint="default" w:ascii="宋体" w:hAnsi="宋体" w:eastAsia="宋体" w:cs="宋体"/>
                <w:color w:val="auto"/>
                <w:kern w:val="2"/>
                <w:sz w:val="26"/>
                <w:szCs w:val="21"/>
                <w:highlight w:val="none"/>
                <w:lang w:val="en-US" w:bidi="ar-SA"/>
              </w:rPr>
            </w:pPr>
          </w:p>
        </w:tc>
        <w:tc>
          <w:tcPr>
            <w:tcW w:w="1462" w:type="dxa"/>
          </w:tcPr>
          <w:p>
            <w:pPr>
              <w:shd w:val="clear"/>
              <w:spacing w:after="160" w:line="278" w:lineRule="auto"/>
              <w:jc w:val="center"/>
              <w:rPr>
                <w:rFonts w:hint="default" w:ascii="宋体" w:hAnsi="宋体" w:eastAsia="宋体" w:cs="宋体"/>
                <w:color w:val="auto"/>
                <w:kern w:val="2"/>
                <w:sz w:val="26"/>
                <w:szCs w:val="21"/>
                <w:highlight w:val="none"/>
                <w:lang w:val="en-US" w:bidi="ar-SA"/>
              </w:rPr>
            </w:pPr>
          </w:p>
        </w:tc>
        <w:tc>
          <w:tcPr>
            <w:tcW w:w="1672" w:type="dxa"/>
            <w:vAlign w:val="center"/>
          </w:tcPr>
          <w:p>
            <w:pPr>
              <w:shd w:val="clear"/>
              <w:spacing w:after="160" w:line="278" w:lineRule="auto"/>
              <w:jc w:val="center"/>
              <w:rPr>
                <w:rFonts w:hint="default" w:ascii="宋体" w:hAnsi="宋体" w:eastAsia="宋体" w:cs="宋体"/>
                <w:color w:val="auto"/>
                <w:kern w:val="2"/>
                <w:sz w:val="26"/>
                <w:szCs w:val="21"/>
                <w:highlight w:val="none"/>
                <w:lang w:val="en-US" w:bidi="ar-SA"/>
              </w:rPr>
            </w:pPr>
          </w:p>
        </w:tc>
        <w:tc>
          <w:tcPr>
            <w:tcW w:w="1977" w:type="dxa"/>
            <w:vAlign w:val="center"/>
          </w:tcPr>
          <w:p>
            <w:pPr>
              <w:shd w:val="clear"/>
              <w:spacing w:after="160" w:line="278" w:lineRule="auto"/>
              <w:jc w:val="center"/>
              <w:rPr>
                <w:rFonts w:hint="default" w:ascii="宋体" w:hAnsi="宋体" w:eastAsia="宋体" w:cs="宋体"/>
                <w:color w:val="auto"/>
                <w:kern w:val="2"/>
                <w:sz w:val="26"/>
                <w:szCs w:val="21"/>
                <w:highlight w:val="none"/>
                <w:lang w:val="en-US" w:bidi="ar-SA"/>
              </w:rPr>
            </w:pPr>
          </w:p>
        </w:tc>
        <w:tc>
          <w:tcPr>
            <w:tcW w:w="2347" w:type="dxa"/>
            <w:vAlign w:val="center"/>
          </w:tcPr>
          <w:p>
            <w:pPr>
              <w:shd w:val="clear"/>
              <w:spacing w:after="160" w:line="278" w:lineRule="auto"/>
              <w:jc w:val="center"/>
              <w:rPr>
                <w:rFonts w:hint="default" w:ascii="宋体" w:hAnsi="宋体" w:eastAsia="宋体" w:cs="宋体"/>
                <w:color w:val="auto"/>
                <w:kern w:val="2"/>
                <w:sz w:val="26"/>
                <w:szCs w:val="21"/>
                <w:highlight w:val="none"/>
                <w:lang w:val="en-US" w:bidi="ar-SA"/>
              </w:rPr>
            </w:pPr>
          </w:p>
        </w:tc>
      </w:tr>
    </w:tbl>
    <w:p>
      <w:pPr>
        <w:shd w:val="clear"/>
        <w:spacing w:after="160" w:line="460" w:lineRule="exact"/>
        <w:ind w:firstLine="470" w:firstLineChars="196"/>
        <w:rPr>
          <w:rFonts w:hint="default" w:ascii="宋体" w:hAnsi="宋体" w:eastAsia="宋体" w:cs="宋体"/>
          <w:bCs/>
          <w:color w:val="auto"/>
          <w:kern w:val="2"/>
          <w:sz w:val="28"/>
          <w:szCs w:val="24"/>
          <w:highlight w:val="none"/>
          <w:lang w:val="en-US" w:bidi="ar-SA"/>
        </w:rPr>
      </w:pPr>
      <w:r>
        <w:rPr>
          <w:rFonts w:hint="eastAsia" w:ascii="宋体" w:hAnsi="宋体" w:eastAsia="宋体" w:cs="宋体"/>
          <w:bCs/>
          <w:color w:val="auto"/>
          <w:kern w:val="2"/>
          <w:sz w:val="24"/>
          <w:szCs w:val="22"/>
          <w:highlight w:val="none"/>
          <w:lang w:val="en-US" w:bidi="ar-SA"/>
        </w:rPr>
        <w:t>注：附评分标准中需要提交的证明材料。如出现证明材料复印件内容不完整或字迹、内容、盖章模糊不清等情况均不得分。</w:t>
      </w:r>
    </w:p>
    <w:p>
      <w:pPr>
        <w:shd w:val="clear"/>
        <w:spacing w:after="160" w:line="460" w:lineRule="exact"/>
        <w:ind w:firstLine="548" w:firstLineChars="196"/>
        <w:rPr>
          <w:rFonts w:hint="default" w:ascii="宋体" w:hAnsi="宋体" w:eastAsia="宋体" w:cs="宋体"/>
          <w:bCs/>
          <w:color w:val="auto"/>
          <w:kern w:val="2"/>
          <w:sz w:val="28"/>
          <w:szCs w:val="24"/>
          <w:highlight w:val="none"/>
          <w:lang w:val="en-US" w:bidi="ar-SA"/>
        </w:rPr>
      </w:pPr>
    </w:p>
    <w:p>
      <w:pPr>
        <w:shd w:val="clear"/>
        <w:spacing w:after="160" w:line="460" w:lineRule="exact"/>
        <w:ind w:firstLine="548" w:firstLineChars="196"/>
        <w:rPr>
          <w:rFonts w:hint="default" w:ascii="宋体" w:hAnsi="宋体" w:eastAsia="宋体" w:cs="宋体"/>
          <w:bCs/>
          <w:color w:val="auto"/>
          <w:kern w:val="2"/>
          <w:sz w:val="28"/>
          <w:szCs w:val="24"/>
          <w:highlight w:val="none"/>
          <w:lang w:val="en-US" w:bidi="ar-SA"/>
        </w:rPr>
      </w:pPr>
    </w:p>
    <w:p>
      <w:pPr>
        <w:shd w:val="clear"/>
        <w:spacing w:after="160" w:line="480" w:lineRule="auto"/>
        <w:ind w:firstLine="3120" w:firstLineChars="1300"/>
        <w:rPr>
          <w:rFonts w:hint="default" w:ascii="宋体" w:hAnsi="宋体" w:eastAsia="宋体" w:cs="宋体"/>
          <w:bCs/>
          <w:color w:val="auto"/>
          <w:kern w:val="2"/>
          <w:sz w:val="24"/>
          <w:szCs w:val="24"/>
          <w:highlight w:val="none"/>
          <w:lang w:val="en-US" w:bidi="ar-SA"/>
        </w:rPr>
      </w:pPr>
      <w:r>
        <w:rPr>
          <w:rFonts w:hint="eastAsia" w:ascii="宋体" w:hAnsi="宋体" w:eastAsia="宋体" w:cs="宋体"/>
          <w:bCs/>
          <w:color w:val="auto"/>
          <w:kern w:val="2"/>
          <w:sz w:val="24"/>
          <w:szCs w:val="24"/>
          <w:highlight w:val="none"/>
          <w:lang w:val="en-US" w:eastAsia="zh-CN" w:bidi="ar-SA"/>
        </w:rPr>
        <w:t>投标</w:t>
      </w:r>
      <w:r>
        <w:rPr>
          <w:rFonts w:hint="eastAsia" w:ascii="宋体" w:hAnsi="宋体" w:eastAsia="宋体" w:cs="宋体"/>
          <w:bCs/>
          <w:color w:val="auto"/>
          <w:kern w:val="2"/>
          <w:sz w:val="24"/>
          <w:szCs w:val="24"/>
          <w:highlight w:val="none"/>
          <w:lang w:val="en-US" w:bidi="ar-SA"/>
        </w:rPr>
        <w:t>供应商（盖章）：</w:t>
      </w:r>
    </w:p>
    <w:p>
      <w:pPr>
        <w:shd w:val="clear"/>
        <w:spacing w:after="160" w:line="480" w:lineRule="auto"/>
        <w:ind w:firstLine="480" w:firstLineChars="200"/>
        <w:rPr>
          <w:rFonts w:hint="default" w:ascii="宋体" w:hAnsi="宋体" w:eastAsia="宋体" w:cs="宋体"/>
          <w:bCs/>
          <w:color w:val="auto"/>
          <w:kern w:val="2"/>
          <w:sz w:val="24"/>
          <w:szCs w:val="24"/>
          <w:highlight w:val="none"/>
          <w:lang w:val="en-US" w:bidi="ar-SA"/>
        </w:rPr>
      </w:pPr>
      <w:r>
        <w:rPr>
          <w:rFonts w:hint="eastAsia" w:ascii="宋体" w:hAnsi="宋体" w:eastAsia="宋体" w:cs="宋体"/>
          <w:bCs/>
          <w:color w:val="auto"/>
          <w:kern w:val="2"/>
          <w:sz w:val="24"/>
          <w:szCs w:val="24"/>
          <w:highlight w:val="none"/>
          <w:lang w:val="en-US" w:bidi="ar-SA"/>
        </w:rPr>
        <w:t>法定代表人或法定代表人授权代表签字或盖章：</w:t>
      </w:r>
    </w:p>
    <w:p>
      <w:pPr>
        <w:shd w:val="clear"/>
        <w:overflowPunct w:val="0"/>
        <w:adjustRightInd w:val="0"/>
        <w:spacing w:after="160" w:line="360" w:lineRule="auto"/>
        <w:ind w:firstLine="4800" w:firstLineChars="2000"/>
        <w:textAlignment w:val="baseline"/>
        <w:rPr>
          <w:rFonts w:hint="default" w:ascii="宋体" w:hAnsi="宋体" w:eastAsia="宋体" w:cs="宋体"/>
          <w:bCs/>
          <w:color w:val="auto"/>
          <w:kern w:val="2"/>
          <w:sz w:val="24"/>
          <w:szCs w:val="24"/>
          <w:highlight w:val="none"/>
          <w:lang w:val="en-US" w:bidi="ar-SA"/>
        </w:rPr>
      </w:pPr>
      <w:r>
        <w:rPr>
          <w:rFonts w:hint="eastAsia" w:ascii="宋体" w:hAnsi="宋体" w:eastAsia="宋体" w:cs="宋体"/>
          <w:bCs/>
          <w:color w:val="auto"/>
          <w:kern w:val="2"/>
          <w:sz w:val="24"/>
          <w:szCs w:val="24"/>
          <w:highlight w:val="none"/>
          <w:lang w:val="en-US" w:bidi="ar-SA"/>
        </w:rPr>
        <w:t>日期：    年  月   日</w:t>
      </w:r>
    </w:p>
    <w:p>
      <w:pPr>
        <w:shd w:val="clear"/>
        <w:rPr>
          <w:rFonts w:hint="eastAsia"/>
          <w:color w:val="auto"/>
          <w:highlight w:val="none"/>
          <w:lang w:val="en-US"/>
        </w:rPr>
      </w:pPr>
      <w:r>
        <w:rPr>
          <w:rFonts w:hint="eastAsia"/>
          <w:color w:val="auto"/>
          <w:highlight w:val="none"/>
          <w:lang w:val="en-US"/>
        </w:rPr>
        <w:br w:type="page"/>
      </w:r>
    </w:p>
    <w:p>
      <w:pPr>
        <w:pStyle w:val="5"/>
        <w:shd w:val="clear"/>
        <w:bidi w:val="0"/>
        <w:rPr>
          <w:rFonts w:hint="default"/>
          <w:color w:val="auto"/>
          <w:highlight w:val="none"/>
          <w:lang w:val="en-US"/>
        </w:rPr>
      </w:pPr>
      <w:r>
        <w:rPr>
          <w:rFonts w:hint="eastAsia"/>
          <w:color w:val="auto"/>
          <w:highlight w:val="none"/>
          <w:lang w:val="en-US"/>
        </w:rPr>
        <w:t>具备履行合同所必需的设备和专业技术能力的书面声明（格式）</w:t>
      </w:r>
    </w:p>
    <w:p>
      <w:pPr>
        <w:shd w:val="clear"/>
        <w:spacing w:after="160" w:line="460" w:lineRule="exact"/>
        <w:jc w:val="center"/>
        <w:rPr>
          <w:rFonts w:hint="default" w:ascii="宋体" w:hAnsi="宋体" w:eastAsia="宋体" w:cs="宋体"/>
          <w:b/>
          <w:bCs/>
          <w:color w:val="auto"/>
          <w:kern w:val="2"/>
          <w:sz w:val="30"/>
          <w:szCs w:val="30"/>
          <w:highlight w:val="none"/>
          <w:lang w:val="en-US" w:bidi="ar-SA"/>
        </w:rPr>
      </w:pPr>
    </w:p>
    <w:p>
      <w:pPr>
        <w:shd w:val="clear"/>
        <w:spacing w:after="160" w:line="460" w:lineRule="exact"/>
        <w:jc w:val="center"/>
        <w:rPr>
          <w:rFonts w:hint="default" w:ascii="宋体" w:hAnsi="宋体" w:eastAsia="宋体" w:cs="宋体"/>
          <w:b/>
          <w:bCs/>
          <w:color w:val="auto"/>
          <w:kern w:val="2"/>
          <w:sz w:val="30"/>
          <w:szCs w:val="30"/>
          <w:highlight w:val="none"/>
          <w:lang w:val="en-US" w:bidi="ar-SA"/>
        </w:rPr>
      </w:pPr>
      <w:r>
        <w:rPr>
          <w:rFonts w:hint="eastAsia" w:ascii="宋体" w:hAnsi="宋体" w:eastAsia="宋体" w:cs="宋体"/>
          <w:b/>
          <w:bCs/>
          <w:color w:val="auto"/>
          <w:kern w:val="2"/>
          <w:sz w:val="30"/>
          <w:szCs w:val="30"/>
          <w:highlight w:val="none"/>
          <w:lang w:val="en-US" w:bidi="ar-SA"/>
        </w:rPr>
        <w:t>具备履行合同所必需的设备和专业技术能力的书面声明</w:t>
      </w:r>
    </w:p>
    <w:p>
      <w:pPr>
        <w:shd w:val="clear"/>
        <w:spacing w:after="160" w:line="460" w:lineRule="exact"/>
        <w:ind w:firstLine="800"/>
        <w:jc w:val="center"/>
        <w:rPr>
          <w:rFonts w:hint="default" w:ascii="宋体" w:hAnsi="宋体" w:eastAsia="宋体" w:cs="宋体"/>
          <w:b/>
          <w:color w:val="auto"/>
          <w:kern w:val="2"/>
          <w:sz w:val="32"/>
          <w:szCs w:val="32"/>
          <w:highlight w:val="none"/>
          <w:lang w:val="en-US" w:bidi="ar-SA"/>
        </w:rPr>
      </w:pPr>
    </w:p>
    <w:p>
      <w:pPr>
        <w:shd w:val="clear"/>
        <w:spacing w:after="160" w:line="460" w:lineRule="exact"/>
        <w:ind w:firstLine="480" w:firstLineChars="200"/>
        <w:rPr>
          <w:rFonts w:hint="default" w:ascii="宋体" w:hAnsi="宋体" w:eastAsia="宋体" w:cs="宋体"/>
          <w:bCs/>
          <w:color w:val="auto"/>
          <w:kern w:val="2"/>
          <w:sz w:val="24"/>
          <w:szCs w:val="22"/>
          <w:highlight w:val="none"/>
          <w:lang w:val="en-US" w:bidi="ar-SA"/>
        </w:rPr>
      </w:pPr>
      <w:r>
        <w:rPr>
          <w:rFonts w:hint="eastAsia" w:ascii="宋体" w:hAnsi="宋体" w:eastAsia="宋体" w:cs="宋体"/>
          <w:bCs/>
          <w:color w:val="auto"/>
          <w:kern w:val="2"/>
          <w:sz w:val="24"/>
          <w:szCs w:val="22"/>
          <w:highlight w:val="none"/>
          <w:lang w:val="en-US" w:bidi="ar-SA"/>
        </w:rPr>
        <w:t>我单位郑重声明：我单位具备履行本项采购合同所必需的设备和专业技术能力，为履行本项采购合同我单位具备如下主要设备和主要专业技术能力：</w:t>
      </w:r>
    </w:p>
    <w:p>
      <w:pPr>
        <w:shd w:val="clear"/>
        <w:spacing w:after="160" w:line="460" w:lineRule="exact"/>
        <w:ind w:firstLine="480" w:firstLineChars="200"/>
        <w:rPr>
          <w:rFonts w:hint="default" w:ascii="宋体" w:hAnsi="宋体" w:eastAsia="宋体" w:cs="宋体"/>
          <w:bCs/>
          <w:color w:val="auto"/>
          <w:kern w:val="2"/>
          <w:sz w:val="24"/>
          <w:szCs w:val="22"/>
          <w:highlight w:val="none"/>
          <w:lang w:val="en-US" w:bidi="ar-SA"/>
        </w:rPr>
      </w:pPr>
      <w:r>
        <w:rPr>
          <w:rFonts w:hint="eastAsia" w:ascii="宋体" w:hAnsi="宋体" w:eastAsia="宋体" w:cs="宋体"/>
          <w:bCs/>
          <w:color w:val="auto"/>
          <w:kern w:val="2"/>
          <w:sz w:val="24"/>
          <w:szCs w:val="22"/>
          <w:highlight w:val="none"/>
          <w:lang w:val="en-US" w:bidi="ar-SA"/>
        </w:rPr>
        <w:t>主要设备有：</w:t>
      </w:r>
      <w:r>
        <w:rPr>
          <w:rFonts w:hint="eastAsia" w:ascii="宋体" w:hAnsi="宋体" w:eastAsia="宋体" w:cs="宋体"/>
          <w:bCs/>
          <w:color w:val="auto"/>
          <w:kern w:val="2"/>
          <w:sz w:val="24"/>
          <w:szCs w:val="22"/>
          <w:highlight w:val="none"/>
          <w:u w:val="single"/>
          <w:lang w:val="en-US" w:bidi="ar-SA"/>
        </w:rPr>
        <w:t xml:space="preserve">                           </w:t>
      </w:r>
      <w:r>
        <w:rPr>
          <w:rFonts w:hint="eastAsia" w:ascii="宋体" w:hAnsi="宋体" w:eastAsia="宋体" w:cs="宋体"/>
          <w:bCs/>
          <w:color w:val="auto"/>
          <w:kern w:val="2"/>
          <w:sz w:val="24"/>
          <w:szCs w:val="22"/>
          <w:highlight w:val="none"/>
          <w:lang w:val="en-US" w:bidi="ar-SA"/>
        </w:rPr>
        <w:t>。</w:t>
      </w:r>
    </w:p>
    <w:p>
      <w:pPr>
        <w:shd w:val="clear"/>
        <w:spacing w:after="160" w:line="460" w:lineRule="exact"/>
        <w:ind w:firstLine="480" w:firstLineChars="200"/>
        <w:rPr>
          <w:rFonts w:hint="default" w:ascii="宋体" w:hAnsi="宋体" w:eastAsia="宋体" w:cs="宋体"/>
          <w:bCs/>
          <w:color w:val="auto"/>
          <w:kern w:val="2"/>
          <w:sz w:val="24"/>
          <w:szCs w:val="22"/>
          <w:highlight w:val="none"/>
          <w:lang w:val="en-US" w:bidi="ar-SA"/>
        </w:rPr>
      </w:pPr>
      <w:r>
        <w:rPr>
          <w:rFonts w:hint="eastAsia" w:ascii="宋体" w:hAnsi="宋体" w:eastAsia="宋体" w:cs="宋体"/>
          <w:bCs/>
          <w:color w:val="auto"/>
          <w:kern w:val="2"/>
          <w:sz w:val="24"/>
          <w:szCs w:val="22"/>
          <w:highlight w:val="none"/>
          <w:lang w:val="en-US" w:bidi="ar-SA"/>
        </w:rPr>
        <w:t xml:space="preserve">主要专业技术能力有： </w:t>
      </w:r>
      <w:r>
        <w:rPr>
          <w:rFonts w:hint="eastAsia" w:ascii="宋体" w:hAnsi="宋体" w:eastAsia="宋体" w:cs="宋体"/>
          <w:bCs/>
          <w:color w:val="auto"/>
          <w:kern w:val="2"/>
          <w:sz w:val="24"/>
          <w:szCs w:val="22"/>
          <w:highlight w:val="none"/>
          <w:u w:val="single"/>
          <w:lang w:val="en-US" w:bidi="ar-SA"/>
        </w:rPr>
        <w:t xml:space="preserve">                  </w:t>
      </w:r>
      <w:r>
        <w:rPr>
          <w:rFonts w:hint="eastAsia" w:ascii="宋体" w:hAnsi="宋体" w:eastAsia="宋体" w:cs="宋体"/>
          <w:bCs/>
          <w:color w:val="auto"/>
          <w:kern w:val="2"/>
          <w:sz w:val="24"/>
          <w:szCs w:val="22"/>
          <w:highlight w:val="none"/>
          <w:lang w:val="en-US" w:bidi="ar-SA"/>
        </w:rPr>
        <w:t>。</w:t>
      </w:r>
    </w:p>
    <w:p>
      <w:pPr>
        <w:shd w:val="clear"/>
        <w:spacing w:after="160" w:line="460" w:lineRule="exact"/>
        <w:ind w:firstLine="602"/>
        <w:rPr>
          <w:rFonts w:hint="default" w:ascii="宋体" w:hAnsi="宋体" w:eastAsia="宋体" w:cs="宋体"/>
          <w:bCs/>
          <w:color w:val="auto"/>
          <w:kern w:val="2"/>
          <w:sz w:val="24"/>
          <w:szCs w:val="22"/>
          <w:highlight w:val="none"/>
          <w:lang w:val="en-US" w:bidi="ar-SA"/>
        </w:rPr>
      </w:pPr>
      <w:r>
        <w:rPr>
          <w:rFonts w:hint="eastAsia" w:ascii="宋体" w:hAnsi="宋体" w:eastAsia="宋体" w:cs="宋体"/>
          <w:bCs/>
          <w:color w:val="auto"/>
          <w:kern w:val="2"/>
          <w:sz w:val="24"/>
          <w:szCs w:val="22"/>
          <w:highlight w:val="none"/>
          <w:lang w:val="en-US" w:bidi="ar-SA"/>
        </w:rPr>
        <w:t xml:space="preserve">                                    </w:t>
      </w:r>
    </w:p>
    <w:p>
      <w:pPr>
        <w:shd w:val="clear"/>
        <w:spacing w:after="160" w:line="460" w:lineRule="exact"/>
        <w:ind w:firstLine="602"/>
        <w:rPr>
          <w:rFonts w:hint="default" w:ascii="宋体" w:hAnsi="宋体" w:eastAsia="宋体" w:cs="宋体"/>
          <w:bCs/>
          <w:color w:val="auto"/>
          <w:kern w:val="2"/>
          <w:sz w:val="24"/>
          <w:szCs w:val="22"/>
          <w:highlight w:val="none"/>
          <w:lang w:val="en-US" w:bidi="ar-SA"/>
        </w:rPr>
      </w:pPr>
    </w:p>
    <w:p>
      <w:pPr>
        <w:shd w:val="clear"/>
        <w:spacing w:after="160" w:line="460" w:lineRule="exact"/>
        <w:ind w:firstLine="602"/>
        <w:rPr>
          <w:rFonts w:hint="default" w:ascii="宋体" w:hAnsi="宋体" w:eastAsia="宋体" w:cs="宋体"/>
          <w:bCs/>
          <w:color w:val="auto"/>
          <w:kern w:val="2"/>
          <w:sz w:val="24"/>
          <w:szCs w:val="22"/>
          <w:highlight w:val="none"/>
          <w:lang w:val="en-US" w:bidi="ar-SA"/>
        </w:rPr>
      </w:pPr>
    </w:p>
    <w:p>
      <w:pPr>
        <w:shd w:val="clear"/>
        <w:snapToGrid w:val="0"/>
        <w:spacing w:after="160" w:line="360" w:lineRule="auto"/>
        <w:ind w:firstLine="3600" w:firstLineChars="1500"/>
        <w:rPr>
          <w:rFonts w:hint="default" w:ascii="宋体" w:hAnsi="宋体" w:eastAsia="宋体" w:cs="宋体"/>
          <w:color w:val="auto"/>
          <w:kern w:val="2"/>
          <w:sz w:val="24"/>
          <w:szCs w:val="28"/>
          <w:highlight w:val="none"/>
          <w:lang w:val="en-US" w:bidi="ar-SA"/>
        </w:rPr>
      </w:pPr>
      <w:r>
        <w:rPr>
          <w:rFonts w:hint="eastAsia" w:ascii="宋体" w:hAnsi="宋体" w:eastAsia="宋体" w:cs="宋体"/>
          <w:color w:val="auto"/>
          <w:kern w:val="2"/>
          <w:sz w:val="24"/>
          <w:szCs w:val="28"/>
          <w:highlight w:val="none"/>
          <w:lang w:val="en-US" w:bidi="ar-SA"/>
        </w:rPr>
        <w:t>单位名称（公章）：</w:t>
      </w:r>
      <w:r>
        <w:rPr>
          <w:rFonts w:hint="eastAsia" w:ascii="宋体" w:hAnsi="宋体" w:eastAsia="宋体" w:cs="宋体"/>
          <w:color w:val="auto"/>
          <w:kern w:val="2"/>
          <w:sz w:val="24"/>
          <w:szCs w:val="28"/>
          <w:highlight w:val="none"/>
          <w:u w:val="single"/>
          <w:lang w:val="en-US" w:bidi="ar-SA"/>
        </w:rPr>
        <w:t xml:space="preserve">                            </w:t>
      </w:r>
    </w:p>
    <w:p>
      <w:pPr>
        <w:shd w:val="clear"/>
        <w:snapToGrid w:val="0"/>
        <w:spacing w:after="160" w:line="360" w:lineRule="auto"/>
        <w:ind w:firstLine="3600" w:firstLineChars="1500"/>
        <w:rPr>
          <w:rFonts w:hint="default" w:ascii="宋体" w:hAnsi="宋体" w:eastAsia="宋体" w:cs="宋体"/>
          <w:color w:val="auto"/>
          <w:kern w:val="2"/>
          <w:sz w:val="24"/>
          <w:szCs w:val="28"/>
          <w:highlight w:val="none"/>
          <w:lang w:val="en-US" w:bidi="ar-SA"/>
        </w:rPr>
      </w:pPr>
      <w:r>
        <w:rPr>
          <w:rFonts w:hint="eastAsia" w:ascii="宋体" w:hAnsi="宋体" w:eastAsia="宋体" w:cs="宋体"/>
          <w:color w:val="auto"/>
          <w:kern w:val="2"/>
          <w:sz w:val="24"/>
          <w:szCs w:val="28"/>
          <w:highlight w:val="none"/>
          <w:lang w:val="en-US" w:bidi="ar-SA"/>
        </w:rPr>
        <w:t>法定代表人（签名或盖章）：</w:t>
      </w:r>
      <w:r>
        <w:rPr>
          <w:rFonts w:hint="eastAsia" w:ascii="宋体" w:hAnsi="宋体" w:eastAsia="宋体" w:cs="宋体"/>
          <w:color w:val="auto"/>
          <w:kern w:val="2"/>
          <w:sz w:val="24"/>
          <w:szCs w:val="28"/>
          <w:highlight w:val="none"/>
          <w:u w:val="single"/>
          <w:lang w:val="en-US" w:bidi="ar-SA"/>
        </w:rPr>
        <w:t xml:space="preserve">                    </w:t>
      </w:r>
    </w:p>
    <w:p>
      <w:pPr>
        <w:shd w:val="clear"/>
        <w:spacing w:after="160" w:line="580" w:lineRule="exact"/>
        <w:ind w:firstLine="6720" w:firstLineChars="2800"/>
        <w:rPr>
          <w:rFonts w:hint="default" w:ascii="宋体" w:hAnsi="宋体" w:eastAsia="宋体" w:cs="宋体"/>
          <w:bCs/>
          <w:color w:val="auto"/>
          <w:kern w:val="2"/>
          <w:sz w:val="24"/>
          <w:szCs w:val="24"/>
          <w:highlight w:val="none"/>
          <w:lang w:val="en-US" w:bidi="ar-SA"/>
        </w:rPr>
      </w:pPr>
      <w:r>
        <w:rPr>
          <w:rFonts w:hint="eastAsia" w:ascii="宋体" w:hAnsi="宋体" w:eastAsia="宋体" w:cs="宋体"/>
          <w:color w:val="auto"/>
          <w:kern w:val="2"/>
          <w:sz w:val="24"/>
          <w:szCs w:val="28"/>
          <w:highlight w:val="none"/>
          <w:u w:val="single"/>
          <w:lang w:val="en-US" w:bidi="ar-SA"/>
        </w:rPr>
        <w:t xml:space="preserve">      </w:t>
      </w:r>
      <w:r>
        <w:rPr>
          <w:rFonts w:hint="eastAsia" w:ascii="宋体" w:hAnsi="宋体" w:eastAsia="宋体" w:cs="宋体"/>
          <w:color w:val="auto"/>
          <w:kern w:val="2"/>
          <w:sz w:val="24"/>
          <w:szCs w:val="28"/>
          <w:highlight w:val="none"/>
          <w:lang w:val="en-US" w:bidi="ar-SA"/>
        </w:rPr>
        <w:t>年</w:t>
      </w:r>
      <w:r>
        <w:rPr>
          <w:rFonts w:hint="eastAsia" w:ascii="宋体" w:hAnsi="宋体" w:eastAsia="宋体" w:cs="宋体"/>
          <w:color w:val="auto"/>
          <w:kern w:val="2"/>
          <w:sz w:val="24"/>
          <w:szCs w:val="28"/>
          <w:highlight w:val="none"/>
          <w:u w:val="single"/>
          <w:lang w:val="en-US" w:bidi="ar-SA"/>
        </w:rPr>
        <w:t xml:space="preserve">    </w:t>
      </w:r>
      <w:r>
        <w:rPr>
          <w:rFonts w:hint="eastAsia" w:ascii="宋体" w:hAnsi="宋体" w:eastAsia="宋体" w:cs="宋体"/>
          <w:color w:val="auto"/>
          <w:kern w:val="2"/>
          <w:sz w:val="24"/>
          <w:szCs w:val="28"/>
          <w:highlight w:val="none"/>
          <w:lang w:val="en-US" w:bidi="ar-SA"/>
        </w:rPr>
        <w:t>月</w:t>
      </w:r>
      <w:r>
        <w:rPr>
          <w:rFonts w:hint="eastAsia" w:ascii="宋体" w:hAnsi="宋体" w:eastAsia="宋体" w:cs="宋体"/>
          <w:color w:val="auto"/>
          <w:kern w:val="2"/>
          <w:sz w:val="24"/>
          <w:szCs w:val="28"/>
          <w:highlight w:val="none"/>
          <w:u w:val="single"/>
          <w:lang w:val="en-US" w:bidi="ar-SA"/>
        </w:rPr>
        <w:t xml:space="preserve">    </w:t>
      </w:r>
      <w:r>
        <w:rPr>
          <w:rFonts w:hint="eastAsia" w:ascii="宋体" w:hAnsi="宋体" w:eastAsia="宋体" w:cs="宋体"/>
          <w:color w:val="auto"/>
          <w:kern w:val="2"/>
          <w:sz w:val="24"/>
          <w:szCs w:val="28"/>
          <w:highlight w:val="none"/>
          <w:lang w:val="en-US" w:bidi="ar-SA"/>
        </w:rPr>
        <w:t>日</w:t>
      </w:r>
    </w:p>
    <w:p>
      <w:pPr>
        <w:pStyle w:val="29"/>
        <w:shd w:val="clear"/>
        <w:rPr>
          <w:rFonts w:hint="eastAsia"/>
          <w:color w:val="auto"/>
          <w:highlight w:val="none"/>
          <w:lang w:val="en-US"/>
        </w:rPr>
      </w:pPr>
    </w:p>
    <w:p>
      <w:pPr>
        <w:shd w:val="clear"/>
        <w:ind w:firstLine="420"/>
        <w:outlineLvl w:val="9"/>
        <w:rPr>
          <w:rFonts w:hint="eastAsia" w:ascii="黑体" w:hAnsi="宋体" w:eastAsia="黑体" w:cs="Times New Roman"/>
          <w:bCs/>
          <w:color w:val="auto"/>
          <w:kern w:val="0"/>
          <w:sz w:val="24"/>
          <w:szCs w:val="24"/>
          <w:highlight w:val="none"/>
          <w:lang w:val="en-US" w:bidi="ar-SA"/>
        </w:rPr>
      </w:pPr>
    </w:p>
    <w:p>
      <w:pPr>
        <w:pStyle w:val="5"/>
        <w:shd w:val="clear"/>
        <w:bidi w:val="0"/>
        <w:rPr>
          <w:rFonts w:hint="eastAsia" w:ascii="黑体" w:hAnsi="宋体" w:eastAsia="黑体" w:cs="Times New Roman"/>
          <w:bCs/>
          <w:color w:val="auto"/>
          <w:kern w:val="0"/>
          <w:sz w:val="24"/>
          <w:szCs w:val="24"/>
          <w:highlight w:val="none"/>
          <w:lang w:val="en-US" w:bidi="ar-SA"/>
        </w:rPr>
      </w:pPr>
      <w:r>
        <w:rPr>
          <w:rFonts w:hint="default" w:ascii="黑体" w:hAnsi="宋体" w:eastAsia="黑体" w:cs="Times New Roman"/>
          <w:bCs/>
          <w:color w:val="auto"/>
          <w:kern w:val="0"/>
          <w:sz w:val="24"/>
          <w:szCs w:val="24"/>
          <w:highlight w:val="none"/>
          <w:lang w:val="en-US" w:bidi="ar-SA"/>
        </w:rPr>
        <w:br w:type="page" w:clear="all"/>
      </w:r>
      <w:r>
        <w:rPr>
          <w:rStyle w:val="521"/>
          <w:rFonts w:hint="eastAsia"/>
          <w:b/>
          <w:bCs/>
          <w:color w:val="auto"/>
          <w:highlight w:val="none"/>
          <w:lang w:val="en-US"/>
        </w:rPr>
        <w:t>主要人员配置表及拟派项目负责人简历表及设备配备表(格式):</w:t>
      </w:r>
    </w:p>
    <w:p>
      <w:pPr>
        <w:shd w:val="clear"/>
        <w:jc w:val="center"/>
        <w:outlineLvl w:val="9"/>
        <w:rPr>
          <w:rFonts w:hint="eastAsia" w:ascii="宋体" w:hAnsi="宋体" w:eastAsia="宋体" w:cs="Times New Roman"/>
          <w:bCs/>
          <w:color w:val="auto"/>
          <w:kern w:val="0"/>
          <w:sz w:val="24"/>
          <w:szCs w:val="24"/>
          <w:highlight w:val="none"/>
          <w:lang w:val="en-US" w:bidi="ar-SA"/>
        </w:rPr>
      </w:pPr>
    </w:p>
    <w:p>
      <w:pPr>
        <w:shd w:val="clear"/>
        <w:spacing w:line="360" w:lineRule="auto"/>
        <w:jc w:val="center"/>
        <w:outlineLvl w:val="9"/>
        <w:rPr>
          <w:rFonts w:hint="eastAsia" w:ascii="宋体" w:hAnsi="宋体" w:eastAsia="宋体" w:cs="Times New Roman"/>
          <w:bCs/>
          <w:color w:val="auto"/>
          <w:kern w:val="0"/>
          <w:sz w:val="24"/>
          <w:szCs w:val="24"/>
          <w:highlight w:val="none"/>
          <w:lang w:val="en-US" w:bidi="ar-SA"/>
        </w:rPr>
      </w:pPr>
      <w:r>
        <w:rPr>
          <w:rFonts w:hint="eastAsia" w:ascii="宋体" w:hAnsi="宋体" w:eastAsia="宋体" w:cs="Times New Roman"/>
          <w:bCs/>
          <w:color w:val="auto"/>
          <w:kern w:val="0"/>
          <w:sz w:val="24"/>
          <w:szCs w:val="24"/>
          <w:highlight w:val="none"/>
          <w:lang w:val="en-US" w:bidi="ar-SA"/>
        </w:rPr>
        <w:t>（1）人员配置表</w:t>
      </w:r>
    </w:p>
    <w:p>
      <w:pPr>
        <w:shd w:val="clear"/>
        <w:outlineLvl w:val="9"/>
        <w:rPr>
          <w:rFonts w:hint="default" w:ascii="黑体" w:hAnsi="Times New Roman" w:eastAsia="黑体" w:cs="Times New Roman"/>
          <w:bCs/>
          <w:color w:val="auto"/>
          <w:kern w:val="0"/>
          <w:sz w:val="28"/>
          <w:szCs w:val="28"/>
          <w:highlight w:val="none"/>
          <w:lang w:val="en-US" w:bidi="ar-SA"/>
        </w:rPr>
      </w:pPr>
    </w:p>
    <w:p>
      <w:pPr>
        <w:shd w:val="clear"/>
        <w:spacing w:after="120" w:line="420" w:lineRule="exact"/>
        <w:outlineLvl w:val="9"/>
        <w:rPr>
          <w:rFonts w:hint="default" w:ascii="Times New Roman" w:hAnsi="Times New Roman" w:eastAsia="黑体" w:cs="Times New Roman"/>
          <w:b/>
          <w:bCs/>
          <w:color w:val="auto"/>
          <w:kern w:val="0"/>
          <w:sz w:val="24"/>
          <w:szCs w:val="24"/>
          <w:highlight w:val="none"/>
          <w:lang w:val="en-US" w:bidi="ar-SA"/>
        </w:rPr>
      </w:pPr>
      <w:r>
        <w:rPr>
          <w:rFonts w:hint="eastAsia" w:ascii="Arial" w:hAnsi="Arial" w:eastAsia="宋体" w:cs="Arial"/>
          <w:b/>
          <w:bCs/>
          <w:color w:val="auto"/>
          <w:kern w:val="0"/>
          <w:sz w:val="24"/>
          <w:szCs w:val="24"/>
          <w:highlight w:val="none"/>
          <w:lang w:val="en-US" w:bidi="ar-SA"/>
        </w:rPr>
        <w:t>投标供应商名称</w:t>
      </w:r>
      <w:r>
        <w:rPr>
          <w:rFonts w:hint="default" w:ascii="Times New Roman" w:hAnsi="Times New Roman" w:eastAsia="黑体" w:cs="Times New Roman"/>
          <w:b/>
          <w:bCs/>
          <w:color w:val="auto"/>
          <w:kern w:val="0"/>
          <w:sz w:val="24"/>
          <w:szCs w:val="24"/>
          <w:highlight w:val="none"/>
          <w:lang w:val="en-US" w:bidi="ar-SA"/>
        </w:rPr>
        <w:t>(</w:t>
      </w:r>
      <w:r>
        <w:rPr>
          <w:rFonts w:hint="eastAsia" w:ascii="Times New Roman" w:hAnsi="Times New Roman" w:eastAsia="黑体" w:cs="Times New Roman"/>
          <w:b/>
          <w:bCs/>
          <w:color w:val="auto"/>
          <w:kern w:val="0"/>
          <w:sz w:val="24"/>
          <w:szCs w:val="24"/>
          <w:highlight w:val="none"/>
          <w:lang w:val="en-US" w:bidi="ar-SA"/>
        </w:rPr>
        <w:t>盖章</w:t>
      </w:r>
      <w:r>
        <w:rPr>
          <w:rFonts w:hint="default" w:ascii="Times New Roman" w:hAnsi="Times New Roman" w:eastAsia="黑体" w:cs="Times New Roman"/>
          <w:b/>
          <w:bCs/>
          <w:color w:val="auto"/>
          <w:kern w:val="0"/>
          <w:sz w:val="24"/>
          <w:szCs w:val="24"/>
          <w:highlight w:val="none"/>
          <w:lang w:val="en-US" w:bidi="ar-SA"/>
        </w:rPr>
        <w:t xml:space="preserve">) </w:t>
      </w:r>
      <w:r>
        <w:rPr>
          <w:rFonts w:hint="eastAsia" w:ascii="Times New Roman" w:hAnsi="Times New Roman" w:eastAsia="黑体" w:cs="Times New Roman"/>
          <w:b/>
          <w:bCs/>
          <w:color w:val="auto"/>
          <w:kern w:val="0"/>
          <w:sz w:val="24"/>
          <w:szCs w:val="24"/>
          <w:highlight w:val="none"/>
          <w:lang w:val="en-US" w:bidi="ar-SA"/>
        </w:rPr>
        <w:t xml:space="preserve">                              </w:t>
      </w:r>
      <w:r>
        <w:rPr>
          <w:rFonts w:hint="default" w:ascii="Times New Roman" w:hAnsi="Times New Roman" w:eastAsia="黑体" w:cs="Times New Roman"/>
          <w:b/>
          <w:bCs/>
          <w:color w:val="auto"/>
          <w:kern w:val="0"/>
          <w:sz w:val="24"/>
          <w:szCs w:val="24"/>
          <w:highlight w:val="none"/>
          <w:lang w:val="en-US" w:bidi="ar-SA"/>
        </w:rPr>
        <w:t>政府采购编号：</w:t>
      </w:r>
      <w:r>
        <w:rPr>
          <w:rFonts w:hint="eastAsia" w:ascii="Times New Roman" w:hAnsi="Times New Roman" w:eastAsia="黑体" w:cs="Times New Roman"/>
          <w:b/>
          <w:bCs/>
          <w:color w:val="auto"/>
          <w:kern w:val="0"/>
          <w:sz w:val="24"/>
          <w:szCs w:val="24"/>
          <w:highlight w:val="none"/>
          <w:lang w:val="en-US" w:bidi="ar-SA"/>
        </w:rPr>
        <w:t xml:space="preserve"> </w:t>
      </w:r>
    </w:p>
    <w:tbl>
      <w:tblPr>
        <w:tblStyle w:val="82"/>
        <w:tblW w:w="103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1047"/>
        <w:gridCol w:w="730"/>
        <w:gridCol w:w="709"/>
        <w:gridCol w:w="1477"/>
        <w:gridCol w:w="1236"/>
        <w:gridCol w:w="1728"/>
        <w:gridCol w:w="2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41" w:type="dxa"/>
            <w:noWrap w:val="0"/>
            <w:vAlign w:val="center"/>
          </w:tcPr>
          <w:p>
            <w:pPr>
              <w:shd w:val="clear"/>
              <w:jc w:val="center"/>
              <w:outlineLvl w:val="9"/>
              <w:rPr>
                <w:rFonts w:hint="eastAsia" w:ascii="黑体" w:hAnsi="宋体" w:eastAsia="黑体" w:cs="Times New Roman"/>
                <w:b/>
                <w:color w:val="auto"/>
                <w:kern w:val="0"/>
                <w:szCs w:val="20"/>
                <w:highlight w:val="none"/>
                <w:lang w:val="en-US" w:bidi="ar-SA"/>
              </w:rPr>
            </w:pPr>
            <w:r>
              <w:rPr>
                <w:rFonts w:hint="eastAsia" w:ascii="黑体" w:hAnsi="宋体" w:eastAsia="黑体" w:cs="Times New Roman"/>
                <w:b/>
                <w:color w:val="auto"/>
                <w:kern w:val="0"/>
                <w:szCs w:val="20"/>
                <w:highlight w:val="none"/>
                <w:lang w:val="en-US" w:bidi="ar-SA"/>
              </w:rPr>
              <w:t>序号</w:t>
            </w:r>
          </w:p>
        </w:tc>
        <w:tc>
          <w:tcPr>
            <w:tcW w:w="1047" w:type="dxa"/>
            <w:noWrap w:val="0"/>
            <w:vAlign w:val="center"/>
          </w:tcPr>
          <w:p>
            <w:pPr>
              <w:shd w:val="clear"/>
              <w:jc w:val="center"/>
              <w:outlineLvl w:val="9"/>
              <w:rPr>
                <w:rFonts w:hint="eastAsia" w:ascii="黑体" w:hAnsi="宋体" w:eastAsia="黑体" w:cs="Times New Roman"/>
                <w:b/>
                <w:color w:val="auto"/>
                <w:kern w:val="0"/>
                <w:szCs w:val="20"/>
                <w:highlight w:val="none"/>
                <w:lang w:val="en-US" w:bidi="ar-SA"/>
              </w:rPr>
            </w:pPr>
            <w:r>
              <w:rPr>
                <w:rFonts w:hint="eastAsia" w:ascii="黑体" w:hAnsi="宋体" w:eastAsia="黑体" w:cs="Times New Roman"/>
                <w:b/>
                <w:color w:val="auto"/>
                <w:kern w:val="0"/>
                <w:szCs w:val="20"/>
                <w:highlight w:val="none"/>
                <w:lang w:val="en-US" w:bidi="ar-SA"/>
              </w:rPr>
              <w:t>姓名</w:t>
            </w:r>
          </w:p>
        </w:tc>
        <w:tc>
          <w:tcPr>
            <w:tcW w:w="730" w:type="dxa"/>
            <w:noWrap w:val="0"/>
            <w:vAlign w:val="center"/>
          </w:tcPr>
          <w:p>
            <w:pPr>
              <w:shd w:val="clear"/>
              <w:outlineLvl w:val="9"/>
              <w:rPr>
                <w:rFonts w:hint="eastAsia" w:ascii="黑体" w:hAnsi="宋体" w:eastAsia="黑体" w:cs="Times New Roman"/>
                <w:b/>
                <w:color w:val="auto"/>
                <w:kern w:val="0"/>
                <w:szCs w:val="20"/>
                <w:highlight w:val="none"/>
                <w:lang w:val="en-US" w:bidi="ar-SA"/>
              </w:rPr>
            </w:pPr>
            <w:r>
              <w:rPr>
                <w:rFonts w:hint="eastAsia" w:ascii="黑体" w:hAnsi="宋体" w:eastAsia="黑体" w:cs="Times New Roman"/>
                <w:b/>
                <w:color w:val="auto"/>
                <w:kern w:val="0"/>
                <w:szCs w:val="20"/>
                <w:highlight w:val="none"/>
                <w:lang w:val="en-US" w:bidi="ar-SA"/>
              </w:rPr>
              <w:t>性别</w:t>
            </w:r>
          </w:p>
        </w:tc>
        <w:tc>
          <w:tcPr>
            <w:tcW w:w="709" w:type="dxa"/>
            <w:noWrap w:val="0"/>
            <w:vAlign w:val="center"/>
          </w:tcPr>
          <w:p>
            <w:pPr>
              <w:shd w:val="clear"/>
              <w:outlineLvl w:val="9"/>
              <w:rPr>
                <w:rFonts w:hint="eastAsia" w:ascii="黑体" w:hAnsi="宋体" w:eastAsia="黑体" w:cs="Times New Roman"/>
                <w:b/>
                <w:color w:val="auto"/>
                <w:kern w:val="0"/>
                <w:szCs w:val="20"/>
                <w:highlight w:val="none"/>
                <w:lang w:val="en-US" w:bidi="ar-SA"/>
              </w:rPr>
            </w:pPr>
            <w:r>
              <w:rPr>
                <w:rFonts w:hint="eastAsia" w:ascii="黑体" w:hAnsi="宋体" w:eastAsia="黑体" w:cs="Times New Roman"/>
                <w:b/>
                <w:color w:val="auto"/>
                <w:kern w:val="0"/>
                <w:szCs w:val="20"/>
                <w:highlight w:val="none"/>
                <w:lang w:val="en-US" w:bidi="ar-SA"/>
              </w:rPr>
              <w:t>年龄</w:t>
            </w:r>
          </w:p>
        </w:tc>
        <w:tc>
          <w:tcPr>
            <w:tcW w:w="1477" w:type="dxa"/>
            <w:noWrap w:val="0"/>
            <w:vAlign w:val="center"/>
          </w:tcPr>
          <w:p>
            <w:pPr>
              <w:shd w:val="clear"/>
              <w:jc w:val="center"/>
              <w:outlineLvl w:val="9"/>
              <w:rPr>
                <w:rFonts w:hint="eastAsia" w:ascii="黑体" w:hAnsi="宋体" w:eastAsia="黑体" w:cs="Times New Roman"/>
                <w:b/>
                <w:color w:val="auto"/>
                <w:kern w:val="0"/>
                <w:szCs w:val="20"/>
                <w:highlight w:val="none"/>
                <w:lang w:val="en-US" w:bidi="ar-SA"/>
              </w:rPr>
            </w:pPr>
            <w:r>
              <w:rPr>
                <w:rFonts w:hint="eastAsia" w:ascii="黑体" w:hAnsi="宋体" w:eastAsia="黑体" w:cs="Times New Roman"/>
                <w:b/>
                <w:color w:val="auto"/>
                <w:kern w:val="0"/>
                <w:szCs w:val="20"/>
                <w:highlight w:val="none"/>
                <w:lang w:val="en-US" w:bidi="ar-SA"/>
              </w:rPr>
              <w:t>岗位名称</w:t>
            </w:r>
          </w:p>
        </w:tc>
        <w:tc>
          <w:tcPr>
            <w:tcW w:w="1236" w:type="dxa"/>
            <w:noWrap w:val="0"/>
            <w:vAlign w:val="center"/>
          </w:tcPr>
          <w:p>
            <w:pPr>
              <w:shd w:val="clear"/>
              <w:jc w:val="center"/>
              <w:outlineLvl w:val="9"/>
              <w:rPr>
                <w:rFonts w:hint="eastAsia" w:ascii="黑体" w:hAnsi="宋体" w:eastAsia="黑体" w:cs="Times New Roman"/>
                <w:b/>
                <w:color w:val="auto"/>
                <w:kern w:val="0"/>
                <w:szCs w:val="20"/>
                <w:highlight w:val="none"/>
                <w:lang w:val="en-US" w:bidi="ar-SA"/>
              </w:rPr>
            </w:pPr>
            <w:r>
              <w:rPr>
                <w:rFonts w:hint="eastAsia" w:ascii="黑体" w:hAnsi="宋体" w:eastAsia="黑体" w:cs="Times New Roman"/>
                <w:b/>
                <w:color w:val="auto"/>
                <w:kern w:val="0"/>
                <w:szCs w:val="20"/>
                <w:highlight w:val="none"/>
                <w:lang w:val="en-US" w:bidi="ar-SA"/>
              </w:rPr>
              <w:t>学历</w:t>
            </w:r>
          </w:p>
        </w:tc>
        <w:tc>
          <w:tcPr>
            <w:tcW w:w="1728" w:type="dxa"/>
            <w:noWrap w:val="0"/>
            <w:vAlign w:val="center"/>
          </w:tcPr>
          <w:p>
            <w:pPr>
              <w:shd w:val="clear"/>
              <w:jc w:val="center"/>
              <w:outlineLvl w:val="9"/>
              <w:rPr>
                <w:rFonts w:hint="eastAsia" w:ascii="黑体" w:hAnsi="宋体" w:eastAsia="黑体" w:cs="Times New Roman"/>
                <w:b/>
                <w:color w:val="auto"/>
                <w:kern w:val="0"/>
                <w:szCs w:val="20"/>
                <w:highlight w:val="none"/>
                <w:lang w:val="en-US" w:bidi="ar-SA"/>
              </w:rPr>
            </w:pPr>
            <w:r>
              <w:rPr>
                <w:rFonts w:hint="eastAsia" w:ascii="黑体" w:hAnsi="宋体" w:eastAsia="黑体" w:cs="Times New Roman"/>
                <w:b/>
                <w:color w:val="auto"/>
                <w:kern w:val="0"/>
                <w:szCs w:val="20"/>
                <w:highlight w:val="none"/>
                <w:lang w:val="en-US" w:bidi="ar-SA"/>
              </w:rPr>
              <w:t>持有证书</w:t>
            </w:r>
          </w:p>
        </w:tc>
        <w:tc>
          <w:tcPr>
            <w:tcW w:w="2705" w:type="dxa"/>
            <w:noWrap w:val="0"/>
            <w:vAlign w:val="center"/>
          </w:tcPr>
          <w:p>
            <w:pPr>
              <w:shd w:val="clear"/>
              <w:jc w:val="center"/>
              <w:outlineLvl w:val="9"/>
              <w:rPr>
                <w:rFonts w:hint="eastAsia" w:ascii="黑体" w:hAnsi="宋体" w:eastAsia="黑体" w:cs="Times New Roman"/>
                <w:b/>
                <w:color w:val="auto"/>
                <w:kern w:val="0"/>
                <w:szCs w:val="20"/>
                <w:highlight w:val="none"/>
                <w:lang w:val="en-US" w:bidi="ar-SA"/>
              </w:rPr>
            </w:pPr>
            <w:r>
              <w:rPr>
                <w:rFonts w:hint="eastAsia" w:ascii="黑体" w:hAnsi="宋体" w:eastAsia="黑体" w:cs="Times New Roman"/>
                <w:b/>
                <w:color w:val="auto"/>
                <w:kern w:val="0"/>
                <w:szCs w:val="20"/>
                <w:highlight w:val="none"/>
                <w:lang w:val="en-US" w:bidi="ar-SA"/>
              </w:rPr>
              <w:t>工作经验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r>
              <w:rPr>
                <w:rFonts w:hint="eastAsia" w:ascii="宋体" w:hAnsi="宋体" w:eastAsia="宋体" w:cs="Times New Roman"/>
                <w:color w:val="auto"/>
                <w:kern w:val="0"/>
                <w:szCs w:val="20"/>
                <w:highlight w:val="none"/>
                <w:lang w:val="en-US" w:bidi="ar-SA"/>
              </w:rPr>
              <w:t>1</w:t>
            </w:r>
          </w:p>
        </w:tc>
        <w:tc>
          <w:tcPr>
            <w:tcW w:w="1047"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730"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709"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1477"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1236"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1728"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2705"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r>
              <w:rPr>
                <w:rFonts w:hint="eastAsia" w:ascii="宋体" w:hAnsi="宋体" w:eastAsia="宋体" w:cs="Times New Roman"/>
                <w:color w:val="auto"/>
                <w:kern w:val="0"/>
                <w:szCs w:val="20"/>
                <w:highlight w:val="none"/>
                <w:lang w:val="en-US" w:bidi="ar-SA"/>
              </w:rPr>
              <w:t>2</w:t>
            </w:r>
          </w:p>
        </w:tc>
        <w:tc>
          <w:tcPr>
            <w:tcW w:w="1047"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730"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709"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1477"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1236"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1728"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2705"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r>
              <w:rPr>
                <w:rFonts w:hint="eastAsia" w:ascii="宋体" w:hAnsi="宋体" w:eastAsia="宋体" w:cs="Times New Roman"/>
                <w:color w:val="auto"/>
                <w:kern w:val="0"/>
                <w:szCs w:val="20"/>
                <w:highlight w:val="none"/>
                <w:lang w:val="en-US" w:bidi="ar-SA"/>
              </w:rPr>
              <w:t>3</w:t>
            </w:r>
          </w:p>
        </w:tc>
        <w:tc>
          <w:tcPr>
            <w:tcW w:w="1047"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730"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709"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1477"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1236"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1728"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2705"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r>
              <w:rPr>
                <w:rFonts w:hint="eastAsia" w:ascii="宋体" w:hAnsi="宋体" w:eastAsia="宋体" w:cs="Times New Roman"/>
                <w:color w:val="auto"/>
                <w:kern w:val="0"/>
                <w:szCs w:val="20"/>
                <w:highlight w:val="none"/>
                <w:lang w:val="en-US" w:bidi="ar-SA"/>
              </w:rPr>
              <w:t>4</w:t>
            </w:r>
          </w:p>
        </w:tc>
        <w:tc>
          <w:tcPr>
            <w:tcW w:w="1047"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730"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709"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1477"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1236"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1728"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2705"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r>
              <w:rPr>
                <w:rFonts w:hint="eastAsia" w:ascii="宋体" w:hAnsi="宋体" w:eastAsia="宋体" w:cs="Times New Roman"/>
                <w:color w:val="auto"/>
                <w:kern w:val="0"/>
                <w:szCs w:val="20"/>
                <w:highlight w:val="none"/>
                <w:lang w:val="en-US" w:bidi="ar-SA"/>
              </w:rPr>
              <w:t>5</w:t>
            </w:r>
          </w:p>
        </w:tc>
        <w:tc>
          <w:tcPr>
            <w:tcW w:w="1047"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730"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709"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1477"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1236"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1728"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2705"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r>
              <w:rPr>
                <w:rFonts w:hint="eastAsia" w:ascii="宋体" w:hAnsi="宋体" w:eastAsia="宋体" w:cs="Times New Roman"/>
                <w:color w:val="auto"/>
                <w:kern w:val="0"/>
                <w:szCs w:val="20"/>
                <w:highlight w:val="none"/>
                <w:lang w:val="en-US" w:bidi="ar-SA"/>
              </w:rPr>
              <w:t>6</w:t>
            </w:r>
          </w:p>
        </w:tc>
        <w:tc>
          <w:tcPr>
            <w:tcW w:w="1047"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730"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709"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1477"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1236"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1728"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2705"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r>
              <w:rPr>
                <w:rFonts w:hint="eastAsia" w:ascii="宋体" w:hAnsi="宋体" w:eastAsia="宋体" w:cs="Times New Roman"/>
                <w:color w:val="auto"/>
                <w:kern w:val="0"/>
                <w:szCs w:val="20"/>
                <w:highlight w:val="none"/>
                <w:lang w:val="en-US" w:bidi="ar-SA"/>
              </w:rPr>
              <w:t>7</w:t>
            </w:r>
          </w:p>
        </w:tc>
        <w:tc>
          <w:tcPr>
            <w:tcW w:w="1047"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730"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709"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1477"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1236"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1728"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2705"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r>
              <w:rPr>
                <w:rFonts w:hint="eastAsia" w:ascii="宋体" w:hAnsi="宋体" w:eastAsia="宋体" w:cs="Times New Roman"/>
                <w:color w:val="auto"/>
                <w:kern w:val="0"/>
                <w:szCs w:val="20"/>
                <w:highlight w:val="none"/>
                <w:lang w:val="en-US" w:bidi="ar-SA"/>
              </w:rPr>
              <w:t>8</w:t>
            </w:r>
          </w:p>
        </w:tc>
        <w:tc>
          <w:tcPr>
            <w:tcW w:w="1047"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730"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709"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1477"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1236"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1728"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2705"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r>
              <w:rPr>
                <w:rFonts w:hint="eastAsia" w:ascii="宋体" w:hAnsi="宋体" w:eastAsia="宋体" w:cs="Times New Roman"/>
                <w:color w:val="auto"/>
                <w:kern w:val="0"/>
                <w:szCs w:val="20"/>
                <w:highlight w:val="none"/>
                <w:lang w:val="en-US" w:bidi="ar-SA"/>
              </w:rPr>
              <w:t>9</w:t>
            </w:r>
          </w:p>
        </w:tc>
        <w:tc>
          <w:tcPr>
            <w:tcW w:w="1047"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730"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709"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1477"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1236"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1728"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2705"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r>
              <w:rPr>
                <w:rFonts w:hint="eastAsia" w:ascii="宋体" w:hAnsi="宋体" w:eastAsia="宋体" w:cs="Times New Roman"/>
                <w:color w:val="auto"/>
                <w:kern w:val="0"/>
                <w:szCs w:val="20"/>
                <w:highlight w:val="none"/>
                <w:lang w:val="en-US" w:bidi="ar-SA"/>
              </w:rPr>
              <w:t>10</w:t>
            </w:r>
          </w:p>
        </w:tc>
        <w:tc>
          <w:tcPr>
            <w:tcW w:w="1047"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730"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709"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1477"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1236"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1728"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2705"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41"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r>
              <w:rPr>
                <w:rFonts w:hint="default" w:ascii="宋体" w:hAnsi="宋体" w:eastAsia="宋体" w:cs="Times New Roman"/>
                <w:color w:val="auto"/>
                <w:kern w:val="0"/>
                <w:szCs w:val="20"/>
                <w:highlight w:val="none"/>
                <w:lang w:val="en-US" w:bidi="ar-SA"/>
              </w:rPr>
              <w:t>…</w:t>
            </w:r>
            <w:r>
              <w:rPr>
                <w:rFonts w:hint="eastAsia" w:ascii="宋体" w:hAnsi="宋体" w:eastAsia="宋体" w:cs="Times New Roman"/>
                <w:color w:val="auto"/>
                <w:kern w:val="0"/>
                <w:szCs w:val="20"/>
                <w:highlight w:val="none"/>
                <w:lang w:val="en-US" w:bidi="ar-SA"/>
              </w:rPr>
              <w:t xml:space="preserve"> </w:t>
            </w:r>
            <w:r>
              <w:rPr>
                <w:rFonts w:hint="default" w:ascii="宋体" w:hAnsi="宋体" w:eastAsia="宋体" w:cs="Times New Roman"/>
                <w:color w:val="auto"/>
                <w:kern w:val="0"/>
                <w:szCs w:val="20"/>
                <w:highlight w:val="none"/>
                <w:lang w:val="en-US" w:bidi="ar-SA"/>
              </w:rPr>
              <w:t>…</w:t>
            </w:r>
          </w:p>
        </w:tc>
        <w:tc>
          <w:tcPr>
            <w:tcW w:w="1047"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730"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709"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1477"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1236"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1728"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2705"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r>
    </w:tbl>
    <w:p>
      <w:pPr>
        <w:shd w:val="clear"/>
        <w:ind w:left="120"/>
        <w:outlineLvl w:val="9"/>
        <w:rPr>
          <w:rFonts w:hint="eastAsia" w:ascii="宋体" w:hAnsi="宋体" w:eastAsia="宋体" w:cs="Times New Roman"/>
          <w:bCs/>
          <w:color w:val="auto"/>
          <w:kern w:val="0"/>
          <w:sz w:val="24"/>
          <w:szCs w:val="24"/>
          <w:highlight w:val="none"/>
          <w:lang w:val="en-US" w:bidi="ar-SA"/>
        </w:rPr>
      </w:pPr>
    </w:p>
    <w:p>
      <w:pPr>
        <w:shd w:val="clear"/>
        <w:ind w:left="120"/>
        <w:outlineLvl w:val="9"/>
        <w:rPr>
          <w:rFonts w:hint="eastAsia" w:ascii="宋体" w:hAnsi="宋体" w:eastAsia="宋体" w:cs="Times New Roman"/>
          <w:bCs/>
          <w:color w:val="auto"/>
          <w:kern w:val="0"/>
          <w:sz w:val="24"/>
          <w:szCs w:val="24"/>
          <w:highlight w:val="none"/>
          <w:lang w:val="en-US" w:bidi="ar-SA"/>
        </w:rPr>
      </w:pPr>
    </w:p>
    <w:p>
      <w:pPr>
        <w:shd w:val="clear"/>
        <w:ind w:firstLine="720"/>
        <w:outlineLvl w:val="9"/>
        <w:rPr>
          <w:rFonts w:hint="eastAsia" w:ascii="宋体" w:hAnsi="宋体" w:eastAsia="宋体" w:cs="Times New Roman"/>
          <w:bCs/>
          <w:color w:val="auto"/>
          <w:kern w:val="0"/>
          <w:sz w:val="22"/>
          <w:szCs w:val="20"/>
          <w:highlight w:val="none"/>
          <w:lang w:val="en-US" w:bidi="ar-SA"/>
        </w:rPr>
      </w:pPr>
      <w:r>
        <w:rPr>
          <w:rFonts w:hint="eastAsia" w:ascii="宋体" w:hAnsi="宋体" w:eastAsia="宋体" w:cs="Times New Roman"/>
          <w:bCs/>
          <w:color w:val="auto"/>
          <w:kern w:val="0"/>
          <w:sz w:val="24"/>
          <w:szCs w:val="24"/>
          <w:highlight w:val="none"/>
          <w:lang w:val="en-US" w:bidi="ar-SA"/>
        </w:rPr>
        <w:t>备注：1.</w:t>
      </w:r>
      <w:r>
        <w:rPr>
          <w:rFonts w:hint="eastAsia" w:ascii="宋体" w:hAnsi="宋体" w:eastAsia="宋体" w:cs="Times New Roman"/>
          <w:bCs/>
          <w:color w:val="auto"/>
          <w:kern w:val="0"/>
          <w:sz w:val="22"/>
          <w:szCs w:val="20"/>
          <w:highlight w:val="none"/>
          <w:lang w:val="en-US" w:bidi="ar-SA"/>
        </w:rPr>
        <w:t>上表可自行延长，但不得改变文本格式。</w:t>
      </w:r>
    </w:p>
    <w:p>
      <w:pPr>
        <w:shd w:val="clear"/>
        <w:ind w:left="120"/>
        <w:outlineLvl w:val="9"/>
        <w:rPr>
          <w:rFonts w:hint="eastAsia" w:ascii="宋体" w:hAnsi="宋体" w:eastAsia="宋体" w:cs="Times New Roman"/>
          <w:bCs/>
          <w:color w:val="auto"/>
          <w:kern w:val="0"/>
          <w:sz w:val="24"/>
          <w:szCs w:val="24"/>
          <w:highlight w:val="none"/>
          <w:lang w:val="en-US" w:bidi="ar-SA"/>
        </w:rPr>
      </w:pPr>
    </w:p>
    <w:p>
      <w:pPr>
        <w:widowControl w:val="0"/>
        <w:shd w:val="clear"/>
        <w:spacing w:line="240" w:lineRule="auto"/>
        <w:jc w:val="left"/>
        <w:outlineLvl w:val="9"/>
        <w:rPr>
          <w:rFonts w:hint="eastAsia"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 xml:space="preserve">       2.人员相关证明材料应按招标文件要求提供，并附在本表之后。</w:t>
      </w:r>
    </w:p>
    <w:p>
      <w:pPr>
        <w:shd w:val="clear"/>
        <w:ind w:left="120"/>
        <w:outlineLvl w:val="9"/>
        <w:rPr>
          <w:rFonts w:hint="eastAsia" w:ascii="宋体" w:hAnsi="宋体" w:eastAsia="宋体" w:cs="Times New Roman"/>
          <w:bCs/>
          <w:color w:val="auto"/>
          <w:kern w:val="0"/>
          <w:sz w:val="24"/>
          <w:szCs w:val="24"/>
          <w:highlight w:val="none"/>
          <w:lang w:val="en-US" w:bidi="ar-SA"/>
        </w:rPr>
      </w:pPr>
    </w:p>
    <w:p>
      <w:pPr>
        <w:shd w:val="clear"/>
        <w:spacing w:before="5" w:line="360" w:lineRule="auto"/>
        <w:outlineLvl w:val="9"/>
        <w:rPr>
          <w:rFonts w:hint="default" w:ascii="Times New Roman" w:hAnsi="Times New Roman" w:eastAsia="宋体" w:cs="Times New Roman"/>
          <w:b/>
          <w:bCs/>
          <w:color w:val="auto"/>
          <w:kern w:val="0"/>
          <w:sz w:val="24"/>
          <w:szCs w:val="24"/>
          <w:highlight w:val="none"/>
          <w:lang w:val="en-US" w:bidi="ar-SA"/>
        </w:rPr>
      </w:pPr>
    </w:p>
    <w:p>
      <w:pPr>
        <w:widowControl w:val="0"/>
        <w:shd w:val="clear"/>
        <w:ind w:left="0"/>
        <w:jc w:val="both"/>
        <w:outlineLvl w:val="9"/>
        <w:rPr>
          <w:rFonts w:hint="default" w:ascii="Times New Roman" w:hAnsi="Times New Roman" w:eastAsia="宋体" w:cs="Times New Roman"/>
          <w:b/>
          <w:bCs/>
          <w:color w:val="auto"/>
          <w:kern w:val="2"/>
          <w:sz w:val="24"/>
          <w:szCs w:val="24"/>
          <w:highlight w:val="none"/>
          <w:lang w:val="en-US" w:eastAsia="zh-CN" w:bidi="ar-SA"/>
        </w:rPr>
      </w:pPr>
    </w:p>
    <w:p>
      <w:pPr>
        <w:shd w:val="clear"/>
        <w:outlineLvl w:val="9"/>
        <w:rPr>
          <w:rFonts w:hint="default" w:ascii="Times New Roman" w:hAnsi="Times New Roman" w:eastAsia="宋体" w:cs="Times New Roman"/>
          <w:color w:val="auto"/>
          <w:kern w:val="0"/>
          <w:szCs w:val="20"/>
          <w:highlight w:val="none"/>
          <w:lang w:val="en-US" w:bidi="ar-SA"/>
        </w:rPr>
      </w:pPr>
    </w:p>
    <w:p>
      <w:pPr>
        <w:shd w:val="clear"/>
        <w:spacing w:before="5" w:line="360" w:lineRule="auto"/>
        <w:outlineLvl w:val="9"/>
        <w:rPr>
          <w:rFonts w:hint="default" w:ascii="Times New Roman" w:hAnsi="Times New Roman" w:eastAsia="宋体" w:cs="Times New Roman"/>
          <w:b/>
          <w:bCs/>
          <w:color w:val="auto"/>
          <w:kern w:val="0"/>
          <w:sz w:val="24"/>
          <w:szCs w:val="24"/>
          <w:highlight w:val="none"/>
          <w:lang w:val="en-US" w:bidi="ar-SA"/>
        </w:rPr>
      </w:pPr>
    </w:p>
    <w:p>
      <w:pPr>
        <w:shd w:val="clear"/>
        <w:spacing w:before="5" w:line="360" w:lineRule="auto"/>
        <w:outlineLvl w:val="9"/>
        <w:rPr>
          <w:rFonts w:hint="default" w:ascii="Times New Roman" w:hAnsi="Times New Roman" w:eastAsia="宋体" w:cs="Times New Roman"/>
          <w:b/>
          <w:bCs/>
          <w:color w:val="auto"/>
          <w:kern w:val="0"/>
          <w:sz w:val="24"/>
          <w:szCs w:val="24"/>
          <w:highlight w:val="none"/>
          <w:lang w:val="en-US" w:bidi="ar-SA"/>
        </w:rPr>
      </w:pPr>
      <w:r>
        <w:rPr>
          <w:rFonts w:hint="eastAsia" w:ascii="Times New Roman" w:hAnsi="Times New Roman" w:eastAsia="宋体" w:cs="Times New Roman"/>
          <w:b/>
          <w:bCs/>
          <w:color w:val="auto"/>
          <w:kern w:val="0"/>
          <w:sz w:val="24"/>
          <w:szCs w:val="24"/>
          <w:highlight w:val="none"/>
          <w:lang w:val="en-US" w:bidi="ar-SA"/>
        </w:rPr>
        <w:t>法定代表人或法定代表人授权代表签字或盖章：</w:t>
      </w:r>
    </w:p>
    <w:p>
      <w:pPr>
        <w:shd w:val="clear"/>
        <w:spacing w:before="5" w:line="360" w:lineRule="auto"/>
        <w:outlineLvl w:val="9"/>
        <w:rPr>
          <w:rFonts w:hint="default" w:ascii="Times New Roman" w:hAnsi="Times New Roman" w:eastAsia="宋体" w:cs="Times New Roman"/>
          <w:b/>
          <w:bCs/>
          <w:color w:val="auto"/>
          <w:kern w:val="0"/>
          <w:sz w:val="24"/>
          <w:szCs w:val="24"/>
          <w:highlight w:val="none"/>
          <w:lang w:val="en-US" w:bidi="ar-SA"/>
        </w:rPr>
      </w:pPr>
    </w:p>
    <w:p>
      <w:pPr>
        <w:shd w:val="clear"/>
        <w:spacing w:before="5" w:line="360" w:lineRule="auto"/>
        <w:outlineLvl w:val="9"/>
        <w:rPr>
          <w:rFonts w:hint="default" w:ascii="Times New Roman" w:hAnsi="Times New Roman" w:eastAsia="宋体" w:cs="Times New Roman"/>
          <w:b/>
          <w:bCs/>
          <w:color w:val="auto"/>
          <w:kern w:val="0"/>
          <w:sz w:val="24"/>
          <w:szCs w:val="24"/>
          <w:highlight w:val="none"/>
          <w:lang w:val="en-US" w:bidi="ar-SA"/>
        </w:rPr>
      </w:pPr>
      <w:r>
        <w:rPr>
          <w:rFonts w:hint="eastAsia" w:ascii="Times New Roman" w:hAnsi="Times New Roman" w:eastAsia="宋体" w:cs="Times New Roman"/>
          <w:b/>
          <w:bCs/>
          <w:color w:val="auto"/>
          <w:kern w:val="0"/>
          <w:sz w:val="24"/>
          <w:szCs w:val="24"/>
          <w:highlight w:val="none"/>
          <w:lang w:val="en-US" w:bidi="ar-SA"/>
        </w:rPr>
        <w:t>日期：</w:t>
      </w:r>
    </w:p>
    <w:p>
      <w:pPr>
        <w:shd w:val="clear"/>
        <w:outlineLvl w:val="9"/>
        <w:rPr>
          <w:rFonts w:hint="default" w:ascii="宋体" w:hAnsi="Times New Roman" w:eastAsia="宋体" w:cs="Times New Roman"/>
          <w:b/>
          <w:bCs/>
          <w:color w:val="auto"/>
          <w:kern w:val="0"/>
          <w:sz w:val="24"/>
          <w:szCs w:val="24"/>
          <w:highlight w:val="none"/>
          <w:lang w:val="en-US" w:bidi="ar-SA"/>
        </w:rPr>
      </w:pPr>
      <w:r>
        <w:rPr>
          <w:rFonts w:hint="eastAsia" w:ascii="宋体" w:hAnsi="Times New Roman" w:eastAsia="宋体" w:cs="Times New Roman"/>
          <w:b/>
          <w:bCs/>
          <w:color w:val="auto"/>
          <w:kern w:val="0"/>
          <w:sz w:val="24"/>
          <w:szCs w:val="24"/>
          <w:highlight w:val="none"/>
          <w:lang w:val="en-US" w:bidi="ar-SA"/>
        </w:rPr>
        <w:br w:type="page" w:clear="all"/>
      </w:r>
    </w:p>
    <w:p>
      <w:pPr>
        <w:shd w:val="clear"/>
        <w:spacing w:line="360" w:lineRule="auto"/>
        <w:jc w:val="left"/>
        <w:outlineLvl w:val="9"/>
        <w:rPr>
          <w:rFonts w:hint="default" w:ascii="宋体" w:hAnsi="Times New Roman" w:eastAsia="宋体" w:cs="Times New Roman"/>
          <w:color w:val="auto"/>
          <w:kern w:val="0"/>
          <w:sz w:val="24"/>
          <w:szCs w:val="24"/>
          <w:highlight w:val="none"/>
          <w:lang w:val="en-US" w:bidi="ar-SA"/>
        </w:rPr>
      </w:pPr>
      <w:r>
        <w:rPr>
          <w:rFonts w:hint="eastAsia" w:ascii="宋体" w:hAnsi="Times New Roman" w:eastAsia="宋体" w:cs="Times New Roman"/>
          <w:b/>
          <w:bCs/>
          <w:color w:val="auto"/>
          <w:kern w:val="0"/>
          <w:sz w:val="24"/>
          <w:szCs w:val="24"/>
          <w:highlight w:val="none"/>
          <w:lang w:val="en-US" w:bidi="ar-SA"/>
        </w:rPr>
        <w:t xml:space="preserve">             </w:t>
      </w:r>
      <w:r>
        <w:rPr>
          <w:rFonts w:hint="eastAsia" w:ascii="宋体" w:hAnsi="宋体" w:eastAsia="宋体" w:cs="Times New Roman"/>
          <w:bCs/>
          <w:color w:val="auto"/>
          <w:kern w:val="0"/>
          <w:sz w:val="24"/>
          <w:szCs w:val="24"/>
          <w:highlight w:val="none"/>
          <w:lang w:val="en-US" w:bidi="ar-SA"/>
        </w:rPr>
        <w:t xml:space="preserve">            （2）拟派项目负责人简历表</w:t>
      </w:r>
    </w:p>
    <w:p>
      <w:pPr>
        <w:shd w:val="clear"/>
        <w:spacing w:line="360" w:lineRule="auto"/>
        <w:outlineLvl w:val="9"/>
        <w:rPr>
          <w:rFonts w:hint="eastAsia" w:ascii="黑体" w:hAnsi="宋体" w:eastAsia="黑体" w:cs="Times New Roman"/>
          <w:color w:val="auto"/>
          <w:kern w:val="0"/>
          <w:sz w:val="24"/>
          <w:szCs w:val="24"/>
          <w:highlight w:val="none"/>
          <w:lang w:val="en-US" w:bidi="ar-SA"/>
        </w:rPr>
      </w:pPr>
      <w:r>
        <w:rPr>
          <w:rFonts w:hint="eastAsia" w:ascii="黑体" w:hAnsi="宋体" w:eastAsia="黑体" w:cs="Times New Roman"/>
          <w:color w:val="auto"/>
          <w:kern w:val="0"/>
          <w:sz w:val="24"/>
          <w:szCs w:val="24"/>
          <w:highlight w:val="none"/>
          <w:lang w:val="en-US" w:bidi="ar-SA"/>
        </w:rPr>
        <w:t>投标供应商名称（盖章）　                              政府采购编号：</w:t>
      </w:r>
    </w:p>
    <w:tbl>
      <w:tblPr>
        <w:tblStyle w:val="82"/>
        <w:tblW w:w="9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8"/>
        <w:gridCol w:w="1227"/>
        <w:gridCol w:w="258"/>
        <w:gridCol w:w="969"/>
        <w:gridCol w:w="1227"/>
        <w:gridCol w:w="13"/>
        <w:gridCol w:w="1214"/>
        <w:gridCol w:w="137"/>
        <w:gridCol w:w="1090"/>
        <w:gridCol w:w="998"/>
        <w:gridCol w:w="229"/>
        <w:gridCol w:w="12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1" w:hRule="atLeast"/>
          <w:jc w:val="center"/>
        </w:trPr>
        <w:tc>
          <w:tcPr>
            <w:tcW w:w="1108" w:type="dxa"/>
            <w:tcBorders>
              <w:left w:val="single" w:color="auto" w:sz="4" w:space="0"/>
            </w:tcBorders>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r>
              <w:rPr>
                <w:rFonts w:hint="eastAsia" w:ascii="宋体" w:hAnsi="宋体" w:eastAsia="宋体" w:cs="Times New Roman"/>
                <w:color w:val="auto"/>
                <w:kern w:val="0"/>
                <w:szCs w:val="20"/>
                <w:highlight w:val="none"/>
                <w:lang w:val="en-US" w:bidi="ar-SA"/>
              </w:rPr>
              <w:t>姓  名</w:t>
            </w:r>
          </w:p>
        </w:tc>
        <w:tc>
          <w:tcPr>
            <w:tcW w:w="1227"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1227" w:type="dxa"/>
            <w:gridSpan w:val="2"/>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r>
              <w:rPr>
                <w:rFonts w:hint="eastAsia" w:ascii="宋体" w:hAnsi="宋体" w:eastAsia="宋体" w:cs="Times New Roman"/>
                <w:color w:val="auto"/>
                <w:kern w:val="0"/>
                <w:szCs w:val="20"/>
                <w:highlight w:val="none"/>
                <w:lang w:val="en-US" w:bidi="ar-SA"/>
              </w:rPr>
              <w:t>性别</w:t>
            </w:r>
          </w:p>
        </w:tc>
        <w:tc>
          <w:tcPr>
            <w:tcW w:w="1227"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1227" w:type="dxa"/>
            <w:gridSpan w:val="2"/>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r>
              <w:rPr>
                <w:rFonts w:hint="eastAsia" w:ascii="宋体" w:hAnsi="宋体" w:eastAsia="宋体" w:cs="Times New Roman"/>
                <w:color w:val="auto"/>
                <w:kern w:val="0"/>
                <w:szCs w:val="20"/>
                <w:highlight w:val="none"/>
                <w:lang w:val="en-US" w:bidi="ar-SA"/>
              </w:rPr>
              <w:t>年  龄</w:t>
            </w:r>
          </w:p>
        </w:tc>
        <w:tc>
          <w:tcPr>
            <w:tcW w:w="1227" w:type="dxa"/>
            <w:gridSpan w:val="2"/>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1227" w:type="dxa"/>
            <w:gridSpan w:val="2"/>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r>
              <w:rPr>
                <w:rFonts w:hint="eastAsia" w:ascii="宋体" w:hAnsi="宋体" w:eastAsia="宋体" w:cs="Times New Roman"/>
                <w:color w:val="auto"/>
                <w:kern w:val="0"/>
                <w:szCs w:val="20"/>
                <w:highlight w:val="none"/>
                <w:lang w:val="en-US" w:bidi="ar-SA"/>
              </w:rPr>
              <w:t>学  历</w:t>
            </w:r>
          </w:p>
        </w:tc>
        <w:tc>
          <w:tcPr>
            <w:tcW w:w="1227"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8" w:hRule="atLeast"/>
          <w:jc w:val="center"/>
        </w:trPr>
        <w:tc>
          <w:tcPr>
            <w:tcW w:w="1108" w:type="dxa"/>
            <w:tcBorders>
              <w:left w:val="single" w:color="auto" w:sz="4" w:space="0"/>
            </w:tcBorders>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r>
              <w:rPr>
                <w:rFonts w:hint="eastAsia" w:ascii="宋体" w:hAnsi="宋体" w:eastAsia="宋体" w:cs="Times New Roman"/>
                <w:color w:val="auto"/>
                <w:kern w:val="0"/>
                <w:szCs w:val="20"/>
                <w:highlight w:val="none"/>
                <w:lang w:val="en-US" w:bidi="ar-SA"/>
              </w:rPr>
              <w:t>职务</w:t>
            </w:r>
          </w:p>
        </w:tc>
        <w:tc>
          <w:tcPr>
            <w:tcW w:w="1227"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1227" w:type="dxa"/>
            <w:gridSpan w:val="2"/>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r>
              <w:rPr>
                <w:rFonts w:hint="eastAsia" w:ascii="宋体" w:hAnsi="宋体" w:eastAsia="宋体" w:cs="Times New Roman"/>
                <w:color w:val="auto"/>
                <w:kern w:val="0"/>
                <w:szCs w:val="20"/>
                <w:highlight w:val="none"/>
                <w:lang w:val="en-US" w:bidi="ar-SA"/>
              </w:rPr>
              <w:t>职  称</w:t>
            </w:r>
          </w:p>
        </w:tc>
        <w:tc>
          <w:tcPr>
            <w:tcW w:w="1227"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1227" w:type="dxa"/>
            <w:gridSpan w:val="2"/>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r>
              <w:rPr>
                <w:rFonts w:hint="eastAsia" w:ascii="宋体" w:hAnsi="宋体" w:eastAsia="宋体" w:cs="Times New Roman"/>
                <w:color w:val="auto"/>
                <w:kern w:val="0"/>
                <w:szCs w:val="20"/>
                <w:highlight w:val="none"/>
                <w:lang w:val="en-US" w:bidi="ar-SA"/>
              </w:rPr>
              <w:t>资格证书号</w:t>
            </w:r>
          </w:p>
        </w:tc>
        <w:tc>
          <w:tcPr>
            <w:tcW w:w="1227" w:type="dxa"/>
            <w:gridSpan w:val="2"/>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c>
          <w:tcPr>
            <w:tcW w:w="1227" w:type="dxa"/>
            <w:gridSpan w:val="2"/>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r>
              <w:rPr>
                <w:rFonts w:hint="eastAsia" w:ascii="宋体" w:hAnsi="宋体" w:eastAsia="宋体" w:cs="Times New Roman"/>
                <w:color w:val="auto"/>
                <w:kern w:val="0"/>
                <w:szCs w:val="20"/>
                <w:highlight w:val="none"/>
                <w:lang w:val="en-US" w:bidi="ar-SA"/>
              </w:rPr>
              <w:t>参加工作时间</w:t>
            </w:r>
          </w:p>
        </w:tc>
        <w:tc>
          <w:tcPr>
            <w:tcW w:w="1227" w:type="dxa"/>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45" w:hRule="atLeast"/>
          <w:jc w:val="center"/>
        </w:trPr>
        <w:tc>
          <w:tcPr>
            <w:tcW w:w="1108" w:type="dxa"/>
            <w:tcBorders>
              <w:left w:val="single" w:color="auto" w:sz="4" w:space="0"/>
            </w:tcBorders>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r>
              <w:rPr>
                <w:rFonts w:hint="eastAsia" w:ascii="宋体" w:hAnsi="宋体" w:eastAsia="宋体" w:cs="Times New Roman"/>
                <w:color w:val="auto"/>
                <w:kern w:val="0"/>
                <w:szCs w:val="20"/>
                <w:highlight w:val="none"/>
                <w:lang w:val="en-US" w:bidi="ar-SA"/>
              </w:rPr>
              <w:t>以往工作经历</w:t>
            </w:r>
          </w:p>
        </w:tc>
        <w:tc>
          <w:tcPr>
            <w:tcW w:w="8589" w:type="dxa"/>
            <w:gridSpan w:val="11"/>
            <w:tcBorders>
              <w:left w:val="single" w:color="auto" w:sz="4" w:space="0"/>
            </w:tcBorders>
            <w:noWrap w:val="0"/>
          </w:tcPr>
          <w:p>
            <w:pPr>
              <w:shd w:val="clear"/>
              <w:outlineLvl w:val="9"/>
              <w:rPr>
                <w:rFonts w:hint="eastAsia" w:ascii="宋体" w:hAnsi="宋体" w:eastAsia="宋体" w:cs="Times New Roman"/>
                <w:color w:val="auto"/>
                <w:kern w:val="0"/>
                <w:szCs w:val="20"/>
                <w:highlight w:val="none"/>
                <w:lang w:val="en-US" w:bidi="ar-SA"/>
              </w:rPr>
            </w:pPr>
          </w:p>
          <w:p>
            <w:pPr>
              <w:shd w:val="clear"/>
              <w:outlineLvl w:val="9"/>
              <w:rPr>
                <w:rFonts w:hint="eastAsia" w:ascii="宋体" w:hAnsi="宋体" w:eastAsia="宋体" w:cs="Times New Roman"/>
                <w:color w:val="auto"/>
                <w:kern w:val="0"/>
                <w:szCs w:val="20"/>
                <w:highlight w:val="none"/>
                <w:lang w:val="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jc w:val="center"/>
        </w:trPr>
        <w:tc>
          <w:tcPr>
            <w:tcW w:w="9697" w:type="dxa"/>
            <w:gridSpan w:val="12"/>
            <w:tcBorders>
              <w:left w:val="single" w:color="auto" w:sz="4" w:space="0"/>
            </w:tcBorders>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r>
              <w:rPr>
                <w:rFonts w:hint="eastAsia" w:ascii="宋体" w:hAnsi="宋体" w:eastAsia="宋体" w:cs="Times New Roman"/>
                <w:color w:val="auto"/>
                <w:kern w:val="0"/>
                <w:szCs w:val="20"/>
                <w:highlight w:val="none"/>
                <w:lang w:val="en-US" w:bidi="ar-SA"/>
              </w:rPr>
              <w:t>已完成服务项目情况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3" w:hRule="atLeast"/>
          <w:jc w:val="center"/>
        </w:trPr>
        <w:tc>
          <w:tcPr>
            <w:tcW w:w="2593" w:type="dxa"/>
            <w:gridSpan w:val="3"/>
            <w:tcBorders>
              <w:left w:val="single" w:color="auto" w:sz="4" w:space="0"/>
            </w:tcBorders>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r>
              <w:rPr>
                <w:rFonts w:hint="eastAsia" w:ascii="宋体" w:hAnsi="宋体" w:eastAsia="宋体" w:cs="Times New Roman"/>
                <w:color w:val="auto"/>
                <w:kern w:val="0"/>
                <w:szCs w:val="20"/>
                <w:highlight w:val="none"/>
                <w:lang w:val="en-US" w:bidi="ar-SA"/>
              </w:rPr>
              <w:t>被服务单位</w:t>
            </w:r>
          </w:p>
        </w:tc>
        <w:tc>
          <w:tcPr>
            <w:tcW w:w="2209" w:type="dxa"/>
            <w:gridSpan w:val="3"/>
            <w:tcBorders>
              <w:left w:val="single" w:color="auto" w:sz="4" w:space="0"/>
            </w:tcBorders>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r>
              <w:rPr>
                <w:rFonts w:hint="eastAsia" w:ascii="宋体" w:hAnsi="宋体" w:eastAsia="宋体" w:cs="Times New Roman"/>
                <w:color w:val="auto"/>
                <w:kern w:val="0"/>
                <w:szCs w:val="20"/>
                <w:highlight w:val="none"/>
                <w:lang w:val="en-US" w:bidi="ar-SA"/>
              </w:rPr>
              <w:t>项目名称</w:t>
            </w:r>
          </w:p>
        </w:tc>
        <w:tc>
          <w:tcPr>
            <w:tcW w:w="1351" w:type="dxa"/>
            <w:gridSpan w:val="2"/>
            <w:tcBorders>
              <w:left w:val="single" w:color="auto" w:sz="4" w:space="0"/>
            </w:tcBorders>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r>
              <w:rPr>
                <w:rFonts w:hint="eastAsia" w:ascii="宋体" w:hAnsi="宋体" w:eastAsia="宋体" w:cs="Times New Roman"/>
                <w:color w:val="auto"/>
                <w:kern w:val="0"/>
                <w:szCs w:val="20"/>
                <w:highlight w:val="none"/>
                <w:lang w:val="en-US" w:bidi="ar-SA"/>
              </w:rPr>
              <w:t>规模面积</w:t>
            </w:r>
          </w:p>
        </w:tc>
        <w:tc>
          <w:tcPr>
            <w:tcW w:w="2088" w:type="dxa"/>
            <w:gridSpan w:val="2"/>
            <w:tcBorders>
              <w:left w:val="single" w:color="auto" w:sz="4" w:space="0"/>
            </w:tcBorders>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r>
              <w:rPr>
                <w:rFonts w:hint="eastAsia" w:ascii="宋体" w:hAnsi="宋体" w:eastAsia="宋体" w:cs="Times New Roman"/>
                <w:color w:val="auto"/>
                <w:kern w:val="0"/>
                <w:szCs w:val="20"/>
                <w:highlight w:val="none"/>
                <w:lang w:val="en-US" w:bidi="ar-SA"/>
              </w:rPr>
              <w:t>服务期限</w:t>
            </w:r>
          </w:p>
        </w:tc>
        <w:tc>
          <w:tcPr>
            <w:tcW w:w="1456" w:type="dxa"/>
            <w:gridSpan w:val="2"/>
            <w:tcBorders>
              <w:left w:val="single" w:color="auto" w:sz="4" w:space="0"/>
            </w:tcBorders>
            <w:noWrap w:val="0"/>
            <w:vAlign w:val="center"/>
          </w:tcPr>
          <w:p>
            <w:pPr>
              <w:shd w:val="clear"/>
              <w:jc w:val="center"/>
              <w:outlineLvl w:val="9"/>
              <w:rPr>
                <w:rFonts w:hint="eastAsia" w:ascii="宋体" w:hAnsi="宋体" w:eastAsia="宋体" w:cs="Times New Roman"/>
                <w:color w:val="auto"/>
                <w:kern w:val="0"/>
                <w:szCs w:val="20"/>
                <w:highlight w:val="none"/>
                <w:lang w:val="en-US" w:bidi="ar-SA"/>
              </w:rPr>
            </w:pPr>
            <w:r>
              <w:rPr>
                <w:rFonts w:hint="eastAsia" w:ascii="宋体" w:hAnsi="宋体" w:eastAsia="宋体" w:cs="Times New Roman"/>
                <w:color w:val="auto"/>
                <w:kern w:val="0"/>
                <w:szCs w:val="20"/>
                <w:highlight w:val="none"/>
                <w:lang w:val="en-US" w:bidi="ar-SA"/>
              </w:rPr>
              <w:t>管理质量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pPr>
              <w:shd w:val="clear"/>
              <w:spacing w:line="440" w:lineRule="exact"/>
              <w:outlineLvl w:val="9"/>
              <w:rPr>
                <w:rFonts w:hint="eastAsia" w:ascii="宋体" w:hAnsi="宋体" w:eastAsia="宋体" w:cs="Times New Roman"/>
                <w:color w:val="auto"/>
                <w:kern w:val="0"/>
                <w:szCs w:val="20"/>
                <w:highlight w:val="none"/>
                <w:lang w:val="en-US" w:bidi="ar-SA"/>
              </w:rPr>
            </w:pPr>
          </w:p>
        </w:tc>
        <w:tc>
          <w:tcPr>
            <w:tcW w:w="2209" w:type="dxa"/>
            <w:gridSpan w:val="3"/>
            <w:tcBorders>
              <w:left w:val="single" w:color="auto" w:sz="4" w:space="0"/>
            </w:tcBorders>
            <w:noWrap w:val="0"/>
            <w:vAlign w:val="center"/>
          </w:tcPr>
          <w:p>
            <w:pPr>
              <w:shd w:val="clear"/>
              <w:spacing w:line="440" w:lineRule="exact"/>
              <w:outlineLvl w:val="9"/>
              <w:rPr>
                <w:rFonts w:hint="eastAsia" w:ascii="宋体" w:hAnsi="宋体" w:eastAsia="宋体" w:cs="Times New Roman"/>
                <w:color w:val="auto"/>
                <w:kern w:val="0"/>
                <w:szCs w:val="20"/>
                <w:highlight w:val="none"/>
                <w:lang w:val="en-US" w:bidi="ar-SA"/>
              </w:rPr>
            </w:pPr>
          </w:p>
        </w:tc>
        <w:tc>
          <w:tcPr>
            <w:tcW w:w="1351" w:type="dxa"/>
            <w:gridSpan w:val="2"/>
            <w:tcBorders>
              <w:left w:val="single" w:color="auto" w:sz="4" w:space="0"/>
            </w:tcBorders>
            <w:noWrap w:val="0"/>
            <w:vAlign w:val="center"/>
          </w:tcPr>
          <w:p>
            <w:pPr>
              <w:shd w:val="clear"/>
              <w:spacing w:line="440" w:lineRule="exact"/>
              <w:outlineLvl w:val="9"/>
              <w:rPr>
                <w:rFonts w:hint="eastAsia" w:ascii="宋体" w:hAnsi="宋体" w:eastAsia="宋体" w:cs="Times New Roman"/>
                <w:color w:val="auto"/>
                <w:kern w:val="0"/>
                <w:szCs w:val="20"/>
                <w:highlight w:val="none"/>
                <w:lang w:val="en-US" w:bidi="ar-SA"/>
              </w:rPr>
            </w:pPr>
          </w:p>
        </w:tc>
        <w:tc>
          <w:tcPr>
            <w:tcW w:w="2088" w:type="dxa"/>
            <w:gridSpan w:val="2"/>
            <w:tcBorders>
              <w:left w:val="single" w:color="auto" w:sz="4" w:space="0"/>
            </w:tcBorders>
            <w:noWrap w:val="0"/>
            <w:vAlign w:val="center"/>
          </w:tcPr>
          <w:p>
            <w:pPr>
              <w:shd w:val="clear"/>
              <w:spacing w:line="440" w:lineRule="exact"/>
              <w:outlineLvl w:val="9"/>
              <w:rPr>
                <w:rFonts w:hint="eastAsia" w:ascii="宋体" w:hAnsi="宋体" w:eastAsia="宋体" w:cs="Times New Roman"/>
                <w:color w:val="auto"/>
                <w:kern w:val="0"/>
                <w:szCs w:val="20"/>
                <w:highlight w:val="none"/>
                <w:lang w:val="en-US" w:bidi="ar-SA"/>
              </w:rPr>
            </w:pPr>
          </w:p>
        </w:tc>
        <w:tc>
          <w:tcPr>
            <w:tcW w:w="1456" w:type="dxa"/>
            <w:gridSpan w:val="2"/>
            <w:tcBorders>
              <w:left w:val="single" w:color="auto" w:sz="4" w:space="0"/>
            </w:tcBorders>
            <w:noWrap w:val="0"/>
            <w:vAlign w:val="center"/>
          </w:tcPr>
          <w:p>
            <w:pPr>
              <w:shd w:val="clear"/>
              <w:spacing w:line="440" w:lineRule="exact"/>
              <w:outlineLvl w:val="9"/>
              <w:rPr>
                <w:rFonts w:hint="eastAsia" w:ascii="宋体" w:hAnsi="宋体" w:eastAsia="宋体" w:cs="Times New Roman"/>
                <w:color w:val="auto"/>
                <w:kern w:val="0"/>
                <w:szCs w:val="20"/>
                <w:highlight w:val="none"/>
                <w:lang w:val="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pPr>
              <w:shd w:val="clear"/>
              <w:spacing w:line="440" w:lineRule="exact"/>
              <w:outlineLvl w:val="9"/>
              <w:rPr>
                <w:rFonts w:hint="eastAsia" w:ascii="宋体" w:hAnsi="宋体" w:eastAsia="宋体" w:cs="Times New Roman"/>
                <w:color w:val="auto"/>
                <w:kern w:val="0"/>
                <w:szCs w:val="20"/>
                <w:highlight w:val="none"/>
                <w:lang w:val="en-US" w:bidi="ar-SA"/>
              </w:rPr>
            </w:pPr>
          </w:p>
        </w:tc>
        <w:tc>
          <w:tcPr>
            <w:tcW w:w="2209" w:type="dxa"/>
            <w:gridSpan w:val="3"/>
            <w:tcBorders>
              <w:left w:val="single" w:color="auto" w:sz="4" w:space="0"/>
            </w:tcBorders>
            <w:noWrap w:val="0"/>
            <w:vAlign w:val="center"/>
          </w:tcPr>
          <w:p>
            <w:pPr>
              <w:shd w:val="clear"/>
              <w:spacing w:line="440" w:lineRule="exact"/>
              <w:outlineLvl w:val="9"/>
              <w:rPr>
                <w:rFonts w:hint="eastAsia" w:ascii="宋体" w:hAnsi="宋体" w:eastAsia="宋体" w:cs="Times New Roman"/>
                <w:color w:val="auto"/>
                <w:kern w:val="0"/>
                <w:szCs w:val="20"/>
                <w:highlight w:val="none"/>
                <w:lang w:val="en-US" w:bidi="ar-SA"/>
              </w:rPr>
            </w:pPr>
          </w:p>
        </w:tc>
        <w:tc>
          <w:tcPr>
            <w:tcW w:w="1351" w:type="dxa"/>
            <w:gridSpan w:val="2"/>
            <w:tcBorders>
              <w:left w:val="single" w:color="auto" w:sz="4" w:space="0"/>
            </w:tcBorders>
            <w:noWrap w:val="0"/>
            <w:vAlign w:val="center"/>
          </w:tcPr>
          <w:p>
            <w:pPr>
              <w:shd w:val="clear"/>
              <w:spacing w:line="440" w:lineRule="exact"/>
              <w:outlineLvl w:val="9"/>
              <w:rPr>
                <w:rFonts w:hint="eastAsia" w:ascii="宋体" w:hAnsi="宋体" w:eastAsia="宋体" w:cs="Times New Roman"/>
                <w:color w:val="auto"/>
                <w:kern w:val="0"/>
                <w:szCs w:val="20"/>
                <w:highlight w:val="none"/>
                <w:lang w:val="en-US" w:bidi="ar-SA"/>
              </w:rPr>
            </w:pPr>
          </w:p>
        </w:tc>
        <w:tc>
          <w:tcPr>
            <w:tcW w:w="2088" w:type="dxa"/>
            <w:gridSpan w:val="2"/>
            <w:tcBorders>
              <w:left w:val="single" w:color="auto" w:sz="4" w:space="0"/>
            </w:tcBorders>
            <w:noWrap w:val="0"/>
            <w:vAlign w:val="center"/>
          </w:tcPr>
          <w:p>
            <w:pPr>
              <w:shd w:val="clear"/>
              <w:spacing w:line="440" w:lineRule="exact"/>
              <w:outlineLvl w:val="9"/>
              <w:rPr>
                <w:rFonts w:hint="eastAsia" w:ascii="宋体" w:hAnsi="宋体" w:eastAsia="宋体" w:cs="Times New Roman"/>
                <w:color w:val="auto"/>
                <w:kern w:val="0"/>
                <w:szCs w:val="20"/>
                <w:highlight w:val="none"/>
                <w:lang w:val="en-US" w:bidi="ar-SA"/>
              </w:rPr>
            </w:pPr>
          </w:p>
        </w:tc>
        <w:tc>
          <w:tcPr>
            <w:tcW w:w="1456" w:type="dxa"/>
            <w:gridSpan w:val="2"/>
            <w:tcBorders>
              <w:left w:val="single" w:color="auto" w:sz="4" w:space="0"/>
            </w:tcBorders>
            <w:noWrap w:val="0"/>
            <w:vAlign w:val="center"/>
          </w:tcPr>
          <w:p>
            <w:pPr>
              <w:shd w:val="clear"/>
              <w:spacing w:line="440" w:lineRule="exact"/>
              <w:outlineLvl w:val="9"/>
              <w:rPr>
                <w:rFonts w:hint="eastAsia" w:ascii="宋体" w:hAnsi="宋体" w:eastAsia="宋体" w:cs="Times New Roman"/>
                <w:color w:val="auto"/>
                <w:kern w:val="0"/>
                <w:szCs w:val="20"/>
                <w:highlight w:val="none"/>
                <w:lang w:val="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pPr>
              <w:shd w:val="clear"/>
              <w:spacing w:line="440" w:lineRule="exact"/>
              <w:outlineLvl w:val="9"/>
              <w:rPr>
                <w:rFonts w:hint="eastAsia" w:ascii="宋体" w:hAnsi="宋体" w:eastAsia="宋体" w:cs="Times New Roman"/>
                <w:color w:val="auto"/>
                <w:kern w:val="0"/>
                <w:szCs w:val="20"/>
                <w:highlight w:val="none"/>
                <w:lang w:val="en-US" w:bidi="ar-SA"/>
              </w:rPr>
            </w:pPr>
          </w:p>
        </w:tc>
        <w:tc>
          <w:tcPr>
            <w:tcW w:w="2209" w:type="dxa"/>
            <w:gridSpan w:val="3"/>
            <w:tcBorders>
              <w:left w:val="single" w:color="auto" w:sz="4" w:space="0"/>
            </w:tcBorders>
            <w:noWrap w:val="0"/>
            <w:vAlign w:val="center"/>
          </w:tcPr>
          <w:p>
            <w:pPr>
              <w:shd w:val="clear"/>
              <w:spacing w:line="440" w:lineRule="exact"/>
              <w:outlineLvl w:val="9"/>
              <w:rPr>
                <w:rFonts w:hint="eastAsia" w:ascii="宋体" w:hAnsi="宋体" w:eastAsia="宋体" w:cs="Times New Roman"/>
                <w:color w:val="auto"/>
                <w:kern w:val="0"/>
                <w:szCs w:val="20"/>
                <w:highlight w:val="none"/>
                <w:lang w:val="en-US" w:bidi="ar-SA"/>
              </w:rPr>
            </w:pPr>
          </w:p>
        </w:tc>
        <w:tc>
          <w:tcPr>
            <w:tcW w:w="1351" w:type="dxa"/>
            <w:gridSpan w:val="2"/>
            <w:tcBorders>
              <w:left w:val="single" w:color="auto" w:sz="4" w:space="0"/>
            </w:tcBorders>
            <w:noWrap w:val="0"/>
            <w:vAlign w:val="center"/>
          </w:tcPr>
          <w:p>
            <w:pPr>
              <w:shd w:val="clear"/>
              <w:spacing w:line="440" w:lineRule="exact"/>
              <w:outlineLvl w:val="9"/>
              <w:rPr>
                <w:rFonts w:hint="eastAsia" w:ascii="宋体" w:hAnsi="宋体" w:eastAsia="宋体" w:cs="Times New Roman"/>
                <w:color w:val="auto"/>
                <w:kern w:val="0"/>
                <w:szCs w:val="20"/>
                <w:highlight w:val="none"/>
                <w:lang w:val="en-US" w:bidi="ar-SA"/>
              </w:rPr>
            </w:pPr>
          </w:p>
        </w:tc>
        <w:tc>
          <w:tcPr>
            <w:tcW w:w="2088" w:type="dxa"/>
            <w:gridSpan w:val="2"/>
            <w:tcBorders>
              <w:left w:val="single" w:color="auto" w:sz="4" w:space="0"/>
            </w:tcBorders>
            <w:noWrap w:val="0"/>
            <w:vAlign w:val="center"/>
          </w:tcPr>
          <w:p>
            <w:pPr>
              <w:shd w:val="clear"/>
              <w:spacing w:line="440" w:lineRule="exact"/>
              <w:outlineLvl w:val="9"/>
              <w:rPr>
                <w:rFonts w:hint="eastAsia" w:ascii="宋体" w:hAnsi="宋体" w:eastAsia="宋体" w:cs="Times New Roman"/>
                <w:color w:val="auto"/>
                <w:kern w:val="0"/>
                <w:szCs w:val="20"/>
                <w:highlight w:val="none"/>
                <w:lang w:val="en-US" w:bidi="ar-SA"/>
              </w:rPr>
            </w:pPr>
          </w:p>
        </w:tc>
        <w:tc>
          <w:tcPr>
            <w:tcW w:w="1456" w:type="dxa"/>
            <w:gridSpan w:val="2"/>
            <w:tcBorders>
              <w:left w:val="single" w:color="auto" w:sz="4" w:space="0"/>
            </w:tcBorders>
            <w:noWrap w:val="0"/>
            <w:vAlign w:val="center"/>
          </w:tcPr>
          <w:p>
            <w:pPr>
              <w:shd w:val="clear"/>
              <w:spacing w:line="440" w:lineRule="exact"/>
              <w:outlineLvl w:val="9"/>
              <w:rPr>
                <w:rFonts w:hint="eastAsia" w:ascii="宋体" w:hAnsi="宋体" w:eastAsia="宋体" w:cs="Times New Roman"/>
                <w:color w:val="auto"/>
                <w:kern w:val="0"/>
                <w:szCs w:val="20"/>
                <w:highlight w:val="none"/>
                <w:lang w:val="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pPr>
              <w:shd w:val="clear"/>
              <w:spacing w:line="440" w:lineRule="exact"/>
              <w:outlineLvl w:val="9"/>
              <w:rPr>
                <w:rFonts w:hint="eastAsia" w:ascii="宋体" w:hAnsi="宋体" w:eastAsia="宋体" w:cs="Times New Roman"/>
                <w:color w:val="auto"/>
                <w:kern w:val="0"/>
                <w:szCs w:val="20"/>
                <w:highlight w:val="none"/>
                <w:lang w:val="en-US" w:bidi="ar-SA"/>
              </w:rPr>
            </w:pPr>
          </w:p>
        </w:tc>
        <w:tc>
          <w:tcPr>
            <w:tcW w:w="2209" w:type="dxa"/>
            <w:gridSpan w:val="3"/>
            <w:tcBorders>
              <w:left w:val="single" w:color="auto" w:sz="4" w:space="0"/>
            </w:tcBorders>
            <w:noWrap w:val="0"/>
            <w:vAlign w:val="center"/>
          </w:tcPr>
          <w:p>
            <w:pPr>
              <w:shd w:val="clear"/>
              <w:spacing w:line="440" w:lineRule="exact"/>
              <w:outlineLvl w:val="9"/>
              <w:rPr>
                <w:rFonts w:hint="eastAsia" w:ascii="宋体" w:hAnsi="宋体" w:eastAsia="宋体" w:cs="Times New Roman"/>
                <w:color w:val="auto"/>
                <w:kern w:val="0"/>
                <w:szCs w:val="20"/>
                <w:highlight w:val="none"/>
                <w:lang w:val="en-US" w:bidi="ar-SA"/>
              </w:rPr>
            </w:pPr>
          </w:p>
        </w:tc>
        <w:tc>
          <w:tcPr>
            <w:tcW w:w="1351" w:type="dxa"/>
            <w:gridSpan w:val="2"/>
            <w:tcBorders>
              <w:left w:val="single" w:color="auto" w:sz="4" w:space="0"/>
            </w:tcBorders>
            <w:noWrap w:val="0"/>
            <w:vAlign w:val="center"/>
          </w:tcPr>
          <w:p>
            <w:pPr>
              <w:shd w:val="clear"/>
              <w:spacing w:line="440" w:lineRule="exact"/>
              <w:outlineLvl w:val="9"/>
              <w:rPr>
                <w:rFonts w:hint="eastAsia" w:ascii="宋体" w:hAnsi="宋体" w:eastAsia="宋体" w:cs="Times New Roman"/>
                <w:color w:val="auto"/>
                <w:kern w:val="0"/>
                <w:szCs w:val="20"/>
                <w:highlight w:val="none"/>
                <w:lang w:val="en-US" w:bidi="ar-SA"/>
              </w:rPr>
            </w:pPr>
          </w:p>
        </w:tc>
        <w:tc>
          <w:tcPr>
            <w:tcW w:w="2088" w:type="dxa"/>
            <w:gridSpan w:val="2"/>
            <w:tcBorders>
              <w:left w:val="single" w:color="auto" w:sz="4" w:space="0"/>
            </w:tcBorders>
            <w:noWrap w:val="0"/>
            <w:vAlign w:val="center"/>
          </w:tcPr>
          <w:p>
            <w:pPr>
              <w:shd w:val="clear"/>
              <w:spacing w:line="440" w:lineRule="exact"/>
              <w:outlineLvl w:val="9"/>
              <w:rPr>
                <w:rFonts w:hint="eastAsia" w:ascii="宋体" w:hAnsi="宋体" w:eastAsia="宋体" w:cs="Times New Roman"/>
                <w:color w:val="auto"/>
                <w:kern w:val="0"/>
                <w:szCs w:val="20"/>
                <w:highlight w:val="none"/>
                <w:lang w:val="en-US" w:bidi="ar-SA"/>
              </w:rPr>
            </w:pPr>
          </w:p>
        </w:tc>
        <w:tc>
          <w:tcPr>
            <w:tcW w:w="1456" w:type="dxa"/>
            <w:gridSpan w:val="2"/>
            <w:tcBorders>
              <w:left w:val="single" w:color="auto" w:sz="4" w:space="0"/>
            </w:tcBorders>
            <w:noWrap w:val="0"/>
            <w:vAlign w:val="center"/>
          </w:tcPr>
          <w:p>
            <w:pPr>
              <w:shd w:val="clear"/>
              <w:spacing w:line="440" w:lineRule="exact"/>
              <w:outlineLvl w:val="9"/>
              <w:rPr>
                <w:rFonts w:hint="eastAsia" w:ascii="宋体" w:hAnsi="宋体" w:eastAsia="宋体" w:cs="Times New Roman"/>
                <w:color w:val="auto"/>
                <w:kern w:val="0"/>
                <w:szCs w:val="20"/>
                <w:highlight w:val="none"/>
                <w:lang w:val="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pPr>
              <w:shd w:val="clear"/>
              <w:spacing w:line="440" w:lineRule="exact"/>
              <w:outlineLvl w:val="9"/>
              <w:rPr>
                <w:rFonts w:hint="eastAsia" w:ascii="宋体" w:hAnsi="宋体" w:eastAsia="宋体" w:cs="Times New Roman"/>
                <w:color w:val="auto"/>
                <w:kern w:val="0"/>
                <w:szCs w:val="20"/>
                <w:highlight w:val="none"/>
                <w:lang w:val="en-US" w:bidi="ar-SA"/>
              </w:rPr>
            </w:pPr>
          </w:p>
        </w:tc>
        <w:tc>
          <w:tcPr>
            <w:tcW w:w="2209" w:type="dxa"/>
            <w:gridSpan w:val="3"/>
            <w:tcBorders>
              <w:left w:val="single" w:color="auto" w:sz="4" w:space="0"/>
            </w:tcBorders>
            <w:noWrap w:val="0"/>
            <w:vAlign w:val="center"/>
          </w:tcPr>
          <w:p>
            <w:pPr>
              <w:shd w:val="clear"/>
              <w:spacing w:line="440" w:lineRule="exact"/>
              <w:outlineLvl w:val="9"/>
              <w:rPr>
                <w:rFonts w:hint="eastAsia" w:ascii="宋体" w:hAnsi="宋体" w:eastAsia="宋体" w:cs="Times New Roman"/>
                <w:color w:val="auto"/>
                <w:kern w:val="0"/>
                <w:szCs w:val="20"/>
                <w:highlight w:val="none"/>
                <w:lang w:val="en-US" w:bidi="ar-SA"/>
              </w:rPr>
            </w:pPr>
          </w:p>
        </w:tc>
        <w:tc>
          <w:tcPr>
            <w:tcW w:w="1351" w:type="dxa"/>
            <w:gridSpan w:val="2"/>
            <w:tcBorders>
              <w:left w:val="single" w:color="auto" w:sz="4" w:space="0"/>
            </w:tcBorders>
            <w:noWrap w:val="0"/>
            <w:vAlign w:val="center"/>
          </w:tcPr>
          <w:p>
            <w:pPr>
              <w:shd w:val="clear"/>
              <w:spacing w:line="440" w:lineRule="exact"/>
              <w:outlineLvl w:val="9"/>
              <w:rPr>
                <w:rFonts w:hint="eastAsia" w:ascii="宋体" w:hAnsi="宋体" w:eastAsia="宋体" w:cs="Times New Roman"/>
                <w:color w:val="auto"/>
                <w:kern w:val="0"/>
                <w:szCs w:val="20"/>
                <w:highlight w:val="none"/>
                <w:lang w:val="en-US" w:bidi="ar-SA"/>
              </w:rPr>
            </w:pPr>
          </w:p>
        </w:tc>
        <w:tc>
          <w:tcPr>
            <w:tcW w:w="2088" w:type="dxa"/>
            <w:gridSpan w:val="2"/>
            <w:tcBorders>
              <w:left w:val="single" w:color="auto" w:sz="4" w:space="0"/>
            </w:tcBorders>
            <w:noWrap w:val="0"/>
            <w:vAlign w:val="center"/>
          </w:tcPr>
          <w:p>
            <w:pPr>
              <w:shd w:val="clear"/>
              <w:spacing w:line="440" w:lineRule="exact"/>
              <w:outlineLvl w:val="9"/>
              <w:rPr>
                <w:rFonts w:hint="eastAsia" w:ascii="宋体" w:hAnsi="宋体" w:eastAsia="宋体" w:cs="Times New Roman"/>
                <w:color w:val="auto"/>
                <w:kern w:val="0"/>
                <w:szCs w:val="20"/>
                <w:highlight w:val="none"/>
                <w:lang w:val="en-US" w:bidi="ar-SA"/>
              </w:rPr>
            </w:pPr>
          </w:p>
        </w:tc>
        <w:tc>
          <w:tcPr>
            <w:tcW w:w="1456" w:type="dxa"/>
            <w:gridSpan w:val="2"/>
            <w:tcBorders>
              <w:left w:val="single" w:color="auto" w:sz="4" w:space="0"/>
            </w:tcBorders>
            <w:noWrap w:val="0"/>
            <w:vAlign w:val="center"/>
          </w:tcPr>
          <w:p>
            <w:pPr>
              <w:shd w:val="clear"/>
              <w:spacing w:line="440" w:lineRule="exact"/>
              <w:outlineLvl w:val="9"/>
              <w:rPr>
                <w:rFonts w:hint="eastAsia" w:ascii="宋体" w:hAnsi="宋体" w:eastAsia="宋体" w:cs="Times New Roman"/>
                <w:color w:val="auto"/>
                <w:kern w:val="0"/>
                <w:szCs w:val="20"/>
                <w:highlight w:val="none"/>
                <w:lang w:val="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pPr>
              <w:shd w:val="clear"/>
              <w:spacing w:line="440" w:lineRule="exact"/>
              <w:outlineLvl w:val="9"/>
              <w:rPr>
                <w:rFonts w:hint="eastAsia" w:ascii="宋体" w:hAnsi="宋体" w:eastAsia="宋体" w:cs="Times New Roman"/>
                <w:color w:val="auto"/>
                <w:kern w:val="0"/>
                <w:szCs w:val="20"/>
                <w:highlight w:val="none"/>
                <w:lang w:val="en-US" w:bidi="ar-SA"/>
              </w:rPr>
            </w:pPr>
          </w:p>
        </w:tc>
        <w:tc>
          <w:tcPr>
            <w:tcW w:w="2209" w:type="dxa"/>
            <w:gridSpan w:val="3"/>
            <w:tcBorders>
              <w:left w:val="single" w:color="auto" w:sz="4" w:space="0"/>
            </w:tcBorders>
            <w:noWrap w:val="0"/>
            <w:vAlign w:val="center"/>
          </w:tcPr>
          <w:p>
            <w:pPr>
              <w:shd w:val="clear"/>
              <w:spacing w:line="440" w:lineRule="exact"/>
              <w:outlineLvl w:val="9"/>
              <w:rPr>
                <w:rFonts w:hint="eastAsia" w:ascii="宋体" w:hAnsi="宋体" w:eastAsia="宋体" w:cs="Times New Roman"/>
                <w:color w:val="auto"/>
                <w:kern w:val="0"/>
                <w:szCs w:val="20"/>
                <w:highlight w:val="none"/>
                <w:lang w:val="en-US" w:bidi="ar-SA"/>
              </w:rPr>
            </w:pPr>
          </w:p>
        </w:tc>
        <w:tc>
          <w:tcPr>
            <w:tcW w:w="1351" w:type="dxa"/>
            <w:gridSpan w:val="2"/>
            <w:tcBorders>
              <w:left w:val="single" w:color="auto" w:sz="4" w:space="0"/>
            </w:tcBorders>
            <w:noWrap w:val="0"/>
            <w:vAlign w:val="center"/>
          </w:tcPr>
          <w:p>
            <w:pPr>
              <w:shd w:val="clear"/>
              <w:spacing w:line="440" w:lineRule="exact"/>
              <w:outlineLvl w:val="9"/>
              <w:rPr>
                <w:rFonts w:hint="eastAsia" w:ascii="宋体" w:hAnsi="宋体" w:eastAsia="宋体" w:cs="Times New Roman"/>
                <w:color w:val="auto"/>
                <w:kern w:val="0"/>
                <w:szCs w:val="20"/>
                <w:highlight w:val="none"/>
                <w:lang w:val="en-US" w:bidi="ar-SA"/>
              </w:rPr>
            </w:pPr>
          </w:p>
        </w:tc>
        <w:tc>
          <w:tcPr>
            <w:tcW w:w="2088" w:type="dxa"/>
            <w:gridSpan w:val="2"/>
            <w:tcBorders>
              <w:left w:val="single" w:color="auto" w:sz="4" w:space="0"/>
            </w:tcBorders>
            <w:noWrap w:val="0"/>
            <w:vAlign w:val="center"/>
          </w:tcPr>
          <w:p>
            <w:pPr>
              <w:shd w:val="clear"/>
              <w:spacing w:line="440" w:lineRule="exact"/>
              <w:outlineLvl w:val="9"/>
              <w:rPr>
                <w:rFonts w:hint="eastAsia" w:ascii="宋体" w:hAnsi="宋体" w:eastAsia="宋体" w:cs="Times New Roman"/>
                <w:color w:val="auto"/>
                <w:kern w:val="0"/>
                <w:szCs w:val="20"/>
                <w:highlight w:val="none"/>
                <w:lang w:val="en-US" w:bidi="ar-SA"/>
              </w:rPr>
            </w:pPr>
          </w:p>
        </w:tc>
        <w:tc>
          <w:tcPr>
            <w:tcW w:w="1456" w:type="dxa"/>
            <w:gridSpan w:val="2"/>
            <w:tcBorders>
              <w:left w:val="single" w:color="auto" w:sz="4" w:space="0"/>
            </w:tcBorders>
            <w:noWrap w:val="0"/>
            <w:vAlign w:val="center"/>
          </w:tcPr>
          <w:p>
            <w:pPr>
              <w:shd w:val="clear"/>
              <w:spacing w:line="440" w:lineRule="exact"/>
              <w:outlineLvl w:val="9"/>
              <w:rPr>
                <w:rFonts w:hint="eastAsia" w:ascii="宋体" w:hAnsi="宋体" w:eastAsia="宋体" w:cs="Times New Roman"/>
                <w:color w:val="auto"/>
                <w:kern w:val="0"/>
                <w:szCs w:val="20"/>
                <w:highlight w:val="none"/>
                <w:lang w:val="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pPr>
              <w:shd w:val="clear"/>
              <w:spacing w:line="440" w:lineRule="exact"/>
              <w:outlineLvl w:val="9"/>
              <w:rPr>
                <w:rFonts w:hint="eastAsia" w:ascii="宋体" w:hAnsi="宋体" w:eastAsia="宋体" w:cs="Times New Roman"/>
                <w:color w:val="auto"/>
                <w:kern w:val="0"/>
                <w:szCs w:val="20"/>
                <w:highlight w:val="none"/>
                <w:lang w:val="en-US" w:bidi="ar-SA"/>
              </w:rPr>
            </w:pPr>
          </w:p>
        </w:tc>
        <w:tc>
          <w:tcPr>
            <w:tcW w:w="2209" w:type="dxa"/>
            <w:gridSpan w:val="3"/>
            <w:tcBorders>
              <w:left w:val="single" w:color="auto" w:sz="4" w:space="0"/>
            </w:tcBorders>
            <w:noWrap w:val="0"/>
            <w:vAlign w:val="center"/>
          </w:tcPr>
          <w:p>
            <w:pPr>
              <w:shd w:val="clear"/>
              <w:spacing w:line="440" w:lineRule="exact"/>
              <w:outlineLvl w:val="9"/>
              <w:rPr>
                <w:rFonts w:hint="eastAsia" w:ascii="宋体" w:hAnsi="宋体" w:eastAsia="宋体" w:cs="Times New Roman"/>
                <w:color w:val="auto"/>
                <w:kern w:val="0"/>
                <w:szCs w:val="20"/>
                <w:highlight w:val="none"/>
                <w:lang w:val="en-US" w:bidi="ar-SA"/>
              </w:rPr>
            </w:pPr>
          </w:p>
        </w:tc>
        <w:tc>
          <w:tcPr>
            <w:tcW w:w="1351" w:type="dxa"/>
            <w:gridSpan w:val="2"/>
            <w:tcBorders>
              <w:left w:val="single" w:color="auto" w:sz="4" w:space="0"/>
            </w:tcBorders>
            <w:noWrap w:val="0"/>
            <w:vAlign w:val="center"/>
          </w:tcPr>
          <w:p>
            <w:pPr>
              <w:shd w:val="clear"/>
              <w:spacing w:line="440" w:lineRule="exact"/>
              <w:outlineLvl w:val="9"/>
              <w:rPr>
                <w:rFonts w:hint="eastAsia" w:ascii="宋体" w:hAnsi="宋体" w:eastAsia="宋体" w:cs="Times New Roman"/>
                <w:color w:val="auto"/>
                <w:kern w:val="0"/>
                <w:szCs w:val="20"/>
                <w:highlight w:val="none"/>
                <w:lang w:val="en-US" w:bidi="ar-SA"/>
              </w:rPr>
            </w:pPr>
          </w:p>
        </w:tc>
        <w:tc>
          <w:tcPr>
            <w:tcW w:w="2088" w:type="dxa"/>
            <w:gridSpan w:val="2"/>
            <w:tcBorders>
              <w:left w:val="single" w:color="auto" w:sz="4" w:space="0"/>
            </w:tcBorders>
            <w:noWrap w:val="0"/>
            <w:vAlign w:val="center"/>
          </w:tcPr>
          <w:p>
            <w:pPr>
              <w:shd w:val="clear"/>
              <w:spacing w:line="440" w:lineRule="exact"/>
              <w:outlineLvl w:val="9"/>
              <w:rPr>
                <w:rFonts w:hint="eastAsia" w:ascii="宋体" w:hAnsi="宋体" w:eastAsia="宋体" w:cs="Times New Roman"/>
                <w:color w:val="auto"/>
                <w:kern w:val="0"/>
                <w:szCs w:val="20"/>
                <w:highlight w:val="none"/>
                <w:lang w:val="en-US" w:bidi="ar-SA"/>
              </w:rPr>
            </w:pPr>
          </w:p>
        </w:tc>
        <w:tc>
          <w:tcPr>
            <w:tcW w:w="1456" w:type="dxa"/>
            <w:gridSpan w:val="2"/>
            <w:tcBorders>
              <w:left w:val="single" w:color="auto" w:sz="4" w:space="0"/>
            </w:tcBorders>
            <w:noWrap w:val="0"/>
            <w:vAlign w:val="center"/>
          </w:tcPr>
          <w:p>
            <w:pPr>
              <w:shd w:val="clear"/>
              <w:spacing w:line="440" w:lineRule="exact"/>
              <w:outlineLvl w:val="9"/>
              <w:rPr>
                <w:rFonts w:hint="eastAsia" w:ascii="宋体" w:hAnsi="宋体" w:eastAsia="宋体" w:cs="Times New Roman"/>
                <w:color w:val="auto"/>
                <w:kern w:val="0"/>
                <w:szCs w:val="20"/>
                <w:highlight w:val="none"/>
                <w:lang w:val="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pPr>
              <w:shd w:val="clear"/>
              <w:spacing w:line="440" w:lineRule="exact"/>
              <w:outlineLvl w:val="9"/>
              <w:rPr>
                <w:rFonts w:hint="eastAsia" w:ascii="宋体" w:hAnsi="宋体" w:eastAsia="宋体" w:cs="Times New Roman"/>
                <w:color w:val="auto"/>
                <w:kern w:val="0"/>
                <w:szCs w:val="20"/>
                <w:highlight w:val="none"/>
                <w:lang w:val="en-US" w:bidi="ar-SA"/>
              </w:rPr>
            </w:pPr>
          </w:p>
        </w:tc>
        <w:tc>
          <w:tcPr>
            <w:tcW w:w="2209" w:type="dxa"/>
            <w:gridSpan w:val="3"/>
            <w:tcBorders>
              <w:left w:val="single" w:color="auto" w:sz="4" w:space="0"/>
            </w:tcBorders>
            <w:noWrap w:val="0"/>
            <w:vAlign w:val="center"/>
          </w:tcPr>
          <w:p>
            <w:pPr>
              <w:shd w:val="clear"/>
              <w:spacing w:line="440" w:lineRule="exact"/>
              <w:outlineLvl w:val="9"/>
              <w:rPr>
                <w:rFonts w:hint="eastAsia" w:ascii="宋体" w:hAnsi="宋体" w:eastAsia="宋体" w:cs="Times New Roman"/>
                <w:color w:val="auto"/>
                <w:kern w:val="0"/>
                <w:szCs w:val="20"/>
                <w:highlight w:val="none"/>
                <w:lang w:val="en-US" w:bidi="ar-SA"/>
              </w:rPr>
            </w:pPr>
          </w:p>
        </w:tc>
        <w:tc>
          <w:tcPr>
            <w:tcW w:w="1351" w:type="dxa"/>
            <w:gridSpan w:val="2"/>
            <w:tcBorders>
              <w:left w:val="single" w:color="auto" w:sz="4" w:space="0"/>
            </w:tcBorders>
            <w:noWrap w:val="0"/>
            <w:vAlign w:val="center"/>
          </w:tcPr>
          <w:p>
            <w:pPr>
              <w:shd w:val="clear"/>
              <w:spacing w:line="440" w:lineRule="exact"/>
              <w:outlineLvl w:val="9"/>
              <w:rPr>
                <w:rFonts w:hint="eastAsia" w:ascii="宋体" w:hAnsi="宋体" w:eastAsia="宋体" w:cs="Times New Roman"/>
                <w:color w:val="auto"/>
                <w:kern w:val="0"/>
                <w:szCs w:val="20"/>
                <w:highlight w:val="none"/>
                <w:lang w:val="en-US" w:bidi="ar-SA"/>
              </w:rPr>
            </w:pPr>
          </w:p>
        </w:tc>
        <w:tc>
          <w:tcPr>
            <w:tcW w:w="2088" w:type="dxa"/>
            <w:gridSpan w:val="2"/>
            <w:tcBorders>
              <w:left w:val="single" w:color="auto" w:sz="4" w:space="0"/>
            </w:tcBorders>
            <w:noWrap w:val="0"/>
            <w:vAlign w:val="center"/>
          </w:tcPr>
          <w:p>
            <w:pPr>
              <w:shd w:val="clear"/>
              <w:spacing w:line="440" w:lineRule="exact"/>
              <w:outlineLvl w:val="9"/>
              <w:rPr>
                <w:rFonts w:hint="eastAsia" w:ascii="宋体" w:hAnsi="宋体" w:eastAsia="宋体" w:cs="Times New Roman"/>
                <w:color w:val="auto"/>
                <w:kern w:val="0"/>
                <w:szCs w:val="20"/>
                <w:highlight w:val="none"/>
                <w:lang w:val="en-US" w:bidi="ar-SA"/>
              </w:rPr>
            </w:pPr>
          </w:p>
        </w:tc>
        <w:tc>
          <w:tcPr>
            <w:tcW w:w="1456" w:type="dxa"/>
            <w:gridSpan w:val="2"/>
            <w:tcBorders>
              <w:left w:val="single" w:color="auto" w:sz="4" w:space="0"/>
            </w:tcBorders>
            <w:noWrap w:val="0"/>
            <w:vAlign w:val="center"/>
          </w:tcPr>
          <w:p>
            <w:pPr>
              <w:shd w:val="clear"/>
              <w:spacing w:line="440" w:lineRule="exact"/>
              <w:outlineLvl w:val="9"/>
              <w:rPr>
                <w:rFonts w:hint="eastAsia" w:ascii="宋体" w:hAnsi="宋体" w:eastAsia="宋体" w:cs="Times New Roman"/>
                <w:color w:val="auto"/>
                <w:kern w:val="0"/>
                <w:szCs w:val="20"/>
                <w:highlight w:val="none"/>
                <w:lang w:val="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pPr>
              <w:shd w:val="clear"/>
              <w:spacing w:line="440" w:lineRule="exact"/>
              <w:outlineLvl w:val="9"/>
              <w:rPr>
                <w:rFonts w:hint="eastAsia" w:ascii="宋体" w:hAnsi="宋体" w:eastAsia="宋体" w:cs="Times New Roman"/>
                <w:color w:val="auto"/>
                <w:kern w:val="0"/>
                <w:szCs w:val="20"/>
                <w:highlight w:val="none"/>
                <w:lang w:val="en-US" w:bidi="ar-SA"/>
              </w:rPr>
            </w:pPr>
          </w:p>
        </w:tc>
        <w:tc>
          <w:tcPr>
            <w:tcW w:w="2209" w:type="dxa"/>
            <w:gridSpan w:val="3"/>
            <w:tcBorders>
              <w:left w:val="single" w:color="auto" w:sz="4" w:space="0"/>
            </w:tcBorders>
            <w:noWrap w:val="0"/>
            <w:vAlign w:val="center"/>
          </w:tcPr>
          <w:p>
            <w:pPr>
              <w:shd w:val="clear"/>
              <w:spacing w:line="440" w:lineRule="exact"/>
              <w:outlineLvl w:val="9"/>
              <w:rPr>
                <w:rFonts w:hint="eastAsia" w:ascii="宋体" w:hAnsi="宋体" w:eastAsia="宋体" w:cs="Times New Roman"/>
                <w:color w:val="auto"/>
                <w:kern w:val="0"/>
                <w:szCs w:val="20"/>
                <w:highlight w:val="none"/>
                <w:lang w:val="en-US" w:bidi="ar-SA"/>
              </w:rPr>
            </w:pPr>
          </w:p>
        </w:tc>
        <w:tc>
          <w:tcPr>
            <w:tcW w:w="1351" w:type="dxa"/>
            <w:gridSpan w:val="2"/>
            <w:tcBorders>
              <w:left w:val="single" w:color="auto" w:sz="4" w:space="0"/>
            </w:tcBorders>
            <w:noWrap w:val="0"/>
            <w:vAlign w:val="center"/>
          </w:tcPr>
          <w:p>
            <w:pPr>
              <w:shd w:val="clear"/>
              <w:spacing w:line="440" w:lineRule="exact"/>
              <w:outlineLvl w:val="9"/>
              <w:rPr>
                <w:rFonts w:hint="eastAsia" w:ascii="宋体" w:hAnsi="宋体" w:eastAsia="宋体" w:cs="Times New Roman"/>
                <w:color w:val="auto"/>
                <w:kern w:val="0"/>
                <w:szCs w:val="20"/>
                <w:highlight w:val="none"/>
                <w:lang w:val="en-US" w:bidi="ar-SA"/>
              </w:rPr>
            </w:pPr>
          </w:p>
        </w:tc>
        <w:tc>
          <w:tcPr>
            <w:tcW w:w="2088" w:type="dxa"/>
            <w:gridSpan w:val="2"/>
            <w:tcBorders>
              <w:left w:val="single" w:color="auto" w:sz="4" w:space="0"/>
            </w:tcBorders>
            <w:noWrap w:val="0"/>
            <w:vAlign w:val="center"/>
          </w:tcPr>
          <w:p>
            <w:pPr>
              <w:shd w:val="clear"/>
              <w:spacing w:line="440" w:lineRule="exact"/>
              <w:outlineLvl w:val="9"/>
              <w:rPr>
                <w:rFonts w:hint="eastAsia" w:ascii="宋体" w:hAnsi="宋体" w:eastAsia="宋体" w:cs="Times New Roman"/>
                <w:color w:val="auto"/>
                <w:kern w:val="0"/>
                <w:szCs w:val="20"/>
                <w:highlight w:val="none"/>
                <w:lang w:val="en-US" w:bidi="ar-SA"/>
              </w:rPr>
            </w:pPr>
          </w:p>
        </w:tc>
        <w:tc>
          <w:tcPr>
            <w:tcW w:w="1456" w:type="dxa"/>
            <w:gridSpan w:val="2"/>
            <w:tcBorders>
              <w:left w:val="single" w:color="auto" w:sz="4" w:space="0"/>
            </w:tcBorders>
            <w:noWrap w:val="0"/>
            <w:vAlign w:val="center"/>
          </w:tcPr>
          <w:p>
            <w:pPr>
              <w:shd w:val="clear"/>
              <w:spacing w:line="440" w:lineRule="exact"/>
              <w:outlineLvl w:val="9"/>
              <w:rPr>
                <w:rFonts w:hint="eastAsia" w:ascii="宋体" w:hAnsi="宋体" w:eastAsia="宋体" w:cs="Times New Roman"/>
                <w:color w:val="auto"/>
                <w:kern w:val="0"/>
                <w:szCs w:val="20"/>
                <w:highlight w:val="none"/>
                <w:lang w:val="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pPr>
              <w:shd w:val="clear"/>
              <w:spacing w:line="440" w:lineRule="exact"/>
              <w:outlineLvl w:val="9"/>
              <w:rPr>
                <w:rFonts w:hint="eastAsia" w:ascii="宋体" w:hAnsi="宋体" w:eastAsia="宋体" w:cs="Times New Roman"/>
                <w:color w:val="auto"/>
                <w:kern w:val="0"/>
                <w:szCs w:val="20"/>
                <w:highlight w:val="none"/>
                <w:lang w:val="en-US" w:bidi="ar-SA"/>
              </w:rPr>
            </w:pPr>
          </w:p>
        </w:tc>
        <w:tc>
          <w:tcPr>
            <w:tcW w:w="2209" w:type="dxa"/>
            <w:gridSpan w:val="3"/>
            <w:tcBorders>
              <w:left w:val="single" w:color="auto" w:sz="4" w:space="0"/>
            </w:tcBorders>
            <w:noWrap w:val="0"/>
            <w:vAlign w:val="center"/>
          </w:tcPr>
          <w:p>
            <w:pPr>
              <w:shd w:val="clear"/>
              <w:spacing w:line="440" w:lineRule="exact"/>
              <w:outlineLvl w:val="9"/>
              <w:rPr>
                <w:rFonts w:hint="eastAsia" w:ascii="宋体" w:hAnsi="宋体" w:eastAsia="宋体" w:cs="Times New Roman"/>
                <w:color w:val="auto"/>
                <w:kern w:val="0"/>
                <w:szCs w:val="20"/>
                <w:highlight w:val="none"/>
                <w:lang w:val="en-US" w:bidi="ar-SA"/>
              </w:rPr>
            </w:pPr>
          </w:p>
        </w:tc>
        <w:tc>
          <w:tcPr>
            <w:tcW w:w="1351" w:type="dxa"/>
            <w:gridSpan w:val="2"/>
            <w:tcBorders>
              <w:left w:val="single" w:color="auto" w:sz="4" w:space="0"/>
            </w:tcBorders>
            <w:noWrap w:val="0"/>
            <w:vAlign w:val="center"/>
          </w:tcPr>
          <w:p>
            <w:pPr>
              <w:shd w:val="clear"/>
              <w:spacing w:line="440" w:lineRule="exact"/>
              <w:outlineLvl w:val="9"/>
              <w:rPr>
                <w:rFonts w:hint="eastAsia" w:ascii="宋体" w:hAnsi="宋体" w:eastAsia="宋体" w:cs="Times New Roman"/>
                <w:color w:val="auto"/>
                <w:kern w:val="0"/>
                <w:szCs w:val="20"/>
                <w:highlight w:val="none"/>
                <w:lang w:val="en-US" w:bidi="ar-SA"/>
              </w:rPr>
            </w:pPr>
          </w:p>
        </w:tc>
        <w:tc>
          <w:tcPr>
            <w:tcW w:w="2088" w:type="dxa"/>
            <w:gridSpan w:val="2"/>
            <w:tcBorders>
              <w:left w:val="single" w:color="auto" w:sz="4" w:space="0"/>
            </w:tcBorders>
            <w:noWrap w:val="0"/>
            <w:vAlign w:val="center"/>
          </w:tcPr>
          <w:p>
            <w:pPr>
              <w:shd w:val="clear"/>
              <w:spacing w:line="440" w:lineRule="exact"/>
              <w:outlineLvl w:val="9"/>
              <w:rPr>
                <w:rFonts w:hint="eastAsia" w:ascii="宋体" w:hAnsi="宋体" w:eastAsia="宋体" w:cs="Times New Roman"/>
                <w:color w:val="auto"/>
                <w:kern w:val="0"/>
                <w:szCs w:val="20"/>
                <w:highlight w:val="none"/>
                <w:lang w:val="en-US" w:bidi="ar-SA"/>
              </w:rPr>
            </w:pPr>
          </w:p>
        </w:tc>
        <w:tc>
          <w:tcPr>
            <w:tcW w:w="1456" w:type="dxa"/>
            <w:gridSpan w:val="2"/>
            <w:tcBorders>
              <w:left w:val="single" w:color="auto" w:sz="4" w:space="0"/>
            </w:tcBorders>
            <w:noWrap w:val="0"/>
            <w:vAlign w:val="center"/>
          </w:tcPr>
          <w:p>
            <w:pPr>
              <w:shd w:val="clear"/>
              <w:spacing w:line="440" w:lineRule="exact"/>
              <w:outlineLvl w:val="9"/>
              <w:rPr>
                <w:rFonts w:hint="eastAsia" w:ascii="宋体" w:hAnsi="宋体" w:eastAsia="宋体" w:cs="Times New Roman"/>
                <w:color w:val="auto"/>
                <w:kern w:val="0"/>
                <w:szCs w:val="20"/>
                <w:highlight w:val="none"/>
                <w:lang w:val="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pPr>
              <w:shd w:val="clear"/>
              <w:spacing w:line="440" w:lineRule="exact"/>
              <w:outlineLvl w:val="9"/>
              <w:rPr>
                <w:rFonts w:hint="eastAsia" w:ascii="宋体" w:hAnsi="宋体" w:eastAsia="宋体" w:cs="Times New Roman"/>
                <w:color w:val="auto"/>
                <w:kern w:val="0"/>
                <w:szCs w:val="20"/>
                <w:highlight w:val="none"/>
                <w:lang w:val="en-US" w:bidi="ar-SA"/>
              </w:rPr>
            </w:pPr>
          </w:p>
        </w:tc>
        <w:tc>
          <w:tcPr>
            <w:tcW w:w="2209" w:type="dxa"/>
            <w:gridSpan w:val="3"/>
            <w:tcBorders>
              <w:left w:val="single" w:color="auto" w:sz="4" w:space="0"/>
            </w:tcBorders>
            <w:noWrap w:val="0"/>
            <w:vAlign w:val="center"/>
          </w:tcPr>
          <w:p>
            <w:pPr>
              <w:shd w:val="clear"/>
              <w:spacing w:line="440" w:lineRule="exact"/>
              <w:outlineLvl w:val="9"/>
              <w:rPr>
                <w:rFonts w:hint="eastAsia" w:ascii="宋体" w:hAnsi="宋体" w:eastAsia="宋体" w:cs="Times New Roman"/>
                <w:color w:val="auto"/>
                <w:kern w:val="0"/>
                <w:szCs w:val="20"/>
                <w:highlight w:val="none"/>
                <w:lang w:val="en-US" w:bidi="ar-SA"/>
              </w:rPr>
            </w:pPr>
          </w:p>
        </w:tc>
        <w:tc>
          <w:tcPr>
            <w:tcW w:w="1351" w:type="dxa"/>
            <w:gridSpan w:val="2"/>
            <w:tcBorders>
              <w:left w:val="single" w:color="auto" w:sz="4" w:space="0"/>
            </w:tcBorders>
            <w:noWrap w:val="0"/>
            <w:vAlign w:val="center"/>
          </w:tcPr>
          <w:p>
            <w:pPr>
              <w:shd w:val="clear"/>
              <w:spacing w:line="440" w:lineRule="exact"/>
              <w:outlineLvl w:val="9"/>
              <w:rPr>
                <w:rFonts w:hint="eastAsia" w:ascii="宋体" w:hAnsi="宋体" w:eastAsia="宋体" w:cs="Times New Roman"/>
                <w:color w:val="auto"/>
                <w:kern w:val="0"/>
                <w:szCs w:val="20"/>
                <w:highlight w:val="none"/>
                <w:lang w:val="en-US" w:bidi="ar-SA"/>
              </w:rPr>
            </w:pPr>
          </w:p>
        </w:tc>
        <w:tc>
          <w:tcPr>
            <w:tcW w:w="2088" w:type="dxa"/>
            <w:gridSpan w:val="2"/>
            <w:tcBorders>
              <w:left w:val="single" w:color="auto" w:sz="4" w:space="0"/>
            </w:tcBorders>
            <w:noWrap w:val="0"/>
            <w:vAlign w:val="center"/>
          </w:tcPr>
          <w:p>
            <w:pPr>
              <w:shd w:val="clear"/>
              <w:spacing w:line="440" w:lineRule="exact"/>
              <w:outlineLvl w:val="9"/>
              <w:rPr>
                <w:rFonts w:hint="eastAsia" w:ascii="宋体" w:hAnsi="宋体" w:eastAsia="宋体" w:cs="Times New Roman"/>
                <w:color w:val="auto"/>
                <w:kern w:val="0"/>
                <w:szCs w:val="20"/>
                <w:highlight w:val="none"/>
                <w:lang w:val="en-US" w:bidi="ar-SA"/>
              </w:rPr>
            </w:pPr>
          </w:p>
        </w:tc>
        <w:tc>
          <w:tcPr>
            <w:tcW w:w="1456" w:type="dxa"/>
            <w:gridSpan w:val="2"/>
            <w:tcBorders>
              <w:left w:val="single" w:color="auto" w:sz="4" w:space="0"/>
            </w:tcBorders>
            <w:noWrap w:val="0"/>
            <w:vAlign w:val="center"/>
          </w:tcPr>
          <w:p>
            <w:pPr>
              <w:shd w:val="clear"/>
              <w:spacing w:line="440" w:lineRule="exact"/>
              <w:outlineLvl w:val="9"/>
              <w:rPr>
                <w:rFonts w:hint="eastAsia" w:ascii="宋体" w:hAnsi="宋体" w:eastAsia="宋体" w:cs="Times New Roman"/>
                <w:color w:val="auto"/>
                <w:kern w:val="0"/>
                <w:szCs w:val="20"/>
                <w:highlight w:val="none"/>
                <w:lang w:val="en-US" w:bidi="ar-SA"/>
              </w:rPr>
            </w:pPr>
          </w:p>
        </w:tc>
      </w:tr>
    </w:tbl>
    <w:p>
      <w:pPr>
        <w:shd w:val="clear"/>
        <w:outlineLvl w:val="9"/>
        <w:rPr>
          <w:rFonts w:hint="default" w:ascii="Times New Roman" w:hAnsi="Times New Roman" w:eastAsia="宋体" w:cs="Times New Roman"/>
          <w:b/>
          <w:bCs/>
          <w:color w:val="auto"/>
          <w:kern w:val="0"/>
          <w:sz w:val="24"/>
          <w:szCs w:val="24"/>
          <w:highlight w:val="none"/>
          <w:lang w:val="en-US" w:bidi="ar-SA"/>
        </w:rPr>
      </w:pPr>
    </w:p>
    <w:p>
      <w:pPr>
        <w:shd w:val="clear"/>
        <w:outlineLvl w:val="9"/>
        <w:rPr>
          <w:rFonts w:hint="default" w:ascii="Times New Roman" w:hAnsi="Times New Roman" w:eastAsia="宋体" w:cs="Times New Roman"/>
          <w:b/>
          <w:bCs/>
          <w:color w:val="auto"/>
          <w:kern w:val="0"/>
          <w:sz w:val="24"/>
          <w:szCs w:val="24"/>
          <w:highlight w:val="none"/>
          <w:lang w:val="en-US" w:bidi="ar-SA"/>
        </w:rPr>
      </w:pPr>
    </w:p>
    <w:p>
      <w:pPr>
        <w:shd w:val="clear"/>
        <w:outlineLvl w:val="9"/>
        <w:rPr>
          <w:rFonts w:hint="default" w:ascii="宋体" w:hAnsi="Times New Roman" w:eastAsia="宋体" w:cs="Times New Roman"/>
          <w:bCs/>
          <w:color w:val="auto"/>
          <w:kern w:val="0"/>
          <w:szCs w:val="21"/>
          <w:highlight w:val="none"/>
          <w:lang w:val="en-US" w:bidi="ar-SA"/>
        </w:rPr>
      </w:pPr>
      <w:r>
        <w:rPr>
          <w:rFonts w:hint="eastAsia" w:ascii="Times New Roman" w:hAnsi="Times New Roman" w:eastAsia="宋体" w:cs="Times New Roman"/>
          <w:b/>
          <w:bCs/>
          <w:color w:val="auto"/>
          <w:kern w:val="0"/>
          <w:sz w:val="24"/>
          <w:szCs w:val="24"/>
          <w:highlight w:val="none"/>
          <w:lang w:val="en-US" w:bidi="ar-SA"/>
        </w:rPr>
        <w:t>法定代表人或法定代表人授权代表签字或盖章：</w:t>
      </w:r>
    </w:p>
    <w:p>
      <w:pPr>
        <w:shd w:val="clear"/>
        <w:outlineLvl w:val="9"/>
        <w:rPr>
          <w:rFonts w:hint="eastAsia" w:ascii="宋体" w:hAnsi="宋体" w:eastAsia="宋体" w:cs="Times New Roman"/>
          <w:bCs/>
          <w:color w:val="auto"/>
          <w:kern w:val="0"/>
          <w:szCs w:val="21"/>
          <w:highlight w:val="none"/>
          <w:lang w:val="en-US" w:bidi="ar-SA"/>
        </w:rPr>
      </w:pPr>
    </w:p>
    <w:p>
      <w:pPr>
        <w:shd w:val="clear"/>
        <w:spacing w:line="360" w:lineRule="auto"/>
        <w:ind w:left="120"/>
        <w:outlineLvl w:val="9"/>
        <w:rPr>
          <w:rFonts w:hint="eastAsia" w:ascii="黑体" w:hAnsi="黑体" w:eastAsia="黑体" w:cs="Times New Roman"/>
          <w:bCs/>
          <w:color w:val="auto"/>
          <w:kern w:val="0"/>
          <w:sz w:val="24"/>
          <w:szCs w:val="24"/>
          <w:highlight w:val="none"/>
          <w:lang w:val="en-US" w:bidi="ar-SA"/>
        </w:rPr>
      </w:pPr>
      <w:r>
        <w:rPr>
          <w:rFonts w:hint="eastAsia" w:ascii="黑体" w:hAnsi="黑体" w:eastAsia="黑体" w:cs="Times New Roman"/>
          <w:bCs/>
          <w:color w:val="auto"/>
          <w:kern w:val="0"/>
          <w:sz w:val="24"/>
          <w:szCs w:val="24"/>
          <w:highlight w:val="none"/>
          <w:lang w:val="en-US" w:bidi="ar-SA"/>
        </w:rPr>
        <w:t>备注：1.表格不够可自行延长。</w:t>
      </w:r>
    </w:p>
    <w:p>
      <w:pPr>
        <w:shd w:val="clear"/>
        <w:spacing w:line="360" w:lineRule="auto"/>
        <w:ind w:left="120"/>
        <w:outlineLvl w:val="9"/>
        <w:rPr>
          <w:rFonts w:hint="eastAsia" w:ascii="黑体" w:hAnsi="黑体" w:eastAsia="黑体" w:cs="Times New Roman"/>
          <w:bCs/>
          <w:color w:val="auto"/>
          <w:kern w:val="0"/>
          <w:sz w:val="24"/>
          <w:szCs w:val="24"/>
          <w:highlight w:val="none"/>
          <w:lang w:val="en-US" w:bidi="ar-SA"/>
        </w:rPr>
      </w:pPr>
      <w:r>
        <w:rPr>
          <w:rFonts w:hint="eastAsia" w:ascii="黑体" w:hAnsi="黑体" w:eastAsia="黑体" w:cs="Times New Roman"/>
          <w:bCs/>
          <w:color w:val="auto"/>
          <w:kern w:val="0"/>
          <w:sz w:val="24"/>
          <w:szCs w:val="24"/>
          <w:highlight w:val="none"/>
          <w:lang w:val="en-US" w:bidi="ar-SA"/>
        </w:rPr>
        <w:t xml:space="preserve">    2.上表人员为本项目评分点中的人员，须提供</w:t>
      </w:r>
      <w:r>
        <w:rPr>
          <w:rFonts w:hint="eastAsia" w:ascii="宋体" w:hAnsi="宋体" w:eastAsia="宋体" w:cs="宋体"/>
          <w:bCs/>
          <w:color w:val="auto"/>
          <w:kern w:val="0"/>
          <w:sz w:val="24"/>
          <w:szCs w:val="20"/>
          <w:highlight w:val="none"/>
          <w:lang w:val="en-US" w:bidi="ar-SA"/>
        </w:rPr>
        <w:t>为其缴纳的社保收缴部门出具的</w:t>
      </w:r>
      <w:r>
        <w:rPr>
          <w:rFonts w:hint="eastAsia" w:ascii="宋体" w:hAnsi="宋体" w:eastAsia="宋体" w:cs="宋体"/>
          <w:bCs/>
          <w:color w:val="auto"/>
          <w:kern w:val="0"/>
          <w:sz w:val="24"/>
          <w:szCs w:val="20"/>
          <w:highlight w:val="none"/>
          <w:lang w:val="en-US" w:eastAsia="zh-CN" w:bidi="ar-SA"/>
        </w:rPr>
        <w:t>近</w:t>
      </w:r>
      <w:r>
        <w:rPr>
          <w:rFonts w:hint="eastAsia" w:ascii="宋体" w:hAnsi="宋体" w:eastAsia="宋体" w:cs="宋体"/>
          <w:bCs/>
          <w:color w:val="auto"/>
          <w:kern w:val="0"/>
          <w:sz w:val="24"/>
          <w:szCs w:val="20"/>
          <w:highlight w:val="none"/>
          <w:lang w:val="en-US" w:bidi="ar-SA"/>
        </w:rPr>
        <w:t>一年中任意一个月份缴纳社保的证明</w:t>
      </w:r>
      <w:r>
        <w:rPr>
          <w:rFonts w:hint="eastAsia" w:ascii="Times New Roman" w:hAnsi="Times New Roman" w:eastAsia="宋体" w:cs="Times New Roman"/>
          <w:color w:val="auto"/>
          <w:kern w:val="0"/>
          <w:sz w:val="24"/>
          <w:szCs w:val="20"/>
          <w:highlight w:val="none"/>
          <w:lang w:val="en-US" w:bidi="ar-SA"/>
        </w:rPr>
        <w:t>（新公司成立的除外，法定代表人除外）扫描件和证书扫描件</w:t>
      </w:r>
      <w:r>
        <w:rPr>
          <w:rFonts w:hint="eastAsia" w:ascii="黑体" w:hAnsi="黑体" w:eastAsia="黑体" w:cs="Times New Roman"/>
          <w:bCs/>
          <w:color w:val="auto"/>
          <w:kern w:val="0"/>
          <w:sz w:val="24"/>
          <w:szCs w:val="24"/>
          <w:highlight w:val="none"/>
          <w:lang w:val="en-US" w:bidi="ar-SA"/>
        </w:rPr>
        <w:t>。</w:t>
      </w:r>
    </w:p>
    <w:p>
      <w:pPr>
        <w:shd w:val="clear"/>
        <w:spacing w:line="360" w:lineRule="auto"/>
        <w:ind w:left="120" w:firstLine="480"/>
        <w:outlineLvl w:val="9"/>
        <w:rPr>
          <w:rFonts w:hint="eastAsia" w:ascii="黑体" w:hAnsi="黑体" w:eastAsia="黑体" w:cs="Times New Roman"/>
          <w:bCs/>
          <w:color w:val="auto"/>
          <w:kern w:val="0"/>
          <w:sz w:val="24"/>
          <w:szCs w:val="24"/>
          <w:highlight w:val="none"/>
          <w:lang w:val="en-US" w:bidi="ar-SA"/>
        </w:rPr>
      </w:pPr>
      <w:r>
        <w:rPr>
          <w:rFonts w:hint="default" w:ascii="黑体" w:hAnsi="黑体" w:eastAsia="黑体" w:cs="Times New Roman"/>
          <w:bCs/>
          <w:color w:val="auto"/>
          <w:kern w:val="0"/>
          <w:sz w:val="24"/>
          <w:szCs w:val="24"/>
          <w:highlight w:val="none"/>
          <w:lang w:val="en-US" w:bidi="ar-SA"/>
        </w:rPr>
        <w:t>3</w:t>
      </w:r>
      <w:r>
        <w:rPr>
          <w:rFonts w:hint="eastAsia" w:ascii="黑体" w:hAnsi="黑体" w:eastAsia="黑体" w:cs="Times New Roman"/>
          <w:bCs/>
          <w:color w:val="auto"/>
          <w:kern w:val="0"/>
          <w:sz w:val="24"/>
          <w:szCs w:val="24"/>
          <w:highlight w:val="none"/>
          <w:lang w:val="en-US" w:bidi="ar-SA"/>
        </w:rPr>
        <w:t>.以上材料请附本表之后。</w:t>
      </w:r>
    </w:p>
    <w:p>
      <w:pPr>
        <w:shd w:val="clear"/>
        <w:spacing w:line="360" w:lineRule="auto"/>
        <w:jc w:val="center"/>
        <w:outlineLvl w:val="9"/>
        <w:rPr>
          <w:rFonts w:hint="default" w:ascii="Times New Roman" w:hAnsi="Times New Roman" w:eastAsia="宋体" w:cs="Times New Roman"/>
          <w:b/>
          <w:color w:val="auto"/>
          <w:kern w:val="0"/>
          <w:sz w:val="28"/>
          <w:szCs w:val="28"/>
          <w:highlight w:val="none"/>
          <w:lang w:val="en-US" w:bidi="ar-SA"/>
        </w:rPr>
      </w:pPr>
    </w:p>
    <w:p>
      <w:pPr>
        <w:shd w:val="clear"/>
        <w:spacing w:line="360" w:lineRule="auto"/>
        <w:jc w:val="center"/>
        <w:outlineLvl w:val="9"/>
        <w:rPr>
          <w:rFonts w:hint="default" w:ascii="Times New Roman" w:hAnsi="Times New Roman" w:eastAsia="宋体" w:cs="Times New Roman"/>
          <w:bCs/>
          <w:color w:val="auto"/>
          <w:kern w:val="0"/>
          <w:sz w:val="28"/>
          <w:szCs w:val="28"/>
          <w:highlight w:val="none"/>
          <w:lang w:val="en-US" w:bidi="ar-SA"/>
        </w:rPr>
      </w:pPr>
      <w:r>
        <w:rPr>
          <w:rFonts w:hint="eastAsia" w:ascii="Times New Roman" w:hAnsi="Times New Roman" w:eastAsia="宋体" w:cs="Times New Roman"/>
          <w:bCs/>
          <w:color w:val="auto"/>
          <w:kern w:val="0"/>
          <w:sz w:val="28"/>
          <w:szCs w:val="28"/>
          <w:highlight w:val="none"/>
          <w:lang w:val="en-US" w:bidi="ar-SA"/>
        </w:rPr>
        <w:t>（3）项目设备配备表</w:t>
      </w:r>
    </w:p>
    <w:p>
      <w:pPr>
        <w:shd w:val="clear"/>
        <w:spacing w:line="360" w:lineRule="auto"/>
        <w:ind w:firstLine="480"/>
        <w:outlineLvl w:val="9"/>
        <w:rPr>
          <w:rFonts w:hint="default" w:ascii="黑体" w:hAnsi="Times New Roman" w:eastAsia="黑体" w:cs="Times New Roman"/>
          <w:bCs/>
          <w:color w:val="auto"/>
          <w:kern w:val="0"/>
          <w:sz w:val="24"/>
          <w:szCs w:val="24"/>
          <w:highlight w:val="none"/>
          <w:lang w:val="en-US" w:bidi="ar-SA"/>
        </w:rPr>
      </w:pPr>
      <w:r>
        <w:rPr>
          <w:rFonts w:hint="eastAsia" w:ascii="黑体" w:hAnsi="Times New Roman" w:eastAsia="黑体" w:cs="Times New Roman"/>
          <w:bCs/>
          <w:color w:val="auto"/>
          <w:kern w:val="0"/>
          <w:sz w:val="24"/>
          <w:szCs w:val="24"/>
          <w:highlight w:val="none"/>
          <w:lang w:val="en-US" w:bidi="ar-SA"/>
        </w:rPr>
        <w:t>项目编号：</w:t>
      </w:r>
    </w:p>
    <w:tbl>
      <w:tblPr>
        <w:tblStyle w:val="82"/>
        <w:tblW w:w="85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1"/>
        <w:gridCol w:w="1704"/>
        <w:gridCol w:w="1304"/>
        <w:gridCol w:w="959"/>
        <w:gridCol w:w="1066"/>
        <w:gridCol w:w="1332"/>
        <w:gridCol w:w="12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971" w:type="dxa"/>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r>
              <w:rPr>
                <w:rFonts w:hint="eastAsia" w:ascii="宋体" w:hAnsi="宋体" w:eastAsia="宋体" w:cs="Times New Roman"/>
                <w:color w:val="auto"/>
                <w:kern w:val="0"/>
                <w:sz w:val="24"/>
                <w:szCs w:val="20"/>
                <w:highlight w:val="none"/>
                <w:lang w:val="en-US" w:bidi="ar-SA"/>
              </w:rPr>
              <w:t>序号</w:t>
            </w:r>
          </w:p>
        </w:tc>
        <w:tc>
          <w:tcPr>
            <w:tcW w:w="1704" w:type="dxa"/>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r>
              <w:rPr>
                <w:rFonts w:hint="eastAsia" w:ascii="宋体" w:hAnsi="宋体" w:eastAsia="宋体" w:cs="Times New Roman"/>
                <w:color w:val="auto"/>
                <w:kern w:val="0"/>
                <w:sz w:val="24"/>
                <w:szCs w:val="20"/>
                <w:highlight w:val="none"/>
                <w:lang w:val="en-US" w:bidi="ar-SA"/>
              </w:rPr>
              <w:t>设备名称</w:t>
            </w:r>
          </w:p>
        </w:tc>
        <w:tc>
          <w:tcPr>
            <w:tcW w:w="1304" w:type="dxa"/>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r>
              <w:rPr>
                <w:rFonts w:hint="eastAsia" w:ascii="宋体" w:hAnsi="宋体" w:eastAsia="宋体" w:cs="Times New Roman"/>
                <w:color w:val="auto"/>
                <w:kern w:val="0"/>
                <w:sz w:val="24"/>
                <w:szCs w:val="20"/>
                <w:highlight w:val="none"/>
                <w:lang w:val="en-US" w:bidi="ar-SA"/>
              </w:rPr>
              <w:t>型号</w:t>
            </w:r>
          </w:p>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r>
              <w:rPr>
                <w:rFonts w:hint="eastAsia" w:ascii="宋体" w:hAnsi="宋体" w:eastAsia="宋体" w:cs="Times New Roman"/>
                <w:color w:val="auto"/>
                <w:kern w:val="0"/>
                <w:sz w:val="24"/>
                <w:szCs w:val="20"/>
                <w:highlight w:val="none"/>
                <w:lang w:val="en-US" w:bidi="ar-SA"/>
              </w:rPr>
              <w:t>规格</w:t>
            </w:r>
          </w:p>
        </w:tc>
        <w:tc>
          <w:tcPr>
            <w:tcW w:w="959" w:type="dxa"/>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r>
              <w:rPr>
                <w:rFonts w:hint="eastAsia" w:ascii="宋体" w:hAnsi="宋体" w:eastAsia="宋体" w:cs="Times New Roman"/>
                <w:color w:val="auto"/>
                <w:kern w:val="0"/>
                <w:sz w:val="24"/>
                <w:szCs w:val="20"/>
                <w:highlight w:val="none"/>
                <w:lang w:val="en-US" w:bidi="ar-SA"/>
              </w:rPr>
              <w:t>数量</w:t>
            </w:r>
          </w:p>
        </w:tc>
        <w:tc>
          <w:tcPr>
            <w:tcW w:w="1066" w:type="dxa"/>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r>
              <w:rPr>
                <w:rFonts w:hint="eastAsia" w:ascii="宋体" w:hAnsi="宋体" w:eastAsia="宋体" w:cs="Times New Roman"/>
                <w:color w:val="auto"/>
                <w:kern w:val="0"/>
                <w:sz w:val="24"/>
                <w:szCs w:val="20"/>
                <w:highlight w:val="none"/>
                <w:lang w:val="en-US" w:bidi="ar-SA"/>
              </w:rPr>
              <w:t>自备</w:t>
            </w:r>
          </w:p>
        </w:tc>
        <w:tc>
          <w:tcPr>
            <w:tcW w:w="1332" w:type="dxa"/>
            <w:tcBorders>
              <w:right w:val="single" w:color="auto" w:sz="4" w:space="0"/>
            </w:tcBorders>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r>
              <w:rPr>
                <w:rFonts w:hint="eastAsia" w:ascii="宋体" w:hAnsi="宋体" w:eastAsia="宋体" w:cs="Times New Roman"/>
                <w:color w:val="auto"/>
                <w:kern w:val="0"/>
                <w:sz w:val="24"/>
                <w:szCs w:val="20"/>
                <w:highlight w:val="none"/>
                <w:lang w:val="en-US" w:bidi="ar-SA"/>
              </w:rPr>
              <w:t>租赁</w:t>
            </w:r>
          </w:p>
        </w:tc>
        <w:tc>
          <w:tcPr>
            <w:tcW w:w="1259" w:type="dxa"/>
            <w:tcBorders>
              <w:left w:val="single" w:color="auto" w:sz="4" w:space="0"/>
            </w:tcBorders>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r>
              <w:rPr>
                <w:rFonts w:hint="eastAsia" w:ascii="宋体" w:hAnsi="宋体" w:eastAsia="宋体" w:cs="Times New Roman"/>
                <w:color w:val="auto"/>
                <w:kern w:val="0"/>
                <w:sz w:val="24"/>
                <w:szCs w:val="20"/>
                <w:highlight w:val="none"/>
                <w:lang w:val="en-US"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971" w:type="dxa"/>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r>
              <w:rPr>
                <w:rFonts w:hint="eastAsia" w:ascii="宋体" w:hAnsi="宋体" w:eastAsia="宋体" w:cs="Times New Roman"/>
                <w:color w:val="auto"/>
                <w:kern w:val="0"/>
                <w:sz w:val="24"/>
                <w:szCs w:val="20"/>
                <w:highlight w:val="none"/>
                <w:lang w:val="en-US" w:bidi="ar-SA"/>
              </w:rPr>
              <w:t>1</w:t>
            </w:r>
          </w:p>
        </w:tc>
        <w:tc>
          <w:tcPr>
            <w:tcW w:w="1704" w:type="dxa"/>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c>
          <w:tcPr>
            <w:tcW w:w="1304" w:type="dxa"/>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c>
          <w:tcPr>
            <w:tcW w:w="959" w:type="dxa"/>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c>
          <w:tcPr>
            <w:tcW w:w="1066" w:type="dxa"/>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c>
          <w:tcPr>
            <w:tcW w:w="1332" w:type="dxa"/>
            <w:tcBorders>
              <w:right w:val="single" w:color="auto" w:sz="4" w:space="0"/>
            </w:tcBorders>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c>
          <w:tcPr>
            <w:tcW w:w="1259" w:type="dxa"/>
            <w:tcBorders>
              <w:left w:val="single" w:color="auto" w:sz="4" w:space="0"/>
            </w:tcBorders>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971" w:type="dxa"/>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r>
              <w:rPr>
                <w:rFonts w:hint="eastAsia" w:ascii="宋体" w:hAnsi="宋体" w:eastAsia="宋体" w:cs="Times New Roman"/>
                <w:color w:val="auto"/>
                <w:kern w:val="0"/>
                <w:sz w:val="24"/>
                <w:szCs w:val="20"/>
                <w:highlight w:val="none"/>
                <w:lang w:val="en-US" w:bidi="ar-SA"/>
              </w:rPr>
              <w:t>2</w:t>
            </w:r>
          </w:p>
        </w:tc>
        <w:tc>
          <w:tcPr>
            <w:tcW w:w="1704" w:type="dxa"/>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c>
          <w:tcPr>
            <w:tcW w:w="1304" w:type="dxa"/>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c>
          <w:tcPr>
            <w:tcW w:w="959" w:type="dxa"/>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c>
          <w:tcPr>
            <w:tcW w:w="1066" w:type="dxa"/>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c>
          <w:tcPr>
            <w:tcW w:w="1332" w:type="dxa"/>
            <w:tcBorders>
              <w:right w:val="single" w:color="auto" w:sz="4" w:space="0"/>
            </w:tcBorders>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c>
          <w:tcPr>
            <w:tcW w:w="1259" w:type="dxa"/>
            <w:tcBorders>
              <w:left w:val="single" w:color="auto" w:sz="4" w:space="0"/>
            </w:tcBorders>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971" w:type="dxa"/>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r>
              <w:rPr>
                <w:rFonts w:hint="eastAsia" w:ascii="宋体" w:hAnsi="宋体" w:eastAsia="宋体" w:cs="Times New Roman"/>
                <w:color w:val="auto"/>
                <w:kern w:val="0"/>
                <w:sz w:val="24"/>
                <w:szCs w:val="20"/>
                <w:highlight w:val="none"/>
                <w:lang w:val="en-US" w:bidi="ar-SA"/>
              </w:rPr>
              <w:t>3</w:t>
            </w:r>
          </w:p>
        </w:tc>
        <w:tc>
          <w:tcPr>
            <w:tcW w:w="1704" w:type="dxa"/>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c>
          <w:tcPr>
            <w:tcW w:w="1304" w:type="dxa"/>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c>
          <w:tcPr>
            <w:tcW w:w="959" w:type="dxa"/>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c>
          <w:tcPr>
            <w:tcW w:w="1066" w:type="dxa"/>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c>
          <w:tcPr>
            <w:tcW w:w="1332" w:type="dxa"/>
            <w:tcBorders>
              <w:right w:val="single" w:color="auto" w:sz="4" w:space="0"/>
            </w:tcBorders>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c>
          <w:tcPr>
            <w:tcW w:w="1259" w:type="dxa"/>
            <w:tcBorders>
              <w:left w:val="single" w:color="auto" w:sz="4" w:space="0"/>
            </w:tcBorders>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971" w:type="dxa"/>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r>
              <w:rPr>
                <w:rFonts w:hint="eastAsia" w:ascii="宋体" w:hAnsi="宋体" w:eastAsia="宋体" w:cs="Times New Roman"/>
                <w:color w:val="auto"/>
                <w:kern w:val="0"/>
                <w:sz w:val="24"/>
                <w:szCs w:val="20"/>
                <w:highlight w:val="none"/>
                <w:lang w:val="en-US" w:bidi="ar-SA"/>
              </w:rPr>
              <w:t>...</w:t>
            </w:r>
          </w:p>
        </w:tc>
        <w:tc>
          <w:tcPr>
            <w:tcW w:w="1704" w:type="dxa"/>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c>
          <w:tcPr>
            <w:tcW w:w="1304" w:type="dxa"/>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c>
          <w:tcPr>
            <w:tcW w:w="959" w:type="dxa"/>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c>
          <w:tcPr>
            <w:tcW w:w="1066" w:type="dxa"/>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c>
          <w:tcPr>
            <w:tcW w:w="1332" w:type="dxa"/>
            <w:tcBorders>
              <w:right w:val="single" w:color="auto" w:sz="4" w:space="0"/>
            </w:tcBorders>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c>
          <w:tcPr>
            <w:tcW w:w="1259" w:type="dxa"/>
            <w:tcBorders>
              <w:left w:val="single" w:color="auto" w:sz="4" w:space="0"/>
            </w:tcBorders>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971" w:type="dxa"/>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c>
          <w:tcPr>
            <w:tcW w:w="1704" w:type="dxa"/>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c>
          <w:tcPr>
            <w:tcW w:w="1304" w:type="dxa"/>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c>
          <w:tcPr>
            <w:tcW w:w="959" w:type="dxa"/>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c>
          <w:tcPr>
            <w:tcW w:w="1066" w:type="dxa"/>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c>
          <w:tcPr>
            <w:tcW w:w="1332" w:type="dxa"/>
            <w:tcBorders>
              <w:right w:val="single" w:color="auto" w:sz="4" w:space="0"/>
            </w:tcBorders>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c>
          <w:tcPr>
            <w:tcW w:w="1259" w:type="dxa"/>
            <w:tcBorders>
              <w:left w:val="single" w:color="auto" w:sz="4" w:space="0"/>
            </w:tcBorders>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971" w:type="dxa"/>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c>
          <w:tcPr>
            <w:tcW w:w="1704" w:type="dxa"/>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c>
          <w:tcPr>
            <w:tcW w:w="1304" w:type="dxa"/>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c>
          <w:tcPr>
            <w:tcW w:w="959" w:type="dxa"/>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c>
          <w:tcPr>
            <w:tcW w:w="1066" w:type="dxa"/>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c>
          <w:tcPr>
            <w:tcW w:w="1332" w:type="dxa"/>
            <w:tcBorders>
              <w:right w:val="single" w:color="auto" w:sz="4" w:space="0"/>
            </w:tcBorders>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c>
          <w:tcPr>
            <w:tcW w:w="1259" w:type="dxa"/>
            <w:tcBorders>
              <w:left w:val="single" w:color="auto" w:sz="4" w:space="0"/>
            </w:tcBorders>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971" w:type="dxa"/>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c>
          <w:tcPr>
            <w:tcW w:w="1704" w:type="dxa"/>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c>
          <w:tcPr>
            <w:tcW w:w="1304" w:type="dxa"/>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c>
          <w:tcPr>
            <w:tcW w:w="959" w:type="dxa"/>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c>
          <w:tcPr>
            <w:tcW w:w="1066" w:type="dxa"/>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c>
          <w:tcPr>
            <w:tcW w:w="1332" w:type="dxa"/>
            <w:tcBorders>
              <w:right w:val="single" w:color="auto" w:sz="4" w:space="0"/>
            </w:tcBorders>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c>
          <w:tcPr>
            <w:tcW w:w="1259" w:type="dxa"/>
            <w:tcBorders>
              <w:left w:val="single" w:color="auto" w:sz="4" w:space="0"/>
            </w:tcBorders>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971" w:type="dxa"/>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c>
          <w:tcPr>
            <w:tcW w:w="1704" w:type="dxa"/>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c>
          <w:tcPr>
            <w:tcW w:w="1304" w:type="dxa"/>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c>
          <w:tcPr>
            <w:tcW w:w="959" w:type="dxa"/>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c>
          <w:tcPr>
            <w:tcW w:w="1066" w:type="dxa"/>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c>
          <w:tcPr>
            <w:tcW w:w="1332" w:type="dxa"/>
            <w:tcBorders>
              <w:right w:val="single" w:color="auto" w:sz="4" w:space="0"/>
            </w:tcBorders>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c>
          <w:tcPr>
            <w:tcW w:w="1259" w:type="dxa"/>
            <w:tcBorders>
              <w:left w:val="single" w:color="auto" w:sz="4" w:space="0"/>
            </w:tcBorders>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971" w:type="dxa"/>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c>
          <w:tcPr>
            <w:tcW w:w="1704" w:type="dxa"/>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c>
          <w:tcPr>
            <w:tcW w:w="1304" w:type="dxa"/>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c>
          <w:tcPr>
            <w:tcW w:w="959" w:type="dxa"/>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c>
          <w:tcPr>
            <w:tcW w:w="1066" w:type="dxa"/>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c>
          <w:tcPr>
            <w:tcW w:w="1332" w:type="dxa"/>
            <w:tcBorders>
              <w:right w:val="single" w:color="auto" w:sz="4" w:space="0"/>
            </w:tcBorders>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c>
          <w:tcPr>
            <w:tcW w:w="1259" w:type="dxa"/>
            <w:tcBorders>
              <w:left w:val="single" w:color="auto" w:sz="4" w:space="0"/>
            </w:tcBorders>
            <w:noWrap w:val="0"/>
            <w:vAlign w:val="center"/>
          </w:tcPr>
          <w:p>
            <w:pPr>
              <w:shd w:val="clear"/>
              <w:spacing w:line="420" w:lineRule="exact"/>
              <w:jc w:val="center"/>
              <w:outlineLvl w:val="9"/>
              <w:rPr>
                <w:rFonts w:hint="eastAsia" w:ascii="宋体" w:hAnsi="宋体" w:eastAsia="宋体" w:cs="Times New Roman"/>
                <w:color w:val="auto"/>
                <w:kern w:val="0"/>
                <w:sz w:val="24"/>
                <w:szCs w:val="20"/>
                <w:highlight w:val="none"/>
                <w:lang w:val="en-US" w:bidi="ar-SA"/>
              </w:rPr>
            </w:pPr>
          </w:p>
        </w:tc>
      </w:tr>
    </w:tbl>
    <w:p>
      <w:pPr>
        <w:shd w:val="clear"/>
        <w:spacing w:line="360" w:lineRule="auto"/>
        <w:outlineLvl w:val="9"/>
        <w:rPr>
          <w:rFonts w:hint="default" w:ascii="黑体" w:hAnsi="Times New Roman" w:eastAsia="黑体" w:cs="Times New Roman"/>
          <w:bCs/>
          <w:color w:val="auto"/>
          <w:kern w:val="0"/>
          <w:sz w:val="24"/>
          <w:szCs w:val="24"/>
          <w:highlight w:val="none"/>
          <w:lang w:val="en-US" w:bidi="ar-SA"/>
        </w:rPr>
      </w:pPr>
      <w:r>
        <w:rPr>
          <w:rFonts w:hint="eastAsia" w:ascii="黑体" w:hAnsi="Times New Roman" w:eastAsia="黑体" w:cs="Times New Roman"/>
          <w:bCs/>
          <w:color w:val="auto"/>
          <w:kern w:val="0"/>
          <w:sz w:val="24"/>
          <w:szCs w:val="24"/>
          <w:highlight w:val="none"/>
          <w:lang w:val="en-US" w:bidi="ar-SA"/>
        </w:rPr>
        <w:t>投标供应商名称（盖章）：</w:t>
      </w:r>
    </w:p>
    <w:p>
      <w:pPr>
        <w:pStyle w:val="5"/>
        <w:shd w:val="clear"/>
        <w:bidi w:val="0"/>
        <w:rPr>
          <w:rFonts w:hint="eastAsia" w:ascii="黑体" w:hAnsi="宋体" w:eastAsia="黑体" w:cs="Times New Roman"/>
          <w:bCs/>
          <w:color w:val="auto"/>
          <w:kern w:val="0"/>
          <w:sz w:val="24"/>
          <w:szCs w:val="20"/>
          <w:highlight w:val="none"/>
          <w:lang w:val="en-US" w:bidi="ar-SA"/>
        </w:rPr>
      </w:pPr>
      <w:r>
        <w:rPr>
          <w:rFonts w:hint="eastAsia" w:ascii="黑体" w:hAnsi="宋体" w:eastAsia="黑体" w:cs="Times New Roman"/>
          <w:bCs/>
          <w:color w:val="auto"/>
          <w:kern w:val="0"/>
          <w:sz w:val="24"/>
          <w:szCs w:val="24"/>
          <w:highlight w:val="none"/>
          <w:lang w:val="en-US" w:bidi="ar-SA"/>
        </w:rPr>
        <w:br w:type="page" w:clear="all"/>
      </w:r>
      <w:r>
        <w:rPr>
          <w:rStyle w:val="521"/>
          <w:rFonts w:hint="eastAsia"/>
          <w:b/>
          <w:bCs/>
          <w:color w:val="auto"/>
          <w:highlight w:val="none"/>
          <w:lang w:val="en-US"/>
        </w:rPr>
        <w:t>投标供应商基本情况声明</w:t>
      </w:r>
    </w:p>
    <w:p>
      <w:pPr>
        <w:shd w:val="clear"/>
        <w:spacing w:line="460" w:lineRule="exact"/>
        <w:jc w:val="center"/>
        <w:outlineLvl w:val="9"/>
        <w:rPr>
          <w:rFonts w:hint="eastAsia" w:ascii="宋体" w:hAnsi="宋体" w:eastAsia="宋体" w:cs="Times New Roman"/>
          <w:color w:val="auto"/>
          <w:kern w:val="0"/>
          <w:sz w:val="24"/>
          <w:szCs w:val="20"/>
          <w:highlight w:val="none"/>
          <w:lang w:val="en-US" w:bidi="ar-SA"/>
        </w:rPr>
      </w:pPr>
      <w:r>
        <w:rPr>
          <w:rFonts w:hint="eastAsia" w:ascii="宋体" w:hAnsi="宋体" w:eastAsia="宋体" w:cs="Times New Roman"/>
          <w:color w:val="auto"/>
          <w:kern w:val="0"/>
          <w:sz w:val="24"/>
          <w:szCs w:val="20"/>
          <w:highlight w:val="none"/>
          <w:lang w:val="en-US" w:bidi="ar-SA"/>
        </w:rPr>
        <w:t>（内容写不完的栏目可相应扩展）</w:t>
      </w:r>
    </w:p>
    <w:p>
      <w:pPr>
        <w:widowControl w:val="0"/>
        <w:shd w:val="clear"/>
        <w:ind w:firstLine="480"/>
        <w:jc w:val="both"/>
        <w:outlineLvl w:val="9"/>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投标供应商情况表1</w:t>
      </w:r>
    </w:p>
    <w:p>
      <w:pPr>
        <w:widowControl w:val="0"/>
        <w:shd w:val="clear"/>
        <w:ind w:firstLine="480"/>
        <w:jc w:val="both"/>
        <w:outlineLvl w:val="9"/>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单位名称（盖章）</w:t>
      </w:r>
    </w:p>
    <w:tbl>
      <w:tblPr>
        <w:tblStyle w:val="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0"/>
        <w:gridCol w:w="2110"/>
        <w:gridCol w:w="149"/>
        <w:gridCol w:w="1757"/>
        <w:gridCol w:w="26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0" w:type="dxa"/>
            <w:noWrap/>
          </w:tcPr>
          <w:p>
            <w:pPr>
              <w:widowControl w:val="0"/>
              <w:shd w:val="clear"/>
              <w:spacing w:line="400" w:lineRule="exact"/>
              <w:ind w:firstLine="0"/>
              <w:jc w:val="both"/>
              <w:outlineLvl w:val="9"/>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法定代表人</w:t>
            </w:r>
          </w:p>
        </w:tc>
        <w:tc>
          <w:tcPr>
            <w:tcW w:w="2259" w:type="dxa"/>
            <w:gridSpan w:val="2"/>
            <w:noWrap/>
          </w:tcPr>
          <w:p>
            <w:pPr>
              <w:widowControl w:val="0"/>
              <w:shd w:val="clear"/>
              <w:spacing w:line="400" w:lineRule="exact"/>
              <w:ind w:firstLine="0"/>
              <w:jc w:val="both"/>
              <w:outlineLvl w:val="9"/>
              <w:rPr>
                <w:rFonts w:hint="eastAsia" w:ascii="宋体" w:hAnsi="宋体" w:eastAsia="宋体" w:cs="Times New Roman"/>
                <w:color w:val="auto"/>
                <w:kern w:val="2"/>
                <w:sz w:val="24"/>
                <w:szCs w:val="24"/>
                <w:highlight w:val="none"/>
                <w:lang w:val="en-US" w:eastAsia="zh-CN" w:bidi="ar-SA"/>
              </w:rPr>
            </w:pPr>
          </w:p>
        </w:tc>
        <w:tc>
          <w:tcPr>
            <w:tcW w:w="1757" w:type="dxa"/>
            <w:noWrap/>
          </w:tcPr>
          <w:p>
            <w:pPr>
              <w:widowControl w:val="0"/>
              <w:shd w:val="clear"/>
              <w:spacing w:line="400" w:lineRule="exact"/>
              <w:ind w:firstLine="0"/>
              <w:jc w:val="both"/>
              <w:outlineLvl w:val="9"/>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成立日期</w:t>
            </w:r>
          </w:p>
        </w:tc>
        <w:tc>
          <w:tcPr>
            <w:tcW w:w="2601" w:type="dxa"/>
            <w:noWrap/>
          </w:tcPr>
          <w:p>
            <w:pPr>
              <w:widowControl w:val="0"/>
              <w:shd w:val="clear"/>
              <w:spacing w:line="400" w:lineRule="exact"/>
              <w:ind w:firstLine="0"/>
              <w:jc w:val="both"/>
              <w:outlineLvl w:val="9"/>
              <w:rPr>
                <w:rFonts w:hint="eastAsia" w:ascii="宋体" w:hAnsi="宋体" w:eastAsia="宋体" w:cs="Times New Roman"/>
                <w:color w:val="auto"/>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0" w:type="dxa"/>
            <w:noWrap/>
          </w:tcPr>
          <w:p>
            <w:pPr>
              <w:widowControl w:val="0"/>
              <w:shd w:val="clear"/>
              <w:spacing w:line="400" w:lineRule="exact"/>
              <w:ind w:firstLine="0"/>
              <w:jc w:val="both"/>
              <w:outlineLvl w:val="9"/>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企业地址</w:t>
            </w:r>
          </w:p>
        </w:tc>
        <w:tc>
          <w:tcPr>
            <w:tcW w:w="2259" w:type="dxa"/>
            <w:gridSpan w:val="2"/>
            <w:noWrap/>
          </w:tcPr>
          <w:p>
            <w:pPr>
              <w:widowControl w:val="0"/>
              <w:shd w:val="clear"/>
              <w:spacing w:line="400" w:lineRule="exact"/>
              <w:ind w:firstLine="0"/>
              <w:jc w:val="both"/>
              <w:outlineLvl w:val="9"/>
              <w:rPr>
                <w:rFonts w:hint="eastAsia" w:ascii="宋体" w:hAnsi="宋体" w:eastAsia="宋体" w:cs="Times New Roman"/>
                <w:color w:val="auto"/>
                <w:kern w:val="2"/>
                <w:sz w:val="24"/>
                <w:szCs w:val="24"/>
                <w:highlight w:val="none"/>
                <w:lang w:val="en-US" w:eastAsia="zh-CN" w:bidi="ar-SA"/>
              </w:rPr>
            </w:pPr>
          </w:p>
        </w:tc>
        <w:tc>
          <w:tcPr>
            <w:tcW w:w="1757" w:type="dxa"/>
            <w:noWrap/>
          </w:tcPr>
          <w:p>
            <w:pPr>
              <w:widowControl w:val="0"/>
              <w:shd w:val="clear"/>
              <w:spacing w:line="400" w:lineRule="exact"/>
              <w:ind w:firstLine="0"/>
              <w:jc w:val="both"/>
              <w:outlineLvl w:val="9"/>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注册资本</w:t>
            </w:r>
          </w:p>
        </w:tc>
        <w:tc>
          <w:tcPr>
            <w:tcW w:w="2601" w:type="dxa"/>
            <w:noWrap/>
          </w:tcPr>
          <w:p>
            <w:pPr>
              <w:widowControl w:val="0"/>
              <w:shd w:val="clear"/>
              <w:spacing w:line="400" w:lineRule="exact"/>
              <w:ind w:firstLine="0"/>
              <w:jc w:val="both"/>
              <w:outlineLvl w:val="9"/>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0" w:type="dxa"/>
            <w:noWrap/>
          </w:tcPr>
          <w:p>
            <w:pPr>
              <w:widowControl w:val="0"/>
              <w:shd w:val="clear"/>
              <w:spacing w:line="400" w:lineRule="exact"/>
              <w:ind w:firstLine="0"/>
              <w:jc w:val="both"/>
              <w:outlineLvl w:val="9"/>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经营范围</w:t>
            </w:r>
          </w:p>
        </w:tc>
        <w:tc>
          <w:tcPr>
            <w:tcW w:w="6617" w:type="dxa"/>
            <w:gridSpan w:val="4"/>
            <w:noWrap/>
          </w:tcPr>
          <w:p>
            <w:pPr>
              <w:widowControl w:val="0"/>
              <w:shd w:val="clear"/>
              <w:spacing w:line="400" w:lineRule="exact"/>
              <w:ind w:firstLine="0"/>
              <w:jc w:val="both"/>
              <w:outlineLvl w:val="9"/>
              <w:rPr>
                <w:rFonts w:hint="eastAsia" w:ascii="宋体" w:hAnsi="宋体" w:eastAsia="宋体" w:cs="Times New Roman"/>
                <w:color w:val="auto"/>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0" w:type="dxa"/>
            <w:noWrap/>
          </w:tcPr>
          <w:p>
            <w:pPr>
              <w:widowControl w:val="0"/>
              <w:shd w:val="clear"/>
              <w:spacing w:line="400" w:lineRule="exact"/>
              <w:ind w:firstLine="0"/>
              <w:jc w:val="both"/>
              <w:outlineLvl w:val="9"/>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职工人数</w:t>
            </w:r>
          </w:p>
        </w:tc>
        <w:tc>
          <w:tcPr>
            <w:tcW w:w="2110" w:type="dxa"/>
            <w:noWrap/>
          </w:tcPr>
          <w:p>
            <w:pPr>
              <w:widowControl w:val="0"/>
              <w:shd w:val="clear"/>
              <w:spacing w:line="400" w:lineRule="exact"/>
              <w:ind w:firstLine="0"/>
              <w:jc w:val="both"/>
              <w:outlineLvl w:val="9"/>
              <w:rPr>
                <w:rFonts w:hint="eastAsia" w:ascii="宋体" w:hAnsi="宋体" w:eastAsia="宋体" w:cs="Times New Roman"/>
                <w:color w:val="auto"/>
                <w:kern w:val="2"/>
                <w:sz w:val="24"/>
                <w:szCs w:val="24"/>
                <w:highlight w:val="none"/>
                <w:lang w:val="en-US" w:eastAsia="zh-CN" w:bidi="ar-SA"/>
              </w:rPr>
            </w:pPr>
          </w:p>
        </w:tc>
        <w:tc>
          <w:tcPr>
            <w:tcW w:w="4507" w:type="dxa"/>
            <w:gridSpan w:val="3"/>
            <w:noWrap/>
          </w:tcPr>
          <w:p>
            <w:pPr>
              <w:widowControl w:val="0"/>
              <w:shd w:val="clear"/>
              <w:spacing w:line="400" w:lineRule="exact"/>
              <w:ind w:firstLine="0"/>
              <w:jc w:val="both"/>
              <w:outlineLvl w:val="9"/>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其中：</w:t>
            </w:r>
          </w:p>
          <w:p>
            <w:pPr>
              <w:widowControl w:val="0"/>
              <w:shd w:val="clear"/>
              <w:spacing w:line="400" w:lineRule="exact"/>
              <w:ind w:left="478" w:firstLine="0"/>
              <w:jc w:val="both"/>
              <w:outlineLvl w:val="9"/>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中级职称人数、</w:t>
            </w:r>
          </w:p>
          <w:p>
            <w:pPr>
              <w:widowControl w:val="0"/>
              <w:shd w:val="clear"/>
              <w:spacing w:line="400" w:lineRule="exact"/>
              <w:ind w:left="478" w:firstLine="0"/>
              <w:jc w:val="both"/>
              <w:outlineLvl w:val="9"/>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高级职称人数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2510" w:type="dxa"/>
            <w:noWrap/>
          </w:tcPr>
          <w:p>
            <w:pPr>
              <w:widowControl w:val="0"/>
              <w:shd w:val="clear"/>
              <w:spacing w:line="400" w:lineRule="exact"/>
              <w:ind w:firstLine="0"/>
              <w:jc w:val="both"/>
              <w:outlineLvl w:val="9"/>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2025年12月资产总额</w:t>
            </w:r>
          </w:p>
        </w:tc>
        <w:tc>
          <w:tcPr>
            <w:tcW w:w="2110" w:type="dxa"/>
            <w:noWrap/>
          </w:tcPr>
          <w:p>
            <w:pPr>
              <w:widowControl w:val="0"/>
              <w:shd w:val="clear"/>
              <w:spacing w:line="400" w:lineRule="exact"/>
              <w:ind w:firstLine="0"/>
              <w:jc w:val="both"/>
              <w:outlineLvl w:val="9"/>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万元</w:t>
            </w:r>
          </w:p>
        </w:tc>
        <w:tc>
          <w:tcPr>
            <w:tcW w:w="1906" w:type="dxa"/>
            <w:gridSpan w:val="2"/>
            <w:noWrap/>
          </w:tcPr>
          <w:p>
            <w:pPr>
              <w:widowControl w:val="0"/>
              <w:shd w:val="clear"/>
              <w:spacing w:line="400" w:lineRule="exact"/>
              <w:ind w:firstLine="0"/>
              <w:jc w:val="both"/>
              <w:outlineLvl w:val="9"/>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净资产</w:t>
            </w:r>
          </w:p>
        </w:tc>
        <w:tc>
          <w:tcPr>
            <w:tcW w:w="2601" w:type="dxa"/>
            <w:noWrap/>
          </w:tcPr>
          <w:p>
            <w:pPr>
              <w:widowControl w:val="0"/>
              <w:shd w:val="clear"/>
              <w:spacing w:line="400" w:lineRule="exact"/>
              <w:ind w:firstLine="0"/>
              <w:jc w:val="both"/>
              <w:outlineLvl w:val="9"/>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0" w:type="dxa"/>
            <w:noWrap/>
          </w:tcPr>
          <w:p>
            <w:pPr>
              <w:widowControl w:val="0"/>
              <w:shd w:val="clear"/>
              <w:spacing w:line="400" w:lineRule="exact"/>
              <w:ind w:firstLine="0"/>
              <w:jc w:val="both"/>
              <w:outlineLvl w:val="9"/>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2025年12月股东权益</w:t>
            </w:r>
          </w:p>
        </w:tc>
        <w:tc>
          <w:tcPr>
            <w:tcW w:w="2110" w:type="dxa"/>
            <w:noWrap/>
          </w:tcPr>
          <w:p>
            <w:pPr>
              <w:widowControl w:val="0"/>
              <w:shd w:val="clear"/>
              <w:spacing w:line="400" w:lineRule="exact"/>
              <w:ind w:firstLine="0"/>
              <w:jc w:val="both"/>
              <w:outlineLvl w:val="9"/>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万元</w:t>
            </w:r>
          </w:p>
        </w:tc>
        <w:tc>
          <w:tcPr>
            <w:tcW w:w="1906" w:type="dxa"/>
            <w:gridSpan w:val="2"/>
            <w:noWrap/>
          </w:tcPr>
          <w:p>
            <w:pPr>
              <w:widowControl w:val="0"/>
              <w:shd w:val="clear"/>
              <w:spacing w:line="400" w:lineRule="exact"/>
              <w:ind w:firstLine="0"/>
              <w:jc w:val="both"/>
              <w:outlineLvl w:val="9"/>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2025</w:t>
            </w:r>
            <w:r>
              <w:rPr>
                <w:rFonts w:hint="default" w:ascii="宋体" w:hAnsi="宋体" w:eastAsia="宋体" w:cs="Times New Roman"/>
                <w:color w:val="auto"/>
                <w:kern w:val="2"/>
                <w:sz w:val="24"/>
                <w:szCs w:val="24"/>
                <w:highlight w:val="none"/>
                <w:lang w:val="en-US" w:eastAsia="zh-CN" w:bidi="ar-SA"/>
              </w:rPr>
              <w:t>年</w:t>
            </w:r>
            <w:r>
              <w:rPr>
                <w:rFonts w:hint="eastAsia" w:ascii="宋体" w:hAnsi="宋体" w:eastAsia="宋体" w:cs="Times New Roman"/>
                <w:color w:val="auto"/>
                <w:kern w:val="2"/>
                <w:sz w:val="24"/>
                <w:szCs w:val="24"/>
                <w:highlight w:val="none"/>
                <w:lang w:val="en-US" w:eastAsia="zh-CN" w:bidi="ar-SA"/>
              </w:rPr>
              <w:t>业务收入</w:t>
            </w:r>
          </w:p>
        </w:tc>
        <w:tc>
          <w:tcPr>
            <w:tcW w:w="2601" w:type="dxa"/>
            <w:noWrap/>
          </w:tcPr>
          <w:p>
            <w:pPr>
              <w:widowControl w:val="0"/>
              <w:shd w:val="clear"/>
              <w:spacing w:line="400" w:lineRule="exact"/>
              <w:ind w:firstLine="0"/>
              <w:jc w:val="both"/>
              <w:outlineLvl w:val="9"/>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0" w:type="dxa"/>
            <w:noWrap/>
          </w:tcPr>
          <w:p>
            <w:pPr>
              <w:widowControl w:val="0"/>
              <w:shd w:val="clear"/>
              <w:spacing w:line="400" w:lineRule="exact"/>
              <w:ind w:firstLine="0"/>
              <w:jc w:val="both"/>
              <w:outlineLvl w:val="9"/>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2025年实现利润</w:t>
            </w:r>
          </w:p>
        </w:tc>
        <w:tc>
          <w:tcPr>
            <w:tcW w:w="2110" w:type="dxa"/>
            <w:noWrap/>
          </w:tcPr>
          <w:p>
            <w:pPr>
              <w:widowControl w:val="0"/>
              <w:shd w:val="clear"/>
              <w:spacing w:line="400" w:lineRule="exact"/>
              <w:ind w:firstLine="0"/>
              <w:jc w:val="both"/>
              <w:outlineLvl w:val="9"/>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万元</w:t>
            </w:r>
          </w:p>
        </w:tc>
        <w:tc>
          <w:tcPr>
            <w:tcW w:w="1906" w:type="dxa"/>
            <w:gridSpan w:val="2"/>
            <w:noWrap/>
          </w:tcPr>
          <w:p>
            <w:pPr>
              <w:widowControl w:val="0"/>
              <w:shd w:val="clear"/>
              <w:spacing w:line="400" w:lineRule="exact"/>
              <w:ind w:firstLine="0"/>
              <w:jc w:val="both"/>
              <w:outlineLvl w:val="9"/>
              <w:rPr>
                <w:rFonts w:hint="eastAsia" w:ascii="宋体" w:hAnsi="宋体" w:eastAsia="宋体" w:cs="Times New Roman"/>
                <w:color w:val="auto"/>
                <w:kern w:val="2"/>
                <w:sz w:val="24"/>
                <w:szCs w:val="24"/>
                <w:highlight w:val="none"/>
                <w:lang w:val="en-US" w:eastAsia="zh-CN" w:bidi="ar-SA"/>
              </w:rPr>
            </w:pPr>
          </w:p>
        </w:tc>
        <w:tc>
          <w:tcPr>
            <w:tcW w:w="2601" w:type="dxa"/>
            <w:noWrap/>
          </w:tcPr>
          <w:p>
            <w:pPr>
              <w:widowControl w:val="0"/>
              <w:shd w:val="clear"/>
              <w:spacing w:line="400" w:lineRule="exact"/>
              <w:ind w:firstLine="0"/>
              <w:jc w:val="both"/>
              <w:outlineLvl w:val="9"/>
              <w:rPr>
                <w:rFonts w:hint="eastAsia" w:ascii="宋体" w:hAnsi="宋体" w:eastAsia="宋体" w:cs="Times New Roman"/>
                <w:color w:val="auto"/>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0" w:type="dxa"/>
            <w:noWrap/>
          </w:tcPr>
          <w:p>
            <w:pPr>
              <w:widowControl w:val="0"/>
              <w:shd w:val="clear"/>
              <w:spacing w:line="400" w:lineRule="exact"/>
              <w:ind w:firstLine="0"/>
              <w:jc w:val="both"/>
              <w:outlineLvl w:val="9"/>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办公面积</w:t>
            </w:r>
          </w:p>
          <w:p>
            <w:pPr>
              <w:widowControl w:val="0"/>
              <w:shd w:val="clear"/>
              <w:spacing w:line="400" w:lineRule="exact"/>
              <w:ind w:firstLine="0"/>
              <w:jc w:val="both"/>
              <w:outlineLvl w:val="9"/>
              <w:rPr>
                <w:rFonts w:hint="eastAsia" w:ascii="宋体" w:hAnsi="宋体" w:eastAsia="宋体" w:cs="Times New Roman"/>
                <w:color w:val="auto"/>
                <w:kern w:val="2"/>
                <w:sz w:val="24"/>
                <w:szCs w:val="24"/>
                <w:highlight w:val="none"/>
                <w:lang w:val="en-US" w:eastAsia="zh-CN" w:bidi="ar-SA"/>
              </w:rPr>
            </w:pPr>
          </w:p>
        </w:tc>
        <w:tc>
          <w:tcPr>
            <w:tcW w:w="2110" w:type="dxa"/>
            <w:noWrap/>
          </w:tcPr>
          <w:p>
            <w:pPr>
              <w:widowControl w:val="0"/>
              <w:shd w:val="clear"/>
              <w:spacing w:line="400" w:lineRule="exact"/>
              <w:ind w:firstLine="0"/>
              <w:jc w:val="both"/>
              <w:outlineLvl w:val="9"/>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平方米</w:t>
            </w:r>
          </w:p>
        </w:tc>
        <w:tc>
          <w:tcPr>
            <w:tcW w:w="1906" w:type="dxa"/>
            <w:gridSpan w:val="2"/>
            <w:noWrap/>
          </w:tcPr>
          <w:p>
            <w:pPr>
              <w:widowControl w:val="0"/>
              <w:shd w:val="clear"/>
              <w:spacing w:line="400" w:lineRule="exact"/>
              <w:ind w:firstLine="0"/>
              <w:jc w:val="both"/>
              <w:outlineLvl w:val="9"/>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其中：</w:t>
            </w:r>
          </w:p>
        </w:tc>
        <w:tc>
          <w:tcPr>
            <w:tcW w:w="2601" w:type="dxa"/>
            <w:noWrap/>
          </w:tcPr>
          <w:p>
            <w:pPr>
              <w:widowControl w:val="0"/>
              <w:shd w:val="clear"/>
              <w:spacing w:line="400" w:lineRule="exact"/>
              <w:ind w:firstLine="0"/>
              <w:jc w:val="both"/>
              <w:outlineLvl w:val="9"/>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自有面积</w:t>
            </w:r>
            <w:r>
              <w:rPr>
                <w:rFonts w:hint="default" w:ascii="宋体" w:hAnsi="宋体" w:eastAsia="宋体" w:cs="Times New Roman"/>
                <w:color w:val="auto"/>
                <w:kern w:val="2"/>
                <w:sz w:val="24"/>
                <w:szCs w:val="24"/>
                <w:highlight w:val="none"/>
                <w:lang w:val="en-US" w:eastAsia="zh-CN" w:bidi="ar-SA"/>
              </w:rPr>
              <w:t xml:space="preserve">    平方米</w:t>
            </w:r>
          </w:p>
          <w:p>
            <w:pPr>
              <w:widowControl w:val="0"/>
              <w:shd w:val="clear"/>
              <w:spacing w:line="400" w:lineRule="exact"/>
              <w:ind w:firstLine="0"/>
              <w:jc w:val="both"/>
              <w:outlineLvl w:val="9"/>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承租面积</w:t>
            </w:r>
            <w:r>
              <w:rPr>
                <w:rFonts w:hint="default" w:ascii="宋体" w:hAnsi="宋体" w:eastAsia="宋体" w:cs="Times New Roman"/>
                <w:color w:val="auto"/>
                <w:kern w:val="2"/>
                <w:sz w:val="24"/>
                <w:szCs w:val="24"/>
                <w:highlight w:val="none"/>
                <w:lang w:val="en-US" w:eastAsia="zh-CN" w:bidi="ar-SA"/>
              </w:rPr>
              <w:t xml:space="preserve">    平方米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4620" w:type="dxa"/>
            <w:gridSpan w:val="2"/>
            <w:noWrap/>
            <w:vAlign w:val="center"/>
          </w:tcPr>
          <w:p>
            <w:pPr>
              <w:widowControl w:val="0"/>
              <w:shd w:val="clear"/>
              <w:spacing w:line="400" w:lineRule="exact"/>
              <w:ind w:firstLine="0"/>
              <w:jc w:val="both"/>
              <w:outlineLvl w:val="9"/>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单位简历及内设机构情况</w:t>
            </w:r>
          </w:p>
        </w:tc>
        <w:tc>
          <w:tcPr>
            <w:tcW w:w="4507" w:type="dxa"/>
            <w:gridSpan w:val="3"/>
            <w:noWrap/>
          </w:tcPr>
          <w:p>
            <w:pPr>
              <w:widowControl w:val="0"/>
              <w:shd w:val="clear"/>
              <w:spacing w:line="400" w:lineRule="exact"/>
              <w:ind w:firstLine="0"/>
              <w:jc w:val="both"/>
              <w:outlineLvl w:val="9"/>
              <w:rPr>
                <w:rFonts w:hint="eastAsia" w:ascii="宋体" w:hAnsi="宋体" w:eastAsia="宋体" w:cs="Times New Roman"/>
                <w:color w:val="auto"/>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4620" w:type="dxa"/>
            <w:gridSpan w:val="2"/>
            <w:noWrap/>
            <w:vAlign w:val="center"/>
          </w:tcPr>
          <w:p>
            <w:pPr>
              <w:widowControl w:val="0"/>
              <w:shd w:val="clear"/>
              <w:spacing w:line="400" w:lineRule="exact"/>
              <w:ind w:firstLine="0"/>
              <w:jc w:val="both"/>
              <w:outlineLvl w:val="9"/>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单位优势及特长</w:t>
            </w:r>
          </w:p>
        </w:tc>
        <w:tc>
          <w:tcPr>
            <w:tcW w:w="4507" w:type="dxa"/>
            <w:gridSpan w:val="3"/>
            <w:noWrap/>
          </w:tcPr>
          <w:p>
            <w:pPr>
              <w:widowControl w:val="0"/>
              <w:shd w:val="clear"/>
              <w:spacing w:line="400" w:lineRule="exact"/>
              <w:ind w:firstLine="0"/>
              <w:jc w:val="both"/>
              <w:outlineLvl w:val="9"/>
              <w:rPr>
                <w:rFonts w:hint="eastAsia" w:ascii="宋体" w:hAnsi="宋体" w:eastAsia="宋体" w:cs="Times New Roman"/>
                <w:color w:val="auto"/>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0" w:type="dxa"/>
            <w:gridSpan w:val="2"/>
            <w:noWrap/>
            <w:vAlign w:val="center"/>
          </w:tcPr>
          <w:p>
            <w:pPr>
              <w:widowControl w:val="0"/>
              <w:shd w:val="clear"/>
              <w:spacing w:line="400" w:lineRule="exact"/>
              <w:ind w:firstLine="0"/>
              <w:jc w:val="both"/>
              <w:outlineLvl w:val="9"/>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近三年来完成或正在履行的重大合同情况</w:t>
            </w:r>
          </w:p>
        </w:tc>
        <w:tc>
          <w:tcPr>
            <w:tcW w:w="4507" w:type="dxa"/>
            <w:gridSpan w:val="3"/>
            <w:noWrap/>
          </w:tcPr>
          <w:p>
            <w:pPr>
              <w:widowControl w:val="0"/>
              <w:shd w:val="clear"/>
              <w:spacing w:line="400" w:lineRule="exact"/>
              <w:ind w:firstLine="0"/>
              <w:jc w:val="both"/>
              <w:outlineLvl w:val="9"/>
              <w:rPr>
                <w:rFonts w:hint="eastAsia" w:ascii="宋体" w:hAnsi="宋体" w:eastAsia="宋体" w:cs="Times New Roman"/>
                <w:color w:val="auto"/>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0" w:type="dxa"/>
            <w:gridSpan w:val="2"/>
            <w:noWrap/>
            <w:vAlign w:val="center"/>
          </w:tcPr>
          <w:p>
            <w:pPr>
              <w:widowControl w:val="0"/>
              <w:shd w:val="clear"/>
              <w:spacing w:line="400" w:lineRule="exact"/>
              <w:ind w:firstLine="0"/>
              <w:jc w:val="both"/>
              <w:outlineLvl w:val="9"/>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近三年来受行业主管部门考核评价及业主评价意见</w:t>
            </w:r>
          </w:p>
        </w:tc>
        <w:tc>
          <w:tcPr>
            <w:tcW w:w="4507" w:type="dxa"/>
            <w:gridSpan w:val="3"/>
            <w:noWrap/>
          </w:tcPr>
          <w:p>
            <w:pPr>
              <w:widowControl w:val="0"/>
              <w:shd w:val="clear"/>
              <w:spacing w:line="400" w:lineRule="exact"/>
              <w:ind w:firstLine="0"/>
              <w:jc w:val="both"/>
              <w:outlineLvl w:val="9"/>
              <w:rPr>
                <w:rFonts w:hint="eastAsia" w:ascii="宋体" w:hAnsi="宋体" w:eastAsia="宋体" w:cs="Times New Roman"/>
                <w:color w:val="auto"/>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trPr>
        <w:tc>
          <w:tcPr>
            <w:tcW w:w="4620" w:type="dxa"/>
            <w:gridSpan w:val="2"/>
            <w:noWrap/>
            <w:vAlign w:val="center"/>
          </w:tcPr>
          <w:p>
            <w:pPr>
              <w:widowControl w:val="0"/>
              <w:shd w:val="clear"/>
              <w:spacing w:line="400" w:lineRule="exact"/>
              <w:ind w:firstLine="0"/>
              <w:jc w:val="both"/>
              <w:outlineLvl w:val="9"/>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最近</w:t>
            </w:r>
            <w:r>
              <w:rPr>
                <w:rFonts w:hint="default" w:ascii="宋体" w:hAnsi="宋体" w:eastAsia="宋体" w:cs="Times New Roman"/>
                <w:color w:val="auto"/>
                <w:kern w:val="2"/>
                <w:sz w:val="24"/>
                <w:szCs w:val="24"/>
                <w:highlight w:val="none"/>
                <w:lang w:val="en-US" w:eastAsia="zh-CN" w:bidi="ar-SA"/>
              </w:rPr>
              <w:t>3年内有无因</w:t>
            </w:r>
            <w:r>
              <w:rPr>
                <w:rFonts w:hint="eastAsia" w:ascii="宋体" w:hAnsi="宋体" w:eastAsia="宋体" w:cs="Times New Roman"/>
                <w:color w:val="auto"/>
                <w:kern w:val="2"/>
                <w:sz w:val="24"/>
                <w:szCs w:val="24"/>
                <w:highlight w:val="none"/>
                <w:lang w:val="en-US" w:eastAsia="zh-CN" w:bidi="ar-SA"/>
              </w:rPr>
              <w:t>违纪或</w:t>
            </w:r>
            <w:r>
              <w:rPr>
                <w:rFonts w:hint="default" w:ascii="宋体" w:hAnsi="宋体" w:eastAsia="宋体" w:cs="Times New Roman"/>
                <w:color w:val="auto"/>
                <w:kern w:val="2"/>
                <w:sz w:val="24"/>
                <w:szCs w:val="24"/>
                <w:highlight w:val="none"/>
                <w:lang w:val="en-US" w:eastAsia="zh-CN" w:bidi="ar-SA"/>
              </w:rPr>
              <w:t>其他原因被投诉或起诉的情况及说明</w:t>
            </w:r>
          </w:p>
        </w:tc>
        <w:tc>
          <w:tcPr>
            <w:tcW w:w="4507" w:type="dxa"/>
            <w:gridSpan w:val="3"/>
            <w:noWrap/>
          </w:tcPr>
          <w:p>
            <w:pPr>
              <w:widowControl w:val="0"/>
              <w:shd w:val="clear"/>
              <w:spacing w:line="400" w:lineRule="exact"/>
              <w:ind w:firstLine="0"/>
              <w:jc w:val="both"/>
              <w:outlineLvl w:val="9"/>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（包括解决方式和结果）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trPr>
        <w:tc>
          <w:tcPr>
            <w:tcW w:w="4620" w:type="dxa"/>
            <w:gridSpan w:val="2"/>
            <w:noWrap/>
            <w:vAlign w:val="center"/>
          </w:tcPr>
          <w:p>
            <w:pPr>
              <w:widowControl w:val="0"/>
              <w:shd w:val="clear"/>
              <w:spacing w:line="400" w:lineRule="exact"/>
              <w:ind w:firstLine="0"/>
              <w:jc w:val="both"/>
              <w:outlineLvl w:val="9"/>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最近</w:t>
            </w:r>
            <w:r>
              <w:rPr>
                <w:rFonts w:hint="default" w:ascii="宋体" w:hAnsi="宋体" w:eastAsia="宋体" w:cs="Times New Roman"/>
                <w:color w:val="auto"/>
                <w:kern w:val="2"/>
                <w:sz w:val="24"/>
                <w:szCs w:val="24"/>
                <w:highlight w:val="none"/>
                <w:lang w:val="en-US" w:eastAsia="zh-CN" w:bidi="ar-SA"/>
              </w:rPr>
              <w:t>3年内主要负责人有无因经济犯罪被司法机关追究的情况及说明</w:t>
            </w:r>
          </w:p>
        </w:tc>
        <w:tc>
          <w:tcPr>
            <w:tcW w:w="4507" w:type="dxa"/>
            <w:gridSpan w:val="3"/>
            <w:noWrap/>
          </w:tcPr>
          <w:p>
            <w:pPr>
              <w:shd w:val="clear"/>
              <w:spacing w:line="360" w:lineRule="auto"/>
              <w:outlineLvl w:val="9"/>
              <w:rPr>
                <w:rFonts w:hint="eastAsia" w:ascii="宋体" w:hAnsi="宋体" w:eastAsia="宋体" w:cs="Times New Roman"/>
                <w:color w:val="auto"/>
                <w:kern w:val="0"/>
                <w:sz w:val="24"/>
                <w:szCs w:val="20"/>
                <w:highlight w:val="none"/>
                <w:lang w:val="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trPr>
        <w:tc>
          <w:tcPr>
            <w:tcW w:w="4620" w:type="dxa"/>
            <w:gridSpan w:val="2"/>
            <w:noWrap/>
            <w:vAlign w:val="center"/>
          </w:tcPr>
          <w:p>
            <w:pPr>
              <w:widowControl w:val="0"/>
              <w:shd w:val="clear"/>
              <w:spacing w:line="400" w:lineRule="exact"/>
              <w:ind w:firstLine="0"/>
              <w:jc w:val="both"/>
              <w:outlineLvl w:val="9"/>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其他需要说明的情况</w:t>
            </w:r>
          </w:p>
        </w:tc>
        <w:tc>
          <w:tcPr>
            <w:tcW w:w="4507" w:type="dxa"/>
            <w:gridSpan w:val="3"/>
            <w:noWrap/>
          </w:tcPr>
          <w:p>
            <w:pPr>
              <w:widowControl w:val="0"/>
              <w:shd w:val="clear"/>
              <w:spacing w:line="400" w:lineRule="exact"/>
              <w:ind w:firstLine="0"/>
              <w:jc w:val="both"/>
              <w:outlineLvl w:val="9"/>
              <w:rPr>
                <w:rFonts w:hint="eastAsia" w:ascii="宋体" w:hAnsi="宋体" w:eastAsia="宋体" w:cs="Times New Roman"/>
                <w:color w:val="auto"/>
                <w:kern w:val="2"/>
                <w:sz w:val="24"/>
                <w:szCs w:val="24"/>
                <w:highlight w:val="none"/>
                <w:lang w:val="en-US" w:eastAsia="zh-CN" w:bidi="ar-SA"/>
              </w:rPr>
            </w:pPr>
          </w:p>
        </w:tc>
      </w:tr>
    </w:tbl>
    <w:p>
      <w:pPr>
        <w:widowControl w:val="0"/>
        <w:shd w:val="clear"/>
        <w:ind w:firstLine="480"/>
        <w:jc w:val="both"/>
        <w:outlineLvl w:val="9"/>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注：本表可以扩展。</w:t>
      </w:r>
    </w:p>
    <w:p>
      <w:pPr>
        <w:shd w:val="clear"/>
        <w:spacing w:line="360" w:lineRule="auto"/>
        <w:ind w:firstLine="480"/>
        <w:outlineLvl w:val="9"/>
        <w:rPr>
          <w:rFonts w:hint="eastAsia" w:ascii="宋体" w:hAnsi="宋体" w:eastAsia="宋体" w:cs="Times New Roman"/>
          <w:color w:val="auto"/>
          <w:kern w:val="0"/>
          <w:sz w:val="24"/>
          <w:szCs w:val="24"/>
          <w:highlight w:val="none"/>
          <w:lang w:val="en-US" w:bidi="ar-SA"/>
        </w:rPr>
      </w:pPr>
      <w:r>
        <w:rPr>
          <w:rFonts w:hint="eastAsia" w:ascii="宋体" w:hAnsi="宋体" w:eastAsia="宋体" w:cs="Times New Roman"/>
          <w:color w:val="auto"/>
          <w:kern w:val="0"/>
          <w:sz w:val="24"/>
          <w:szCs w:val="20"/>
          <w:highlight w:val="none"/>
          <w:lang w:val="en-US" w:bidi="ar-SA"/>
        </w:rPr>
        <w:t>法定代表人或授权代表签字或盖章：</w:t>
      </w:r>
    </w:p>
    <w:p>
      <w:pPr>
        <w:pStyle w:val="5"/>
        <w:shd w:val="clear"/>
        <w:bidi w:val="0"/>
        <w:rPr>
          <w:rFonts w:hint="default" w:ascii="黑体" w:hAnsi="Times New Roman" w:eastAsia="黑体" w:cs="Times New Roman"/>
          <w:bCs/>
          <w:color w:val="auto"/>
          <w:kern w:val="0"/>
          <w:sz w:val="28"/>
          <w:szCs w:val="28"/>
          <w:highlight w:val="none"/>
          <w:lang w:val="en-US" w:bidi="ar-SA"/>
        </w:rPr>
      </w:pPr>
      <w:r>
        <w:rPr>
          <w:rFonts w:hint="default" w:ascii="宋体" w:hAnsi="宋体" w:eastAsia="宋体" w:cs="Times New Roman"/>
          <w:bCs/>
          <w:color w:val="auto"/>
          <w:kern w:val="0"/>
          <w:szCs w:val="21"/>
          <w:highlight w:val="none"/>
          <w:lang w:val="en-US" w:bidi="ar-SA"/>
        </w:rPr>
        <w:br w:type="page" w:clear="all"/>
      </w:r>
      <w:r>
        <w:rPr>
          <w:rFonts w:hint="eastAsia" w:ascii="黑体" w:hAnsi="宋体" w:eastAsia="黑体" w:cs="Times New Roman"/>
          <w:bCs/>
          <w:color w:val="auto"/>
          <w:kern w:val="0"/>
          <w:sz w:val="24"/>
          <w:szCs w:val="24"/>
          <w:highlight w:val="none"/>
          <w:lang w:val="en-US" w:bidi="ar-SA"/>
        </w:rPr>
        <w:t>（投标供应商）中小企业声明函（格式）：</w:t>
      </w:r>
    </w:p>
    <w:p>
      <w:pPr>
        <w:shd w:val="clear"/>
        <w:jc w:val="center"/>
        <w:outlineLvl w:val="9"/>
        <w:rPr>
          <w:rFonts w:hint="default" w:ascii="黑体" w:hAnsi="Times New Roman" w:eastAsia="黑体" w:cs="Times New Roman"/>
          <w:bCs/>
          <w:color w:val="auto"/>
          <w:kern w:val="0"/>
          <w:sz w:val="28"/>
          <w:szCs w:val="28"/>
          <w:highlight w:val="none"/>
          <w:lang w:val="en-US" w:bidi="ar-SA"/>
        </w:rPr>
      </w:pPr>
      <w:r>
        <w:rPr>
          <w:rFonts w:hint="default" w:ascii="黑体" w:hAnsi="Times New Roman" w:eastAsia="黑体" w:cs="Times New Roman"/>
          <w:bCs/>
          <w:color w:val="auto"/>
          <w:kern w:val="0"/>
          <w:sz w:val="28"/>
          <w:szCs w:val="28"/>
          <w:highlight w:val="none"/>
          <w:lang w:val="en-US" w:bidi="ar-SA"/>
        </w:rPr>
        <w:t>中小企业声明函（服务）</w:t>
      </w:r>
    </w:p>
    <w:p>
      <w:pPr>
        <w:shd w:val="clear"/>
        <w:spacing w:line="580" w:lineRule="exact"/>
        <w:ind w:firstLine="480"/>
        <w:outlineLvl w:val="9"/>
        <w:rPr>
          <w:rFonts w:hint="eastAsia" w:ascii="宋体" w:hAnsi="宋体" w:eastAsia="宋体" w:cs="Times New Roman"/>
          <w:bCs/>
          <w:color w:val="auto"/>
          <w:kern w:val="0"/>
          <w:sz w:val="24"/>
          <w:szCs w:val="24"/>
          <w:highlight w:val="none"/>
          <w:lang w:val="en-US" w:bidi="ar-SA"/>
        </w:rPr>
      </w:pPr>
      <w:r>
        <w:rPr>
          <w:rFonts w:hint="default" w:ascii="宋体" w:hAnsi="宋体" w:eastAsia="宋体" w:cs="Times New Roman"/>
          <w:bCs/>
          <w:color w:val="auto"/>
          <w:kern w:val="0"/>
          <w:sz w:val="24"/>
          <w:szCs w:val="24"/>
          <w:highlight w:val="none"/>
          <w:lang w:val="en-US" w:bidi="ar-SA"/>
        </w:rPr>
        <w:t xml:space="preserve">本公司（联合体）郑重声明，根据《政府采购促进中小企业发展管理办法》（财库﹝2020﹞46 号）的规定，本公司 </w:t>
      </w:r>
      <w:r>
        <w:rPr>
          <w:rFonts w:hint="default" w:ascii="宋体" w:hAnsi="宋体" w:eastAsia="宋体" w:cs="Times New Roman"/>
          <w:bCs/>
          <w:color w:val="auto"/>
          <w:kern w:val="0"/>
          <w:sz w:val="24"/>
          <w:szCs w:val="24"/>
          <w:highlight w:val="none"/>
          <w:u w:val="single"/>
          <w:lang w:val="en-US" w:bidi="ar-SA"/>
        </w:rPr>
        <w:t>（联合体）</w:t>
      </w:r>
      <w:r>
        <w:rPr>
          <w:rFonts w:hint="default" w:ascii="宋体" w:hAnsi="宋体" w:eastAsia="宋体" w:cs="Times New Roman"/>
          <w:bCs/>
          <w:color w:val="auto"/>
          <w:kern w:val="0"/>
          <w:sz w:val="24"/>
          <w:szCs w:val="24"/>
          <w:highlight w:val="none"/>
          <w:lang w:val="en-US" w:bidi="ar-SA"/>
        </w:rPr>
        <w:t>参加</w:t>
      </w:r>
      <w:r>
        <w:rPr>
          <w:rFonts w:hint="default" w:ascii="宋体" w:hAnsi="宋体" w:eastAsia="宋体" w:cs="Times New Roman"/>
          <w:bCs/>
          <w:color w:val="auto"/>
          <w:kern w:val="0"/>
          <w:sz w:val="24"/>
          <w:szCs w:val="24"/>
          <w:highlight w:val="none"/>
          <w:u w:val="single"/>
          <w:lang w:val="en-US" w:bidi="ar-SA"/>
        </w:rPr>
        <w:t>（单位名称）</w:t>
      </w:r>
      <w:r>
        <w:rPr>
          <w:rFonts w:hint="default" w:ascii="宋体" w:hAnsi="宋体" w:eastAsia="宋体" w:cs="Times New Roman"/>
          <w:bCs/>
          <w:color w:val="auto"/>
          <w:kern w:val="0"/>
          <w:sz w:val="24"/>
          <w:szCs w:val="24"/>
          <w:highlight w:val="none"/>
          <w:lang w:val="en-US" w:bidi="ar-SA"/>
        </w:rPr>
        <w:t>的</w:t>
      </w:r>
      <w:r>
        <w:rPr>
          <w:rFonts w:hint="default" w:ascii="宋体" w:hAnsi="宋体" w:eastAsia="宋体" w:cs="Times New Roman"/>
          <w:bCs/>
          <w:color w:val="auto"/>
          <w:kern w:val="0"/>
          <w:sz w:val="24"/>
          <w:szCs w:val="24"/>
          <w:highlight w:val="none"/>
          <w:u w:val="single"/>
          <w:lang w:val="en-US" w:bidi="ar-SA"/>
        </w:rPr>
        <w:t>（项目名称）</w:t>
      </w:r>
      <w:r>
        <w:rPr>
          <w:rFonts w:hint="default" w:ascii="宋体" w:hAnsi="宋体" w:eastAsia="宋体" w:cs="Times New Roman"/>
          <w:bCs/>
          <w:color w:val="auto"/>
          <w:kern w:val="0"/>
          <w:sz w:val="24"/>
          <w:szCs w:val="24"/>
          <w:highlight w:val="none"/>
          <w:lang w:val="en-US" w:bidi="ar-SA"/>
        </w:rPr>
        <w:t>采购活动，服务全部由符合政策要求的中小企业承接。相关企业（含联合体中的中小企业、签订分包意向协议的中小企业）的具体情况如下：</w:t>
      </w:r>
    </w:p>
    <w:p>
      <w:pPr>
        <w:shd w:val="clear"/>
        <w:spacing w:line="580" w:lineRule="exact"/>
        <w:ind w:firstLine="480"/>
        <w:outlineLvl w:val="9"/>
        <w:rPr>
          <w:rFonts w:hint="eastAsia" w:ascii="宋体" w:hAnsi="宋体" w:eastAsia="宋体" w:cs="Times New Roman"/>
          <w:bCs/>
          <w:color w:val="auto"/>
          <w:kern w:val="0"/>
          <w:sz w:val="24"/>
          <w:szCs w:val="24"/>
          <w:highlight w:val="none"/>
          <w:lang w:val="en-US" w:bidi="ar-SA"/>
        </w:rPr>
      </w:pPr>
      <w:r>
        <w:rPr>
          <w:rFonts w:hint="default" w:ascii="宋体" w:hAnsi="宋体" w:eastAsia="宋体" w:cs="Times New Roman"/>
          <w:bCs/>
          <w:color w:val="auto"/>
          <w:kern w:val="0"/>
          <w:sz w:val="24"/>
          <w:szCs w:val="24"/>
          <w:highlight w:val="none"/>
          <w:lang w:val="en-US" w:bidi="ar-SA"/>
        </w:rPr>
        <w:t>1.</w:t>
      </w:r>
      <w:r>
        <w:rPr>
          <w:rFonts w:hint="default" w:ascii="宋体" w:hAnsi="宋体" w:eastAsia="宋体" w:cs="Times New Roman"/>
          <w:bCs/>
          <w:color w:val="auto"/>
          <w:kern w:val="0"/>
          <w:sz w:val="24"/>
          <w:szCs w:val="24"/>
          <w:highlight w:val="none"/>
          <w:u w:val="single"/>
          <w:lang w:val="en-US" w:bidi="ar-SA"/>
        </w:rPr>
        <w:t xml:space="preserve"> （标的名称） </w:t>
      </w:r>
      <w:r>
        <w:rPr>
          <w:rFonts w:hint="default" w:ascii="宋体" w:hAnsi="宋体" w:eastAsia="宋体" w:cs="Times New Roman"/>
          <w:bCs/>
          <w:color w:val="auto"/>
          <w:kern w:val="0"/>
          <w:sz w:val="24"/>
          <w:szCs w:val="24"/>
          <w:highlight w:val="none"/>
          <w:lang w:val="en-US" w:bidi="ar-SA"/>
        </w:rPr>
        <w:t>，属于</w:t>
      </w:r>
      <w:r>
        <w:rPr>
          <w:rFonts w:hint="default" w:ascii="宋体" w:hAnsi="宋体" w:eastAsia="宋体" w:cs="Times New Roman"/>
          <w:bCs/>
          <w:color w:val="auto"/>
          <w:kern w:val="0"/>
          <w:sz w:val="24"/>
          <w:szCs w:val="24"/>
          <w:highlight w:val="none"/>
          <w:u w:val="single"/>
          <w:lang w:val="en-US" w:bidi="ar-SA"/>
        </w:rPr>
        <w:t>（采购文件中明确的所属行业）</w:t>
      </w:r>
      <w:r>
        <w:rPr>
          <w:rFonts w:hint="default" w:ascii="宋体" w:hAnsi="宋体" w:eastAsia="宋体" w:cs="Times New Roman"/>
          <w:bCs/>
          <w:color w:val="auto"/>
          <w:kern w:val="0"/>
          <w:sz w:val="24"/>
          <w:szCs w:val="24"/>
          <w:highlight w:val="none"/>
          <w:lang w:val="en-US" w:bidi="ar-SA"/>
        </w:rPr>
        <w:t>； 承建（承接）企业为</w:t>
      </w:r>
      <w:r>
        <w:rPr>
          <w:rFonts w:hint="default" w:ascii="宋体" w:hAnsi="宋体" w:eastAsia="宋体" w:cs="Times New Roman"/>
          <w:bCs/>
          <w:color w:val="auto"/>
          <w:kern w:val="0"/>
          <w:sz w:val="24"/>
          <w:szCs w:val="24"/>
          <w:highlight w:val="none"/>
          <w:u w:val="single"/>
          <w:lang w:val="en-US" w:bidi="ar-SA"/>
        </w:rPr>
        <w:t>（企业名称）</w:t>
      </w:r>
      <w:r>
        <w:rPr>
          <w:rFonts w:hint="default" w:ascii="宋体" w:hAnsi="宋体" w:eastAsia="宋体" w:cs="Times New Roman"/>
          <w:bCs/>
          <w:color w:val="auto"/>
          <w:kern w:val="0"/>
          <w:sz w:val="24"/>
          <w:szCs w:val="24"/>
          <w:highlight w:val="none"/>
          <w:lang w:val="en-US" w:bidi="ar-SA"/>
        </w:rPr>
        <w:t>，从业人员</w:t>
      </w:r>
      <w:r>
        <w:rPr>
          <w:rFonts w:hint="eastAsia" w:ascii="宋体" w:hAnsi="宋体" w:eastAsia="宋体" w:cs="Times New Roman"/>
          <w:bCs/>
          <w:color w:val="auto"/>
          <w:kern w:val="0"/>
          <w:sz w:val="24"/>
          <w:szCs w:val="24"/>
          <w:highlight w:val="none"/>
          <w:u w:val="single"/>
          <w:lang w:val="en-US" w:bidi="ar-SA"/>
        </w:rPr>
        <w:t xml:space="preserve">        </w:t>
      </w:r>
      <w:r>
        <w:rPr>
          <w:rFonts w:hint="default" w:ascii="宋体" w:hAnsi="宋体" w:eastAsia="宋体" w:cs="Times New Roman"/>
          <w:bCs/>
          <w:color w:val="auto"/>
          <w:kern w:val="0"/>
          <w:sz w:val="24"/>
          <w:szCs w:val="24"/>
          <w:highlight w:val="none"/>
          <w:lang w:val="en-US" w:bidi="ar-SA"/>
        </w:rPr>
        <w:t>人，营业收入为</w:t>
      </w:r>
      <w:r>
        <w:rPr>
          <w:rFonts w:hint="eastAsia" w:ascii="宋体" w:hAnsi="宋体" w:eastAsia="宋体" w:cs="Times New Roman"/>
          <w:bCs/>
          <w:color w:val="auto"/>
          <w:kern w:val="0"/>
          <w:sz w:val="24"/>
          <w:szCs w:val="24"/>
          <w:highlight w:val="none"/>
          <w:u w:val="single"/>
          <w:lang w:val="en-US" w:bidi="ar-SA"/>
        </w:rPr>
        <w:t xml:space="preserve">        </w:t>
      </w:r>
      <w:r>
        <w:rPr>
          <w:rFonts w:hint="default" w:ascii="宋体" w:hAnsi="宋体" w:eastAsia="宋体" w:cs="Times New Roman"/>
          <w:bCs/>
          <w:color w:val="auto"/>
          <w:kern w:val="0"/>
          <w:sz w:val="24"/>
          <w:szCs w:val="24"/>
          <w:highlight w:val="none"/>
          <w:lang w:val="en-US" w:bidi="ar-SA"/>
        </w:rPr>
        <w:t>万元，资产总额为</w:t>
      </w:r>
      <w:r>
        <w:rPr>
          <w:rFonts w:hint="eastAsia" w:ascii="宋体" w:hAnsi="宋体" w:eastAsia="宋体" w:cs="Times New Roman"/>
          <w:bCs/>
          <w:color w:val="auto"/>
          <w:kern w:val="0"/>
          <w:sz w:val="24"/>
          <w:szCs w:val="24"/>
          <w:highlight w:val="none"/>
          <w:u w:val="single"/>
          <w:lang w:val="en-US" w:bidi="ar-SA"/>
        </w:rPr>
        <w:t xml:space="preserve">        </w:t>
      </w:r>
      <w:r>
        <w:rPr>
          <w:rFonts w:hint="default" w:ascii="宋体" w:hAnsi="宋体" w:eastAsia="宋体" w:cs="Times New Roman"/>
          <w:bCs/>
          <w:color w:val="auto"/>
          <w:kern w:val="0"/>
          <w:sz w:val="24"/>
          <w:szCs w:val="24"/>
          <w:highlight w:val="none"/>
          <w:lang w:val="en-US" w:bidi="ar-SA"/>
        </w:rPr>
        <w:t>万元，属于</w:t>
      </w:r>
      <w:r>
        <w:rPr>
          <w:rFonts w:hint="default" w:ascii="宋体" w:hAnsi="宋体" w:eastAsia="宋体" w:cs="Times New Roman"/>
          <w:bCs/>
          <w:color w:val="auto"/>
          <w:kern w:val="0"/>
          <w:sz w:val="24"/>
          <w:szCs w:val="24"/>
          <w:highlight w:val="none"/>
          <w:u w:val="single"/>
          <w:lang w:val="en-US" w:bidi="ar-SA"/>
        </w:rPr>
        <w:t>（中型企业、 小型企业、微型企业）</w:t>
      </w:r>
      <w:r>
        <w:rPr>
          <w:rFonts w:hint="default" w:ascii="宋体" w:hAnsi="宋体" w:eastAsia="宋体" w:cs="Times New Roman"/>
          <w:bCs/>
          <w:color w:val="auto"/>
          <w:kern w:val="0"/>
          <w:sz w:val="24"/>
          <w:szCs w:val="24"/>
          <w:highlight w:val="none"/>
          <w:lang w:val="en-US" w:bidi="ar-SA"/>
        </w:rPr>
        <w:t>；</w:t>
      </w:r>
    </w:p>
    <w:p>
      <w:pPr>
        <w:shd w:val="clear"/>
        <w:spacing w:line="580" w:lineRule="exact"/>
        <w:ind w:firstLine="480"/>
        <w:outlineLvl w:val="9"/>
        <w:rPr>
          <w:rFonts w:hint="eastAsia" w:ascii="宋体" w:hAnsi="宋体" w:eastAsia="宋体" w:cs="Times New Roman"/>
          <w:bCs/>
          <w:color w:val="auto"/>
          <w:kern w:val="0"/>
          <w:sz w:val="24"/>
          <w:szCs w:val="24"/>
          <w:highlight w:val="none"/>
          <w:lang w:val="en-US" w:bidi="ar-SA"/>
        </w:rPr>
      </w:pPr>
      <w:r>
        <w:rPr>
          <w:rFonts w:hint="eastAsia" w:ascii="宋体" w:hAnsi="宋体" w:eastAsia="宋体" w:cs="Times New Roman"/>
          <w:bCs/>
          <w:color w:val="auto"/>
          <w:kern w:val="0"/>
          <w:sz w:val="24"/>
          <w:szCs w:val="24"/>
          <w:highlight w:val="none"/>
          <w:lang w:val="en-US" w:bidi="ar-SA"/>
        </w:rPr>
        <w:t>2.</w:t>
      </w:r>
      <w:r>
        <w:rPr>
          <w:rFonts w:hint="default" w:ascii="宋体" w:hAnsi="宋体" w:eastAsia="宋体" w:cs="Times New Roman"/>
          <w:bCs/>
          <w:color w:val="auto"/>
          <w:kern w:val="0"/>
          <w:sz w:val="24"/>
          <w:szCs w:val="24"/>
          <w:highlight w:val="none"/>
          <w:u w:val="single"/>
          <w:lang w:val="en-US" w:bidi="ar-SA"/>
        </w:rPr>
        <w:t xml:space="preserve"> （标的名称） </w:t>
      </w:r>
      <w:r>
        <w:rPr>
          <w:rFonts w:hint="default" w:ascii="宋体" w:hAnsi="宋体" w:eastAsia="宋体" w:cs="Times New Roman"/>
          <w:bCs/>
          <w:color w:val="auto"/>
          <w:kern w:val="0"/>
          <w:sz w:val="24"/>
          <w:szCs w:val="24"/>
          <w:highlight w:val="none"/>
          <w:lang w:val="en-US" w:bidi="ar-SA"/>
        </w:rPr>
        <w:t>，属于</w:t>
      </w:r>
      <w:r>
        <w:rPr>
          <w:rFonts w:hint="default" w:ascii="宋体" w:hAnsi="宋体" w:eastAsia="宋体" w:cs="Times New Roman"/>
          <w:bCs/>
          <w:color w:val="auto"/>
          <w:kern w:val="0"/>
          <w:sz w:val="24"/>
          <w:szCs w:val="24"/>
          <w:highlight w:val="none"/>
          <w:u w:val="single"/>
          <w:lang w:val="en-US" w:bidi="ar-SA"/>
        </w:rPr>
        <w:t>（采购文件中明确的所属行业）</w:t>
      </w:r>
      <w:r>
        <w:rPr>
          <w:rFonts w:hint="default" w:ascii="宋体" w:hAnsi="宋体" w:eastAsia="宋体" w:cs="Times New Roman"/>
          <w:bCs/>
          <w:color w:val="auto"/>
          <w:kern w:val="0"/>
          <w:sz w:val="24"/>
          <w:szCs w:val="24"/>
          <w:highlight w:val="none"/>
          <w:lang w:val="en-US" w:bidi="ar-SA"/>
        </w:rPr>
        <w:t>； 承建（承接）企业为</w:t>
      </w:r>
      <w:r>
        <w:rPr>
          <w:rFonts w:hint="default" w:ascii="宋体" w:hAnsi="宋体" w:eastAsia="宋体" w:cs="Times New Roman"/>
          <w:bCs/>
          <w:color w:val="auto"/>
          <w:kern w:val="0"/>
          <w:sz w:val="24"/>
          <w:szCs w:val="24"/>
          <w:highlight w:val="none"/>
          <w:u w:val="single"/>
          <w:lang w:val="en-US" w:bidi="ar-SA"/>
        </w:rPr>
        <w:t>（企业名称）</w:t>
      </w:r>
      <w:r>
        <w:rPr>
          <w:rFonts w:hint="default" w:ascii="宋体" w:hAnsi="宋体" w:eastAsia="宋体" w:cs="Times New Roman"/>
          <w:bCs/>
          <w:color w:val="auto"/>
          <w:kern w:val="0"/>
          <w:sz w:val="24"/>
          <w:szCs w:val="24"/>
          <w:highlight w:val="none"/>
          <w:lang w:val="en-US" w:bidi="ar-SA"/>
        </w:rPr>
        <w:t>，从业人员</w:t>
      </w:r>
      <w:r>
        <w:rPr>
          <w:rFonts w:hint="eastAsia" w:ascii="宋体" w:hAnsi="宋体" w:eastAsia="宋体" w:cs="Times New Roman"/>
          <w:bCs/>
          <w:color w:val="auto"/>
          <w:kern w:val="0"/>
          <w:sz w:val="24"/>
          <w:szCs w:val="24"/>
          <w:highlight w:val="none"/>
          <w:u w:val="single"/>
          <w:lang w:val="en-US" w:bidi="ar-SA"/>
        </w:rPr>
        <w:t xml:space="preserve">        </w:t>
      </w:r>
      <w:r>
        <w:rPr>
          <w:rFonts w:hint="default" w:ascii="宋体" w:hAnsi="宋体" w:eastAsia="宋体" w:cs="Times New Roman"/>
          <w:bCs/>
          <w:color w:val="auto"/>
          <w:kern w:val="0"/>
          <w:sz w:val="24"/>
          <w:szCs w:val="24"/>
          <w:highlight w:val="none"/>
          <w:lang w:val="en-US" w:bidi="ar-SA"/>
        </w:rPr>
        <w:t>人，营业收入为</w:t>
      </w:r>
      <w:r>
        <w:rPr>
          <w:rFonts w:hint="eastAsia" w:ascii="宋体" w:hAnsi="宋体" w:eastAsia="宋体" w:cs="Times New Roman"/>
          <w:bCs/>
          <w:color w:val="auto"/>
          <w:kern w:val="0"/>
          <w:sz w:val="24"/>
          <w:szCs w:val="24"/>
          <w:highlight w:val="none"/>
          <w:u w:val="single"/>
          <w:lang w:val="en-US" w:bidi="ar-SA"/>
        </w:rPr>
        <w:t xml:space="preserve">        </w:t>
      </w:r>
      <w:r>
        <w:rPr>
          <w:rFonts w:hint="default" w:ascii="宋体" w:hAnsi="宋体" w:eastAsia="宋体" w:cs="Times New Roman"/>
          <w:bCs/>
          <w:color w:val="auto"/>
          <w:kern w:val="0"/>
          <w:sz w:val="24"/>
          <w:szCs w:val="24"/>
          <w:highlight w:val="none"/>
          <w:lang w:val="en-US" w:bidi="ar-SA"/>
        </w:rPr>
        <w:t>万元，资产总额为</w:t>
      </w:r>
      <w:r>
        <w:rPr>
          <w:rFonts w:hint="eastAsia" w:ascii="宋体" w:hAnsi="宋体" w:eastAsia="宋体" w:cs="Times New Roman"/>
          <w:bCs/>
          <w:color w:val="auto"/>
          <w:kern w:val="0"/>
          <w:sz w:val="24"/>
          <w:szCs w:val="24"/>
          <w:highlight w:val="none"/>
          <w:u w:val="single"/>
          <w:lang w:val="en-US" w:bidi="ar-SA"/>
        </w:rPr>
        <w:t xml:space="preserve">        </w:t>
      </w:r>
      <w:r>
        <w:rPr>
          <w:rFonts w:hint="default" w:ascii="宋体" w:hAnsi="宋体" w:eastAsia="宋体" w:cs="Times New Roman"/>
          <w:bCs/>
          <w:color w:val="auto"/>
          <w:kern w:val="0"/>
          <w:sz w:val="24"/>
          <w:szCs w:val="24"/>
          <w:highlight w:val="none"/>
          <w:lang w:val="en-US" w:bidi="ar-SA"/>
        </w:rPr>
        <w:t>万元，属于</w:t>
      </w:r>
      <w:r>
        <w:rPr>
          <w:rFonts w:hint="default" w:ascii="宋体" w:hAnsi="宋体" w:eastAsia="宋体" w:cs="Times New Roman"/>
          <w:bCs/>
          <w:color w:val="auto"/>
          <w:kern w:val="0"/>
          <w:sz w:val="24"/>
          <w:szCs w:val="24"/>
          <w:highlight w:val="none"/>
          <w:u w:val="single"/>
          <w:lang w:val="en-US" w:bidi="ar-SA"/>
        </w:rPr>
        <w:t>（中型企业、 小型企业、微型企业）</w:t>
      </w:r>
      <w:r>
        <w:rPr>
          <w:rFonts w:hint="default" w:ascii="宋体" w:hAnsi="宋体" w:eastAsia="宋体" w:cs="Times New Roman"/>
          <w:bCs/>
          <w:color w:val="auto"/>
          <w:kern w:val="0"/>
          <w:sz w:val="24"/>
          <w:szCs w:val="24"/>
          <w:highlight w:val="none"/>
          <w:lang w:val="en-US" w:bidi="ar-SA"/>
        </w:rPr>
        <w:t>；</w:t>
      </w:r>
    </w:p>
    <w:p>
      <w:pPr>
        <w:shd w:val="clear"/>
        <w:spacing w:line="580" w:lineRule="exact"/>
        <w:ind w:firstLine="480"/>
        <w:outlineLvl w:val="9"/>
        <w:rPr>
          <w:rFonts w:hint="eastAsia" w:ascii="宋体" w:hAnsi="宋体" w:eastAsia="宋体" w:cs="Times New Roman"/>
          <w:bCs/>
          <w:color w:val="auto"/>
          <w:kern w:val="0"/>
          <w:sz w:val="24"/>
          <w:szCs w:val="24"/>
          <w:highlight w:val="none"/>
          <w:lang w:val="en-US" w:bidi="ar-SA"/>
        </w:rPr>
      </w:pPr>
      <w:r>
        <w:rPr>
          <w:rFonts w:hint="default" w:ascii="宋体" w:hAnsi="宋体" w:eastAsia="宋体" w:cs="Times New Roman"/>
          <w:bCs/>
          <w:color w:val="auto"/>
          <w:kern w:val="0"/>
          <w:sz w:val="24"/>
          <w:szCs w:val="24"/>
          <w:highlight w:val="none"/>
          <w:lang w:val="en-US" w:bidi="ar-SA"/>
        </w:rPr>
        <w:t>……</w:t>
      </w:r>
    </w:p>
    <w:p>
      <w:pPr>
        <w:shd w:val="clear"/>
        <w:spacing w:line="580" w:lineRule="exact"/>
        <w:ind w:firstLine="480"/>
        <w:outlineLvl w:val="9"/>
        <w:rPr>
          <w:rFonts w:hint="eastAsia" w:ascii="宋体" w:hAnsi="宋体" w:eastAsia="宋体" w:cs="Times New Roman"/>
          <w:bCs/>
          <w:color w:val="auto"/>
          <w:kern w:val="0"/>
          <w:sz w:val="24"/>
          <w:szCs w:val="24"/>
          <w:highlight w:val="none"/>
          <w:lang w:val="en-US" w:bidi="ar-SA"/>
        </w:rPr>
      </w:pPr>
      <w:r>
        <w:rPr>
          <w:rFonts w:hint="default" w:ascii="宋体" w:hAnsi="宋体" w:eastAsia="宋体" w:cs="Times New Roman"/>
          <w:bCs/>
          <w:color w:val="auto"/>
          <w:kern w:val="0"/>
          <w:sz w:val="24"/>
          <w:szCs w:val="24"/>
          <w:highlight w:val="none"/>
          <w:lang w:val="en-US" w:bidi="ar-SA"/>
        </w:rPr>
        <w:t>以上企业，不属于大企业的分支机构，不存在控股股东为大企业的情形，也不存在与大企业的负责人为同一人的情形。 本企业对上述声明内容的真实性负责。如有虚假，将依 法承担相应责任。</w:t>
      </w:r>
    </w:p>
    <w:p>
      <w:pPr>
        <w:shd w:val="clear"/>
        <w:outlineLvl w:val="9"/>
        <w:rPr>
          <w:rFonts w:hint="eastAsia" w:ascii="黑体" w:hAnsi="宋体" w:eastAsia="黑体" w:cs="Times New Roman"/>
          <w:bCs/>
          <w:color w:val="auto"/>
          <w:kern w:val="0"/>
          <w:sz w:val="24"/>
          <w:szCs w:val="24"/>
          <w:highlight w:val="none"/>
          <w:lang w:val="en-US" w:bidi="ar-SA"/>
        </w:rPr>
      </w:pPr>
    </w:p>
    <w:p>
      <w:pPr>
        <w:shd w:val="clear"/>
        <w:outlineLvl w:val="9"/>
        <w:rPr>
          <w:rFonts w:hint="eastAsia" w:ascii="黑体" w:hAnsi="宋体" w:eastAsia="黑体" w:cs="Times New Roman"/>
          <w:bCs/>
          <w:color w:val="auto"/>
          <w:kern w:val="0"/>
          <w:sz w:val="24"/>
          <w:szCs w:val="24"/>
          <w:highlight w:val="none"/>
          <w:lang w:val="en-US" w:bidi="ar-SA"/>
        </w:rPr>
      </w:pPr>
    </w:p>
    <w:p>
      <w:pPr>
        <w:shd w:val="clear"/>
        <w:spacing w:line="360" w:lineRule="auto"/>
        <w:ind w:firstLine="4800"/>
        <w:outlineLvl w:val="9"/>
        <w:rPr>
          <w:rFonts w:hint="eastAsia" w:ascii="宋体" w:hAnsi="宋体" w:eastAsia="宋体" w:cs="Times New Roman"/>
          <w:bCs/>
          <w:color w:val="auto"/>
          <w:kern w:val="0"/>
          <w:sz w:val="24"/>
          <w:szCs w:val="24"/>
          <w:highlight w:val="none"/>
          <w:lang w:val="en-US" w:bidi="ar-SA"/>
        </w:rPr>
      </w:pPr>
      <w:r>
        <w:rPr>
          <w:rFonts w:hint="eastAsia" w:ascii="宋体" w:hAnsi="宋体" w:eastAsia="宋体" w:cs="Times New Roman"/>
          <w:bCs/>
          <w:color w:val="auto"/>
          <w:kern w:val="0"/>
          <w:sz w:val="24"/>
          <w:szCs w:val="24"/>
          <w:highlight w:val="none"/>
          <w:lang w:val="en-US" w:bidi="ar-SA"/>
        </w:rPr>
        <w:t>企业名称（盖章）：</w:t>
      </w:r>
    </w:p>
    <w:p>
      <w:pPr>
        <w:shd w:val="clear"/>
        <w:spacing w:line="360" w:lineRule="auto"/>
        <w:ind w:firstLine="4800"/>
        <w:outlineLvl w:val="9"/>
        <w:rPr>
          <w:rFonts w:hint="eastAsia" w:ascii="宋体" w:hAnsi="宋体" w:eastAsia="宋体" w:cs="Times New Roman"/>
          <w:bCs/>
          <w:color w:val="auto"/>
          <w:kern w:val="0"/>
          <w:sz w:val="24"/>
          <w:szCs w:val="24"/>
          <w:highlight w:val="none"/>
          <w:lang w:val="en-US" w:bidi="ar-SA"/>
        </w:rPr>
      </w:pPr>
      <w:r>
        <w:rPr>
          <w:rFonts w:hint="eastAsia" w:ascii="宋体" w:hAnsi="宋体" w:eastAsia="宋体" w:cs="Times New Roman"/>
          <w:bCs/>
          <w:color w:val="auto"/>
          <w:kern w:val="0"/>
          <w:sz w:val="24"/>
          <w:szCs w:val="24"/>
          <w:highlight w:val="none"/>
          <w:lang w:val="en-US" w:bidi="ar-SA"/>
        </w:rPr>
        <w:t>日　　　　　　期：</w:t>
      </w:r>
    </w:p>
    <w:p>
      <w:pPr>
        <w:shd w:val="clear"/>
        <w:spacing w:line="360" w:lineRule="auto"/>
        <w:outlineLvl w:val="9"/>
        <w:rPr>
          <w:rFonts w:hint="eastAsia" w:ascii="宋体" w:hAnsi="宋体" w:eastAsia="宋体" w:cs="Times New Roman"/>
          <w:bCs/>
          <w:color w:val="auto"/>
          <w:kern w:val="0"/>
          <w:sz w:val="24"/>
          <w:szCs w:val="24"/>
          <w:highlight w:val="none"/>
          <w:lang w:val="en-US" w:bidi="ar-SA"/>
        </w:rPr>
      </w:pPr>
    </w:p>
    <w:p>
      <w:pPr>
        <w:shd w:val="clear"/>
        <w:outlineLvl w:val="9"/>
        <w:rPr>
          <w:rFonts w:hint="default" w:ascii="Times New Roman" w:hAnsi="Times New Roman" w:eastAsia="宋体" w:cs="Times New Roman"/>
          <w:color w:val="auto"/>
          <w:kern w:val="0"/>
          <w:szCs w:val="20"/>
          <w:highlight w:val="none"/>
          <w:lang w:val="en-US" w:bidi="ar-SA"/>
        </w:rPr>
      </w:pPr>
      <w:r>
        <w:rPr>
          <w:rFonts w:hint="eastAsia" w:ascii="Times New Roman" w:hAnsi="Times New Roman" w:eastAsia="宋体" w:cs="Times New Roman"/>
          <w:color w:val="auto"/>
          <w:kern w:val="0"/>
          <w:szCs w:val="20"/>
          <w:highlight w:val="none"/>
          <w:lang w:val="en-US" w:bidi="ar-SA"/>
        </w:rPr>
        <w:t>注：1.</w:t>
      </w:r>
      <w:r>
        <w:rPr>
          <w:rFonts w:hint="default" w:ascii="Times New Roman" w:hAnsi="Times New Roman" w:eastAsia="宋体" w:cs="Times New Roman"/>
          <w:color w:val="auto"/>
          <w:kern w:val="0"/>
          <w:szCs w:val="20"/>
          <w:highlight w:val="none"/>
          <w:lang w:val="en-US" w:bidi="ar-SA"/>
        </w:rPr>
        <w:t>从业人员、营业收入、资产总额填报上一年度数据，无上一年度数据的新成立企业可不填报。</w:t>
      </w:r>
    </w:p>
    <w:p>
      <w:pPr>
        <w:shd w:val="clear"/>
        <w:ind w:firstLine="420"/>
        <w:outlineLvl w:val="9"/>
        <w:rPr>
          <w:rFonts w:hint="default" w:ascii="Times New Roman" w:hAnsi="Times New Roman" w:eastAsia="宋体" w:cs="Times New Roman"/>
          <w:color w:val="auto"/>
          <w:kern w:val="0"/>
          <w:szCs w:val="20"/>
          <w:highlight w:val="none"/>
          <w:lang w:val="en-US" w:bidi="ar-SA"/>
        </w:rPr>
      </w:pPr>
      <w:r>
        <w:rPr>
          <w:rFonts w:hint="eastAsia" w:ascii="Times New Roman" w:hAnsi="Times New Roman" w:eastAsia="宋体" w:cs="Times New Roman"/>
          <w:color w:val="auto"/>
          <w:kern w:val="0"/>
          <w:szCs w:val="20"/>
          <w:highlight w:val="none"/>
          <w:lang w:val="en-US" w:bidi="ar-SA"/>
        </w:rPr>
        <w:t>2.中标供应商的《</w:t>
      </w:r>
      <w:r>
        <w:rPr>
          <w:rFonts w:hint="default" w:ascii="Times New Roman" w:hAnsi="Times New Roman" w:eastAsia="宋体" w:cs="Times New Roman"/>
          <w:color w:val="auto"/>
          <w:kern w:val="0"/>
          <w:szCs w:val="20"/>
          <w:highlight w:val="none"/>
          <w:lang w:val="en-US" w:bidi="ar-SA"/>
        </w:rPr>
        <w:t>中小企业声明函</w:t>
      </w:r>
      <w:r>
        <w:rPr>
          <w:rFonts w:hint="eastAsia" w:ascii="Times New Roman" w:hAnsi="Times New Roman" w:eastAsia="宋体" w:cs="Times New Roman"/>
          <w:color w:val="auto"/>
          <w:kern w:val="0"/>
          <w:szCs w:val="20"/>
          <w:highlight w:val="none"/>
          <w:lang w:val="en-US" w:bidi="ar-SA"/>
        </w:rPr>
        <w:t>》将随中标公告进行公示。供应商按照本办法规定提供声明函内容不实的，属于提供虚假材料谋取中标、成交，依照《中华人民共和国政府采购法》等国家有关规定追究相应责任。</w:t>
      </w:r>
    </w:p>
    <w:p>
      <w:pPr>
        <w:shd w:val="clear"/>
        <w:bidi w:val="0"/>
        <w:ind w:firstLine="420" w:firstLineChars="200"/>
        <w:rPr>
          <w:rFonts w:hint="eastAsia" w:ascii="黑体" w:hAnsi="宋体" w:eastAsia="黑体" w:cs="Times New Roman"/>
          <w:bCs/>
          <w:color w:val="auto"/>
          <w:kern w:val="0"/>
          <w:sz w:val="24"/>
          <w:szCs w:val="24"/>
          <w:highlight w:val="none"/>
          <w:lang w:val="en-US" w:bidi="ar-SA"/>
        </w:rPr>
      </w:pPr>
      <w:r>
        <w:rPr>
          <w:rFonts w:hint="eastAsia" w:ascii="Times New Roman" w:hAnsi="Times New Roman" w:eastAsia="宋体" w:cs="Times New Roman"/>
          <w:b w:val="0"/>
          <w:bCs w:val="0"/>
          <w:color w:val="auto"/>
          <w:kern w:val="0"/>
          <w:sz w:val="21"/>
          <w:szCs w:val="20"/>
          <w:highlight w:val="none"/>
          <w:lang w:val="en-US" w:eastAsia="zh-CN" w:bidi="ar-SA"/>
        </w:rPr>
        <w:t>3.投标时本表附在《明细报价表》之后（如有）。</w:t>
      </w:r>
      <w:r>
        <w:rPr>
          <w:rFonts w:hint="default" w:ascii="黑体" w:hAnsi="宋体" w:eastAsia="黑体" w:cs="Times New Roman"/>
          <w:bCs/>
          <w:color w:val="auto"/>
          <w:kern w:val="0"/>
          <w:sz w:val="24"/>
          <w:szCs w:val="24"/>
          <w:highlight w:val="none"/>
          <w:lang w:val="en-US" w:bidi="ar-SA"/>
        </w:rPr>
        <w:br w:type="page" w:clear="all"/>
      </w:r>
    </w:p>
    <w:p>
      <w:pPr>
        <w:pStyle w:val="5"/>
        <w:shd w:val="clear"/>
        <w:bidi w:val="0"/>
        <w:rPr>
          <w:rFonts w:hint="eastAsia" w:ascii="黑体" w:hAnsi="宋体" w:eastAsia="黑体" w:cs="Times New Roman"/>
          <w:bCs/>
          <w:color w:val="auto"/>
          <w:kern w:val="0"/>
          <w:sz w:val="24"/>
          <w:szCs w:val="24"/>
          <w:highlight w:val="none"/>
          <w:lang w:val="en-US" w:bidi="ar-SA"/>
        </w:rPr>
      </w:pPr>
      <w:r>
        <w:rPr>
          <w:rStyle w:val="521"/>
          <w:rFonts w:hint="eastAsia"/>
          <w:b/>
          <w:bCs/>
          <w:color w:val="auto"/>
          <w:highlight w:val="none"/>
          <w:lang w:val="en-US"/>
        </w:rPr>
        <w:t>（投标供应商）残疾人福利性单位声明函（格式）：</w:t>
      </w:r>
    </w:p>
    <w:p>
      <w:pPr>
        <w:shd w:val="clear"/>
        <w:spacing w:line="480" w:lineRule="auto"/>
        <w:outlineLvl w:val="9"/>
        <w:rPr>
          <w:rFonts w:hint="default" w:ascii="宋体" w:hAnsi="Times New Roman" w:eastAsia="宋体" w:cs="Times New Roman"/>
          <w:bCs/>
          <w:color w:val="auto"/>
          <w:kern w:val="0"/>
          <w:sz w:val="24"/>
          <w:szCs w:val="24"/>
          <w:highlight w:val="none"/>
          <w:lang w:val="en-US" w:bidi="ar-SA"/>
        </w:rPr>
      </w:pPr>
    </w:p>
    <w:p>
      <w:pPr>
        <w:shd w:val="clear"/>
        <w:jc w:val="center"/>
        <w:outlineLvl w:val="9"/>
        <w:rPr>
          <w:rFonts w:hint="default" w:ascii="黑体" w:hAnsi="Times New Roman" w:eastAsia="黑体" w:cs="Times New Roman"/>
          <w:bCs/>
          <w:color w:val="auto"/>
          <w:kern w:val="0"/>
          <w:sz w:val="28"/>
          <w:szCs w:val="28"/>
          <w:highlight w:val="none"/>
          <w:lang w:val="en-US" w:bidi="ar-SA"/>
        </w:rPr>
      </w:pPr>
      <w:r>
        <w:rPr>
          <w:rFonts w:hint="eastAsia" w:ascii="黑体" w:hAnsi="Times New Roman" w:eastAsia="黑体" w:cs="Times New Roman"/>
          <w:bCs/>
          <w:color w:val="auto"/>
          <w:kern w:val="0"/>
          <w:sz w:val="28"/>
          <w:szCs w:val="28"/>
          <w:highlight w:val="none"/>
          <w:lang w:val="en-US" w:bidi="ar-SA"/>
        </w:rPr>
        <w:t>残疾人福利性单位声明函</w:t>
      </w:r>
    </w:p>
    <w:p>
      <w:pPr>
        <w:shd w:val="clear"/>
        <w:jc w:val="center"/>
        <w:outlineLvl w:val="9"/>
        <w:rPr>
          <w:rFonts w:hint="default" w:ascii="黑体" w:hAnsi="Times New Roman" w:eastAsia="黑体" w:cs="Times New Roman"/>
          <w:bCs/>
          <w:color w:val="auto"/>
          <w:kern w:val="0"/>
          <w:sz w:val="28"/>
          <w:szCs w:val="28"/>
          <w:highlight w:val="none"/>
          <w:lang w:val="en-US" w:bidi="ar-SA"/>
        </w:rPr>
      </w:pPr>
    </w:p>
    <w:p>
      <w:pPr>
        <w:shd w:val="clear"/>
        <w:spacing w:line="580" w:lineRule="exact"/>
        <w:ind w:firstLine="480"/>
        <w:outlineLvl w:val="9"/>
        <w:rPr>
          <w:rFonts w:hint="eastAsia" w:ascii="宋体" w:hAnsi="宋体" w:eastAsia="宋体" w:cs="Times New Roman"/>
          <w:bCs/>
          <w:color w:val="auto"/>
          <w:kern w:val="0"/>
          <w:sz w:val="24"/>
          <w:szCs w:val="24"/>
          <w:highlight w:val="none"/>
          <w:lang w:val="en-US" w:bidi="ar-SA"/>
        </w:rPr>
      </w:pPr>
      <w:r>
        <w:rPr>
          <w:rFonts w:hint="eastAsia" w:ascii="宋体" w:hAnsi="宋体" w:eastAsia="宋体" w:cs="Times New Roman"/>
          <w:bCs/>
          <w:color w:val="auto"/>
          <w:kern w:val="0"/>
          <w:sz w:val="24"/>
          <w:szCs w:val="24"/>
          <w:highlight w:val="none"/>
          <w:lang w:val="en-US" w:bidi="ar-SA"/>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hd w:val="clear"/>
        <w:spacing w:line="580" w:lineRule="exact"/>
        <w:ind w:firstLine="480"/>
        <w:outlineLvl w:val="9"/>
        <w:rPr>
          <w:rFonts w:hint="eastAsia" w:ascii="宋体" w:hAnsi="宋体" w:eastAsia="宋体" w:cs="Times New Roman"/>
          <w:bCs/>
          <w:color w:val="auto"/>
          <w:kern w:val="0"/>
          <w:sz w:val="24"/>
          <w:szCs w:val="24"/>
          <w:highlight w:val="none"/>
          <w:lang w:val="en-US" w:bidi="ar-SA"/>
        </w:rPr>
      </w:pPr>
      <w:r>
        <w:rPr>
          <w:rFonts w:hint="eastAsia" w:ascii="宋体" w:hAnsi="宋体" w:eastAsia="宋体" w:cs="Times New Roman"/>
          <w:bCs/>
          <w:color w:val="auto"/>
          <w:kern w:val="0"/>
          <w:sz w:val="24"/>
          <w:szCs w:val="24"/>
          <w:highlight w:val="none"/>
          <w:lang w:val="en-US" w:bidi="ar-SA"/>
        </w:rPr>
        <w:t>本单位对上述声明的真实性负责。如有虚假，将依法承担相应责任。</w:t>
      </w:r>
    </w:p>
    <w:p>
      <w:pPr>
        <w:shd w:val="clear"/>
        <w:spacing w:line="580" w:lineRule="exact"/>
        <w:ind w:firstLine="480"/>
        <w:outlineLvl w:val="9"/>
        <w:rPr>
          <w:rFonts w:hint="eastAsia" w:ascii="宋体" w:hAnsi="宋体" w:eastAsia="宋体" w:cs="Times New Roman"/>
          <w:bCs/>
          <w:color w:val="auto"/>
          <w:kern w:val="0"/>
          <w:sz w:val="24"/>
          <w:szCs w:val="24"/>
          <w:highlight w:val="none"/>
          <w:lang w:val="en-US" w:bidi="ar-SA"/>
        </w:rPr>
      </w:pPr>
    </w:p>
    <w:p>
      <w:pPr>
        <w:shd w:val="clear"/>
        <w:spacing w:line="580" w:lineRule="exact"/>
        <w:ind w:firstLine="480"/>
        <w:outlineLvl w:val="9"/>
        <w:rPr>
          <w:rFonts w:hint="eastAsia" w:ascii="宋体" w:hAnsi="宋体" w:eastAsia="宋体" w:cs="Times New Roman"/>
          <w:bCs/>
          <w:color w:val="auto"/>
          <w:kern w:val="0"/>
          <w:sz w:val="24"/>
          <w:szCs w:val="24"/>
          <w:highlight w:val="none"/>
          <w:lang w:val="en-US" w:bidi="ar-SA"/>
        </w:rPr>
      </w:pPr>
    </w:p>
    <w:p>
      <w:pPr>
        <w:shd w:val="clear"/>
        <w:spacing w:line="580" w:lineRule="exact"/>
        <w:ind w:firstLine="480"/>
        <w:outlineLvl w:val="9"/>
        <w:rPr>
          <w:rFonts w:hint="eastAsia" w:ascii="宋体" w:hAnsi="宋体" w:eastAsia="宋体" w:cs="Times New Roman"/>
          <w:bCs/>
          <w:color w:val="auto"/>
          <w:kern w:val="0"/>
          <w:sz w:val="24"/>
          <w:szCs w:val="24"/>
          <w:highlight w:val="none"/>
          <w:lang w:val="en-US" w:bidi="ar-SA"/>
        </w:rPr>
      </w:pPr>
      <w:r>
        <w:rPr>
          <w:rFonts w:hint="eastAsia" w:ascii="宋体" w:hAnsi="宋体" w:eastAsia="宋体" w:cs="Times New Roman"/>
          <w:bCs/>
          <w:color w:val="auto"/>
          <w:kern w:val="0"/>
          <w:sz w:val="24"/>
          <w:szCs w:val="24"/>
          <w:highlight w:val="none"/>
          <w:lang w:val="en-US" w:bidi="ar-SA"/>
        </w:rPr>
        <w:t>单位名称（盖章）：</w:t>
      </w:r>
    </w:p>
    <w:p>
      <w:pPr>
        <w:shd w:val="clear"/>
        <w:spacing w:line="580" w:lineRule="exact"/>
        <w:ind w:firstLine="480"/>
        <w:outlineLvl w:val="9"/>
        <w:rPr>
          <w:rFonts w:hint="eastAsia" w:ascii="宋体" w:hAnsi="宋体" w:eastAsia="宋体" w:cs="Times New Roman"/>
          <w:bCs/>
          <w:color w:val="auto"/>
          <w:kern w:val="0"/>
          <w:sz w:val="24"/>
          <w:szCs w:val="24"/>
          <w:highlight w:val="none"/>
          <w:lang w:val="en-US" w:bidi="ar-SA"/>
        </w:rPr>
      </w:pPr>
      <w:r>
        <w:rPr>
          <w:rFonts w:hint="eastAsia" w:ascii="宋体" w:hAnsi="宋体" w:eastAsia="宋体" w:cs="Times New Roman"/>
          <w:bCs/>
          <w:color w:val="auto"/>
          <w:kern w:val="0"/>
          <w:sz w:val="24"/>
          <w:szCs w:val="24"/>
          <w:highlight w:val="none"/>
          <w:lang w:val="en-US" w:bidi="ar-SA"/>
        </w:rPr>
        <w:t>日  期：</w:t>
      </w:r>
    </w:p>
    <w:p>
      <w:pPr>
        <w:shd w:val="clear"/>
        <w:ind w:firstLine="480"/>
        <w:outlineLvl w:val="9"/>
        <w:rPr>
          <w:rFonts w:hint="eastAsia" w:ascii="黑体" w:hAnsi="宋体" w:eastAsia="黑体" w:cs="Times New Roman"/>
          <w:bCs/>
          <w:color w:val="auto"/>
          <w:kern w:val="0"/>
          <w:sz w:val="24"/>
          <w:szCs w:val="24"/>
          <w:highlight w:val="none"/>
          <w:lang w:val="en-US" w:bidi="ar-SA"/>
        </w:rPr>
      </w:pPr>
    </w:p>
    <w:p>
      <w:pPr>
        <w:shd w:val="clear"/>
        <w:ind w:firstLine="480"/>
        <w:outlineLvl w:val="9"/>
        <w:rPr>
          <w:rFonts w:hint="eastAsia" w:ascii="黑体" w:hAnsi="宋体" w:eastAsia="黑体" w:cs="Times New Roman"/>
          <w:bCs/>
          <w:color w:val="auto"/>
          <w:kern w:val="0"/>
          <w:sz w:val="24"/>
          <w:szCs w:val="24"/>
          <w:highlight w:val="none"/>
          <w:lang w:val="en-US" w:bidi="ar-SA"/>
        </w:rPr>
      </w:pPr>
    </w:p>
    <w:p>
      <w:pPr>
        <w:shd w:val="clear"/>
        <w:ind w:firstLine="480"/>
        <w:outlineLvl w:val="9"/>
        <w:rPr>
          <w:rFonts w:hint="eastAsia" w:ascii="黑体" w:hAnsi="宋体" w:eastAsia="黑体" w:cs="Times New Roman"/>
          <w:bCs/>
          <w:color w:val="auto"/>
          <w:kern w:val="0"/>
          <w:sz w:val="24"/>
          <w:szCs w:val="24"/>
          <w:highlight w:val="none"/>
          <w:lang w:val="en-US" w:bidi="ar-SA"/>
        </w:rPr>
      </w:pPr>
    </w:p>
    <w:p>
      <w:pPr>
        <w:shd w:val="clear"/>
        <w:ind w:firstLine="480"/>
        <w:outlineLvl w:val="9"/>
        <w:rPr>
          <w:rFonts w:hint="eastAsia" w:ascii="黑体" w:hAnsi="宋体" w:eastAsia="黑体" w:cs="Times New Roman"/>
          <w:bCs/>
          <w:color w:val="auto"/>
          <w:kern w:val="0"/>
          <w:sz w:val="24"/>
          <w:szCs w:val="24"/>
          <w:highlight w:val="none"/>
          <w:lang w:val="en-US" w:bidi="ar-SA"/>
        </w:rPr>
      </w:pPr>
    </w:p>
    <w:p>
      <w:pPr>
        <w:shd w:val="clear"/>
        <w:ind w:firstLine="480"/>
        <w:outlineLvl w:val="9"/>
        <w:rPr>
          <w:rFonts w:hint="eastAsia" w:ascii="黑体" w:hAnsi="宋体" w:eastAsia="黑体"/>
          <w:bCs/>
          <w:color w:val="auto"/>
          <w:sz w:val="24"/>
          <w:szCs w:val="24"/>
          <w:highlight w:val="none"/>
        </w:rPr>
        <w:sectPr>
          <w:footerReference r:id="rId7" w:type="default"/>
          <w:pgSz w:w="11906" w:h="16838"/>
          <w:pgMar w:top="1440" w:right="1080" w:bottom="1440" w:left="1080" w:header="624" w:footer="907" w:gutter="0"/>
          <w:pgNumType w:fmt="decimal"/>
          <w:cols w:space="1701" w:num="1"/>
          <w:docGrid w:linePitch="360" w:charSpace="0"/>
        </w:sectPr>
      </w:pPr>
    </w:p>
    <w:p>
      <w:pPr>
        <w:pStyle w:val="5"/>
        <w:shd w:val="clear"/>
        <w:bidi w:val="0"/>
        <w:rPr>
          <w:rStyle w:val="521"/>
          <w:rFonts w:hint="eastAsia"/>
          <w:b/>
          <w:bCs/>
          <w:color w:val="auto"/>
          <w:highlight w:val="none"/>
          <w:lang w:val="en-US"/>
        </w:rPr>
      </w:pPr>
      <w:r>
        <w:rPr>
          <w:rStyle w:val="521"/>
          <w:rFonts w:hint="eastAsia"/>
          <w:b/>
          <w:bCs/>
          <w:color w:val="auto"/>
          <w:highlight w:val="none"/>
          <w:lang w:val="en-US"/>
        </w:rPr>
        <w:t xml:space="preserve">承诺书（给定格式）： </w:t>
      </w:r>
    </w:p>
    <w:p>
      <w:pPr>
        <w:bidi w:val="0"/>
        <w:rPr>
          <w:highlight w:val="none"/>
          <w:lang w:val="en-US"/>
        </w:rPr>
      </w:pPr>
    </w:p>
    <w:p>
      <w:pPr>
        <w:jc w:val="center"/>
        <w:rPr>
          <w:rFonts w:ascii="黑体" w:hAnsi="Times New Roman" w:eastAsia="黑体" w:cs="Times New Roman"/>
          <w:bCs/>
          <w:color w:val="000000"/>
          <w:sz w:val="28"/>
          <w:szCs w:val="28"/>
          <w:highlight w:val="none"/>
          <w:lang w:val="en-US" w:bidi="ar-SA"/>
        </w:rPr>
      </w:pPr>
      <w:r>
        <w:rPr>
          <w:rFonts w:hint="eastAsia" w:ascii="黑体" w:hAnsi="Times New Roman" w:eastAsia="黑体" w:cs="Times New Roman"/>
          <w:bCs/>
          <w:color w:val="000000"/>
          <w:sz w:val="28"/>
          <w:szCs w:val="28"/>
          <w:highlight w:val="none"/>
          <w:lang w:val="en-US" w:bidi="ar-SA"/>
        </w:rPr>
        <w:t>承诺书</w:t>
      </w:r>
    </w:p>
    <w:p>
      <w:pPr>
        <w:spacing w:line="480" w:lineRule="auto"/>
        <w:rPr>
          <w:rFonts w:ascii="宋体" w:hAnsi="宋体" w:eastAsia="宋体" w:cs="Times New Roman"/>
          <w:color w:val="000000"/>
          <w:sz w:val="24"/>
          <w:szCs w:val="24"/>
          <w:highlight w:val="none"/>
          <w:lang w:val="en-US" w:bidi="ar-SA"/>
        </w:rPr>
      </w:pPr>
      <w:r>
        <w:rPr>
          <w:rFonts w:hint="eastAsia" w:ascii="宋体" w:hAnsi="宋体" w:eastAsia="宋体" w:cs="Times New Roman"/>
          <w:color w:val="000000"/>
          <w:sz w:val="24"/>
          <w:szCs w:val="24"/>
          <w:highlight w:val="none"/>
          <w:u w:val="single"/>
          <w:lang w:val="en-US" w:bidi="ar-SA"/>
        </w:rPr>
        <w:t xml:space="preserve">                   </w:t>
      </w:r>
      <w:r>
        <w:rPr>
          <w:rFonts w:hint="eastAsia" w:ascii="宋体" w:hAnsi="宋体" w:eastAsia="宋体" w:cs="Times New Roman"/>
          <w:color w:val="000000"/>
          <w:sz w:val="24"/>
          <w:szCs w:val="24"/>
          <w:highlight w:val="none"/>
          <w:lang w:val="en-US" w:bidi="ar-SA"/>
        </w:rPr>
        <w:t>（投标人名称）针</w:t>
      </w:r>
      <w:r>
        <w:rPr>
          <w:rFonts w:hint="eastAsia" w:ascii="宋体" w:hAnsi="宋体" w:eastAsia="宋体" w:cs="Times New Roman"/>
          <w:bCs/>
          <w:color w:val="000000"/>
          <w:sz w:val="24"/>
          <w:szCs w:val="24"/>
          <w:highlight w:val="none"/>
          <w:lang w:val="en-US" w:bidi="ar-SA"/>
        </w:rPr>
        <w:t>对本项目</w:t>
      </w:r>
      <w:r>
        <w:rPr>
          <w:rFonts w:hint="eastAsia" w:ascii="宋体" w:hAnsi="宋体" w:eastAsia="宋体" w:cs="Times New Roman"/>
          <w:bCs/>
          <w:color w:val="000000"/>
          <w:sz w:val="24"/>
          <w:szCs w:val="24"/>
          <w:highlight w:val="none"/>
          <w:lang w:val="en-US" w:eastAsia="zh-CN" w:bidi="ar-SA"/>
        </w:rPr>
        <w:t>JSZC-320292-BJZC-G2026-0014</w:t>
      </w:r>
      <w:bookmarkStart w:id="16" w:name="_GoBack"/>
      <w:bookmarkEnd w:id="16"/>
      <w:r>
        <w:rPr>
          <w:rFonts w:hint="eastAsia" w:ascii="宋体" w:hAnsi="宋体" w:eastAsia="宋体" w:cs="Times New Roman"/>
          <w:color w:val="000000"/>
          <w:sz w:val="24"/>
          <w:szCs w:val="24"/>
          <w:highlight w:val="none"/>
          <w:lang w:val="en-US" w:bidi="ar-SA"/>
        </w:rPr>
        <w:t>在此对服务保障做如下承诺：</w:t>
      </w:r>
    </w:p>
    <w:p>
      <w:pPr>
        <w:spacing w:line="480" w:lineRule="auto"/>
        <w:rPr>
          <w:rFonts w:ascii="宋体" w:hAnsi="宋体" w:eastAsia="宋体" w:cs="Times New Roman"/>
          <w:color w:val="000000"/>
          <w:sz w:val="24"/>
          <w:szCs w:val="24"/>
          <w:highlight w:val="none"/>
          <w:lang w:val="en-US" w:bidi="ar-SA"/>
        </w:rPr>
      </w:pPr>
    </w:p>
    <w:p>
      <w:pPr>
        <w:spacing w:line="360" w:lineRule="auto"/>
        <w:ind w:firstLine="480"/>
        <w:rPr>
          <w:rFonts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bidi="ar-SA"/>
        </w:rPr>
        <w:t>1、本公司（单位）对本项目所提供的服务符合招标文件要求；</w:t>
      </w:r>
    </w:p>
    <w:p>
      <w:pPr>
        <w:spacing w:line="360" w:lineRule="auto"/>
        <w:ind w:firstLine="480"/>
        <w:rPr>
          <w:rFonts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bidi="ar-SA"/>
        </w:rPr>
        <w:t>2、本公司（单位）保证中标并合同签订生效后，将按招标文件要求及所投投标文件中做出的相应承诺将相关人员及时配置到位。</w:t>
      </w:r>
    </w:p>
    <w:p>
      <w:pPr>
        <w:spacing w:line="360" w:lineRule="auto"/>
        <w:ind w:firstLine="480"/>
        <w:rPr>
          <w:rFonts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bidi="ar-SA"/>
        </w:rPr>
        <w:t>3、本公司（单位）保证中标并合同签订生效后，按需配备移动式发电机、抽水泵。</w:t>
      </w:r>
    </w:p>
    <w:p>
      <w:pPr>
        <w:spacing w:line="360" w:lineRule="auto"/>
        <w:ind w:firstLine="480"/>
        <w:rPr>
          <w:rFonts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bidi="ar-SA"/>
        </w:rPr>
        <w:t>4、</w:t>
      </w:r>
    </w:p>
    <w:p>
      <w:pPr>
        <w:spacing w:line="360" w:lineRule="auto"/>
        <w:ind w:firstLine="480"/>
        <w:rPr>
          <w:rFonts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bidi="ar-SA"/>
        </w:rPr>
        <w:t>5、</w:t>
      </w:r>
    </w:p>
    <w:p>
      <w:pPr>
        <w:tabs>
          <w:tab w:val="left" w:pos="945"/>
        </w:tabs>
        <w:spacing w:line="360" w:lineRule="auto"/>
        <w:ind w:firstLine="465"/>
        <w:rPr>
          <w:rFonts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bidi="ar-SA"/>
        </w:rPr>
        <w:t>6、</w:t>
      </w:r>
    </w:p>
    <w:p>
      <w:pPr>
        <w:spacing w:line="480" w:lineRule="auto"/>
        <w:ind w:firstLine="960"/>
        <w:rPr>
          <w:rFonts w:ascii="宋体" w:hAnsi="宋体" w:eastAsia="宋体" w:cs="Times New Roman"/>
          <w:bCs/>
          <w:color w:val="000000"/>
          <w:sz w:val="24"/>
          <w:szCs w:val="24"/>
          <w:highlight w:val="none"/>
          <w:lang w:val="en-US" w:bidi="ar-SA"/>
        </w:rPr>
      </w:pPr>
      <w:r>
        <w:rPr>
          <w:rFonts w:ascii="宋体" w:hAnsi="宋体" w:eastAsia="宋体" w:cs="Times New Roman"/>
          <w:bCs/>
          <w:color w:val="000000"/>
          <w:sz w:val="24"/>
          <w:szCs w:val="24"/>
          <w:highlight w:val="none"/>
          <w:lang w:val="en-US" w:bidi="ar-SA"/>
        </w:rPr>
        <w:t>…………………</w:t>
      </w:r>
    </w:p>
    <w:p>
      <w:pPr>
        <w:spacing w:line="480" w:lineRule="auto"/>
        <w:ind w:firstLine="960"/>
        <w:rPr>
          <w:rFonts w:ascii="宋体" w:hAnsi="宋体" w:eastAsia="宋体" w:cs="Times New Roman"/>
          <w:bCs/>
          <w:color w:val="000000"/>
          <w:sz w:val="24"/>
          <w:szCs w:val="24"/>
          <w:highlight w:val="none"/>
          <w:lang w:val="en-US" w:bidi="ar-SA"/>
        </w:rPr>
      </w:pPr>
      <w:r>
        <w:rPr>
          <w:rFonts w:hint="eastAsia" w:ascii="宋体" w:hAnsi="宋体" w:eastAsia="宋体" w:cs="Times New Roman"/>
          <w:bCs/>
          <w:color w:val="000000"/>
          <w:sz w:val="24"/>
          <w:szCs w:val="24"/>
          <w:highlight w:val="none"/>
          <w:lang w:val="en-US" w:bidi="ar-SA"/>
        </w:rPr>
        <w:t>如违背上述承诺，本公司</w:t>
      </w:r>
      <w:r>
        <w:rPr>
          <w:rFonts w:hint="eastAsia" w:ascii="宋体" w:hAnsi="宋体" w:eastAsia="宋体" w:cs="Times New Roman"/>
          <w:color w:val="000000"/>
          <w:sz w:val="24"/>
          <w:szCs w:val="24"/>
          <w:highlight w:val="none"/>
          <w:lang w:val="en-US" w:bidi="ar-SA"/>
        </w:rPr>
        <w:t>（单位）</w:t>
      </w:r>
      <w:r>
        <w:rPr>
          <w:rFonts w:hint="eastAsia" w:ascii="宋体" w:hAnsi="宋体" w:eastAsia="宋体" w:cs="Times New Roman"/>
          <w:bCs/>
          <w:color w:val="000000"/>
          <w:sz w:val="24"/>
          <w:szCs w:val="24"/>
          <w:highlight w:val="none"/>
          <w:lang w:val="en-US" w:bidi="ar-SA"/>
        </w:rPr>
        <w:t>将承担一切法律责任。</w:t>
      </w:r>
    </w:p>
    <w:p>
      <w:pPr>
        <w:spacing w:line="480" w:lineRule="auto"/>
        <w:rPr>
          <w:rFonts w:ascii="宋体" w:hAnsi="宋体" w:eastAsia="宋体" w:cs="Times New Roman"/>
          <w:bCs/>
          <w:color w:val="000000"/>
          <w:sz w:val="24"/>
          <w:szCs w:val="24"/>
          <w:highlight w:val="none"/>
          <w:lang w:val="en-US" w:bidi="ar-SA"/>
        </w:rPr>
      </w:pPr>
    </w:p>
    <w:p>
      <w:pPr>
        <w:spacing w:line="480" w:lineRule="auto"/>
        <w:ind w:firstLine="3720"/>
        <w:rPr>
          <w:rFonts w:ascii="宋体" w:hAnsi="宋体" w:eastAsia="宋体" w:cs="Times New Roman"/>
          <w:bCs/>
          <w:color w:val="000000"/>
          <w:sz w:val="24"/>
          <w:szCs w:val="24"/>
          <w:highlight w:val="none"/>
          <w:lang w:val="en-US" w:bidi="ar-SA"/>
        </w:rPr>
      </w:pPr>
      <w:r>
        <w:rPr>
          <w:rFonts w:hint="eastAsia" w:ascii="宋体" w:hAnsi="宋体" w:eastAsia="宋体" w:cs="Times New Roman"/>
          <w:color w:val="000000"/>
          <w:sz w:val="24"/>
          <w:szCs w:val="24"/>
          <w:highlight w:val="none"/>
          <w:lang w:val="en-US" w:bidi="ar-SA"/>
        </w:rPr>
        <w:t>投标人名称</w:t>
      </w:r>
      <w:r>
        <w:rPr>
          <w:rFonts w:hint="eastAsia" w:ascii="宋体" w:hAnsi="宋体" w:eastAsia="宋体" w:cs="Times New Roman"/>
          <w:bCs/>
          <w:color w:val="000000"/>
          <w:sz w:val="24"/>
          <w:szCs w:val="24"/>
          <w:highlight w:val="none"/>
          <w:lang w:val="en-US" w:bidi="ar-SA"/>
        </w:rPr>
        <w:t>（盖章）：</w:t>
      </w:r>
    </w:p>
    <w:p>
      <w:pPr>
        <w:spacing w:line="480" w:lineRule="auto"/>
        <w:ind w:firstLine="480"/>
        <w:rPr>
          <w:rFonts w:ascii="宋体" w:hAnsi="宋体" w:eastAsia="宋体" w:cs="Times New Roman"/>
          <w:bCs/>
          <w:color w:val="000000"/>
          <w:sz w:val="24"/>
          <w:szCs w:val="24"/>
          <w:highlight w:val="none"/>
          <w:lang w:val="en-US" w:bidi="ar-SA"/>
        </w:rPr>
      </w:pPr>
    </w:p>
    <w:p>
      <w:pPr>
        <w:rPr>
          <w:rFonts w:ascii="宋体" w:hAnsi="宋体" w:eastAsia="宋体" w:cs="Times New Roman"/>
          <w:bCs/>
          <w:color w:val="000000"/>
          <w:szCs w:val="21"/>
          <w:highlight w:val="none"/>
          <w:lang w:val="en-US" w:bidi="ar-SA"/>
        </w:rPr>
      </w:pPr>
      <w:r>
        <w:rPr>
          <w:rFonts w:hint="eastAsia" w:ascii="宋体" w:hAnsi="宋体" w:eastAsia="宋体" w:cs="Times New Roman"/>
          <w:bCs/>
          <w:color w:val="000000"/>
          <w:szCs w:val="21"/>
          <w:highlight w:val="none"/>
          <w:lang w:val="en-US" w:bidi="ar-SA"/>
        </w:rPr>
        <w:t>注：1、以上内容由投标单位根据采购要求自行完善。</w:t>
      </w:r>
    </w:p>
    <w:p>
      <w:pPr>
        <w:rPr>
          <w:rFonts w:hint="eastAsia" w:ascii="宋体" w:hAnsi="宋体" w:eastAsia="宋体" w:cs="宋体"/>
          <w:b/>
          <w:bCs/>
          <w:color w:val="auto"/>
          <w:kern w:val="2"/>
          <w:sz w:val="30"/>
          <w:szCs w:val="30"/>
          <w:highlight w:val="none"/>
          <w:shd w:val="clear" w:color="auto" w:fill="FFFFFF"/>
          <w:lang w:val="en-US" w:eastAsia="zh-CN" w:bidi="ar-SA"/>
        </w:rPr>
      </w:pPr>
      <w:r>
        <w:rPr>
          <w:rFonts w:hint="eastAsia" w:ascii="宋体" w:hAnsi="宋体" w:eastAsia="宋体" w:cs="宋体"/>
          <w:b/>
          <w:bCs/>
          <w:color w:val="auto"/>
          <w:kern w:val="2"/>
          <w:sz w:val="30"/>
          <w:szCs w:val="30"/>
          <w:highlight w:val="none"/>
          <w:shd w:val="clear" w:color="auto" w:fill="FFFFFF"/>
          <w:lang w:val="en-US" w:eastAsia="zh-CN" w:bidi="ar-SA"/>
        </w:rPr>
        <w:br w:type="page"/>
      </w:r>
    </w:p>
    <w:p>
      <w:pPr>
        <w:shd w:val="clear"/>
        <w:bidi w:val="0"/>
        <w:rPr>
          <w:rFonts w:hint="eastAsia"/>
          <w:color w:val="auto"/>
          <w:highlight w:val="none"/>
        </w:rPr>
      </w:pPr>
    </w:p>
    <w:p>
      <w:pPr>
        <w:pStyle w:val="5"/>
        <w:shd w:val="clear"/>
        <w:bidi w:val="0"/>
        <w:rPr>
          <w:rFonts w:hint="eastAsia"/>
          <w:color w:val="auto"/>
          <w:highlight w:val="none"/>
        </w:rPr>
      </w:pPr>
      <w:r>
        <w:rPr>
          <w:rFonts w:hint="eastAsia"/>
          <w:color w:val="auto"/>
          <w:highlight w:val="none"/>
        </w:rPr>
        <w:t>（技术文件）格式</w:t>
      </w:r>
    </w:p>
    <w:p>
      <w:pPr>
        <w:shd w:val="clear"/>
        <w:spacing w:line="580" w:lineRule="exact"/>
        <w:jc w:val="center"/>
        <w:outlineLvl w:val="9"/>
        <w:rPr>
          <w:rFonts w:hint="eastAsia" w:ascii="宋体" w:hAnsi="宋体" w:eastAsia="宋体" w:cs="Times New Roman"/>
          <w:b/>
          <w:color w:val="auto"/>
          <w:sz w:val="36"/>
          <w:szCs w:val="36"/>
          <w:highlight w:val="none"/>
        </w:rPr>
      </w:pPr>
    </w:p>
    <w:p>
      <w:pPr>
        <w:shd w:val="clear"/>
        <w:spacing w:line="360" w:lineRule="auto"/>
        <w:outlineLvl w:val="9"/>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根据评分细则自行编制</w:t>
      </w:r>
    </w:p>
    <w:p>
      <w:pPr>
        <w:shd w:val="clear"/>
        <w:spacing w:line="360" w:lineRule="auto"/>
        <w:outlineLvl w:val="9"/>
        <w:rPr>
          <w:rFonts w:hint="eastAsia" w:ascii="宋体" w:hAnsi="宋体" w:eastAsia="宋体" w:cs="Times New Roman"/>
          <w:bCs/>
          <w:color w:val="auto"/>
          <w:sz w:val="24"/>
          <w:szCs w:val="24"/>
          <w:highlight w:val="none"/>
        </w:rPr>
      </w:pPr>
    </w:p>
    <w:p>
      <w:pPr>
        <w:shd w:val="clear"/>
        <w:spacing w:before="5" w:line="560" w:lineRule="atLeast"/>
        <w:ind w:firstLine="240"/>
        <w:outlineLvl w:val="9"/>
        <w:rPr>
          <w:rFonts w:ascii="宋体" w:hAnsi="宋体" w:cs="宋体"/>
          <w:b/>
          <w:bCs/>
          <w:color w:val="auto"/>
          <w:sz w:val="24"/>
          <w:highlight w:val="none"/>
        </w:rPr>
      </w:pPr>
    </w:p>
    <w:p>
      <w:pPr>
        <w:pStyle w:val="105"/>
        <w:shd w:val="clear"/>
        <w:outlineLvl w:val="9"/>
        <w:rPr>
          <w:rFonts w:ascii="宋体" w:hAnsi="宋体" w:cs="宋体"/>
          <w:b/>
          <w:bCs/>
          <w:color w:val="auto"/>
          <w:sz w:val="24"/>
          <w:highlight w:val="none"/>
        </w:rPr>
      </w:pPr>
    </w:p>
    <w:p>
      <w:pPr>
        <w:pStyle w:val="105"/>
        <w:shd w:val="clear"/>
        <w:outlineLvl w:val="9"/>
        <w:rPr>
          <w:rFonts w:ascii="宋体" w:hAnsi="宋体" w:cs="宋体"/>
          <w:b/>
          <w:bCs/>
          <w:color w:val="auto"/>
          <w:sz w:val="24"/>
          <w:highlight w:val="none"/>
        </w:rPr>
      </w:pPr>
    </w:p>
    <w:p>
      <w:pPr>
        <w:pStyle w:val="105"/>
        <w:shd w:val="clear"/>
        <w:outlineLvl w:val="9"/>
        <w:rPr>
          <w:rFonts w:ascii="宋体" w:hAnsi="宋体" w:cs="宋体"/>
          <w:b/>
          <w:bCs/>
          <w:color w:val="auto"/>
          <w:sz w:val="24"/>
          <w:highlight w:val="none"/>
        </w:rPr>
      </w:pPr>
    </w:p>
    <w:p>
      <w:pPr>
        <w:pStyle w:val="105"/>
        <w:shd w:val="clear"/>
        <w:outlineLvl w:val="9"/>
        <w:rPr>
          <w:rFonts w:ascii="宋体" w:hAnsi="宋体" w:cs="宋体"/>
          <w:b/>
          <w:bCs/>
          <w:color w:val="auto"/>
          <w:sz w:val="24"/>
          <w:highlight w:val="none"/>
        </w:rPr>
      </w:pPr>
    </w:p>
    <w:p>
      <w:pPr>
        <w:pStyle w:val="105"/>
        <w:shd w:val="clear"/>
        <w:outlineLvl w:val="9"/>
        <w:rPr>
          <w:rFonts w:ascii="宋体" w:hAnsi="宋体" w:cs="宋体"/>
          <w:b/>
          <w:bCs/>
          <w:color w:val="auto"/>
          <w:sz w:val="24"/>
          <w:highlight w:val="none"/>
        </w:rPr>
      </w:pPr>
    </w:p>
    <w:p>
      <w:pPr>
        <w:pStyle w:val="105"/>
        <w:shd w:val="clear"/>
        <w:outlineLvl w:val="9"/>
        <w:rPr>
          <w:rFonts w:ascii="宋体" w:hAnsi="宋体" w:cs="宋体"/>
          <w:b/>
          <w:bCs/>
          <w:color w:val="auto"/>
          <w:sz w:val="24"/>
          <w:highlight w:val="none"/>
        </w:rPr>
      </w:pPr>
    </w:p>
    <w:p>
      <w:pPr>
        <w:pStyle w:val="105"/>
        <w:shd w:val="clear"/>
        <w:outlineLvl w:val="9"/>
        <w:rPr>
          <w:rFonts w:ascii="宋体" w:hAnsi="宋体" w:cs="宋体"/>
          <w:b/>
          <w:bCs/>
          <w:color w:val="auto"/>
          <w:sz w:val="24"/>
          <w:highlight w:val="none"/>
        </w:rPr>
      </w:pPr>
    </w:p>
    <w:p>
      <w:pPr>
        <w:pStyle w:val="105"/>
        <w:shd w:val="clear"/>
        <w:outlineLvl w:val="9"/>
        <w:rPr>
          <w:rFonts w:ascii="宋体" w:hAnsi="宋体" w:cs="宋体"/>
          <w:b/>
          <w:bCs/>
          <w:color w:val="auto"/>
          <w:sz w:val="24"/>
          <w:highlight w:val="none"/>
        </w:rPr>
      </w:pPr>
    </w:p>
    <w:p>
      <w:pPr>
        <w:pStyle w:val="105"/>
        <w:shd w:val="clear"/>
        <w:outlineLvl w:val="9"/>
        <w:rPr>
          <w:rFonts w:ascii="宋体" w:hAnsi="宋体" w:cs="宋体"/>
          <w:b/>
          <w:bCs/>
          <w:color w:val="auto"/>
          <w:sz w:val="24"/>
          <w:highlight w:val="none"/>
        </w:rPr>
      </w:pPr>
    </w:p>
    <w:p>
      <w:pPr>
        <w:pStyle w:val="105"/>
        <w:shd w:val="clear"/>
        <w:outlineLvl w:val="9"/>
        <w:rPr>
          <w:rFonts w:ascii="宋体" w:hAnsi="宋体" w:cs="宋体"/>
          <w:b/>
          <w:bCs/>
          <w:color w:val="auto"/>
          <w:sz w:val="24"/>
          <w:highlight w:val="none"/>
        </w:rPr>
      </w:pPr>
    </w:p>
    <w:p>
      <w:pPr>
        <w:pStyle w:val="105"/>
        <w:shd w:val="clear"/>
        <w:outlineLvl w:val="9"/>
        <w:rPr>
          <w:rFonts w:ascii="宋体" w:hAnsi="宋体" w:cs="宋体"/>
          <w:b/>
          <w:bCs/>
          <w:color w:val="auto"/>
          <w:sz w:val="24"/>
          <w:highlight w:val="none"/>
        </w:rPr>
      </w:pPr>
    </w:p>
    <w:p>
      <w:pPr>
        <w:pStyle w:val="105"/>
        <w:shd w:val="clear"/>
        <w:outlineLvl w:val="9"/>
        <w:rPr>
          <w:rFonts w:ascii="宋体" w:hAnsi="宋体" w:cs="宋体"/>
          <w:b/>
          <w:bCs/>
          <w:color w:val="auto"/>
          <w:sz w:val="24"/>
          <w:highlight w:val="none"/>
        </w:rPr>
      </w:pPr>
    </w:p>
    <w:p>
      <w:pPr>
        <w:pStyle w:val="105"/>
        <w:shd w:val="clear"/>
        <w:outlineLvl w:val="9"/>
        <w:rPr>
          <w:rFonts w:ascii="宋体" w:hAnsi="宋体" w:cs="宋体"/>
          <w:b/>
          <w:bCs/>
          <w:color w:val="auto"/>
          <w:sz w:val="24"/>
          <w:highlight w:val="none"/>
        </w:rPr>
      </w:pPr>
    </w:p>
    <w:p>
      <w:pPr>
        <w:pStyle w:val="105"/>
        <w:shd w:val="clear"/>
        <w:outlineLvl w:val="9"/>
        <w:rPr>
          <w:rFonts w:ascii="宋体" w:hAnsi="宋体" w:cs="宋体"/>
          <w:b/>
          <w:bCs/>
          <w:color w:val="auto"/>
          <w:sz w:val="24"/>
          <w:highlight w:val="none"/>
        </w:rPr>
      </w:pPr>
    </w:p>
    <w:p>
      <w:pPr>
        <w:pStyle w:val="105"/>
        <w:shd w:val="clear"/>
        <w:outlineLvl w:val="9"/>
        <w:rPr>
          <w:rFonts w:ascii="宋体" w:hAnsi="宋体" w:cs="宋体"/>
          <w:b/>
          <w:bCs/>
          <w:color w:val="auto"/>
          <w:sz w:val="24"/>
          <w:highlight w:val="none"/>
        </w:rPr>
      </w:pPr>
    </w:p>
    <w:p>
      <w:pPr>
        <w:pStyle w:val="105"/>
        <w:shd w:val="clear"/>
        <w:outlineLvl w:val="9"/>
        <w:rPr>
          <w:rFonts w:ascii="宋体" w:hAnsi="宋体" w:cs="宋体"/>
          <w:b/>
          <w:bCs/>
          <w:color w:val="auto"/>
          <w:sz w:val="24"/>
          <w:highlight w:val="none"/>
        </w:rPr>
      </w:pPr>
    </w:p>
    <w:p>
      <w:pPr>
        <w:pStyle w:val="105"/>
        <w:shd w:val="clear"/>
        <w:outlineLvl w:val="9"/>
        <w:rPr>
          <w:rFonts w:ascii="宋体" w:hAnsi="宋体" w:cs="宋体"/>
          <w:b/>
          <w:bCs/>
          <w:color w:val="auto"/>
          <w:sz w:val="24"/>
          <w:highlight w:val="none"/>
        </w:rPr>
      </w:pPr>
    </w:p>
    <w:p>
      <w:pPr>
        <w:pStyle w:val="105"/>
        <w:shd w:val="clear"/>
        <w:outlineLvl w:val="9"/>
        <w:rPr>
          <w:rFonts w:ascii="宋体" w:hAnsi="宋体" w:cs="宋体"/>
          <w:b/>
          <w:bCs/>
          <w:color w:val="auto"/>
          <w:sz w:val="24"/>
          <w:highlight w:val="none"/>
        </w:rPr>
      </w:pPr>
    </w:p>
    <w:p>
      <w:pPr>
        <w:pStyle w:val="105"/>
        <w:shd w:val="clear"/>
        <w:outlineLvl w:val="9"/>
        <w:rPr>
          <w:rFonts w:ascii="宋体" w:hAnsi="宋体" w:cs="宋体"/>
          <w:b/>
          <w:bCs/>
          <w:color w:val="auto"/>
          <w:sz w:val="24"/>
          <w:highlight w:val="none"/>
        </w:rPr>
      </w:pPr>
    </w:p>
    <w:p>
      <w:pPr>
        <w:pStyle w:val="105"/>
        <w:shd w:val="clear"/>
        <w:outlineLvl w:val="9"/>
        <w:rPr>
          <w:rFonts w:ascii="宋体" w:hAnsi="宋体" w:cs="宋体"/>
          <w:b/>
          <w:bCs/>
          <w:color w:val="auto"/>
          <w:sz w:val="24"/>
          <w:highlight w:val="none"/>
        </w:rPr>
      </w:pPr>
    </w:p>
    <w:p>
      <w:pPr>
        <w:pStyle w:val="105"/>
        <w:shd w:val="clear"/>
        <w:outlineLvl w:val="9"/>
        <w:rPr>
          <w:rFonts w:ascii="宋体" w:hAnsi="宋体" w:cs="宋体"/>
          <w:b/>
          <w:bCs/>
          <w:color w:val="auto"/>
          <w:sz w:val="24"/>
          <w:highlight w:val="none"/>
        </w:rPr>
      </w:pPr>
    </w:p>
    <w:p>
      <w:pPr>
        <w:pStyle w:val="105"/>
        <w:shd w:val="clear"/>
        <w:outlineLvl w:val="9"/>
        <w:rPr>
          <w:rFonts w:ascii="宋体" w:hAnsi="宋体" w:cs="宋体"/>
          <w:b/>
          <w:bCs/>
          <w:color w:val="auto"/>
          <w:sz w:val="24"/>
          <w:highlight w:val="none"/>
        </w:rPr>
      </w:pPr>
    </w:p>
    <w:p>
      <w:pPr>
        <w:pStyle w:val="105"/>
        <w:shd w:val="clear"/>
        <w:outlineLvl w:val="9"/>
        <w:rPr>
          <w:rFonts w:ascii="宋体" w:hAnsi="宋体" w:cs="宋体"/>
          <w:b/>
          <w:bCs/>
          <w:color w:val="auto"/>
          <w:sz w:val="24"/>
          <w:highlight w:val="none"/>
        </w:rPr>
      </w:pPr>
    </w:p>
    <w:p>
      <w:pPr>
        <w:pStyle w:val="105"/>
        <w:shd w:val="clear"/>
        <w:outlineLvl w:val="9"/>
        <w:rPr>
          <w:rFonts w:ascii="宋体" w:hAnsi="宋体" w:cs="宋体"/>
          <w:b/>
          <w:bCs/>
          <w:color w:val="auto"/>
          <w:sz w:val="24"/>
          <w:highlight w:val="none"/>
        </w:rPr>
      </w:pPr>
    </w:p>
    <w:p>
      <w:pPr>
        <w:pStyle w:val="105"/>
        <w:shd w:val="clear"/>
        <w:outlineLvl w:val="9"/>
        <w:rPr>
          <w:rFonts w:ascii="宋体" w:hAnsi="宋体" w:cs="宋体"/>
          <w:b/>
          <w:bCs/>
          <w:color w:val="auto"/>
          <w:sz w:val="24"/>
          <w:highlight w:val="none"/>
        </w:rPr>
      </w:pPr>
    </w:p>
    <w:p>
      <w:pPr>
        <w:pStyle w:val="105"/>
        <w:shd w:val="clear"/>
        <w:outlineLvl w:val="9"/>
        <w:rPr>
          <w:rFonts w:ascii="宋体" w:hAnsi="宋体" w:cs="宋体"/>
          <w:b/>
          <w:bCs/>
          <w:color w:val="auto"/>
          <w:sz w:val="24"/>
          <w:highlight w:val="none"/>
        </w:rPr>
      </w:pPr>
    </w:p>
    <w:p>
      <w:pPr>
        <w:pStyle w:val="105"/>
        <w:shd w:val="clear"/>
        <w:outlineLvl w:val="9"/>
        <w:rPr>
          <w:rFonts w:ascii="宋体" w:hAnsi="宋体" w:cs="宋体"/>
          <w:b/>
          <w:bCs/>
          <w:color w:val="auto"/>
          <w:sz w:val="24"/>
          <w:highlight w:val="none"/>
        </w:rPr>
      </w:pPr>
    </w:p>
    <w:p>
      <w:pPr>
        <w:pStyle w:val="105"/>
        <w:shd w:val="clear"/>
        <w:outlineLvl w:val="9"/>
        <w:rPr>
          <w:rFonts w:ascii="宋体" w:hAnsi="宋体" w:cs="宋体"/>
          <w:b/>
          <w:bCs/>
          <w:color w:val="auto"/>
          <w:sz w:val="24"/>
          <w:highlight w:val="none"/>
        </w:rPr>
      </w:pPr>
    </w:p>
    <w:p>
      <w:pPr>
        <w:pStyle w:val="105"/>
        <w:shd w:val="clear"/>
        <w:outlineLvl w:val="9"/>
        <w:rPr>
          <w:rFonts w:ascii="宋体" w:hAnsi="宋体" w:cs="宋体"/>
          <w:b/>
          <w:bCs/>
          <w:color w:val="auto"/>
          <w:sz w:val="24"/>
          <w:highlight w:val="none"/>
        </w:rPr>
      </w:pPr>
    </w:p>
    <w:p>
      <w:pPr>
        <w:pStyle w:val="105"/>
        <w:shd w:val="clear"/>
        <w:outlineLvl w:val="9"/>
        <w:rPr>
          <w:rFonts w:ascii="宋体" w:hAnsi="宋体" w:cs="宋体"/>
          <w:b/>
          <w:bCs/>
          <w:color w:val="auto"/>
          <w:sz w:val="24"/>
          <w:highlight w:val="none"/>
        </w:rPr>
      </w:pPr>
    </w:p>
    <w:p>
      <w:pPr>
        <w:pStyle w:val="105"/>
        <w:shd w:val="clear"/>
        <w:outlineLvl w:val="9"/>
        <w:rPr>
          <w:rFonts w:ascii="宋体" w:hAnsi="宋体" w:cs="宋体"/>
          <w:b/>
          <w:bCs/>
          <w:color w:val="auto"/>
          <w:sz w:val="24"/>
          <w:highlight w:val="none"/>
        </w:rPr>
      </w:pPr>
    </w:p>
    <w:p>
      <w:pPr>
        <w:pStyle w:val="105"/>
        <w:shd w:val="clear"/>
        <w:outlineLvl w:val="9"/>
        <w:rPr>
          <w:rFonts w:ascii="宋体" w:hAnsi="宋体" w:cs="宋体"/>
          <w:b/>
          <w:bCs/>
          <w:color w:val="auto"/>
          <w:sz w:val="24"/>
          <w:highlight w:val="none"/>
        </w:rPr>
      </w:pPr>
    </w:p>
    <w:p>
      <w:pPr>
        <w:pStyle w:val="105"/>
        <w:shd w:val="clear"/>
        <w:outlineLvl w:val="9"/>
        <w:rPr>
          <w:rFonts w:ascii="宋体" w:hAnsi="宋体" w:cs="宋体"/>
          <w:b/>
          <w:bCs/>
          <w:color w:val="auto"/>
          <w:sz w:val="24"/>
          <w:highlight w:val="none"/>
        </w:rPr>
      </w:pPr>
    </w:p>
    <w:p>
      <w:pPr>
        <w:pStyle w:val="105"/>
        <w:shd w:val="clear"/>
        <w:outlineLvl w:val="9"/>
        <w:rPr>
          <w:rFonts w:ascii="宋体" w:hAnsi="宋体" w:cs="宋体"/>
          <w:b/>
          <w:bCs/>
          <w:color w:val="auto"/>
          <w:sz w:val="24"/>
          <w:highlight w:val="none"/>
        </w:rPr>
      </w:pPr>
    </w:p>
    <w:p>
      <w:pPr>
        <w:shd w:val="clear"/>
        <w:bidi w:val="0"/>
        <w:rPr>
          <w:color w:val="auto"/>
          <w:highlight w:val="none"/>
        </w:rPr>
      </w:pPr>
    </w:p>
    <w:p>
      <w:pPr>
        <w:pStyle w:val="5"/>
        <w:shd w:val="clear"/>
        <w:bidi w:val="0"/>
        <w:rPr>
          <w:color w:val="auto"/>
          <w:highlight w:val="none"/>
        </w:rPr>
      </w:pPr>
      <w:r>
        <w:rPr>
          <w:rFonts w:hint="eastAsia"/>
          <w:color w:val="auto"/>
          <w:highlight w:val="none"/>
        </w:rPr>
        <w:t>要求采购人提供的配合（如有，自拟并自行添加至投标函中）</w:t>
      </w:r>
    </w:p>
    <w:p>
      <w:pPr>
        <w:widowControl/>
        <w:numPr>
          <w:ilvl w:val="0"/>
          <w:numId w:val="0"/>
        </w:numPr>
        <w:shd w:val="clear"/>
        <w:spacing w:line="460" w:lineRule="exact"/>
        <w:ind w:left="180" w:firstLine="240"/>
        <w:jc w:val="left"/>
        <w:outlineLvl w:val="9"/>
        <w:rPr>
          <w:rFonts w:ascii="宋体" w:hAnsi="宋体" w:cs="宋体"/>
          <w:color w:val="auto"/>
          <w:sz w:val="24"/>
          <w:highlight w:val="none"/>
          <w:lang w:val="en-US" w:eastAsia="zh-CN" w:bidi="ar-SA"/>
        </w:rPr>
      </w:pPr>
    </w:p>
    <w:p>
      <w:pPr>
        <w:widowControl/>
        <w:numPr>
          <w:ilvl w:val="0"/>
          <w:numId w:val="0"/>
        </w:numPr>
        <w:shd w:val="clear"/>
        <w:spacing w:line="460" w:lineRule="exact"/>
        <w:ind w:left="180" w:firstLine="240"/>
        <w:jc w:val="left"/>
        <w:outlineLvl w:val="9"/>
        <w:rPr>
          <w:rFonts w:ascii="宋体" w:hAnsi="宋体" w:cs="宋体"/>
          <w:color w:val="auto"/>
          <w:sz w:val="24"/>
          <w:highlight w:val="none"/>
          <w:lang w:val="en-US" w:eastAsia="zh-CN" w:bidi="ar-SA"/>
        </w:rPr>
      </w:pPr>
    </w:p>
    <w:p>
      <w:pPr>
        <w:widowControl/>
        <w:numPr>
          <w:ilvl w:val="0"/>
          <w:numId w:val="0"/>
        </w:numPr>
        <w:shd w:val="clear"/>
        <w:spacing w:line="460" w:lineRule="exact"/>
        <w:ind w:left="180" w:firstLine="240"/>
        <w:jc w:val="left"/>
        <w:outlineLvl w:val="9"/>
        <w:rPr>
          <w:rFonts w:ascii="宋体" w:hAnsi="宋体" w:cs="宋体"/>
          <w:color w:val="auto"/>
          <w:sz w:val="24"/>
          <w:highlight w:val="none"/>
          <w:lang w:val="en-US" w:eastAsia="zh-CN" w:bidi="ar-SA"/>
        </w:rPr>
      </w:pPr>
    </w:p>
    <w:p>
      <w:pPr>
        <w:widowControl/>
        <w:numPr>
          <w:ilvl w:val="0"/>
          <w:numId w:val="0"/>
        </w:numPr>
        <w:shd w:val="clear"/>
        <w:spacing w:line="460" w:lineRule="exact"/>
        <w:ind w:left="180" w:firstLine="240"/>
        <w:jc w:val="left"/>
        <w:outlineLvl w:val="9"/>
        <w:rPr>
          <w:rFonts w:ascii="宋体" w:hAnsi="宋体" w:cs="宋体"/>
          <w:color w:val="auto"/>
          <w:sz w:val="24"/>
          <w:highlight w:val="none"/>
          <w:lang w:val="en-US" w:eastAsia="zh-CN" w:bidi="ar-SA"/>
        </w:rPr>
      </w:pPr>
    </w:p>
    <w:p>
      <w:pPr>
        <w:widowControl/>
        <w:numPr>
          <w:ilvl w:val="0"/>
          <w:numId w:val="0"/>
        </w:numPr>
        <w:shd w:val="clear"/>
        <w:spacing w:line="460" w:lineRule="exact"/>
        <w:ind w:left="180" w:firstLine="240"/>
        <w:jc w:val="left"/>
        <w:outlineLvl w:val="9"/>
        <w:rPr>
          <w:rFonts w:ascii="宋体" w:hAnsi="宋体" w:cs="宋体"/>
          <w:color w:val="auto"/>
          <w:sz w:val="24"/>
          <w:highlight w:val="none"/>
          <w:lang w:val="en-US" w:eastAsia="zh-CN" w:bidi="ar-SA"/>
        </w:rPr>
      </w:pPr>
    </w:p>
    <w:p>
      <w:pPr>
        <w:widowControl/>
        <w:numPr>
          <w:ilvl w:val="0"/>
          <w:numId w:val="0"/>
        </w:numPr>
        <w:shd w:val="clear"/>
        <w:spacing w:line="460" w:lineRule="exact"/>
        <w:ind w:left="180" w:firstLine="240"/>
        <w:jc w:val="left"/>
        <w:outlineLvl w:val="9"/>
        <w:rPr>
          <w:rFonts w:ascii="宋体" w:hAnsi="宋体" w:cs="宋体"/>
          <w:color w:val="auto"/>
          <w:sz w:val="24"/>
          <w:highlight w:val="none"/>
          <w:lang w:val="en-US" w:eastAsia="zh-CN" w:bidi="ar-SA"/>
        </w:rPr>
      </w:pPr>
    </w:p>
    <w:p>
      <w:pPr>
        <w:widowControl/>
        <w:numPr>
          <w:ilvl w:val="0"/>
          <w:numId w:val="0"/>
        </w:numPr>
        <w:shd w:val="clear"/>
        <w:spacing w:line="460" w:lineRule="exact"/>
        <w:ind w:left="180" w:firstLine="240"/>
        <w:jc w:val="left"/>
        <w:outlineLvl w:val="9"/>
        <w:rPr>
          <w:rFonts w:ascii="宋体" w:hAnsi="宋体" w:cs="宋体"/>
          <w:color w:val="auto"/>
          <w:sz w:val="24"/>
          <w:highlight w:val="none"/>
          <w:lang w:val="en-US" w:eastAsia="zh-CN" w:bidi="ar-SA"/>
        </w:rPr>
      </w:pPr>
    </w:p>
    <w:p>
      <w:pPr>
        <w:widowControl/>
        <w:numPr>
          <w:ilvl w:val="0"/>
          <w:numId w:val="0"/>
        </w:numPr>
        <w:shd w:val="clear"/>
        <w:spacing w:line="460" w:lineRule="exact"/>
        <w:ind w:left="180" w:firstLine="240"/>
        <w:jc w:val="left"/>
        <w:outlineLvl w:val="9"/>
        <w:rPr>
          <w:rFonts w:ascii="宋体" w:hAnsi="宋体" w:cs="宋体"/>
          <w:color w:val="auto"/>
          <w:sz w:val="24"/>
          <w:highlight w:val="none"/>
          <w:lang w:val="en-US" w:eastAsia="zh-CN" w:bidi="ar-SA"/>
        </w:rPr>
      </w:pPr>
    </w:p>
    <w:p>
      <w:pPr>
        <w:widowControl/>
        <w:numPr>
          <w:ilvl w:val="0"/>
          <w:numId w:val="0"/>
        </w:numPr>
        <w:shd w:val="clear"/>
        <w:spacing w:line="460" w:lineRule="exact"/>
        <w:ind w:left="180" w:firstLine="240"/>
        <w:jc w:val="left"/>
        <w:outlineLvl w:val="9"/>
        <w:rPr>
          <w:rFonts w:ascii="宋体" w:hAnsi="宋体" w:cs="宋体"/>
          <w:color w:val="auto"/>
          <w:sz w:val="24"/>
          <w:highlight w:val="none"/>
          <w:lang w:val="en-US" w:eastAsia="zh-CN" w:bidi="ar-SA"/>
        </w:rPr>
      </w:pPr>
    </w:p>
    <w:p>
      <w:pPr>
        <w:widowControl/>
        <w:numPr>
          <w:ilvl w:val="0"/>
          <w:numId w:val="0"/>
        </w:numPr>
        <w:shd w:val="clear"/>
        <w:spacing w:line="460" w:lineRule="exact"/>
        <w:ind w:left="180" w:firstLine="240"/>
        <w:jc w:val="left"/>
        <w:outlineLvl w:val="9"/>
        <w:rPr>
          <w:rFonts w:ascii="宋体" w:hAnsi="宋体" w:cs="宋体"/>
          <w:color w:val="auto"/>
          <w:sz w:val="24"/>
          <w:highlight w:val="none"/>
          <w:lang w:val="en-US" w:eastAsia="zh-CN" w:bidi="ar-SA"/>
        </w:rPr>
      </w:pPr>
    </w:p>
    <w:p>
      <w:pPr>
        <w:widowControl/>
        <w:numPr>
          <w:ilvl w:val="0"/>
          <w:numId w:val="0"/>
        </w:numPr>
        <w:shd w:val="clear"/>
        <w:spacing w:line="460" w:lineRule="exact"/>
        <w:ind w:left="180" w:firstLine="240"/>
        <w:jc w:val="left"/>
        <w:outlineLvl w:val="9"/>
        <w:rPr>
          <w:rFonts w:ascii="宋体" w:hAnsi="宋体" w:cs="宋体"/>
          <w:color w:val="auto"/>
          <w:sz w:val="24"/>
          <w:highlight w:val="none"/>
          <w:lang w:val="en-US" w:eastAsia="zh-CN" w:bidi="ar-SA"/>
        </w:rPr>
      </w:pPr>
    </w:p>
    <w:p>
      <w:pPr>
        <w:widowControl/>
        <w:numPr>
          <w:ilvl w:val="0"/>
          <w:numId w:val="0"/>
        </w:numPr>
        <w:shd w:val="clear"/>
        <w:spacing w:line="460" w:lineRule="exact"/>
        <w:ind w:left="180" w:firstLine="240"/>
        <w:jc w:val="left"/>
        <w:outlineLvl w:val="9"/>
        <w:rPr>
          <w:rFonts w:ascii="宋体" w:hAnsi="宋体" w:cs="宋体"/>
          <w:color w:val="auto"/>
          <w:sz w:val="24"/>
          <w:highlight w:val="none"/>
          <w:lang w:val="en-US" w:eastAsia="zh-CN" w:bidi="ar-SA"/>
        </w:rPr>
      </w:pPr>
    </w:p>
    <w:p>
      <w:pPr>
        <w:widowControl/>
        <w:numPr>
          <w:ilvl w:val="0"/>
          <w:numId w:val="0"/>
        </w:numPr>
        <w:shd w:val="clear"/>
        <w:spacing w:line="460" w:lineRule="exact"/>
        <w:ind w:left="180" w:firstLine="240"/>
        <w:jc w:val="left"/>
        <w:outlineLvl w:val="9"/>
        <w:rPr>
          <w:rFonts w:ascii="宋体" w:hAnsi="宋体" w:cs="宋体"/>
          <w:color w:val="auto"/>
          <w:sz w:val="24"/>
          <w:highlight w:val="none"/>
          <w:lang w:val="en-US" w:eastAsia="zh-CN" w:bidi="ar-SA"/>
        </w:rPr>
      </w:pPr>
    </w:p>
    <w:p>
      <w:pPr>
        <w:widowControl/>
        <w:numPr>
          <w:ilvl w:val="0"/>
          <w:numId w:val="0"/>
        </w:numPr>
        <w:shd w:val="clear"/>
        <w:spacing w:line="460" w:lineRule="exact"/>
        <w:ind w:left="180" w:firstLine="240"/>
        <w:jc w:val="left"/>
        <w:outlineLvl w:val="9"/>
        <w:rPr>
          <w:rFonts w:ascii="宋体" w:hAnsi="宋体" w:cs="宋体"/>
          <w:color w:val="auto"/>
          <w:sz w:val="24"/>
          <w:highlight w:val="none"/>
          <w:lang w:val="en-US" w:eastAsia="zh-CN" w:bidi="ar-SA"/>
        </w:rPr>
      </w:pPr>
    </w:p>
    <w:p>
      <w:pPr>
        <w:widowControl/>
        <w:numPr>
          <w:ilvl w:val="0"/>
          <w:numId w:val="0"/>
        </w:numPr>
        <w:shd w:val="clear"/>
        <w:spacing w:line="460" w:lineRule="exact"/>
        <w:ind w:left="180" w:firstLine="240"/>
        <w:jc w:val="left"/>
        <w:outlineLvl w:val="9"/>
        <w:rPr>
          <w:rFonts w:ascii="宋体" w:hAnsi="宋体" w:cs="宋体"/>
          <w:color w:val="auto"/>
          <w:sz w:val="24"/>
          <w:highlight w:val="none"/>
          <w:lang w:val="en-US" w:eastAsia="zh-CN" w:bidi="ar-SA"/>
        </w:rPr>
      </w:pPr>
    </w:p>
    <w:p>
      <w:pPr>
        <w:widowControl/>
        <w:numPr>
          <w:ilvl w:val="0"/>
          <w:numId w:val="0"/>
        </w:numPr>
        <w:shd w:val="clear"/>
        <w:spacing w:line="460" w:lineRule="exact"/>
        <w:ind w:left="180" w:firstLine="240"/>
        <w:jc w:val="left"/>
        <w:outlineLvl w:val="9"/>
        <w:rPr>
          <w:rFonts w:ascii="宋体" w:hAnsi="宋体" w:cs="宋体"/>
          <w:color w:val="auto"/>
          <w:sz w:val="24"/>
          <w:highlight w:val="none"/>
          <w:lang w:val="en-US" w:eastAsia="zh-CN" w:bidi="ar-SA"/>
        </w:rPr>
      </w:pPr>
    </w:p>
    <w:p>
      <w:pPr>
        <w:widowControl/>
        <w:numPr>
          <w:ilvl w:val="0"/>
          <w:numId w:val="0"/>
        </w:numPr>
        <w:shd w:val="clear"/>
        <w:spacing w:line="460" w:lineRule="exact"/>
        <w:ind w:left="180" w:firstLine="240"/>
        <w:jc w:val="left"/>
        <w:outlineLvl w:val="9"/>
        <w:rPr>
          <w:rFonts w:ascii="宋体" w:hAnsi="宋体" w:cs="宋体"/>
          <w:color w:val="auto"/>
          <w:sz w:val="24"/>
          <w:highlight w:val="none"/>
          <w:lang w:val="en-US" w:eastAsia="zh-CN" w:bidi="ar-SA"/>
        </w:rPr>
      </w:pPr>
    </w:p>
    <w:p>
      <w:pPr>
        <w:widowControl/>
        <w:numPr>
          <w:ilvl w:val="0"/>
          <w:numId w:val="0"/>
        </w:numPr>
        <w:shd w:val="clear"/>
        <w:spacing w:line="460" w:lineRule="exact"/>
        <w:ind w:left="180" w:firstLine="240"/>
        <w:jc w:val="left"/>
        <w:outlineLvl w:val="9"/>
        <w:rPr>
          <w:rFonts w:ascii="宋体" w:hAnsi="宋体" w:cs="宋体"/>
          <w:color w:val="auto"/>
          <w:sz w:val="24"/>
          <w:highlight w:val="none"/>
          <w:lang w:val="en-US" w:eastAsia="zh-CN" w:bidi="ar-SA"/>
        </w:rPr>
      </w:pPr>
    </w:p>
    <w:p>
      <w:pPr>
        <w:widowControl/>
        <w:numPr>
          <w:ilvl w:val="0"/>
          <w:numId w:val="0"/>
        </w:numPr>
        <w:shd w:val="clear"/>
        <w:spacing w:line="460" w:lineRule="exact"/>
        <w:ind w:left="180" w:firstLine="240"/>
        <w:jc w:val="left"/>
        <w:outlineLvl w:val="9"/>
        <w:rPr>
          <w:rFonts w:ascii="宋体" w:hAnsi="宋体" w:cs="宋体"/>
          <w:color w:val="auto"/>
          <w:sz w:val="24"/>
          <w:highlight w:val="none"/>
          <w:lang w:val="en-US" w:eastAsia="zh-CN" w:bidi="ar-SA"/>
        </w:rPr>
      </w:pPr>
    </w:p>
    <w:p>
      <w:pPr>
        <w:widowControl/>
        <w:numPr>
          <w:ilvl w:val="0"/>
          <w:numId w:val="0"/>
        </w:numPr>
        <w:shd w:val="clear"/>
        <w:spacing w:line="460" w:lineRule="exact"/>
        <w:ind w:left="180" w:firstLine="240"/>
        <w:jc w:val="left"/>
        <w:outlineLvl w:val="9"/>
        <w:rPr>
          <w:rFonts w:ascii="宋体" w:hAnsi="宋体" w:cs="宋体"/>
          <w:color w:val="auto"/>
          <w:sz w:val="24"/>
          <w:highlight w:val="none"/>
          <w:lang w:val="en-US" w:eastAsia="zh-CN" w:bidi="ar-SA"/>
        </w:rPr>
      </w:pPr>
    </w:p>
    <w:p>
      <w:pPr>
        <w:widowControl/>
        <w:numPr>
          <w:ilvl w:val="0"/>
          <w:numId w:val="0"/>
        </w:numPr>
        <w:shd w:val="clear"/>
        <w:spacing w:line="460" w:lineRule="exact"/>
        <w:ind w:left="180" w:firstLine="240"/>
        <w:jc w:val="left"/>
        <w:outlineLvl w:val="9"/>
        <w:rPr>
          <w:rFonts w:ascii="宋体" w:hAnsi="宋体" w:cs="宋体"/>
          <w:color w:val="auto"/>
          <w:sz w:val="24"/>
          <w:highlight w:val="none"/>
          <w:lang w:val="en-US" w:eastAsia="zh-CN" w:bidi="ar-SA"/>
        </w:rPr>
      </w:pPr>
    </w:p>
    <w:p>
      <w:pPr>
        <w:widowControl/>
        <w:numPr>
          <w:ilvl w:val="0"/>
          <w:numId w:val="0"/>
        </w:numPr>
        <w:shd w:val="clear"/>
        <w:spacing w:line="460" w:lineRule="exact"/>
        <w:ind w:left="180" w:firstLine="240"/>
        <w:jc w:val="left"/>
        <w:outlineLvl w:val="9"/>
        <w:rPr>
          <w:rFonts w:ascii="宋体" w:hAnsi="宋体" w:cs="宋体"/>
          <w:color w:val="auto"/>
          <w:sz w:val="24"/>
          <w:highlight w:val="none"/>
          <w:lang w:val="en-US" w:eastAsia="zh-CN" w:bidi="ar-SA"/>
        </w:rPr>
      </w:pPr>
    </w:p>
    <w:p>
      <w:pPr>
        <w:widowControl/>
        <w:numPr>
          <w:ilvl w:val="0"/>
          <w:numId w:val="0"/>
        </w:numPr>
        <w:shd w:val="clear"/>
        <w:spacing w:line="460" w:lineRule="exact"/>
        <w:ind w:left="180" w:firstLine="240"/>
        <w:jc w:val="left"/>
        <w:outlineLvl w:val="9"/>
        <w:rPr>
          <w:rFonts w:ascii="宋体" w:hAnsi="宋体" w:cs="宋体"/>
          <w:color w:val="auto"/>
          <w:sz w:val="24"/>
          <w:highlight w:val="none"/>
          <w:lang w:val="en-US" w:eastAsia="zh-CN" w:bidi="ar-SA"/>
        </w:rPr>
      </w:pPr>
    </w:p>
    <w:p>
      <w:pPr>
        <w:widowControl/>
        <w:numPr>
          <w:ilvl w:val="0"/>
          <w:numId w:val="0"/>
        </w:numPr>
        <w:shd w:val="clear"/>
        <w:spacing w:line="460" w:lineRule="exact"/>
        <w:ind w:left="180" w:firstLine="240"/>
        <w:jc w:val="left"/>
        <w:outlineLvl w:val="9"/>
        <w:rPr>
          <w:rFonts w:ascii="宋体" w:hAnsi="宋体" w:cs="宋体"/>
          <w:color w:val="auto"/>
          <w:sz w:val="24"/>
          <w:highlight w:val="none"/>
          <w:lang w:val="en-US" w:eastAsia="zh-CN" w:bidi="ar-SA"/>
        </w:rPr>
      </w:pPr>
    </w:p>
    <w:p>
      <w:pPr>
        <w:widowControl/>
        <w:numPr>
          <w:ilvl w:val="0"/>
          <w:numId w:val="0"/>
        </w:numPr>
        <w:shd w:val="clear"/>
        <w:spacing w:line="460" w:lineRule="exact"/>
        <w:ind w:left="180" w:firstLine="240"/>
        <w:jc w:val="left"/>
        <w:outlineLvl w:val="9"/>
        <w:rPr>
          <w:rFonts w:ascii="宋体" w:hAnsi="宋体" w:cs="宋体"/>
          <w:color w:val="auto"/>
          <w:sz w:val="24"/>
          <w:highlight w:val="none"/>
          <w:lang w:val="en-US" w:eastAsia="zh-CN" w:bidi="ar-SA"/>
        </w:rPr>
      </w:pPr>
    </w:p>
    <w:p>
      <w:pPr>
        <w:widowControl/>
        <w:numPr>
          <w:ilvl w:val="0"/>
          <w:numId w:val="0"/>
        </w:numPr>
        <w:shd w:val="clear"/>
        <w:spacing w:line="460" w:lineRule="exact"/>
        <w:ind w:left="180" w:firstLine="240"/>
        <w:jc w:val="left"/>
        <w:outlineLvl w:val="9"/>
        <w:rPr>
          <w:rFonts w:ascii="宋体" w:hAnsi="宋体" w:cs="宋体"/>
          <w:color w:val="auto"/>
          <w:sz w:val="24"/>
          <w:highlight w:val="none"/>
          <w:lang w:val="en-US" w:eastAsia="zh-CN" w:bidi="ar-SA"/>
        </w:rPr>
      </w:pPr>
    </w:p>
    <w:p>
      <w:pPr>
        <w:widowControl/>
        <w:numPr>
          <w:ilvl w:val="0"/>
          <w:numId w:val="0"/>
        </w:numPr>
        <w:shd w:val="clear"/>
        <w:spacing w:line="460" w:lineRule="exact"/>
        <w:jc w:val="left"/>
        <w:outlineLvl w:val="9"/>
        <w:rPr>
          <w:rFonts w:ascii="宋体" w:hAnsi="宋体" w:cs="宋体"/>
          <w:color w:val="auto"/>
          <w:sz w:val="24"/>
          <w:highlight w:val="none"/>
          <w:lang w:val="en-US" w:eastAsia="zh-CN" w:bidi="ar-SA"/>
        </w:rPr>
      </w:pPr>
    </w:p>
    <w:p>
      <w:pPr>
        <w:pStyle w:val="5"/>
        <w:shd w:val="clear"/>
        <w:bidi w:val="0"/>
        <w:rPr>
          <w:rFonts w:hint="eastAsia"/>
          <w:color w:val="auto"/>
          <w:highlight w:val="none"/>
        </w:rPr>
      </w:pPr>
      <w:r>
        <w:rPr>
          <w:rFonts w:hint="eastAsia"/>
          <w:color w:val="auto"/>
          <w:highlight w:val="none"/>
        </w:rPr>
        <w:t>其他</w:t>
      </w:r>
      <w:r>
        <w:rPr>
          <w:rFonts w:hint="eastAsia"/>
          <w:color w:val="auto"/>
          <w:highlight w:val="none"/>
          <w:lang w:val="en-US" w:eastAsia="zh-CN"/>
        </w:rPr>
        <w:t>供应商</w:t>
      </w:r>
      <w:r>
        <w:rPr>
          <w:rFonts w:hint="eastAsia"/>
          <w:color w:val="auto"/>
          <w:highlight w:val="none"/>
        </w:rPr>
        <w:t>认为有必要提供的证明资料（参考评分标准）</w:t>
      </w:r>
    </w:p>
    <w:p>
      <w:pPr>
        <w:widowControl/>
        <w:shd w:val="clear"/>
        <w:spacing w:before="4" w:line="360" w:lineRule="auto"/>
        <w:jc w:val="both"/>
        <w:outlineLvl w:val="9"/>
        <w:rPr>
          <w:rFonts w:ascii="宋体" w:hAnsi="宋体" w:cs="宋体"/>
          <w:b/>
          <w:bCs/>
          <w:color w:val="auto"/>
          <w:sz w:val="30"/>
          <w:szCs w:val="30"/>
          <w:highlight w:val="none"/>
        </w:rPr>
      </w:pPr>
    </w:p>
    <w:sectPr>
      <w:footerReference r:id="rId8" w:type="default"/>
      <w:pgSz w:w="11906" w:h="16838"/>
      <w:pgMar w:top="1440" w:right="1080" w:bottom="1440" w:left="1080" w:header="851" w:footer="992"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auto"/>
    <w:pitch w:val="default"/>
    <w:sig w:usb0="00000001" w:usb1="080E0000" w:usb2="00000000" w:usb3="00000000" w:csb0="00040000" w:csb1="00000000"/>
  </w:font>
  <w:font w:name="楷体_GB2312">
    <w:altName w:val="楷体"/>
    <w:panose1 w:val="02010609030101010101"/>
    <w:charset w:val="00"/>
    <w:family w:val="auto"/>
    <w:pitch w:val="default"/>
    <w:sig w:usb0="00000000" w:usb1="00000000" w:usb2="00000000" w:usb3="00000000" w:csb0="00000000" w:csb1="00000000"/>
  </w:font>
  <w:font w:name="方正小标宋_GBK">
    <w:panose1 w:val="03000509000000000000"/>
    <w:charset w:val="86"/>
    <w:family w:val="auto"/>
    <w:pitch w:val="default"/>
    <w:sig w:usb0="00000001" w:usb1="080E0000" w:usb2="00000000" w:usb3="00000000" w:csb0="00040000" w:csb1="00000000"/>
  </w:font>
  <w:font w:name="Times">
    <w:altName w:val="Times New Roman"/>
    <w:panose1 w:val="02020603050405020304"/>
    <w:charset w:val="00"/>
    <w:family w:val="auto"/>
    <w:pitch w:val="default"/>
    <w:sig w:usb0="00000000" w:usb1="00000000" w:usb2="00000000" w:usb3="00000000" w:csb0="00040001" w:csb1="00000000"/>
  </w:font>
  <w:font w:name="Formata">
    <w:altName w:val="BKGeZi"/>
    <w:panose1 w:val="020B0503020202020204"/>
    <w:charset w:val="00"/>
    <w:family w:val="auto"/>
    <w:pitch w:val="default"/>
    <w:sig w:usb0="00000000" w:usb1="00000000" w:usb2="00000000" w:usb3="00000000" w:csb0="00040001" w:csb1="00000000"/>
  </w:font>
  <w:font w:name="华文仿宋">
    <w:altName w:val="仿宋"/>
    <w:panose1 w:val="02010600040101010101"/>
    <w:charset w:val="86"/>
    <w:family w:val="auto"/>
    <w:pitch w:val="default"/>
    <w:sig w:usb0="00000000" w:usb1="00000000" w:usb2="00000000" w:usb3="00000000" w:csb0="0004009F" w:csb1="DFD70000"/>
  </w:font>
  <w:font w:name="DFKai-SB">
    <w:altName w:val="Microsoft JhengHei Light"/>
    <w:panose1 w:val="03050502040202030202"/>
    <w:charset w:val="00"/>
    <w:family w:val="auto"/>
    <w:pitch w:val="default"/>
    <w:sig w:usb0="00000000" w:usb1="00000000" w:usb2="00000000" w:usb3="00000000" w:csb0="00040001" w:csb1="00000000"/>
  </w:font>
  <w:font w:name="文鼎CS中宋">
    <w:altName w:val="宋体"/>
    <w:panose1 w:val="020B0503020202020204"/>
    <w:charset w:val="00"/>
    <w:family w:val="auto"/>
    <w:pitch w:val="default"/>
    <w:sig w:usb0="00000000" w:usb1="00000000" w:usb2="00000000" w:usb3="00000000" w:csb0="00040001"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隶书">
    <w:altName w:val="Times New Roman"/>
    <w:panose1 w:val="02010509060101010101"/>
    <w:charset w:val="00"/>
    <w:family w:val="auto"/>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Swis721 Lt BT">
    <w:panose1 w:val="020B0403020202020204"/>
    <w:charset w:val="00"/>
    <w:family w:val="auto"/>
    <w:pitch w:val="default"/>
    <w:sig w:usb0="00000000" w:usb1="00000000" w:usb2="00000000" w:usb3="00000000" w:csb0="00000000" w:csb1="00000000"/>
  </w:font>
  <w:font w:name="华文楷体">
    <w:altName w:val="宋体"/>
    <w:panose1 w:val="02010600040101010101"/>
    <w:charset w:val="86"/>
    <w:family w:val="auto"/>
    <w:pitch w:val="default"/>
    <w:sig w:usb0="00000000" w:usb1="00000000" w:usb2="00000016" w:usb3="00000000" w:csb0="6006009F" w:csb1="DFD70000"/>
  </w:font>
  <w:font w:name="华文细黑">
    <w:altName w:val="微软雅黑"/>
    <w:panose1 w:val="02010600040101010101"/>
    <w:charset w:val="86"/>
    <w:family w:val="auto"/>
    <w:pitch w:val="default"/>
    <w:sig w:usb0="00000000" w:usb1="00000000" w:usb2="00000000" w:usb3="00000000" w:csb0="0004009F" w:csb1="DFD70000"/>
  </w:font>
  <w:font w:name="ˎ̥">
    <w:altName w:val="BKGeZi"/>
    <w:panose1 w:val="020B0503020202020204"/>
    <w:charset w:val="00"/>
    <w:family w:val="auto"/>
    <w:pitch w:val="default"/>
    <w:sig w:usb0="00000000"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 w:name="楷体">
    <w:panose1 w:val="02010609060101010101"/>
    <w:charset w:val="86"/>
    <w:family w:val="auto"/>
    <w:pitch w:val="default"/>
    <w:sig w:usb0="800002BF" w:usb1="38CF7CFA" w:usb2="00000016" w:usb3="00000000" w:csb0="00040001" w:csb1="00000000"/>
  </w:font>
  <w:font w:name="BKGeZi">
    <w:panose1 w:val="02000500000000000000"/>
    <w:charset w:val="86"/>
    <w:family w:val="auto"/>
    <w:pitch w:val="default"/>
    <w:sig w:usb0="00000023" w:usb1="00002000" w:usb2="00000000" w:usb3="00000000" w:csb0="00040001" w:csb1="00000000"/>
  </w:font>
  <w:font w:name="Microsoft JhengHei Light">
    <w:panose1 w:val="020B0304030504040204"/>
    <w:charset w:val="88"/>
    <w:family w:val="auto"/>
    <w:pitch w:val="default"/>
    <w:sig w:usb0="8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Bdr>
        <w:top w:val="none" w:color="auto" w:sz="0" w:space="0"/>
        <w:bottom w:val="none" w:color="auto" w:sz="0" w:space="0"/>
      </w:pBdr>
      <w:tabs>
        <w:tab w:val="center" w:pos="4153"/>
        <w:tab w:val="right" w:pos="8306"/>
      </w:tabs>
      <w:snapToGrid w:val="0"/>
      <w:jc w:val="left"/>
      <w:rPr>
        <w:rFonts w:hint="default" w:ascii="Calibri" w:hAnsi="Calibri" w:eastAsia="Arial" w:cs="Arial"/>
        <w:kern w:val="2"/>
        <w:sz w:val="18"/>
        <w:szCs w:val="24"/>
        <w:lang w:val="en-US" w:eastAsia="zh-CN" w:bidi="ar-SA"/>
      </w:rPr>
    </w:pPr>
    <w:r>
      <w:rPr>
        <w:rFonts w:hint="default" w:ascii="Calibri" w:hAnsi="Calibri" w:eastAsia="Arial" w:cs="Arial"/>
        <w:kern w:val="2"/>
        <w:sz w:val="18"/>
        <w:szCs w:val="24"/>
        <w:lang w:val="en-US" w:eastAsia="zh-CN" w:bidi="ar-SA"/>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widowControl w:val="0"/>
                            <w:tabs>
                              <w:tab w:val="center" w:pos="4153"/>
                              <w:tab w:val="right" w:pos="8306"/>
                            </w:tabs>
                            <w:snapToGrid w:val="0"/>
                            <w:jc w:val="left"/>
                            <w:rPr>
                              <w:rFonts w:hint="eastAsia" w:ascii="Calibri" w:hAnsi="Calibri" w:eastAsia="宋体" w:cs="Arial"/>
                              <w:kern w:val="2"/>
                              <w:sz w:val="18"/>
                              <w:szCs w:val="24"/>
                              <w:lang w:val="en-US" w:eastAsia="zh-CN" w:bidi="ar-SA"/>
                            </w:rPr>
                          </w:pPr>
                          <w:r>
                            <w:rPr>
                              <w:rFonts w:hint="eastAsia" w:ascii="Calibri" w:hAnsi="Calibri" w:eastAsia="宋体" w:cs="Arial"/>
                              <w:kern w:val="2"/>
                              <w:sz w:val="18"/>
                              <w:szCs w:val="24"/>
                              <w:lang w:val="en-US" w:eastAsia="zh-CN" w:bidi="ar-SA"/>
                            </w:rPr>
                            <w:t xml:space="preserve">第 </w:t>
                          </w:r>
                          <w:r>
                            <w:rPr>
                              <w:rFonts w:hint="eastAsia" w:ascii="Calibri" w:hAnsi="Calibri" w:eastAsia="宋体" w:cs="Arial"/>
                              <w:kern w:val="2"/>
                              <w:sz w:val="18"/>
                              <w:szCs w:val="24"/>
                              <w:lang w:val="en-US" w:eastAsia="zh-CN" w:bidi="ar-SA"/>
                            </w:rPr>
                            <w:fldChar w:fldCharType="begin"/>
                          </w:r>
                          <w:r>
                            <w:rPr>
                              <w:rFonts w:hint="eastAsia" w:ascii="Calibri" w:hAnsi="Calibri" w:eastAsia="宋体" w:cs="Arial"/>
                              <w:kern w:val="2"/>
                              <w:sz w:val="18"/>
                              <w:szCs w:val="24"/>
                              <w:lang w:val="en-US" w:eastAsia="zh-CN" w:bidi="ar-SA"/>
                            </w:rPr>
                            <w:instrText xml:space="preserve"> PAGE  \* MERGEFORMAT </w:instrText>
                          </w:r>
                          <w:r>
                            <w:rPr>
                              <w:rFonts w:hint="eastAsia" w:ascii="Calibri" w:hAnsi="Calibri" w:eastAsia="宋体" w:cs="Arial"/>
                              <w:kern w:val="2"/>
                              <w:sz w:val="18"/>
                              <w:szCs w:val="24"/>
                              <w:lang w:val="en-US" w:eastAsia="zh-CN" w:bidi="ar-SA"/>
                            </w:rPr>
                            <w:fldChar w:fldCharType="separate"/>
                          </w:r>
                          <w:r>
                            <w:rPr>
                              <w:rFonts w:hint="eastAsia" w:ascii="Calibri" w:hAnsi="Calibri" w:eastAsia="宋体" w:cs="Arial"/>
                              <w:kern w:val="2"/>
                              <w:sz w:val="18"/>
                              <w:szCs w:val="24"/>
                              <w:lang w:val="en-US" w:eastAsia="zh-CN" w:bidi="ar-SA"/>
                            </w:rPr>
                            <w:t>2</w:t>
                          </w:r>
                          <w:r>
                            <w:rPr>
                              <w:rFonts w:hint="eastAsia" w:ascii="Calibri" w:hAnsi="Calibri" w:eastAsia="宋体" w:cs="Arial"/>
                              <w:kern w:val="2"/>
                              <w:sz w:val="18"/>
                              <w:szCs w:val="24"/>
                              <w:lang w:val="en-US" w:eastAsia="zh-CN" w:bidi="ar-SA"/>
                            </w:rPr>
                            <w:fldChar w:fldCharType="end"/>
                          </w:r>
                          <w:r>
                            <w:rPr>
                              <w:rFonts w:hint="eastAsia" w:ascii="Calibri" w:hAnsi="Calibri" w:eastAsia="宋体" w:cs="Arial"/>
                              <w:kern w:val="2"/>
                              <w:sz w:val="18"/>
                              <w:szCs w:val="24"/>
                              <w:lang w:val="en-US" w:eastAsia="zh-CN" w:bidi="ar-SA"/>
                            </w:rPr>
                            <w:t xml:space="preserve"> 页 共 </w:t>
                          </w:r>
                          <w:r>
                            <w:rPr>
                              <w:rFonts w:hint="eastAsia" w:ascii="Calibri" w:hAnsi="Calibri" w:eastAsia="宋体" w:cs="Arial"/>
                              <w:kern w:val="2"/>
                              <w:sz w:val="18"/>
                              <w:szCs w:val="24"/>
                              <w:lang w:val="en-US" w:eastAsia="zh-CN" w:bidi="ar-SA"/>
                            </w:rPr>
                            <w:fldChar w:fldCharType="begin"/>
                          </w:r>
                          <w:r>
                            <w:rPr>
                              <w:rFonts w:hint="eastAsia" w:ascii="Calibri" w:hAnsi="Calibri" w:eastAsia="宋体" w:cs="Arial"/>
                              <w:kern w:val="2"/>
                              <w:sz w:val="18"/>
                              <w:szCs w:val="24"/>
                              <w:lang w:val="en-US" w:eastAsia="zh-CN" w:bidi="ar-SA"/>
                            </w:rPr>
                            <w:instrText xml:space="preserve"> NUMPAGES  \* MERGEFORMAT </w:instrText>
                          </w:r>
                          <w:r>
                            <w:rPr>
                              <w:rFonts w:hint="eastAsia" w:ascii="Calibri" w:hAnsi="Calibri" w:eastAsia="宋体" w:cs="Arial"/>
                              <w:kern w:val="2"/>
                              <w:sz w:val="18"/>
                              <w:szCs w:val="24"/>
                              <w:lang w:val="en-US" w:eastAsia="zh-CN" w:bidi="ar-SA"/>
                            </w:rPr>
                            <w:fldChar w:fldCharType="separate"/>
                          </w:r>
                          <w:r>
                            <w:rPr>
                              <w:rFonts w:hint="eastAsia" w:ascii="Calibri" w:hAnsi="Calibri" w:eastAsia="宋体" w:cs="Arial"/>
                              <w:kern w:val="2"/>
                              <w:sz w:val="18"/>
                              <w:szCs w:val="24"/>
                              <w:lang w:val="en-US" w:eastAsia="zh-CN" w:bidi="ar-SA"/>
                            </w:rPr>
                            <w:t>0</w:t>
                          </w:r>
                          <w:r>
                            <w:rPr>
                              <w:rFonts w:hint="eastAsia" w:ascii="Calibri" w:hAnsi="Calibri" w:eastAsia="宋体" w:cs="Arial"/>
                              <w:kern w:val="2"/>
                              <w:sz w:val="18"/>
                              <w:szCs w:val="24"/>
                              <w:lang w:val="en-US" w:eastAsia="zh-CN" w:bidi="ar-SA"/>
                            </w:rPr>
                            <w:fldChar w:fldCharType="end"/>
                          </w:r>
                          <w:r>
                            <w:rPr>
                              <w:rFonts w:hint="eastAsia" w:ascii="Calibri" w:hAnsi="Calibri" w:eastAsia="宋体" w:cs="Arial"/>
                              <w:kern w:val="2"/>
                              <w:sz w:val="18"/>
                              <w:szCs w:val="24"/>
                              <w:lang w:val="en-US" w:eastAsia="zh-CN" w:bidi="ar-SA"/>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xQTjkZAgAAIQQAAA4AAABkcnMvZTJvRG9jLnhtbK1Ty47TMBTdI/EP&#10;lvc0aRFVVTUdlRkVIVXMSAWxdh2nieSXbLdJ+QD4A1Zs2PNd/Q6OnaaDmFkhNva17/vccxc3nZLk&#10;KJxvjC7oeJRTIjQ3ZaP3Bf30cf1qRokPTJdMGi0KehKe3ixfvli0di4mpjayFI4giPbz1ha0DsHO&#10;s8zzWijmR8YKDWVlnGIBT7fPSsdaRFcym+T5NGuNK60zXHiP37teSZcpflUJHu6ryotAZEFRW0in&#10;S+cuntlyweZ7x2zd8EsZ7B+qUKzRSHoNdccCIwfXPAmlGu6MN1UYcaMyU1UNF6kHdDPO/+pmWzMr&#10;Ui8Ax9srTP7/heUfjg+ONGVBp5RopjCi8/dv5x+/zj+/kmmEp7V+DquthV3o3poOYx7+PT5j113l&#10;VLzRD4EeQJ+u4IouEB6dZpPZLIeKQzc8ED97dLfOh3fCKBKFgjpML4HKjhsfetPBJGbTZt1ImSYo&#10;NWnRwus3eXK4ahBc6mgrEhcuYWJLfelRCt2uu/S5M+UJbTrT88Rbvm5Qyob58MAciIHyQfZwj6OS&#10;BinNRaKkNu7Lc//RHvOClpIWRCuoxiZQIt9rzDFychDcIOwGQR/UrQFzx1giy5MIBxfkIFbOqM/Y&#10;gFXMARXTHJkKGgbxNvRkxwZxsVolo4N1zb7uHcBCy8JGby2PaSJU3q4OAdAmxCNAPSqYVHyAh2lm&#10;l52JRP/znaweN3v5G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LNJWO7QAAAABQEAAA8AAAAAAAAA&#10;AQAgAAAAIgAAAGRycy9kb3ducmV2LnhtbFBLAQIUABQAAAAIAIdO4kBMUE45GQIAACEEAAAOAAAA&#10;AAAAAAEAIAAAAB8BAABkcnMvZTJvRG9jLnhtbFBLBQYAAAAABgAGAFkBAACqBQAAAAA=&#10;">
              <v:fill on="f" focussize="0,0"/>
              <v:stroke on="f" weight="0.5pt"/>
              <v:imagedata o:title=""/>
              <o:lock v:ext="edit" aspectratio="f"/>
              <v:textbox inset="0mm,0mm,0mm,0mm" style="mso-fit-shape-to-text:t;">
                <w:txbxContent>
                  <w:p>
                    <w:pPr>
                      <w:widowControl w:val="0"/>
                      <w:tabs>
                        <w:tab w:val="center" w:pos="4153"/>
                        <w:tab w:val="right" w:pos="8306"/>
                      </w:tabs>
                      <w:snapToGrid w:val="0"/>
                      <w:jc w:val="left"/>
                      <w:rPr>
                        <w:rFonts w:hint="eastAsia" w:ascii="Calibri" w:hAnsi="Calibri" w:eastAsia="宋体" w:cs="Arial"/>
                        <w:kern w:val="2"/>
                        <w:sz w:val="18"/>
                        <w:szCs w:val="24"/>
                        <w:lang w:val="en-US" w:eastAsia="zh-CN" w:bidi="ar-SA"/>
                      </w:rPr>
                    </w:pPr>
                    <w:r>
                      <w:rPr>
                        <w:rFonts w:hint="eastAsia" w:ascii="Calibri" w:hAnsi="Calibri" w:eastAsia="宋体" w:cs="Arial"/>
                        <w:kern w:val="2"/>
                        <w:sz w:val="18"/>
                        <w:szCs w:val="24"/>
                        <w:lang w:val="en-US" w:eastAsia="zh-CN" w:bidi="ar-SA"/>
                      </w:rPr>
                      <w:t xml:space="preserve">第 </w:t>
                    </w:r>
                    <w:r>
                      <w:rPr>
                        <w:rFonts w:hint="eastAsia" w:ascii="Calibri" w:hAnsi="Calibri" w:eastAsia="宋体" w:cs="Arial"/>
                        <w:kern w:val="2"/>
                        <w:sz w:val="18"/>
                        <w:szCs w:val="24"/>
                        <w:lang w:val="en-US" w:eastAsia="zh-CN" w:bidi="ar-SA"/>
                      </w:rPr>
                      <w:fldChar w:fldCharType="begin"/>
                    </w:r>
                    <w:r>
                      <w:rPr>
                        <w:rFonts w:hint="eastAsia" w:ascii="Calibri" w:hAnsi="Calibri" w:eastAsia="宋体" w:cs="Arial"/>
                        <w:kern w:val="2"/>
                        <w:sz w:val="18"/>
                        <w:szCs w:val="24"/>
                        <w:lang w:val="en-US" w:eastAsia="zh-CN" w:bidi="ar-SA"/>
                      </w:rPr>
                      <w:instrText xml:space="preserve"> PAGE  \* MERGEFORMAT </w:instrText>
                    </w:r>
                    <w:r>
                      <w:rPr>
                        <w:rFonts w:hint="eastAsia" w:ascii="Calibri" w:hAnsi="Calibri" w:eastAsia="宋体" w:cs="Arial"/>
                        <w:kern w:val="2"/>
                        <w:sz w:val="18"/>
                        <w:szCs w:val="24"/>
                        <w:lang w:val="en-US" w:eastAsia="zh-CN" w:bidi="ar-SA"/>
                      </w:rPr>
                      <w:fldChar w:fldCharType="separate"/>
                    </w:r>
                    <w:r>
                      <w:rPr>
                        <w:rFonts w:hint="eastAsia" w:ascii="Calibri" w:hAnsi="Calibri" w:eastAsia="宋体" w:cs="Arial"/>
                        <w:kern w:val="2"/>
                        <w:sz w:val="18"/>
                        <w:szCs w:val="24"/>
                        <w:lang w:val="en-US" w:eastAsia="zh-CN" w:bidi="ar-SA"/>
                      </w:rPr>
                      <w:t>2</w:t>
                    </w:r>
                    <w:r>
                      <w:rPr>
                        <w:rFonts w:hint="eastAsia" w:ascii="Calibri" w:hAnsi="Calibri" w:eastAsia="宋体" w:cs="Arial"/>
                        <w:kern w:val="2"/>
                        <w:sz w:val="18"/>
                        <w:szCs w:val="24"/>
                        <w:lang w:val="en-US" w:eastAsia="zh-CN" w:bidi="ar-SA"/>
                      </w:rPr>
                      <w:fldChar w:fldCharType="end"/>
                    </w:r>
                    <w:r>
                      <w:rPr>
                        <w:rFonts w:hint="eastAsia" w:ascii="Calibri" w:hAnsi="Calibri" w:eastAsia="宋体" w:cs="Arial"/>
                        <w:kern w:val="2"/>
                        <w:sz w:val="18"/>
                        <w:szCs w:val="24"/>
                        <w:lang w:val="en-US" w:eastAsia="zh-CN" w:bidi="ar-SA"/>
                      </w:rPr>
                      <w:t xml:space="preserve"> 页 共 </w:t>
                    </w:r>
                    <w:r>
                      <w:rPr>
                        <w:rFonts w:hint="eastAsia" w:ascii="Calibri" w:hAnsi="Calibri" w:eastAsia="宋体" w:cs="Arial"/>
                        <w:kern w:val="2"/>
                        <w:sz w:val="18"/>
                        <w:szCs w:val="24"/>
                        <w:lang w:val="en-US" w:eastAsia="zh-CN" w:bidi="ar-SA"/>
                      </w:rPr>
                      <w:fldChar w:fldCharType="begin"/>
                    </w:r>
                    <w:r>
                      <w:rPr>
                        <w:rFonts w:hint="eastAsia" w:ascii="Calibri" w:hAnsi="Calibri" w:eastAsia="宋体" w:cs="Arial"/>
                        <w:kern w:val="2"/>
                        <w:sz w:val="18"/>
                        <w:szCs w:val="24"/>
                        <w:lang w:val="en-US" w:eastAsia="zh-CN" w:bidi="ar-SA"/>
                      </w:rPr>
                      <w:instrText xml:space="preserve"> NUMPAGES  \* MERGEFORMAT </w:instrText>
                    </w:r>
                    <w:r>
                      <w:rPr>
                        <w:rFonts w:hint="eastAsia" w:ascii="Calibri" w:hAnsi="Calibri" w:eastAsia="宋体" w:cs="Arial"/>
                        <w:kern w:val="2"/>
                        <w:sz w:val="18"/>
                        <w:szCs w:val="24"/>
                        <w:lang w:val="en-US" w:eastAsia="zh-CN" w:bidi="ar-SA"/>
                      </w:rPr>
                      <w:fldChar w:fldCharType="separate"/>
                    </w:r>
                    <w:r>
                      <w:rPr>
                        <w:rFonts w:hint="eastAsia" w:ascii="Calibri" w:hAnsi="Calibri" w:eastAsia="宋体" w:cs="Arial"/>
                        <w:kern w:val="2"/>
                        <w:sz w:val="18"/>
                        <w:szCs w:val="24"/>
                        <w:lang w:val="en-US" w:eastAsia="zh-CN" w:bidi="ar-SA"/>
                      </w:rPr>
                      <w:t>0</w:t>
                    </w:r>
                    <w:r>
                      <w:rPr>
                        <w:rFonts w:hint="eastAsia" w:ascii="Calibri" w:hAnsi="Calibri" w:eastAsia="宋体" w:cs="Arial"/>
                        <w:kern w:val="2"/>
                        <w:sz w:val="18"/>
                        <w:szCs w:val="24"/>
                        <w:lang w:val="en-US" w:eastAsia="zh-CN" w:bidi="ar-SA"/>
                      </w:rPr>
                      <w:fldChar w:fldCharType="end"/>
                    </w:r>
                    <w:r>
                      <w:rPr>
                        <w:rFonts w:hint="eastAsia" w:ascii="Calibri" w:hAnsi="Calibri" w:eastAsia="宋体" w:cs="Arial"/>
                        <w:kern w:val="2"/>
                        <w:sz w:val="18"/>
                        <w:szCs w:val="24"/>
                        <w:lang w:val="en-US" w:eastAsia="zh-CN" w:bidi="ar-SA"/>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Bdr>
        <w:top w:val="none" w:color="auto" w:sz="0" w:space="0"/>
        <w:bottom w:val="none" w:color="auto" w:sz="0" w:space="0"/>
      </w:pBdr>
      <w:tabs>
        <w:tab w:val="center" w:pos="4153"/>
        <w:tab w:val="right" w:pos="8306"/>
      </w:tabs>
      <w:snapToGrid w:val="0"/>
      <w:jc w:val="left"/>
      <w:rPr>
        <w:rFonts w:hint="default" w:ascii="Calibri" w:hAnsi="Calibri" w:eastAsia="Arial" w:cs="Arial"/>
        <w:kern w:val="2"/>
        <w:sz w:val="18"/>
        <w:szCs w:val="24"/>
        <w:lang w:val="en-US" w:eastAsia="zh-CN" w:bidi="ar-S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Bdr>
        <w:top w:val="none" w:color="auto" w:sz="0" w:space="0"/>
        <w:bottom w:val="none" w:color="auto" w:sz="0" w:space="0"/>
      </w:pBdr>
      <w:tabs>
        <w:tab w:val="center" w:pos="4153"/>
        <w:tab w:val="right" w:pos="8306"/>
      </w:tabs>
      <w:snapToGrid w:val="0"/>
      <w:jc w:val="left"/>
      <w:rPr>
        <w:rFonts w:hint="default" w:ascii="Calibri" w:hAnsi="Calibri" w:eastAsia="Arial" w:cs="Arial"/>
        <w:kern w:val="2"/>
        <w:sz w:val="18"/>
        <w:szCs w:val="24"/>
        <w:lang w:val="en-US" w:eastAsia="zh-CN" w:bidi="ar-SA"/>
      </w:rPr>
    </w:pPr>
    <w:r>
      <w:rPr>
        <w:rFonts w:hint="default" w:ascii="Calibri" w:hAnsi="Calibri" w:eastAsia="Arial" w:cs="Arial"/>
        <w:kern w:val="2"/>
        <w:sz w:val="18"/>
        <w:szCs w:val="24"/>
        <w:lang w:val="en-US" w:eastAsia="zh-CN" w:bidi="ar-SA"/>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widowControl w:val="0"/>
                            <w:tabs>
                              <w:tab w:val="center" w:pos="4153"/>
                              <w:tab w:val="right" w:pos="8306"/>
                            </w:tabs>
                            <w:snapToGrid w:val="0"/>
                            <w:jc w:val="left"/>
                            <w:rPr>
                              <w:rFonts w:hint="eastAsia" w:ascii="Calibri" w:hAnsi="Calibri" w:eastAsia="宋体" w:cs="Arial"/>
                              <w:kern w:val="2"/>
                              <w:sz w:val="18"/>
                              <w:szCs w:val="24"/>
                              <w:lang w:val="en-US" w:eastAsia="zh-CN" w:bidi="ar-SA"/>
                            </w:rPr>
                          </w:pPr>
                          <w:r>
                            <w:rPr>
                              <w:rFonts w:hint="eastAsia" w:ascii="Calibri" w:hAnsi="Calibri" w:eastAsia="宋体" w:cs="Arial"/>
                              <w:kern w:val="2"/>
                              <w:sz w:val="18"/>
                              <w:szCs w:val="24"/>
                              <w:lang w:val="en-US" w:eastAsia="zh-CN" w:bidi="ar-SA"/>
                            </w:rPr>
                            <w:t xml:space="preserve">第 </w:t>
                          </w:r>
                          <w:r>
                            <w:rPr>
                              <w:rFonts w:hint="eastAsia" w:ascii="Calibri" w:hAnsi="Calibri" w:eastAsia="宋体" w:cs="Arial"/>
                              <w:kern w:val="2"/>
                              <w:sz w:val="18"/>
                              <w:szCs w:val="24"/>
                              <w:lang w:val="en-US" w:eastAsia="zh-CN" w:bidi="ar-SA"/>
                            </w:rPr>
                            <w:fldChar w:fldCharType="begin"/>
                          </w:r>
                          <w:r>
                            <w:rPr>
                              <w:rFonts w:hint="eastAsia" w:ascii="Calibri" w:hAnsi="Calibri" w:eastAsia="宋体" w:cs="Arial"/>
                              <w:kern w:val="2"/>
                              <w:sz w:val="18"/>
                              <w:szCs w:val="24"/>
                              <w:lang w:val="en-US" w:eastAsia="zh-CN" w:bidi="ar-SA"/>
                            </w:rPr>
                            <w:instrText xml:space="preserve"> PAGE  \* MERGEFORMAT </w:instrText>
                          </w:r>
                          <w:r>
                            <w:rPr>
                              <w:rFonts w:hint="eastAsia" w:ascii="Calibri" w:hAnsi="Calibri" w:eastAsia="宋体" w:cs="Arial"/>
                              <w:kern w:val="2"/>
                              <w:sz w:val="18"/>
                              <w:szCs w:val="24"/>
                              <w:lang w:val="en-US" w:eastAsia="zh-CN" w:bidi="ar-SA"/>
                            </w:rPr>
                            <w:fldChar w:fldCharType="separate"/>
                          </w:r>
                          <w:r>
                            <w:rPr>
                              <w:rFonts w:hint="eastAsia" w:ascii="Calibri" w:hAnsi="Calibri" w:eastAsia="宋体" w:cs="Arial"/>
                              <w:kern w:val="2"/>
                              <w:sz w:val="18"/>
                              <w:szCs w:val="24"/>
                              <w:lang w:val="en-US" w:eastAsia="zh-CN" w:bidi="ar-SA"/>
                            </w:rPr>
                            <w:t>1</w:t>
                          </w:r>
                          <w:r>
                            <w:rPr>
                              <w:rFonts w:hint="eastAsia" w:ascii="Calibri" w:hAnsi="Calibri" w:eastAsia="宋体" w:cs="Arial"/>
                              <w:kern w:val="2"/>
                              <w:sz w:val="18"/>
                              <w:szCs w:val="24"/>
                              <w:lang w:val="en-US" w:eastAsia="zh-CN" w:bidi="ar-SA"/>
                            </w:rPr>
                            <w:fldChar w:fldCharType="end"/>
                          </w:r>
                          <w:r>
                            <w:rPr>
                              <w:rFonts w:hint="eastAsia" w:ascii="Calibri" w:hAnsi="Calibri" w:eastAsia="宋体" w:cs="Arial"/>
                              <w:kern w:val="2"/>
                              <w:sz w:val="18"/>
                              <w:szCs w:val="24"/>
                              <w:lang w:val="en-US" w:eastAsia="zh-CN" w:bidi="ar-SA"/>
                            </w:rPr>
                            <w:t xml:space="preserve"> 页 共 </w:t>
                          </w:r>
                          <w:r>
                            <w:rPr>
                              <w:rFonts w:hint="eastAsia" w:ascii="Calibri" w:hAnsi="Calibri" w:eastAsia="宋体" w:cs="Arial"/>
                              <w:kern w:val="2"/>
                              <w:sz w:val="18"/>
                              <w:szCs w:val="24"/>
                              <w:lang w:val="en-US" w:eastAsia="zh-CN" w:bidi="ar-SA"/>
                            </w:rPr>
                            <w:fldChar w:fldCharType="begin"/>
                          </w:r>
                          <w:r>
                            <w:rPr>
                              <w:rFonts w:hint="eastAsia" w:ascii="Calibri" w:hAnsi="Calibri" w:eastAsia="宋体" w:cs="Arial"/>
                              <w:kern w:val="2"/>
                              <w:sz w:val="18"/>
                              <w:szCs w:val="24"/>
                              <w:lang w:val="en-US" w:eastAsia="zh-CN" w:bidi="ar-SA"/>
                            </w:rPr>
                            <w:instrText xml:space="preserve"> NUMPAGES  \* MERGEFORMAT </w:instrText>
                          </w:r>
                          <w:r>
                            <w:rPr>
                              <w:rFonts w:hint="eastAsia" w:ascii="Calibri" w:hAnsi="Calibri" w:eastAsia="宋体" w:cs="Arial"/>
                              <w:kern w:val="2"/>
                              <w:sz w:val="18"/>
                              <w:szCs w:val="24"/>
                              <w:lang w:val="en-US" w:eastAsia="zh-CN" w:bidi="ar-SA"/>
                            </w:rPr>
                            <w:fldChar w:fldCharType="separate"/>
                          </w:r>
                          <w:r>
                            <w:rPr>
                              <w:rFonts w:hint="eastAsia" w:ascii="Calibri" w:hAnsi="Calibri" w:eastAsia="宋体" w:cs="Arial"/>
                              <w:kern w:val="2"/>
                              <w:sz w:val="18"/>
                              <w:szCs w:val="24"/>
                              <w:lang w:val="en-US" w:eastAsia="zh-CN" w:bidi="ar-SA"/>
                            </w:rPr>
                            <w:t>0</w:t>
                          </w:r>
                          <w:r>
                            <w:rPr>
                              <w:rFonts w:hint="eastAsia" w:ascii="Calibri" w:hAnsi="Calibri" w:eastAsia="宋体" w:cs="Arial"/>
                              <w:kern w:val="2"/>
                              <w:sz w:val="18"/>
                              <w:szCs w:val="24"/>
                              <w:lang w:val="en-US" w:eastAsia="zh-CN" w:bidi="ar-SA"/>
                            </w:rPr>
                            <w:fldChar w:fldCharType="end"/>
                          </w:r>
                          <w:r>
                            <w:rPr>
                              <w:rFonts w:hint="eastAsia" w:ascii="Calibri" w:hAnsi="Calibri" w:eastAsia="宋体" w:cs="Arial"/>
                              <w:kern w:val="2"/>
                              <w:sz w:val="18"/>
                              <w:szCs w:val="24"/>
                              <w:lang w:val="en-US" w:eastAsia="zh-CN" w:bidi="ar-SA"/>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4bVggbAgAAIQQAAA4AAABkcnMvZTJvRG9jLnhtbK1TzW4TMRC+I/EO&#10;lu9kN6FUUZRNFVoFIUW0UkCcHa+dtWR7LNvJbngAeANOXLjzXHkOxt5silpOiIs99vx/8838pjOa&#10;HIQPCmxFx6OSEmE51MruKvrp4+rVlJIQma2ZBisqehSB3ixevpi3biYm0ICuhScYxIZZ6yraxOhm&#10;RRF4IwwLI3DColKCNyzi0++K2rMWoxtdTMryumjB184DFyHg712vpIscX0rB472UQUSiK4q1xXz6&#10;fG7TWSzmbLbzzDWKn8tg/1CFYcpi0kuoOxYZ2Xv1LJRR3EMAGUccTAFSKi5yD9jNuHzSzaZhTuRe&#10;EJzgLjCF/xeWfzg8eKLqil5RYpnBEZ2+fzv9+HX6+ZVcJXhaF2ZotXFoF7u30OGYh/+An6nrTnqT&#10;buyHoB6BPl7AFV0kPDlNJ9NpiSqOuuGB8YtHd+dDfCfAkCRU1OP0MqjssA6xNx1MUjYLK6V1nqC2&#10;pK3o9es3ZXa4aDC4tslWZC6cw6SW+tKTFLttd+5zC/UR2/TQ8yQ4vlJYypqF+MA8EgPLR7LHezyk&#10;BkwJZ4mSBvyXv/0ne5wXailpkWgVtbgJlOj3FueYODkIfhC2g2D35haQuWNcIseziA4+6kGUHsxn&#10;3IBlyoEqZjlmqmgcxNvYkx03iIvlMhvtnVe7pndAFjoW13bjeEqToApuuY8IbUY8AdSjgpNKD+Rh&#10;ntl5ZxLR/3xnq8fNXvw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s0lY7tAAAAAFAQAADwAAAAAA&#10;AAABACAAAAAiAAAAZHJzL2Rvd25yZXYueG1sUEsBAhQAFAAAAAgAh07iQA4bVggbAgAAIQQAAA4A&#10;AAAAAAAAAQAgAAAAHwEAAGRycy9lMm9Eb2MueG1sUEsFBgAAAAAGAAYAWQEAAKwFAAAAAA==&#10;">
              <v:fill on="f" focussize="0,0"/>
              <v:stroke on="f" weight="0.5pt"/>
              <v:imagedata o:title=""/>
              <o:lock v:ext="edit" aspectratio="f"/>
              <v:textbox inset="0mm,0mm,0mm,0mm" style="mso-fit-shape-to-text:t;">
                <w:txbxContent>
                  <w:p>
                    <w:pPr>
                      <w:widowControl w:val="0"/>
                      <w:tabs>
                        <w:tab w:val="center" w:pos="4153"/>
                        <w:tab w:val="right" w:pos="8306"/>
                      </w:tabs>
                      <w:snapToGrid w:val="0"/>
                      <w:jc w:val="left"/>
                      <w:rPr>
                        <w:rFonts w:hint="eastAsia" w:ascii="Calibri" w:hAnsi="Calibri" w:eastAsia="宋体" w:cs="Arial"/>
                        <w:kern w:val="2"/>
                        <w:sz w:val="18"/>
                        <w:szCs w:val="24"/>
                        <w:lang w:val="en-US" w:eastAsia="zh-CN" w:bidi="ar-SA"/>
                      </w:rPr>
                    </w:pPr>
                    <w:r>
                      <w:rPr>
                        <w:rFonts w:hint="eastAsia" w:ascii="Calibri" w:hAnsi="Calibri" w:eastAsia="宋体" w:cs="Arial"/>
                        <w:kern w:val="2"/>
                        <w:sz w:val="18"/>
                        <w:szCs w:val="24"/>
                        <w:lang w:val="en-US" w:eastAsia="zh-CN" w:bidi="ar-SA"/>
                      </w:rPr>
                      <w:t xml:space="preserve">第 </w:t>
                    </w:r>
                    <w:r>
                      <w:rPr>
                        <w:rFonts w:hint="eastAsia" w:ascii="Calibri" w:hAnsi="Calibri" w:eastAsia="宋体" w:cs="Arial"/>
                        <w:kern w:val="2"/>
                        <w:sz w:val="18"/>
                        <w:szCs w:val="24"/>
                        <w:lang w:val="en-US" w:eastAsia="zh-CN" w:bidi="ar-SA"/>
                      </w:rPr>
                      <w:fldChar w:fldCharType="begin"/>
                    </w:r>
                    <w:r>
                      <w:rPr>
                        <w:rFonts w:hint="eastAsia" w:ascii="Calibri" w:hAnsi="Calibri" w:eastAsia="宋体" w:cs="Arial"/>
                        <w:kern w:val="2"/>
                        <w:sz w:val="18"/>
                        <w:szCs w:val="24"/>
                        <w:lang w:val="en-US" w:eastAsia="zh-CN" w:bidi="ar-SA"/>
                      </w:rPr>
                      <w:instrText xml:space="preserve"> PAGE  \* MERGEFORMAT </w:instrText>
                    </w:r>
                    <w:r>
                      <w:rPr>
                        <w:rFonts w:hint="eastAsia" w:ascii="Calibri" w:hAnsi="Calibri" w:eastAsia="宋体" w:cs="Arial"/>
                        <w:kern w:val="2"/>
                        <w:sz w:val="18"/>
                        <w:szCs w:val="24"/>
                        <w:lang w:val="en-US" w:eastAsia="zh-CN" w:bidi="ar-SA"/>
                      </w:rPr>
                      <w:fldChar w:fldCharType="separate"/>
                    </w:r>
                    <w:r>
                      <w:rPr>
                        <w:rFonts w:hint="eastAsia" w:ascii="Calibri" w:hAnsi="Calibri" w:eastAsia="宋体" w:cs="Arial"/>
                        <w:kern w:val="2"/>
                        <w:sz w:val="18"/>
                        <w:szCs w:val="24"/>
                        <w:lang w:val="en-US" w:eastAsia="zh-CN" w:bidi="ar-SA"/>
                      </w:rPr>
                      <w:t>1</w:t>
                    </w:r>
                    <w:r>
                      <w:rPr>
                        <w:rFonts w:hint="eastAsia" w:ascii="Calibri" w:hAnsi="Calibri" w:eastAsia="宋体" w:cs="Arial"/>
                        <w:kern w:val="2"/>
                        <w:sz w:val="18"/>
                        <w:szCs w:val="24"/>
                        <w:lang w:val="en-US" w:eastAsia="zh-CN" w:bidi="ar-SA"/>
                      </w:rPr>
                      <w:fldChar w:fldCharType="end"/>
                    </w:r>
                    <w:r>
                      <w:rPr>
                        <w:rFonts w:hint="eastAsia" w:ascii="Calibri" w:hAnsi="Calibri" w:eastAsia="宋体" w:cs="Arial"/>
                        <w:kern w:val="2"/>
                        <w:sz w:val="18"/>
                        <w:szCs w:val="24"/>
                        <w:lang w:val="en-US" w:eastAsia="zh-CN" w:bidi="ar-SA"/>
                      </w:rPr>
                      <w:t xml:space="preserve"> 页 共 </w:t>
                    </w:r>
                    <w:r>
                      <w:rPr>
                        <w:rFonts w:hint="eastAsia" w:ascii="Calibri" w:hAnsi="Calibri" w:eastAsia="宋体" w:cs="Arial"/>
                        <w:kern w:val="2"/>
                        <w:sz w:val="18"/>
                        <w:szCs w:val="24"/>
                        <w:lang w:val="en-US" w:eastAsia="zh-CN" w:bidi="ar-SA"/>
                      </w:rPr>
                      <w:fldChar w:fldCharType="begin"/>
                    </w:r>
                    <w:r>
                      <w:rPr>
                        <w:rFonts w:hint="eastAsia" w:ascii="Calibri" w:hAnsi="Calibri" w:eastAsia="宋体" w:cs="Arial"/>
                        <w:kern w:val="2"/>
                        <w:sz w:val="18"/>
                        <w:szCs w:val="24"/>
                        <w:lang w:val="en-US" w:eastAsia="zh-CN" w:bidi="ar-SA"/>
                      </w:rPr>
                      <w:instrText xml:space="preserve"> NUMPAGES  \* MERGEFORMAT </w:instrText>
                    </w:r>
                    <w:r>
                      <w:rPr>
                        <w:rFonts w:hint="eastAsia" w:ascii="Calibri" w:hAnsi="Calibri" w:eastAsia="宋体" w:cs="Arial"/>
                        <w:kern w:val="2"/>
                        <w:sz w:val="18"/>
                        <w:szCs w:val="24"/>
                        <w:lang w:val="en-US" w:eastAsia="zh-CN" w:bidi="ar-SA"/>
                      </w:rPr>
                      <w:fldChar w:fldCharType="separate"/>
                    </w:r>
                    <w:r>
                      <w:rPr>
                        <w:rFonts w:hint="eastAsia" w:ascii="Calibri" w:hAnsi="Calibri" w:eastAsia="宋体" w:cs="Arial"/>
                        <w:kern w:val="2"/>
                        <w:sz w:val="18"/>
                        <w:szCs w:val="24"/>
                        <w:lang w:val="en-US" w:eastAsia="zh-CN" w:bidi="ar-SA"/>
                      </w:rPr>
                      <w:t>0</w:t>
                    </w:r>
                    <w:r>
                      <w:rPr>
                        <w:rFonts w:hint="eastAsia" w:ascii="Calibri" w:hAnsi="Calibri" w:eastAsia="宋体" w:cs="Arial"/>
                        <w:kern w:val="2"/>
                        <w:sz w:val="18"/>
                        <w:szCs w:val="24"/>
                        <w:lang w:val="en-US" w:eastAsia="zh-CN" w:bidi="ar-SA"/>
                      </w:rPr>
                      <w:fldChar w:fldCharType="end"/>
                    </w:r>
                    <w:r>
                      <w:rPr>
                        <w:rFonts w:hint="eastAsia" w:ascii="Calibri" w:hAnsi="Calibri" w:eastAsia="宋体" w:cs="Arial"/>
                        <w:kern w:val="2"/>
                        <w:sz w:val="18"/>
                        <w:szCs w:val="24"/>
                        <w:lang w:val="en-US" w:eastAsia="zh-CN" w:bidi="ar-SA"/>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0"/>
      <w:pBdr>
        <w:top w:val="none" w:color="auto" w:sz="0" w:space="0"/>
        <w:bottom w:val="none" w:color="auto" w:sz="0" w:space="0"/>
      </w:pBdr>
      <w:rPr>
        <w:rFonts w:hint="default"/>
        <w:lang w:val="en-US"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0"/>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w:t>
                          </w:r>
                          <w:r>
                            <w:rPr>
                              <w:rFonts w:hint="eastAsia" w:eastAsia="宋体"/>
                              <w:lang w:eastAsia="zh-CN"/>
                            </w:rPr>
                            <w:fldChar w:fldCharType="end"/>
                          </w:r>
                          <w:r>
                            <w:rPr>
                              <w:rFonts w:hint="eastAsia" w:eastAsia="宋体"/>
                              <w:lang w:eastAsia="zh-CN"/>
                            </w:rPr>
                            <w:t xml:space="preserve"> 页 共 </w:t>
                          </w:r>
                          <w:r>
                            <w:rPr>
                              <w:rFonts w:hint="eastAsia" w:eastAsia="宋体"/>
                              <w:lang w:eastAsia="zh-CN"/>
                            </w:rPr>
                            <w:fldChar w:fldCharType="begin"/>
                          </w:r>
                          <w:r>
                            <w:rPr>
                              <w:rFonts w:hint="eastAsia" w:eastAsia="宋体"/>
                              <w:lang w:eastAsia="zh-CN"/>
                            </w:rPr>
                            <w:instrText xml:space="preserve"> NUMPAGES  \* MERGEFORMAT </w:instrText>
                          </w:r>
                          <w:r>
                            <w:rPr>
                              <w:rFonts w:hint="eastAsia" w:eastAsia="宋体"/>
                              <w:lang w:eastAsia="zh-CN"/>
                            </w:rPr>
                            <w:fldChar w:fldCharType="separate"/>
                          </w:r>
                          <w:r>
                            <w:rPr>
                              <w:rFonts w:hint="eastAsia" w:eastAsia="宋体"/>
                              <w:lang w:eastAsia="zh-CN"/>
                            </w:rPr>
                            <w:t>0</w:t>
                          </w:r>
                          <w:r>
                            <w:rPr>
                              <w:rFonts w:hint="eastAsia" w:eastAsia="宋体"/>
                              <w:lang w:eastAsia="zh-CN"/>
                            </w:rPr>
                            <w:fldChar w:fldCharType="end"/>
                          </w:r>
                          <w:r>
                            <w:rPr>
                              <w:rFonts w:hint="eastAsia" w:eastAsia="宋体"/>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50"/>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w:t>
                    </w:r>
                    <w:r>
                      <w:rPr>
                        <w:rFonts w:hint="eastAsia" w:eastAsia="宋体"/>
                        <w:lang w:eastAsia="zh-CN"/>
                      </w:rPr>
                      <w:fldChar w:fldCharType="end"/>
                    </w:r>
                    <w:r>
                      <w:rPr>
                        <w:rFonts w:hint="eastAsia" w:eastAsia="宋体"/>
                        <w:lang w:eastAsia="zh-CN"/>
                      </w:rPr>
                      <w:t xml:space="preserve"> 页 共 </w:t>
                    </w:r>
                    <w:r>
                      <w:rPr>
                        <w:rFonts w:hint="eastAsia" w:eastAsia="宋体"/>
                        <w:lang w:eastAsia="zh-CN"/>
                      </w:rPr>
                      <w:fldChar w:fldCharType="begin"/>
                    </w:r>
                    <w:r>
                      <w:rPr>
                        <w:rFonts w:hint="eastAsia" w:eastAsia="宋体"/>
                        <w:lang w:eastAsia="zh-CN"/>
                      </w:rPr>
                      <w:instrText xml:space="preserve"> NUMPAGES  \* MERGEFORMAT </w:instrText>
                    </w:r>
                    <w:r>
                      <w:rPr>
                        <w:rFonts w:hint="eastAsia" w:eastAsia="宋体"/>
                        <w:lang w:eastAsia="zh-CN"/>
                      </w:rPr>
                      <w:fldChar w:fldCharType="separate"/>
                    </w:r>
                    <w:r>
                      <w:rPr>
                        <w:rFonts w:hint="eastAsia" w:eastAsia="宋体"/>
                        <w:lang w:eastAsia="zh-CN"/>
                      </w:rPr>
                      <w:t>0</w:t>
                    </w:r>
                    <w:r>
                      <w:rPr>
                        <w:rFonts w:hint="eastAsia" w:eastAsia="宋体"/>
                        <w:lang w:eastAsia="zh-CN"/>
                      </w:rPr>
                      <w:fldChar w:fldCharType="end"/>
                    </w:r>
                    <w:r>
                      <w:rPr>
                        <w:rFonts w:hint="eastAsia" w:eastAsia="宋体"/>
                        <w:lang w:eastAsia="zh-CN"/>
                      </w:rP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0"/>
      <w:pBdr>
        <w:top w:val="none" w:color="auto" w:sz="0" w:space="0"/>
        <w:bottom w:val="none" w:color="auto" w:sz="0" w:space="0"/>
      </w:pBd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0"/>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88</w:t>
                          </w:r>
                          <w:r>
                            <w:rPr>
                              <w:rFonts w:hint="eastAsia" w:eastAsia="宋体"/>
                              <w:lang w:eastAsia="zh-CN"/>
                            </w:rPr>
                            <w:fldChar w:fldCharType="end"/>
                          </w:r>
                          <w:r>
                            <w:rPr>
                              <w:rFonts w:hint="eastAsia" w:eastAsia="宋体"/>
                              <w:lang w:eastAsia="zh-CN"/>
                            </w:rPr>
                            <w:t xml:space="preserve"> 页 共 </w:t>
                          </w:r>
                          <w:r>
                            <w:rPr>
                              <w:rFonts w:hint="eastAsia" w:eastAsia="宋体"/>
                              <w:lang w:eastAsia="zh-CN"/>
                            </w:rPr>
                            <w:fldChar w:fldCharType="begin"/>
                          </w:r>
                          <w:r>
                            <w:rPr>
                              <w:rFonts w:hint="eastAsia" w:eastAsia="宋体"/>
                              <w:lang w:eastAsia="zh-CN"/>
                            </w:rPr>
                            <w:instrText xml:space="preserve"> NUMPAGES  \* MERGEFORMAT </w:instrText>
                          </w:r>
                          <w:r>
                            <w:rPr>
                              <w:rFonts w:hint="eastAsia" w:eastAsia="宋体"/>
                              <w:lang w:eastAsia="zh-CN"/>
                            </w:rPr>
                            <w:fldChar w:fldCharType="separate"/>
                          </w:r>
                          <w:r>
                            <w:rPr>
                              <w:rFonts w:hint="eastAsia" w:eastAsia="宋体"/>
                              <w:lang w:eastAsia="zh-CN"/>
                            </w:rPr>
                            <w:t>0</w:t>
                          </w:r>
                          <w:r>
                            <w:rPr>
                              <w:rFonts w:hint="eastAsia" w:eastAsia="宋体"/>
                              <w:lang w:eastAsia="zh-CN"/>
                            </w:rPr>
                            <w:fldChar w:fldCharType="end"/>
                          </w:r>
                          <w:r>
                            <w:rPr>
                              <w:rFonts w:hint="eastAsia" w:eastAsia="宋体"/>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50"/>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88</w:t>
                    </w:r>
                    <w:r>
                      <w:rPr>
                        <w:rFonts w:hint="eastAsia" w:eastAsia="宋体"/>
                        <w:lang w:eastAsia="zh-CN"/>
                      </w:rPr>
                      <w:fldChar w:fldCharType="end"/>
                    </w:r>
                    <w:r>
                      <w:rPr>
                        <w:rFonts w:hint="eastAsia" w:eastAsia="宋体"/>
                        <w:lang w:eastAsia="zh-CN"/>
                      </w:rPr>
                      <w:t xml:space="preserve"> 页 共 </w:t>
                    </w:r>
                    <w:r>
                      <w:rPr>
                        <w:rFonts w:hint="eastAsia" w:eastAsia="宋体"/>
                        <w:lang w:eastAsia="zh-CN"/>
                      </w:rPr>
                      <w:fldChar w:fldCharType="begin"/>
                    </w:r>
                    <w:r>
                      <w:rPr>
                        <w:rFonts w:hint="eastAsia" w:eastAsia="宋体"/>
                        <w:lang w:eastAsia="zh-CN"/>
                      </w:rPr>
                      <w:instrText xml:space="preserve"> NUMPAGES  \* MERGEFORMAT </w:instrText>
                    </w:r>
                    <w:r>
                      <w:rPr>
                        <w:rFonts w:hint="eastAsia" w:eastAsia="宋体"/>
                        <w:lang w:eastAsia="zh-CN"/>
                      </w:rPr>
                      <w:fldChar w:fldCharType="separate"/>
                    </w:r>
                    <w:r>
                      <w:rPr>
                        <w:rFonts w:hint="eastAsia" w:eastAsia="宋体"/>
                        <w:lang w:eastAsia="zh-CN"/>
                      </w:rPr>
                      <w:t>0</w:t>
                    </w:r>
                    <w:r>
                      <w:rPr>
                        <w:rFonts w:hint="eastAsia" w:eastAsia="宋体"/>
                        <w:lang w:eastAsia="zh-CN"/>
                      </w:rPr>
                      <w:fldChar w:fldCharType="end"/>
                    </w:r>
                    <w:r>
                      <w:rPr>
                        <w:rFonts w:hint="eastAsia" w:eastAsia="宋体"/>
                        <w:lang w:eastAsia="zh-C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Bdr>
        <w:bottom w:val="single" w:color="auto" w:sz="12" w:space="1"/>
      </w:pBdr>
      <w:tabs>
        <w:tab w:val="center" w:pos="4153"/>
        <w:tab w:val="right" w:pos="8306"/>
      </w:tabs>
      <w:snapToGrid w:val="0"/>
      <w:spacing w:after="160" w:line="278" w:lineRule="auto"/>
      <w:jc w:val="right"/>
      <w:rPr>
        <w:rFonts w:hint="default" w:ascii="宋体" w:hAnsi="宋体" w:eastAsia="宋体" w:cs="Times New Roman"/>
        <w:kern w:val="2"/>
        <w:sz w:val="18"/>
        <w:szCs w:val="18"/>
        <w:lang w:val="en-US" w:eastAsia="zh-CN" w:bidi="ar-SA"/>
      </w:rPr>
    </w:pPr>
    <w:r>
      <w:rPr>
        <w:rFonts w:hint="default" w:ascii="Times New Roman" w:hAnsi="Times New Roman" w:eastAsia="宋体" w:cs="Times New Roman"/>
        <w:kern w:val="2"/>
        <w:sz w:val="18"/>
        <w:lang w:val="en-US" w:eastAsia="zh-CN" w:bidi="ar-SA"/>
      </w:rPr>
      <mc:AlternateContent>
        <mc:Choice Requires="wps">
          <w:drawing>
            <wp:anchor distT="0" distB="0" distL="114300" distR="114300" simplePos="0" relativeHeight="251661312" behindDoc="0" locked="0" layoutInCell="1" hidden="1" allowOverlap="1">
              <wp:simplePos x="0" y="0"/>
              <wp:positionH relativeFrom="column">
                <wp:posOffset>0</wp:posOffset>
              </wp:positionH>
              <wp:positionV relativeFrom="paragraph">
                <wp:posOffset>0</wp:posOffset>
              </wp:positionV>
              <wp:extent cx="635000" cy="635000"/>
              <wp:effectExtent l="0" t="0" r="0" b="0"/>
              <wp:wrapNone/>
              <wp:docPr id="3" name="矩形 3"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wps:cNvSpPr>
                    <wps:spPr>
                      <a:xfrm>
                        <a:off x="0" y="0"/>
                        <a:ext cx="635000" cy="635000"/>
                      </a:xfrm>
                      <a:prstGeom prst="rect">
                        <a:avLst/>
                      </a:prstGeom>
                      <a:solidFill>
                        <a:srgbClr val="FFFFFF"/>
                      </a:solidFill>
                      <a:ln w="9525" cap="flat" cmpd="sng">
                        <a:solidFill>
                          <a:srgbClr val="000000"/>
                        </a:solidFill>
                        <a:prstDash val="solid"/>
                        <a:round/>
                        <a:headEnd type="none" w="med" len="med"/>
                        <a:tailEnd type="none" w="med" len="med"/>
                      </a:ln>
                    </wps:spPr>
                    <wps:bodyPr upright="1"/>
                  </wps:wsp>
                </a:graphicData>
              </a:graphic>
            </wp:anchor>
          </w:drawing>
        </mc:Choice>
        <mc:Fallback>
          <w:pict>
            <v:rect id="_x0000_s1026" o:spid="_x0000_s1026" o:spt="1" style="position:absolute;left:0pt;margin-left:0pt;margin-top:0pt;height:50pt;width:50pt;visibility:hidden;z-index:251661312;mso-width-relative:page;mso-height-relative:page;" fillcolor="#FFFFFF" filled="t" stroked="t" coordsize="21600,21600" o:gfxdata="UEsDBAoAAAAAAIdO4kAAAAAAAAAAAAAAAAAEAAAAZHJzL1BLAwQUAAAACACHTuJAKW6XrNIAAAAF&#10;AQAADwAAAGRycy9kb3ducmV2LnhtbE2PzU7DMBCE70h9B2uRekGtXZCAhjg9FPVYKgKHHrfxNrEa&#10;r6PY/cnb4yIkelntaFaz3+SLi2vFifpgPWuYTRUI4soby7WG76/V5BVEiMgGW8+kYaAAi2J0l2Nm&#10;/Jk/6VTGWqQQDhlqaGLsMilD1ZDDMPUdcfL2vncYk+xraXo8p3DXykelnqVDy+lDgx0tG6oO5dFp&#10;WG3Lw8Zuef9kX9bvdv4wDB+bUuvx/Uy9gYh0if/HcMVP6FAkpp0/sgmi1ZCKxN959ZRKcve3yCKX&#10;t/TFD1BLAwQUAAAACACHTuJAgnoS/vABAAAABAAADgAAAGRycy9lMm9Eb2MueG1srVPNjhMxDL4j&#10;8Q5R7nRmu+oKRp3ugVIuK1ip8ABukpmJyJ/itNM+DRI3HoLHQbwGTtrtdoEDQswhsif2Z3/+nPnt&#10;3hq2UxG1dy2/mtScKSe81K5v+ccPqxcvOcMEToLxTrX8oJDfLp4/m4+hUVM/eCNVZATisBlDy4eU&#10;QlNVKAZlASc+KEeXnY8WErmxr2SEkdCtqaZ1fVONPsoQvVCI9Hd5vOSLgt91SqT3XYcqMdNy6i2V&#10;M5Zzk89qMYemjxAGLU5twD90YUE7KnqGWkICto36NyirRfTouzQR3la+67RQhQOxuap/YbMeIKjC&#10;hYaD4Twm/H+w4t3uPjItW37NmQNLEv34/PX7ty+M/EFLqbKseUxjwIai1+E+ZqIY7rz4hMz5tTI0&#10;5lNU9SQsO3hK2HfR5kTizPZFgMNZALVPTNDPm+tZXZNMgq5ONlWuoHlIDhHTW+Uty0bLIxUuY4fd&#10;HaZj6ENIadIbLVfamOLEfvPaRLYD2oVV+TIvQsfLMOPY2PJXs+mM+gBayc5AItMGGhK6vtR7koGX&#10;wNR/pvAH4NzYEnA4NlAQjusX/dZJSoBmUCDfOMnSIZAQjl4Mz81YJTkzWYlslcgE2vxNJLEzjkg+&#10;KpGtjZcHkn0bou6HJ9LRmpWRnJ5E3uNLvyA9PtzFT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Clu&#10;l6zSAAAABQEAAA8AAAAAAAAAAQAgAAAAIgAAAGRycy9kb3ducmV2LnhtbFBLAQIUABQAAAAIAIdO&#10;4kCCehL+8AEAAAAEAAAOAAAAAAAAAAEAIAAAACEBAABkcnMvZTJvRG9jLnhtbFBLBQYAAAAABgAG&#10;AFkBAACDBQAAAAA=&#10;">
              <v:fill on="t" focussize="0,0"/>
              <v:stroke color="#000000" joinstyle="round"/>
              <v:imagedata o:title=""/>
              <o:lock v:ext="edit" selection="t" aspectratio="f"/>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DD9B16B"/>
    <w:multiLevelType w:val="singleLevel"/>
    <w:tmpl w:val="EDD9B16B"/>
    <w:lvl w:ilvl="0" w:tentative="0">
      <w:start w:val="1"/>
      <w:numFmt w:val="chineseCounting"/>
      <w:pStyle w:val="5"/>
      <w:suff w:val="nothing"/>
      <w:lvlText w:val="（%1）"/>
      <w:lvlJc w:val="left"/>
      <w:pPr>
        <w:ind w:left="0" w:firstLine="420"/>
      </w:pPr>
      <w:rPr>
        <w:rFonts w:hint="eastAsia"/>
      </w:rPr>
    </w:lvl>
  </w:abstractNum>
  <w:abstractNum w:abstractNumId="1">
    <w:nsid w:val="024B2059"/>
    <w:multiLevelType w:val="multilevel"/>
    <w:tmpl w:val="024B2059"/>
    <w:lvl w:ilvl="0" w:tentative="0">
      <w:start w:val="1"/>
      <w:numFmt w:val="decimal"/>
      <w:lvlText w:val="%1."/>
      <w:lvlJc w:val="left"/>
      <w:pPr>
        <w:ind w:left="1130" w:hanging="420"/>
      </w:pPr>
      <w:rPr>
        <w:rFonts w:hint="eastAsia" w:ascii="宋体" w:hAnsi="宋体" w:eastAsia="宋体"/>
        <w:lang w:eastAsia="zh-CN"/>
      </w:rPr>
    </w:lvl>
    <w:lvl w:ilvl="1" w:tentative="0">
      <w:start w:val="1"/>
      <w:numFmt w:val="lowerLetter"/>
      <w:lvlText w:val="%2)"/>
      <w:lvlJc w:val="left"/>
      <w:pPr>
        <w:ind w:left="1550" w:hanging="420"/>
      </w:pPr>
    </w:lvl>
    <w:lvl w:ilvl="2" w:tentative="0">
      <w:start w:val="1"/>
      <w:numFmt w:val="lowerRoman"/>
      <w:lvlText w:val="%3."/>
      <w:lvlJc w:val="right"/>
      <w:pPr>
        <w:ind w:left="1970" w:hanging="420"/>
      </w:pPr>
    </w:lvl>
    <w:lvl w:ilvl="3" w:tentative="0">
      <w:start w:val="1"/>
      <w:numFmt w:val="decimal"/>
      <w:lvlText w:val="%4."/>
      <w:lvlJc w:val="left"/>
      <w:pPr>
        <w:ind w:left="2390" w:hanging="420"/>
      </w:pPr>
    </w:lvl>
    <w:lvl w:ilvl="4" w:tentative="0">
      <w:start w:val="1"/>
      <w:numFmt w:val="lowerLetter"/>
      <w:lvlText w:val="%5)"/>
      <w:lvlJc w:val="left"/>
      <w:pPr>
        <w:ind w:left="2810" w:hanging="420"/>
      </w:pPr>
    </w:lvl>
    <w:lvl w:ilvl="5" w:tentative="0">
      <w:start w:val="1"/>
      <w:numFmt w:val="lowerRoman"/>
      <w:lvlText w:val="%6."/>
      <w:lvlJc w:val="right"/>
      <w:pPr>
        <w:ind w:left="3230" w:hanging="420"/>
      </w:pPr>
    </w:lvl>
    <w:lvl w:ilvl="6" w:tentative="0">
      <w:start w:val="1"/>
      <w:numFmt w:val="decimal"/>
      <w:lvlText w:val="%7."/>
      <w:lvlJc w:val="left"/>
      <w:pPr>
        <w:ind w:left="3650" w:hanging="420"/>
      </w:pPr>
    </w:lvl>
    <w:lvl w:ilvl="7" w:tentative="0">
      <w:start w:val="1"/>
      <w:numFmt w:val="lowerLetter"/>
      <w:lvlText w:val="%8)"/>
      <w:lvlJc w:val="left"/>
      <w:pPr>
        <w:ind w:left="4070" w:hanging="420"/>
      </w:pPr>
    </w:lvl>
    <w:lvl w:ilvl="8" w:tentative="0">
      <w:start w:val="1"/>
      <w:numFmt w:val="lowerRoman"/>
      <w:lvlText w:val="%9."/>
      <w:lvlJc w:val="right"/>
      <w:pPr>
        <w:ind w:left="4490" w:hanging="420"/>
      </w:pPr>
    </w:lvl>
  </w:abstractNum>
  <w:abstractNum w:abstractNumId="2">
    <w:nsid w:val="0A4EC635"/>
    <w:multiLevelType w:val="multilevel"/>
    <w:tmpl w:val="0A4EC635"/>
    <w:lvl w:ilvl="0" w:tentative="0">
      <w:start w:val="1"/>
      <w:numFmt w:val="bullet"/>
      <w:pStyle w:val="41"/>
      <w:lvlText w:val=""/>
      <w:lvlJc w:val="left"/>
      <w:pPr>
        <w:tabs>
          <w:tab w:val="left" w:pos="2040"/>
        </w:tabs>
        <w:ind w:left="204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E3219BF"/>
    <w:multiLevelType w:val="multilevel"/>
    <w:tmpl w:val="0E3219BF"/>
    <w:lvl w:ilvl="0" w:tentative="0">
      <w:start w:val="1"/>
      <w:numFmt w:val="chineseCountingThousand"/>
      <w:pStyle w:val="90"/>
      <w:lvlText w:val="第%1部分"/>
      <w:lvlJc w:val="left"/>
      <w:pPr>
        <w:tabs>
          <w:tab w:val="left" w:pos="1800"/>
        </w:tabs>
        <w:ind w:left="425" w:hanging="425"/>
      </w:pPr>
      <w:rPr>
        <w:rFonts w:hint="eastAsia"/>
      </w:rPr>
    </w:lvl>
    <w:lvl w:ilvl="1" w:tentative="0">
      <w:start w:val="1"/>
      <w:numFmt w:val="decimal"/>
      <w:pStyle w:val="112"/>
      <w:lvlText w:val="%1.%2"/>
      <w:lvlJc w:val="left"/>
      <w:pPr>
        <w:tabs>
          <w:tab w:val="left" w:pos="567"/>
        </w:tabs>
        <w:ind w:left="567" w:hanging="567"/>
      </w:pPr>
      <w:rPr>
        <w:rFonts w:hint="eastAsia"/>
      </w:rPr>
    </w:lvl>
    <w:lvl w:ilvl="2" w:tentative="0">
      <w:start w:val="1"/>
      <w:numFmt w:val="decimal"/>
      <w:pStyle w:val="237"/>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115"/>
      <w:lvlText w:val="%1.%2.%3.%4.%5"/>
      <w:lvlJc w:val="left"/>
      <w:pPr>
        <w:tabs>
          <w:tab w:val="left" w:pos="1080"/>
        </w:tabs>
        <w:ind w:left="992" w:hanging="992"/>
      </w:pPr>
      <w:rPr>
        <w:rFonts w:hint="eastAsia"/>
      </w:rPr>
    </w:lvl>
    <w:lvl w:ilvl="5" w:tentative="0">
      <w:start w:val="1"/>
      <w:numFmt w:val="decimal"/>
      <w:pStyle w:val="116"/>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14B512BD"/>
    <w:multiLevelType w:val="multilevel"/>
    <w:tmpl w:val="14B512BD"/>
    <w:lvl w:ilvl="0" w:tentative="0">
      <w:start w:val="1"/>
      <w:numFmt w:val="bullet"/>
      <w:pStyle w:val="211"/>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17BC9DCC"/>
    <w:multiLevelType w:val="multilevel"/>
    <w:tmpl w:val="17BC9DCC"/>
    <w:lvl w:ilvl="0" w:tentative="0">
      <w:start w:val="1"/>
      <w:numFmt w:val="decimal"/>
      <w:pStyle w:val="271"/>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AC918AA"/>
    <w:multiLevelType w:val="multilevel"/>
    <w:tmpl w:val="2AC918AA"/>
    <w:lvl w:ilvl="0" w:tentative="0">
      <w:start w:val="1"/>
      <w:numFmt w:val="decimal"/>
      <w:pStyle w:val="60"/>
      <w:lvlText w:val="%1."/>
      <w:lvlJc w:val="left"/>
      <w:pPr>
        <w:tabs>
          <w:tab w:val="left" w:pos="2040"/>
        </w:tabs>
        <w:ind w:left="204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2FB9912A"/>
    <w:multiLevelType w:val="multilevel"/>
    <w:tmpl w:val="2FB9912A"/>
    <w:lvl w:ilvl="0" w:tentative="0">
      <w:start w:val="1"/>
      <w:numFmt w:val="decimal"/>
      <w:pStyle w:val="9"/>
      <w:lvlText w:val="%1."/>
      <w:lvlJc w:val="left"/>
      <w:pPr>
        <w:tabs>
          <w:tab w:val="left" w:pos="780"/>
        </w:tabs>
        <w:ind w:left="78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31C496BE"/>
    <w:multiLevelType w:val="multilevel"/>
    <w:tmpl w:val="31C496BE"/>
    <w:lvl w:ilvl="0" w:tentative="0">
      <w:start w:val="1"/>
      <w:numFmt w:val="decimal"/>
      <w:suff w:val="nothing"/>
      <w:lvlText w:val="（%1）"/>
      <w:lvlJc w:val="left"/>
      <w:pPr>
        <w:ind w:left="-3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35567E78"/>
    <w:multiLevelType w:val="multilevel"/>
    <w:tmpl w:val="35567E78"/>
    <w:lvl w:ilvl="0" w:tentative="0">
      <w:start w:val="1"/>
      <w:numFmt w:val="bullet"/>
      <w:pStyle w:val="27"/>
      <w:lvlText w:val=""/>
      <w:lvlJc w:val="left"/>
      <w:pPr>
        <w:tabs>
          <w:tab w:val="left" w:pos="1200"/>
        </w:tabs>
        <w:ind w:left="120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43385A2A"/>
    <w:multiLevelType w:val="multilevel"/>
    <w:tmpl w:val="43385A2A"/>
    <w:lvl w:ilvl="0" w:tentative="0">
      <w:start w:val="1"/>
      <w:numFmt w:val="decimal"/>
      <w:pStyle w:val="31"/>
      <w:lvlText w:val="%1."/>
      <w:lvlJc w:val="left"/>
      <w:pPr>
        <w:tabs>
          <w:tab w:val="left" w:pos="1200"/>
        </w:tabs>
        <w:ind w:left="120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5222F43B"/>
    <w:multiLevelType w:val="singleLevel"/>
    <w:tmpl w:val="5222F43B"/>
    <w:lvl w:ilvl="0" w:tentative="0">
      <w:start w:val="1"/>
      <w:numFmt w:val="decimal"/>
      <w:lvlText w:val="%1."/>
      <w:lvlJc w:val="left"/>
      <w:pPr>
        <w:tabs>
          <w:tab w:val="left" w:pos="312"/>
        </w:tabs>
      </w:pPr>
    </w:lvl>
  </w:abstractNum>
  <w:abstractNum w:abstractNumId="12">
    <w:nsid w:val="5EB15D54"/>
    <w:multiLevelType w:val="multilevel"/>
    <w:tmpl w:val="5EB15D54"/>
    <w:lvl w:ilvl="0" w:tentative="0">
      <w:start w:val="1"/>
      <w:numFmt w:val="decimal"/>
      <w:pStyle w:val="42"/>
      <w:lvlText w:val="%1."/>
      <w:lvlJc w:val="left"/>
      <w:pPr>
        <w:tabs>
          <w:tab w:val="left" w:pos="1620"/>
        </w:tabs>
        <w:ind w:left="162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5FFFB1A7"/>
    <w:multiLevelType w:val="multilevel"/>
    <w:tmpl w:val="5FFFB1A7"/>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4">
    <w:nsid w:val="60DF1A0A"/>
    <w:multiLevelType w:val="multilevel"/>
    <w:tmpl w:val="60DF1A0A"/>
    <w:lvl w:ilvl="0" w:tentative="0">
      <w:start w:val="1"/>
      <w:numFmt w:val="decimal"/>
      <w:pStyle w:val="15"/>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5">
    <w:nsid w:val="614B81FE"/>
    <w:multiLevelType w:val="multilevel"/>
    <w:tmpl w:val="614B81FE"/>
    <w:lvl w:ilvl="0" w:tentative="0">
      <w:start w:val="1"/>
      <w:numFmt w:val="bullet"/>
      <w:pStyle w:val="35"/>
      <w:lvlText w:val=""/>
      <w:lvlJc w:val="left"/>
      <w:pPr>
        <w:tabs>
          <w:tab w:val="left" w:pos="780"/>
        </w:tabs>
        <w:ind w:left="78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6">
    <w:nsid w:val="61BAF32C"/>
    <w:multiLevelType w:val="multilevel"/>
    <w:tmpl w:val="61BAF32C"/>
    <w:lvl w:ilvl="0" w:tentative="0">
      <w:start w:val="1"/>
      <w:numFmt w:val="bullet"/>
      <w:pStyle w:val="18"/>
      <w:lvlText w:val=""/>
      <w:lvlJc w:val="left"/>
      <w:pPr>
        <w:tabs>
          <w:tab w:val="left" w:pos="360"/>
        </w:tabs>
        <w:ind w:left="36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7">
    <w:nsid w:val="66597D09"/>
    <w:multiLevelType w:val="multilevel"/>
    <w:tmpl w:val="66597D09"/>
    <w:lvl w:ilvl="0" w:tentative="0">
      <w:start w:val="1"/>
      <w:numFmt w:val="bullet"/>
      <w:pStyle w:val="12"/>
      <w:lvlText w:val=""/>
      <w:lvlJc w:val="left"/>
      <w:pPr>
        <w:tabs>
          <w:tab w:val="left" w:pos="1620"/>
        </w:tabs>
        <w:ind w:left="162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8">
    <w:nsid w:val="7199133D"/>
    <w:multiLevelType w:val="multilevel"/>
    <w:tmpl w:val="7199133D"/>
    <w:lvl w:ilvl="0" w:tentative="0">
      <w:start w:val="1"/>
      <w:numFmt w:val="decimal"/>
      <w:suff w:val="nothing"/>
      <w:lvlText w:val=""/>
      <w:lvlJc w:val="left"/>
      <w:pPr>
        <w:ind w:left="0" w:firstLine="0"/>
      </w:pPr>
      <w:rPr>
        <w:rFonts w:ascii="Times New Roman" w:hAnsi="Times New Roman"/>
        <w:b/>
        <w:i w:val="0"/>
        <w:sz w:val="21"/>
      </w:rPr>
    </w:lvl>
    <w:lvl w:ilvl="1" w:tentative="0">
      <w:start w:val="1"/>
      <w:numFmt w:val="decimal"/>
      <w:pStyle w:val="205"/>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9">
    <w:nsid w:val="75DBF8A7"/>
    <w:multiLevelType w:val="multilevel"/>
    <w:tmpl w:val="75DBF8A7"/>
    <w:lvl w:ilvl="0" w:tentative="0">
      <w:start w:val="1"/>
      <w:numFmt w:val="bullet"/>
      <w:pStyle w:val="203"/>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20">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7"/>
  </w:num>
  <w:num w:numId="3">
    <w:abstractNumId w:val="17"/>
  </w:num>
  <w:num w:numId="4">
    <w:abstractNumId w:val="14"/>
  </w:num>
  <w:num w:numId="5">
    <w:abstractNumId w:val="16"/>
  </w:num>
  <w:num w:numId="6">
    <w:abstractNumId w:val="9"/>
  </w:num>
  <w:num w:numId="7">
    <w:abstractNumId w:val="10"/>
  </w:num>
  <w:num w:numId="8">
    <w:abstractNumId w:val="15"/>
  </w:num>
  <w:num w:numId="9">
    <w:abstractNumId w:val="2"/>
  </w:num>
  <w:num w:numId="10">
    <w:abstractNumId w:val="12"/>
  </w:num>
  <w:num w:numId="11">
    <w:abstractNumId w:val="6"/>
  </w:num>
  <w:num w:numId="12">
    <w:abstractNumId w:val="3"/>
  </w:num>
  <w:num w:numId="13">
    <w:abstractNumId w:val="19"/>
  </w:num>
  <w:num w:numId="14">
    <w:abstractNumId w:val="18"/>
  </w:num>
  <w:num w:numId="15">
    <w:abstractNumId w:val="4"/>
  </w:num>
  <w:num w:numId="16">
    <w:abstractNumId w:val="5"/>
  </w:num>
  <w:num w:numId="17">
    <w:abstractNumId w:val="11"/>
  </w:num>
  <w:num w:numId="18">
    <w:abstractNumId w:val="8"/>
  </w:num>
  <w:num w:numId="19">
    <w:abstractNumId w:val="1"/>
  </w:num>
  <w:num w:numId="20">
    <w:abstractNumId w:val="20"/>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bordersDoNotSurroundHeader w:val="0"/>
  <w:bordersDoNotSurroundFooter w:val="0"/>
  <w:documentProtection w:enforcement="0"/>
  <w:defaultTabStop w:val="420"/>
  <w:hyphenationZone w:val="360"/>
  <w:displayHorizontalDrawingGridEvery w:val="1"/>
  <w:displayVerticalDrawingGridEvery w:val="1"/>
  <w:noPunctuationKerning w:val="1"/>
  <w:characterSpacingControl w:val="doNotCompress"/>
  <w:compat>
    <w:balanceSingleByteDoubleByteWidth/>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52AD8"/>
    <w:rsid w:val="007E20DD"/>
    <w:rsid w:val="00E10528"/>
    <w:rsid w:val="01BD5569"/>
    <w:rsid w:val="01E14E6C"/>
    <w:rsid w:val="01F25865"/>
    <w:rsid w:val="022A551A"/>
    <w:rsid w:val="028E6595"/>
    <w:rsid w:val="02C21235"/>
    <w:rsid w:val="03720EBD"/>
    <w:rsid w:val="043C2EAC"/>
    <w:rsid w:val="04EF1662"/>
    <w:rsid w:val="053A6347"/>
    <w:rsid w:val="058A3D18"/>
    <w:rsid w:val="059448B9"/>
    <w:rsid w:val="06107FEE"/>
    <w:rsid w:val="0621048B"/>
    <w:rsid w:val="062D26D2"/>
    <w:rsid w:val="06CF7FA0"/>
    <w:rsid w:val="072D462F"/>
    <w:rsid w:val="07870AF0"/>
    <w:rsid w:val="07925448"/>
    <w:rsid w:val="07980176"/>
    <w:rsid w:val="08BF324D"/>
    <w:rsid w:val="09060A69"/>
    <w:rsid w:val="09124D2A"/>
    <w:rsid w:val="0AC22D67"/>
    <w:rsid w:val="0B1B4BC1"/>
    <w:rsid w:val="0B371E92"/>
    <w:rsid w:val="0B9904E6"/>
    <w:rsid w:val="0BB2426B"/>
    <w:rsid w:val="0BEA1E2F"/>
    <w:rsid w:val="0CBE4443"/>
    <w:rsid w:val="0CE44202"/>
    <w:rsid w:val="0D675E97"/>
    <w:rsid w:val="0EFF48A0"/>
    <w:rsid w:val="0FFE53F7"/>
    <w:rsid w:val="102D1473"/>
    <w:rsid w:val="10365921"/>
    <w:rsid w:val="109F1E31"/>
    <w:rsid w:val="10DE5DDF"/>
    <w:rsid w:val="12095CF1"/>
    <w:rsid w:val="12A61E39"/>
    <w:rsid w:val="1364257B"/>
    <w:rsid w:val="143635F6"/>
    <w:rsid w:val="156B63C0"/>
    <w:rsid w:val="159853E2"/>
    <w:rsid w:val="16091270"/>
    <w:rsid w:val="166C6FA9"/>
    <w:rsid w:val="171E0884"/>
    <w:rsid w:val="18245326"/>
    <w:rsid w:val="182F5493"/>
    <w:rsid w:val="18926BF3"/>
    <w:rsid w:val="18B05B51"/>
    <w:rsid w:val="19452007"/>
    <w:rsid w:val="19D454DA"/>
    <w:rsid w:val="1A3719E3"/>
    <w:rsid w:val="1A653638"/>
    <w:rsid w:val="1B0D2071"/>
    <w:rsid w:val="1B1001D9"/>
    <w:rsid w:val="1BAA6005"/>
    <w:rsid w:val="1CA5475E"/>
    <w:rsid w:val="1CAD73DA"/>
    <w:rsid w:val="1CBA7AE9"/>
    <w:rsid w:val="1E253E86"/>
    <w:rsid w:val="1F603556"/>
    <w:rsid w:val="1FE06280"/>
    <w:rsid w:val="20DE40A6"/>
    <w:rsid w:val="21235B1F"/>
    <w:rsid w:val="21396AC0"/>
    <w:rsid w:val="21B116CC"/>
    <w:rsid w:val="21BF676E"/>
    <w:rsid w:val="222A1F7B"/>
    <w:rsid w:val="22CD17C0"/>
    <w:rsid w:val="23271871"/>
    <w:rsid w:val="23A070E9"/>
    <w:rsid w:val="24600BB5"/>
    <w:rsid w:val="24A22C59"/>
    <w:rsid w:val="24BA01F5"/>
    <w:rsid w:val="25677D83"/>
    <w:rsid w:val="268318C8"/>
    <w:rsid w:val="27885AC6"/>
    <w:rsid w:val="27C60FDD"/>
    <w:rsid w:val="28FE2AD8"/>
    <w:rsid w:val="29195DFF"/>
    <w:rsid w:val="29AC065F"/>
    <w:rsid w:val="29EF2487"/>
    <w:rsid w:val="2A5701F5"/>
    <w:rsid w:val="2A7B0F08"/>
    <w:rsid w:val="2A8B1DD4"/>
    <w:rsid w:val="2A8C08A8"/>
    <w:rsid w:val="2AFE4EEE"/>
    <w:rsid w:val="2B074E76"/>
    <w:rsid w:val="2B915B78"/>
    <w:rsid w:val="2BFB564F"/>
    <w:rsid w:val="2D2649AE"/>
    <w:rsid w:val="2D813D7B"/>
    <w:rsid w:val="2D925438"/>
    <w:rsid w:val="2E4E530C"/>
    <w:rsid w:val="2F7F6D16"/>
    <w:rsid w:val="2FCB4C54"/>
    <w:rsid w:val="307E7EC7"/>
    <w:rsid w:val="30AC5468"/>
    <w:rsid w:val="31406D18"/>
    <w:rsid w:val="31813582"/>
    <w:rsid w:val="320D755A"/>
    <w:rsid w:val="325E5DAA"/>
    <w:rsid w:val="32636F9C"/>
    <w:rsid w:val="32A04695"/>
    <w:rsid w:val="32A70AA9"/>
    <w:rsid w:val="34622134"/>
    <w:rsid w:val="346E7544"/>
    <w:rsid w:val="347C642A"/>
    <w:rsid w:val="347D1BDB"/>
    <w:rsid w:val="349B47BD"/>
    <w:rsid w:val="34B93E99"/>
    <w:rsid w:val="34DB3EAC"/>
    <w:rsid w:val="35230018"/>
    <w:rsid w:val="35851A34"/>
    <w:rsid w:val="35894BFC"/>
    <w:rsid w:val="35BC6281"/>
    <w:rsid w:val="363C5EA5"/>
    <w:rsid w:val="37BA787B"/>
    <w:rsid w:val="37EC04CB"/>
    <w:rsid w:val="391F1A55"/>
    <w:rsid w:val="397B6CF5"/>
    <w:rsid w:val="3A2F358F"/>
    <w:rsid w:val="3AC5538B"/>
    <w:rsid w:val="3B6F2DDB"/>
    <w:rsid w:val="3C136A5E"/>
    <w:rsid w:val="3C9634E3"/>
    <w:rsid w:val="3CB72211"/>
    <w:rsid w:val="3CDB63CB"/>
    <w:rsid w:val="3D406863"/>
    <w:rsid w:val="3DD0410D"/>
    <w:rsid w:val="3DE71FFB"/>
    <w:rsid w:val="3E141E50"/>
    <w:rsid w:val="3E7E2FF8"/>
    <w:rsid w:val="3F966B96"/>
    <w:rsid w:val="401723A7"/>
    <w:rsid w:val="40B06653"/>
    <w:rsid w:val="412B4238"/>
    <w:rsid w:val="42172A10"/>
    <w:rsid w:val="42772D26"/>
    <w:rsid w:val="42E71BB4"/>
    <w:rsid w:val="42FE1ED8"/>
    <w:rsid w:val="438417FA"/>
    <w:rsid w:val="448C466B"/>
    <w:rsid w:val="45BA2816"/>
    <w:rsid w:val="45EB4683"/>
    <w:rsid w:val="46B70D88"/>
    <w:rsid w:val="46E93EA5"/>
    <w:rsid w:val="47835328"/>
    <w:rsid w:val="47A41529"/>
    <w:rsid w:val="47DD4ED5"/>
    <w:rsid w:val="483E101C"/>
    <w:rsid w:val="48B20B67"/>
    <w:rsid w:val="48CD7EC7"/>
    <w:rsid w:val="4A0A4480"/>
    <w:rsid w:val="4A28664B"/>
    <w:rsid w:val="4A5809F0"/>
    <w:rsid w:val="4C596A4D"/>
    <w:rsid w:val="4D276F6C"/>
    <w:rsid w:val="4D324E1E"/>
    <w:rsid w:val="4DC536F6"/>
    <w:rsid w:val="4E0B4606"/>
    <w:rsid w:val="4FD62F16"/>
    <w:rsid w:val="502E5664"/>
    <w:rsid w:val="505A0CC8"/>
    <w:rsid w:val="507E6BF5"/>
    <w:rsid w:val="50F82019"/>
    <w:rsid w:val="511B66DB"/>
    <w:rsid w:val="512837E1"/>
    <w:rsid w:val="51AA4C4D"/>
    <w:rsid w:val="51B35AD6"/>
    <w:rsid w:val="52030CA5"/>
    <w:rsid w:val="52571216"/>
    <w:rsid w:val="531607A3"/>
    <w:rsid w:val="53512E8F"/>
    <w:rsid w:val="536A0119"/>
    <w:rsid w:val="54957FF3"/>
    <w:rsid w:val="54DA32D6"/>
    <w:rsid w:val="554C7641"/>
    <w:rsid w:val="55F10139"/>
    <w:rsid w:val="5689387B"/>
    <w:rsid w:val="569300AE"/>
    <w:rsid w:val="56947C22"/>
    <w:rsid w:val="569A0A51"/>
    <w:rsid w:val="56CB182B"/>
    <w:rsid w:val="57477AFA"/>
    <w:rsid w:val="57C83F01"/>
    <w:rsid w:val="588956AF"/>
    <w:rsid w:val="58975C0A"/>
    <w:rsid w:val="58D53024"/>
    <w:rsid w:val="58FC5B18"/>
    <w:rsid w:val="59D007FC"/>
    <w:rsid w:val="59F42A25"/>
    <w:rsid w:val="5AB04666"/>
    <w:rsid w:val="5B9D31FE"/>
    <w:rsid w:val="5C90731B"/>
    <w:rsid w:val="5D100B88"/>
    <w:rsid w:val="5D260141"/>
    <w:rsid w:val="5DF66903"/>
    <w:rsid w:val="5E08611C"/>
    <w:rsid w:val="5E4B44BF"/>
    <w:rsid w:val="5FB23A1C"/>
    <w:rsid w:val="60560DBA"/>
    <w:rsid w:val="60B94594"/>
    <w:rsid w:val="613853E1"/>
    <w:rsid w:val="613C197A"/>
    <w:rsid w:val="61870932"/>
    <w:rsid w:val="62242186"/>
    <w:rsid w:val="62943F47"/>
    <w:rsid w:val="632C1F25"/>
    <w:rsid w:val="632C2324"/>
    <w:rsid w:val="63415DDE"/>
    <w:rsid w:val="63886C8D"/>
    <w:rsid w:val="63983A8B"/>
    <w:rsid w:val="63B07221"/>
    <w:rsid w:val="63EB2DC3"/>
    <w:rsid w:val="647870F9"/>
    <w:rsid w:val="64821CA5"/>
    <w:rsid w:val="649403C7"/>
    <w:rsid w:val="651920FD"/>
    <w:rsid w:val="651A679C"/>
    <w:rsid w:val="653525D7"/>
    <w:rsid w:val="65600FBB"/>
    <w:rsid w:val="65D80A32"/>
    <w:rsid w:val="663A47AA"/>
    <w:rsid w:val="66543A34"/>
    <w:rsid w:val="665E1DEE"/>
    <w:rsid w:val="66A37BFC"/>
    <w:rsid w:val="66F137AF"/>
    <w:rsid w:val="679A1672"/>
    <w:rsid w:val="682B4273"/>
    <w:rsid w:val="68435C25"/>
    <w:rsid w:val="68975771"/>
    <w:rsid w:val="69774CB9"/>
    <w:rsid w:val="69DE34BF"/>
    <w:rsid w:val="6A6E778D"/>
    <w:rsid w:val="6AE35513"/>
    <w:rsid w:val="6B650215"/>
    <w:rsid w:val="6C3B3067"/>
    <w:rsid w:val="6C44702E"/>
    <w:rsid w:val="6CC34A3B"/>
    <w:rsid w:val="6DDC6F6C"/>
    <w:rsid w:val="6E09745A"/>
    <w:rsid w:val="6E806C8A"/>
    <w:rsid w:val="6ED515A6"/>
    <w:rsid w:val="6F111A4C"/>
    <w:rsid w:val="6F1841C4"/>
    <w:rsid w:val="6F8F12E5"/>
    <w:rsid w:val="6FEE0099"/>
    <w:rsid w:val="701266BA"/>
    <w:rsid w:val="71A36FD2"/>
    <w:rsid w:val="71E91628"/>
    <w:rsid w:val="73343A26"/>
    <w:rsid w:val="748B6FAE"/>
    <w:rsid w:val="74B3078A"/>
    <w:rsid w:val="75F241C0"/>
    <w:rsid w:val="77000DF7"/>
    <w:rsid w:val="77DC2CFE"/>
    <w:rsid w:val="78454772"/>
    <w:rsid w:val="78C73DE3"/>
    <w:rsid w:val="7936249E"/>
    <w:rsid w:val="79A8779F"/>
    <w:rsid w:val="79B1651B"/>
    <w:rsid w:val="7A5111CE"/>
    <w:rsid w:val="7A5F179D"/>
    <w:rsid w:val="7A7EF1B6"/>
    <w:rsid w:val="7B0743D4"/>
    <w:rsid w:val="7B4857F5"/>
    <w:rsid w:val="7BB0088C"/>
    <w:rsid w:val="7C352771"/>
    <w:rsid w:val="7CBC278D"/>
    <w:rsid w:val="7CD70B5E"/>
    <w:rsid w:val="7D1438EA"/>
    <w:rsid w:val="7D380D60"/>
    <w:rsid w:val="7D7A6920"/>
    <w:rsid w:val="7E1131F9"/>
    <w:rsid w:val="7E5755B9"/>
    <w:rsid w:val="7ED93967"/>
    <w:rsid w:val="7F461E16"/>
    <w:rsid w:val="B7EFE458"/>
    <w:rsid w:val="BBFF84B0"/>
    <w:rsid w:val="DFFF727A"/>
    <w:rsid w:val="EBAE2CE4"/>
    <w:rsid w:val="FEFBC76B"/>
    <w:rsid w:val="FF7F7142"/>
  </w:rsids>
  <m:mathPr>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iPriority="99" w:name="header"/>
    <w:lsdException w:qFormat="1" w:uiPriority="99" w:name="footer"/>
    <w:lsdException w:qFormat="1" w:unhideWhenUsed="0" w:uiPriority="0" w:semiHidden="0" w:name="index heading"/>
    <w:lsdException w:qFormat="1" w:uiPriority="35"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iPriority="99" w:semiHidden="0" w:name="footnote reference"/>
    <w:lsdException w:qFormat="1" w:uiPriority="99" w:semiHidden="0" w:name="annotation reference"/>
    <w:lsdException w:uiPriority="99" w:name="line number"/>
    <w:lsdException w:uiPriority="99" w:name="page number"/>
    <w:lsdException w:qFormat="1" w:uiPriority="99"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Calibri" w:hAnsi="Calibri" w:eastAsia="Arial" w:cs="Arial"/>
      <w:sz w:val="21"/>
      <w:szCs w:val="24"/>
      <w:lang w:eastAsia="zh-CN"/>
    </w:rPr>
  </w:style>
  <w:style w:type="paragraph" w:styleId="4">
    <w:name w:val="heading 1"/>
    <w:basedOn w:val="1"/>
    <w:next w:val="1"/>
    <w:link w:val="520"/>
    <w:qFormat/>
    <w:uiPriority w:val="9"/>
    <w:pPr>
      <w:keepNext/>
      <w:keepLines/>
      <w:numPr>
        <w:ilvl w:val="0"/>
        <w:numId w:val="0"/>
      </w:numPr>
      <w:tabs>
        <w:tab w:val="left" w:pos="1800"/>
      </w:tabs>
      <w:spacing w:before="340" w:after="330" w:line="240" w:lineRule="auto"/>
      <w:ind w:left="0" w:firstLine="0"/>
      <w:jc w:val="center"/>
      <w:outlineLvl w:val="0"/>
    </w:pPr>
    <w:rPr>
      <w:rFonts w:ascii="黑体" w:hAnsi="黑体" w:eastAsia="黑体" w:cs="Times New Roman"/>
      <w:b/>
      <w:bCs/>
      <w:kern w:val="44"/>
      <w:sz w:val="44"/>
      <w:szCs w:val="44"/>
    </w:rPr>
  </w:style>
  <w:style w:type="paragraph" w:styleId="5">
    <w:name w:val="heading 2"/>
    <w:basedOn w:val="1"/>
    <w:next w:val="1"/>
    <w:link w:val="521"/>
    <w:unhideWhenUsed/>
    <w:qFormat/>
    <w:uiPriority w:val="9"/>
    <w:pPr>
      <w:keepNext/>
      <w:keepLines/>
      <w:numPr>
        <w:ilvl w:val="0"/>
        <w:numId w:val="1"/>
      </w:numPr>
      <w:tabs>
        <w:tab w:val="left" w:pos="567"/>
      </w:tabs>
      <w:spacing w:before="260" w:after="260" w:line="360" w:lineRule="auto"/>
      <w:ind w:left="0" w:firstLine="0"/>
      <w:jc w:val="left"/>
      <w:outlineLvl w:val="1"/>
    </w:pPr>
    <w:rPr>
      <w:rFonts w:ascii="Arial" w:hAnsi="Arial" w:eastAsia="黑体" w:cs="Times New Roman"/>
      <w:b/>
      <w:bCs/>
      <w:sz w:val="24"/>
      <w:szCs w:val="32"/>
    </w:rPr>
  </w:style>
  <w:style w:type="paragraph" w:styleId="6">
    <w:name w:val="heading 3"/>
    <w:basedOn w:val="1"/>
    <w:next w:val="1"/>
    <w:link w:val="522"/>
    <w:semiHidden/>
    <w:unhideWhenUsed/>
    <w:qFormat/>
    <w:uiPriority w:val="9"/>
    <w:pPr>
      <w:keepNext/>
      <w:keepLines/>
      <w:spacing w:before="260" w:beforeLines="0" w:beforeAutospacing="0" w:after="260" w:afterLines="0" w:afterAutospacing="0" w:line="413" w:lineRule="auto"/>
      <w:outlineLvl w:val="2"/>
    </w:pPr>
    <w:rPr>
      <w:b/>
      <w:sz w:val="32"/>
    </w:rPr>
  </w:style>
  <w:style w:type="character" w:default="1" w:styleId="84">
    <w:name w:val="Default Paragraph Font"/>
    <w:semiHidden/>
    <w:qFormat/>
    <w:uiPriority w:val="0"/>
  </w:style>
  <w:style w:type="table" w:default="1" w:styleId="82">
    <w:name w:val="Normal Table"/>
    <w:unhideWhenUsed/>
    <w:qFormat/>
    <w:uiPriority w:val="99"/>
    <w:tblPr>
      <w:tblCellMar>
        <w:top w:w="0" w:type="dxa"/>
        <w:left w:w="108" w:type="dxa"/>
        <w:bottom w:w="0" w:type="dxa"/>
        <w:right w:w="108" w:type="dxa"/>
      </w:tblCellMar>
    </w:tblPr>
  </w:style>
  <w:style w:type="paragraph" w:customStyle="1" w:styleId="2">
    <w:name w:val="列出段落1"/>
    <w:basedOn w:val="1"/>
    <w:link w:val="352"/>
    <w:qFormat/>
    <w:uiPriority w:val="0"/>
    <w:pPr>
      <w:ind w:firstLine="420"/>
    </w:pPr>
    <w:rPr>
      <w:szCs w:val="22"/>
    </w:rPr>
  </w:style>
  <w:style w:type="paragraph" w:styleId="3">
    <w:name w:val="macro"/>
    <w:qFormat/>
    <w:uiPriority w:val="0"/>
    <w:pPr>
      <w:widowControl w:val="0"/>
      <w:tabs>
        <w:tab w:val="left" w:pos="480"/>
        <w:tab w:val="left" w:pos="960"/>
        <w:tab w:val="left" w:pos="1440"/>
        <w:tab w:val="left" w:pos="1920"/>
        <w:tab w:val="left" w:pos="2400"/>
        <w:tab w:val="left" w:pos="2880"/>
        <w:tab w:val="left" w:pos="3360"/>
        <w:tab w:val="left" w:pos="3840"/>
        <w:tab w:val="left" w:pos="4320"/>
      </w:tabs>
    </w:pPr>
    <w:rPr>
      <w:rFonts w:hint="default" w:ascii="Courier New" w:hAnsi="Courier New" w:eastAsia="Arial" w:cs="Arial"/>
      <w:sz w:val="24"/>
      <w:lang w:eastAsia="zh-CN"/>
    </w:rPr>
  </w:style>
  <w:style w:type="paragraph" w:styleId="7">
    <w:name w:val="List 3"/>
    <w:basedOn w:val="1"/>
    <w:qFormat/>
    <w:uiPriority w:val="0"/>
    <w:pPr>
      <w:ind w:left="100" w:hanging="200"/>
    </w:pPr>
  </w:style>
  <w:style w:type="paragraph" w:styleId="8">
    <w:name w:val="toc 7"/>
    <w:basedOn w:val="1"/>
    <w:next w:val="1"/>
    <w:qFormat/>
    <w:uiPriority w:val="0"/>
    <w:pPr>
      <w:ind w:left="2520"/>
    </w:pPr>
  </w:style>
  <w:style w:type="paragraph" w:styleId="9">
    <w:name w:val="List Number 2"/>
    <w:basedOn w:val="1"/>
    <w:qFormat/>
    <w:uiPriority w:val="0"/>
    <w:pPr>
      <w:numPr>
        <w:ilvl w:val="0"/>
        <w:numId w:val="2"/>
      </w:numPr>
    </w:pPr>
  </w:style>
  <w:style w:type="paragraph" w:styleId="10">
    <w:name w:val="table of authorities"/>
    <w:basedOn w:val="1"/>
    <w:next w:val="1"/>
    <w:qFormat/>
    <w:uiPriority w:val="0"/>
    <w:pPr>
      <w:ind w:left="420"/>
    </w:pPr>
  </w:style>
  <w:style w:type="paragraph" w:styleId="11">
    <w:name w:val="Note Heading"/>
    <w:basedOn w:val="1"/>
    <w:next w:val="1"/>
    <w:qFormat/>
    <w:uiPriority w:val="0"/>
    <w:pPr>
      <w:jc w:val="center"/>
    </w:pPr>
  </w:style>
  <w:style w:type="paragraph" w:styleId="12">
    <w:name w:val="List Bullet 4"/>
    <w:basedOn w:val="1"/>
    <w:qFormat/>
    <w:uiPriority w:val="0"/>
    <w:pPr>
      <w:numPr>
        <w:ilvl w:val="0"/>
        <w:numId w:val="3"/>
      </w:numPr>
    </w:pPr>
  </w:style>
  <w:style w:type="paragraph" w:styleId="13">
    <w:name w:val="index 8"/>
    <w:basedOn w:val="1"/>
    <w:next w:val="1"/>
    <w:qFormat/>
    <w:uiPriority w:val="0"/>
    <w:pPr>
      <w:ind w:left="1400"/>
    </w:pPr>
  </w:style>
  <w:style w:type="paragraph" w:styleId="14">
    <w:name w:val="E-mail Signature"/>
    <w:basedOn w:val="1"/>
    <w:qFormat/>
    <w:uiPriority w:val="0"/>
  </w:style>
  <w:style w:type="paragraph" w:styleId="15">
    <w:name w:val="List Number"/>
    <w:basedOn w:val="1"/>
    <w:qFormat/>
    <w:uiPriority w:val="0"/>
    <w:pPr>
      <w:numPr>
        <w:ilvl w:val="0"/>
        <w:numId w:val="4"/>
      </w:numPr>
    </w:pPr>
  </w:style>
  <w:style w:type="paragraph" w:styleId="16">
    <w:name w:val="Normal Indent"/>
    <w:basedOn w:val="1"/>
    <w:qFormat/>
    <w:uiPriority w:val="0"/>
    <w:pPr>
      <w:ind w:firstLine="420"/>
    </w:pPr>
  </w:style>
  <w:style w:type="paragraph" w:styleId="17">
    <w:name w:val="index 5"/>
    <w:basedOn w:val="1"/>
    <w:next w:val="1"/>
    <w:qFormat/>
    <w:uiPriority w:val="0"/>
    <w:pPr>
      <w:ind w:left="800"/>
    </w:pPr>
  </w:style>
  <w:style w:type="paragraph" w:styleId="18">
    <w:name w:val="List Bullet"/>
    <w:basedOn w:val="1"/>
    <w:qFormat/>
    <w:uiPriority w:val="0"/>
    <w:pPr>
      <w:numPr>
        <w:ilvl w:val="0"/>
        <w:numId w:val="5"/>
      </w:numPr>
    </w:pPr>
  </w:style>
  <w:style w:type="paragraph" w:styleId="19">
    <w:name w:val="envelope address"/>
    <w:basedOn w:val="1"/>
    <w:qFormat/>
    <w:uiPriority w:val="0"/>
    <w:pPr>
      <w:ind w:left="100"/>
    </w:pPr>
    <w:rPr>
      <w:rFonts w:ascii="Arial" w:hAnsi="Arial"/>
      <w:sz w:val="24"/>
    </w:rPr>
  </w:style>
  <w:style w:type="paragraph" w:styleId="20">
    <w:name w:val="Document Map"/>
    <w:basedOn w:val="1"/>
    <w:qFormat/>
    <w:uiPriority w:val="0"/>
    <w:pPr>
      <w:shd w:val="clear" w:color="auto" w:fill="000080"/>
    </w:pPr>
  </w:style>
  <w:style w:type="paragraph" w:styleId="21">
    <w:name w:val="toa heading"/>
    <w:basedOn w:val="1"/>
    <w:next w:val="1"/>
    <w:qFormat/>
    <w:uiPriority w:val="0"/>
    <w:pPr>
      <w:spacing w:before="120" w:beforeAutospacing="0"/>
    </w:pPr>
    <w:rPr>
      <w:rFonts w:ascii="Arial" w:hAnsi="Arial"/>
      <w:sz w:val="24"/>
    </w:rPr>
  </w:style>
  <w:style w:type="paragraph" w:styleId="22">
    <w:name w:val="annotation text"/>
    <w:basedOn w:val="1"/>
    <w:qFormat/>
    <w:uiPriority w:val="0"/>
    <w:pPr>
      <w:jc w:val="left"/>
    </w:pPr>
  </w:style>
  <w:style w:type="paragraph" w:styleId="23">
    <w:name w:val="index 6"/>
    <w:basedOn w:val="1"/>
    <w:next w:val="1"/>
    <w:qFormat/>
    <w:uiPriority w:val="0"/>
    <w:pPr>
      <w:ind w:left="1000"/>
    </w:pPr>
  </w:style>
  <w:style w:type="paragraph" w:styleId="24">
    <w:name w:val="Salutation"/>
    <w:basedOn w:val="1"/>
    <w:next w:val="1"/>
    <w:qFormat/>
    <w:uiPriority w:val="0"/>
  </w:style>
  <w:style w:type="paragraph" w:styleId="25">
    <w:name w:val="Body Text 3"/>
    <w:basedOn w:val="1"/>
    <w:qFormat/>
    <w:uiPriority w:val="0"/>
    <w:pPr>
      <w:spacing w:after="120" w:afterAutospacing="0"/>
    </w:pPr>
    <w:rPr>
      <w:sz w:val="16"/>
    </w:rPr>
  </w:style>
  <w:style w:type="paragraph" w:styleId="26">
    <w:name w:val="Closing"/>
    <w:basedOn w:val="1"/>
    <w:qFormat/>
    <w:uiPriority w:val="0"/>
    <w:pPr>
      <w:ind w:left="100"/>
    </w:pPr>
  </w:style>
  <w:style w:type="paragraph" w:styleId="27">
    <w:name w:val="List Bullet 3"/>
    <w:basedOn w:val="1"/>
    <w:qFormat/>
    <w:uiPriority w:val="0"/>
    <w:pPr>
      <w:numPr>
        <w:ilvl w:val="0"/>
        <w:numId w:val="6"/>
      </w:numPr>
    </w:pPr>
  </w:style>
  <w:style w:type="paragraph" w:styleId="28">
    <w:name w:val="Body Text"/>
    <w:basedOn w:val="1"/>
    <w:next w:val="29"/>
    <w:qFormat/>
    <w:uiPriority w:val="0"/>
    <w:pPr>
      <w:spacing w:after="120" w:afterAutospacing="0"/>
    </w:pPr>
  </w:style>
  <w:style w:type="paragraph" w:styleId="29">
    <w:name w:val="List"/>
    <w:basedOn w:val="1"/>
    <w:qFormat/>
    <w:uiPriority w:val="0"/>
    <w:pPr>
      <w:ind w:left="200" w:hanging="200"/>
    </w:pPr>
  </w:style>
  <w:style w:type="paragraph" w:styleId="30">
    <w:name w:val="Body Text Indent"/>
    <w:basedOn w:val="1"/>
    <w:qFormat/>
    <w:uiPriority w:val="0"/>
    <w:pPr>
      <w:spacing w:after="120" w:afterAutospacing="0"/>
      <w:ind w:left="420"/>
    </w:pPr>
  </w:style>
  <w:style w:type="paragraph" w:styleId="31">
    <w:name w:val="List Number 3"/>
    <w:basedOn w:val="1"/>
    <w:qFormat/>
    <w:uiPriority w:val="0"/>
    <w:pPr>
      <w:numPr>
        <w:ilvl w:val="0"/>
        <w:numId w:val="7"/>
      </w:numPr>
    </w:pPr>
  </w:style>
  <w:style w:type="paragraph" w:styleId="32">
    <w:name w:val="List 2"/>
    <w:basedOn w:val="1"/>
    <w:qFormat/>
    <w:uiPriority w:val="0"/>
    <w:pPr>
      <w:ind w:left="100" w:hanging="200"/>
    </w:pPr>
  </w:style>
  <w:style w:type="paragraph" w:styleId="33">
    <w:name w:val="List Continue"/>
    <w:basedOn w:val="1"/>
    <w:qFormat/>
    <w:uiPriority w:val="0"/>
    <w:pPr>
      <w:spacing w:after="120" w:afterAutospacing="0"/>
      <w:ind w:left="420"/>
    </w:pPr>
  </w:style>
  <w:style w:type="paragraph" w:styleId="34">
    <w:name w:val="Block Text"/>
    <w:basedOn w:val="1"/>
    <w:qFormat/>
    <w:uiPriority w:val="0"/>
    <w:pPr>
      <w:spacing w:after="120" w:afterAutospacing="0"/>
      <w:ind w:left="1440"/>
    </w:pPr>
  </w:style>
  <w:style w:type="paragraph" w:styleId="35">
    <w:name w:val="List Bullet 2"/>
    <w:basedOn w:val="1"/>
    <w:qFormat/>
    <w:uiPriority w:val="0"/>
    <w:pPr>
      <w:numPr>
        <w:ilvl w:val="0"/>
        <w:numId w:val="8"/>
      </w:numPr>
    </w:pPr>
  </w:style>
  <w:style w:type="paragraph" w:styleId="36">
    <w:name w:val="HTML Address"/>
    <w:basedOn w:val="1"/>
    <w:qFormat/>
    <w:uiPriority w:val="0"/>
    <w:rPr>
      <w:i/>
    </w:rPr>
  </w:style>
  <w:style w:type="paragraph" w:styleId="37">
    <w:name w:val="index 4"/>
    <w:basedOn w:val="1"/>
    <w:next w:val="1"/>
    <w:qFormat/>
    <w:uiPriority w:val="0"/>
    <w:pPr>
      <w:ind w:left="600"/>
    </w:pPr>
  </w:style>
  <w:style w:type="paragraph" w:styleId="38">
    <w:name w:val="toc 5"/>
    <w:basedOn w:val="1"/>
    <w:next w:val="1"/>
    <w:qFormat/>
    <w:uiPriority w:val="0"/>
    <w:pPr>
      <w:ind w:left="1680"/>
    </w:pPr>
  </w:style>
  <w:style w:type="paragraph" w:styleId="39">
    <w:name w:val="toc 3"/>
    <w:basedOn w:val="1"/>
    <w:next w:val="1"/>
    <w:qFormat/>
    <w:uiPriority w:val="0"/>
    <w:pPr>
      <w:ind w:left="840"/>
    </w:pPr>
  </w:style>
  <w:style w:type="paragraph" w:styleId="40">
    <w:name w:val="Plain Text"/>
    <w:basedOn w:val="1"/>
    <w:qFormat/>
    <w:uiPriority w:val="0"/>
    <w:rPr>
      <w:rFonts w:ascii="宋体" w:hAnsi="Courier New"/>
    </w:rPr>
  </w:style>
  <w:style w:type="paragraph" w:styleId="41">
    <w:name w:val="List Bullet 5"/>
    <w:basedOn w:val="1"/>
    <w:qFormat/>
    <w:uiPriority w:val="0"/>
    <w:pPr>
      <w:numPr>
        <w:ilvl w:val="0"/>
        <w:numId w:val="9"/>
      </w:numPr>
    </w:pPr>
  </w:style>
  <w:style w:type="paragraph" w:styleId="42">
    <w:name w:val="List Number 4"/>
    <w:basedOn w:val="1"/>
    <w:qFormat/>
    <w:uiPriority w:val="0"/>
    <w:pPr>
      <w:numPr>
        <w:ilvl w:val="0"/>
        <w:numId w:val="10"/>
      </w:numPr>
    </w:pPr>
  </w:style>
  <w:style w:type="paragraph" w:styleId="43">
    <w:name w:val="toc 8"/>
    <w:basedOn w:val="1"/>
    <w:next w:val="1"/>
    <w:qFormat/>
    <w:uiPriority w:val="0"/>
    <w:pPr>
      <w:ind w:left="2940"/>
    </w:pPr>
  </w:style>
  <w:style w:type="paragraph" w:styleId="44">
    <w:name w:val="index 3"/>
    <w:basedOn w:val="1"/>
    <w:next w:val="1"/>
    <w:qFormat/>
    <w:uiPriority w:val="0"/>
    <w:pPr>
      <w:ind w:left="400"/>
    </w:pPr>
  </w:style>
  <w:style w:type="paragraph" w:styleId="45">
    <w:name w:val="Date"/>
    <w:basedOn w:val="1"/>
    <w:next w:val="1"/>
    <w:qFormat/>
    <w:uiPriority w:val="0"/>
    <w:pPr>
      <w:ind w:left="100"/>
    </w:pPr>
  </w:style>
  <w:style w:type="paragraph" w:styleId="46">
    <w:name w:val="Body Text Indent 2"/>
    <w:basedOn w:val="1"/>
    <w:qFormat/>
    <w:uiPriority w:val="0"/>
    <w:pPr>
      <w:spacing w:after="120" w:afterAutospacing="0" w:line="480" w:lineRule="auto"/>
      <w:ind w:left="420"/>
    </w:pPr>
  </w:style>
  <w:style w:type="paragraph" w:styleId="47">
    <w:name w:val="endnote text"/>
    <w:basedOn w:val="1"/>
    <w:link w:val="301"/>
    <w:qFormat/>
    <w:uiPriority w:val="0"/>
    <w:pPr>
      <w:jc w:val="left"/>
    </w:pPr>
  </w:style>
  <w:style w:type="paragraph" w:styleId="48">
    <w:name w:val="List Continue 5"/>
    <w:basedOn w:val="1"/>
    <w:qFormat/>
    <w:uiPriority w:val="0"/>
    <w:pPr>
      <w:spacing w:after="120" w:afterAutospacing="0"/>
      <w:ind w:left="2100"/>
    </w:pPr>
  </w:style>
  <w:style w:type="paragraph" w:styleId="49">
    <w:name w:val="Balloon Text"/>
    <w:basedOn w:val="1"/>
    <w:link w:val="302"/>
    <w:qFormat/>
    <w:uiPriority w:val="0"/>
    <w:rPr>
      <w:sz w:val="18"/>
    </w:rPr>
  </w:style>
  <w:style w:type="paragraph" w:styleId="50">
    <w:name w:val="footer"/>
    <w:basedOn w:val="1"/>
    <w:semiHidden/>
    <w:unhideWhenUsed/>
    <w:qFormat/>
    <w:uiPriority w:val="99"/>
    <w:pPr>
      <w:tabs>
        <w:tab w:val="center" w:pos="4153"/>
        <w:tab w:val="right" w:pos="8306"/>
      </w:tabs>
      <w:snapToGrid w:val="0"/>
      <w:jc w:val="left"/>
    </w:pPr>
    <w:rPr>
      <w:sz w:val="18"/>
    </w:rPr>
  </w:style>
  <w:style w:type="paragraph" w:styleId="51">
    <w:name w:val="envelope return"/>
    <w:basedOn w:val="1"/>
    <w:qFormat/>
    <w:uiPriority w:val="0"/>
    <w:rPr>
      <w:rFonts w:ascii="Arial" w:hAnsi="Arial"/>
    </w:rPr>
  </w:style>
  <w:style w:type="paragraph" w:styleId="52">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3">
    <w:name w:val="Signature"/>
    <w:basedOn w:val="1"/>
    <w:qFormat/>
    <w:uiPriority w:val="0"/>
    <w:pPr>
      <w:ind w:left="100"/>
    </w:pPr>
  </w:style>
  <w:style w:type="paragraph" w:styleId="54">
    <w:name w:val="toc 1"/>
    <w:basedOn w:val="1"/>
    <w:next w:val="1"/>
    <w:qFormat/>
    <w:uiPriority w:val="0"/>
  </w:style>
  <w:style w:type="paragraph" w:styleId="55">
    <w:name w:val="List Continue 4"/>
    <w:basedOn w:val="1"/>
    <w:qFormat/>
    <w:uiPriority w:val="0"/>
    <w:pPr>
      <w:spacing w:after="120" w:afterAutospacing="0"/>
      <w:ind w:left="1680"/>
    </w:pPr>
  </w:style>
  <w:style w:type="paragraph" w:styleId="56">
    <w:name w:val="toc 4"/>
    <w:basedOn w:val="1"/>
    <w:next w:val="1"/>
    <w:qFormat/>
    <w:uiPriority w:val="0"/>
    <w:pPr>
      <w:ind w:left="1260"/>
    </w:pPr>
  </w:style>
  <w:style w:type="paragraph" w:styleId="57">
    <w:name w:val="index heading"/>
    <w:basedOn w:val="1"/>
    <w:next w:val="58"/>
    <w:qFormat/>
    <w:uiPriority w:val="0"/>
    <w:rPr>
      <w:rFonts w:ascii="Arial" w:hAnsi="Arial"/>
      <w:b/>
    </w:rPr>
  </w:style>
  <w:style w:type="paragraph" w:styleId="58">
    <w:name w:val="index 1"/>
    <w:basedOn w:val="1"/>
    <w:next w:val="1"/>
    <w:qFormat/>
    <w:uiPriority w:val="0"/>
  </w:style>
  <w:style w:type="paragraph" w:styleId="59">
    <w:name w:val="Subtitle"/>
    <w:basedOn w:val="1"/>
    <w:link w:val="305"/>
    <w:qFormat/>
    <w:uiPriority w:val="0"/>
    <w:pPr>
      <w:spacing w:before="240" w:beforeAutospacing="0" w:after="60" w:afterAutospacing="0" w:line="312" w:lineRule="auto"/>
      <w:jc w:val="center"/>
      <w:outlineLvl w:val="1"/>
    </w:pPr>
    <w:rPr>
      <w:rFonts w:ascii="Arial" w:hAnsi="Arial"/>
      <w:b/>
      <w:sz w:val="32"/>
    </w:rPr>
  </w:style>
  <w:style w:type="paragraph" w:styleId="60">
    <w:name w:val="List Number 5"/>
    <w:basedOn w:val="1"/>
    <w:qFormat/>
    <w:uiPriority w:val="0"/>
    <w:pPr>
      <w:numPr>
        <w:ilvl w:val="0"/>
        <w:numId w:val="11"/>
      </w:numPr>
    </w:pPr>
  </w:style>
  <w:style w:type="paragraph" w:styleId="61">
    <w:name w:val="footnote text"/>
    <w:basedOn w:val="1"/>
    <w:link w:val="306"/>
    <w:qFormat/>
    <w:uiPriority w:val="0"/>
    <w:pPr>
      <w:jc w:val="left"/>
    </w:pPr>
    <w:rPr>
      <w:sz w:val="18"/>
    </w:rPr>
  </w:style>
  <w:style w:type="paragraph" w:styleId="62">
    <w:name w:val="toc 6"/>
    <w:basedOn w:val="1"/>
    <w:next w:val="1"/>
    <w:qFormat/>
    <w:uiPriority w:val="0"/>
    <w:pPr>
      <w:ind w:left="2100"/>
    </w:pPr>
  </w:style>
  <w:style w:type="paragraph" w:styleId="63">
    <w:name w:val="List 5"/>
    <w:basedOn w:val="1"/>
    <w:qFormat/>
    <w:uiPriority w:val="0"/>
    <w:pPr>
      <w:ind w:left="100" w:hanging="200"/>
    </w:pPr>
  </w:style>
  <w:style w:type="paragraph" w:styleId="64">
    <w:name w:val="Body Text Indent 3"/>
    <w:basedOn w:val="1"/>
    <w:qFormat/>
    <w:uiPriority w:val="0"/>
    <w:pPr>
      <w:spacing w:after="120" w:afterAutospacing="0"/>
      <w:ind w:left="420"/>
    </w:pPr>
    <w:rPr>
      <w:sz w:val="16"/>
    </w:rPr>
  </w:style>
  <w:style w:type="paragraph" w:styleId="65">
    <w:name w:val="index 7"/>
    <w:basedOn w:val="1"/>
    <w:next w:val="1"/>
    <w:qFormat/>
    <w:uiPriority w:val="0"/>
    <w:pPr>
      <w:ind w:left="1200"/>
    </w:pPr>
  </w:style>
  <w:style w:type="paragraph" w:styleId="66">
    <w:name w:val="index 9"/>
    <w:basedOn w:val="1"/>
    <w:next w:val="1"/>
    <w:qFormat/>
    <w:uiPriority w:val="0"/>
    <w:pPr>
      <w:ind w:left="1600"/>
    </w:pPr>
  </w:style>
  <w:style w:type="paragraph" w:styleId="67">
    <w:name w:val="table of figures"/>
    <w:basedOn w:val="1"/>
    <w:next w:val="1"/>
    <w:qFormat/>
    <w:uiPriority w:val="0"/>
    <w:pPr>
      <w:ind w:hanging="200"/>
    </w:pPr>
  </w:style>
  <w:style w:type="paragraph" w:styleId="68">
    <w:name w:val="toc 2"/>
    <w:basedOn w:val="1"/>
    <w:next w:val="1"/>
    <w:qFormat/>
    <w:uiPriority w:val="0"/>
    <w:pPr>
      <w:ind w:left="420"/>
    </w:pPr>
  </w:style>
  <w:style w:type="paragraph" w:styleId="69">
    <w:name w:val="toc 9"/>
    <w:basedOn w:val="1"/>
    <w:next w:val="1"/>
    <w:qFormat/>
    <w:uiPriority w:val="0"/>
    <w:pPr>
      <w:ind w:left="3360"/>
    </w:pPr>
  </w:style>
  <w:style w:type="paragraph" w:styleId="70">
    <w:name w:val="Body Text 2"/>
    <w:basedOn w:val="1"/>
    <w:qFormat/>
    <w:uiPriority w:val="0"/>
    <w:pPr>
      <w:spacing w:after="120" w:afterAutospacing="0" w:line="480" w:lineRule="auto"/>
    </w:pPr>
  </w:style>
  <w:style w:type="paragraph" w:styleId="71">
    <w:name w:val="List 4"/>
    <w:basedOn w:val="1"/>
    <w:qFormat/>
    <w:uiPriority w:val="0"/>
    <w:pPr>
      <w:ind w:left="100" w:hanging="200"/>
    </w:pPr>
  </w:style>
  <w:style w:type="paragraph" w:styleId="72">
    <w:name w:val="List Continue 2"/>
    <w:basedOn w:val="1"/>
    <w:qFormat/>
    <w:uiPriority w:val="0"/>
    <w:pPr>
      <w:spacing w:after="120" w:afterAutospacing="0"/>
      <w:ind w:left="840"/>
    </w:pPr>
  </w:style>
  <w:style w:type="paragraph" w:styleId="73">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74">
    <w:name w:val="HTML Preformatted"/>
    <w:basedOn w:val="1"/>
    <w:qFormat/>
    <w:uiPriority w:val="0"/>
    <w:rPr>
      <w:rFonts w:ascii="Courier New" w:hAnsi="Courier New"/>
      <w:sz w:val="20"/>
    </w:rPr>
  </w:style>
  <w:style w:type="paragraph" w:styleId="75">
    <w:name w:val="Normal (Web)"/>
    <w:basedOn w:val="1"/>
    <w:qFormat/>
    <w:uiPriority w:val="0"/>
    <w:rPr>
      <w:sz w:val="24"/>
    </w:rPr>
  </w:style>
  <w:style w:type="paragraph" w:styleId="76">
    <w:name w:val="List Continue 3"/>
    <w:basedOn w:val="1"/>
    <w:qFormat/>
    <w:uiPriority w:val="0"/>
    <w:pPr>
      <w:spacing w:after="120" w:afterAutospacing="0"/>
      <w:ind w:left="1260"/>
    </w:pPr>
  </w:style>
  <w:style w:type="paragraph" w:styleId="77">
    <w:name w:val="index 2"/>
    <w:basedOn w:val="1"/>
    <w:next w:val="1"/>
    <w:qFormat/>
    <w:uiPriority w:val="0"/>
    <w:pPr>
      <w:ind w:left="200"/>
    </w:pPr>
  </w:style>
  <w:style w:type="paragraph" w:styleId="78">
    <w:name w:val="Title"/>
    <w:basedOn w:val="1"/>
    <w:link w:val="307"/>
    <w:qFormat/>
    <w:uiPriority w:val="0"/>
    <w:pPr>
      <w:spacing w:before="240" w:beforeAutospacing="0" w:after="60" w:afterAutospacing="0"/>
      <w:jc w:val="center"/>
      <w:outlineLvl w:val="0"/>
    </w:pPr>
    <w:rPr>
      <w:rFonts w:ascii="Arial" w:hAnsi="Arial"/>
      <w:b/>
      <w:sz w:val="32"/>
    </w:rPr>
  </w:style>
  <w:style w:type="paragraph" w:styleId="79">
    <w:name w:val="annotation subject"/>
    <w:basedOn w:val="22"/>
    <w:next w:val="22"/>
    <w:qFormat/>
    <w:uiPriority w:val="0"/>
    <w:rPr>
      <w:b/>
    </w:rPr>
  </w:style>
  <w:style w:type="paragraph" w:styleId="80">
    <w:name w:val="Body Text First Indent"/>
    <w:basedOn w:val="28"/>
    <w:qFormat/>
    <w:uiPriority w:val="0"/>
    <w:pPr>
      <w:ind w:firstLine="420"/>
    </w:pPr>
  </w:style>
  <w:style w:type="paragraph" w:styleId="81">
    <w:name w:val="Body Text First Indent 2"/>
    <w:basedOn w:val="30"/>
    <w:qFormat/>
    <w:uiPriority w:val="0"/>
    <w:pPr>
      <w:ind w:firstLine="420"/>
    </w:pPr>
  </w:style>
  <w:style w:type="table" w:styleId="83">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85">
    <w:name w:val="endnote reference"/>
    <w:unhideWhenUsed/>
    <w:qFormat/>
    <w:uiPriority w:val="99"/>
    <w:rPr>
      <w:vertAlign w:val="superscript"/>
    </w:rPr>
  </w:style>
  <w:style w:type="character" w:styleId="86">
    <w:name w:val="Hyperlink"/>
    <w:unhideWhenUsed/>
    <w:qFormat/>
    <w:uiPriority w:val="99"/>
    <w:rPr>
      <w:color w:val="0000FF"/>
      <w:u w:val="single"/>
    </w:rPr>
  </w:style>
  <w:style w:type="character" w:styleId="87">
    <w:name w:val="annotation reference"/>
    <w:unhideWhenUsed/>
    <w:qFormat/>
    <w:uiPriority w:val="99"/>
    <w:rPr>
      <w:sz w:val="21"/>
      <w:szCs w:val="21"/>
    </w:rPr>
  </w:style>
  <w:style w:type="character" w:styleId="88">
    <w:name w:val="footnote reference"/>
    <w:unhideWhenUsed/>
    <w:qFormat/>
    <w:uiPriority w:val="99"/>
    <w:rPr>
      <w:vertAlign w:val="superscript"/>
    </w:rPr>
  </w:style>
  <w:style w:type="character" w:customStyle="1" w:styleId="89">
    <w:name w:val="标题 1 Char"/>
    <w:link w:val="90"/>
    <w:qFormat/>
    <w:uiPriority w:val="9"/>
    <w:rPr>
      <w:rFonts w:ascii="黑体" w:hAnsi="Times New Roman" w:eastAsia="黑体" w:cs="Times New Roman"/>
      <w:b/>
      <w:bCs/>
      <w:sz w:val="44"/>
      <w:szCs w:val="44"/>
    </w:rPr>
  </w:style>
  <w:style w:type="paragraph" w:customStyle="1" w:styleId="90">
    <w:name w:val="标题 11"/>
    <w:basedOn w:val="1"/>
    <w:next w:val="1"/>
    <w:link w:val="89"/>
    <w:qFormat/>
    <w:uiPriority w:val="0"/>
    <w:pPr>
      <w:keepNext/>
      <w:keepLines/>
      <w:numPr>
        <w:ilvl w:val="0"/>
        <w:numId w:val="12"/>
      </w:numPr>
      <w:spacing w:before="340" w:after="330" w:line="578" w:lineRule="auto"/>
      <w:jc w:val="center"/>
      <w:outlineLvl w:val="0"/>
    </w:pPr>
    <w:rPr>
      <w:rFonts w:ascii="黑体" w:hAnsi="Times New Roman" w:eastAsia="黑体"/>
      <w:b/>
      <w:bCs/>
      <w:sz w:val="44"/>
      <w:szCs w:val="44"/>
    </w:rPr>
  </w:style>
  <w:style w:type="character" w:customStyle="1" w:styleId="91">
    <w:name w:val="标题 2 Char"/>
    <w:link w:val="92"/>
    <w:qFormat/>
    <w:uiPriority w:val="9"/>
    <w:rPr>
      <w:rFonts w:ascii="Arial" w:hAnsi="Arial" w:eastAsia="黑体"/>
      <w:b/>
      <w:sz w:val="32"/>
    </w:rPr>
  </w:style>
  <w:style w:type="paragraph" w:customStyle="1" w:styleId="92">
    <w:name w:val="Heading 2"/>
    <w:basedOn w:val="1"/>
    <w:next w:val="1"/>
    <w:link w:val="91"/>
    <w:unhideWhenUsed/>
    <w:qFormat/>
    <w:uiPriority w:val="0"/>
    <w:pPr>
      <w:keepNext/>
      <w:keepLines/>
      <w:spacing w:before="260" w:beforeAutospacing="0" w:after="260" w:afterAutospacing="0" w:line="413" w:lineRule="auto"/>
      <w:outlineLvl w:val="1"/>
    </w:pPr>
    <w:rPr>
      <w:rFonts w:ascii="Arial" w:hAnsi="Arial" w:eastAsia="黑体"/>
      <w:b/>
      <w:sz w:val="32"/>
    </w:rPr>
  </w:style>
  <w:style w:type="paragraph" w:customStyle="1" w:styleId="93">
    <w:name w:val="Heading 1"/>
    <w:basedOn w:val="1"/>
    <w:next w:val="1"/>
    <w:link w:val="293"/>
    <w:qFormat/>
    <w:uiPriority w:val="0"/>
    <w:pPr>
      <w:keepNext/>
      <w:keepLines/>
      <w:spacing w:before="340" w:beforeAutospacing="0" w:after="330" w:afterAutospacing="0" w:line="576" w:lineRule="auto"/>
      <w:outlineLvl w:val="0"/>
    </w:pPr>
    <w:rPr>
      <w:b/>
      <w:sz w:val="44"/>
    </w:rPr>
  </w:style>
  <w:style w:type="paragraph" w:customStyle="1" w:styleId="94">
    <w:name w:val="Heading 3"/>
    <w:basedOn w:val="1"/>
    <w:next w:val="1"/>
    <w:link w:val="294"/>
    <w:semiHidden/>
    <w:unhideWhenUsed/>
    <w:qFormat/>
    <w:uiPriority w:val="0"/>
    <w:pPr>
      <w:keepNext/>
      <w:keepLines/>
      <w:spacing w:before="260" w:beforeAutospacing="0" w:after="260" w:afterAutospacing="0" w:line="413" w:lineRule="auto"/>
      <w:outlineLvl w:val="2"/>
    </w:pPr>
    <w:rPr>
      <w:b/>
      <w:sz w:val="32"/>
    </w:rPr>
  </w:style>
  <w:style w:type="paragraph" w:customStyle="1" w:styleId="95">
    <w:name w:val="Heading 4"/>
    <w:basedOn w:val="1"/>
    <w:next w:val="1"/>
    <w:link w:val="295"/>
    <w:semiHidden/>
    <w:unhideWhenUsed/>
    <w:qFormat/>
    <w:uiPriority w:val="0"/>
    <w:pPr>
      <w:keepNext/>
      <w:keepLines/>
      <w:spacing w:before="280" w:beforeAutospacing="0" w:after="290" w:afterAutospacing="0" w:line="372" w:lineRule="auto"/>
      <w:outlineLvl w:val="3"/>
    </w:pPr>
    <w:rPr>
      <w:rFonts w:ascii="Arial" w:hAnsi="Arial" w:eastAsia="黑体"/>
      <w:b/>
      <w:sz w:val="28"/>
    </w:rPr>
  </w:style>
  <w:style w:type="paragraph" w:customStyle="1" w:styleId="96">
    <w:name w:val="Heading 5"/>
    <w:basedOn w:val="1"/>
    <w:next w:val="1"/>
    <w:link w:val="296"/>
    <w:semiHidden/>
    <w:unhideWhenUsed/>
    <w:qFormat/>
    <w:uiPriority w:val="0"/>
    <w:pPr>
      <w:keepNext/>
      <w:keepLines/>
      <w:spacing w:before="280" w:beforeAutospacing="0" w:after="290" w:afterAutospacing="0" w:line="372" w:lineRule="auto"/>
      <w:outlineLvl w:val="4"/>
    </w:pPr>
    <w:rPr>
      <w:b/>
      <w:sz w:val="28"/>
    </w:rPr>
  </w:style>
  <w:style w:type="paragraph" w:customStyle="1" w:styleId="97">
    <w:name w:val="Heading 6"/>
    <w:basedOn w:val="1"/>
    <w:next w:val="1"/>
    <w:link w:val="297"/>
    <w:semiHidden/>
    <w:unhideWhenUsed/>
    <w:qFormat/>
    <w:uiPriority w:val="0"/>
    <w:pPr>
      <w:keepNext/>
      <w:keepLines/>
      <w:spacing w:before="240" w:beforeAutospacing="0" w:after="64" w:afterAutospacing="0" w:line="317" w:lineRule="auto"/>
      <w:outlineLvl w:val="5"/>
    </w:pPr>
    <w:rPr>
      <w:rFonts w:ascii="Arial" w:hAnsi="Arial" w:eastAsia="黑体"/>
      <w:b/>
      <w:sz w:val="24"/>
    </w:rPr>
  </w:style>
  <w:style w:type="paragraph" w:customStyle="1" w:styleId="98">
    <w:name w:val="Heading 7"/>
    <w:basedOn w:val="1"/>
    <w:next w:val="1"/>
    <w:link w:val="298"/>
    <w:semiHidden/>
    <w:unhideWhenUsed/>
    <w:qFormat/>
    <w:uiPriority w:val="0"/>
    <w:pPr>
      <w:keepNext/>
      <w:keepLines/>
      <w:spacing w:before="240" w:beforeAutospacing="0" w:after="64" w:afterAutospacing="0" w:line="317" w:lineRule="auto"/>
      <w:outlineLvl w:val="6"/>
    </w:pPr>
    <w:rPr>
      <w:b/>
      <w:sz w:val="24"/>
    </w:rPr>
  </w:style>
  <w:style w:type="paragraph" w:customStyle="1" w:styleId="99">
    <w:name w:val="Heading 8"/>
    <w:basedOn w:val="1"/>
    <w:next w:val="1"/>
    <w:link w:val="299"/>
    <w:semiHidden/>
    <w:unhideWhenUsed/>
    <w:qFormat/>
    <w:uiPriority w:val="0"/>
    <w:pPr>
      <w:keepNext/>
      <w:keepLines/>
      <w:spacing w:before="240" w:beforeAutospacing="0" w:after="64" w:afterAutospacing="0" w:line="317" w:lineRule="auto"/>
      <w:outlineLvl w:val="7"/>
    </w:pPr>
    <w:rPr>
      <w:rFonts w:ascii="Arial" w:hAnsi="Arial" w:eastAsia="黑体"/>
      <w:sz w:val="24"/>
    </w:rPr>
  </w:style>
  <w:style w:type="paragraph" w:customStyle="1" w:styleId="100">
    <w:name w:val="Heading 9"/>
    <w:basedOn w:val="1"/>
    <w:next w:val="1"/>
    <w:link w:val="300"/>
    <w:semiHidden/>
    <w:unhideWhenUsed/>
    <w:qFormat/>
    <w:uiPriority w:val="0"/>
    <w:pPr>
      <w:keepNext/>
      <w:keepLines/>
      <w:spacing w:before="240" w:beforeAutospacing="0" w:after="64" w:afterAutospacing="0" w:line="317" w:lineRule="auto"/>
      <w:outlineLvl w:val="8"/>
    </w:pPr>
    <w:rPr>
      <w:rFonts w:ascii="Arial" w:hAnsi="Arial" w:eastAsia="黑体"/>
      <w:sz w:val="21"/>
    </w:rPr>
  </w:style>
  <w:style w:type="paragraph" w:customStyle="1" w:styleId="101">
    <w:name w:val="Caption"/>
    <w:basedOn w:val="1"/>
    <w:next w:val="1"/>
    <w:semiHidden/>
    <w:unhideWhenUsed/>
    <w:qFormat/>
    <w:uiPriority w:val="0"/>
    <w:rPr>
      <w:rFonts w:ascii="Arial" w:hAnsi="Arial" w:eastAsia="黑体"/>
      <w:sz w:val="20"/>
    </w:rPr>
  </w:style>
  <w:style w:type="paragraph" w:customStyle="1" w:styleId="102">
    <w:name w:val="Footer"/>
    <w:basedOn w:val="1"/>
    <w:link w:val="303"/>
    <w:qFormat/>
    <w:uiPriority w:val="0"/>
    <w:pPr>
      <w:tabs>
        <w:tab w:val="center" w:pos="4153"/>
        <w:tab w:val="right" w:pos="8306"/>
      </w:tabs>
      <w:jc w:val="left"/>
    </w:pPr>
    <w:rPr>
      <w:sz w:val="18"/>
    </w:rPr>
  </w:style>
  <w:style w:type="paragraph" w:customStyle="1" w:styleId="103">
    <w:name w:val="Header"/>
    <w:basedOn w:val="1"/>
    <w:link w:val="304"/>
    <w:qFormat/>
    <w:uiPriority w:val="0"/>
    <w:pPr>
      <w:pBdr>
        <w:top w:val="none" w:color="auto" w:sz="0" w:space="1"/>
        <w:left w:val="none" w:color="auto" w:sz="0" w:space="4"/>
        <w:bottom w:val="none" w:color="auto" w:sz="0" w:space="1"/>
        <w:right w:val="none" w:color="auto" w:sz="0" w:space="4"/>
      </w:pBdr>
      <w:tabs>
        <w:tab w:val="center" w:pos="4153"/>
        <w:tab w:val="right" w:pos="8306"/>
      </w:tabs>
      <w:spacing w:line="240" w:lineRule="auto"/>
      <w:jc w:val="both"/>
      <w:outlineLvl w:val="9"/>
    </w:pPr>
    <w:rPr>
      <w:sz w:val="18"/>
    </w:rPr>
  </w:style>
  <w:style w:type="paragraph" w:customStyle="1" w:styleId="104">
    <w:name w:val="正文文本11"/>
    <w:next w:val="1"/>
    <w:qFormat/>
    <w:uiPriority w:val="0"/>
    <w:pPr>
      <w:widowControl w:val="0"/>
      <w:jc w:val="both"/>
    </w:pPr>
    <w:rPr>
      <w:rFonts w:hint="default" w:ascii="华文中宋" w:hAnsi="Times New Roman" w:eastAsia="华文中宋" w:cs="Times New Roman"/>
      <w:bCs/>
      <w:sz w:val="28"/>
      <w:lang w:eastAsia="zh-CN"/>
    </w:rPr>
  </w:style>
  <w:style w:type="paragraph" w:styleId="105">
    <w:name w:val="List Paragraph"/>
    <w:basedOn w:val="1"/>
    <w:qFormat/>
    <w:uiPriority w:val="0"/>
    <w:pPr>
      <w:ind w:firstLine="420"/>
    </w:pPr>
    <w:rPr>
      <w:rFonts w:hint="eastAsia" w:ascii="等线" w:hAnsi="等线" w:eastAsia="等线"/>
      <w:szCs w:val="21"/>
    </w:rPr>
  </w:style>
  <w:style w:type="paragraph" w:customStyle="1" w:styleId="106">
    <w:name w:val="TOC Heading"/>
    <w:unhideWhenUsed/>
    <w:qFormat/>
    <w:uiPriority w:val="39"/>
    <w:rPr>
      <w:rFonts w:hint="default" w:ascii="Times New Roman" w:hAnsi="Times New Roman" w:eastAsia="宋体" w:cs="Times New Roman"/>
    </w:rPr>
  </w:style>
  <w:style w:type="paragraph" w:customStyle="1" w:styleId="107">
    <w:name w:val="页脚11"/>
    <w:basedOn w:val="1"/>
    <w:unhideWhenUsed/>
    <w:qFormat/>
    <w:uiPriority w:val="99"/>
    <w:pPr>
      <w:tabs>
        <w:tab w:val="center" w:pos="7143"/>
        <w:tab w:val="right" w:pos="14287"/>
      </w:tabs>
    </w:pPr>
  </w:style>
  <w:style w:type="paragraph" w:styleId="108">
    <w:name w:val="No Spacing"/>
    <w:qFormat/>
    <w:uiPriority w:val="1"/>
    <w:rPr>
      <w:rFonts w:hint="default" w:ascii="Calibri" w:hAnsi="Calibri" w:eastAsia="宋体" w:cs="Times New Roman"/>
      <w:lang w:eastAsia="zh-CN"/>
    </w:rPr>
  </w:style>
  <w:style w:type="paragraph" w:styleId="109">
    <w:name w:val="Quote"/>
    <w:basedOn w:val="1"/>
    <w:next w:val="1"/>
    <w:link w:val="308"/>
    <w:qFormat/>
    <w:uiPriority w:val="29"/>
    <w:pPr>
      <w:ind w:left="720" w:right="720"/>
    </w:pPr>
    <w:rPr>
      <w:i/>
    </w:rPr>
  </w:style>
  <w:style w:type="paragraph" w:styleId="110">
    <w:name w:val="Intense Quote"/>
    <w:basedOn w:val="1"/>
    <w:next w:val="1"/>
    <w:link w:val="30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paragraph" w:customStyle="1" w:styleId="111">
    <w:name w:val="TOC 标题1"/>
    <w:unhideWhenUsed/>
    <w:qFormat/>
    <w:uiPriority w:val="39"/>
    <w:rPr>
      <w:rFonts w:hint="default" w:ascii="Calibri" w:hAnsi="Calibri" w:eastAsia="宋体" w:cs="Times New Roman"/>
      <w:lang w:eastAsia="zh-CN"/>
    </w:rPr>
  </w:style>
  <w:style w:type="paragraph" w:customStyle="1" w:styleId="112">
    <w:name w:val="标题 21"/>
    <w:basedOn w:val="1"/>
    <w:next w:val="1"/>
    <w:link w:val="311"/>
    <w:qFormat/>
    <w:uiPriority w:val="0"/>
    <w:pPr>
      <w:keepNext/>
      <w:keepLines/>
      <w:numPr>
        <w:ilvl w:val="1"/>
        <w:numId w:val="12"/>
      </w:numPr>
      <w:spacing w:before="260" w:after="260" w:line="416" w:lineRule="auto"/>
      <w:outlineLvl w:val="1"/>
    </w:pPr>
    <w:rPr>
      <w:rFonts w:ascii="Arial" w:hAnsi="Arial" w:eastAsia="黑体"/>
      <w:b/>
      <w:bCs/>
      <w:sz w:val="32"/>
      <w:szCs w:val="32"/>
    </w:rPr>
  </w:style>
  <w:style w:type="paragraph" w:customStyle="1" w:styleId="113">
    <w:name w:val="标题 31"/>
    <w:basedOn w:val="1"/>
    <w:next w:val="114"/>
    <w:link w:val="312"/>
    <w:qFormat/>
    <w:uiPriority w:val="0"/>
    <w:pPr>
      <w:keepNext/>
      <w:keepLines/>
      <w:spacing w:before="260" w:after="260" w:line="416" w:lineRule="auto"/>
      <w:outlineLvl w:val="2"/>
    </w:pPr>
    <w:rPr>
      <w:rFonts w:ascii="黑体" w:eastAsia="黑体"/>
      <w:b/>
      <w:bCs/>
      <w:sz w:val="32"/>
      <w:szCs w:val="32"/>
    </w:rPr>
  </w:style>
  <w:style w:type="paragraph" w:customStyle="1" w:styleId="114">
    <w:name w:val="正文缩进1"/>
    <w:basedOn w:val="1"/>
    <w:link w:val="313"/>
    <w:qFormat/>
    <w:uiPriority w:val="0"/>
    <w:pPr>
      <w:widowControl/>
      <w:ind w:firstLine="420"/>
      <w:jc w:val="left"/>
    </w:pPr>
    <w:rPr>
      <w:sz w:val="20"/>
      <w:szCs w:val="20"/>
    </w:rPr>
  </w:style>
  <w:style w:type="paragraph" w:customStyle="1" w:styleId="115">
    <w:name w:val="标题 41"/>
    <w:basedOn w:val="1"/>
    <w:next w:val="1"/>
    <w:qFormat/>
    <w:uiPriority w:val="0"/>
    <w:pPr>
      <w:keepNext/>
      <w:keepLines/>
      <w:numPr>
        <w:ilvl w:val="4"/>
        <w:numId w:val="12"/>
      </w:numPr>
      <w:spacing w:before="280" w:after="290" w:line="376" w:lineRule="auto"/>
      <w:outlineLvl w:val="3"/>
    </w:pPr>
    <w:rPr>
      <w:rFonts w:ascii="Arial" w:hAnsi="Arial" w:eastAsia="黑体"/>
      <w:b/>
      <w:bCs/>
      <w:sz w:val="28"/>
      <w:szCs w:val="28"/>
    </w:rPr>
  </w:style>
  <w:style w:type="paragraph" w:customStyle="1" w:styleId="116">
    <w:name w:val="标题 51"/>
    <w:basedOn w:val="1"/>
    <w:next w:val="1"/>
    <w:qFormat/>
    <w:uiPriority w:val="0"/>
    <w:pPr>
      <w:keepNext/>
      <w:keepLines/>
      <w:numPr>
        <w:ilvl w:val="5"/>
        <w:numId w:val="12"/>
      </w:numPr>
      <w:spacing w:before="280" w:after="290" w:line="376" w:lineRule="auto"/>
      <w:outlineLvl w:val="4"/>
    </w:pPr>
    <w:rPr>
      <w:rFonts w:ascii="黑体" w:hAnsi="Times New Roman" w:eastAsia="黑体"/>
      <w:b/>
      <w:bCs/>
      <w:sz w:val="28"/>
      <w:szCs w:val="28"/>
    </w:rPr>
  </w:style>
  <w:style w:type="paragraph" w:customStyle="1" w:styleId="117">
    <w:name w:val="标题 61"/>
    <w:basedOn w:val="1"/>
    <w:next w:val="1"/>
    <w:link w:val="314"/>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customStyle="1" w:styleId="118">
    <w:name w:val="标题 71"/>
    <w:basedOn w:val="1"/>
    <w:next w:val="1"/>
    <w:link w:val="315"/>
    <w:qFormat/>
    <w:uiPriority w:val="0"/>
    <w:pPr>
      <w:keepNext/>
      <w:keepLines/>
      <w:tabs>
        <w:tab w:val="left" w:pos="1296"/>
      </w:tabs>
      <w:spacing w:before="240" w:after="64" w:line="320" w:lineRule="atLeast"/>
      <w:ind w:left="1296" w:hanging="1296"/>
      <w:outlineLvl w:val="6"/>
    </w:pPr>
    <w:rPr>
      <w:b/>
      <w:sz w:val="24"/>
    </w:rPr>
  </w:style>
  <w:style w:type="paragraph" w:customStyle="1" w:styleId="119">
    <w:name w:val="标题 81"/>
    <w:basedOn w:val="1"/>
    <w:next w:val="1"/>
    <w:link w:val="316"/>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customStyle="1" w:styleId="120">
    <w:name w:val="标题 91"/>
    <w:basedOn w:val="1"/>
    <w:next w:val="1"/>
    <w:link w:val="317"/>
    <w:qFormat/>
    <w:uiPriority w:val="0"/>
    <w:pPr>
      <w:keepNext/>
      <w:keepLines/>
      <w:tabs>
        <w:tab w:val="left" w:pos="1584"/>
      </w:tabs>
      <w:spacing w:before="240" w:after="64" w:line="320" w:lineRule="atLeast"/>
      <w:ind w:left="1584" w:hanging="1584"/>
      <w:outlineLvl w:val="8"/>
    </w:pPr>
    <w:rPr>
      <w:rFonts w:ascii="Arial" w:hAnsi="Arial" w:eastAsia="黑体"/>
    </w:rPr>
  </w:style>
  <w:style w:type="paragraph" w:customStyle="1" w:styleId="121">
    <w:name w:val="脚注文本1"/>
    <w:basedOn w:val="1"/>
    <w:link w:val="324"/>
    <w:qFormat/>
    <w:uiPriority w:val="0"/>
    <w:pPr>
      <w:spacing w:after="60" w:line="360" w:lineRule="exact"/>
      <w:ind w:firstLine="425"/>
      <w:jc w:val="left"/>
    </w:pPr>
    <w:rPr>
      <w:sz w:val="18"/>
      <w:szCs w:val="18"/>
    </w:rPr>
  </w:style>
  <w:style w:type="paragraph" w:customStyle="1" w:styleId="122">
    <w:name w:val="HTML 预设格式1"/>
    <w:basedOn w:val="1"/>
    <w:link w:val="32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paragraph" w:customStyle="1" w:styleId="123">
    <w:name w:val="正文文本 31"/>
    <w:basedOn w:val="1"/>
    <w:link w:val="326"/>
    <w:qFormat/>
    <w:uiPriority w:val="0"/>
    <w:pPr>
      <w:spacing w:after="20" w:line="288" w:lineRule="auto"/>
      <w:jc w:val="center"/>
    </w:pPr>
    <w:rPr>
      <w:b/>
      <w:bCs/>
      <w:sz w:val="24"/>
    </w:rPr>
  </w:style>
  <w:style w:type="paragraph" w:customStyle="1" w:styleId="124">
    <w:name w:val="页脚1"/>
    <w:basedOn w:val="1"/>
    <w:next w:val="125"/>
    <w:link w:val="327"/>
    <w:qFormat/>
    <w:uiPriority w:val="0"/>
    <w:pPr>
      <w:tabs>
        <w:tab w:val="center" w:pos="4153"/>
        <w:tab w:val="right" w:pos="8306"/>
      </w:tabs>
      <w:jc w:val="left"/>
    </w:pPr>
    <w:rPr>
      <w:sz w:val="18"/>
      <w:szCs w:val="18"/>
    </w:rPr>
  </w:style>
  <w:style w:type="paragraph" w:customStyle="1" w:styleId="125">
    <w:name w:val="TOC Heading1"/>
    <w:next w:val="1"/>
    <w:qFormat/>
    <w:uiPriority w:val="0"/>
    <w:rPr>
      <w:rFonts w:hint="default" w:ascii="Calibri" w:hAnsi="Calibri" w:eastAsia="宋体" w:cs="Times New Roman"/>
      <w:sz w:val="32"/>
      <w:lang w:eastAsia="zh-CN"/>
    </w:rPr>
  </w:style>
  <w:style w:type="paragraph" w:customStyle="1" w:styleId="126">
    <w:name w:val="页眉2"/>
    <w:basedOn w:val="1"/>
    <w:link w:val="328"/>
    <w:qFormat/>
    <w:uiPriority w:val="0"/>
    <w:pPr>
      <w:pBdr>
        <w:bottom w:val="single" w:color="000000" w:sz="6" w:space="1"/>
      </w:pBdr>
      <w:tabs>
        <w:tab w:val="center" w:pos="4153"/>
        <w:tab w:val="right" w:pos="8306"/>
      </w:tabs>
      <w:jc w:val="center"/>
    </w:pPr>
    <w:rPr>
      <w:sz w:val="18"/>
      <w:szCs w:val="18"/>
    </w:rPr>
  </w:style>
  <w:style w:type="paragraph" w:customStyle="1" w:styleId="127">
    <w:name w:val="段"/>
    <w:next w:val="1"/>
    <w:link w:val="329"/>
    <w:qFormat/>
    <w:uiPriority w:val="0"/>
    <w:pPr>
      <w:tabs>
        <w:tab w:val="center" w:pos="4201"/>
        <w:tab w:val="right" w:leader="dot" w:pos="9298"/>
      </w:tabs>
      <w:ind w:firstLine="420"/>
      <w:jc w:val="both"/>
    </w:pPr>
    <w:rPr>
      <w:rFonts w:hint="default" w:ascii="宋体" w:hAnsi="Calibri" w:eastAsia="宋体" w:cs="Times New Roman"/>
      <w:sz w:val="21"/>
      <w:lang w:eastAsia="zh-CN"/>
    </w:rPr>
  </w:style>
  <w:style w:type="paragraph" w:customStyle="1" w:styleId="128">
    <w:name w:val="正文文本 21"/>
    <w:basedOn w:val="1"/>
    <w:link w:val="335"/>
    <w:qFormat/>
    <w:uiPriority w:val="0"/>
    <w:pPr>
      <w:spacing w:after="20" w:line="720" w:lineRule="auto"/>
      <w:ind w:firstLine="420"/>
    </w:pPr>
    <w:rPr>
      <w:sz w:val="30"/>
    </w:rPr>
  </w:style>
  <w:style w:type="paragraph" w:customStyle="1" w:styleId="129">
    <w:name w:val="批注框文本1"/>
    <w:basedOn w:val="1"/>
    <w:link w:val="336"/>
    <w:qFormat/>
    <w:uiPriority w:val="0"/>
    <w:rPr>
      <w:sz w:val="18"/>
      <w:szCs w:val="18"/>
    </w:rPr>
  </w:style>
  <w:style w:type="paragraph" w:customStyle="1" w:styleId="130">
    <w:name w:val="称呼1"/>
    <w:basedOn w:val="1"/>
    <w:next w:val="1"/>
    <w:link w:val="338"/>
    <w:qFormat/>
    <w:uiPriority w:val="0"/>
    <w:pPr>
      <w:spacing w:after="20" w:line="288" w:lineRule="auto"/>
      <w:ind w:firstLine="420"/>
    </w:pPr>
    <w:rPr>
      <w:sz w:val="28"/>
    </w:rPr>
  </w:style>
  <w:style w:type="paragraph" w:customStyle="1" w:styleId="131">
    <w:name w:val="纯文本1"/>
    <w:basedOn w:val="1"/>
    <w:link w:val="341"/>
    <w:qFormat/>
    <w:uiPriority w:val="0"/>
    <w:rPr>
      <w:rFonts w:ascii="宋体" w:hAnsi="Courier New"/>
      <w:szCs w:val="21"/>
    </w:rPr>
  </w:style>
  <w:style w:type="paragraph" w:customStyle="1" w:styleId="132">
    <w:name w:val="正文文本2"/>
    <w:basedOn w:val="1"/>
    <w:link w:val="343"/>
    <w:qFormat/>
    <w:uiPriority w:val="0"/>
    <w:rPr>
      <w:rFonts w:ascii="仿宋_GB2312" w:eastAsia="仿宋_GB2312"/>
      <w:sz w:val="28"/>
      <w:szCs w:val="20"/>
    </w:rPr>
  </w:style>
  <w:style w:type="paragraph" w:customStyle="1" w:styleId="133">
    <w:name w:val="正文（缩进）"/>
    <w:basedOn w:val="1"/>
    <w:link w:val="344"/>
    <w:qFormat/>
    <w:uiPriority w:val="0"/>
    <w:pPr>
      <w:spacing w:line="360" w:lineRule="auto"/>
      <w:ind w:firstLine="480"/>
    </w:pPr>
    <w:rPr>
      <w:rFonts w:ascii="宋体" w:hAnsi="宋体"/>
      <w:sz w:val="24"/>
    </w:rPr>
  </w:style>
  <w:style w:type="paragraph" w:customStyle="1" w:styleId="134">
    <w:name w:val="文档结构图1"/>
    <w:basedOn w:val="1"/>
    <w:link w:val="348"/>
    <w:qFormat/>
    <w:uiPriority w:val="0"/>
    <w:pPr>
      <w:shd w:val="clear" w:color="auto" w:fill="000080"/>
    </w:pPr>
  </w:style>
  <w:style w:type="paragraph" w:customStyle="1" w:styleId="135">
    <w:name w:val="列表段落"/>
    <w:basedOn w:val="1"/>
    <w:link w:val="351"/>
    <w:qFormat/>
    <w:uiPriority w:val="34"/>
    <w:pPr>
      <w:ind w:firstLine="420"/>
    </w:pPr>
  </w:style>
  <w:style w:type="paragraph" w:customStyle="1" w:styleId="136">
    <w:name w:val="批注主题1"/>
    <w:basedOn w:val="137"/>
    <w:next w:val="137"/>
    <w:link w:val="357"/>
    <w:qFormat/>
    <w:uiPriority w:val="0"/>
    <w:rPr>
      <w:b/>
      <w:bCs/>
    </w:rPr>
  </w:style>
  <w:style w:type="paragraph" w:customStyle="1" w:styleId="137">
    <w:name w:val="批注文字1"/>
    <w:basedOn w:val="1"/>
    <w:link w:val="358"/>
    <w:qFormat/>
    <w:uiPriority w:val="0"/>
    <w:pPr>
      <w:jc w:val="left"/>
    </w:pPr>
  </w:style>
  <w:style w:type="paragraph" w:customStyle="1" w:styleId="138">
    <w:name w:val="标题2"/>
    <w:basedOn w:val="1"/>
    <w:link w:val="359"/>
    <w:qFormat/>
    <w:uiPriority w:val="0"/>
    <w:pPr>
      <w:spacing w:before="240" w:after="60" w:line="288" w:lineRule="auto"/>
      <w:ind w:firstLine="420"/>
      <w:jc w:val="center"/>
      <w:outlineLvl w:val="0"/>
    </w:pPr>
    <w:rPr>
      <w:rFonts w:ascii="Arial" w:hAnsi="Arial" w:cs="Arial"/>
      <w:b/>
      <w:bCs/>
      <w:sz w:val="32"/>
      <w:szCs w:val="32"/>
    </w:rPr>
  </w:style>
  <w:style w:type="paragraph" w:customStyle="1" w:styleId="139">
    <w:name w:val="表格正文"/>
    <w:basedOn w:val="1"/>
    <w:link w:val="361"/>
    <w:qFormat/>
    <w:uiPriority w:val="0"/>
  </w:style>
  <w:style w:type="paragraph" w:customStyle="1" w:styleId="140">
    <w:name w:val="正文首行缩进1"/>
    <w:basedOn w:val="132"/>
    <w:link w:val="363"/>
    <w:qFormat/>
    <w:uiPriority w:val="0"/>
    <w:pPr>
      <w:spacing w:after="120"/>
      <w:ind w:firstLine="420"/>
    </w:pPr>
  </w:style>
  <w:style w:type="paragraph" w:customStyle="1" w:styleId="141">
    <w:name w:val="UserStyle_4"/>
    <w:basedOn w:val="1"/>
    <w:link w:val="366"/>
    <w:qFormat/>
    <w:uiPriority w:val="99"/>
    <w:rPr>
      <w:sz w:val="20"/>
      <w:szCs w:val="20"/>
    </w:rPr>
  </w:style>
  <w:style w:type="paragraph" w:customStyle="1" w:styleId="142">
    <w:name w:val="普通(网站)1"/>
    <w:basedOn w:val="1"/>
    <w:link w:val="367"/>
    <w:qFormat/>
    <w:uiPriority w:val="0"/>
    <w:pPr>
      <w:widowControl/>
      <w:spacing w:before="100" w:beforeAutospacing="1" w:after="100" w:afterAutospacing="1" w:line="288" w:lineRule="auto"/>
      <w:ind w:firstLine="420"/>
      <w:jc w:val="left"/>
    </w:pPr>
    <w:rPr>
      <w:rFonts w:ascii="宋体" w:hAnsi="宋体"/>
      <w:sz w:val="24"/>
    </w:rPr>
  </w:style>
  <w:style w:type="paragraph" w:customStyle="1" w:styleId="143">
    <w:name w:val="结束语1"/>
    <w:basedOn w:val="1"/>
    <w:link w:val="368"/>
    <w:qFormat/>
    <w:uiPriority w:val="0"/>
    <w:pPr>
      <w:spacing w:after="20" w:line="288" w:lineRule="auto"/>
      <w:ind w:left="100" w:firstLine="420"/>
    </w:pPr>
    <w:rPr>
      <w:sz w:val="28"/>
    </w:rPr>
  </w:style>
  <w:style w:type="paragraph" w:customStyle="1" w:styleId="144">
    <w:name w:val="正文文本缩进1"/>
    <w:basedOn w:val="1"/>
    <w:link w:val="371"/>
    <w:qFormat/>
    <w:uiPriority w:val="0"/>
    <w:pPr>
      <w:widowControl/>
      <w:spacing w:line="300" w:lineRule="auto"/>
      <w:ind w:left="156"/>
    </w:pPr>
    <w:rPr>
      <w:rFonts w:ascii="仿宋_GB2312" w:eastAsia="仿宋_GB2312"/>
      <w:sz w:val="28"/>
      <w:szCs w:val="20"/>
    </w:rPr>
  </w:style>
  <w:style w:type="paragraph" w:customStyle="1" w:styleId="145">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146">
    <w:name w:val="_Style 201"/>
    <w:basedOn w:val="1"/>
    <w:next w:val="135"/>
    <w:qFormat/>
    <w:uiPriority w:val="0"/>
    <w:pPr>
      <w:ind w:firstLine="420"/>
    </w:pPr>
    <w:rPr>
      <w:szCs w:val="22"/>
    </w:rPr>
  </w:style>
  <w:style w:type="paragraph" w:customStyle="1" w:styleId="147">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148">
    <w:name w:val="p0"/>
    <w:basedOn w:val="1"/>
    <w:qFormat/>
    <w:uiPriority w:val="0"/>
    <w:pPr>
      <w:widowControl/>
      <w:jc w:val="left"/>
    </w:pPr>
    <w:rPr>
      <w:rFonts w:ascii="宋体" w:hAnsi="宋体" w:cs="宋体"/>
      <w:sz w:val="24"/>
    </w:rPr>
  </w:style>
  <w:style w:type="paragraph" w:customStyle="1" w:styleId="149">
    <w:name w:val="_Style 1"/>
    <w:basedOn w:val="1"/>
    <w:qFormat/>
    <w:uiPriority w:val="0"/>
    <w:pPr>
      <w:ind w:firstLine="420"/>
    </w:pPr>
    <w:rPr>
      <w:sz w:val="20"/>
    </w:rPr>
  </w:style>
  <w:style w:type="paragraph" w:customStyle="1" w:styleId="150">
    <w:name w:val="图形"/>
    <w:basedOn w:val="1"/>
    <w:qFormat/>
    <w:uiPriority w:val="0"/>
    <w:pPr>
      <w:spacing w:after="20" w:line="288" w:lineRule="auto"/>
      <w:ind w:firstLine="420"/>
      <w:jc w:val="center"/>
    </w:pPr>
    <w:rPr>
      <w:rFonts w:ascii="Times New Roman" w:hAnsi="Times New Roman"/>
    </w:rPr>
  </w:style>
  <w:style w:type="paragraph" w:customStyle="1" w:styleId="151">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152">
    <w:name w:val="标题1"/>
    <w:basedOn w:val="1"/>
    <w:next w:val="1"/>
    <w:qFormat/>
    <w:uiPriority w:val="0"/>
    <w:pPr>
      <w:tabs>
        <w:tab w:val="left" w:pos="9193"/>
        <w:tab w:val="left" w:pos="9827"/>
      </w:tabs>
      <w:spacing w:line="760" w:lineRule="atLeast"/>
      <w:jc w:val="center"/>
    </w:pPr>
    <w:rPr>
      <w:rFonts w:ascii="方正小标宋_GBK" w:hAnsi="Times" w:eastAsia="方正小标宋_GBK"/>
      <w:sz w:val="44"/>
      <w:szCs w:val="20"/>
    </w:rPr>
  </w:style>
  <w:style w:type="paragraph" w:customStyle="1" w:styleId="153">
    <w:name w:val="重点"/>
    <w:basedOn w:val="1"/>
    <w:qFormat/>
    <w:uiPriority w:val="0"/>
    <w:pPr>
      <w:shd w:val="pct10" w:color="auto" w:fill="auto"/>
      <w:spacing w:after="20" w:line="288" w:lineRule="auto"/>
      <w:ind w:firstLine="420"/>
    </w:pPr>
    <w:rPr>
      <w:rFonts w:ascii="Times New Roman" w:hAnsi="Times New Roman" w:eastAsia="黑体"/>
      <w:b/>
    </w:rPr>
  </w:style>
  <w:style w:type="paragraph" w:customStyle="1" w:styleId="154">
    <w:name w:val="表格"/>
    <w:basedOn w:val="1"/>
    <w:qFormat/>
    <w:uiPriority w:val="0"/>
    <w:pPr>
      <w:jc w:val="center"/>
    </w:pPr>
    <w:rPr>
      <w:rFonts w:ascii="Times New Roman" w:hAnsi="Times New Roman"/>
      <w:szCs w:val="21"/>
    </w:rPr>
  </w:style>
  <w:style w:type="paragraph" w:customStyle="1" w:styleId="155">
    <w:name w:val="Normal_1"/>
    <w:next w:val="156"/>
    <w:qFormat/>
    <w:uiPriority w:val="0"/>
    <w:pPr>
      <w:widowControl w:val="0"/>
      <w:jc w:val="both"/>
    </w:pPr>
    <w:rPr>
      <w:rFonts w:hint="default" w:ascii="Times New Roman" w:hAnsi="Times New Roman" w:eastAsia="宋体" w:cs="Times New Roman"/>
      <w:sz w:val="21"/>
      <w:lang w:eastAsia="zh-CN"/>
    </w:rPr>
  </w:style>
  <w:style w:type="paragraph" w:customStyle="1" w:styleId="156">
    <w:name w:val="Body Text First Indent 2_0"/>
    <w:basedOn w:val="157"/>
    <w:unhideWhenUsed/>
    <w:qFormat/>
    <w:uiPriority w:val="99"/>
    <w:pPr>
      <w:ind w:firstLine="420"/>
    </w:pPr>
  </w:style>
  <w:style w:type="paragraph" w:customStyle="1" w:styleId="157">
    <w:name w:val="Body Text Indent_1"/>
    <w:basedOn w:val="155"/>
    <w:qFormat/>
    <w:uiPriority w:val="0"/>
    <w:pPr>
      <w:spacing w:line="360" w:lineRule="auto"/>
      <w:ind w:firstLine="435"/>
    </w:pPr>
    <w:rPr>
      <w:sz w:val="24"/>
    </w:rPr>
  </w:style>
  <w:style w:type="paragraph" w:customStyle="1" w:styleId="158">
    <w:name w:val="font6"/>
    <w:basedOn w:val="1"/>
    <w:qFormat/>
    <w:uiPriority w:val="0"/>
    <w:pPr>
      <w:widowControl/>
      <w:spacing w:before="100" w:beforeAutospacing="1" w:after="100" w:afterAutospacing="1" w:line="288" w:lineRule="auto"/>
      <w:ind w:firstLine="420"/>
      <w:jc w:val="left"/>
    </w:pPr>
    <w:rPr>
      <w:rFonts w:ascii="Times New Roman" w:hAnsi="Times New Roman"/>
      <w:sz w:val="24"/>
    </w:rPr>
  </w:style>
  <w:style w:type="paragraph" w:customStyle="1" w:styleId="159">
    <w:name w:val="首行缩进"/>
    <w:qFormat/>
    <w:uiPriority w:val="0"/>
    <w:pPr>
      <w:widowControl w:val="0"/>
      <w:ind w:firstLine="480"/>
      <w:jc w:val="both"/>
    </w:pPr>
    <w:rPr>
      <w:rFonts w:hint="default" w:ascii="Times New Roman" w:hAnsi="Times New Roman" w:eastAsia="宋体" w:cs="Times New Roman"/>
      <w:sz w:val="21"/>
      <w:lang w:val="zh-CN" w:eastAsia="zh-CN"/>
    </w:rPr>
  </w:style>
  <w:style w:type="paragraph" w:customStyle="1" w:styleId="160">
    <w:name w:val="Default"/>
    <w:qFormat/>
    <w:uiPriority w:val="0"/>
    <w:pPr>
      <w:widowControl w:val="0"/>
    </w:pPr>
    <w:rPr>
      <w:rFonts w:hint="default" w:ascii="Formata" w:hAnsi="Calibri" w:eastAsia="Formata" w:cs="Times New Roman"/>
      <w:color w:val="000000"/>
      <w:sz w:val="24"/>
      <w:szCs w:val="24"/>
      <w:lang w:eastAsia="zh-CN"/>
    </w:rPr>
  </w:style>
  <w:style w:type="paragraph" w:customStyle="1" w:styleId="161">
    <w:name w:val="索引 81"/>
    <w:basedOn w:val="1"/>
    <w:next w:val="1"/>
    <w:qFormat/>
    <w:uiPriority w:val="0"/>
    <w:pPr>
      <w:ind w:left="1400"/>
    </w:pPr>
    <w:rPr>
      <w:rFonts w:ascii="Times New Roman" w:hAnsi="Times New Roman"/>
      <w:szCs w:val="20"/>
    </w:rPr>
  </w:style>
  <w:style w:type="paragraph" w:customStyle="1" w:styleId="162">
    <w:name w:val="目录 21"/>
    <w:basedOn w:val="1"/>
    <w:next w:val="1"/>
    <w:qFormat/>
    <w:uiPriority w:val="0"/>
    <w:pPr>
      <w:spacing w:line="288" w:lineRule="auto"/>
      <w:ind w:left="210" w:firstLine="420"/>
      <w:jc w:val="left"/>
    </w:pPr>
    <w:rPr>
      <w:rFonts w:ascii="Times New Roman" w:hAnsi="Times New Roman"/>
      <w:smallCaps/>
      <w:sz w:val="20"/>
      <w:szCs w:val="20"/>
    </w:rPr>
  </w:style>
  <w:style w:type="paragraph" w:customStyle="1" w:styleId="163">
    <w:name w:val="名词解释11"/>
    <w:basedOn w:val="164"/>
    <w:qFormat/>
    <w:uiPriority w:val="0"/>
    <w:pPr>
      <w:spacing w:after="0"/>
      <w:ind w:firstLine="0"/>
    </w:pPr>
  </w:style>
  <w:style w:type="paragraph" w:customStyle="1" w:styleId="164">
    <w:name w:val="名词解释"/>
    <w:basedOn w:val="1"/>
    <w:qFormat/>
    <w:uiPriority w:val="0"/>
    <w:pPr>
      <w:spacing w:after="20" w:line="288" w:lineRule="auto"/>
      <w:ind w:left="2325" w:hanging="2325"/>
    </w:pPr>
    <w:rPr>
      <w:rFonts w:ascii="Times New Roman" w:hAnsi="Times New Roman"/>
      <w:szCs w:val="20"/>
    </w:rPr>
  </w:style>
  <w:style w:type="paragraph" w:customStyle="1" w:styleId="165">
    <w:name w:val="List Paragraph1"/>
    <w:basedOn w:val="1"/>
    <w:qFormat/>
    <w:uiPriority w:val="0"/>
    <w:pPr>
      <w:widowControl/>
      <w:tabs>
        <w:tab w:val="left" w:pos="360"/>
        <w:tab w:val="left" w:pos="2160"/>
      </w:tabs>
      <w:spacing w:before="120" w:after="120" w:line="276" w:lineRule="auto"/>
      <w:ind w:left="1047" w:hanging="480"/>
    </w:pPr>
    <w:rPr>
      <w:rFonts w:ascii="华文仿宋" w:hAnsi="华文仿宋" w:eastAsia="DFKai-SB" w:cs="华文仿宋"/>
      <w:sz w:val="28"/>
      <w:szCs w:val="28"/>
      <w:lang w:eastAsia="en-US"/>
    </w:rPr>
  </w:style>
  <w:style w:type="paragraph" w:customStyle="1" w:styleId="166">
    <w:name w:val="正文文本缩进 31"/>
    <w:basedOn w:val="1"/>
    <w:qFormat/>
    <w:uiPriority w:val="0"/>
    <w:pPr>
      <w:spacing w:line="360" w:lineRule="auto"/>
      <w:ind w:firstLine="698"/>
      <w:jc w:val="left"/>
    </w:pPr>
    <w:rPr>
      <w:rFonts w:ascii="仿宋_GB2312" w:hAnsi="Times New Roman" w:eastAsia="仿宋_GB2312"/>
      <w:sz w:val="32"/>
      <w:szCs w:val="20"/>
    </w:rPr>
  </w:style>
  <w:style w:type="paragraph" w:customStyle="1" w:styleId="167">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168">
    <w:name w:val="Body text|1"/>
    <w:basedOn w:val="1"/>
    <w:qFormat/>
    <w:uiPriority w:val="0"/>
    <w:pPr>
      <w:spacing w:line="432" w:lineRule="auto"/>
      <w:ind w:firstLine="400"/>
    </w:pPr>
    <w:rPr>
      <w:rFonts w:ascii="宋体" w:hAnsi="宋体" w:cs="宋体"/>
      <w:sz w:val="22"/>
      <w:szCs w:val="22"/>
      <w:lang w:val="zh-TW" w:eastAsia="zh-TW" w:bidi="zh-TW"/>
    </w:rPr>
  </w:style>
  <w:style w:type="paragraph" w:customStyle="1" w:styleId="169">
    <w:name w:val="目录 41"/>
    <w:basedOn w:val="1"/>
    <w:next w:val="1"/>
    <w:qFormat/>
    <w:uiPriority w:val="0"/>
    <w:pPr>
      <w:spacing w:line="288" w:lineRule="auto"/>
      <w:ind w:left="630" w:firstLine="420"/>
      <w:jc w:val="left"/>
    </w:pPr>
    <w:rPr>
      <w:rFonts w:ascii="Times New Roman" w:hAnsi="Times New Roman"/>
      <w:sz w:val="18"/>
      <w:szCs w:val="18"/>
    </w:rPr>
  </w:style>
  <w:style w:type="paragraph" w:customStyle="1" w:styleId="170">
    <w:name w:val="表格标题"/>
    <w:basedOn w:val="1"/>
    <w:qFormat/>
    <w:uiPriority w:val="0"/>
    <w:pPr>
      <w:spacing w:before="120" w:line="400" w:lineRule="exact"/>
      <w:jc w:val="center"/>
    </w:pPr>
    <w:rPr>
      <w:rFonts w:ascii="Times New Roman" w:hAnsi="Times New Roman" w:eastAsia="文鼎CS中宋"/>
      <w:spacing w:val="8"/>
      <w:sz w:val="24"/>
      <w:szCs w:val="20"/>
    </w:rPr>
  </w:style>
  <w:style w:type="paragraph" w:customStyle="1" w:styleId="171">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172">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173">
    <w:name w:val="正文首行缩进 21"/>
    <w:basedOn w:val="144"/>
    <w:qFormat/>
    <w:uiPriority w:val="0"/>
    <w:pPr>
      <w:spacing w:after="120"/>
      <w:ind w:left="420" w:firstLine="420"/>
    </w:pPr>
    <w:rPr>
      <w:sz w:val="21"/>
    </w:rPr>
  </w:style>
  <w:style w:type="paragraph" w:customStyle="1" w:styleId="174">
    <w:name w:val="函数注释2"/>
    <w:basedOn w:val="1"/>
    <w:qFormat/>
    <w:uiPriority w:val="0"/>
    <w:pPr>
      <w:spacing w:after="20" w:line="288" w:lineRule="auto"/>
      <w:ind w:left="1680" w:firstLine="420"/>
    </w:pPr>
    <w:rPr>
      <w:rFonts w:ascii="Times New Roman" w:hAnsi="Times New Roman"/>
    </w:rPr>
  </w:style>
  <w:style w:type="paragraph" w:customStyle="1" w:styleId="175">
    <w:name w:val="表格非标题文字"/>
    <w:qFormat/>
    <w:uiPriority w:val="0"/>
    <w:pPr>
      <w:spacing w:before="80" w:after="40"/>
    </w:pPr>
    <w:rPr>
      <w:rFonts w:hint="default" w:ascii="Arial" w:hAnsi="Arial" w:eastAsia="宋体" w:cs="Times New Roman"/>
      <w:sz w:val="18"/>
      <w:szCs w:val="21"/>
      <w:lang w:eastAsia="zh-CN"/>
    </w:rPr>
  </w:style>
  <w:style w:type="paragraph" w:customStyle="1" w:styleId="176">
    <w:name w:val="目录"/>
    <w:basedOn w:val="1"/>
    <w:next w:val="1"/>
    <w:qFormat/>
    <w:uiPriority w:val="0"/>
    <w:pPr>
      <w:spacing w:before="360" w:after="360" w:line="360" w:lineRule="auto"/>
      <w:ind w:firstLine="420"/>
      <w:jc w:val="center"/>
    </w:pPr>
    <w:rPr>
      <w:rFonts w:ascii="Times New Roman" w:hAnsi="Times New Roman"/>
      <w:b/>
      <w:spacing w:val="200"/>
      <w:sz w:val="36"/>
      <w:szCs w:val="20"/>
    </w:rPr>
  </w:style>
  <w:style w:type="paragraph" w:customStyle="1" w:styleId="177">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178">
    <w:name w:val="Char Char Char1 Char Char Char"/>
    <w:basedOn w:val="1"/>
    <w:qFormat/>
    <w:uiPriority w:val="0"/>
    <w:pPr>
      <w:ind w:firstLine="200"/>
    </w:pPr>
    <w:rPr>
      <w:rFonts w:ascii="Tahoma" w:hAnsi="Tahoma"/>
      <w:sz w:val="24"/>
      <w:szCs w:val="20"/>
    </w:rPr>
  </w:style>
  <w:style w:type="paragraph" w:customStyle="1" w:styleId="179">
    <w:name w:val="Char Char Char Char Char Char Char Char Char Char Char Char Char Char Char Char"/>
    <w:basedOn w:val="1"/>
    <w:qFormat/>
    <w:uiPriority w:val="0"/>
    <w:pPr>
      <w:tabs>
        <w:tab w:val="left" w:pos="360"/>
      </w:tabs>
    </w:pPr>
    <w:rPr>
      <w:rFonts w:ascii="Times New Roman" w:hAnsi="Times New Roman"/>
      <w:sz w:val="24"/>
    </w:rPr>
  </w:style>
  <w:style w:type="paragraph" w:customStyle="1" w:styleId="180">
    <w:name w:val="目录 61"/>
    <w:basedOn w:val="1"/>
    <w:next w:val="1"/>
    <w:qFormat/>
    <w:uiPriority w:val="0"/>
    <w:pPr>
      <w:spacing w:line="288" w:lineRule="auto"/>
      <w:ind w:left="1050" w:firstLine="420"/>
      <w:jc w:val="left"/>
    </w:pPr>
    <w:rPr>
      <w:rFonts w:ascii="Times New Roman" w:hAnsi="Times New Roman"/>
      <w:sz w:val="18"/>
      <w:szCs w:val="18"/>
    </w:rPr>
  </w:style>
  <w:style w:type="paragraph" w:customStyle="1" w:styleId="181">
    <w:name w:val="Char Char Char Char Char Char Char"/>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182">
    <w:name w:val="文本块1"/>
    <w:basedOn w:val="1"/>
    <w:qFormat/>
    <w:uiPriority w:val="0"/>
    <w:pPr>
      <w:ind w:left="420" w:right="33"/>
      <w:jc w:val="left"/>
    </w:pPr>
    <w:rPr>
      <w:rFonts w:ascii="Times New Roman" w:hAnsi="Times New Roman"/>
      <w:sz w:val="24"/>
      <w:szCs w:val="20"/>
    </w:rPr>
  </w:style>
  <w:style w:type="paragraph" w:customStyle="1" w:styleId="183">
    <w:name w:val="普通文字"/>
    <w:basedOn w:val="1"/>
    <w:next w:val="1"/>
    <w:qFormat/>
    <w:uiPriority w:val="0"/>
    <w:rPr>
      <w:rFonts w:ascii="宋体"/>
      <w:sz w:val="24"/>
    </w:rPr>
  </w:style>
  <w:style w:type="paragraph" w:customStyle="1" w:styleId="184">
    <w:name w:val="表头"/>
    <w:basedOn w:val="1"/>
    <w:qFormat/>
    <w:uiPriority w:val="0"/>
    <w:pPr>
      <w:spacing w:line="320" w:lineRule="atLeast"/>
      <w:jc w:val="center"/>
    </w:pPr>
    <w:rPr>
      <w:rFonts w:ascii="Times New Roman" w:hAnsi="Times New Roman" w:eastAsia="黑体"/>
      <w:spacing w:val="-10"/>
      <w:szCs w:val="20"/>
    </w:rPr>
  </w:style>
  <w:style w:type="paragraph" w:customStyle="1" w:styleId="185">
    <w:name w:val="标准文字"/>
    <w:basedOn w:val="1"/>
    <w:qFormat/>
    <w:uiPriority w:val="0"/>
    <w:pPr>
      <w:spacing w:after="20" w:line="360" w:lineRule="auto"/>
      <w:ind w:firstLine="420"/>
    </w:pPr>
    <w:rPr>
      <w:rFonts w:ascii="Times New Roman" w:hAnsi="Times New Roman"/>
    </w:rPr>
  </w:style>
  <w:style w:type="paragraph" w:customStyle="1" w:styleId="186">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187">
    <w:name w:val="正文文本缩进 21"/>
    <w:basedOn w:val="1"/>
    <w:qFormat/>
    <w:uiPriority w:val="0"/>
    <w:pPr>
      <w:tabs>
        <w:tab w:val="left" w:pos="0"/>
        <w:tab w:val="left" w:pos="1134"/>
      </w:tabs>
      <w:spacing w:line="400" w:lineRule="exact"/>
      <w:ind w:firstLine="559"/>
    </w:pPr>
    <w:rPr>
      <w:rFonts w:ascii="楷体_GB2312" w:hAnsi="Times New Roman" w:eastAsia="楷体_GB2312"/>
      <w:sz w:val="24"/>
    </w:rPr>
  </w:style>
  <w:style w:type="paragraph" w:customStyle="1" w:styleId="188">
    <w:name w:val="索引 11"/>
    <w:basedOn w:val="1"/>
    <w:next w:val="1"/>
    <w:qFormat/>
    <w:uiPriority w:val="0"/>
    <w:rPr>
      <w:rFonts w:ascii="Times New Roman" w:hAnsi="Times New Roman"/>
      <w:szCs w:val="20"/>
    </w:rPr>
  </w:style>
  <w:style w:type="paragraph" w:customStyle="1" w:styleId="189">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190">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szCs w:val="20"/>
    </w:rPr>
  </w:style>
  <w:style w:type="paragraph" w:customStyle="1" w:styleId="191">
    <w:name w:val="索引 51"/>
    <w:basedOn w:val="1"/>
    <w:next w:val="1"/>
    <w:qFormat/>
    <w:uiPriority w:val="0"/>
    <w:pPr>
      <w:ind w:left="800"/>
    </w:pPr>
    <w:rPr>
      <w:rFonts w:ascii="Times New Roman" w:hAnsi="Times New Roman"/>
      <w:szCs w:val="20"/>
    </w:rPr>
  </w:style>
  <w:style w:type="paragraph" w:customStyle="1" w:styleId="192">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193">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194">
    <w:name w:val="正文(缩进)"/>
    <w:basedOn w:val="1"/>
    <w:qFormat/>
    <w:uiPriority w:val="0"/>
    <w:pPr>
      <w:widowControl/>
      <w:spacing w:line="360" w:lineRule="auto"/>
      <w:ind w:firstLine="200"/>
    </w:pPr>
    <w:rPr>
      <w:rFonts w:ascii="Times New Roman" w:hAnsi="Times New Roman" w:eastAsia="仿宋_GB2312"/>
      <w:sz w:val="24"/>
      <w:szCs w:val="20"/>
    </w:rPr>
  </w:style>
  <w:style w:type="paragraph" w:customStyle="1" w:styleId="195">
    <w:name w:val="索引 91"/>
    <w:basedOn w:val="1"/>
    <w:next w:val="1"/>
    <w:qFormat/>
    <w:uiPriority w:val="0"/>
    <w:pPr>
      <w:ind w:left="1600"/>
    </w:pPr>
    <w:rPr>
      <w:rFonts w:ascii="Times New Roman" w:hAnsi="Times New Roman"/>
      <w:szCs w:val="20"/>
    </w:rPr>
  </w:style>
  <w:style w:type="paragraph" w:customStyle="1" w:styleId="196">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197">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198">
    <w:name w:val="索引 31"/>
    <w:basedOn w:val="1"/>
    <w:next w:val="1"/>
    <w:qFormat/>
    <w:uiPriority w:val="0"/>
    <w:pPr>
      <w:ind w:left="400"/>
    </w:pPr>
    <w:rPr>
      <w:rFonts w:ascii="Times New Roman" w:hAnsi="Times New Roman"/>
      <w:szCs w:val="20"/>
    </w:rPr>
  </w:style>
  <w:style w:type="paragraph" w:customStyle="1" w:styleId="199">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200">
    <w:name w:val="目录 111"/>
    <w:basedOn w:val="1"/>
    <w:next w:val="1"/>
    <w:qFormat/>
    <w:uiPriority w:val="0"/>
    <w:pPr>
      <w:tabs>
        <w:tab w:val="right" w:leader="dot" w:pos="8296"/>
      </w:tabs>
      <w:spacing w:before="120" w:after="120" w:line="288" w:lineRule="auto"/>
    </w:pPr>
    <w:rPr>
      <w:rFonts w:ascii="黑体" w:hAnsi="宋体" w:eastAsia="黑体"/>
      <w:caps/>
      <w:sz w:val="30"/>
      <w:szCs w:val="30"/>
    </w:rPr>
  </w:style>
  <w:style w:type="paragraph" w:customStyle="1" w:styleId="201">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ascii="Times New Roman" w:hAnsi="Times New Roman" w:eastAsia="仿宋_GB2312"/>
      <w:sz w:val="18"/>
      <w:szCs w:val="20"/>
    </w:rPr>
  </w:style>
  <w:style w:type="paragraph" w:customStyle="1" w:styleId="202">
    <w:name w:val="正文文本1"/>
    <w:basedOn w:val="1"/>
    <w:next w:val="203"/>
    <w:qFormat/>
    <w:uiPriority w:val="0"/>
    <w:rPr>
      <w:rFonts w:ascii="Verdana" w:hAnsi="Verdana"/>
      <w:sz w:val="24"/>
      <w:szCs w:val="18"/>
    </w:rPr>
  </w:style>
  <w:style w:type="paragraph" w:customStyle="1" w:styleId="203">
    <w:name w:val="列表1"/>
    <w:basedOn w:val="1"/>
    <w:qFormat/>
    <w:uiPriority w:val="0"/>
    <w:pPr>
      <w:numPr>
        <w:ilvl w:val="0"/>
        <w:numId w:val="13"/>
      </w:numPr>
      <w:spacing w:after="20" w:line="288" w:lineRule="auto"/>
    </w:pPr>
    <w:rPr>
      <w:rFonts w:ascii="Times New Roman" w:hAnsi="Times New Roman"/>
      <w:szCs w:val="20"/>
      <w:lang w:val="en-GB"/>
    </w:rPr>
  </w:style>
  <w:style w:type="paragraph" w:customStyle="1" w:styleId="204">
    <w:name w:val="一级条标题"/>
    <w:basedOn w:val="205"/>
    <w:next w:val="127"/>
    <w:qFormat/>
    <w:uiPriority w:val="0"/>
    <w:pPr>
      <w:tabs>
        <w:tab w:val="left" w:pos="810"/>
        <w:tab w:val="left" w:pos="907"/>
        <w:tab w:val="left" w:pos="1265"/>
      </w:tabs>
      <w:ind w:left="907" w:hanging="907"/>
      <w:outlineLvl w:val="2"/>
    </w:pPr>
    <w:rPr>
      <w:rFonts w:hAnsi="宋体"/>
      <w:sz w:val="20"/>
    </w:rPr>
  </w:style>
  <w:style w:type="paragraph" w:customStyle="1" w:styleId="205">
    <w:name w:val="章标题"/>
    <w:next w:val="1"/>
    <w:qFormat/>
    <w:uiPriority w:val="0"/>
    <w:pPr>
      <w:numPr>
        <w:ilvl w:val="1"/>
        <w:numId w:val="14"/>
      </w:numPr>
      <w:ind w:left="0" w:firstLine="0"/>
      <w:jc w:val="both"/>
      <w:outlineLvl w:val="1"/>
    </w:pPr>
    <w:rPr>
      <w:rFonts w:hint="default" w:ascii="黑体" w:hAnsi="Calibri" w:eastAsia="黑体" w:cs="Times New Roman"/>
      <w:sz w:val="21"/>
      <w:lang w:eastAsia="zh-CN"/>
    </w:rPr>
  </w:style>
  <w:style w:type="paragraph" w:customStyle="1" w:styleId="206">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207">
    <w:name w:val="日期1"/>
    <w:basedOn w:val="1"/>
    <w:next w:val="1"/>
    <w:qFormat/>
    <w:uiPriority w:val="0"/>
    <w:pPr>
      <w:ind w:left="100"/>
    </w:pPr>
    <w:rPr>
      <w:rFonts w:ascii="楷体_GB2312" w:hAnsi="Times New Roman" w:eastAsia="楷体_GB2312"/>
      <w:b/>
      <w:sz w:val="28"/>
    </w:rPr>
  </w:style>
  <w:style w:type="paragraph" w:customStyle="1" w:styleId="208">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209">
    <w:name w:val="目录 11"/>
    <w:basedOn w:val="1"/>
    <w:next w:val="1"/>
    <w:unhideWhenUsed/>
    <w:qFormat/>
    <w:uiPriority w:val="99"/>
    <w:pPr>
      <w:widowControl/>
      <w:spacing w:after="100" w:line="259" w:lineRule="auto"/>
      <w:jc w:val="left"/>
    </w:pPr>
    <w:rPr>
      <w:sz w:val="22"/>
      <w:szCs w:val="22"/>
    </w:rPr>
  </w:style>
  <w:style w:type="paragraph" w:customStyle="1" w:styleId="210">
    <w:name w:val="Char"/>
    <w:basedOn w:val="1"/>
    <w:qFormat/>
    <w:uiPriority w:val="0"/>
    <w:pPr>
      <w:spacing w:line="240" w:lineRule="atLeast"/>
      <w:ind w:left="420" w:firstLine="420"/>
    </w:pPr>
    <w:rPr>
      <w:rFonts w:ascii="Times New Roman" w:hAnsi="Times New Roman"/>
      <w:szCs w:val="21"/>
    </w:rPr>
  </w:style>
  <w:style w:type="paragraph" w:customStyle="1" w:styleId="211">
    <w:name w:val="列表项目符号 51"/>
    <w:basedOn w:val="1"/>
    <w:qFormat/>
    <w:uiPriority w:val="0"/>
    <w:pPr>
      <w:widowControl/>
      <w:numPr>
        <w:ilvl w:val="0"/>
        <w:numId w:val="15"/>
      </w:numPr>
      <w:spacing w:line="360" w:lineRule="exact"/>
    </w:pPr>
    <w:rPr>
      <w:rFonts w:ascii="Times New Roman" w:hAnsi="Times New Roman" w:eastAsia="楷体_GB2312"/>
      <w:sz w:val="24"/>
      <w:szCs w:val="20"/>
    </w:rPr>
  </w:style>
  <w:style w:type="paragraph" w:customStyle="1" w:styleId="212">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213">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214">
    <w:name w:val="目录 51"/>
    <w:basedOn w:val="1"/>
    <w:next w:val="1"/>
    <w:qFormat/>
    <w:uiPriority w:val="0"/>
    <w:pPr>
      <w:spacing w:line="288" w:lineRule="auto"/>
      <w:ind w:left="840" w:firstLine="420"/>
      <w:jc w:val="left"/>
    </w:pPr>
    <w:rPr>
      <w:rFonts w:ascii="Times New Roman" w:hAnsi="Times New Roman"/>
      <w:sz w:val="18"/>
      <w:szCs w:val="18"/>
    </w:rPr>
  </w:style>
  <w:style w:type="paragraph" w:customStyle="1" w:styleId="215">
    <w:name w:val="函数注释1"/>
    <w:basedOn w:val="1"/>
    <w:qFormat/>
    <w:uiPriority w:val="0"/>
    <w:pPr>
      <w:spacing w:after="20" w:line="320" w:lineRule="exact"/>
      <w:ind w:left="1678" w:right="210" w:hanging="1049"/>
      <w:jc w:val="left"/>
    </w:pPr>
    <w:rPr>
      <w:rFonts w:ascii="Times New Roman" w:hAnsi="Times New Roman"/>
      <w:szCs w:val="20"/>
    </w:rPr>
  </w:style>
  <w:style w:type="paragraph" w:customStyle="1" w:styleId="216">
    <w:name w:val="表中"/>
    <w:basedOn w:val="1"/>
    <w:qFormat/>
    <w:uiPriority w:val="0"/>
    <w:pPr>
      <w:spacing w:line="360" w:lineRule="atLeast"/>
      <w:jc w:val="center"/>
    </w:pPr>
    <w:rPr>
      <w:rFonts w:ascii="Times New Roman" w:hAnsi="Times New Roman"/>
      <w:szCs w:val="20"/>
    </w:rPr>
  </w:style>
  <w:style w:type="paragraph" w:customStyle="1" w:styleId="217">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218">
    <w:name w:val="样式目录三"/>
    <w:basedOn w:val="219"/>
    <w:qFormat/>
    <w:uiPriority w:val="0"/>
    <w:pPr>
      <w:spacing w:line="360" w:lineRule="auto"/>
      <w:ind w:left="0" w:firstLine="0"/>
    </w:pPr>
    <w:rPr>
      <w:rFonts w:ascii="Calibri" w:hAnsi="Calibri"/>
      <w:iCs w:val="0"/>
      <w:sz w:val="24"/>
      <w:szCs w:val="22"/>
    </w:rPr>
  </w:style>
  <w:style w:type="paragraph" w:customStyle="1" w:styleId="219">
    <w:name w:val="目录 31"/>
    <w:basedOn w:val="1"/>
    <w:next w:val="1"/>
    <w:qFormat/>
    <w:uiPriority w:val="0"/>
    <w:pPr>
      <w:spacing w:line="288" w:lineRule="auto"/>
      <w:ind w:left="420" w:firstLine="420"/>
      <w:jc w:val="left"/>
    </w:pPr>
    <w:rPr>
      <w:rFonts w:ascii="Times New Roman" w:hAnsi="Times New Roman"/>
      <w:iCs/>
      <w:sz w:val="20"/>
      <w:szCs w:val="20"/>
    </w:rPr>
  </w:style>
  <w:style w:type="paragraph" w:customStyle="1" w:styleId="220">
    <w:name w:val="目录 81"/>
    <w:basedOn w:val="1"/>
    <w:next w:val="1"/>
    <w:qFormat/>
    <w:uiPriority w:val="0"/>
    <w:pPr>
      <w:spacing w:line="288" w:lineRule="auto"/>
      <w:ind w:left="1470" w:firstLine="420"/>
      <w:jc w:val="left"/>
    </w:pPr>
    <w:rPr>
      <w:rFonts w:ascii="Times New Roman" w:hAnsi="Times New Roman"/>
      <w:sz w:val="18"/>
      <w:szCs w:val="18"/>
    </w:rPr>
  </w:style>
  <w:style w:type="paragraph" w:customStyle="1" w:styleId="221">
    <w:name w:val="无间隔1"/>
    <w:qFormat/>
    <w:uiPriority w:val="0"/>
    <w:rPr>
      <w:rFonts w:hint="default" w:ascii="Tahoma" w:hAnsi="Tahoma" w:eastAsia="微软雅黑" w:cs="Times New Roman"/>
      <w:sz w:val="22"/>
      <w:szCs w:val="22"/>
      <w:lang w:eastAsia="zh-CN"/>
    </w:rPr>
  </w:style>
  <w:style w:type="paragraph" w:customStyle="1" w:styleId="222">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223">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224">
    <w:name w:val="索引 71"/>
    <w:basedOn w:val="1"/>
    <w:next w:val="1"/>
    <w:qFormat/>
    <w:uiPriority w:val="0"/>
    <w:pPr>
      <w:ind w:left="1200"/>
    </w:pPr>
    <w:rPr>
      <w:rFonts w:ascii="Times New Roman" w:hAnsi="Times New Roman"/>
      <w:szCs w:val="20"/>
    </w:rPr>
  </w:style>
  <w:style w:type="paragraph" w:customStyle="1" w:styleId="225">
    <w:name w:val="列表_名词"/>
    <w:basedOn w:val="163"/>
    <w:qFormat/>
    <w:uiPriority w:val="0"/>
    <w:pPr>
      <w:tabs>
        <w:tab w:val="left" w:pos="2745"/>
      </w:tabs>
      <w:ind w:left="2745" w:hanging="420"/>
    </w:pPr>
  </w:style>
  <w:style w:type="paragraph" w:customStyle="1" w:styleId="226">
    <w:name w:val="寄信人地址1"/>
    <w:basedOn w:val="1"/>
    <w:qFormat/>
    <w:uiPriority w:val="0"/>
    <w:rPr>
      <w:rFonts w:ascii="Arial" w:hAnsi="Arial"/>
    </w:rPr>
  </w:style>
  <w:style w:type="paragraph" w:customStyle="1" w:styleId="227">
    <w:name w:val="目录 71"/>
    <w:basedOn w:val="1"/>
    <w:next w:val="1"/>
    <w:qFormat/>
    <w:uiPriority w:val="0"/>
    <w:pPr>
      <w:spacing w:line="288" w:lineRule="auto"/>
      <w:ind w:left="1260" w:firstLine="420"/>
      <w:jc w:val="left"/>
    </w:pPr>
    <w:rPr>
      <w:rFonts w:ascii="Times New Roman" w:hAnsi="Times New Roman"/>
      <w:sz w:val="18"/>
      <w:szCs w:val="18"/>
    </w:rPr>
  </w:style>
  <w:style w:type="paragraph" w:customStyle="1" w:styleId="228">
    <w:name w:val="索引 61"/>
    <w:basedOn w:val="1"/>
    <w:next w:val="1"/>
    <w:qFormat/>
    <w:uiPriority w:val="0"/>
    <w:pPr>
      <w:ind w:left="1000"/>
    </w:pPr>
    <w:rPr>
      <w:rFonts w:ascii="Times New Roman" w:hAnsi="Times New Roman"/>
      <w:szCs w:val="20"/>
    </w:rPr>
  </w:style>
  <w:style w:type="paragraph" w:customStyle="1" w:styleId="229">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30">
    <w:name w:val="索引 21"/>
    <w:basedOn w:val="1"/>
    <w:next w:val="1"/>
    <w:qFormat/>
    <w:uiPriority w:val="0"/>
    <w:pPr>
      <w:ind w:left="200"/>
    </w:pPr>
    <w:rPr>
      <w:rFonts w:ascii="Times New Roman" w:hAnsi="Times New Roman"/>
      <w:szCs w:val="20"/>
    </w:rPr>
  </w:style>
  <w:style w:type="paragraph" w:customStyle="1" w:styleId="231">
    <w:name w:val="索引 41"/>
    <w:basedOn w:val="1"/>
    <w:next w:val="1"/>
    <w:qFormat/>
    <w:uiPriority w:val="0"/>
    <w:pPr>
      <w:ind w:left="600"/>
    </w:pPr>
    <w:rPr>
      <w:rFonts w:ascii="Times New Roman" w:hAnsi="Times New Roman"/>
      <w:szCs w:val="20"/>
    </w:rPr>
  </w:style>
  <w:style w:type="paragraph" w:customStyle="1" w:styleId="232">
    <w:name w:val="目录 91"/>
    <w:basedOn w:val="1"/>
    <w:next w:val="1"/>
    <w:qFormat/>
    <w:uiPriority w:val="0"/>
    <w:pPr>
      <w:spacing w:line="288" w:lineRule="auto"/>
      <w:ind w:left="1680" w:firstLine="420"/>
      <w:jc w:val="left"/>
    </w:pPr>
    <w:rPr>
      <w:rFonts w:ascii="Times New Roman" w:hAnsi="Times New Roman"/>
      <w:sz w:val="18"/>
      <w:szCs w:val="18"/>
    </w:rPr>
  </w:style>
  <w:style w:type="paragraph" w:customStyle="1" w:styleId="233">
    <w:name w:val="BodyText1I1"/>
    <w:basedOn w:val="234"/>
    <w:qFormat/>
    <w:uiPriority w:val="99"/>
    <w:pPr>
      <w:spacing w:after="120"/>
      <w:ind w:firstLine="420"/>
    </w:pPr>
    <w:rPr>
      <w:rFonts w:ascii="Times New Roman" w:eastAsia="宋体" w:cs="Times New Roman"/>
      <w:sz w:val="20"/>
      <w:szCs w:val="20"/>
    </w:rPr>
  </w:style>
  <w:style w:type="paragraph" w:customStyle="1" w:styleId="234">
    <w:name w:val="BodyText1"/>
    <w:basedOn w:val="1"/>
    <w:qFormat/>
    <w:uiPriority w:val="99"/>
    <w:rPr>
      <w:rFonts w:ascii="华文中宋" w:eastAsia="Times New Roman" w:cs="华文中宋"/>
      <w:sz w:val="28"/>
      <w:szCs w:val="28"/>
    </w:rPr>
  </w:style>
  <w:style w:type="paragraph" w:customStyle="1" w:styleId="235">
    <w:name w:val="回信地址"/>
    <w:basedOn w:val="1"/>
    <w:qFormat/>
    <w:uiPriority w:val="0"/>
    <w:pPr>
      <w:keepLines/>
      <w:framePr w:w="2635" w:h="1138" w:wrap="notBeside" w:vAnchor="page" w:hAnchor="margin" w:xAlign="right" w:y="678"/>
      <w:widowControl/>
      <w:spacing w:after="20" w:line="200" w:lineRule="atLeast"/>
      <w:ind w:right="-120" w:firstLine="420"/>
      <w:jc w:val="left"/>
    </w:pPr>
    <w:rPr>
      <w:rFonts w:ascii="Times New Roman" w:hAnsi="Times New Roman"/>
      <w:sz w:val="16"/>
      <w:szCs w:val="20"/>
    </w:rPr>
  </w:style>
  <w:style w:type="paragraph" w:customStyle="1" w:styleId="236">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37">
    <w:name w:val="样式一"/>
    <w:basedOn w:val="1"/>
    <w:qFormat/>
    <w:uiPriority w:val="0"/>
    <w:pPr>
      <w:numPr>
        <w:ilvl w:val="2"/>
        <w:numId w:val="12"/>
      </w:numPr>
      <w:spacing w:before="100" w:after="100" w:line="360" w:lineRule="exact"/>
    </w:pPr>
    <w:rPr>
      <w:rFonts w:ascii="宋体" w:hAnsi="宋体" w:eastAsia="黑体"/>
      <w:sz w:val="24"/>
      <w:szCs w:val="20"/>
      <w:lang w:val="en-GB"/>
    </w:rPr>
  </w:style>
  <w:style w:type="paragraph" w:customStyle="1" w:styleId="238">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239">
    <w:name w:val="列表2"/>
    <w:basedOn w:val="1"/>
    <w:qFormat/>
    <w:uiPriority w:val="0"/>
    <w:pPr>
      <w:tabs>
        <w:tab w:val="left" w:pos="1470"/>
      </w:tabs>
      <w:spacing w:after="20" w:line="288" w:lineRule="auto"/>
      <w:ind w:left="1469" w:hanging="420"/>
    </w:pPr>
    <w:rPr>
      <w:rFonts w:ascii="Times New Roman" w:hAnsi="Times New Roman"/>
    </w:rPr>
  </w:style>
  <w:style w:type="paragraph" w:customStyle="1" w:styleId="240">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szCs w:val="20"/>
    </w:rPr>
  </w:style>
  <w:style w:type="paragraph" w:customStyle="1" w:styleId="241">
    <w:name w:val="表蕊"/>
    <w:basedOn w:val="1"/>
    <w:qFormat/>
    <w:uiPriority w:val="0"/>
    <w:pPr>
      <w:spacing w:line="320" w:lineRule="atLeast"/>
      <w:jc w:val="left"/>
    </w:pPr>
    <w:rPr>
      <w:rFonts w:ascii="Times New Roman" w:hAnsi="Times New Roman" w:eastAsia="楷体_GB2312"/>
      <w:spacing w:val="-10"/>
      <w:szCs w:val="20"/>
    </w:rPr>
  </w:style>
  <w:style w:type="paragraph" w:customStyle="1" w:styleId="242">
    <w:name w:val="标准式样"/>
    <w:basedOn w:val="162"/>
    <w:qFormat/>
    <w:uiPriority w:val="0"/>
  </w:style>
  <w:style w:type="paragraph" w:customStyle="1" w:styleId="243">
    <w:name w:val="程序代码"/>
    <w:basedOn w:val="1"/>
    <w:qFormat/>
    <w:uiPriority w:val="0"/>
    <w:pPr>
      <w:spacing w:after="20" w:line="288" w:lineRule="auto"/>
      <w:ind w:left="839" w:firstLine="420"/>
    </w:pPr>
    <w:rPr>
      <w:rFonts w:ascii="Times New Roman" w:hAnsi="Times New Roman" w:eastAsia="仿宋_GB2312"/>
    </w:rPr>
  </w:style>
  <w:style w:type="paragraph" w:customStyle="1" w:styleId="244">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245">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246">
    <w:name w:val="题注1"/>
    <w:basedOn w:val="1"/>
    <w:next w:val="1"/>
    <w:qFormat/>
    <w:uiPriority w:val="0"/>
    <w:rPr>
      <w:rFonts w:ascii="Arial" w:hAnsi="Arial" w:eastAsia="黑体" w:cs="Arial"/>
      <w:sz w:val="20"/>
      <w:szCs w:val="20"/>
    </w:rPr>
  </w:style>
  <w:style w:type="paragraph" w:customStyle="1" w:styleId="247">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248">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szCs w:val="20"/>
    </w:rPr>
  </w:style>
  <w:style w:type="paragraph" w:customStyle="1" w:styleId="249">
    <w:name w:val="cjk"/>
    <w:basedOn w:val="1"/>
    <w:qFormat/>
    <w:uiPriority w:val="0"/>
    <w:pPr>
      <w:widowControl/>
      <w:spacing w:before="100" w:beforeAutospacing="1" w:after="119"/>
    </w:pPr>
    <w:rPr>
      <w:rFonts w:ascii="宋体" w:hAnsi="宋体" w:cs="宋体"/>
      <w:color w:val="000000"/>
      <w:sz w:val="20"/>
      <w:szCs w:val="20"/>
    </w:rPr>
  </w:style>
  <w:style w:type="paragraph" w:customStyle="1" w:styleId="250">
    <w:name w:val="样式 纯文本 + 楷体_GB2312 小四 行距: 固定值 20 磅1"/>
    <w:basedOn w:val="131"/>
    <w:qFormat/>
    <w:uiPriority w:val="0"/>
    <w:pPr>
      <w:spacing w:line="400" w:lineRule="exact"/>
      <w:ind w:firstLine="200"/>
    </w:pPr>
    <w:rPr>
      <w:rFonts w:ascii="楷体_GB2312" w:hAnsi="Times New Roman" w:eastAsia="楷体_GB2312"/>
      <w:sz w:val="24"/>
      <w:szCs w:val="20"/>
    </w:rPr>
  </w:style>
  <w:style w:type="paragraph" w:customStyle="1" w:styleId="251">
    <w:name w:val="BodyTextIndent1"/>
    <w:basedOn w:val="1"/>
    <w:qFormat/>
    <w:uiPriority w:val="99"/>
    <w:pPr>
      <w:spacing w:line="360" w:lineRule="auto"/>
      <w:ind w:left="257"/>
    </w:pPr>
    <w:rPr>
      <w:rFonts w:ascii="宋体" w:hAnsi="宋体" w:eastAsia="仿宋_GB2312"/>
      <w:b/>
      <w:sz w:val="24"/>
      <w:szCs w:val="20"/>
    </w:rPr>
  </w:style>
  <w:style w:type="paragraph" w:customStyle="1" w:styleId="252">
    <w:name w:val="样式 小四 段前: 5 磅 段后: 5 磅 首行缩进:  2 字符"/>
    <w:basedOn w:val="1"/>
    <w:qFormat/>
    <w:uiPriority w:val="0"/>
    <w:pPr>
      <w:spacing w:line="360" w:lineRule="auto"/>
    </w:pPr>
    <w:rPr>
      <w:rFonts w:ascii="宋体" w:hAnsi="宋体"/>
      <w:szCs w:val="21"/>
    </w:rPr>
  </w:style>
  <w:style w:type="paragraph" w:customStyle="1" w:styleId="253">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254">
    <w:name w:val="Char Char Char Char"/>
    <w:basedOn w:val="1"/>
    <w:qFormat/>
    <w:uiPriority w:val="0"/>
    <w:rPr>
      <w:rFonts w:ascii="Tahoma" w:hAnsi="Tahoma"/>
      <w:sz w:val="24"/>
      <w:szCs w:val="20"/>
    </w:rPr>
  </w:style>
  <w:style w:type="paragraph" w:customStyle="1" w:styleId="255">
    <w:name w:val="font7"/>
    <w:basedOn w:val="1"/>
    <w:qFormat/>
    <w:uiPriority w:val="0"/>
    <w:pPr>
      <w:widowControl/>
      <w:spacing w:before="100" w:beforeAutospacing="1" w:after="100" w:afterAutospacing="1" w:line="288" w:lineRule="auto"/>
      <w:ind w:firstLine="420"/>
      <w:jc w:val="left"/>
    </w:pPr>
    <w:rPr>
      <w:rFonts w:ascii="Times New Roman" w:hAnsi="Times New Roman"/>
      <w:b/>
      <w:bCs/>
      <w:sz w:val="24"/>
    </w:rPr>
  </w:style>
  <w:style w:type="paragraph" w:customStyle="1" w:styleId="256">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szCs w:val="20"/>
    </w:rPr>
  </w:style>
  <w:style w:type="paragraph" w:customStyle="1" w:styleId="257">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258">
    <w:name w:val="列表段落1"/>
    <w:basedOn w:val="1"/>
    <w:qFormat/>
    <w:uiPriority w:val="0"/>
    <w:pPr>
      <w:ind w:firstLine="420"/>
    </w:pPr>
    <w:rPr>
      <w:szCs w:val="21"/>
    </w:rPr>
  </w:style>
  <w:style w:type="paragraph" w:customStyle="1" w:styleId="259">
    <w:name w:val="Javis"/>
    <w:basedOn w:val="1"/>
    <w:qFormat/>
    <w:uiPriority w:val="0"/>
    <w:pPr>
      <w:ind w:right="210"/>
    </w:pPr>
    <w:rPr>
      <w:rFonts w:ascii="Times New Roman" w:hAnsi="Times New Roman" w:cs="宋体"/>
      <w:sz w:val="24"/>
      <w:szCs w:val="20"/>
    </w:rPr>
  </w:style>
  <w:style w:type="paragraph" w:customStyle="1" w:styleId="260">
    <w:name w:val="表格文字"/>
    <w:basedOn w:val="1"/>
    <w:qFormat/>
    <w:uiPriority w:val="0"/>
    <w:pPr>
      <w:spacing w:line="288" w:lineRule="auto"/>
      <w:jc w:val="left"/>
    </w:pPr>
    <w:rPr>
      <w:rFonts w:ascii="Times New Roman" w:hAnsi="Times New Roman"/>
      <w:szCs w:val="20"/>
    </w:rPr>
  </w:style>
  <w:style w:type="paragraph" w:customStyle="1" w:styleId="261">
    <w:name w:val="BodyText1I21"/>
    <w:basedOn w:val="251"/>
    <w:qFormat/>
    <w:uiPriority w:val="99"/>
    <w:pPr>
      <w:ind w:left="0" w:firstLine="420"/>
    </w:pPr>
  </w:style>
  <w:style w:type="paragraph" w:customStyle="1" w:styleId="262">
    <w:name w:val="Char1"/>
    <w:basedOn w:val="1"/>
    <w:qFormat/>
    <w:uiPriority w:val="0"/>
    <w:rPr>
      <w:rFonts w:ascii="仿宋_GB2312" w:hAnsi="Times New Roman" w:eastAsia="仿宋_GB2312"/>
      <w:b/>
      <w:sz w:val="32"/>
      <w:szCs w:val="32"/>
    </w:rPr>
  </w:style>
  <w:style w:type="paragraph" w:customStyle="1" w:styleId="263">
    <w:name w:val="并列项-点"/>
    <w:basedOn w:val="1"/>
    <w:qFormat/>
    <w:uiPriority w:val="0"/>
    <w:pPr>
      <w:widowControl/>
      <w:tabs>
        <w:tab w:val="left" w:pos="851"/>
        <w:tab w:val="left" w:pos="927"/>
      </w:tabs>
      <w:spacing w:before="120" w:line="360" w:lineRule="auto"/>
      <w:ind w:left="851" w:hanging="284"/>
    </w:pPr>
    <w:rPr>
      <w:rFonts w:ascii="Times New Roman" w:hAnsi="Times New Roman"/>
      <w:sz w:val="24"/>
      <w:szCs w:val="20"/>
    </w:rPr>
  </w:style>
  <w:style w:type="paragraph" w:customStyle="1" w:styleId="264">
    <w:name w:val="表格标题文字"/>
    <w:qFormat/>
    <w:uiPriority w:val="0"/>
    <w:pPr>
      <w:spacing w:before="120" w:line="240" w:lineRule="exact"/>
    </w:pPr>
    <w:rPr>
      <w:rFonts w:hint="default" w:ascii="Arial" w:hAnsi="Arial" w:eastAsia="黑体" w:cs="Times New Roman"/>
      <w:sz w:val="18"/>
      <w:szCs w:val="21"/>
      <w:lang w:eastAsia="zh-CN"/>
    </w:rPr>
  </w:style>
  <w:style w:type="paragraph" w:customStyle="1" w:styleId="265">
    <w:name w:val="Char Char Char Char Char Char1 Char Char Char Char Char Char Char Char Char Char"/>
    <w:basedOn w:val="1"/>
    <w:qFormat/>
    <w:uiPriority w:val="0"/>
    <w:pPr>
      <w:widowControl/>
      <w:spacing w:after="160" w:line="240" w:lineRule="exact"/>
      <w:jc w:val="left"/>
    </w:pPr>
    <w:rPr>
      <w:rFonts w:ascii="Verdana" w:hAnsi="Verdana" w:eastAsia="仿宋_GB2312" w:cs="Verdana"/>
      <w:sz w:val="24"/>
      <w:lang w:eastAsia="en-US"/>
    </w:rPr>
  </w:style>
  <w:style w:type="paragraph" w:customStyle="1" w:styleId="266">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szCs w:val="20"/>
    </w:rPr>
  </w:style>
  <w:style w:type="paragraph" w:customStyle="1" w:styleId="267">
    <w:name w:val="修订1"/>
    <w:qFormat/>
    <w:uiPriority w:val="0"/>
    <w:rPr>
      <w:rFonts w:hint="default" w:ascii="Calibri" w:hAnsi="Calibri" w:eastAsia="宋体" w:cs="Times New Roman"/>
      <w:sz w:val="21"/>
      <w:szCs w:val="24"/>
      <w:lang w:eastAsia="zh-CN"/>
    </w:rPr>
  </w:style>
  <w:style w:type="paragraph" w:customStyle="1" w:styleId="268">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269">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270">
    <w:name w:val="标题0"/>
    <w:basedOn w:val="138"/>
    <w:next w:val="138"/>
    <w:qFormat/>
    <w:uiPriority w:val="0"/>
    <w:rPr>
      <w:rFonts w:ascii="Times New Roman" w:hAnsi="Times New Roman" w:cs="Times New Roman"/>
      <w:sz w:val="52"/>
    </w:rPr>
  </w:style>
  <w:style w:type="paragraph" w:customStyle="1" w:styleId="271">
    <w:name w:val="简介正文"/>
    <w:basedOn w:val="1"/>
    <w:qFormat/>
    <w:uiPriority w:val="0"/>
    <w:pPr>
      <w:numPr>
        <w:ilvl w:val="0"/>
        <w:numId w:val="16"/>
      </w:numPr>
      <w:spacing w:after="20" w:line="520" w:lineRule="exact"/>
      <w:ind w:left="1701" w:hanging="1701"/>
    </w:pPr>
    <w:rPr>
      <w:rFonts w:ascii="Times New Roman" w:hAnsi="Times New Roman"/>
      <w:sz w:val="24"/>
      <w:szCs w:val="20"/>
    </w:rPr>
  </w:style>
  <w:style w:type="paragraph" w:customStyle="1" w:styleId="272">
    <w:name w:val="Plain Text_0"/>
    <w:qFormat/>
    <w:uiPriority w:val="0"/>
    <w:pPr>
      <w:widowControl w:val="0"/>
      <w:spacing w:line="240" w:lineRule="auto"/>
      <w:jc w:val="both"/>
    </w:pPr>
    <w:rPr>
      <w:rFonts w:hint="default" w:ascii="宋体" w:hAnsi="Courier New" w:eastAsia="楷体_GB2312" w:cs="Times New Roman"/>
      <w:sz w:val="28"/>
      <w:lang w:eastAsia="zh-CN"/>
    </w:rPr>
  </w:style>
  <w:style w:type="paragraph" w:customStyle="1" w:styleId="273">
    <w:name w:val="BodyText1I2"/>
    <w:qFormat/>
    <w:uiPriority w:val="99"/>
    <w:pPr>
      <w:widowControl w:val="0"/>
      <w:spacing w:line="360" w:lineRule="auto"/>
      <w:ind w:left="0" w:firstLine="420"/>
      <w:jc w:val="both"/>
    </w:pPr>
    <w:rPr>
      <w:rFonts w:hint="default" w:ascii="宋体" w:hAnsi="宋体" w:eastAsia="仿宋_GB2312" w:cs="Times New Roman"/>
      <w:b/>
      <w:sz w:val="24"/>
      <w:szCs w:val="20"/>
      <w:lang w:eastAsia="zh-CN"/>
    </w:rPr>
  </w:style>
  <w:style w:type="paragraph" w:customStyle="1" w:styleId="274">
    <w:name w:val="BodyTextIndent"/>
    <w:qFormat/>
    <w:uiPriority w:val="99"/>
    <w:pPr>
      <w:widowControl w:val="0"/>
      <w:spacing w:line="360" w:lineRule="auto"/>
      <w:ind w:left="257"/>
      <w:jc w:val="both"/>
    </w:pPr>
    <w:rPr>
      <w:rFonts w:hint="default" w:ascii="宋体" w:hAnsi="宋体" w:eastAsia="仿宋_GB2312" w:cs="Times New Roman"/>
      <w:b/>
      <w:sz w:val="24"/>
      <w:szCs w:val="20"/>
      <w:lang w:eastAsia="zh-CN"/>
    </w:rPr>
  </w:style>
  <w:style w:type="paragraph" w:customStyle="1" w:styleId="275">
    <w:name w:val="普通正文"/>
    <w:qFormat/>
    <w:uiPriority w:val="0"/>
    <w:pPr>
      <w:widowControl w:val="0"/>
      <w:spacing w:before="120" w:after="120" w:line="360" w:lineRule="auto"/>
      <w:ind w:firstLine="480"/>
      <w:jc w:val="left"/>
    </w:pPr>
    <w:rPr>
      <w:rFonts w:hint="default" w:ascii="Arial" w:hAnsi="Arial" w:eastAsia="宋体" w:cs="Times New Roman"/>
      <w:sz w:val="24"/>
      <w:szCs w:val="24"/>
      <w:lang w:eastAsia="zh-CN"/>
    </w:rPr>
  </w:style>
  <w:style w:type="character" w:customStyle="1" w:styleId="276">
    <w:name w:val="Heading 1 Char"/>
    <w:basedOn w:val="84"/>
    <w:qFormat/>
    <w:uiPriority w:val="9"/>
    <w:rPr>
      <w:rFonts w:ascii="Arial" w:hAnsi="Arial" w:eastAsia="Arial" w:cs="Arial"/>
      <w:sz w:val="40"/>
      <w:szCs w:val="40"/>
    </w:rPr>
  </w:style>
  <w:style w:type="character" w:customStyle="1" w:styleId="277">
    <w:name w:val="Heading 2 Char"/>
    <w:basedOn w:val="84"/>
    <w:qFormat/>
    <w:uiPriority w:val="9"/>
    <w:rPr>
      <w:rFonts w:ascii="Arial" w:hAnsi="Arial" w:eastAsia="Arial" w:cs="Arial"/>
      <w:sz w:val="34"/>
    </w:rPr>
  </w:style>
  <w:style w:type="character" w:customStyle="1" w:styleId="278">
    <w:name w:val="Heading 3 Char"/>
    <w:basedOn w:val="84"/>
    <w:qFormat/>
    <w:uiPriority w:val="9"/>
    <w:rPr>
      <w:rFonts w:ascii="Arial" w:hAnsi="Arial" w:eastAsia="Arial" w:cs="Arial"/>
      <w:sz w:val="30"/>
      <w:szCs w:val="30"/>
    </w:rPr>
  </w:style>
  <w:style w:type="character" w:customStyle="1" w:styleId="279">
    <w:name w:val="Heading 4 Char"/>
    <w:basedOn w:val="84"/>
    <w:qFormat/>
    <w:uiPriority w:val="9"/>
    <w:rPr>
      <w:rFonts w:ascii="Arial" w:hAnsi="Arial" w:eastAsia="Arial" w:cs="Arial"/>
      <w:b/>
      <w:bCs/>
      <w:sz w:val="26"/>
      <w:szCs w:val="26"/>
    </w:rPr>
  </w:style>
  <w:style w:type="character" w:customStyle="1" w:styleId="280">
    <w:name w:val="Heading 5 Char"/>
    <w:basedOn w:val="84"/>
    <w:qFormat/>
    <w:uiPriority w:val="9"/>
    <w:rPr>
      <w:rFonts w:ascii="Arial" w:hAnsi="Arial" w:eastAsia="Arial" w:cs="Arial"/>
      <w:b/>
      <w:bCs/>
      <w:sz w:val="24"/>
      <w:szCs w:val="24"/>
    </w:rPr>
  </w:style>
  <w:style w:type="character" w:customStyle="1" w:styleId="281">
    <w:name w:val="Heading 6 Char"/>
    <w:basedOn w:val="84"/>
    <w:qFormat/>
    <w:uiPriority w:val="9"/>
    <w:rPr>
      <w:rFonts w:ascii="Arial" w:hAnsi="Arial" w:eastAsia="Arial" w:cs="Arial"/>
      <w:b/>
      <w:bCs/>
      <w:sz w:val="22"/>
      <w:szCs w:val="22"/>
    </w:rPr>
  </w:style>
  <w:style w:type="character" w:customStyle="1" w:styleId="282">
    <w:name w:val="Heading 7 Char"/>
    <w:basedOn w:val="84"/>
    <w:qFormat/>
    <w:uiPriority w:val="9"/>
    <w:rPr>
      <w:rFonts w:ascii="Arial" w:hAnsi="Arial" w:eastAsia="Arial" w:cs="Arial"/>
      <w:b/>
      <w:bCs/>
      <w:i/>
      <w:iCs/>
      <w:sz w:val="22"/>
      <w:szCs w:val="22"/>
    </w:rPr>
  </w:style>
  <w:style w:type="character" w:customStyle="1" w:styleId="283">
    <w:name w:val="Heading 8 Char"/>
    <w:basedOn w:val="84"/>
    <w:qFormat/>
    <w:uiPriority w:val="9"/>
    <w:rPr>
      <w:rFonts w:ascii="Arial" w:hAnsi="Arial" w:eastAsia="Arial" w:cs="Arial"/>
      <w:i/>
      <w:iCs/>
      <w:sz w:val="22"/>
      <w:szCs w:val="22"/>
    </w:rPr>
  </w:style>
  <w:style w:type="character" w:customStyle="1" w:styleId="284">
    <w:name w:val="Heading 9 Char"/>
    <w:basedOn w:val="84"/>
    <w:qFormat/>
    <w:uiPriority w:val="9"/>
    <w:rPr>
      <w:rFonts w:ascii="Arial" w:hAnsi="Arial" w:eastAsia="Arial" w:cs="Arial"/>
      <w:i/>
      <w:iCs/>
      <w:sz w:val="21"/>
      <w:szCs w:val="21"/>
    </w:rPr>
  </w:style>
  <w:style w:type="character" w:customStyle="1" w:styleId="285">
    <w:name w:val="Title Char"/>
    <w:basedOn w:val="84"/>
    <w:qFormat/>
    <w:uiPriority w:val="10"/>
    <w:rPr>
      <w:sz w:val="48"/>
      <w:szCs w:val="48"/>
    </w:rPr>
  </w:style>
  <w:style w:type="character" w:customStyle="1" w:styleId="286">
    <w:name w:val="Subtitle Char"/>
    <w:basedOn w:val="84"/>
    <w:qFormat/>
    <w:uiPriority w:val="11"/>
    <w:rPr>
      <w:sz w:val="24"/>
      <w:szCs w:val="24"/>
    </w:rPr>
  </w:style>
  <w:style w:type="character" w:customStyle="1" w:styleId="287">
    <w:name w:val="Quote Char"/>
    <w:qFormat/>
    <w:uiPriority w:val="29"/>
    <w:rPr>
      <w:i/>
    </w:rPr>
  </w:style>
  <w:style w:type="character" w:customStyle="1" w:styleId="288">
    <w:name w:val="Intense Quote Char"/>
    <w:qFormat/>
    <w:uiPriority w:val="30"/>
    <w:rPr>
      <w:i/>
    </w:rPr>
  </w:style>
  <w:style w:type="character" w:customStyle="1" w:styleId="289">
    <w:name w:val="Header Char"/>
    <w:basedOn w:val="84"/>
    <w:qFormat/>
    <w:uiPriority w:val="99"/>
  </w:style>
  <w:style w:type="character" w:customStyle="1" w:styleId="290">
    <w:name w:val="Caption Char"/>
    <w:qFormat/>
    <w:uiPriority w:val="99"/>
  </w:style>
  <w:style w:type="character" w:customStyle="1" w:styleId="291">
    <w:name w:val="Footnote Text Char"/>
    <w:qFormat/>
    <w:uiPriority w:val="99"/>
    <w:rPr>
      <w:sz w:val="18"/>
    </w:rPr>
  </w:style>
  <w:style w:type="character" w:customStyle="1" w:styleId="292">
    <w:name w:val="Endnote Text Char"/>
    <w:qFormat/>
    <w:uiPriority w:val="99"/>
    <w:rPr>
      <w:sz w:val="20"/>
    </w:rPr>
  </w:style>
  <w:style w:type="character" w:customStyle="1" w:styleId="293">
    <w:name w:val="标题 1 Char1"/>
    <w:link w:val="93"/>
    <w:qFormat/>
    <w:uiPriority w:val="9"/>
    <w:rPr>
      <w:b/>
      <w:sz w:val="44"/>
    </w:rPr>
  </w:style>
  <w:style w:type="character" w:customStyle="1" w:styleId="294">
    <w:name w:val="标题 3 Char"/>
    <w:link w:val="94"/>
    <w:qFormat/>
    <w:uiPriority w:val="9"/>
    <w:rPr>
      <w:b/>
      <w:sz w:val="32"/>
    </w:rPr>
  </w:style>
  <w:style w:type="character" w:customStyle="1" w:styleId="295">
    <w:name w:val="标题 4 Char"/>
    <w:link w:val="95"/>
    <w:qFormat/>
    <w:uiPriority w:val="9"/>
    <w:rPr>
      <w:rFonts w:ascii="Arial" w:hAnsi="Arial" w:eastAsia="黑体"/>
      <w:b/>
      <w:sz w:val="28"/>
    </w:rPr>
  </w:style>
  <w:style w:type="character" w:customStyle="1" w:styleId="296">
    <w:name w:val="标题 5 Char"/>
    <w:link w:val="96"/>
    <w:qFormat/>
    <w:uiPriority w:val="9"/>
    <w:rPr>
      <w:b/>
      <w:sz w:val="28"/>
    </w:rPr>
  </w:style>
  <w:style w:type="character" w:customStyle="1" w:styleId="297">
    <w:name w:val="标题 6 Char"/>
    <w:link w:val="97"/>
    <w:qFormat/>
    <w:uiPriority w:val="9"/>
    <w:rPr>
      <w:rFonts w:ascii="Arial" w:hAnsi="Arial" w:eastAsia="黑体"/>
      <w:b/>
      <w:sz w:val="24"/>
    </w:rPr>
  </w:style>
  <w:style w:type="character" w:customStyle="1" w:styleId="298">
    <w:name w:val="标题 7 Char"/>
    <w:link w:val="98"/>
    <w:qFormat/>
    <w:uiPriority w:val="9"/>
    <w:rPr>
      <w:b/>
      <w:sz w:val="24"/>
    </w:rPr>
  </w:style>
  <w:style w:type="character" w:customStyle="1" w:styleId="299">
    <w:name w:val="标题 8 Char"/>
    <w:link w:val="99"/>
    <w:qFormat/>
    <w:uiPriority w:val="9"/>
    <w:rPr>
      <w:rFonts w:ascii="Arial" w:hAnsi="Arial" w:eastAsia="黑体"/>
      <w:sz w:val="24"/>
    </w:rPr>
  </w:style>
  <w:style w:type="character" w:customStyle="1" w:styleId="300">
    <w:name w:val="标题 9 Char"/>
    <w:link w:val="100"/>
    <w:qFormat/>
    <w:uiPriority w:val="9"/>
    <w:rPr>
      <w:rFonts w:ascii="Arial" w:hAnsi="Arial" w:eastAsia="黑体"/>
      <w:sz w:val="21"/>
    </w:rPr>
  </w:style>
  <w:style w:type="character" w:customStyle="1" w:styleId="301">
    <w:name w:val="尾注文本 Char"/>
    <w:link w:val="47"/>
    <w:qFormat/>
    <w:uiPriority w:val="99"/>
  </w:style>
  <w:style w:type="character" w:customStyle="1" w:styleId="302">
    <w:name w:val="批注框文本 Char"/>
    <w:link w:val="49"/>
    <w:semiHidden/>
    <w:qFormat/>
    <w:uiPriority w:val="99"/>
    <w:rPr>
      <w:sz w:val="18"/>
    </w:rPr>
  </w:style>
  <w:style w:type="character" w:customStyle="1" w:styleId="303">
    <w:name w:val="页脚 Char"/>
    <w:link w:val="102"/>
    <w:qFormat/>
    <w:uiPriority w:val="99"/>
    <w:rPr>
      <w:sz w:val="18"/>
    </w:rPr>
  </w:style>
  <w:style w:type="character" w:customStyle="1" w:styleId="304">
    <w:name w:val="页眉 Char"/>
    <w:link w:val="103"/>
    <w:qFormat/>
    <w:uiPriority w:val="99"/>
    <w:rPr>
      <w:sz w:val="18"/>
    </w:rPr>
  </w:style>
  <w:style w:type="character" w:customStyle="1" w:styleId="305">
    <w:name w:val="副标题 Char"/>
    <w:link w:val="59"/>
    <w:qFormat/>
    <w:uiPriority w:val="11"/>
    <w:rPr>
      <w:rFonts w:ascii="Arial" w:hAnsi="Arial"/>
      <w:b/>
      <w:sz w:val="32"/>
    </w:rPr>
  </w:style>
  <w:style w:type="character" w:customStyle="1" w:styleId="306">
    <w:name w:val="脚注文本 Char"/>
    <w:link w:val="61"/>
    <w:qFormat/>
    <w:uiPriority w:val="99"/>
    <w:rPr>
      <w:sz w:val="18"/>
    </w:rPr>
  </w:style>
  <w:style w:type="character" w:customStyle="1" w:styleId="307">
    <w:name w:val="标题 Char"/>
    <w:link w:val="78"/>
    <w:qFormat/>
    <w:uiPriority w:val="10"/>
    <w:rPr>
      <w:rFonts w:ascii="Arial" w:hAnsi="Arial"/>
      <w:b/>
      <w:sz w:val="32"/>
    </w:rPr>
  </w:style>
  <w:style w:type="character" w:customStyle="1" w:styleId="308">
    <w:name w:val="引用 Char"/>
    <w:link w:val="109"/>
    <w:qFormat/>
    <w:uiPriority w:val="29"/>
    <w:rPr>
      <w:i/>
    </w:rPr>
  </w:style>
  <w:style w:type="character" w:customStyle="1" w:styleId="309">
    <w:name w:val="明显引用 Char"/>
    <w:link w:val="110"/>
    <w:qFormat/>
    <w:uiPriority w:val="30"/>
    <w:rPr>
      <w:i/>
    </w:rPr>
  </w:style>
  <w:style w:type="character" w:customStyle="1" w:styleId="310">
    <w:name w:val="Footer Char"/>
    <w:qFormat/>
    <w:uiPriority w:val="99"/>
  </w:style>
  <w:style w:type="character" w:customStyle="1" w:styleId="311">
    <w:name w:val="标题 2 字符"/>
    <w:link w:val="112"/>
    <w:qFormat/>
    <w:uiPriority w:val="0"/>
    <w:rPr>
      <w:rFonts w:ascii="Arial" w:hAnsi="Arial" w:eastAsia="黑体" w:cs="Times New Roman"/>
      <w:b/>
      <w:bCs/>
      <w:sz w:val="32"/>
      <w:szCs w:val="32"/>
    </w:rPr>
  </w:style>
  <w:style w:type="character" w:customStyle="1" w:styleId="312">
    <w:name w:val="标题 3 字符"/>
    <w:link w:val="113"/>
    <w:qFormat/>
    <w:uiPriority w:val="0"/>
    <w:rPr>
      <w:rFonts w:ascii="黑体" w:hAnsi="Times New Roman" w:eastAsia="黑体" w:cs="Times New Roman"/>
      <w:b/>
      <w:bCs/>
      <w:sz w:val="32"/>
      <w:szCs w:val="32"/>
    </w:rPr>
  </w:style>
  <w:style w:type="character" w:customStyle="1" w:styleId="313">
    <w:name w:val="正文缩进 字符"/>
    <w:link w:val="114"/>
    <w:qFormat/>
    <w:uiPriority w:val="0"/>
    <w:rPr>
      <w:rFonts w:ascii="Times New Roman" w:hAnsi="Times New Roman" w:eastAsia="宋体" w:cs="Times New Roman"/>
    </w:rPr>
  </w:style>
  <w:style w:type="character" w:customStyle="1" w:styleId="314">
    <w:name w:val="标题 6 字符"/>
    <w:link w:val="117"/>
    <w:qFormat/>
    <w:uiPriority w:val="0"/>
    <w:rPr>
      <w:rFonts w:ascii="Arial" w:hAnsi="Arial" w:eastAsia="黑体" w:cs="Times New Roman"/>
      <w:b/>
      <w:sz w:val="24"/>
      <w:szCs w:val="24"/>
      <w:lang w:val="en-US" w:eastAsia="zh-CN" w:bidi="ar-SA"/>
    </w:rPr>
  </w:style>
  <w:style w:type="character" w:customStyle="1" w:styleId="315">
    <w:name w:val="标题 7 字符"/>
    <w:link w:val="118"/>
    <w:qFormat/>
    <w:uiPriority w:val="0"/>
    <w:rPr>
      <w:rFonts w:ascii="Times New Roman" w:hAnsi="Times New Roman" w:eastAsia="宋体" w:cs="Times New Roman"/>
      <w:b/>
      <w:sz w:val="24"/>
      <w:szCs w:val="24"/>
      <w:lang w:val="en-US" w:eastAsia="zh-CN" w:bidi="ar-SA"/>
    </w:rPr>
  </w:style>
  <w:style w:type="character" w:customStyle="1" w:styleId="316">
    <w:name w:val="标题 8 字符"/>
    <w:link w:val="119"/>
    <w:qFormat/>
    <w:uiPriority w:val="0"/>
    <w:rPr>
      <w:rFonts w:ascii="Arial" w:hAnsi="Arial" w:eastAsia="黑体" w:cs="Times New Roman"/>
      <w:sz w:val="24"/>
      <w:szCs w:val="24"/>
      <w:lang w:val="en-US" w:eastAsia="zh-CN" w:bidi="ar-SA"/>
    </w:rPr>
  </w:style>
  <w:style w:type="character" w:customStyle="1" w:styleId="317">
    <w:name w:val="标题 9 字符"/>
    <w:link w:val="120"/>
    <w:qFormat/>
    <w:uiPriority w:val="0"/>
    <w:rPr>
      <w:rFonts w:ascii="Arial" w:hAnsi="Arial" w:eastAsia="黑体" w:cs="Times New Roman"/>
      <w:sz w:val="21"/>
      <w:szCs w:val="24"/>
      <w:lang w:val="en-US" w:eastAsia="zh-CN" w:bidi="ar-SA"/>
    </w:rPr>
  </w:style>
  <w:style w:type="character" w:customStyle="1" w:styleId="318">
    <w:name w:val="默认段落字体1"/>
    <w:qFormat/>
    <w:uiPriority w:val="0"/>
    <w:rPr>
      <w:rFonts w:ascii="Times New Roman" w:hAnsi="Times New Roman" w:eastAsia="宋体" w:cs="Times New Roman"/>
    </w:rPr>
  </w:style>
  <w:style w:type="character" w:customStyle="1" w:styleId="319">
    <w:name w:val="纯文本 Char2"/>
    <w:qFormat/>
    <w:uiPriority w:val="0"/>
    <w:rPr>
      <w:rFonts w:ascii="宋体" w:hAnsi="Courier New" w:eastAsia="宋体" w:cs="Courier New"/>
      <w:szCs w:val="21"/>
    </w:rPr>
  </w:style>
  <w:style w:type="character" w:customStyle="1" w:styleId="320">
    <w:name w:val="脚注引用1"/>
    <w:qFormat/>
    <w:uiPriority w:val="0"/>
    <w:rPr>
      <w:rFonts w:ascii="宋体" w:hAnsi="宋体" w:eastAsia="宋体" w:cs="Times New Roman"/>
      <w:vertAlign w:val="superscript"/>
    </w:rPr>
  </w:style>
  <w:style w:type="character" w:customStyle="1" w:styleId="321">
    <w:name w:val="text_list1"/>
    <w:qFormat/>
    <w:uiPriority w:val="0"/>
    <w:rPr>
      <w:rFonts w:ascii="Arial" w:hAnsi="Arial" w:eastAsia="宋体" w:cs="Arial"/>
      <w:color w:val="000000"/>
      <w:spacing w:val="272"/>
      <w:sz w:val="16"/>
      <w:szCs w:val="16"/>
    </w:rPr>
  </w:style>
  <w:style w:type="character" w:customStyle="1" w:styleId="322">
    <w:name w:val="font51"/>
    <w:qFormat/>
    <w:uiPriority w:val="0"/>
    <w:rPr>
      <w:rFonts w:hint="eastAsia" w:ascii="仿宋" w:hAnsi="仿宋" w:eastAsia="仿宋" w:cs="仿宋"/>
      <w:color w:val="000000"/>
      <w:sz w:val="24"/>
      <w:szCs w:val="24"/>
      <w:u w:val="none"/>
    </w:rPr>
  </w:style>
  <w:style w:type="character" w:customStyle="1" w:styleId="323">
    <w:name w:val="font11"/>
    <w:qFormat/>
    <w:uiPriority w:val="0"/>
    <w:rPr>
      <w:rFonts w:ascii="Swis721 Lt BT" w:hAnsi="Swis721 Lt BT" w:eastAsia="宋体" w:cs="Times New Roman"/>
      <w:color w:val="000000"/>
      <w:sz w:val="18"/>
      <w:szCs w:val="18"/>
      <w:u w:val="none"/>
    </w:rPr>
  </w:style>
  <w:style w:type="character" w:customStyle="1" w:styleId="324">
    <w:name w:val="脚注文本 字符"/>
    <w:link w:val="121"/>
    <w:qFormat/>
    <w:uiPriority w:val="0"/>
    <w:rPr>
      <w:rFonts w:ascii="Times New Roman" w:hAnsi="Times New Roman" w:eastAsia="宋体" w:cs="Times New Roman"/>
      <w:sz w:val="18"/>
      <w:szCs w:val="18"/>
      <w:lang w:val="en-US" w:eastAsia="zh-CN" w:bidi="ar-SA"/>
    </w:rPr>
  </w:style>
  <w:style w:type="character" w:customStyle="1" w:styleId="325">
    <w:name w:val="HTML 预设格式 字符"/>
    <w:link w:val="122"/>
    <w:qFormat/>
    <w:uiPriority w:val="0"/>
    <w:rPr>
      <w:rFonts w:ascii="黑体" w:hAnsi="Courier New" w:eastAsia="黑体" w:cs="Times New Roman"/>
      <w:lang w:val="en-US" w:eastAsia="zh-CN" w:bidi="ar-SA"/>
    </w:rPr>
  </w:style>
  <w:style w:type="character" w:customStyle="1" w:styleId="326">
    <w:name w:val="正文文本 3 字符"/>
    <w:link w:val="123"/>
    <w:qFormat/>
    <w:uiPriority w:val="0"/>
    <w:rPr>
      <w:rFonts w:ascii="Times New Roman" w:hAnsi="Times New Roman" w:eastAsia="宋体" w:cs="Times New Roman"/>
      <w:b/>
      <w:bCs/>
      <w:sz w:val="24"/>
      <w:szCs w:val="24"/>
      <w:lang w:val="en-US" w:eastAsia="zh-CN" w:bidi="ar-SA"/>
    </w:rPr>
  </w:style>
  <w:style w:type="character" w:customStyle="1" w:styleId="327">
    <w:name w:val="页脚 字符"/>
    <w:link w:val="124"/>
    <w:qFormat/>
    <w:uiPriority w:val="0"/>
    <w:rPr>
      <w:rFonts w:ascii="Times New Roman" w:hAnsi="Times New Roman" w:eastAsia="宋体" w:cs="Times New Roman"/>
      <w:sz w:val="18"/>
      <w:szCs w:val="18"/>
      <w:lang w:val="en-US" w:eastAsia="zh-CN" w:bidi="ar-SA"/>
    </w:rPr>
  </w:style>
  <w:style w:type="character" w:customStyle="1" w:styleId="328">
    <w:name w:val="页眉 字符"/>
    <w:link w:val="126"/>
    <w:qFormat/>
    <w:uiPriority w:val="0"/>
    <w:rPr>
      <w:rFonts w:ascii="Times New Roman" w:hAnsi="Times New Roman" w:eastAsia="宋体" w:cs="Times New Roman"/>
      <w:sz w:val="18"/>
      <w:szCs w:val="18"/>
    </w:rPr>
  </w:style>
  <w:style w:type="character" w:customStyle="1" w:styleId="329">
    <w:name w:val="段 Char"/>
    <w:link w:val="127"/>
    <w:qFormat/>
    <w:uiPriority w:val="0"/>
    <w:rPr>
      <w:rFonts w:ascii="宋体"/>
      <w:sz w:val="21"/>
      <w:lang w:val="en-US" w:eastAsia="zh-CN" w:bidi="ar-SA"/>
    </w:rPr>
  </w:style>
  <w:style w:type="character" w:customStyle="1" w:styleId="330">
    <w:name w:val="样式 三号 下划线"/>
    <w:qFormat/>
    <w:uiPriority w:val="0"/>
    <w:rPr>
      <w:rFonts w:ascii="Times New Roman" w:hAnsi="Times New Roman" w:eastAsia="宋体" w:cs="Times New Roman"/>
      <w:sz w:val="28"/>
      <w:u w:val="single"/>
    </w:rPr>
  </w:style>
  <w:style w:type="character" w:customStyle="1" w:styleId="331">
    <w:name w:val="普通(网站) 字符1"/>
    <w:qFormat/>
    <w:uiPriority w:val="0"/>
    <w:rPr>
      <w:rFonts w:ascii="宋体" w:hAnsi="宋体" w:eastAsia="宋体" w:cs="Times New Roman"/>
      <w:sz w:val="24"/>
      <w:szCs w:val="24"/>
    </w:rPr>
  </w:style>
  <w:style w:type="character" w:customStyle="1" w:styleId="332">
    <w:name w:val="font41"/>
    <w:qFormat/>
    <w:uiPriority w:val="0"/>
    <w:rPr>
      <w:rFonts w:hint="eastAsia" w:ascii="宋体" w:hAnsi="宋体" w:eastAsia="宋体" w:cs="宋体"/>
      <w:color w:val="000000"/>
      <w:sz w:val="24"/>
      <w:szCs w:val="24"/>
      <w:u w:val="none"/>
    </w:rPr>
  </w:style>
  <w:style w:type="character" w:customStyle="1" w:styleId="333">
    <w:name w:val="font71"/>
    <w:qFormat/>
    <w:uiPriority w:val="0"/>
    <w:rPr>
      <w:rFonts w:hint="eastAsia" w:ascii="华文楷体" w:hAnsi="华文楷体" w:eastAsia="华文楷体" w:cs="Times New Roman"/>
      <w:color w:val="000000"/>
      <w:sz w:val="18"/>
      <w:szCs w:val="18"/>
      <w:u w:val="none"/>
    </w:rPr>
  </w:style>
  <w:style w:type="character" w:customStyle="1" w:styleId="334">
    <w:name w:val="批注引用1"/>
    <w:qFormat/>
    <w:uiPriority w:val="0"/>
    <w:rPr>
      <w:rFonts w:ascii="Times New Roman" w:hAnsi="Times New Roman" w:eastAsia="宋体" w:cs="Times New Roman"/>
      <w:sz w:val="21"/>
      <w:szCs w:val="21"/>
    </w:rPr>
  </w:style>
  <w:style w:type="character" w:customStyle="1" w:styleId="335">
    <w:name w:val="正文文本 2 字符"/>
    <w:link w:val="128"/>
    <w:qFormat/>
    <w:uiPriority w:val="0"/>
    <w:rPr>
      <w:rFonts w:ascii="Times New Roman" w:hAnsi="Times New Roman" w:eastAsia="宋体" w:cs="Times New Roman"/>
      <w:sz w:val="30"/>
      <w:szCs w:val="24"/>
      <w:lang w:val="en-US" w:eastAsia="zh-CN" w:bidi="ar-SA"/>
    </w:rPr>
  </w:style>
  <w:style w:type="character" w:customStyle="1" w:styleId="336">
    <w:name w:val="批注框文本 字符"/>
    <w:link w:val="129"/>
    <w:qFormat/>
    <w:uiPriority w:val="0"/>
    <w:rPr>
      <w:rFonts w:ascii="Times New Roman" w:hAnsi="Times New Roman" w:eastAsia="宋体" w:cs="Times New Roman"/>
      <w:sz w:val="18"/>
      <w:szCs w:val="18"/>
    </w:rPr>
  </w:style>
  <w:style w:type="character" w:customStyle="1" w:styleId="337">
    <w:name w:val="font01"/>
    <w:qFormat/>
    <w:uiPriority w:val="0"/>
    <w:rPr>
      <w:rFonts w:hint="eastAsia" w:ascii="宋体" w:hAnsi="宋体" w:eastAsia="宋体" w:cs="宋体"/>
      <w:color w:val="000000"/>
      <w:sz w:val="24"/>
      <w:szCs w:val="24"/>
      <w:u w:val="none"/>
    </w:rPr>
  </w:style>
  <w:style w:type="character" w:customStyle="1" w:styleId="338">
    <w:name w:val="称呼 字符"/>
    <w:link w:val="130"/>
    <w:qFormat/>
    <w:uiPriority w:val="0"/>
    <w:rPr>
      <w:rFonts w:ascii="Times New Roman" w:hAnsi="Times New Roman" w:eastAsia="宋体" w:cs="Times New Roman"/>
      <w:sz w:val="28"/>
      <w:szCs w:val="24"/>
      <w:lang w:val="en-US" w:eastAsia="zh-CN" w:bidi="ar-SA"/>
    </w:rPr>
  </w:style>
  <w:style w:type="character" w:customStyle="1" w:styleId="339">
    <w:name w:val="页码1"/>
    <w:qFormat/>
    <w:uiPriority w:val="0"/>
    <w:rPr>
      <w:rFonts w:ascii="Times New Roman" w:hAnsi="Times New Roman" w:eastAsia="宋体" w:cs="Times New Roman"/>
    </w:rPr>
  </w:style>
  <w:style w:type="character" w:customStyle="1" w:styleId="340">
    <w:name w:val="页眉 Char1"/>
    <w:qFormat/>
    <w:uiPriority w:val="0"/>
    <w:rPr>
      <w:rFonts w:ascii="Times New Roman" w:hAnsi="Times New Roman" w:eastAsia="宋体" w:cs="Times New Roman"/>
      <w:sz w:val="18"/>
      <w:szCs w:val="18"/>
      <w:lang w:val="en-US" w:eastAsia="zh-CN" w:bidi="ar-SA"/>
    </w:rPr>
  </w:style>
  <w:style w:type="character" w:customStyle="1" w:styleId="341">
    <w:name w:val="纯文本 字符"/>
    <w:link w:val="131"/>
    <w:qFormat/>
    <w:uiPriority w:val="0"/>
    <w:rPr>
      <w:rFonts w:ascii="宋体" w:hAnsi="Courier New"/>
      <w:sz w:val="21"/>
      <w:szCs w:val="21"/>
    </w:rPr>
  </w:style>
  <w:style w:type="character" w:customStyle="1" w:styleId="342">
    <w:name w:val="font81"/>
    <w:qFormat/>
    <w:uiPriority w:val="0"/>
    <w:rPr>
      <w:rFonts w:hint="eastAsia" w:ascii="华文细黑" w:hAnsi="华文细黑" w:eastAsia="华文细黑" w:cs="Times New Roman"/>
      <w:color w:val="000000"/>
      <w:sz w:val="18"/>
      <w:szCs w:val="18"/>
      <w:u w:val="none"/>
    </w:rPr>
  </w:style>
  <w:style w:type="character" w:customStyle="1" w:styleId="343">
    <w:name w:val="正文文本 字符1"/>
    <w:link w:val="132"/>
    <w:qFormat/>
    <w:uiPriority w:val="0"/>
    <w:rPr>
      <w:rFonts w:ascii="仿宋_GB2312" w:hAnsi="Times New Roman" w:eastAsia="仿宋_GB2312" w:cs="Times New Roman"/>
      <w:sz w:val="28"/>
    </w:rPr>
  </w:style>
  <w:style w:type="character" w:customStyle="1" w:styleId="344">
    <w:name w:val="正文（缩进） Char Char"/>
    <w:link w:val="133"/>
    <w:qFormat/>
    <w:uiPriority w:val="0"/>
    <w:rPr>
      <w:rFonts w:ascii="宋体" w:hAnsi="宋体" w:eastAsia="宋体" w:cs="Times New Roman"/>
      <w:sz w:val="24"/>
      <w:szCs w:val="24"/>
    </w:rPr>
  </w:style>
  <w:style w:type="character" w:customStyle="1" w:styleId="345">
    <w:name w:val="font21"/>
    <w:qFormat/>
    <w:uiPriority w:val="0"/>
    <w:rPr>
      <w:rFonts w:hint="eastAsia" w:ascii="宋体" w:hAnsi="宋体" w:eastAsia="宋体" w:cs="Times New Roman"/>
      <w:color w:val="000000"/>
      <w:sz w:val="18"/>
      <w:szCs w:val="18"/>
      <w:u w:val="none"/>
    </w:rPr>
  </w:style>
  <w:style w:type="character" w:customStyle="1" w:styleId="346">
    <w:name w:val="超链接1"/>
    <w:qFormat/>
    <w:uiPriority w:val="0"/>
    <w:rPr>
      <w:rFonts w:ascii="Times New Roman" w:hAnsi="Times New Roman" w:eastAsia="宋体" w:cs="Times New Roman"/>
      <w:color w:val="0000FF"/>
      <w:u w:val="single"/>
    </w:rPr>
  </w:style>
  <w:style w:type="character" w:customStyle="1" w:styleId="347">
    <w:name w:val="正文文本 2 字符1"/>
    <w:qFormat/>
    <w:uiPriority w:val="0"/>
    <w:rPr>
      <w:rFonts w:ascii="Times New Roman" w:hAnsi="Times New Roman" w:eastAsia="宋体" w:cs="Times New Roman"/>
      <w:sz w:val="30"/>
      <w:szCs w:val="24"/>
    </w:rPr>
  </w:style>
  <w:style w:type="character" w:customStyle="1" w:styleId="348">
    <w:name w:val="文档结构图 字符"/>
    <w:link w:val="134"/>
    <w:qFormat/>
    <w:uiPriority w:val="0"/>
    <w:rPr>
      <w:rFonts w:ascii="Times New Roman" w:hAnsi="Times New Roman" w:eastAsia="宋体" w:cs="Times New Roman"/>
      <w:sz w:val="21"/>
      <w:szCs w:val="24"/>
      <w:shd w:val="clear" w:color="auto" w:fill="000080"/>
    </w:rPr>
  </w:style>
  <w:style w:type="character" w:customStyle="1" w:styleId="349">
    <w:name w:val="正文文本 字符"/>
    <w:qFormat/>
    <w:uiPriority w:val="0"/>
    <w:rPr>
      <w:rFonts w:ascii="仿宋_GB2312" w:hAnsi="Times New Roman" w:eastAsia="仿宋_GB2312" w:cs="Times New Roman"/>
      <w:sz w:val="28"/>
    </w:rPr>
  </w:style>
  <w:style w:type="character" w:customStyle="1" w:styleId="350">
    <w:name w:val="要点1"/>
    <w:qFormat/>
    <w:uiPriority w:val="0"/>
    <w:rPr>
      <w:rFonts w:ascii="Times New Roman" w:hAnsi="Times New Roman" w:eastAsia="宋体" w:cs="Times New Roman"/>
      <w:b/>
      <w:bCs/>
    </w:rPr>
  </w:style>
  <w:style w:type="character" w:customStyle="1" w:styleId="351">
    <w:name w:val="列表段落 字符"/>
    <w:link w:val="135"/>
    <w:qFormat/>
    <w:uiPriority w:val="0"/>
    <w:rPr>
      <w:rFonts w:ascii="Times New Roman" w:hAnsi="Times New Roman" w:eastAsia="宋体" w:cs="Times New Roman"/>
      <w:sz w:val="21"/>
      <w:szCs w:val="24"/>
    </w:rPr>
  </w:style>
  <w:style w:type="character" w:customStyle="1" w:styleId="352">
    <w:name w:val="列出段落 Char"/>
    <w:link w:val="2"/>
    <w:qFormat/>
    <w:uiPriority w:val="0"/>
    <w:rPr>
      <w:rFonts w:ascii="Calibri" w:hAnsi="Calibri" w:eastAsia="宋体" w:cs="Times New Roman"/>
      <w:sz w:val="21"/>
      <w:szCs w:val="22"/>
    </w:rPr>
  </w:style>
  <w:style w:type="character" w:customStyle="1" w:styleId="353">
    <w:name w:val="font31"/>
    <w:qFormat/>
    <w:uiPriority w:val="0"/>
    <w:rPr>
      <w:rFonts w:hint="eastAsia" w:ascii="微软雅黑" w:hAnsi="微软雅黑" w:eastAsia="微软雅黑" w:cs="Times New Roman"/>
      <w:color w:val="000000"/>
      <w:sz w:val="16"/>
      <w:szCs w:val="16"/>
      <w:u w:val="none"/>
    </w:rPr>
  </w:style>
  <w:style w:type="character" w:customStyle="1" w:styleId="354">
    <w:name w:val="itm1"/>
    <w:qFormat/>
    <w:uiPriority w:val="0"/>
    <w:rPr>
      <w:rFonts w:hint="eastAsia" w:ascii="宋体" w:hAnsi="宋体" w:eastAsia="宋体" w:cs="Times New Roman"/>
      <w:sz w:val="21"/>
      <w:szCs w:val="21"/>
    </w:rPr>
  </w:style>
  <w:style w:type="character" w:customStyle="1" w:styleId="355">
    <w:name w:val="强调1"/>
    <w:qFormat/>
    <w:uiPriority w:val="0"/>
    <w:rPr>
      <w:rFonts w:ascii="Times New Roman" w:hAnsi="Times New Roman" w:eastAsia="宋体" w:cs="Times New Roman"/>
      <w:i/>
    </w:rPr>
  </w:style>
  <w:style w:type="character" w:customStyle="1" w:styleId="356">
    <w:name w:val="Char Char"/>
    <w:qFormat/>
    <w:uiPriority w:val="0"/>
    <w:rPr>
      <w:rFonts w:ascii="Times New Roman" w:hAnsi="Times New Roman" w:eastAsia="宋体" w:cs="Times New Roman"/>
      <w:b/>
      <w:bCs/>
      <w:sz w:val="32"/>
      <w:szCs w:val="44"/>
      <w:lang w:val="en-US" w:eastAsia="zh-CN" w:bidi="ar-SA"/>
    </w:rPr>
  </w:style>
  <w:style w:type="character" w:customStyle="1" w:styleId="357">
    <w:name w:val="批注主题 字符"/>
    <w:link w:val="136"/>
    <w:qFormat/>
    <w:uiPriority w:val="0"/>
    <w:rPr>
      <w:rFonts w:ascii="Times New Roman" w:hAnsi="Times New Roman" w:eastAsia="宋体" w:cs="Times New Roman"/>
      <w:b/>
      <w:bCs/>
      <w:sz w:val="21"/>
      <w:szCs w:val="24"/>
    </w:rPr>
  </w:style>
  <w:style w:type="character" w:customStyle="1" w:styleId="358">
    <w:name w:val="批注文字 字符"/>
    <w:link w:val="137"/>
    <w:qFormat/>
    <w:uiPriority w:val="0"/>
    <w:rPr>
      <w:rFonts w:ascii="Times New Roman" w:hAnsi="Times New Roman" w:eastAsia="宋体" w:cs="Times New Roman"/>
      <w:sz w:val="21"/>
      <w:szCs w:val="24"/>
    </w:rPr>
  </w:style>
  <w:style w:type="character" w:customStyle="1" w:styleId="359">
    <w:name w:val="标题 字符"/>
    <w:link w:val="138"/>
    <w:qFormat/>
    <w:uiPriority w:val="0"/>
    <w:rPr>
      <w:rFonts w:ascii="Arial" w:hAnsi="Arial" w:eastAsia="宋体" w:cs="Arial"/>
      <w:b/>
      <w:bCs/>
      <w:sz w:val="32"/>
      <w:szCs w:val="32"/>
      <w:lang w:val="en-US" w:eastAsia="zh-CN" w:bidi="ar-SA"/>
    </w:rPr>
  </w:style>
  <w:style w:type="character" w:customStyle="1" w:styleId="360">
    <w:name w:val="普通(网站) Char1"/>
    <w:qFormat/>
    <w:uiPriority w:val="0"/>
    <w:rPr>
      <w:rFonts w:ascii="宋体" w:hAnsi="宋体" w:eastAsia="宋体" w:cs="Times New Roman"/>
      <w:sz w:val="24"/>
      <w:szCs w:val="24"/>
    </w:rPr>
  </w:style>
  <w:style w:type="character" w:customStyle="1" w:styleId="361">
    <w:name w:val="表格正文 Char"/>
    <w:link w:val="139"/>
    <w:qFormat/>
    <w:uiPriority w:val="0"/>
    <w:rPr>
      <w:rFonts w:ascii="Times New Roman" w:hAnsi="Times New Roman" w:eastAsia="宋体" w:cs="Times New Roman"/>
      <w:sz w:val="21"/>
      <w:szCs w:val="24"/>
      <w:lang w:val="en-US" w:eastAsia="zh-CN" w:bidi="ar-SA"/>
    </w:rPr>
  </w:style>
  <w:style w:type="character" w:customStyle="1" w:styleId="362">
    <w:name w:val="标题 311"/>
    <w:qFormat/>
    <w:uiPriority w:val="0"/>
    <w:rPr>
      <w:rFonts w:hint="eastAsia" w:ascii="黑体" w:hAnsi="ˎ̥" w:eastAsia="黑体" w:cs="Times New Roman"/>
      <w:sz w:val="28"/>
    </w:rPr>
  </w:style>
  <w:style w:type="character" w:customStyle="1" w:styleId="363">
    <w:name w:val="正文文本首行缩进 字符"/>
    <w:link w:val="140"/>
    <w:qFormat/>
    <w:uiPriority w:val="0"/>
    <w:rPr>
      <w:rFonts w:ascii="仿宋_GB2312" w:hAnsi="Times New Roman" w:eastAsia="仿宋_GB2312" w:cs="Times New Roman"/>
      <w:sz w:val="21"/>
    </w:rPr>
  </w:style>
  <w:style w:type="character" w:customStyle="1" w:styleId="364">
    <w:name w:val="font61"/>
    <w:qFormat/>
    <w:uiPriority w:val="0"/>
    <w:rPr>
      <w:rFonts w:hint="eastAsia" w:ascii="华文仿宋" w:hAnsi="华文仿宋" w:eastAsia="华文仿宋" w:cs="Times New Roman"/>
      <w:color w:val="000000"/>
      <w:sz w:val="18"/>
      <w:szCs w:val="18"/>
      <w:u w:val="none"/>
    </w:rPr>
  </w:style>
  <w:style w:type="character" w:customStyle="1" w:styleId="365">
    <w:name w:val="bookmark-item"/>
    <w:qFormat/>
    <w:uiPriority w:val="0"/>
    <w:rPr>
      <w:rFonts w:ascii="Times New Roman" w:hAnsi="Times New Roman" w:eastAsia="宋体" w:cs="Times New Roman"/>
    </w:rPr>
  </w:style>
  <w:style w:type="character" w:customStyle="1" w:styleId="366">
    <w:name w:val="NormalCharacter1"/>
    <w:link w:val="141"/>
    <w:qFormat/>
    <w:uiPriority w:val="99"/>
    <w:rPr>
      <w:sz w:val="20"/>
      <w:szCs w:val="20"/>
    </w:rPr>
  </w:style>
  <w:style w:type="character" w:customStyle="1" w:styleId="367">
    <w:name w:val="普通(网站) 字符"/>
    <w:link w:val="142"/>
    <w:qFormat/>
    <w:uiPriority w:val="0"/>
    <w:rPr>
      <w:rFonts w:ascii="宋体" w:hAnsi="宋体" w:eastAsia="宋体" w:cs="Times New Roman"/>
      <w:sz w:val="24"/>
      <w:szCs w:val="24"/>
    </w:rPr>
  </w:style>
  <w:style w:type="character" w:customStyle="1" w:styleId="368">
    <w:name w:val="结束语 字符"/>
    <w:link w:val="143"/>
    <w:qFormat/>
    <w:uiPriority w:val="0"/>
    <w:rPr>
      <w:rFonts w:ascii="Times New Roman" w:hAnsi="Times New Roman" w:eastAsia="宋体" w:cs="Times New Roman"/>
      <w:sz w:val="28"/>
      <w:szCs w:val="24"/>
      <w:lang w:val="en-US" w:eastAsia="zh-CN" w:bidi="ar-SA"/>
    </w:rPr>
  </w:style>
  <w:style w:type="character" w:customStyle="1" w:styleId="369">
    <w:name w:val="页眉 字符1"/>
    <w:qFormat/>
    <w:uiPriority w:val="0"/>
    <w:rPr>
      <w:rFonts w:ascii="Times New Roman" w:hAnsi="Times New Roman" w:eastAsia="宋体" w:cs="Times New Roman"/>
      <w:sz w:val="18"/>
      <w:szCs w:val="18"/>
      <w:lang w:val="en-US" w:eastAsia="zh-CN" w:bidi="ar-SA"/>
    </w:rPr>
  </w:style>
  <w:style w:type="character" w:customStyle="1" w:styleId="370">
    <w:name w:val="纯文本 Char1"/>
    <w:qFormat/>
    <w:uiPriority w:val="0"/>
    <w:rPr>
      <w:rFonts w:ascii="宋体" w:hAnsi="Courier New" w:eastAsia="宋体" w:cs="Courier New"/>
      <w:sz w:val="21"/>
      <w:szCs w:val="21"/>
    </w:rPr>
  </w:style>
  <w:style w:type="character" w:customStyle="1" w:styleId="371">
    <w:name w:val="正文文本缩进 字符"/>
    <w:link w:val="144"/>
    <w:qFormat/>
    <w:uiPriority w:val="0"/>
    <w:rPr>
      <w:rFonts w:ascii="仿宋_GB2312" w:hAnsi="Times New Roman" w:eastAsia="仿宋_GB2312" w:cs="Times New Roman"/>
      <w:sz w:val="28"/>
    </w:rPr>
  </w:style>
  <w:style w:type="character" w:customStyle="1" w:styleId="372">
    <w:name w:val="访问过的超链接1"/>
    <w:qFormat/>
    <w:uiPriority w:val="0"/>
    <w:rPr>
      <w:rFonts w:ascii="Times New Roman" w:hAnsi="Times New Roman" w:eastAsia="宋体" w:cs="Times New Roman"/>
      <w:color w:val="800080"/>
      <w:u w:val="single"/>
    </w:rPr>
  </w:style>
  <w:style w:type="character" w:customStyle="1" w:styleId="373">
    <w:name w:val="HTML 打字机1"/>
    <w:qFormat/>
    <w:uiPriority w:val="0"/>
    <w:rPr>
      <w:rFonts w:ascii="宋体" w:hAnsi="宋体" w:eastAsia="宋体" w:cs="宋体"/>
      <w:sz w:val="24"/>
      <w:szCs w:val="24"/>
    </w:rPr>
  </w:style>
  <w:style w:type="table" w:customStyle="1" w:styleId="374">
    <w:name w:val="Plain Table 1"/>
    <w:basedOn w:val="82"/>
    <w:qFormat/>
    <w:uiPriority w:val="59"/>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tblStylePr w:type="firstRow">
      <w:rPr>
        <w:rFonts w:ascii="Symbol" w:hAnsi="Symbol"/>
        <w:b/>
        <w:color w:val="404040"/>
        <w:sz w:val="22"/>
      </w:rPr>
    </w:tblStylePr>
    <w:tblStylePr w:type="lastRow">
      <w:rPr>
        <w:rFonts w:ascii="Symbol" w:hAnsi="Symbol"/>
        <w:b/>
        <w:color w:val="404040"/>
        <w:sz w:val="22"/>
      </w:rPr>
    </w:tblStylePr>
    <w:tblStylePr w:type="firstCol">
      <w:rPr>
        <w:rFonts w:ascii="Symbol" w:hAnsi="Symbol"/>
        <w:b/>
        <w:color w:val="404040"/>
        <w:sz w:val="22"/>
      </w:rPr>
    </w:tblStylePr>
    <w:tblStylePr w:type="lastCol">
      <w:rPr>
        <w:rFonts w:ascii="Symbol" w:hAnsi="Symbol"/>
        <w:b/>
        <w:color w:val="404040"/>
        <w:sz w:val="22"/>
      </w:rPr>
    </w:tblStylePr>
    <w:tblStylePr w:type="band1Vert">
      <w:tcPr>
        <w:shd w:val="clear" w:color="F1F1F1" w:fill="F1F1F1"/>
      </w:tcPr>
    </w:tblStylePr>
    <w:tblStylePr w:type="band1Horz">
      <w:tcPr>
        <w:shd w:val="clear" w:color="F1F1F1" w:fill="F1F1F1"/>
      </w:tcPr>
    </w:tblStylePr>
  </w:style>
  <w:style w:type="table" w:customStyle="1" w:styleId="375">
    <w:name w:val="Plain Table 2"/>
    <w:basedOn w:val="82"/>
    <w:qFormat/>
    <w:uiPriority w:val="59"/>
    <w:pPr>
      <w:spacing w:after="0" w:line="240" w:lineRule="auto"/>
    </w:pPr>
    <w:tblPr>
      <w:tblBorders>
        <w:top w:val="single" w:color="000000" w:sz="4" w:space="0"/>
        <w:bottom w:val="single" w:color="000000" w:sz="4" w:space="0"/>
      </w:tblBorders>
      <w:tblCellMar>
        <w:top w:w="0" w:type="dxa"/>
        <w:left w:w="108" w:type="dxa"/>
        <w:bottom w:w="0" w:type="dxa"/>
        <w:right w:w="108" w:type="dxa"/>
      </w:tblCellMar>
    </w:tblPr>
    <w:tblStylePr w:type="firstRow">
      <w:rPr>
        <w:rFonts w:ascii="Symbol" w:hAnsi="Symbol"/>
        <w:b/>
        <w:color w:val="404040"/>
        <w:sz w:val="22"/>
      </w:rPr>
      <w:tcPr>
        <w:tcBorders>
          <w:top w:val="single" w:color="000000" w:sz="4" w:space="0"/>
          <w:left w:val="single" w:color="000000" w:sz="4" w:space="0"/>
        </w:tcBorders>
      </w:tcPr>
    </w:tblStylePr>
    <w:tblStylePr w:type="lastRow">
      <w:rPr>
        <w:rFonts w:ascii="Symbol" w:hAnsi="Symbol"/>
        <w:b/>
        <w:color w:val="404040"/>
        <w:sz w:val="22"/>
      </w:rPr>
    </w:tblStylePr>
    <w:tblStylePr w:type="firstCol">
      <w:rPr>
        <w:rFonts w:ascii="Symbol" w:hAnsi="Symbol"/>
        <w:b/>
        <w:color w:val="404040"/>
        <w:sz w:val="22"/>
      </w:rPr>
    </w:tblStylePr>
    <w:tblStylePr w:type="lastCol">
      <w:rPr>
        <w:rFonts w:ascii="Symbol" w:hAnsi="Symbol"/>
        <w:b/>
        <w:color w:val="404040"/>
        <w:sz w:val="22"/>
      </w:rPr>
    </w:tblStylePr>
    <w:tblStylePr w:type="band1Vert">
      <w:tcPr>
        <w:tcBorders>
          <w:bottom w:val="single" w:color="000000" w:sz="4" w:space="0"/>
          <w:right w:val="single" w:color="000000" w:sz="4" w:space="0"/>
        </w:tcBorders>
      </w:tcPr>
    </w:tblStylePr>
    <w:tblStylePr w:type="band2Vert">
      <w:tcPr>
        <w:tcBorders>
          <w:bottom w:val="single" w:color="000000" w:sz="4" w:space="0"/>
          <w:right w:val="single" w:color="000000" w:sz="4" w:space="0"/>
        </w:tcBorders>
      </w:tcPr>
    </w:tblStylePr>
    <w:tblStylePr w:type="band1Horz">
      <w:tcPr>
        <w:tcBorders>
          <w:top w:val="single" w:color="000000" w:sz="4" w:space="0"/>
          <w:left w:val="single" w:color="000000" w:sz="4" w:space="0"/>
        </w:tcBorders>
      </w:tcPr>
    </w:tblStylePr>
  </w:style>
  <w:style w:type="table" w:customStyle="1" w:styleId="376">
    <w:name w:val="Plain Table 3"/>
    <w:basedOn w:val="82"/>
    <w:qFormat/>
    <w:uiPriority w:val="99"/>
    <w:pPr>
      <w:spacing w:after="0" w:line="240" w:lineRule="auto"/>
    </w:pPr>
    <w:tblStylePr w:type="firstRow">
      <w:rPr>
        <w:b/>
        <w:caps/>
        <w:color w:val="404040"/>
      </w:rPr>
      <w:tcPr>
        <w:tcBorders>
          <w:top w:val="nil"/>
          <w:left w:val="single" w:color="404040" w:sz="4" w:space="0"/>
          <w:bottom w:val="nil"/>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Symbol" w:hAnsi="Symbol"/>
        <w:color w:val="404040"/>
        <w:sz w:val="22"/>
      </w:rPr>
      <w:tcPr>
        <w:shd w:val="clear" w:color="F1F1F1" w:fill="F1F1F1"/>
      </w:tcPr>
    </w:tblStylePr>
    <w:tblStylePr w:type="band1Horz">
      <w:rPr>
        <w:rFonts w:ascii="Symbol" w:hAnsi="Symbol"/>
        <w:color w:val="404040"/>
        <w:sz w:val="22"/>
      </w:rPr>
      <w:tcPr>
        <w:shd w:val="clear" w:color="F1F1F1" w:fill="F1F1F1"/>
      </w:tcPr>
    </w:tblStylePr>
  </w:style>
  <w:style w:type="table" w:customStyle="1" w:styleId="377">
    <w:name w:val="Plain Table 4"/>
    <w:basedOn w:val="8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Symbol" w:hAnsi="Symbol"/>
        <w:color w:val="404040"/>
        <w:sz w:val="22"/>
      </w:rPr>
      <w:tcPr>
        <w:shd w:val="clear" w:color="F1F1F1" w:fill="F1F1F1"/>
      </w:tcPr>
    </w:tblStylePr>
    <w:tblStylePr w:type="band1Horz">
      <w:rPr>
        <w:rFonts w:ascii="Symbol" w:hAnsi="Symbol"/>
        <w:color w:val="404040"/>
        <w:sz w:val="22"/>
      </w:rPr>
      <w:tcPr>
        <w:shd w:val="clear" w:color="F1F1F1" w:fill="F1F1F1"/>
      </w:tcPr>
    </w:tblStylePr>
  </w:style>
  <w:style w:type="table" w:customStyle="1" w:styleId="378">
    <w:name w:val="Plain Table 5"/>
    <w:basedOn w:val="82"/>
    <w:qFormat/>
    <w:uiPriority w:val="99"/>
    <w:pPr>
      <w:spacing w:after="0" w:line="240" w:lineRule="auto"/>
    </w:pPr>
    <w:tblStylePr w:type="firstRow">
      <w:rPr>
        <w:i/>
        <w:color w:val="404040"/>
      </w:rPr>
      <w:tcPr>
        <w:tcBorders>
          <w:left w:val="single" w:color="404040" w:sz="4" w:space="0"/>
          <w:bottom w:val="nil"/>
          <w:right w:val="nil"/>
        </w:tcBorders>
        <w:shd w:val="clear" w:color="FFFFFF" w:fill="auto"/>
      </w:tcPr>
    </w:tblStylePr>
    <w:tblStylePr w:type="lastRow">
      <w:rPr>
        <w:i/>
        <w:color w:val="404040"/>
      </w:rPr>
      <w:tcPr>
        <w:tcBorders>
          <w:top w:val="single" w:color="404040" w:sz="4" w:space="0"/>
          <w:bottom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bottom w:val="single" w:color="404040" w:sz="4" w:space="0"/>
        </w:tcBorders>
        <w:shd w:val="clear" w:color="FFFFFF" w:fill="auto"/>
      </w:tcPr>
    </w:tblStylePr>
    <w:tblStylePr w:type="band1Vert">
      <w:rPr>
        <w:rFonts w:ascii="Symbol" w:hAnsi="Symbol"/>
        <w:color w:val="404040"/>
        <w:sz w:val="22"/>
      </w:rPr>
      <w:tcPr>
        <w:shd w:val="clear" w:color="F1F1F1" w:fill="F1F1F1"/>
      </w:tcPr>
    </w:tblStylePr>
    <w:tblStylePr w:type="band1Horz">
      <w:rPr>
        <w:rFonts w:ascii="Symbol" w:hAnsi="Symbol"/>
        <w:color w:val="404040"/>
        <w:sz w:val="22"/>
      </w:rPr>
      <w:tcPr>
        <w:shd w:val="clear" w:color="F1F1F1" w:fill="F1F1F1"/>
      </w:tcPr>
    </w:tblStylePr>
  </w:style>
  <w:style w:type="table" w:customStyle="1" w:styleId="379">
    <w:name w:val="Grid Table 1 Light"/>
    <w:basedOn w:val="82"/>
    <w:qFormat/>
    <w:uiPriority w:val="99"/>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left w:val="single" w:color="696969"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Symbol" w:hAnsi="Symbol"/>
        <w:color w:val="404040"/>
        <w:sz w:val="22"/>
      </w:rPr>
      <w:tcPr>
        <w:tcBorders>
          <w:top w:val="single" w:color="979797" w:sz="4" w:space="0"/>
          <w:left w:val="single" w:color="979797" w:sz="4" w:space="0"/>
          <w:bottom w:val="single" w:color="979797" w:sz="4" w:space="0"/>
          <w:right w:val="single" w:color="979797" w:sz="4" w:space="0"/>
        </w:tcBorders>
      </w:tcPr>
    </w:tblStylePr>
  </w:style>
  <w:style w:type="table" w:customStyle="1" w:styleId="380">
    <w:name w:val="Grid Table 2"/>
    <w:basedOn w:val="82"/>
    <w:qFormat/>
    <w:uiPriority w:val="99"/>
    <w:pPr>
      <w:spacing w:after="0" w:line="240" w:lineRule="auto"/>
    </w:pPr>
    <w:tblPr>
      <w:tblBorders>
        <w:bottom w:val="single" w:color="696969" w:sz="4" w:space="0"/>
        <w:insideH w:val="single" w:color="696969" w:sz="4" w:space="0"/>
        <w:insideV w:val="single" w:color="696969" w:sz="4" w:space="0"/>
      </w:tblBorders>
    </w:tblPr>
    <w:tblStylePr w:type="firstRow">
      <w:rPr>
        <w:b/>
        <w:color w:val="404040"/>
      </w:rPr>
      <w:tcPr>
        <w:tcBorders>
          <w:top w:val="nil"/>
          <w:left w:val="single" w:color="696969" w:sz="12" w:space="0"/>
          <w:bottom w:val="nil"/>
          <w:right w:val="nil"/>
        </w:tcBorders>
        <w:shd w:val="clear" w:color="FFFFFF" w:fill="auto"/>
      </w:tcPr>
    </w:tblStylePr>
    <w:tblStylePr w:type="lastRow">
      <w:rPr>
        <w:b/>
        <w:color w:val="404040"/>
      </w:rPr>
      <w:tcPr>
        <w:tcBorders>
          <w:top w:val="single" w:color="69696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Symbol" w:hAnsi="Symbol"/>
        <w:color w:val="404040"/>
        <w:sz w:val="22"/>
      </w:rPr>
      <w:tcPr>
        <w:shd w:val="clear" w:color="CACACA" w:fill="CACACA"/>
      </w:tcPr>
    </w:tblStylePr>
    <w:tblStylePr w:type="band1Horz">
      <w:rPr>
        <w:rFonts w:ascii="Symbol" w:hAnsi="Symbol"/>
        <w:color w:val="404040"/>
        <w:sz w:val="22"/>
      </w:rPr>
      <w:tcPr>
        <w:shd w:val="clear" w:color="CACACA" w:fill="CACACA"/>
      </w:tcPr>
    </w:tblStylePr>
  </w:style>
  <w:style w:type="table" w:customStyle="1" w:styleId="381">
    <w:name w:val="Grid Table 3"/>
    <w:basedOn w:val="82"/>
    <w:qFormat/>
    <w:uiPriority w:val="99"/>
    <w:pPr>
      <w:spacing w:after="0" w:line="240" w:lineRule="auto"/>
    </w:pPr>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Symbol" w:hAnsi="Symbol"/>
        <w:color w:val="404040"/>
        <w:sz w:val="22"/>
      </w:rPr>
      <w:tcPr>
        <w:shd w:val="clear" w:color="CACACA" w:fill="CACACA"/>
      </w:tcPr>
    </w:tblStylePr>
    <w:tblStylePr w:type="band1Horz">
      <w:rPr>
        <w:rFonts w:ascii="Symbol" w:hAnsi="Symbol"/>
        <w:color w:val="404040"/>
        <w:sz w:val="22"/>
      </w:rPr>
      <w:tcPr>
        <w:shd w:val="clear" w:color="CACACA" w:fill="CACACA"/>
      </w:tcPr>
    </w:tblStylePr>
  </w:style>
  <w:style w:type="table" w:customStyle="1" w:styleId="382">
    <w:name w:val="Grid Table 4"/>
    <w:basedOn w:val="82"/>
    <w:qFormat/>
    <w:uiPriority w:val="59"/>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Symbol" w:hAnsi="Symbo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Symbol" w:hAnsi="Symbol"/>
        <w:color w:val="404040"/>
        <w:sz w:val="22"/>
      </w:rPr>
      <w:tcPr>
        <w:shd w:val="clear" w:color="CACACA" w:fill="CACACA"/>
      </w:tcPr>
    </w:tblStylePr>
    <w:tblStylePr w:type="band1Horz">
      <w:rPr>
        <w:rFonts w:ascii="Symbol" w:hAnsi="Symbol"/>
        <w:color w:val="404040"/>
        <w:sz w:val="22"/>
      </w:rPr>
      <w:tcPr>
        <w:shd w:val="clear" w:color="CACACA" w:fill="CACACA"/>
      </w:tcPr>
    </w:tblStylePr>
  </w:style>
  <w:style w:type="table" w:customStyle="1" w:styleId="383">
    <w:name w:val="Grid Table 5 Dark"/>
    <w:basedOn w:val="82"/>
    <w:qFormat/>
    <w:uiPriority w:val="99"/>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Symbol" w:hAnsi="Symbol"/>
        <w:b/>
        <w:color w:val="FFFFFF"/>
        <w:sz w:val="22"/>
      </w:rPr>
      <w:tcPr>
        <w:shd w:val="clear" w:color="000000" w:fill="000000"/>
      </w:tcPr>
    </w:tblStylePr>
    <w:tblStylePr w:type="lastRow">
      <w:rPr>
        <w:rFonts w:ascii="Symbol" w:hAnsi="Symbol"/>
        <w:b/>
        <w:color w:val="FFFFFF"/>
        <w:sz w:val="22"/>
      </w:rPr>
      <w:tcPr>
        <w:tcBorders>
          <w:top w:val="single" w:color="FFFFFF" w:sz="4" w:space="0"/>
        </w:tcBorders>
        <w:shd w:val="clear" w:color="000000" w:fill="000000"/>
      </w:tcPr>
    </w:tblStylePr>
    <w:tblStylePr w:type="firstCol">
      <w:rPr>
        <w:rFonts w:ascii="Symbol" w:hAnsi="Symbol"/>
        <w:b/>
        <w:color w:val="FFFFFF"/>
        <w:sz w:val="22"/>
      </w:rPr>
      <w:tcPr>
        <w:shd w:val="clear" w:color="000000" w:fill="000000"/>
      </w:tcPr>
    </w:tblStylePr>
    <w:tblStylePr w:type="lastCol">
      <w:rPr>
        <w:rFonts w:ascii="Symbol" w:hAnsi="Symbol"/>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384">
    <w:name w:val="Grid Table 6 Colorful"/>
    <w:basedOn w:val="82"/>
    <w:qFormat/>
    <w:uiPriority w:val="99"/>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808080"/>
      </w:rPr>
      <w:tcPr>
        <w:tcBorders>
          <w:left w:val="single" w:color="7E7E7E" w:sz="12" w:space="0"/>
        </w:tcBorders>
      </w:tcPr>
    </w:tblStylePr>
    <w:tblStylePr w:type="lastRow">
      <w:rPr>
        <w:b/>
        <w:color w:val="808080"/>
      </w:rPr>
    </w:tblStylePr>
    <w:tblStylePr w:type="firstCol">
      <w:rPr>
        <w:b/>
        <w:color w:val="808080"/>
      </w:rPr>
    </w:tblStylePr>
    <w:tblStylePr w:type="lastCol">
      <w:rPr>
        <w:b/>
        <w:color w:val="808080"/>
      </w:rPr>
    </w:tblStylePr>
    <w:tblStylePr w:type="band1Vert">
      <w:tcPr>
        <w:shd w:val="clear" w:color="CACACA" w:fill="CACACA"/>
      </w:tcPr>
    </w:tblStylePr>
    <w:tblStylePr w:type="band1Horz">
      <w:rPr>
        <w:rFonts w:ascii="Symbol" w:hAnsi="Symbol"/>
        <w:color w:val="808080"/>
        <w:sz w:val="22"/>
      </w:rPr>
      <w:tcPr>
        <w:shd w:val="clear" w:color="CACACA" w:fill="CACACA"/>
      </w:tcPr>
    </w:tblStylePr>
    <w:tblStylePr w:type="band2Horz">
      <w:rPr>
        <w:rFonts w:ascii="Symbol" w:hAnsi="Symbol"/>
        <w:color w:val="808080"/>
        <w:sz w:val="22"/>
      </w:rPr>
    </w:tblStylePr>
  </w:style>
  <w:style w:type="table" w:customStyle="1" w:styleId="385">
    <w:name w:val="Grid Table 7 Colorful"/>
    <w:basedOn w:val="82"/>
    <w:qFormat/>
    <w:uiPriority w:val="99"/>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firstRow">
      <w:rPr>
        <w:rFonts w:ascii="Symbol" w:hAnsi="Symbol"/>
        <w:b/>
        <w:color w:val="808080"/>
        <w:sz w:val="22"/>
      </w:rPr>
      <w:tcPr>
        <w:tcBorders>
          <w:top w:val="nil"/>
          <w:left w:val="single" w:color="7E7E7E" w:sz="4" w:space="0"/>
          <w:bottom w:val="nil"/>
          <w:right w:val="nil"/>
        </w:tcBorders>
        <w:shd w:val="clear" w:color="FFFFFF" w:fill="FFFFFF"/>
      </w:tcPr>
    </w:tblStylePr>
    <w:tblStylePr w:type="lastRow">
      <w:rPr>
        <w:rFonts w:ascii="Symbol" w:hAnsi="Symbol"/>
        <w:b/>
        <w:color w:val="808080"/>
        <w:sz w:val="22"/>
      </w:rPr>
      <w:tcPr>
        <w:tcBorders>
          <w:top w:val="single" w:color="7E7E7E" w:sz="4" w:space="0"/>
          <w:left w:val="nil"/>
          <w:bottom w:val="nil"/>
          <w:right w:val="nil"/>
        </w:tcBorders>
        <w:shd w:val="clear" w:color="FFFFFF" w:fill="FFFFFF"/>
      </w:tcPr>
    </w:tblStylePr>
    <w:tblStylePr w:type="firstCol">
      <w:pPr>
        <w:jc w:val="right"/>
      </w:pPr>
      <w:rPr>
        <w:rFonts w:ascii="Symbol" w:hAnsi="Symbol"/>
        <w:i/>
        <w:color w:val="808080"/>
        <w:sz w:val="22"/>
      </w:rPr>
      <w:tcPr>
        <w:tcBorders>
          <w:top w:val="nil"/>
          <w:left w:val="nil"/>
          <w:bottom w:val="nil"/>
          <w:right w:val="single" w:color="7E7E7E" w:sz="4" w:space="0"/>
        </w:tcBorders>
        <w:shd w:val="clear" w:color="FFFFFF" w:fill="auto"/>
      </w:tcPr>
    </w:tblStylePr>
    <w:tblStylePr w:type="lastCol">
      <w:rPr>
        <w:rFonts w:ascii="Symbol" w:hAnsi="Symbol"/>
        <w:i/>
        <w:color w:val="808080"/>
        <w:sz w:val="22"/>
      </w:rPr>
      <w:tcPr>
        <w:tcBorders>
          <w:top w:val="nil"/>
          <w:left w:val="nil"/>
          <w:bottom w:val="single" w:color="7E7E7E" w:sz="4" w:space="0"/>
          <w:right w:val="nil"/>
        </w:tcBorders>
        <w:shd w:val="clear" w:color="FFFFFF" w:fill="auto"/>
      </w:tcPr>
    </w:tblStylePr>
    <w:tblStylePr w:type="band1Vert">
      <w:tcPr>
        <w:shd w:val="clear" w:color="F1F1F1" w:fill="F1F1F1"/>
      </w:tcPr>
    </w:tblStylePr>
    <w:tblStylePr w:type="band1Horz">
      <w:rPr>
        <w:rFonts w:ascii="Symbol" w:hAnsi="Symbol"/>
        <w:color w:val="808080"/>
        <w:sz w:val="22"/>
      </w:rPr>
      <w:tcPr>
        <w:shd w:val="clear" w:color="F1F1F1" w:fill="F1F1F1"/>
      </w:tcPr>
    </w:tblStylePr>
    <w:tblStylePr w:type="band2Horz">
      <w:rPr>
        <w:rFonts w:ascii="Symbol" w:hAnsi="Symbol"/>
        <w:color w:val="808080"/>
        <w:sz w:val="22"/>
      </w:rPr>
    </w:tblStylePr>
  </w:style>
  <w:style w:type="table" w:customStyle="1" w:styleId="386">
    <w:name w:val="List Table 1 Light"/>
    <w:basedOn w:val="82"/>
    <w:qFormat/>
    <w:uiPriority w:val="99"/>
    <w:pPr>
      <w:spacing w:after="0" w:line="240" w:lineRule="auto"/>
    </w:pPr>
    <w:tblStylePr w:type="firstRow">
      <w:rPr>
        <w:b/>
        <w:color w:val="404040"/>
      </w:rPr>
      <w:tcPr>
        <w:tcBorders>
          <w:top w:val="nil"/>
          <w:left w:val="single" w:color="000000" w:sz="4" w:space="0"/>
          <w:bottom w:val="nil"/>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387">
    <w:name w:val="List Table 2"/>
    <w:basedOn w:val="82"/>
    <w:qFormat/>
    <w:uiPriority w:val="99"/>
    <w:pPr>
      <w:spacing w:after="0" w:line="240" w:lineRule="auto"/>
    </w:pPr>
    <w:tblPr>
      <w:tblBorders>
        <w:top w:val="single" w:color="6E6E6E" w:sz="4" w:space="0"/>
        <w:bottom w:val="single" w:color="6E6E6E" w:sz="4" w:space="0"/>
        <w:insideH w:val="single" w:color="6E6E6E" w:sz="4" w:space="0"/>
      </w:tblBorders>
    </w:tblPr>
    <w:tblStylePr w:type="firstRow">
      <w:rPr>
        <w:rFonts w:ascii="Symbol" w:hAnsi="Symbol"/>
        <w:b/>
        <w:color w:val="404040"/>
        <w:sz w:val="22"/>
      </w:rPr>
      <w:tcPr>
        <w:tcBorders>
          <w:top w:val="single" w:color="6E6E6E" w:sz="4" w:space="0"/>
          <w:left w:val="single" w:color="6E6E6E" w:sz="4" w:space="0"/>
          <w:bottom w:val="nil"/>
          <w:right w:val="nil"/>
        </w:tcBorders>
      </w:tcPr>
    </w:tblStylePr>
    <w:tblStylePr w:type="lastRow">
      <w:rPr>
        <w:rFonts w:ascii="Symbol" w:hAnsi="Symbol"/>
        <w:b/>
        <w:color w:val="404040"/>
        <w:sz w:val="22"/>
      </w:rPr>
      <w:tcPr>
        <w:tcBorders>
          <w:top w:val="single" w:color="6E6E6E" w:sz="4" w:space="0"/>
          <w:left w:val="single" w:color="6E6E6E" w:sz="4" w:space="0"/>
          <w:bottom w:val="nil"/>
          <w:right w:val="nil"/>
        </w:tcBorders>
      </w:tcPr>
    </w:tblStylePr>
    <w:tblStylePr w:type="firstCol">
      <w:rPr>
        <w:rFonts w:ascii="Symbol" w:hAnsi="Symbol"/>
        <w:b/>
        <w:color w:val="404040"/>
        <w:sz w:val="22"/>
      </w:rPr>
    </w:tblStylePr>
    <w:tblStylePr w:type="lastCol">
      <w:rPr>
        <w:rFonts w:ascii="Symbol" w:hAnsi="Symbol"/>
        <w:b/>
        <w:color w:val="404040"/>
        <w:sz w:val="22"/>
      </w:rPr>
    </w:tblStylePr>
    <w:tblStylePr w:type="band1Vert">
      <w:rPr>
        <w:rFonts w:ascii="Symbol" w:hAnsi="Symbol"/>
        <w:color w:val="404040"/>
        <w:sz w:val="22"/>
      </w:rPr>
      <w:tcPr>
        <w:shd w:val="clear" w:color="BEBEBE" w:fill="BEBEBE"/>
      </w:tcPr>
    </w:tblStylePr>
    <w:tblStylePr w:type="band1Horz">
      <w:rPr>
        <w:rFonts w:ascii="Symbol" w:hAnsi="Symbol"/>
        <w:color w:val="404040"/>
        <w:sz w:val="22"/>
      </w:rPr>
      <w:tcPr>
        <w:shd w:val="clear" w:color="BEBEBE" w:fill="BEBEBE"/>
      </w:tcPr>
    </w:tblStylePr>
  </w:style>
  <w:style w:type="table" w:customStyle="1" w:styleId="388">
    <w:name w:val="List Table 3"/>
    <w:basedOn w:val="82"/>
    <w:qFormat/>
    <w:uiPriority w:val="99"/>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firstRow">
      <w:rPr>
        <w:rFonts w:ascii="Symbol" w:hAnsi="Symbo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Symbol" w:hAnsi="Symbol"/>
        <w:color w:val="404040"/>
        <w:sz w:val="22"/>
      </w:rPr>
      <w:tcPr>
        <w:tcBorders>
          <w:bottom w:val="single" w:color="000000" w:sz="4" w:space="0"/>
          <w:right w:val="single" w:color="000000" w:sz="4" w:space="0"/>
        </w:tcBorders>
      </w:tcPr>
    </w:tblStylePr>
    <w:tblStylePr w:type="band1Horz">
      <w:rPr>
        <w:rFonts w:ascii="Symbol" w:hAnsi="Symbol"/>
        <w:color w:val="404040"/>
        <w:sz w:val="22"/>
      </w:rPr>
      <w:tcPr>
        <w:tcBorders>
          <w:top w:val="single" w:color="000000" w:sz="4" w:space="0"/>
          <w:left w:val="single" w:color="000000" w:sz="4" w:space="0"/>
        </w:tcBorders>
      </w:tcPr>
    </w:tblStylePr>
  </w:style>
  <w:style w:type="table" w:customStyle="1" w:styleId="389">
    <w:name w:val="List Table 4"/>
    <w:basedOn w:val="82"/>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Symbol" w:hAnsi="Symbo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Symbol" w:hAnsi="Symbol"/>
        <w:color w:val="404040"/>
        <w:sz w:val="22"/>
      </w:rPr>
      <w:tcPr>
        <w:shd w:val="clear" w:color="BEBEBE" w:fill="BEBEBE"/>
      </w:tcPr>
    </w:tblStylePr>
    <w:tblStylePr w:type="band1Horz">
      <w:rPr>
        <w:rFonts w:ascii="Symbol" w:hAnsi="Symbol"/>
        <w:color w:val="404040"/>
        <w:sz w:val="22"/>
      </w:rPr>
      <w:tcPr>
        <w:shd w:val="clear" w:color="BEBEBE" w:fill="BEBEBE"/>
      </w:tcPr>
    </w:tblStylePr>
  </w:style>
  <w:style w:type="table" w:customStyle="1" w:styleId="390">
    <w:name w:val="List Table 5 Dark"/>
    <w:basedOn w:val="82"/>
    <w:qFormat/>
    <w:uiPriority w:val="99"/>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firstRow">
      <w:rPr>
        <w:rFonts w:ascii="Symbol" w:hAnsi="Symbol"/>
        <w:b/>
        <w:color w:val="FFFFFF"/>
        <w:sz w:val="22"/>
      </w:rPr>
      <w:tcPr>
        <w:tcBorders>
          <w:top w:val="single" w:color="7E7E7E" w:sz="32" w:space="0"/>
          <w:left w:val="single" w:color="FFFFFF" w:sz="12" w:space="0"/>
        </w:tcBorders>
        <w:shd w:val="clear" w:color="7E7E7E" w:fill="7E7E7E"/>
      </w:tcPr>
    </w:tblStylePr>
    <w:tblStylePr w:type="lastRow">
      <w:rPr>
        <w:rFonts w:ascii="Symbol" w:hAnsi="Symbol"/>
        <w:b/>
        <w:color w:val="FFFFFF"/>
        <w:sz w:val="22"/>
      </w:rPr>
    </w:tblStylePr>
    <w:tblStylePr w:type="firstCol">
      <w:rPr>
        <w:rFonts w:ascii="Symbol" w:hAnsi="Symbol"/>
        <w:b/>
        <w:color w:val="FFFFFF"/>
        <w:sz w:val="22"/>
      </w:rPr>
      <w:tcPr>
        <w:tcBorders>
          <w:bottom w:val="single" w:color="7E7E7E" w:sz="32" w:space="0"/>
          <w:right w:val="single" w:color="FFFFFF" w:sz="4" w:space="0"/>
        </w:tcBorders>
      </w:tcPr>
    </w:tblStylePr>
    <w:tblStylePr w:type="lastCol">
      <w:tcPr>
        <w:tcBorders>
          <w:bottom w:val="single" w:color="FFFFFF" w:sz="4" w:space="0"/>
          <w:right w:val="single" w:color="7E7E7E" w:sz="32" w:space="0"/>
        </w:tcBorders>
      </w:tcPr>
    </w:tblStylePr>
    <w:tblStylePr w:type="band1Vert">
      <w:tcPr>
        <w:tcBorders>
          <w:bottom w:val="single" w:color="FFFFFF" w:sz="4" w:space="0"/>
          <w:right w:val="single" w:color="FFFFFF" w:sz="4" w:space="0"/>
        </w:tcBorders>
        <w:shd w:val="clear" w:color="7E7E7E" w:fill="7E7E7E"/>
      </w:tcPr>
    </w:tblStylePr>
    <w:tblStylePr w:type="band2Vert">
      <w:tcPr>
        <w:tcBorders>
          <w:bottom w:val="single" w:color="FFFFFF" w:sz="4" w:space="0"/>
          <w:right w:val="single" w:color="FFFFFF" w:sz="4" w:space="0"/>
        </w:tcBorders>
      </w:tcPr>
    </w:tblStylePr>
    <w:tblStylePr w:type="band1Horz">
      <w:tcPr>
        <w:tcBorders>
          <w:top w:val="single" w:color="FFFFFF" w:sz="4" w:space="0"/>
          <w:left w:val="single" w:color="FFFFFF" w:sz="4" w:space="0"/>
        </w:tcBorders>
        <w:shd w:val="clear" w:color="7E7E7E" w:fill="7E7E7E"/>
      </w:tcPr>
    </w:tblStylePr>
    <w:tblStylePr w:type="band2Horz">
      <w:tcPr>
        <w:tcBorders>
          <w:top w:val="single" w:color="FFFFFF" w:sz="4" w:space="0"/>
          <w:left w:val="single" w:color="FFFFFF" w:sz="4" w:space="0"/>
        </w:tcBorders>
        <w:shd w:val="clear" w:color="7E7E7E" w:fill="7E7E7E"/>
      </w:tcPr>
    </w:tblStylePr>
  </w:style>
  <w:style w:type="table" w:customStyle="1" w:styleId="391">
    <w:name w:val="List Table 6 Colorful"/>
    <w:basedOn w:val="82"/>
    <w:qFormat/>
    <w:uiPriority w:val="99"/>
    <w:pPr>
      <w:spacing w:after="0" w:line="240" w:lineRule="auto"/>
    </w:pPr>
    <w:tblPr>
      <w:tblBorders>
        <w:top w:val="single" w:color="7E7E7E" w:sz="4" w:space="0"/>
        <w:bottom w:val="single" w:color="7E7E7E" w:sz="4" w:space="0"/>
      </w:tblBorders>
    </w:tblPr>
    <w:tblStylePr w:type="firstRow">
      <w:rPr>
        <w:b/>
        <w:color w:val="000000"/>
      </w:rPr>
      <w:tcPr>
        <w:tcBorders>
          <w:left w:val="single" w:color="7E7E7E" w:sz="4" w:space="0"/>
        </w:tcBorders>
      </w:tcPr>
    </w:tblStylePr>
    <w:tblStylePr w:type="lastRow">
      <w:rPr>
        <w:b/>
        <w:color w:val="000000"/>
      </w:rPr>
      <w:tcPr>
        <w:tcBorders>
          <w:top w:val="single" w:color="7E7E7E" w:sz="4" w:space="0"/>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Symbol" w:hAnsi="Symbol"/>
        <w:color w:val="000000"/>
        <w:sz w:val="22"/>
      </w:rPr>
      <w:tcPr>
        <w:shd w:val="clear" w:color="BEBEBE" w:fill="BEBEBE"/>
      </w:tcPr>
    </w:tblStylePr>
    <w:tblStylePr w:type="band2Horz">
      <w:rPr>
        <w:rFonts w:ascii="Symbol" w:hAnsi="Symbol"/>
        <w:color w:val="000000"/>
        <w:sz w:val="22"/>
      </w:rPr>
    </w:tblStylePr>
  </w:style>
  <w:style w:type="table" w:customStyle="1" w:styleId="392">
    <w:name w:val="List Table 7 Colorful"/>
    <w:basedOn w:val="82"/>
    <w:qFormat/>
    <w:uiPriority w:val="99"/>
    <w:pPr>
      <w:spacing w:after="0" w:line="240" w:lineRule="auto"/>
    </w:pPr>
    <w:tblPr>
      <w:tblBorders>
        <w:right w:val="single" w:color="7E7E7E" w:sz="4" w:space="0"/>
      </w:tblBorders>
    </w:tblPr>
    <w:tblStylePr w:type="firstRow">
      <w:rPr>
        <w:rFonts w:ascii="Symbol" w:hAnsi="Symbol"/>
        <w:i/>
        <w:color w:val="808080"/>
        <w:sz w:val="22"/>
      </w:rPr>
      <w:tcPr>
        <w:tcBorders>
          <w:top w:val="nil"/>
          <w:left w:val="single" w:color="7E7E7E" w:sz="4" w:space="0"/>
          <w:bottom w:val="nil"/>
          <w:right w:val="nil"/>
        </w:tcBorders>
        <w:shd w:val="clear" w:color="FFFFFF" w:fill="FFFFFF"/>
      </w:tcPr>
    </w:tblStylePr>
    <w:tblStylePr w:type="lastRow">
      <w:rPr>
        <w:rFonts w:ascii="Symbol" w:hAnsi="Symbol"/>
        <w:i/>
        <w:color w:val="808080"/>
        <w:sz w:val="22"/>
      </w:rPr>
      <w:tcPr>
        <w:tcBorders>
          <w:top w:val="single" w:color="7E7E7E" w:sz="4" w:space="0"/>
          <w:left w:val="nil"/>
          <w:bottom w:val="nil"/>
          <w:right w:val="nil"/>
        </w:tcBorders>
        <w:shd w:val="clear" w:color="FFFFFF" w:fill="FFFFFF"/>
      </w:tcPr>
    </w:tblStylePr>
    <w:tblStylePr w:type="firstCol">
      <w:pPr>
        <w:jc w:val="right"/>
      </w:pPr>
      <w:rPr>
        <w:rFonts w:ascii="Symbol" w:hAnsi="Symbol"/>
        <w:i/>
        <w:color w:val="808080"/>
        <w:sz w:val="22"/>
      </w:rPr>
      <w:tcPr>
        <w:tcBorders>
          <w:top w:val="nil"/>
          <w:left w:val="nil"/>
          <w:bottom w:val="nil"/>
          <w:right w:val="single" w:color="7E7E7E" w:sz="4" w:space="0"/>
        </w:tcBorders>
        <w:shd w:val="clear" w:color="FFFFFF" w:fill="auto"/>
      </w:tcPr>
    </w:tblStylePr>
    <w:tblStylePr w:type="lastCol">
      <w:rPr>
        <w:rFonts w:ascii="Symbol" w:hAnsi="Symbol"/>
        <w:i/>
        <w:color w:val="808080"/>
        <w:sz w:val="22"/>
      </w:rPr>
      <w:tcPr>
        <w:tcBorders>
          <w:top w:val="nil"/>
          <w:left w:val="nil"/>
          <w:bottom w:val="single" w:color="7E7E7E" w:sz="4" w:space="0"/>
          <w:right w:val="nil"/>
        </w:tcBorders>
        <w:shd w:val="clear" w:color="FFFFFF" w:fill="auto"/>
      </w:tcPr>
    </w:tblStylePr>
    <w:tblStylePr w:type="band1Vert">
      <w:tcPr>
        <w:shd w:val="clear" w:color="BEBEBE" w:fill="BEBEBE"/>
      </w:tcPr>
    </w:tblStylePr>
    <w:tblStylePr w:type="band1Horz">
      <w:rPr>
        <w:rFonts w:ascii="Symbol" w:hAnsi="Symbol"/>
        <w:color w:val="808080"/>
        <w:sz w:val="22"/>
      </w:rPr>
      <w:tcPr>
        <w:shd w:val="clear" w:color="BEBEBE" w:fill="BEBEBE"/>
      </w:tcPr>
    </w:tblStylePr>
    <w:tblStylePr w:type="band2Horz">
      <w:rPr>
        <w:rFonts w:ascii="Symbol" w:hAnsi="Symbol"/>
        <w:color w:val="808080"/>
        <w:sz w:val="22"/>
      </w:rPr>
    </w:tblStylePr>
  </w:style>
  <w:style w:type="table" w:customStyle="1" w:styleId="393">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394">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395">
    <w:name w:val="无格式表格 21"/>
    <w:qFormat/>
    <w:uiPriority w:val="59"/>
    <w:tblPr>
      <w:tblBorders>
        <w:top w:val="single" w:color="000000" w:sz="4" w:space="0"/>
        <w:bottom w:val="single" w:color="000000" w:sz="4" w:space="0"/>
      </w:tblBorders>
      <w:tblCellMar>
        <w:top w:w="0" w:type="dxa"/>
        <w:left w:w="108" w:type="dxa"/>
        <w:bottom w:w="0" w:type="dxa"/>
        <w:right w:w="108" w:type="dxa"/>
      </w:tblCellMar>
    </w:tblPr>
  </w:style>
  <w:style w:type="table" w:customStyle="1" w:styleId="396">
    <w:name w:val="无格式表格 31"/>
    <w:qFormat/>
    <w:uiPriority w:val="99"/>
    <w:tblPr>
      <w:tblCellMar>
        <w:top w:w="0" w:type="dxa"/>
        <w:left w:w="0" w:type="dxa"/>
        <w:bottom w:w="0" w:type="dxa"/>
        <w:right w:w="0" w:type="dxa"/>
      </w:tblCellMar>
    </w:tblPr>
  </w:style>
  <w:style w:type="table" w:customStyle="1" w:styleId="397">
    <w:name w:val="无格式表格 41"/>
    <w:qFormat/>
    <w:uiPriority w:val="99"/>
    <w:tblPr>
      <w:tblCellMar>
        <w:top w:w="0" w:type="dxa"/>
        <w:left w:w="0" w:type="dxa"/>
        <w:bottom w:w="0" w:type="dxa"/>
        <w:right w:w="0" w:type="dxa"/>
      </w:tblCellMar>
    </w:tblPr>
  </w:style>
  <w:style w:type="table" w:customStyle="1" w:styleId="398">
    <w:name w:val="无格式表格 51"/>
    <w:qFormat/>
    <w:uiPriority w:val="99"/>
    <w:tblPr>
      <w:tblCellMar>
        <w:top w:w="0" w:type="dxa"/>
        <w:left w:w="0" w:type="dxa"/>
        <w:bottom w:w="0" w:type="dxa"/>
        <w:right w:w="0" w:type="dxa"/>
      </w:tblCellMar>
    </w:tblPr>
  </w:style>
  <w:style w:type="table" w:customStyle="1" w:styleId="399">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400">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401">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402">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403">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404">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405">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406">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407">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408">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409">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410">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411">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412">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413">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414">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415">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416">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417">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418">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419">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420">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421">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422">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423">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424">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425">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426">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427">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428">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429">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430">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431">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432">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433">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434">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435">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436">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437">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438">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439">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440">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441">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442">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443">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444">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445">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446">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447">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448">
    <w:name w:val="清单表 1 浅色1"/>
    <w:qFormat/>
    <w:uiPriority w:val="99"/>
    <w:tblPr>
      <w:tblCellMar>
        <w:top w:w="0" w:type="dxa"/>
        <w:left w:w="0" w:type="dxa"/>
        <w:bottom w:w="0" w:type="dxa"/>
        <w:right w:w="0" w:type="dxa"/>
      </w:tblCellMar>
    </w:tblPr>
  </w:style>
  <w:style w:type="table" w:customStyle="1" w:styleId="449">
    <w:name w:val="List Table 1 Light - Accent 1"/>
    <w:qFormat/>
    <w:uiPriority w:val="99"/>
    <w:tblPr>
      <w:tblCellMar>
        <w:top w:w="0" w:type="dxa"/>
        <w:left w:w="0" w:type="dxa"/>
        <w:bottom w:w="0" w:type="dxa"/>
        <w:right w:w="0" w:type="dxa"/>
      </w:tblCellMar>
    </w:tblPr>
  </w:style>
  <w:style w:type="table" w:customStyle="1" w:styleId="450">
    <w:name w:val="List Table 1 Light - Accent 2"/>
    <w:qFormat/>
    <w:uiPriority w:val="99"/>
    <w:tblPr>
      <w:tblCellMar>
        <w:top w:w="0" w:type="dxa"/>
        <w:left w:w="0" w:type="dxa"/>
        <w:bottom w:w="0" w:type="dxa"/>
        <w:right w:w="0" w:type="dxa"/>
      </w:tblCellMar>
    </w:tblPr>
  </w:style>
  <w:style w:type="table" w:customStyle="1" w:styleId="451">
    <w:name w:val="List Table 1 Light - Accent 3"/>
    <w:qFormat/>
    <w:uiPriority w:val="99"/>
    <w:tblPr>
      <w:tblCellMar>
        <w:top w:w="0" w:type="dxa"/>
        <w:left w:w="0" w:type="dxa"/>
        <w:bottom w:w="0" w:type="dxa"/>
        <w:right w:w="0" w:type="dxa"/>
      </w:tblCellMar>
    </w:tblPr>
  </w:style>
  <w:style w:type="table" w:customStyle="1" w:styleId="452">
    <w:name w:val="List Table 1 Light - Accent 4"/>
    <w:qFormat/>
    <w:uiPriority w:val="99"/>
    <w:tblPr>
      <w:tblCellMar>
        <w:top w:w="0" w:type="dxa"/>
        <w:left w:w="0" w:type="dxa"/>
        <w:bottom w:w="0" w:type="dxa"/>
        <w:right w:w="0" w:type="dxa"/>
      </w:tblCellMar>
    </w:tblPr>
  </w:style>
  <w:style w:type="table" w:customStyle="1" w:styleId="453">
    <w:name w:val="List Table 1 Light - Accent 5"/>
    <w:qFormat/>
    <w:uiPriority w:val="99"/>
    <w:tblPr>
      <w:tblCellMar>
        <w:top w:w="0" w:type="dxa"/>
        <w:left w:w="0" w:type="dxa"/>
        <w:bottom w:w="0" w:type="dxa"/>
        <w:right w:w="0" w:type="dxa"/>
      </w:tblCellMar>
    </w:tblPr>
  </w:style>
  <w:style w:type="table" w:customStyle="1" w:styleId="454">
    <w:name w:val="List Table 1 Light - Accent 6"/>
    <w:qFormat/>
    <w:uiPriority w:val="99"/>
    <w:tblPr>
      <w:tblCellMar>
        <w:top w:w="0" w:type="dxa"/>
        <w:left w:w="0" w:type="dxa"/>
        <w:bottom w:w="0" w:type="dxa"/>
        <w:right w:w="0" w:type="dxa"/>
      </w:tblCellMar>
    </w:tblPr>
  </w:style>
  <w:style w:type="table" w:customStyle="1" w:styleId="455">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456">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457">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458">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459">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460">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461">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462">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463">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464">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465">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466">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467">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468">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469">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470">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471">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472">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473">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474">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475">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476">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477">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478">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479">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480">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481">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482">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483">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484">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485">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486">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487">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488">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489">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490">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491">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492">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493">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494">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495">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496">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497">
    <w:name w:val="Lined - Accent"/>
    <w:qFormat/>
    <w:uiPriority w:val="99"/>
    <w:rPr>
      <w:color w:val="404040"/>
    </w:rPr>
    <w:tblPr>
      <w:tblCellMar>
        <w:top w:w="0" w:type="dxa"/>
        <w:left w:w="0" w:type="dxa"/>
        <w:bottom w:w="0" w:type="dxa"/>
        <w:right w:w="0" w:type="dxa"/>
      </w:tblCellMar>
    </w:tblPr>
  </w:style>
  <w:style w:type="table" w:customStyle="1" w:styleId="498">
    <w:name w:val="Lined - Accent 1"/>
    <w:qFormat/>
    <w:uiPriority w:val="99"/>
    <w:rPr>
      <w:color w:val="404040"/>
    </w:rPr>
    <w:tblPr>
      <w:tblCellMar>
        <w:top w:w="0" w:type="dxa"/>
        <w:left w:w="0" w:type="dxa"/>
        <w:bottom w:w="0" w:type="dxa"/>
        <w:right w:w="0" w:type="dxa"/>
      </w:tblCellMar>
    </w:tblPr>
  </w:style>
  <w:style w:type="table" w:customStyle="1" w:styleId="499">
    <w:name w:val="Lined - Accent 2"/>
    <w:qFormat/>
    <w:uiPriority w:val="99"/>
    <w:rPr>
      <w:color w:val="404040"/>
    </w:rPr>
    <w:tblPr>
      <w:tblCellMar>
        <w:top w:w="0" w:type="dxa"/>
        <w:left w:w="0" w:type="dxa"/>
        <w:bottom w:w="0" w:type="dxa"/>
        <w:right w:w="0" w:type="dxa"/>
      </w:tblCellMar>
    </w:tblPr>
  </w:style>
  <w:style w:type="table" w:customStyle="1" w:styleId="500">
    <w:name w:val="Lined - Accent 3"/>
    <w:qFormat/>
    <w:uiPriority w:val="99"/>
    <w:rPr>
      <w:color w:val="404040"/>
    </w:rPr>
    <w:tblPr>
      <w:tblCellMar>
        <w:top w:w="0" w:type="dxa"/>
        <w:left w:w="0" w:type="dxa"/>
        <w:bottom w:w="0" w:type="dxa"/>
        <w:right w:w="0" w:type="dxa"/>
      </w:tblCellMar>
    </w:tblPr>
  </w:style>
  <w:style w:type="table" w:customStyle="1" w:styleId="501">
    <w:name w:val="Lined - Accent 4"/>
    <w:qFormat/>
    <w:uiPriority w:val="99"/>
    <w:rPr>
      <w:color w:val="404040"/>
    </w:rPr>
    <w:tblPr>
      <w:tblCellMar>
        <w:top w:w="0" w:type="dxa"/>
        <w:left w:w="0" w:type="dxa"/>
        <w:bottom w:w="0" w:type="dxa"/>
        <w:right w:w="0" w:type="dxa"/>
      </w:tblCellMar>
    </w:tblPr>
  </w:style>
  <w:style w:type="table" w:customStyle="1" w:styleId="502">
    <w:name w:val="Lined - Accent 5"/>
    <w:qFormat/>
    <w:uiPriority w:val="99"/>
    <w:rPr>
      <w:color w:val="404040"/>
    </w:rPr>
    <w:tblPr>
      <w:tblCellMar>
        <w:top w:w="0" w:type="dxa"/>
        <w:left w:w="0" w:type="dxa"/>
        <w:bottom w:w="0" w:type="dxa"/>
        <w:right w:w="0" w:type="dxa"/>
      </w:tblCellMar>
    </w:tblPr>
  </w:style>
  <w:style w:type="table" w:customStyle="1" w:styleId="503">
    <w:name w:val="Lined - Accent 6"/>
    <w:qFormat/>
    <w:uiPriority w:val="99"/>
    <w:rPr>
      <w:color w:val="404040"/>
    </w:rPr>
    <w:tblPr>
      <w:tblCellMar>
        <w:top w:w="0" w:type="dxa"/>
        <w:left w:w="0" w:type="dxa"/>
        <w:bottom w:w="0" w:type="dxa"/>
        <w:right w:w="0" w:type="dxa"/>
      </w:tblCellMar>
    </w:tblPr>
  </w:style>
  <w:style w:type="table" w:customStyle="1" w:styleId="504">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505">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506">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507">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508">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509">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510">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511">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512">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513">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514">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515">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516">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517">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518">
    <w:name w:val="普通表格1"/>
    <w:qFormat/>
    <w:uiPriority w:val="0"/>
    <w:tblPr>
      <w:tblCellMar>
        <w:top w:w="0" w:type="dxa"/>
        <w:left w:w="0" w:type="dxa"/>
        <w:bottom w:w="0" w:type="dxa"/>
        <w:right w:w="0" w:type="dxa"/>
      </w:tblCellMar>
    </w:tblPr>
  </w:style>
  <w:style w:type="table" w:customStyle="1" w:styleId="519">
    <w:name w:val="网格型1"/>
    <w:basedOn w:val="518"/>
    <w:qFormat/>
    <w:uiPriority w:val="0"/>
    <w:rPr>
      <w:rFonts w:ascii="Calibri" w:hAnsi="Calibri"/>
      <w:sz w:val="21"/>
      <w:szCs w:val="22"/>
    </w:rPr>
    <w:tblPr>
      <w:tblCellMar>
        <w:top w:w="0" w:type="dxa"/>
        <w:left w:w="0" w:type="dxa"/>
        <w:bottom w:w="0" w:type="dxa"/>
        <w:right w:w="0" w:type="dxa"/>
      </w:tblCellMar>
    </w:tblPr>
  </w:style>
  <w:style w:type="character" w:customStyle="1" w:styleId="520">
    <w:name w:val="标题 1 Char2"/>
    <w:link w:val="4"/>
    <w:qFormat/>
    <w:uiPriority w:val="0"/>
    <w:rPr>
      <w:rFonts w:ascii="黑体" w:hAnsi="黑体" w:eastAsia="黑体" w:cs="Times New Roman"/>
      <w:b/>
      <w:bCs/>
      <w:kern w:val="44"/>
      <w:sz w:val="44"/>
      <w:szCs w:val="44"/>
    </w:rPr>
  </w:style>
  <w:style w:type="character" w:customStyle="1" w:styleId="521">
    <w:name w:val="标题 2 Char1"/>
    <w:link w:val="5"/>
    <w:qFormat/>
    <w:uiPriority w:val="0"/>
    <w:rPr>
      <w:rFonts w:ascii="Arial" w:hAnsi="Arial" w:eastAsia="黑体" w:cs="Times New Roman"/>
      <w:b/>
      <w:bCs/>
      <w:sz w:val="24"/>
      <w:szCs w:val="32"/>
    </w:rPr>
  </w:style>
  <w:style w:type="character" w:customStyle="1" w:styleId="522">
    <w:name w:val="标题 3 Char1"/>
    <w:link w:val="6"/>
    <w:qFormat/>
    <w:uiPriority w:val="0"/>
    <w:rPr>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微软</Company>
  <Pages>88</Pages>
  <Words>43936</Words>
  <Characters>45751</Characters>
  <Lines>1</Lines>
  <Paragraphs>1</Paragraphs>
  <TotalTime>0</TotalTime>
  <ScaleCrop>false</ScaleCrop>
  <LinksUpToDate>false</LinksUpToDate>
  <CharactersWithSpaces>48419</CharactersWithSpaces>
  <Application>WPS Office_11.8.6.8810_F1E327BC-269C-435d-A152-05C5408002CA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2023-01-08T08:49:00Z</dcterms:created>
  <dc:creator>微软</dc:creator>
  <cp:lastModifiedBy>admin</cp:lastModifiedBy>
  <cp:lastPrinted>2026-08-28T07:43:00Z</cp:lastPrinted>
  <dcterms:modified xsi:type="dcterms:W3CDTF">2026-09-11T07:27:51Z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CDBDEC2EC28F9E6D4CD6876A8C69F2A5_43</vt:lpwstr>
  </property>
  <property fmtid="{D5CDD505-2E9C-101B-9397-08002B2CF9AE}" pid="3" name="KSOProductBuildVer">
    <vt:lpwstr>2052-11.8.6.8810</vt:lpwstr>
  </property>
  <property fmtid="{D5CDD505-2E9C-101B-9397-08002B2CF9AE}" pid="4" name="KSOTemplateDocerSaveRecord">
    <vt:lpwstr>eyJoZGlkIjoiNTFmNTllZGFjY2MxMjgyZDQ2YjRlMDkwMGVjZWIzYmUiLCJ1c2VySWQiOiIyODg3MTAwOTgifQ==</vt:lpwstr>
  </property>
</Properties>
</file>